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392472">
      <w:pPr>
        <w:jc w:val="center"/>
        <w:rPr>
          <w:rFonts w:eastAsia="黑体"/>
          <w:color w:val="auto"/>
          <w:sz w:val="36"/>
          <w:highlight w:val="none"/>
        </w:rPr>
      </w:pPr>
    </w:p>
    <w:p w14:paraId="2D5DE476">
      <w:pPr>
        <w:pStyle w:val="34"/>
        <w:ind w:firstLine="600"/>
        <w:rPr>
          <w:color w:val="auto"/>
          <w:highlight w:val="none"/>
        </w:rPr>
      </w:pPr>
    </w:p>
    <w:p w14:paraId="079474AB">
      <w:pPr>
        <w:jc w:val="center"/>
        <w:rPr>
          <w:rFonts w:hint="eastAsia"/>
          <w:b/>
          <w:color w:val="auto"/>
          <w:sz w:val="84"/>
          <w:highlight w:val="none"/>
        </w:rPr>
      </w:pPr>
      <w:r>
        <w:rPr>
          <w:rFonts w:hint="eastAsia"/>
          <w:b/>
          <w:color w:val="auto"/>
          <w:sz w:val="84"/>
          <w:highlight w:val="none"/>
        </w:rPr>
        <w:t>招 标 文 件</w:t>
      </w:r>
    </w:p>
    <w:p w14:paraId="76EF6D24">
      <w:pPr>
        <w:rPr>
          <w:rFonts w:eastAsia="黑体"/>
          <w:b/>
          <w:color w:val="auto"/>
          <w:sz w:val="32"/>
          <w:highlight w:val="none"/>
        </w:rPr>
      </w:pPr>
      <w:r>
        <w:rPr>
          <w:rFonts w:hint="eastAsia" w:eastAsia="黑体"/>
          <w:b/>
          <w:color w:val="auto"/>
          <w:sz w:val="32"/>
          <w:highlight w:val="none"/>
        </w:rPr>
        <w:t xml:space="preserve">  </w:t>
      </w:r>
    </w:p>
    <w:p w14:paraId="3DDC6200">
      <w:pPr>
        <w:jc w:val="center"/>
        <w:rPr>
          <w:rFonts w:hint="eastAsia" w:eastAsia="黑体"/>
          <w:b/>
          <w:color w:val="auto"/>
          <w:sz w:val="32"/>
          <w:highlight w:val="none"/>
        </w:rPr>
      </w:pPr>
    </w:p>
    <w:p w14:paraId="14E72A3E">
      <w:pPr>
        <w:jc w:val="center"/>
        <w:rPr>
          <w:rFonts w:hint="eastAsia" w:eastAsia="黑体"/>
          <w:b/>
          <w:color w:val="auto"/>
          <w:sz w:val="32"/>
          <w:highlight w:val="none"/>
        </w:rPr>
      </w:pPr>
    </w:p>
    <w:p w14:paraId="71B5AE32">
      <w:pPr>
        <w:jc w:val="center"/>
        <w:rPr>
          <w:rFonts w:hint="eastAsia" w:eastAsia="黑体"/>
          <w:b/>
          <w:color w:val="auto"/>
          <w:sz w:val="32"/>
          <w:highlight w:val="none"/>
        </w:rPr>
      </w:pPr>
    </w:p>
    <w:p w14:paraId="47482CC2">
      <w:pPr>
        <w:jc w:val="center"/>
        <w:rPr>
          <w:rFonts w:hint="eastAsia" w:eastAsia="黑体"/>
          <w:b/>
          <w:color w:val="auto"/>
          <w:sz w:val="32"/>
          <w:highlight w:val="none"/>
        </w:rPr>
      </w:pPr>
    </w:p>
    <w:p w14:paraId="10FE89FD">
      <w:pPr>
        <w:pStyle w:val="34"/>
        <w:ind w:firstLine="0"/>
        <w:rPr>
          <w:rFonts w:hint="eastAsia"/>
          <w:color w:val="auto"/>
          <w:highlight w:val="none"/>
        </w:rPr>
      </w:pPr>
    </w:p>
    <w:p w14:paraId="60F11A29">
      <w:pPr>
        <w:jc w:val="center"/>
        <w:rPr>
          <w:rFonts w:hint="eastAsia" w:ascii="宋体" w:eastAsia="宋体"/>
          <w:b/>
          <w:color w:val="auto"/>
          <w:sz w:val="36"/>
          <w:szCs w:val="36"/>
          <w:highlight w:val="none"/>
          <w:lang w:val="en-US" w:eastAsia="zh-CN"/>
        </w:rPr>
      </w:pPr>
      <w:r>
        <w:rPr>
          <w:rFonts w:hint="eastAsia" w:ascii="宋体"/>
          <w:b/>
          <w:color w:val="auto"/>
          <w:sz w:val="36"/>
          <w:szCs w:val="36"/>
          <w:highlight w:val="none"/>
        </w:rPr>
        <w:t>项目编</w:t>
      </w:r>
      <w:r>
        <w:rPr>
          <w:rFonts w:hint="eastAsia" w:ascii="宋体" w:hAnsi="宋体" w:cs="宋体"/>
          <w:b/>
          <w:color w:val="auto"/>
          <w:sz w:val="36"/>
          <w:szCs w:val="36"/>
          <w:highlight w:val="none"/>
          <w:lang w:val="en-US" w:eastAsia="zh-CN"/>
        </w:rPr>
        <w:t>号：JSZC-320904-CSXM-G2026-0001</w:t>
      </w:r>
    </w:p>
    <w:p w14:paraId="3AD12EA8">
      <w:pPr>
        <w:ind w:firstLine="2692"/>
        <w:rPr>
          <w:rFonts w:hint="eastAsia" w:ascii="宋体" w:eastAsia="宋体"/>
          <w:b/>
          <w:color w:val="auto"/>
          <w:sz w:val="36"/>
          <w:szCs w:val="36"/>
          <w:highlight w:val="none"/>
          <w:lang w:val="en-US" w:eastAsia="zh-CN"/>
        </w:rPr>
      </w:pPr>
      <w:r>
        <w:rPr>
          <w:rFonts w:hint="eastAsia" w:ascii="宋体"/>
          <w:b/>
          <w:color w:val="auto"/>
          <w:sz w:val="36"/>
          <w:szCs w:val="36"/>
          <w:highlight w:val="none"/>
          <w:lang w:val="en-US" w:eastAsia="zh-CN"/>
        </w:rPr>
        <w:t xml:space="preserve"> </w:t>
      </w:r>
    </w:p>
    <w:p w14:paraId="2F15AA93">
      <w:pPr>
        <w:jc w:val="center"/>
        <w:rPr>
          <w:rFonts w:hint="eastAsia" w:ascii="宋体" w:eastAsia="宋体"/>
          <w:b/>
          <w:color w:val="auto"/>
          <w:sz w:val="36"/>
          <w:szCs w:val="36"/>
          <w:highlight w:val="none"/>
          <w:lang w:val="en-US" w:eastAsia="zh-CN"/>
        </w:rPr>
      </w:pPr>
      <w:r>
        <w:rPr>
          <w:rFonts w:hint="eastAsia" w:ascii="宋体"/>
          <w:b/>
          <w:color w:val="auto"/>
          <w:sz w:val="36"/>
          <w:szCs w:val="36"/>
          <w:highlight w:val="none"/>
        </w:rPr>
        <w:t>项</w:t>
      </w:r>
      <w:r>
        <w:rPr>
          <w:rFonts w:hint="eastAsia" w:ascii="宋体" w:hAnsi="宋体" w:cs="宋体"/>
          <w:b/>
          <w:color w:val="auto"/>
          <w:sz w:val="36"/>
          <w:szCs w:val="36"/>
          <w:highlight w:val="none"/>
        </w:rPr>
        <w:t>目名称：</w:t>
      </w:r>
      <w:r>
        <w:rPr>
          <w:rFonts w:hint="eastAsia" w:ascii="宋体" w:hAnsi="宋体" w:cs="宋体"/>
          <w:b/>
          <w:color w:val="auto"/>
          <w:sz w:val="36"/>
          <w:szCs w:val="36"/>
          <w:highlight w:val="none"/>
          <w:lang w:eastAsia="zh-CN"/>
        </w:rPr>
        <w:t>盐城市大丰区2026年王港河水面漂浮物打捞服务项目</w:t>
      </w:r>
    </w:p>
    <w:p w14:paraId="4B9292F1">
      <w:pPr>
        <w:rPr>
          <w:rFonts w:hint="eastAsia" w:ascii="宋体"/>
          <w:b/>
          <w:color w:val="auto"/>
          <w:sz w:val="32"/>
          <w:highlight w:val="none"/>
        </w:rPr>
      </w:pPr>
    </w:p>
    <w:p w14:paraId="2F633FAC">
      <w:pPr>
        <w:rPr>
          <w:rFonts w:hint="eastAsia" w:ascii="宋体"/>
          <w:b/>
          <w:color w:val="auto"/>
          <w:sz w:val="32"/>
          <w:highlight w:val="none"/>
        </w:rPr>
      </w:pPr>
    </w:p>
    <w:p w14:paraId="1F438D02">
      <w:pPr>
        <w:rPr>
          <w:rFonts w:hint="eastAsia" w:ascii="宋体"/>
          <w:b/>
          <w:color w:val="auto"/>
          <w:sz w:val="32"/>
          <w:highlight w:val="none"/>
        </w:rPr>
      </w:pPr>
    </w:p>
    <w:p w14:paraId="163EC40A">
      <w:pPr>
        <w:rPr>
          <w:rFonts w:hint="eastAsia"/>
          <w:color w:val="auto"/>
          <w:highlight w:val="none"/>
        </w:rPr>
      </w:pPr>
    </w:p>
    <w:p w14:paraId="7A87860E">
      <w:pPr>
        <w:pStyle w:val="34"/>
        <w:ind w:firstLine="600"/>
        <w:rPr>
          <w:rFonts w:hint="eastAsia"/>
          <w:color w:val="auto"/>
          <w:highlight w:val="none"/>
        </w:rPr>
      </w:pPr>
    </w:p>
    <w:p w14:paraId="1D4C5966">
      <w:pPr>
        <w:rPr>
          <w:rFonts w:hint="eastAsia"/>
          <w:color w:val="auto"/>
          <w:highlight w:val="none"/>
        </w:rPr>
      </w:pPr>
    </w:p>
    <w:p w14:paraId="6214FA81">
      <w:pPr>
        <w:rPr>
          <w:rFonts w:hint="eastAsia"/>
          <w:color w:val="auto"/>
          <w:highlight w:val="none"/>
        </w:rPr>
      </w:pPr>
    </w:p>
    <w:p w14:paraId="1725A433">
      <w:pPr>
        <w:rPr>
          <w:rFonts w:hint="eastAsia"/>
          <w:color w:val="auto"/>
          <w:highlight w:val="none"/>
        </w:rPr>
      </w:pPr>
    </w:p>
    <w:p w14:paraId="7EA1C537">
      <w:pPr>
        <w:rPr>
          <w:rFonts w:hint="eastAsia"/>
          <w:color w:val="auto"/>
          <w:highlight w:val="none"/>
        </w:rPr>
      </w:pPr>
    </w:p>
    <w:p w14:paraId="376D88AB">
      <w:pPr>
        <w:rPr>
          <w:rFonts w:hint="eastAsia"/>
          <w:color w:val="auto"/>
          <w:highlight w:val="none"/>
        </w:rPr>
      </w:pPr>
    </w:p>
    <w:p w14:paraId="4DB148AE">
      <w:pPr>
        <w:rPr>
          <w:rFonts w:hint="eastAsia"/>
          <w:color w:val="auto"/>
          <w:highlight w:val="none"/>
        </w:rPr>
      </w:pPr>
    </w:p>
    <w:p w14:paraId="04735337">
      <w:pPr>
        <w:rPr>
          <w:rFonts w:hint="eastAsia"/>
          <w:color w:val="auto"/>
          <w:highlight w:val="none"/>
        </w:rPr>
      </w:pPr>
    </w:p>
    <w:p w14:paraId="605B8D24">
      <w:pPr>
        <w:rPr>
          <w:rFonts w:hint="eastAsia"/>
          <w:color w:val="auto"/>
          <w:highlight w:val="none"/>
        </w:rPr>
      </w:pPr>
    </w:p>
    <w:p w14:paraId="5EF6D94B">
      <w:pPr>
        <w:rPr>
          <w:rFonts w:hint="eastAsia"/>
          <w:color w:val="auto"/>
          <w:highlight w:val="none"/>
        </w:rPr>
      </w:pPr>
    </w:p>
    <w:p w14:paraId="1D90A719">
      <w:pPr>
        <w:rPr>
          <w:rFonts w:hint="eastAsia"/>
          <w:color w:val="auto"/>
          <w:highlight w:val="none"/>
        </w:rPr>
      </w:pPr>
    </w:p>
    <w:p w14:paraId="5940B53E">
      <w:pPr>
        <w:spacing w:line="480" w:lineRule="auto"/>
        <w:jc w:val="center"/>
        <w:outlineLvl w:val="0"/>
        <w:rPr>
          <w:rFonts w:hint="eastAsia" w:eastAsia="宋体"/>
          <w:b/>
          <w:bCs/>
          <w:color w:val="auto"/>
          <w:sz w:val="28"/>
          <w:szCs w:val="28"/>
          <w:highlight w:val="none"/>
          <w:lang w:eastAsia="zh-CN"/>
        </w:rPr>
      </w:pPr>
      <w:r>
        <w:rPr>
          <w:rFonts w:hint="eastAsia"/>
          <w:b/>
          <w:bCs/>
          <w:color w:val="auto"/>
          <w:sz w:val="28"/>
          <w:szCs w:val="28"/>
          <w:highlight w:val="none"/>
        </w:rPr>
        <w:t>采 购 人：</w:t>
      </w:r>
      <w:r>
        <w:rPr>
          <w:rFonts w:hint="eastAsia"/>
          <w:b/>
          <w:bCs/>
          <w:color w:val="auto"/>
          <w:sz w:val="28"/>
          <w:szCs w:val="28"/>
          <w:highlight w:val="none"/>
          <w:lang w:eastAsia="zh-CN"/>
        </w:rPr>
        <w:t>盐城市大丰区南阳镇人民政府</w:t>
      </w:r>
    </w:p>
    <w:p w14:paraId="76D4249A">
      <w:pPr>
        <w:spacing w:line="480" w:lineRule="auto"/>
        <w:jc w:val="center"/>
        <w:outlineLvl w:val="0"/>
        <w:rPr>
          <w:rFonts w:hint="eastAsia" w:eastAsia="宋体"/>
          <w:b/>
          <w:bCs/>
          <w:color w:val="auto"/>
          <w:sz w:val="28"/>
          <w:szCs w:val="28"/>
          <w:highlight w:val="none"/>
          <w:lang w:eastAsia="zh-CN"/>
        </w:rPr>
      </w:pPr>
      <w:r>
        <w:rPr>
          <w:rFonts w:hint="eastAsia"/>
          <w:b/>
          <w:bCs/>
          <w:color w:val="auto"/>
          <w:sz w:val="28"/>
          <w:szCs w:val="28"/>
          <w:highlight w:val="none"/>
        </w:rPr>
        <w:t>代理机构：</w:t>
      </w:r>
      <w:r>
        <w:rPr>
          <w:rFonts w:hint="eastAsia"/>
          <w:b/>
          <w:bCs/>
          <w:color w:val="auto"/>
          <w:sz w:val="28"/>
          <w:szCs w:val="28"/>
          <w:highlight w:val="none"/>
          <w:lang w:eastAsia="zh-CN"/>
        </w:rPr>
        <w:t>江苏成顺项目管理有限公司</w:t>
      </w:r>
    </w:p>
    <w:p w14:paraId="4FB59E52">
      <w:pPr>
        <w:spacing w:line="480" w:lineRule="auto"/>
        <w:jc w:val="center"/>
        <w:outlineLvl w:val="0"/>
        <w:rPr>
          <w:rFonts w:hint="eastAsia" w:ascii="宋体" w:hAnsi="宋体" w:cs="宋体"/>
          <w:b/>
          <w:color w:val="auto"/>
          <w:sz w:val="36"/>
          <w:szCs w:val="36"/>
          <w:highlight w:val="none"/>
        </w:rPr>
      </w:pPr>
      <w:r>
        <w:rPr>
          <w:rFonts w:hint="eastAsia"/>
          <w:b/>
          <w:bCs/>
          <w:color w:val="auto"/>
          <w:sz w:val="28"/>
          <w:szCs w:val="28"/>
          <w:highlight w:val="none"/>
        </w:rPr>
        <w:t>二〇二</w:t>
      </w:r>
      <w:r>
        <w:rPr>
          <w:rFonts w:hint="eastAsia"/>
          <w:b/>
          <w:bCs/>
          <w:color w:val="auto"/>
          <w:sz w:val="28"/>
          <w:szCs w:val="28"/>
          <w:highlight w:val="none"/>
          <w:lang w:val="en-US" w:eastAsia="zh-CN"/>
        </w:rPr>
        <w:t>六</w:t>
      </w:r>
      <w:r>
        <w:rPr>
          <w:rFonts w:hint="eastAsia"/>
          <w:b/>
          <w:bCs/>
          <w:color w:val="auto"/>
          <w:sz w:val="28"/>
          <w:szCs w:val="28"/>
          <w:highlight w:val="none"/>
        </w:rPr>
        <w:t>年</w:t>
      </w:r>
      <w:r>
        <w:rPr>
          <w:rFonts w:hint="eastAsia"/>
          <w:b/>
          <w:bCs/>
          <w:color w:val="auto"/>
          <w:sz w:val="28"/>
          <w:szCs w:val="28"/>
          <w:highlight w:val="none"/>
          <w:lang w:val="en-US" w:eastAsia="zh-CN"/>
        </w:rPr>
        <w:t>四</w:t>
      </w:r>
      <w:r>
        <w:rPr>
          <w:rFonts w:hint="eastAsia"/>
          <w:b/>
          <w:bCs/>
          <w:color w:val="auto"/>
          <w:sz w:val="28"/>
          <w:szCs w:val="28"/>
          <w:highlight w:val="none"/>
        </w:rPr>
        <w:t>月</w:t>
      </w:r>
      <w:r>
        <w:rPr>
          <w:color w:val="auto"/>
          <w:highlight w:val="none"/>
        </w:rPr>
        <w:br w:type="page" w:clear="all"/>
      </w:r>
      <w:bookmarkStart w:id="0" w:name="_Toc120614210"/>
      <w:bookmarkStart w:id="1" w:name="_Toc513029200"/>
      <w:bookmarkStart w:id="2" w:name="_Toc479757206"/>
      <w:bookmarkStart w:id="3" w:name="_Toc20823272"/>
      <w:bookmarkStart w:id="4" w:name="_Toc523127445"/>
      <w:bookmarkStart w:id="5" w:name="_Toc16938516"/>
      <w:r>
        <w:rPr>
          <w:rFonts w:hint="eastAsia" w:ascii="宋体" w:hAnsi="宋体" w:cs="宋体"/>
          <w:b/>
          <w:color w:val="auto"/>
          <w:sz w:val="36"/>
          <w:szCs w:val="36"/>
          <w:highlight w:val="none"/>
        </w:rPr>
        <w:t>总  目  录</w:t>
      </w:r>
    </w:p>
    <w:p w14:paraId="2DE95357">
      <w:pPr>
        <w:pStyle w:val="34"/>
        <w:ind w:firstLine="0"/>
        <w:rPr>
          <w:rFonts w:hint="eastAsia"/>
          <w:color w:val="auto"/>
          <w:highlight w:val="none"/>
        </w:rPr>
      </w:pPr>
    </w:p>
    <w:p w14:paraId="602E0BD2">
      <w:pPr>
        <w:pStyle w:val="24"/>
        <w:tabs>
          <w:tab w:val="right" w:leader="dot" w:pos="9746"/>
          <w:tab w:val="clear" w:pos="8720"/>
        </w:tabs>
        <w:spacing w:line="360" w:lineRule="auto"/>
        <w:rPr>
          <w:rFonts w:hint="eastAsia" w:eastAsia="宋体"/>
          <w:color w:val="auto"/>
          <w:sz w:val="24"/>
          <w:szCs w:val="24"/>
          <w:highlight w:val="none"/>
          <w:lang w:val="en-US" w:eastAsia="zh-CN"/>
        </w:rPr>
      </w:pPr>
      <w:r>
        <w:rPr>
          <w:color w:val="auto"/>
          <w:sz w:val="24"/>
          <w:szCs w:val="24"/>
          <w:highlight w:val="none"/>
        </w:rPr>
        <w:fldChar w:fldCharType="begin"/>
      </w:r>
      <w:r>
        <w:rPr>
          <w:color w:val="auto"/>
          <w:sz w:val="24"/>
          <w:szCs w:val="24"/>
          <w:highlight w:val="none"/>
        </w:rPr>
        <w:instrText xml:space="preserve">TOC \o "1-2" \h \u </w:instrText>
      </w:r>
      <w:r>
        <w:rPr>
          <w:color w:val="auto"/>
          <w:sz w:val="24"/>
          <w:szCs w:val="24"/>
          <w:highlight w:val="none"/>
        </w:rPr>
        <w:fldChar w:fldCharType="separate"/>
      </w:r>
      <w:r>
        <w:rPr>
          <w:color w:val="auto"/>
          <w:highlight w:val="none"/>
        </w:rPr>
        <w:fldChar w:fldCharType="begin"/>
      </w:r>
      <w:r>
        <w:rPr>
          <w:color w:val="auto"/>
          <w:highlight w:val="none"/>
        </w:rPr>
        <w:instrText xml:space="preserve"> HYPERLINK \l "_Toc18509" </w:instrText>
      </w:r>
      <w:r>
        <w:rPr>
          <w:color w:val="auto"/>
          <w:highlight w:val="none"/>
        </w:rPr>
        <w:fldChar w:fldCharType="separate"/>
      </w:r>
      <w:r>
        <w:rPr>
          <w:rFonts w:hint="eastAsia" w:hAnsi="宋体"/>
          <w:color w:val="auto"/>
          <w:sz w:val="24"/>
          <w:szCs w:val="24"/>
          <w:highlight w:val="none"/>
        </w:rPr>
        <w:t>第一章 招标公告</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2</w:t>
      </w:r>
    </w:p>
    <w:p w14:paraId="026B263F">
      <w:pPr>
        <w:pStyle w:val="24"/>
        <w:tabs>
          <w:tab w:val="right" w:leader="dot" w:pos="9746"/>
          <w:tab w:val="clear" w:pos="8720"/>
        </w:tabs>
        <w:spacing w:line="360" w:lineRule="auto"/>
        <w:rPr>
          <w:rFonts w:hint="eastAsia"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"_Toc10015" </w:instrText>
      </w:r>
      <w:r>
        <w:rPr>
          <w:color w:val="auto"/>
          <w:highlight w:val="none"/>
        </w:rPr>
        <w:fldChar w:fldCharType="separate"/>
      </w:r>
      <w:r>
        <w:rPr>
          <w:rFonts w:hint="eastAsia" w:ascii="宋体" w:hAnsi="宋体" w:cs="宋体"/>
          <w:color w:val="auto"/>
          <w:sz w:val="24"/>
          <w:szCs w:val="24"/>
          <w:highlight w:val="none"/>
        </w:rPr>
        <w:t>第二章 投标须知</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6</w:t>
      </w:r>
    </w:p>
    <w:p w14:paraId="55B85F85">
      <w:pPr>
        <w:pStyle w:val="24"/>
        <w:tabs>
          <w:tab w:val="right" w:leader="dot" w:pos="9746"/>
          <w:tab w:val="clear" w:pos="8720"/>
        </w:tabs>
        <w:spacing w:line="360" w:lineRule="auto"/>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"_Toc2866" </w:instrText>
      </w:r>
      <w:r>
        <w:rPr>
          <w:color w:val="auto"/>
          <w:highlight w:val="none"/>
        </w:rPr>
        <w:fldChar w:fldCharType="separate"/>
      </w:r>
      <w:r>
        <w:rPr>
          <w:rFonts w:hint="eastAsia" w:ascii="宋体" w:hAnsi="宋体" w:cs="宋体"/>
          <w:color w:val="auto"/>
          <w:sz w:val="24"/>
          <w:szCs w:val="24"/>
          <w:highlight w:val="none"/>
        </w:rPr>
        <w:t>第三章 采购需求</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18</w:t>
      </w:r>
    </w:p>
    <w:p w14:paraId="729395F1">
      <w:pPr>
        <w:pStyle w:val="24"/>
        <w:tabs>
          <w:tab w:val="right" w:leader="dot" w:pos="9746"/>
          <w:tab w:val="clear" w:pos="8720"/>
        </w:tabs>
        <w:spacing w:line="360" w:lineRule="auto"/>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"_Toc25848" </w:instrText>
      </w:r>
      <w:r>
        <w:rPr>
          <w:color w:val="auto"/>
          <w:highlight w:val="none"/>
        </w:rPr>
        <w:fldChar w:fldCharType="separate"/>
      </w:r>
      <w:r>
        <w:rPr>
          <w:rFonts w:hint="eastAsia" w:ascii="宋体" w:hAnsi="宋体" w:cs="宋体"/>
          <w:color w:val="auto"/>
          <w:sz w:val="24"/>
          <w:szCs w:val="24"/>
          <w:highlight w:val="none"/>
        </w:rPr>
        <w:t>第四章 评标办法及评分标准</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21</w:t>
      </w:r>
    </w:p>
    <w:p w14:paraId="61B9AE50">
      <w:pPr>
        <w:pStyle w:val="24"/>
        <w:tabs>
          <w:tab w:val="right" w:leader="dot" w:pos="9746"/>
          <w:tab w:val="clear" w:pos="8720"/>
        </w:tabs>
        <w:spacing w:line="360" w:lineRule="auto"/>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"_Toc15858" </w:instrText>
      </w:r>
      <w:r>
        <w:rPr>
          <w:color w:val="auto"/>
          <w:highlight w:val="none"/>
        </w:rPr>
        <w:fldChar w:fldCharType="separate"/>
      </w:r>
      <w:r>
        <w:rPr>
          <w:rFonts w:hint="eastAsia" w:ascii="宋体" w:hAnsi="宋体"/>
          <w:color w:val="auto"/>
          <w:sz w:val="24"/>
          <w:szCs w:val="24"/>
          <w:highlight w:val="none"/>
        </w:rPr>
        <w:t>第五章 合同主要条款</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26</w:t>
      </w:r>
    </w:p>
    <w:p w14:paraId="1EDF9E9B">
      <w:pPr>
        <w:pStyle w:val="24"/>
        <w:tabs>
          <w:tab w:val="right" w:leader="dot" w:pos="9746"/>
          <w:tab w:val="clear" w:pos="8720"/>
        </w:tabs>
        <w:spacing w:line="360" w:lineRule="auto"/>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"_Toc25681" </w:instrText>
      </w:r>
      <w:r>
        <w:rPr>
          <w:color w:val="auto"/>
          <w:highlight w:val="none"/>
        </w:rPr>
        <w:fldChar w:fldCharType="separate"/>
      </w:r>
      <w:r>
        <w:rPr>
          <w:rFonts w:hint="eastAsia"/>
          <w:color w:val="auto"/>
          <w:sz w:val="24"/>
          <w:szCs w:val="24"/>
          <w:highlight w:val="none"/>
        </w:rPr>
        <w:t>第六章 投标文件及格式</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32</w:t>
      </w:r>
    </w:p>
    <w:p w14:paraId="255F1046">
      <w:pPr>
        <w:pStyle w:val="2"/>
        <w:jc w:val="both"/>
        <w:rPr>
          <w:rFonts w:hint="eastAsia" w:ascii="黑体" w:eastAsia="黑体"/>
          <w:color w:val="auto"/>
          <w:sz w:val="44"/>
          <w:szCs w:val="44"/>
          <w:highlight w:val="none"/>
        </w:rPr>
        <w:sectPr>
          <w:headerReference r:id="rId3" w:type="default"/>
          <w:footerReference r:id="rId4" w:type="default"/>
          <w:footerReference r:id="rId5" w:type="even"/>
          <w:pgSz w:w="11906" w:h="16838"/>
          <w:pgMar w:top="1440" w:right="1587" w:bottom="1440" w:left="1587" w:header="851" w:footer="907" w:gutter="0"/>
          <w:pgNumType w:start="0"/>
          <w:cols w:space="720" w:num="1"/>
          <w:titlePg/>
          <w:docGrid w:linePitch="360" w:charSpace="0"/>
        </w:sectPr>
      </w:pPr>
      <w:r>
        <w:rPr>
          <w:color w:val="auto"/>
          <w:sz w:val="24"/>
          <w:szCs w:val="24"/>
          <w:highlight w:val="none"/>
        </w:rPr>
        <w:fldChar w:fldCharType="end"/>
      </w:r>
    </w:p>
    <w:p w14:paraId="1E21D09A">
      <w:pPr>
        <w:pStyle w:val="2"/>
        <w:rPr>
          <w:rFonts w:hint="eastAsia"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招标公告</w:t>
      </w:r>
    </w:p>
    <w:p w14:paraId="3980FD20">
      <w:pPr>
        <w:keepNext w:val="0"/>
        <w:keepLines w:val="0"/>
        <w:pageBreakBefore w:val="0"/>
        <w:widowControl w:val="0"/>
        <w:pBdr>
          <w:top w:val="single" w:color="auto" w:sz="4" w:space="1"/>
          <w:left w:val="single" w:color="auto" w:sz="4" w:space="4"/>
          <w:bottom w:val="single" w:color="auto" w:sz="4" w:space="1"/>
          <w:right w:val="single" w:color="auto" w:sz="4" w:space="4"/>
        </w:pBdr>
        <w:spacing w:line="460" w:lineRule="exact"/>
        <w:ind w:firstLine="482"/>
        <w:rPr>
          <w:rFonts w:hint="eastAsia" w:ascii="宋体" w:hAnsi="宋体" w:cs="宋体"/>
          <w:color w:val="auto"/>
          <w:sz w:val="21"/>
          <w:szCs w:val="21"/>
          <w:highlight w:val="none"/>
        </w:rPr>
      </w:pPr>
      <w:r>
        <w:rPr>
          <w:rFonts w:hint="eastAsia" w:ascii="宋体" w:hAnsi="宋体" w:cs="宋体"/>
          <w:color w:val="auto"/>
          <w:sz w:val="21"/>
          <w:szCs w:val="21"/>
          <w:highlight w:val="none"/>
        </w:rPr>
        <w:t>项目概况</w:t>
      </w:r>
    </w:p>
    <w:p w14:paraId="0D2913D7">
      <w:pPr>
        <w:keepNext w:val="0"/>
        <w:keepLines w:val="0"/>
        <w:pageBreakBefore w:val="0"/>
        <w:widowControl w:val="0"/>
        <w:pBdr>
          <w:top w:val="single" w:color="auto" w:sz="4" w:space="1"/>
          <w:left w:val="single" w:color="auto" w:sz="4" w:space="4"/>
          <w:bottom w:val="single" w:color="auto" w:sz="4" w:space="1"/>
          <w:right w:val="single" w:color="auto" w:sz="4" w:space="4"/>
        </w:pBdr>
        <w:spacing w:line="460" w:lineRule="exact"/>
        <w:ind w:firstLine="482"/>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盐城市大丰区2026年王港河水面漂浮物打捞服务项目</w:t>
      </w:r>
      <w:r>
        <w:rPr>
          <w:rFonts w:hint="eastAsia" w:ascii="宋体" w:hAnsi="宋体" w:cs="宋体"/>
          <w:color w:val="auto"/>
          <w:sz w:val="21"/>
          <w:szCs w:val="21"/>
          <w:highlight w:val="none"/>
        </w:rPr>
        <w:t>的招标项目的潜在投标人应在“苏采云”系统内免费下载（投标人必须在苏采云系统中获取采购文件，方能参与政府采购项目）；获取招标文件，并于</w:t>
      </w:r>
      <w:r>
        <w:rPr>
          <w:rFonts w:hint="eastAsia" w:ascii="宋体" w:hAnsi="宋体" w:cs="宋体"/>
          <w:b/>
          <w:bCs/>
          <w:color w:val="auto"/>
          <w:sz w:val="21"/>
          <w:szCs w:val="21"/>
          <w:highlight w:val="none"/>
          <w:u w:val="single"/>
          <w:lang w:eastAsia="zh-CN"/>
        </w:rPr>
        <w:t>2026年</w:t>
      </w:r>
      <w:r>
        <w:rPr>
          <w:rFonts w:hint="eastAsia" w:ascii="宋体" w:hAnsi="宋体" w:cs="宋体"/>
          <w:b/>
          <w:bCs/>
          <w:color w:val="auto"/>
          <w:sz w:val="21"/>
          <w:szCs w:val="21"/>
          <w:highlight w:val="none"/>
          <w:u w:val="single"/>
          <w:lang w:val="en-US" w:eastAsia="zh-CN"/>
        </w:rPr>
        <w:t>5</w:t>
      </w:r>
      <w:r>
        <w:rPr>
          <w:rFonts w:hint="eastAsia" w:ascii="宋体" w:hAnsi="宋体" w:cs="宋体"/>
          <w:b/>
          <w:bCs/>
          <w:color w:val="auto"/>
          <w:sz w:val="21"/>
          <w:szCs w:val="21"/>
          <w:highlight w:val="none"/>
          <w:u w:val="single"/>
          <w:lang w:eastAsia="zh-CN"/>
        </w:rPr>
        <w:t>月</w:t>
      </w:r>
      <w:r>
        <w:rPr>
          <w:rFonts w:hint="eastAsia" w:ascii="宋体" w:hAnsi="宋体" w:cs="宋体"/>
          <w:b/>
          <w:bCs/>
          <w:color w:val="auto"/>
          <w:sz w:val="21"/>
          <w:szCs w:val="21"/>
          <w:highlight w:val="none"/>
          <w:u w:val="single"/>
          <w:lang w:val="en-US" w:eastAsia="zh-CN"/>
        </w:rPr>
        <w:t>12</w:t>
      </w:r>
      <w:r>
        <w:rPr>
          <w:rFonts w:hint="eastAsia" w:ascii="宋体" w:hAnsi="宋体" w:cs="宋体"/>
          <w:b/>
          <w:bCs/>
          <w:color w:val="auto"/>
          <w:sz w:val="21"/>
          <w:szCs w:val="21"/>
          <w:highlight w:val="none"/>
          <w:u w:val="single"/>
          <w:lang w:eastAsia="zh-CN"/>
        </w:rPr>
        <w:t>日</w:t>
      </w:r>
      <w:r>
        <w:rPr>
          <w:rFonts w:hint="eastAsia" w:ascii="宋体" w:hAnsi="宋体" w:cs="宋体"/>
          <w:b/>
          <w:bCs/>
          <w:color w:val="auto"/>
          <w:sz w:val="21"/>
          <w:szCs w:val="21"/>
          <w:highlight w:val="none"/>
          <w:u w:val="single"/>
          <w:lang w:val="en-US" w:eastAsia="zh-CN"/>
        </w:rPr>
        <w:t>10</w:t>
      </w:r>
      <w:r>
        <w:rPr>
          <w:rFonts w:hint="eastAsia" w:ascii="宋体" w:hAnsi="宋体" w:cs="宋体"/>
          <w:b/>
          <w:bCs/>
          <w:color w:val="auto"/>
          <w:sz w:val="21"/>
          <w:szCs w:val="21"/>
          <w:highlight w:val="none"/>
          <w:u w:val="single"/>
          <w:lang w:eastAsia="zh-CN"/>
        </w:rPr>
        <w:t>点</w:t>
      </w:r>
      <w:r>
        <w:rPr>
          <w:rFonts w:hint="eastAsia" w:ascii="宋体" w:hAnsi="宋体" w:cs="宋体"/>
          <w:b/>
          <w:bCs/>
          <w:color w:val="auto"/>
          <w:sz w:val="21"/>
          <w:szCs w:val="21"/>
          <w:highlight w:val="none"/>
          <w:u w:val="single"/>
          <w:lang w:val="en-US" w:eastAsia="zh-CN"/>
        </w:rPr>
        <w:t>00分</w:t>
      </w:r>
      <w:r>
        <w:rPr>
          <w:rFonts w:hint="eastAsia" w:ascii="宋体" w:hAnsi="宋体" w:cs="宋体"/>
          <w:color w:val="auto"/>
          <w:sz w:val="21"/>
          <w:szCs w:val="21"/>
          <w:highlight w:val="none"/>
        </w:rPr>
        <w:t>（北京时间）前递交投标文件。</w:t>
      </w:r>
    </w:p>
    <w:p w14:paraId="717DD123">
      <w:pPr>
        <w:pageBreakBefore w:val="0"/>
        <w:kinsoku/>
        <w:wordWrap/>
        <w:overflowPunct/>
        <w:topLinePunct w:val="0"/>
        <w:autoSpaceDE/>
        <w:autoSpaceDN/>
        <w:bidi w:val="0"/>
        <w:adjustRightInd/>
        <w:snapToGrid/>
        <w:spacing w:line="420" w:lineRule="exact"/>
        <w:ind w:firstLine="482"/>
        <w:textAlignment w:val="auto"/>
        <w:rPr>
          <w:rFonts w:hint="eastAsia" w:ascii="宋体" w:hAnsi="宋体" w:cs="宋体"/>
          <w:b/>
          <w:bCs/>
          <w:color w:val="auto"/>
          <w:sz w:val="21"/>
          <w:szCs w:val="21"/>
          <w:highlight w:val="none"/>
        </w:rPr>
      </w:pPr>
      <w:bookmarkStart w:id="6" w:name="_Toc28359079"/>
      <w:bookmarkStart w:id="7" w:name="_Toc35393790"/>
      <w:bookmarkStart w:id="8" w:name="_Toc35393621"/>
      <w:bookmarkStart w:id="9" w:name="_Toc28359002"/>
      <w:bookmarkStart w:id="10" w:name="_Hlk24379207"/>
      <w:r>
        <w:rPr>
          <w:rFonts w:hint="eastAsia" w:ascii="宋体" w:hAnsi="宋体" w:cs="宋体"/>
          <w:b/>
          <w:bCs/>
          <w:color w:val="auto"/>
          <w:sz w:val="21"/>
          <w:szCs w:val="21"/>
          <w:highlight w:val="none"/>
        </w:rPr>
        <w:t>一、项目基本情况</w:t>
      </w:r>
      <w:bookmarkEnd w:id="6"/>
      <w:bookmarkEnd w:id="7"/>
      <w:bookmarkEnd w:id="8"/>
      <w:bookmarkEnd w:id="9"/>
    </w:p>
    <w:p w14:paraId="13E5CD6C">
      <w:pPr>
        <w:keepLines w:val="0"/>
        <w:pageBreakBefore w:val="0"/>
        <w:kinsoku/>
        <w:wordWrap/>
        <w:overflowPunct/>
        <w:topLinePunct w:val="0"/>
        <w:autoSpaceDE/>
        <w:autoSpaceDN/>
        <w:bidi w:val="0"/>
        <w:adjustRightInd/>
        <w:snapToGrid/>
        <w:spacing w:line="420" w:lineRule="exact"/>
        <w:ind w:firstLine="480"/>
        <w:textAlignment w:val="auto"/>
        <w:rPr>
          <w:rFonts w:ascii="Segoe UI" w:hAnsi="Segoe UI" w:eastAsia="Segoe UI" w:cs="Segoe UI"/>
          <w:i w:val="0"/>
          <w:iCs w:val="0"/>
          <w:caps w:val="0"/>
          <w:color w:val="auto"/>
          <w:spacing w:val="0"/>
          <w:sz w:val="21"/>
          <w:szCs w:val="21"/>
          <w:highlight w:val="none"/>
          <w:shd w:val="clear" w:color="auto" w:fill="FFFFFF"/>
        </w:rPr>
      </w:pPr>
      <w:r>
        <w:rPr>
          <w:rFonts w:hint="eastAsia" w:ascii="宋体" w:hAnsi="宋体" w:cs="宋体"/>
          <w:color w:val="auto"/>
          <w:sz w:val="21"/>
          <w:szCs w:val="21"/>
          <w:highlight w:val="none"/>
        </w:rPr>
        <w:t>项目编号：JSZC-320904-CSXM-G2026-0001</w:t>
      </w:r>
    </w:p>
    <w:p w14:paraId="2B1F1A7A">
      <w:pPr>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bookmarkEnd w:id="10"/>
      <w:r>
        <w:rPr>
          <w:rFonts w:hint="eastAsia" w:ascii="宋体" w:hAnsi="宋体" w:cs="宋体"/>
          <w:color w:val="auto"/>
          <w:sz w:val="21"/>
          <w:szCs w:val="21"/>
          <w:highlight w:val="none"/>
          <w:lang w:eastAsia="zh-CN"/>
        </w:rPr>
        <w:t>盐城市大丰区2026年王港河水面漂浮物打捞服务项目</w:t>
      </w:r>
    </w:p>
    <w:p w14:paraId="683A99F6">
      <w:pPr>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预算金额：</w:t>
      </w:r>
      <w:r>
        <w:rPr>
          <w:rFonts w:hint="eastAsia" w:ascii="宋体" w:hAnsi="宋体" w:cs="宋体"/>
          <w:color w:val="auto"/>
          <w:sz w:val="21"/>
          <w:szCs w:val="21"/>
          <w:highlight w:val="none"/>
          <w:lang w:val="en-US" w:eastAsia="zh-CN"/>
        </w:rPr>
        <w:t>100万元</w:t>
      </w:r>
    </w:p>
    <w:p w14:paraId="13FAFAB5">
      <w:pPr>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最高限价：</w:t>
      </w:r>
      <w:r>
        <w:rPr>
          <w:rFonts w:hint="eastAsia" w:ascii="宋体" w:hAnsi="宋体" w:cs="宋体"/>
          <w:b/>
          <w:bCs/>
          <w:color w:val="auto"/>
          <w:sz w:val="21"/>
          <w:szCs w:val="21"/>
          <w:highlight w:val="none"/>
          <w:lang w:val="en-US" w:eastAsia="zh-CN"/>
        </w:rPr>
        <w:t>99万元</w:t>
      </w:r>
    </w:p>
    <w:p w14:paraId="5C1CAA2B">
      <w:pPr>
        <w:keepLines w:val="0"/>
        <w:pageBreakBefore w:val="0"/>
        <w:spacing w:line="460" w:lineRule="exact"/>
        <w:ind w:firstLine="480"/>
        <w:rPr>
          <w:rFonts w:hint="eastAsia" w:ascii="宋体" w:hAnsi="宋体" w:cs="宋体"/>
          <w:color w:val="auto"/>
          <w:sz w:val="21"/>
          <w:szCs w:val="21"/>
          <w:highlight w:val="none"/>
          <w:lang w:eastAsia="zh-CN"/>
        </w:rPr>
      </w:pPr>
      <w:bookmarkStart w:id="11" w:name="_Toc35393793"/>
      <w:bookmarkStart w:id="12" w:name="_Toc35393624"/>
      <w:bookmarkStart w:id="13" w:name="_Toc28359082"/>
      <w:bookmarkStart w:id="14" w:name="_Toc28359005"/>
      <w:r>
        <w:rPr>
          <w:rFonts w:hint="eastAsia" w:ascii="宋体" w:hAnsi="宋体" w:eastAsia="宋体" w:cs="宋体"/>
          <w:color w:val="auto"/>
          <w:sz w:val="21"/>
          <w:szCs w:val="21"/>
          <w:highlight w:val="none"/>
        </w:rPr>
        <w:t>采购需求：</w:t>
      </w:r>
      <w:bookmarkStart w:id="15" w:name="_Toc35393791"/>
      <w:bookmarkStart w:id="16" w:name="_Toc28359080"/>
      <w:bookmarkStart w:id="17" w:name="_Toc35393622"/>
      <w:bookmarkStart w:id="18" w:name="_Toc28359003"/>
      <w:r>
        <w:rPr>
          <w:rFonts w:hint="eastAsia" w:ascii="宋体" w:hAnsi="宋体" w:cs="宋体"/>
          <w:color w:val="auto"/>
          <w:sz w:val="21"/>
          <w:szCs w:val="21"/>
          <w:highlight w:val="none"/>
          <w:lang w:eastAsia="zh-CN"/>
        </w:rPr>
        <w:t>保洁范围为</w:t>
      </w:r>
      <w:r>
        <w:rPr>
          <w:rFonts w:hint="eastAsia" w:ascii="宋体" w:hAnsi="宋体" w:cs="宋体"/>
          <w:color w:val="auto"/>
          <w:highlight w:val="none"/>
          <w:lang w:eastAsia="zh-CN"/>
        </w:rPr>
        <w:t>王港河</w:t>
      </w:r>
      <w:r>
        <w:rPr>
          <w:rFonts w:hint="eastAsia" w:ascii="宋体" w:hAnsi="宋体" w:cs="宋体"/>
          <w:color w:val="auto"/>
          <w:highlight w:val="none"/>
          <w:lang w:val="en-US" w:eastAsia="zh-CN"/>
        </w:rPr>
        <w:t>大丰区境内河段及其支河拦挡（或闸、站）外漂浮物打捞</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涉及乡镇包括（草堰段通榆河--新垛界河约3.8公里、白驹段新垛界河--上港河8.2公里、丰华段G228大桥西1公里-老王港闸约2.7公里、小海段上港河--小洋河约10.7公里、万盈段小洋河--六里大桥约3.1公里、南阳段六里大桥--棉花原种场交界约12.5公里、港区段老王港闸--王港新闸约12.5公里）</w:t>
      </w:r>
      <w:r>
        <w:rPr>
          <w:rFonts w:hint="eastAsia" w:ascii="宋体" w:hAnsi="宋体" w:cs="宋体"/>
          <w:color w:val="auto"/>
          <w:sz w:val="21"/>
          <w:szCs w:val="21"/>
          <w:highlight w:val="none"/>
          <w:lang w:eastAsia="zh-CN"/>
        </w:rPr>
        <w:t>采取近岸拦截打捞和流动打捞相结合的方式，确保打捞断面无集聚性水面漂浮物，无漂浮物出境。具体招标范围、服务要求详见本项目采购需求。</w:t>
      </w:r>
    </w:p>
    <w:p w14:paraId="6754AFD9">
      <w:pPr>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服务期限要求: 合同签订后12个月。</w:t>
      </w:r>
    </w:p>
    <w:p w14:paraId="1D44D037">
      <w:pPr>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资金来源：财政</w:t>
      </w:r>
      <w:r>
        <w:rPr>
          <w:rFonts w:hint="eastAsia" w:ascii="宋体" w:hAnsi="宋体" w:eastAsia="宋体" w:cs="宋体"/>
          <w:color w:val="auto"/>
          <w:sz w:val="21"/>
          <w:szCs w:val="21"/>
          <w:highlight w:val="none"/>
          <w:lang w:val="en-US" w:eastAsia="zh-CN"/>
        </w:rPr>
        <w:t>资金</w:t>
      </w:r>
      <w:r>
        <w:rPr>
          <w:rFonts w:hint="eastAsia" w:ascii="宋体" w:hAnsi="宋体" w:eastAsia="宋体" w:cs="宋体"/>
          <w:color w:val="auto"/>
          <w:sz w:val="21"/>
          <w:szCs w:val="21"/>
          <w:highlight w:val="none"/>
          <w:lang w:eastAsia="zh-CN"/>
        </w:rPr>
        <w:t>。</w:t>
      </w:r>
    </w:p>
    <w:p w14:paraId="1A66758A">
      <w:pPr>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本项目</w:t>
      </w:r>
      <w:r>
        <w:rPr>
          <w:rFonts w:hint="eastAsia" w:ascii="宋体" w:hAnsi="宋体" w:eastAsia="宋体" w:cs="宋体"/>
          <w:color w:val="auto"/>
          <w:sz w:val="21"/>
          <w:szCs w:val="21"/>
          <w:highlight w:val="none"/>
          <w:u w:val="single"/>
          <w:lang w:eastAsia="zh-CN"/>
        </w:rPr>
        <w:t>不接受</w:t>
      </w:r>
      <w:r>
        <w:rPr>
          <w:rFonts w:hint="eastAsia" w:ascii="宋体" w:hAnsi="宋体" w:eastAsia="宋体" w:cs="宋体"/>
          <w:color w:val="auto"/>
          <w:sz w:val="21"/>
          <w:szCs w:val="21"/>
          <w:highlight w:val="none"/>
          <w:lang w:eastAsia="zh-CN"/>
        </w:rPr>
        <w:t>联合体投标。</w:t>
      </w:r>
    </w:p>
    <w:p w14:paraId="0B55C855">
      <w:pPr>
        <w:keepLines w:val="0"/>
        <w:pageBreakBefore w:val="0"/>
        <w:kinsoku/>
        <w:wordWrap/>
        <w:overflowPunct/>
        <w:topLinePunct w:val="0"/>
        <w:autoSpaceDE/>
        <w:autoSpaceDN/>
        <w:bidi w:val="0"/>
        <w:adjustRightInd/>
        <w:snapToGrid/>
        <w:spacing w:line="420" w:lineRule="exact"/>
        <w:ind w:firstLine="482"/>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二、申请人的资格要求：</w:t>
      </w:r>
      <w:bookmarkEnd w:id="15"/>
      <w:bookmarkEnd w:id="16"/>
      <w:bookmarkEnd w:id="17"/>
      <w:bookmarkEnd w:id="18"/>
    </w:p>
    <w:p w14:paraId="532A449A">
      <w:pPr>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lang w:eastAsia="zh-CN"/>
        </w:rPr>
      </w:pPr>
      <w:bookmarkStart w:id="19" w:name="_Toc28359081"/>
      <w:bookmarkStart w:id="20" w:name="_Toc28359004"/>
      <w:bookmarkStart w:id="21" w:name="_Toc35393792"/>
      <w:bookmarkStart w:id="22" w:name="_Toc35393623"/>
      <w:r>
        <w:rPr>
          <w:rFonts w:hint="eastAsia" w:ascii="宋体" w:hAnsi="宋体" w:eastAsia="宋体" w:cs="宋体"/>
          <w:color w:val="auto"/>
          <w:sz w:val="21"/>
          <w:szCs w:val="21"/>
          <w:highlight w:val="none"/>
          <w:lang w:eastAsia="zh-CN"/>
        </w:rPr>
        <w:t>1.满足《中华人民共和国政府采购法》第二十二条规定，并提供下列材料：</w:t>
      </w:r>
    </w:p>
    <w:p w14:paraId="141D0B77">
      <w:pPr>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 法人或者其他组织的营业执照等证明文件，自然人的身份证明；</w:t>
      </w:r>
    </w:p>
    <w:p w14:paraId="545E1F20">
      <w:pPr>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上一年度的财务状况报表（成立不满一年无需提供）；</w:t>
      </w:r>
    </w:p>
    <w:p w14:paraId="7D19748B">
      <w:pPr>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lang w:eastAsia="zh-CN"/>
        </w:rPr>
        <w:t>具备履行合同所必需的设备和专业技术能力的书面声明；</w:t>
      </w:r>
    </w:p>
    <w:p w14:paraId="6D9D192C">
      <w:pPr>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依法缴纳税收和社会保障资金的相关材料；</w:t>
      </w:r>
    </w:p>
    <w:p w14:paraId="46591EED">
      <w:pPr>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.5参加政府采购活动前3年内在经营活动中没有重大违法记录的书面声明。</w:t>
      </w:r>
    </w:p>
    <w:p w14:paraId="3642979F">
      <w:pPr>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1.6法律、行政法规规定的其他条件。</w:t>
      </w:r>
    </w:p>
    <w:p w14:paraId="02BE59DE">
      <w:pPr>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lang w:eastAsia="zh-CN"/>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0C7F823C">
      <w:pPr>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lang w:eastAsia="zh-CN"/>
        </w:rPr>
        <w:t>单位负责人为同一人或者存在直接控股、管理关系的不同供应商，不得参加同一合同项下的政府采购活动。</w:t>
      </w:r>
    </w:p>
    <w:p w14:paraId="17A0F436">
      <w:pPr>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落实政府采购政策需满足的资格要求：对小型和微型企业产品的价格给予20%的扣除，用扣除后的价格参与评审，中小微企业划分标准以工信部、国家统计局、国家发改委、财政部《关于印发中小企业划型标准规定的通知》（工信部联企业{2011}300号）为准。</w:t>
      </w:r>
    </w:p>
    <w:p w14:paraId="24F8D76B">
      <w:pPr>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3.本项目的特定资格要求：</w:t>
      </w:r>
      <w:bookmarkEnd w:id="19"/>
      <w:bookmarkEnd w:id="20"/>
    </w:p>
    <w:p w14:paraId="50EE4FAF">
      <w:pPr>
        <w:keepLines w:val="0"/>
        <w:pageBreakBefore w:val="0"/>
        <w:spacing w:line="460" w:lineRule="exact"/>
        <w:ind w:firstLine="480"/>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z w:val="21"/>
          <w:szCs w:val="21"/>
          <w:highlight w:val="none"/>
          <w:lang w:eastAsia="zh-CN"/>
        </w:rPr>
        <w:t>（1）</w:t>
      </w:r>
      <w:r>
        <w:rPr>
          <w:rFonts w:hint="eastAsia" w:ascii="宋体" w:hAnsi="宋体" w:eastAsia="宋体" w:cs="宋体"/>
          <w:b w:val="0"/>
          <w:bCs w:val="0"/>
          <w:color w:val="auto"/>
          <w:sz w:val="21"/>
          <w:szCs w:val="21"/>
          <w:highlight w:val="none"/>
          <w:lang w:eastAsia="zh-CN"/>
        </w:rPr>
        <w:t>投标时，投标申请人</w:t>
      </w:r>
      <w:r>
        <w:rPr>
          <w:rFonts w:hint="eastAsia" w:ascii="宋体" w:hAnsi="宋体" w:cs="宋体"/>
          <w:b w:val="0"/>
          <w:bCs w:val="0"/>
          <w:color w:val="auto"/>
          <w:sz w:val="21"/>
          <w:szCs w:val="21"/>
          <w:highlight w:val="none"/>
          <w:lang w:eastAsia="zh-CN"/>
        </w:rPr>
        <w:t>安全管理员须提供相关安全管理证书；</w:t>
      </w:r>
    </w:p>
    <w:p w14:paraId="3B4067C2">
      <w:pPr>
        <w:keepLines w:val="0"/>
        <w:pageBreakBefore w:val="0"/>
        <w:spacing w:line="460" w:lineRule="exact"/>
        <w:ind w:firstLine="480"/>
        <w:rPr>
          <w:rFonts w:hint="eastAsia" w:ascii="宋体" w:hAnsi="宋体" w:eastAsia="宋体" w:cs="宋体"/>
          <w:color w:val="auto"/>
          <w:sz w:val="21"/>
          <w:szCs w:val="21"/>
          <w:highlight w:val="none"/>
          <w:lang w:eastAsia="zh-CN"/>
        </w:rPr>
      </w:pP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2</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eastAsia="zh-CN"/>
        </w:rPr>
        <w:t>投标申请人须提供拟派的项目负责人、安全管理员从投标截止之日当月向前</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lang w:eastAsia="zh-CN"/>
        </w:rPr>
        <w:t>个月</w:t>
      </w:r>
      <w:r>
        <w:rPr>
          <w:rFonts w:hint="eastAsia" w:ascii="宋体" w:hAnsi="宋体" w:cs="宋体"/>
          <w:b w:val="0"/>
          <w:bCs w:val="0"/>
          <w:color w:val="auto"/>
          <w:sz w:val="21"/>
          <w:szCs w:val="21"/>
          <w:highlight w:val="none"/>
          <w:lang w:val="en-US" w:eastAsia="zh-CN"/>
        </w:rPr>
        <w:t>内任意1个月的</w:t>
      </w:r>
      <w:r>
        <w:rPr>
          <w:rFonts w:hint="eastAsia" w:ascii="宋体" w:hAnsi="宋体" w:eastAsia="宋体" w:cs="宋体"/>
          <w:b w:val="0"/>
          <w:bCs w:val="0"/>
          <w:color w:val="auto"/>
          <w:sz w:val="21"/>
          <w:szCs w:val="21"/>
          <w:highlight w:val="none"/>
          <w:lang w:eastAsia="zh-CN"/>
        </w:rPr>
        <w:t>社保缴纳证明</w:t>
      </w:r>
      <w:r>
        <w:rPr>
          <w:rFonts w:hint="eastAsia" w:ascii="宋体" w:hAnsi="宋体" w:cs="宋体"/>
          <w:b w:val="0"/>
          <w:bCs w:val="0"/>
          <w:color w:val="auto"/>
          <w:sz w:val="21"/>
          <w:szCs w:val="21"/>
          <w:highlight w:val="none"/>
          <w:lang w:eastAsia="zh-CN"/>
        </w:rPr>
        <w:t>；</w:t>
      </w:r>
    </w:p>
    <w:p w14:paraId="4C053B4A">
      <w:pPr>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投标人具有履行合同所需的设备和专业技术能力</w:t>
      </w:r>
      <w:r>
        <w:rPr>
          <w:rFonts w:hint="eastAsia" w:ascii="宋体" w:hAnsi="宋体" w:eastAsia="宋体" w:cs="宋体"/>
          <w:color w:val="auto"/>
          <w:sz w:val="21"/>
          <w:szCs w:val="21"/>
          <w:highlight w:val="none"/>
          <w:lang w:val="en-US" w:eastAsia="zh-CN"/>
        </w:rPr>
        <w:t>：</w:t>
      </w:r>
    </w:p>
    <w:p w14:paraId="0D9D8A1C">
      <w:pPr>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A.所需设备：</w:t>
      </w:r>
    </w:p>
    <w:p w14:paraId="7E040036">
      <w:pPr>
        <w:numPr>
          <w:ilvl w:val="0"/>
          <w:numId w:val="0"/>
        </w:numPr>
        <w:spacing w:line="360" w:lineRule="auto"/>
        <w:ind w:firstLine="420" w:firstLineChars="0"/>
        <w:rPr>
          <w:rFonts w:hint="default" w:ascii="宋体" w:hAnsi="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a.</w:t>
      </w:r>
      <w:r>
        <w:rPr>
          <w:rFonts w:hint="eastAsia" w:ascii="宋体" w:hAnsi="宋体" w:cs="宋体"/>
          <w:b w:val="0"/>
          <w:bCs w:val="0"/>
          <w:color w:val="auto"/>
          <w:sz w:val="21"/>
          <w:szCs w:val="21"/>
          <w:highlight w:val="none"/>
          <w:lang w:val="en-US" w:eastAsia="zh-CN"/>
        </w:rPr>
        <w:t>全自动打捞保洁船4条，打捞船除了要有正常的航行功能外，还必须具有自动打捞水面漂浮物，并且能自动输送的功能，配备的打捞保洁船须与河道规模相适应，具备载货量不小于10立方米或打捞保洁船发动机功率不低于50千瓦。</w:t>
      </w:r>
      <w:r>
        <w:rPr>
          <w:rFonts w:hint="eastAsia" w:ascii="宋体" w:hAnsi="宋体" w:cs="宋体"/>
          <w:b/>
          <w:bCs/>
          <w:color w:val="auto"/>
          <w:sz w:val="21"/>
          <w:szCs w:val="21"/>
          <w:highlight w:val="none"/>
          <w:lang w:val="en-US" w:eastAsia="zh-CN"/>
        </w:rPr>
        <w:t>每条船需配备监控设备。</w:t>
      </w:r>
    </w:p>
    <w:p w14:paraId="52089BE1">
      <w:pPr>
        <w:numPr>
          <w:ilvl w:val="0"/>
          <w:numId w:val="0"/>
        </w:numPr>
        <w:spacing w:line="360" w:lineRule="auto"/>
        <w:ind w:firstLine="420" w:firstLineChars="0"/>
        <w:rPr>
          <w:rFonts w:hint="eastAsia" w:ascii="宋体" w:hAnsi="宋体" w:eastAsia="宋体" w:cs="宋体"/>
          <w:color w:val="auto"/>
          <w:sz w:val="21"/>
          <w:szCs w:val="21"/>
          <w:highlight w:val="none"/>
          <w:lang w:val="en-US" w:eastAsia="zh-CN"/>
        </w:rPr>
      </w:pPr>
      <w:r>
        <w:rPr>
          <w:rFonts w:hint="eastAsia" w:ascii="宋体" w:hAnsi="宋体"/>
          <w:color w:val="auto"/>
          <w:highlight w:val="none"/>
          <w:lang w:val="en-US" w:eastAsia="zh-CN"/>
        </w:rPr>
        <w:t>b.</w:t>
      </w:r>
      <w:r>
        <w:rPr>
          <w:rFonts w:hint="eastAsia" w:ascii="宋体" w:hAnsi="宋体"/>
          <w:color w:val="auto"/>
          <w:highlight w:val="none"/>
        </w:rPr>
        <w:t>挖掘机</w:t>
      </w:r>
      <w:r>
        <w:rPr>
          <w:rFonts w:hint="eastAsia" w:ascii="宋体" w:hAnsi="宋体"/>
          <w:color w:val="auto"/>
          <w:highlight w:val="none"/>
          <w:lang w:val="en-US" w:eastAsia="zh-CN"/>
        </w:rPr>
        <w:t>2</w:t>
      </w:r>
      <w:r>
        <w:rPr>
          <w:rFonts w:hint="eastAsia" w:ascii="宋体" w:hAnsi="宋体"/>
          <w:color w:val="auto"/>
          <w:highlight w:val="none"/>
        </w:rPr>
        <w:t>台，用于上岸漂浮物的翻运、装车。</w:t>
      </w:r>
      <w:r>
        <w:rPr>
          <w:rFonts w:hint="eastAsia" w:ascii="宋体" w:hAnsi="宋体"/>
          <w:color w:val="auto"/>
          <w:highlight w:val="none"/>
          <w:lang w:eastAsia="zh-CN"/>
        </w:rPr>
        <w:t>拖网设备</w:t>
      </w:r>
      <w:r>
        <w:rPr>
          <w:rFonts w:hint="eastAsia" w:ascii="宋体" w:hAnsi="宋体"/>
          <w:color w:val="auto"/>
          <w:highlight w:val="none"/>
          <w:lang w:val="en-US" w:eastAsia="zh-CN"/>
        </w:rPr>
        <w:t>1</w:t>
      </w:r>
      <w:r>
        <w:rPr>
          <w:rFonts w:hint="eastAsia" w:ascii="宋体" w:hAnsi="宋体"/>
          <w:color w:val="auto"/>
          <w:highlight w:val="none"/>
          <w:lang w:eastAsia="zh-CN"/>
        </w:rPr>
        <w:t>条</w:t>
      </w:r>
      <w:r>
        <w:rPr>
          <w:rFonts w:hint="eastAsia" w:ascii="宋体" w:hAnsi="宋体" w:cs="宋体"/>
          <w:b/>
          <w:bCs/>
          <w:color w:val="auto"/>
          <w:sz w:val="21"/>
          <w:szCs w:val="21"/>
          <w:highlight w:val="none"/>
          <w:lang w:val="en-US" w:eastAsia="zh-CN"/>
        </w:rPr>
        <w:t>（拖网长度不得低于河道宽度）</w:t>
      </w:r>
      <w:r>
        <w:rPr>
          <w:rFonts w:hint="eastAsia" w:ascii="宋体" w:hAnsi="宋体"/>
          <w:color w:val="auto"/>
          <w:highlight w:val="none"/>
          <w:lang w:eastAsia="zh-CN"/>
        </w:rPr>
        <w:t>。</w:t>
      </w:r>
    </w:p>
    <w:p w14:paraId="3E60D2F4">
      <w:pPr>
        <w:keepLines w:val="0"/>
        <w:pageBreakBefore w:val="0"/>
        <w:spacing w:line="460" w:lineRule="exact"/>
        <w:ind w:firstLine="48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注：</w:t>
      </w:r>
      <w:r>
        <w:rPr>
          <w:rFonts w:hint="eastAsia" w:ascii="宋体" w:hAnsi="宋体" w:eastAsia="宋体" w:cs="宋体"/>
          <w:b/>
          <w:bCs/>
          <w:color w:val="auto"/>
          <w:szCs w:val="21"/>
          <w:highlight w:val="none"/>
          <w:lang w:eastAsia="zh-CN"/>
        </w:rPr>
        <w:t>投标时打捞船须提供市级及以上地方海事部门颁发的相关检验证书或出厂合格证明材料原件扫描件，打捞船、</w:t>
      </w:r>
      <w:r>
        <w:rPr>
          <w:rFonts w:hint="eastAsia" w:ascii="宋体" w:hAnsi="宋体" w:cs="宋体"/>
          <w:b/>
          <w:bCs/>
          <w:color w:val="auto"/>
          <w:szCs w:val="21"/>
          <w:highlight w:val="none"/>
          <w:lang w:val="en-US" w:eastAsia="zh-CN"/>
        </w:rPr>
        <w:t>挖掘机</w:t>
      </w:r>
      <w:r>
        <w:rPr>
          <w:rFonts w:hint="eastAsia" w:ascii="宋体" w:hAnsi="宋体" w:eastAsia="宋体" w:cs="宋体"/>
          <w:b/>
          <w:bCs/>
          <w:color w:val="auto"/>
          <w:szCs w:val="21"/>
          <w:highlight w:val="none"/>
          <w:lang w:eastAsia="zh-CN"/>
        </w:rPr>
        <w:t>（自购需提供相关的购买发票原件扫描件，租赁的需提供相关的租赁合同原件扫描件及所租赁物的购买发票原件扫描件），未提供相关材料证明或不符合要求做无效标书处理。</w:t>
      </w:r>
    </w:p>
    <w:p w14:paraId="70FD820A">
      <w:pPr>
        <w:keepLines w:val="0"/>
        <w:pageBreakBefore w:val="0"/>
        <w:spacing w:line="460" w:lineRule="exact"/>
        <w:ind w:firstLine="48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B.专业技术能力：</w:t>
      </w:r>
    </w:p>
    <w:p w14:paraId="0D0A6E5B">
      <w:pPr>
        <w:pStyle w:val="35"/>
        <w:keepNext w:val="0"/>
        <w:keepLines w:val="0"/>
        <w:pageBreakBefore w:val="0"/>
        <w:widowControl w:val="0"/>
        <w:spacing w:line="500" w:lineRule="exact"/>
        <w:rPr>
          <w:rFonts w:hint="eastAsia" w:ascii="宋体" w:hAnsi="宋体" w:eastAsia="宋体"/>
          <w:color w:val="auto"/>
          <w:sz w:val="21"/>
          <w:szCs w:val="21"/>
          <w:highlight w:val="none"/>
          <w:lang w:eastAsia="zh-CN"/>
        </w:rPr>
      </w:pPr>
      <w:r>
        <w:rPr>
          <w:rFonts w:hint="eastAsia" w:ascii="宋体" w:hAnsi="宋体" w:eastAsia="宋体"/>
          <w:b/>
          <w:bCs/>
          <w:color w:val="auto"/>
          <w:sz w:val="21"/>
          <w:szCs w:val="24"/>
          <w:highlight w:val="none"/>
        </w:rPr>
        <w:t>打捞船操作人员须具有市级及以上地方海事局颁发的《内河船舶船员适任证书》，挖掘机操作人员须具有住建部门颁发的《建筑施工特种作业操作资格证》</w:t>
      </w:r>
      <w:r>
        <w:rPr>
          <w:rFonts w:hint="eastAsia"/>
          <w:b/>
          <w:bCs/>
          <w:color w:val="auto"/>
          <w:sz w:val="21"/>
          <w:szCs w:val="24"/>
          <w:highlight w:val="none"/>
          <w:lang w:val="en-US" w:eastAsia="zh-CN"/>
        </w:rPr>
        <w:t>。</w:t>
      </w:r>
    </w:p>
    <w:p w14:paraId="06E92DDA">
      <w:pPr>
        <w:pStyle w:val="2"/>
        <w:keepLines w:val="0"/>
        <w:pageBreakBefore w:val="0"/>
        <w:tabs>
          <w:tab w:val="left" w:pos="0"/>
          <w:tab w:val="left" w:pos="3165"/>
          <w:tab w:val="center" w:pos="4153"/>
        </w:tabs>
        <w:kinsoku/>
        <w:wordWrap/>
        <w:overflowPunct/>
        <w:topLinePunct w:val="0"/>
        <w:autoSpaceDE/>
        <w:autoSpaceDN/>
        <w:bidi w:val="0"/>
        <w:adjustRightInd/>
        <w:snapToGrid/>
        <w:spacing w:line="420" w:lineRule="exact"/>
        <w:ind w:firstLine="482"/>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三、获取招标文件</w:t>
      </w:r>
      <w:bookmarkEnd w:id="21"/>
      <w:bookmarkEnd w:id="22"/>
    </w:p>
    <w:p w14:paraId="72BBDDF5">
      <w:pPr>
        <w:pStyle w:val="32"/>
        <w:pageBreakBefore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1.时间：</w:t>
      </w:r>
      <w:r>
        <w:rPr>
          <w:rFonts w:hint="eastAsia" w:ascii="宋体" w:hAnsi="宋体" w:eastAsia="宋体" w:cs="宋体"/>
          <w:color w:val="auto"/>
          <w:sz w:val="21"/>
          <w:szCs w:val="21"/>
          <w:highlight w:val="none"/>
          <w:u w:val="none"/>
          <w:lang w:val="en-US" w:eastAsia="zh-CN"/>
        </w:rPr>
        <w:t>自招标公告发布之日起五个工作日</w:t>
      </w:r>
      <w:r>
        <w:rPr>
          <w:rFonts w:hint="eastAsia" w:ascii="宋体" w:hAnsi="宋体" w:eastAsia="宋体" w:cs="宋体"/>
          <w:color w:val="auto"/>
          <w:sz w:val="21"/>
          <w:szCs w:val="21"/>
          <w:highlight w:val="none"/>
          <w:u w:val="none"/>
        </w:rPr>
        <w:t>。</w:t>
      </w:r>
    </w:p>
    <w:p w14:paraId="0A4FF6BD">
      <w:pPr>
        <w:pStyle w:val="32"/>
        <w:pageBreakBefore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2.地点：“苏采云”系统内免费下载（投标人必须在苏采云系统中获取采购文件，方能参与政府采购项目）；</w:t>
      </w:r>
    </w:p>
    <w:p w14:paraId="30E70F04">
      <w:pPr>
        <w:pStyle w:val="32"/>
        <w:pageBreakBefore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3.方式：“苏采云”系统内免费下载（投标人必须在苏采云系统中获取采购文件，方能参与政府采购项目）；</w:t>
      </w:r>
    </w:p>
    <w:p w14:paraId="5CA2A91F">
      <w:pPr>
        <w:pStyle w:val="35"/>
        <w:pageBreakBefore w:val="0"/>
        <w:kinsoku/>
        <w:wordWrap/>
        <w:overflowPunct/>
        <w:topLinePunct w:val="0"/>
        <w:autoSpaceDE/>
        <w:autoSpaceDN/>
        <w:bidi w:val="0"/>
        <w:adjustRightInd/>
        <w:snapToGrid/>
        <w:spacing w:line="420" w:lineRule="exact"/>
        <w:textAlignment w:val="auto"/>
        <w:rPr>
          <w:rFonts w:hint="eastAsia" w:cs="宋体"/>
          <w:color w:val="auto"/>
          <w:sz w:val="21"/>
          <w:szCs w:val="21"/>
          <w:highlight w:val="none"/>
          <w:lang w:eastAsia="zh-CN"/>
        </w:rPr>
      </w:pPr>
      <w:r>
        <w:rPr>
          <w:rFonts w:hint="eastAsia" w:cs="宋体"/>
          <w:color w:val="auto"/>
          <w:sz w:val="21"/>
          <w:szCs w:val="21"/>
          <w:highlight w:val="none"/>
          <w:lang w:val="en-US" w:eastAsia="zh-CN"/>
        </w:rPr>
        <w:t>4.文件售价：0.00元。</w:t>
      </w:r>
    </w:p>
    <w:p w14:paraId="1AC6E0B6">
      <w:pPr>
        <w:pStyle w:val="32"/>
        <w:keepNext/>
        <w:keepLines/>
        <w:pageBreakBefore w:val="0"/>
        <w:numPr>
          <w:ilvl w:val="0"/>
          <w:numId w:val="1"/>
        </w:numPr>
        <w:kinsoku/>
        <w:wordWrap/>
        <w:overflowPunct/>
        <w:topLinePunct w:val="0"/>
        <w:autoSpaceDE/>
        <w:autoSpaceDN/>
        <w:bidi w:val="0"/>
        <w:adjustRightInd/>
        <w:snapToGrid/>
        <w:spacing w:beforeAutospacing="0" w:afterAutospacing="0" w:line="420" w:lineRule="exact"/>
        <w:ind w:firstLine="498"/>
        <w:jc w:val="both"/>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提交投标文件截止时间、开标时间和地点</w:t>
      </w:r>
    </w:p>
    <w:p w14:paraId="7289626A">
      <w:pPr>
        <w:pStyle w:val="35"/>
        <w:pageBreakBefore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21"/>
          <w:szCs w:val="21"/>
          <w:highlight w:val="none"/>
        </w:rPr>
      </w:pPr>
      <w:bookmarkStart w:id="23" w:name="_Toc38985267"/>
      <w:bookmarkEnd w:id="23"/>
      <w:bookmarkStart w:id="24" w:name="_Toc28359084"/>
      <w:bookmarkEnd w:id="24"/>
      <w:bookmarkStart w:id="25" w:name="_Toc35393794"/>
      <w:bookmarkEnd w:id="25"/>
      <w:bookmarkStart w:id="26" w:name="_Toc35393625"/>
      <w:bookmarkEnd w:id="26"/>
      <w:bookmarkStart w:id="27" w:name="_Toc28359007"/>
      <w:bookmarkEnd w:id="27"/>
      <w:r>
        <w:rPr>
          <w:rFonts w:hint="eastAsia" w:ascii="宋体" w:hAnsi="宋体" w:eastAsia="宋体" w:cs="宋体"/>
          <w:b/>
          <w:bCs/>
          <w:color w:val="auto"/>
          <w:sz w:val="21"/>
          <w:szCs w:val="21"/>
          <w:highlight w:val="none"/>
        </w:rPr>
        <w:t>1.时间：</w:t>
      </w:r>
      <w:r>
        <w:rPr>
          <w:rFonts w:hint="eastAsia" w:cs="宋体"/>
          <w:b/>
          <w:bCs/>
          <w:color w:val="auto"/>
          <w:sz w:val="21"/>
          <w:szCs w:val="21"/>
          <w:highlight w:val="none"/>
          <w:u w:val="single"/>
          <w:lang w:val="en-US" w:eastAsia="zh-CN"/>
        </w:rPr>
        <w:t>2026年5</w:t>
      </w:r>
      <w:r>
        <w:rPr>
          <w:rFonts w:hint="eastAsia" w:ascii="宋体" w:hAnsi="宋体" w:eastAsia="宋体" w:cs="宋体"/>
          <w:b/>
          <w:bCs/>
          <w:color w:val="auto"/>
          <w:sz w:val="21"/>
          <w:szCs w:val="21"/>
          <w:highlight w:val="none"/>
          <w:u w:val="single"/>
        </w:rPr>
        <w:t>月</w:t>
      </w:r>
      <w:r>
        <w:rPr>
          <w:rFonts w:hint="eastAsia" w:cs="宋体"/>
          <w:b/>
          <w:bCs/>
          <w:color w:val="auto"/>
          <w:sz w:val="21"/>
          <w:szCs w:val="21"/>
          <w:highlight w:val="none"/>
          <w:u w:val="single"/>
          <w:lang w:val="en-US" w:eastAsia="zh-CN"/>
        </w:rPr>
        <w:t>12日10</w:t>
      </w:r>
      <w:r>
        <w:rPr>
          <w:rFonts w:hint="eastAsia" w:ascii="宋体" w:hAnsi="宋体" w:eastAsia="宋体" w:cs="宋体"/>
          <w:b/>
          <w:bCs/>
          <w:color w:val="auto"/>
          <w:sz w:val="21"/>
          <w:szCs w:val="21"/>
          <w:highlight w:val="none"/>
          <w:u w:val="single"/>
          <w:lang w:val="en-US" w:eastAsia="zh-CN"/>
        </w:rPr>
        <w:t xml:space="preserve"> 时</w:t>
      </w:r>
      <w:r>
        <w:rPr>
          <w:rFonts w:hint="eastAsia" w:cs="宋体"/>
          <w:b/>
          <w:bCs/>
          <w:color w:val="auto"/>
          <w:sz w:val="21"/>
          <w:szCs w:val="21"/>
          <w:highlight w:val="none"/>
          <w:u w:val="single"/>
          <w:lang w:val="en-US" w:eastAsia="zh-CN"/>
        </w:rPr>
        <w:t>0</w:t>
      </w:r>
      <w:r>
        <w:rPr>
          <w:rFonts w:hint="eastAsia" w:ascii="宋体" w:hAnsi="宋体" w:eastAsia="宋体" w:cs="宋体"/>
          <w:b/>
          <w:bCs/>
          <w:color w:val="auto"/>
          <w:sz w:val="21"/>
          <w:szCs w:val="21"/>
          <w:highlight w:val="none"/>
          <w:u w:val="single"/>
          <w:lang w:val="en-US" w:eastAsia="zh-CN"/>
        </w:rPr>
        <w:t>0分</w:t>
      </w:r>
      <w:r>
        <w:rPr>
          <w:rFonts w:hint="eastAsia" w:ascii="宋体" w:hAnsi="宋体" w:eastAsia="宋体" w:cs="宋体"/>
          <w:b/>
          <w:bCs/>
          <w:color w:val="auto"/>
          <w:sz w:val="21"/>
          <w:szCs w:val="21"/>
          <w:highlight w:val="none"/>
        </w:rPr>
        <w:t>（北京时间）；</w:t>
      </w:r>
    </w:p>
    <w:p w14:paraId="77E24453">
      <w:pPr>
        <w:pStyle w:val="32"/>
        <w:keepNext/>
        <w:keepLines/>
        <w:pageBreakBefore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.地点:“苏采云”系统(网址:http://jszfcg.jsczt,g/)“开标大厅”。</w:t>
      </w:r>
    </w:p>
    <w:p w14:paraId="6C18947F">
      <w:pPr>
        <w:pStyle w:val="32"/>
        <w:keepNext/>
        <w:keepLines/>
        <w:pageBreakBefore w:val="0"/>
        <w:kinsoku/>
        <w:wordWrap/>
        <w:overflowPunct/>
        <w:topLinePunct w:val="0"/>
        <w:autoSpaceDE/>
        <w:autoSpaceDN/>
        <w:bidi w:val="0"/>
        <w:adjustRightInd/>
        <w:snapToGrid/>
        <w:spacing w:beforeAutospacing="0" w:afterAutospacing="0" w:line="420" w:lineRule="exact"/>
        <w:ind w:firstLine="498"/>
        <w:jc w:val="both"/>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五、公告期限</w:t>
      </w:r>
    </w:p>
    <w:p w14:paraId="4ADEA33E">
      <w:pPr>
        <w:pStyle w:val="32"/>
        <w:pageBreakBefore w:val="0"/>
        <w:widowControl/>
        <w:shd w:val="clear" w:color="auto"/>
        <w:kinsoku/>
        <w:wordWrap/>
        <w:overflowPunct/>
        <w:topLinePunct w:val="0"/>
        <w:autoSpaceDE/>
        <w:autoSpaceDN/>
        <w:bidi w:val="0"/>
        <w:adjustRightInd/>
        <w:snapToGrid/>
        <w:spacing w:beforeAutospacing="0" w:afterAutospacing="0" w:line="420" w:lineRule="exact"/>
        <w:ind w:firstLine="560"/>
        <w:jc w:val="both"/>
        <w:textAlignment w:val="auto"/>
        <w:rPr>
          <w:rFonts w:hint="eastAsia" w:ascii="宋体" w:hAnsi="宋体" w:eastAsia="宋体" w:cs="宋体"/>
          <w:color w:val="auto"/>
          <w:sz w:val="21"/>
          <w:szCs w:val="21"/>
          <w:highlight w:val="none"/>
          <w:shd w:val="clear" w:color="auto" w:fill="FFFFFF"/>
        </w:rPr>
      </w:pPr>
      <w:bookmarkStart w:id="28" w:name="_Toc35393795"/>
      <w:bookmarkEnd w:id="28"/>
      <w:bookmarkStart w:id="29" w:name="_Toc38985268"/>
      <w:bookmarkEnd w:id="29"/>
      <w:bookmarkStart w:id="30" w:name="_Toc35393626"/>
      <w:bookmarkEnd w:id="30"/>
      <w:r>
        <w:rPr>
          <w:rFonts w:hint="eastAsia" w:ascii="宋体" w:hAnsi="宋体" w:eastAsia="宋体" w:cs="宋体"/>
          <w:color w:val="auto"/>
          <w:sz w:val="21"/>
          <w:szCs w:val="21"/>
          <w:highlight w:val="none"/>
          <w:shd w:val="clear" w:color="auto" w:fill="FFFFFF"/>
        </w:rPr>
        <w:t>自本公告发布之日起5个工作日。</w:t>
      </w:r>
    </w:p>
    <w:p w14:paraId="77975327">
      <w:pPr>
        <w:pStyle w:val="32"/>
        <w:keepNext/>
        <w:keepLines/>
        <w:pageBreakBefore w:val="0"/>
        <w:shd w:val="clear"/>
        <w:kinsoku/>
        <w:wordWrap/>
        <w:overflowPunct/>
        <w:topLinePunct w:val="0"/>
        <w:autoSpaceDE/>
        <w:autoSpaceDN/>
        <w:bidi w:val="0"/>
        <w:adjustRightInd/>
        <w:snapToGrid/>
        <w:spacing w:beforeAutospacing="0" w:afterAutospacing="0" w:line="420" w:lineRule="exact"/>
        <w:ind w:firstLine="498"/>
        <w:jc w:val="both"/>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六、其他补充事宜</w:t>
      </w:r>
    </w:p>
    <w:p w14:paraId="0CE7144A">
      <w:pPr>
        <w:pStyle w:val="3"/>
        <w:keepNext w:val="0"/>
        <w:keepLines w:val="0"/>
        <w:pageBreakBefore w:val="0"/>
        <w:widowControl/>
        <w:shd w:val="clear" w:color="auto"/>
        <w:kinsoku/>
        <w:wordWrap/>
        <w:overflowPunct/>
        <w:topLinePunct w:val="0"/>
        <w:autoSpaceDE/>
        <w:autoSpaceDN/>
        <w:bidi w:val="0"/>
        <w:adjustRightInd/>
        <w:snapToGrid/>
        <w:spacing w:beforeAutospacing="0" w:afterAutospacing="0" w:line="440" w:lineRule="exact"/>
        <w:ind w:firstLine="422"/>
        <w:jc w:val="both"/>
        <w:textAlignment w:val="auto"/>
        <w:rPr>
          <w:rFonts w:hint="eastAsia" w:cs="宋体"/>
          <w:color w:val="auto"/>
          <w:sz w:val="21"/>
          <w:szCs w:val="21"/>
          <w:highlight w:val="none"/>
          <w:shd w:val="clear" w:color="auto" w:fill="FFFFFF"/>
        </w:rPr>
      </w:pPr>
      <w:r>
        <w:rPr>
          <w:rFonts w:hint="eastAsia" w:cs="宋体"/>
          <w:color w:val="auto"/>
          <w:sz w:val="21"/>
          <w:szCs w:val="21"/>
          <w:highlight w:val="none"/>
          <w:shd w:val="clear" w:color="auto" w:fill="FFFFFF"/>
        </w:rPr>
        <w:t>1.</w:t>
      </w:r>
      <w:r>
        <w:rPr>
          <w:rFonts w:hint="eastAsia" w:cs="宋体"/>
          <w:color w:val="auto"/>
          <w:sz w:val="21"/>
          <w:szCs w:val="21"/>
          <w:highlight w:val="none"/>
          <w:shd w:val="clear" w:color="auto" w:fill="FFFFFF"/>
          <w:lang w:val="en-US" w:eastAsia="zh-CN"/>
        </w:rPr>
        <w:t>王港河</w:t>
      </w:r>
      <w:r>
        <w:rPr>
          <w:rFonts w:hint="eastAsia" w:cs="宋体"/>
          <w:color w:val="auto"/>
          <w:sz w:val="21"/>
          <w:szCs w:val="21"/>
          <w:highlight w:val="none"/>
          <w:shd w:val="clear" w:color="auto" w:fill="FFFFFF"/>
        </w:rPr>
        <w:t>水面漂浮物打捞项目组成人员及专用设备不得在其他</w:t>
      </w:r>
      <w:r>
        <w:rPr>
          <w:rFonts w:hint="eastAsia" w:cs="宋体"/>
          <w:color w:val="auto"/>
          <w:sz w:val="21"/>
          <w:szCs w:val="21"/>
          <w:highlight w:val="none"/>
          <w:shd w:val="clear" w:color="auto" w:fill="FFFFFF"/>
          <w:lang w:val="en-US" w:eastAsia="zh-CN"/>
        </w:rPr>
        <w:t>类似</w:t>
      </w:r>
      <w:r>
        <w:rPr>
          <w:rFonts w:hint="eastAsia" w:cs="宋体"/>
          <w:color w:val="auto"/>
          <w:sz w:val="21"/>
          <w:szCs w:val="21"/>
          <w:highlight w:val="none"/>
          <w:shd w:val="clear" w:color="auto" w:fill="FFFFFF"/>
        </w:rPr>
        <w:t>项目中兼职</w:t>
      </w:r>
      <w:r>
        <w:rPr>
          <w:rFonts w:hint="eastAsia" w:cs="宋体"/>
          <w:color w:val="auto"/>
          <w:sz w:val="21"/>
          <w:szCs w:val="21"/>
          <w:highlight w:val="none"/>
          <w:shd w:val="clear" w:color="auto" w:fill="FFFFFF"/>
          <w:lang w:val="en-US" w:eastAsia="zh-CN"/>
        </w:rPr>
        <w:t>或使用</w:t>
      </w:r>
      <w:r>
        <w:rPr>
          <w:rFonts w:hint="eastAsia" w:cs="宋体"/>
          <w:color w:val="auto"/>
          <w:sz w:val="21"/>
          <w:szCs w:val="21"/>
          <w:highlight w:val="none"/>
          <w:shd w:val="clear" w:color="auto" w:fill="FFFFFF"/>
        </w:rPr>
        <w:t>，一旦发现，招标人有权取消其中标资格并追究其相应责任。</w:t>
      </w:r>
    </w:p>
    <w:p w14:paraId="5D7F19A1">
      <w:pPr>
        <w:pStyle w:val="3"/>
        <w:keepNext w:val="0"/>
        <w:keepLines w:val="0"/>
        <w:pageBreakBefore w:val="0"/>
        <w:widowControl/>
        <w:shd w:val="clear" w:color="auto"/>
        <w:kinsoku/>
        <w:wordWrap/>
        <w:overflowPunct/>
        <w:topLinePunct w:val="0"/>
        <w:autoSpaceDE/>
        <w:autoSpaceDN/>
        <w:bidi w:val="0"/>
        <w:adjustRightInd/>
        <w:snapToGrid/>
        <w:spacing w:beforeAutospacing="0" w:afterAutospacing="0" w:line="440" w:lineRule="exact"/>
        <w:ind w:firstLine="422" w:firstLineChars="200"/>
        <w:jc w:val="both"/>
        <w:textAlignment w:val="auto"/>
        <w:rPr>
          <w:rFonts w:hint="eastAsia" w:eastAsia="宋体" w:cs="宋体"/>
          <w:color w:val="auto"/>
          <w:sz w:val="21"/>
          <w:szCs w:val="21"/>
          <w:highlight w:val="none"/>
          <w:shd w:val="clear" w:color="auto" w:fill="FFFFFF"/>
          <w:lang w:eastAsia="zh-CN"/>
        </w:rPr>
      </w:pPr>
      <w:r>
        <w:rPr>
          <w:rFonts w:hint="eastAsia" w:cs="宋体"/>
          <w:color w:val="auto"/>
          <w:sz w:val="21"/>
          <w:szCs w:val="21"/>
          <w:highlight w:val="none"/>
          <w:shd w:val="clear" w:color="auto" w:fill="FFFFFF"/>
        </w:rPr>
        <w:t>待中标后，中标单位将相关人员证书、</w:t>
      </w:r>
      <w:r>
        <w:rPr>
          <w:rFonts w:hint="eastAsia" w:cs="宋体"/>
          <w:b/>
          <w:bCs/>
          <w:color w:val="auto"/>
          <w:sz w:val="21"/>
          <w:szCs w:val="21"/>
          <w:highlight w:val="none"/>
          <w:shd w:val="clear" w:color="auto" w:fill="FFFFFF"/>
        </w:rPr>
        <w:t>意外险缴纳证明</w:t>
      </w:r>
      <w:r>
        <w:rPr>
          <w:rFonts w:hint="eastAsia" w:cs="宋体"/>
          <w:color w:val="auto"/>
          <w:sz w:val="21"/>
          <w:szCs w:val="21"/>
          <w:highlight w:val="none"/>
          <w:shd w:val="clear" w:color="auto" w:fill="FFFFFF"/>
        </w:rPr>
        <w:t>、设备等证明材料提交原件待采购单位检查，复印件留档。中标单位在中标结果公告后的五个工作日内，全部设备到达打捞现场，采购单位验收合格后签订合同；设备不到位或不合格，采购单位有权取消其中标资格</w:t>
      </w:r>
      <w:r>
        <w:rPr>
          <w:rFonts w:hint="eastAsia" w:cs="宋体"/>
          <w:color w:val="auto"/>
          <w:sz w:val="21"/>
          <w:szCs w:val="21"/>
          <w:highlight w:val="none"/>
          <w:shd w:val="clear" w:color="auto" w:fill="FFFFFF"/>
          <w:lang w:eastAsia="zh-CN"/>
        </w:rPr>
        <w:t>。</w:t>
      </w:r>
    </w:p>
    <w:p w14:paraId="6944CAB4">
      <w:pPr>
        <w:pStyle w:val="3"/>
        <w:keepNext w:val="0"/>
        <w:keepLines w:val="0"/>
        <w:pageBreakBefore w:val="0"/>
        <w:widowControl/>
        <w:shd w:val="clear" w:color="auto"/>
        <w:kinsoku/>
        <w:wordWrap/>
        <w:overflowPunct/>
        <w:topLinePunct w:val="0"/>
        <w:autoSpaceDE/>
        <w:autoSpaceDN/>
        <w:bidi w:val="0"/>
        <w:adjustRightInd/>
        <w:snapToGrid/>
        <w:spacing w:beforeAutospacing="0" w:afterAutospacing="0" w:line="440" w:lineRule="exact"/>
        <w:ind w:firstLine="420"/>
        <w:jc w:val="both"/>
        <w:textAlignment w:val="auto"/>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2</w:t>
      </w:r>
      <w:r>
        <w:rPr>
          <w:rFonts w:hint="eastAsia" w:cs="宋体"/>
          <w:b w:val="0"/>
          <w:bCs w:val="0"/>
          <w:color w:val="auto"/>
          <w:sz w:val="21"/>
          <w:szCs w:val="21"/>
          <w:highlight w:val="none"/>
          <w:shd w:val="clear" w:color="auto" w:fill="FFFFFF"/>
        </w:rPr>
        <w:t>.投标人不得提供虚假材料谋取中标成交的或采取不正当手段诋毁、排挤其他供应商。</w:t>
      </w:r>
    </w:p>
    <w:p w14:paraId="1BD387B9">
      <w:pPr>
        <w:pStyle w:val="3"/>
        <w:keepNext w:val="0"/>
        <w:keepLines w:val="0"/>
        <w:pageBreakBefore w:val="0"/>
        <w:widowControl/>
        <w:shd w:val="clear" w:color="auto"/>
        <w:kinsoku/>
        <w:wordWrap/>
        <w:overflowPunct/>
        <w:topLinePunct w:val="0"/>
        <w:autoSpaceDE/>
        <w:autoSpaceDN/>
        <w:bidi w:val="0"/>
        <w:adjustRightInd/>
        <w:snapToGrid/>
        <w:spacing w:beforeAutospacing="0" w:afterAutospacing="0" w:line="440" w:lineRule="exact"/>
        <w:ind w:firstLine="420"/>
        <w:jc w:val="both"/>
        <w:textAlignment w:val="auto"/>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3</w:t>
      </w:r>
      <w:r>
        <w:rPr>
          <w:rFonts w:hint="eastAsia" w:cs="宋体"/>
          <w:b w:val="0"/>
          <w:bCs w:val="0"/>
          <w:color w:val="auto"/>
          <w:sz w:val="21"/>
          <w:szCs w:val="21"/>
          <w:highlight w:val="none"/>
          <w:shd w:val="clear" w:color="auto" w:fill="FFFFFF"/>
        </w:rPr>
        <w:t>.投标人存在串通投标、以他人名义投标、弄虚作假等违法违规行为，或者无正当理由放弃投标、中标资格，造成项目招标失败的，不得参加该项目重新招标的投标。</w:t>
      </w:r>
    </w:p>
    <w:p w14:paraId="7B11E882">
      <w:pPr>
        <w:pStyle w:val="3"/>
        <w:keepNext w:val="0"/>
        <w:keepLines w:val="0"/>
        <w:pageBreakBefore w:val="0"/>
        <w:widowControl/>
        <w:shd w:val="clear" w:color="auto"/>
        <w:kinsoku/>
        <w:wordWrap/>
        <w:overflowPunct/>
        <w:topLinePunct w:val="0"/>
        <w:autoSpaceDE/>
        <w:autoSpaceDN/>
        <w:bidi w:val="0"/>
        <w:adjustRightInd/>
        <w:snapToGrid/>
        <w:spacing w:beforeAutospacing="0" w:afterAutospacing="0" w:line="440" w:lineRule="exact"/>
        <w:ind w:firstLine="420"/>
        <w:jc w:val="both"/>
        <w:textAlignment w:val="auto"/>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4</w:t>
      </w:r>
      <w:r>
        <w:rPr>
          <w:rFonts w:hint="eastAsia" w:cs="宋体"/>
          <w:b w:val="0"/>
          <w:bCs w:val="0"/>
          <w:color w:val="auto"/>
          <w:sz w:val="21"/>
          <w:szCs w:val="21"/>
          <w:highlight w:val="none"/>
          <w:shd w:val="clear" w:color="auto" w:fill="FFFFFF"/>
        </w:rPr>
        <w:t>.</w:t>
      </w:r>
      <w:r>
        <w:rPr>
          <w:rFonts w:cs="宋体"/>
          <w:b w:val="0"/>
          <w:bCs w:val="0"/>
          <w:color w:val="auto"/>
          <w:sz w:val="21"/>
          <w:szCs w:val="21"/>
          <w:highlight w:val="none"/>
          <w:shd w:val="clear" w:color="auto" w:fill="FFFFFF"/>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4AB2FC9">
      <w:pPr>
        <w:pStyle w:val="3"/>
        <w:keepNext w:val="0"/>
        <w:keepLines w:val="0"/>
        <w:pageBreakBefore w:val="0"/>
        <w:widowControl/>
        <w:shd w:val="clear" w:color="auto"/>
        <w:kinsoku/>
        <w:wordWrap/>
        <w:overflowPunct/>
        <w:topLinePunct w:val="0"/>
        <w:autoSpaceDE/>
        <w:autoSpaceDN/>
        <w:bidi w:val="0"/>
        <w:adjustRightInd/>
        <w:snapToGrid/>
        <w:spacing w:beforeAutospacing="0" w:afterAutospacing="0" w:line="440" w:lineRule="exact"/>
        <w:ind w:firstLine="420" w:firstLineChars="200"/>
        <w:jc w:val="both"/>
        <w:textAlignment w:val="auto"/>
        <w:rPr>
          <w:rFonts w:cs="宋体"/>
          <w:b w:val="0"/>
          <w:bCs w:val="0"/>
          <w:color w:val="auto"/>
          <w:sz w:val="21"/>
          <w:szCs w:val="21"/>
          <w:highlight w:val="none"/>
          <w:shd w:val="clear" w:color="auto" w:fill="FFFFFF"/>
        </w:rPr>
      </w:pPr>
      <w:r>
        <w:rPr>
          <w:rFonts w:cs="宋体"/>
          <w:b w:val="0"/>
          <w:bCs w:val="0"/>
          <w:color w:val="auto"/>
          <w:sz w:val="21"/>
          <w:szCs w:val="21"/>
          <w:highlight w:val="none"/>
          <w:shd w:val="clear" w:color="auto" w:fill="FFFFFF"/>
        </w:rPr>
        <w:t>领取CA和办理电子签章（请至</w:t>
      </w:r>
      <w:r>
        <w:rPr>
          <w:rFonts w:hint="eastAsia" w:cs="宋体"/>
          <w:b w:val="0"/>
          <w:bCs w:val="0"/>
          <w:color w:val="auto"/>
          <w:sz w:val="21"/>
          <w:szCs w:val="21"/>
          <w:highlight w:val="none"/>
          <w:shd w:val="clear" w:color="auto" w:fill="FFFFFF"/>
        </w:rPr>
        <w:t>盐城市盐都区府西路1号盐城市政务服务中心4楼盐城市公共资源交易中心10号、11号窗口。</w:t>
      </w:r>
      <w:r>
        <w:rPr>
          <w:rFonts w:cs="宋体"/>
          <w:b w:val="0"/>
          <w:bCs w:val="0"/>
          <w:color w:val="auto"/>
          <w:sz w:val="21"/>
          <w:szCs w:val="21"/>
          <w:highlight w:val="none"/>
          <w:shd w:val="clear" w:color="auto" w:fill="FFFFFF"/>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7221B8BA">
      <w:pPr>
        <w:pStyle w:val="3"/>
        <w:keepNext w:val="0"/>
        <w:keepLines w:val="0"/>
        <w:pageBreakBefore w:val="0"/>
        <w:widowControl/>
        <w:shd w:val="clear" w:color="auto"/>
        <w:kinsoku/>
        <w:wordWrap/>
        <w:overflowPunct/>
        <w:topLinePunct w:val="0"/>
        <w:autoSpaceDE/>
        <w:autoSpaceDN/>
        <w:bidi w:val="0"/>
        <w:adjustRightInd/>
        <w:snapToGrid/>
        <w:spacing w:beforeAutospacing="0" w:afterAutospacing="0" w:line="440" w:lineRule="exact"/>
        <w:ind w:firstLine="420"/>
        <w:jc w:val="both"/>
        <w:textAlignment w:val="auto"/>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5</w:t>
      </w:r>
      <w:r>
        <w:rPr>
          <w:rFonts w:cs="宋体"/>
          <w:b w:val="0"/>
          <w:bCs w:val="0"/>
          <w:color w:val="auto"/>
          <w:sz w:val="21"/>
          <w:szCs w:val="21"/>
          <w:highlight w:val="none"/>
          <w:shd w:val="clear" w:color="auto" w:fill="FFFFFF"/>
        </w:rPr>
        <w:t xml:space="preserve">.潜在供应商访问电子招标响应交易平台的网络地址和方法： </w:t>
      </w:r>
    </w:p>
    <w:p w14:paraId="2703961A">
      <w:pPr>
        <w:pStyle w:val="3"/>
        <w:keepNext w:val="0"/>
        <w:keepLines w:val="0"/>
        <w:pageBreakBefore w:val="0"/>
        <w:widowControl/>
        <w:shd w:val="clear" w:color="auto"/>
        <w:kinsoku/>
        <w:wordWrap/>
        <w:overflowPunct/>
        <w:topLinePunct w:val="0"/>
        <w:autoSpaceDE/>
        <w:autoSpaceDN/>
        <w:bidi w:val="0"/>
        <w:adjustRightInd/>
        <w:snapToGrid/>
        <w:spacing w:beforeAutospacing="0" w:afterAutospacing="0" w:line="440" w:lineRule="exact"/>
        <w:ind w:firstLine="420"/>
        <w:jc w:val="both"/>
        <w:textAlignment w:val="auto"/>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5</w:t>
      </w:r>
      <w:r>
        <w:rPr>
          <w:rFonts w:cs="宋体"/>
          <w:b w:val="0"/>
          <w:bCs w:val="0"/>
          <w:color w:val="auto"/>
          <w:sz w:val="21"/>
          <w:szCs w:val="21"/>
          <w:highlight w:val="none"/>
          <w:shd w:val="clear" w:color="auto" w:fill="FFFFFF"/>
        </w:rPr>
        <w:t xml:space="preserve">.1“苏采云”系统用户注册--获取“CA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0E91011">
      <w:pPr>
        <w:pStyle w:val="3"/>
        <w:keepNext w:val="0"/>
        <w:keepLines w:val="0"/>
        <w:pageBreakBefore w:val="0"/>
        <w:widowControl/>
        <w:shd w:val="clear" w:color="auto"/>
        <w:kinsoku/>
        <w:wordWrap/>
        <w:overflowPunct/>
        <w:topLinePunct w:val="0"/>
        <w:autoSpaceDE/>
        <w:autoSpaceDN/>
        <w:bidi w:val="0"/>
        <w:adjustRightInd/>
        <w:snapToGrid/>
        <w:spacing w:beforeAutospacing="0" w:afterAutospacing="0" w:line="440" w:lineRule="exact"/>
        <w:ind w:firstLine="420"/>
        <w:jc w:val="both"/>
        <w:textAlignment w:val="auto"/>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5</w:t>
      </w:r>
      <w:r>
        <w:rPr>
          <w:rFonts w:cs="宋体"/>
          <w:b w:val="0"/>
          <w:bCs w:val="0"/>
          <w:color w:val="auto"/>
          <w:sz w:val="21"/>
          <w:szCs w:val="21"/>
          <w:highlight w:val="none"/>
          <w:shd w:val="clear" w:color="auto" w:fill="FFFFFF"/>
        </w:rPr>
        <w:t xml:space="preserve">.2 潜在投标人访问“苏采云”系统方法：江苏省政府采购网首页-“苏采云”链接。 </w:t>
      </w:r>
    </w:p>
    <w:p w14:paraId="0F39C956">
      <w:pPr>
        <w:pStyle w:val="3"/>
        <w:keepNext w:val="0"/>
        <w:keepLines w:val="0"/>
        <w:pageBreakBefore w:val="0"/>
        <w:widowControl/>
        <w:shd w:val="clear" w:color="auto"/>
        <w:kinsoku/>
        <w:wordWrap/>
        <w:overflowPunct/>
        <w:topLinePunct w:val="0"/>
        <w:autoSpaceDE/>
        <w:autoSpaceDN/>
        <w:bidi w:val="0"/>
        <w:adjustRightInd/>
        <w:snapToGrid/>
        <w:spacing w:beforeAutospacing="0" w:afterAutospacing="0" w:line="440" w:lineRule="exact"/>
        <w:ind w:firstLine="420"/>
        <w:jc w:val="both"/>
        <w:textAlignment w:val="auto"/>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5</w:t>
      </w:r>
      <w:r>
        <w:rPr>
          <w:rFonts w:cs="宋体"/>
          <w:b w:val="0"/>
          <w:bCs w:val="0"/>
          <w:color w:val="auto"/>
          <w:sz w:val="21"/>
          <w:szCs w:val="21"/>
          <w:highlight w:val="none"/>
          <w:shd w:val="clear" w:color="auto" w:fill="FFFFFF"/>
        </w:rPr>
        <w:t xml:space="preserve">.3 采购文件（后缀名为“.kedt”）、供应商操作手册及政府采购客户端工具可通过“苏采云”系统相应链接进行下载。 </w:t>
      </w:r>
    </w:p>
    <w:p w14:paraId="4F6DBB89">
      <w:pPr>
        <w:pStyle w:val="3"/>
        <w:keepNext w:val="0"/>
        <w:keepLines w:val="0"/>
        <w:pageBreakBefore w:val="0"/>
        <w:widowControl/>
        <w:shd w:val="clear" w:color="auto"/>
        <w:kinsoku/>
        <w:wordWrap/>
        <w:overflowPunct/>
        <w:topLinePunct w:val="0"/>
        <w:autoSpaceDE/>
        <w:autoSpaceDN/>
        <w:bidi w:val="0"/>
        <w:adjustRightInd/>
        <w:snapToGrid/>
        <w:spacing w:beforeAutospacing="0" w:afterAutospacing="0" w:line="440" w:lineRule="exact"/>
        <w:ind w:firstLine="420"/>
        <w:jc w:val="both"/>
        <w:textAlignment w:val="auto"/>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5</w:t>
      </w:r>
      <w:r>
        <w:rPr>
          <w:rFonts w:cs="宋体"/>
          <w:b w:val="0"/>
          <w:bCs w:val="0"/>
          <w:color w:val="auto"/>
          <w:sz w:val="21"/>
          <w:szCs w:val="21"/>
          <w:highlight w:val="none"/>
          <w:shd w:val="clear" w:color="auto" w:fill="FFFFFF"/>
        </w:rPr>
        <w:t xml:space="preserve">.4 采购代理机构将数据电文形式的采购文件加载至“苏采云”系统，供潜在供应商下载或者查阅。 </w:t>
      </w:r>
    </w:p>
    <w:p w14:paraId="5113A976">
      <w:pPr>
        <w:pStyle w:val="3"/>
        <w:keepNext w:val="0"/>
        <w:keepLines w:val="0"/>
        <w:pageBreakBefore w:val="0"/>
        <w:widowControl/>
        <w:shd w:val="clear" w:color="auto"/>
        <w:kinsoku/>
        <w:wordWrap/>
        <w:overflowPunct/>
        <w:topLinePunct w:val="0"/>
        <w:autoSpaceDE/>
        <w:autoSpaceDN/>
        <w:bidi w:val="0"/>
        <w:adjustRightInd/>
        <w:snapToGrid/>
        <w:spacing w:beforeAutospacing="0" w:afterAutospacing="0" w:line="440" w:lineRule="exact"/>
        <w:ind w:firstLine="420"/>
        <w:jc w:val="both"/>
        <w:textAlignment w:val="auto"/>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5</w:t>
      </w:r>
      <w:r>
        <w:rPr>
          <w:rFonts w:cs="宋体"/>
          <w:b w:val="0"/>
          <w:bCs w:val="0"/>
          <w:color w:val="auto"/>
          <w:sz w:val="21"/>
          <w:szCs w:val="21"/>
          <w:highlight w:val="none"/>
          <w:shd w:val="clear" w:color="auto" w:fill="FFFFFF"/>
        </w:rPr>
        <w:t xml:space="preserve">.5 请潜在投标单位提前安装相应的控件（详见《“苏采云”系统供应商操作手册》）并使用谷歌浏览器登录“苏采云”系统参与不见面开评标。 </w:t>
      </w:r>
    </w:p>
    <w:p w14:paraId="5692818A">
      <w:pPr>
        <w:pStyle w:val="3"/>
        <w:keepNext w:val="0"/>
        <w:keepLines w:val="0"/>
        <w:pageBreakBefore w:val="0"/>
        <w:widowControl/>
        <w:shd w:val="clear" w:color="auto"/>
        <w:kinsoku/>
        <w:wordWrap/>
        <w:overflowPunct/>
        <w:topLinePunct w:val="0"/>
        <w:autoSpaceDE/>
        <w:autoSpaceDN/>
        <w:bidi w:val="0"/>
        <w:adjustRightInd/>
        <w:snapToGrid/>
        <w:spacing w:beforeAutospacing="0" w:afterAutospacing="0" w:line="440" w:lineRule="exact"/>
        <w:ind w:firstLine="420"/>
        <w:jc w:val="both"/>
        <w:textAlignment w:val="auto"/>
        <w:rPr>
          <w:rFonts w:cs="宋体"/>
          <w:b w:val="0"/>
          <w:bCs w:val="0"/>
          <w:color w:val="auto"/>
          <w:sz w:val="21"/>
          <w:szCs w:val="21"/>
          <w:highlight w:val="none"/>
          <w:shd w:val="clear" w:color="auto" w:fill="FFFFFF"/>
        </w:rPr>
      </w:pPr>
      <w:r>
        <w:rPr>
          <w:rFonts w:cs="宋体"/>
          <w:b w:val="0"/>
          <w:bCs w:val="0"/>
          <w:color w:val="auto"/>
          <w:sz w:val="21"/>
          <w:szCs w:val="21"/>
          <w:highlight w:val="none"/>
          <w:shd w:val="clear" w:color="auto" w:fill="FFFFFF"/>
        </w:rPr>
        <w:t>如潜在投标人未按上述要求操作，将自行承担所产生的风险。</w:t>
      </w:r>
    </w:p>
    <w:p w14:paraId="62464DCE">
      <w:pPr>
        <w:pStyle w:val="3"/>
        <w:keepNext w:val="0"/>
        <w:keepLines w:val="0"/>
        <w:pageBreakBefore w:val="0"/>
        <w:widowControl/>
        <w:shd w:val="clear" w:color="auto"/>
        <w:kinsoku/>
        <w:wordWrap/>
        <w:overflowPunct/>
        <w:topLinePunct w:val="0"/>
        <w:autoSpaceDE/>
        <w:autoSpaceDN/>
        <w:bidi w:val="0"/>
        <w:adjustRightInd/>
        <w:snapToGrid/>
        <w:spacing w:beforeAutospacing="0" w:afterAutospacing="0" w:line="440" w:lineRule="exact"/>
        <w:ind w:firstLine="420"/>
        <w:jc w:val="both"/>
        <w:textAlignment w:val="auto"/>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6</w:t>
      </w:r>
      <w:r>
        <w:rPr>
          <w:rFonts w:cs="宋体"/>
          <w:b w:val="0"/>
          <w:bCs w:val="0"/>
          <w:color w:val="auto"/>
          <w:sz w:val="21"/>
          <w:szCs w:val="21"/>
          <w:highlight w:val="none"/>
          <w:shd w:val="clear" w:color="auto" w:fill="FFFFFF"/>
        </w:rPr>
        <w:t>.有关本次招标的事项若存在变动或修改，敬请及时关注盐城市政府采购中心在“中国政府采购网”、“江苏政府采购网”、“盐城市政府采购网”发布的更正公告。</w:t>
      </w:r>
    </w:p>
    <w:p w14:paraId="3A2DB314">
      <w:pPr>
        <w:pStyle w:val="3"/>
        <w:keepNext w:val="0"/>
        <w:keepLines w:val="0"/>
        <w:pageBreakBefore w:val="0"/>
        <w:widowControl/>
        <w:shd w:val="clear" w:color="auto"/>
        <w:kinsoku/>
        <w:wordWrap/>
        <w:overflowPunct/>
        <w:topLinePunct w:val="0"/>
        <w:autoSpaceDE/>
        <w:autoSpaceDN/>
        <w:bidi w:val="0"/>
        <w:adjustRightInd/>
        <w:snapToGrid/>
        <w:spacing w:beforeAutospacing="0" w:afterAutospacing="0" w:line="440" w:lineRule="exact"/>
        <w:ind w:firstLine="420"/>
        <w:jc w:val="both"/>
        <w:textAlignment w:val="auto"/>
        <w:rPr>
          <w:rFonts w:hint="eastAsia" w:eastAsia="宋体" w:cs="宋体"/>
          <w:b w:val="0"/>
          <w:bCs w:val="0"/>
          <w:color w:val="auto"/>
          <w:sz w:val="21"/>
          <w:szCs w:val="21"/>
          <w:highlight w:val="none"/>
          <w:shd w:val="clear" w:color="auto" w:fill="FFFFFF"/>
          <w:lang w:val="en-US" w:eastAsia="zh-CN"/>
        </w:rPr>
      </w:pPr>
      <w:r>
        <w:rPr>
          <w:rFonts w:hint="eastAsia" w:cs="宋体"/>
          <w:b w:val="0"/>
          <w:bCs w:val="0"/>
          <w:color w:val="auto"/>
          <w:sz w:val="21"/>
          <w:szCs w:val="21"/>
          <w:highlight w:val="none"/>
          <w:shd w:val="clear" w:color="auto" w:fill="FFFFFF"/>
          <w:lang w:val="en-US" w:eastAsia="zh-CN"/>
        </w:rPr>
        <w:t>7</w:t>
      </w:r>
      <w:r>
        <w:rPr>
          <w:rFonts w:cs="宋体"/>
          <w:b w:val="0"/>
          <w:bCs w:val="0"/>
          <w:color w:val="auto"/>
          <w:sz w:val="21"/>
          <w:szCs w:val="21"/>
          <w:highlight w:val="none"/>
          <w:shd w:val="clear" w:color="auto" w:fill="FFFFFF"/>
        </w:rPr>
        <w:t>.本次招标不收取投标保证金</w:t>
      </w:r>
      <w:r>
        <w:rPr>
          <w:rFonts w:hint="eastAsia" w:cs="宋体"/>
          <w:b w:val="0"/>
          <w:bCs w:val="0"/>
          <w:color w:val="auto"/>
          <w:sz w:val="21"/>
          <w:szCs w:val="21"/>
          <w:highlight w:val="none"/>
          <w:shd w:val="clear" w:color="auto" w:fill="FFFFFF"/>
          <w:lang w:eastAsia="zh-CN"/>
        </w:rPr>
        <w:t>。</w:t>
      </w:r>
    </w:p>
    <w:p w14:paraId="7CE55C2E">
      <w:pPr>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七</w:t>
      </w:r>
      <w:r>
        <w:rPr>
          <w:rFonts w:hint="eastAsia" w:ascii="宋体" w:hAnsi="宋体" w:cs="宋体"/>
          <w:b/>
          <w:bCs/>
          <w:color w:val="auto"/>
          <w:sz w:val="21"/>
          <w:szCs w:val="21"/>
          <w:highlight w:val="none"/>
        </w:rPr>
        <w:t>、对本次招标提出询问，请按以下方式联系。</w:t>
      </w:r>
      <w:bookmarkEnd w:id="11"/>
      <w:bookmarkEnd w:id="12"/>
      <w:bookmarkEnd w:id="13"/>
      <w:bookmarkEnd w:id="14"/>
    </w:p>
    <w:p w14:paraId="370900FD">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bCs/>
          <w:color w:val="auto"/>
          <w:sz w:val="21"/>
          <w:szCs w:val="21"/>
          <w:highlight w:val="none"/>
        </w:rPr>
      </w:pPr>
      <w:bookmarkStart w:id="31" w:name="_Toc120614211"/>
      <w:r>
        <w:rPr>
          <w:rFonts w:hint="eastAsia" w:ascii="宋体" w:hAnsi="宋体"/>
          <w:bCs/>
          <w:color w:val="auto"/>
          <w:sz w:val="21"/>
          <w:szCs w:val="21"/>
          <w:highlight w:val="none"/>
        </w:rPr>
        <w:t>1.采购人信息</w:t>
      </w:r>
    </w:p>
    <w:p w14:paraId="3F74B1A5">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bCs/>
          <w:color w:val="auto"/>
          <w:sz w:val="21"/>
          <w:szCs w:val="21"/>
          <w:highlight w:val="none"/>
          <w:lang w:eastAsia="zh-CN"/>
        </w:rPr>
      </w:pPr>
      <w:r>
        <w:rPr>
          <w:rFonts w:hint="eastAsia" w:ascii="宋体" w:hAnsi="宋体"/>
          <w:bCs/>
          <w:color w:val="auto"/>
          <w:sz w:val="21"/>
          <w:szCs w:val="21"/>
          <w:highlight w:val="none"/>
        </w:rPr>
        <w:t>名    称：</w:t>
      </w:r>
      <w:r>
        <w:rPr>
          <w:rFonts w:hint="eastAsia" w:ascii="宋体" w:hAnsi="宋体"/>
          <w:bCs/>
          <w:color w:val="auto"/>
          <w:sz w:val="21"/>
          <w:szCs w:val="21"/>
          <w:highlight w:val="none"/>
          <w:lang w:eastAsia="zh-CN"/>
        </w:rPr>
        <w:t>盐城市大丰区南阳镇人民政府</w:t>
      </w:r>
    </w:p>
    <w:p w14:paraId="0D3809BF">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Times New Roman"/>
          <w:bCs/>
          <w:color w:val="auto"/>
          <w:sz w:val="21"/>
          <w:szCs w:val="21"/>
          <w:highlight w:val="none"/>
          <w:lang w:eastAsia="zh-CN"/>
        </w:rPr>
      </w:pPr>
      <w:r>
        <w:rPr>
          <w:rFonts w:hint="eastAsia" w:ascii="宋体" w:hAnsi="宋体"/>
          <w:bCs/>
          <w:color w:val="auto"/>
          <w:sz w:val="21"/>
          <w:szCs w:val="21"/>
          <w:highlight w:val="none"/>
        </w:rPr>
        <w:t>地    址：</w:t>
      </w:r>
      <w:r>
        <w:rPr>
          <w:rFonts w:hint="eastAsia" w:ascii="宋体" w:hAnsi="宋体" w:eastAsia="宋体" w:cs="Times New Roman"/>
          <w:bCs/>
          <w:color w:val="auto"/>
          <w:sz w:val="21"/>
          <w:szCs w:val="21"/>
          <w:highlight w:val="none"/>
          <w:lang w:eastAsia="zh-CN"/>
        </w:rPr>
        <w:t>江苏省盐城市大丰区南阳镇幸福路9号</w:t>
      </w:r>
    </w:p>
    <w:p w14:paraId="76ACF044">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联系人：</w:t>
      </w:r>
      <w:r>
        <w:rPr>
          <w:rFonts w:hint="eastAsia" w:ascii="宋体" w:hAnsi="宋体"/>
          <w:bCs/>
          <w:color w:val="auto"/>
          <w:sz w:val="21"/>
          <w:szCs w:val="21"/>
          <w:highlight w:val="none"/>
          <w:lang w:val="en-US" w:eastAsia="zh-CN"/>
        </w:rPr>
        <w:t>张雷</w:t>
      </w:r>
      <w:r>
        <w:rPr>
          <w:rFonts w:hint="eastAsia" w:ascii="宋体" w:hAnsi="宋体"/>
          <w:bCs/>
          <w:color w:val="auto"/>
          <w:sz w:val="21"/>
          <w:szCs w:val="21"/>
          <w:highlight w:val="none"/>
        </w:rPr>
        <w:t xml:space="preserve">      </w:t>
      </w:r>
    </w:p>
    <w:p w14:paraId="729217CA">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rPr>
        <w:t>联系电话：13770236099</w:t>
      </w:r>
    </w:p>
    <w:p w14:paraId="0533698A">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2.采购代理机构信息</w:t>
      </w:r>
    </w:p>
    <w:p w14:paraId="04C44DD1">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bCs/>
          <w:color w:val="auto"/>
          <w:sz w:val="21"/>
          <w:szCs w:val="21"/>
          <w:highlight w:val="none"/>
          <w:lang w:eastAsia="zh-CN"/>
        </w:rPr>
      </w:pPr>
      <w:r>
        <w:rPr>
          <w:rFonts w:hint="eastAsia" w:ascii="宋体" w:hAnsi="宋体"/>
          <w:bCs/>
          <w:color w:val="auto"/>
          <w:sz w:val="21"/>
          <w:szCs w:val="21"/>
          <w:highlight w:val="none"/>
        </w:rPr>
        <w:t>名    称：</w:t>
      </w:r>
      <w:r>
        <w:rPr>
          <w:rFonts w:hint="eastAsia" w:ascii="宋体" w:hAnsi="宋体"/>
          <w:bCs/>
          <w:color w:val="auto"/>
          <w:sz w:val="21"/>
          <w:szCs w:val="21"/>
          <w:highlight w:val="none"/>
          <w:lang w:eastAsia="zh-CN"/>
        </w:rPr>
        <w:t>江苏成顺项目管理有限公司</w:t>
      </w:r>
    </w:p>
    <w:p w14:paraId="2216C6B2">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rPr>
        <w:t>地　　址：</w:t>
      </w:r>
      <w:r>
        <w:rPr>
          <w:rFonts w:hint="eastAsia" w:ascii="宋体" w:hAnsi="宋体" w:eastAsia="宋体" w:cs="Times New Roman"/>
          <w:bCs/>
          <w:color w:val="auto"/>
          <w:sz w:val="21"/>
          <w:szCs w:val="21"/>
          <w:highlight w:val="none"/>
          <w:lang w:eastAsia="zh-CN"/>
        </w:rPr>
        <w:t>大丰区黄海东路四号四楼会议室（白玉兰酒店东侧）</w:t>
      </w:r>
    </w:p>
    <w:p w14:paraId="52304A8A">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联系人：</w:t>
      </w:r>
      <w:r>
        <w:rPr>
          <w:rFonts w:hint="eastAsia" w:ascii="宋体" w:hAnsi="宋体"/>
          <w:bCs/>
          <w:color w:val="auto"/>
          <w:sz w:val="21"/>
          <w:szCs w:val="21"/>
          <w:highlight w:val="none"/>
          <w:lang w:eastAsia="zh-CN"/>
        </w:rPr>
        <w:t>刘伟</w:t>
      </w:r>
      <w:r>
        <w:rPr>
          <w:rFonts w:hint="eastAsia" w:ascii="宋体" w:hAnsi="宋体"/>
          <w:bCs/>
          <w:color w:val="auto"/>
          <w:sz w:val="21"/>
          <w:szCs w:val="21"/>
          <w:highlight w:val="none"/>
        </w:rPr>
        <w:t xml:space="preserve">                            </w:t>
      </w:r>
    </w:p>
    <w:p w14:paraId="0CF1BA47">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联系电话：</w:t>
      </w:r>
      <w:r>
        <w:rPr>
          <w:rFonts w:hint="eastAsia" w:ascii="宋体" w:hAnsi="宋体"/>
          <w:bCs/>
          <w:color w:val="auto"/>
          <w:sz w:val="21"/>
          <w:szCs w:val="21"/>
          <w:highlight w:val="none"/>
          <w:lang w:eastAsia="zh-CN"/>
        </w:rPr>
        <w:t>18261202233</w:t>
      </w:r>
      <w:r>
        <w:rPr>
          <w:rFonts w:hint="eastAsia" w:ascii="宋体" w:hAnsi="宋体"/>
          <w:bCs/>
          <w:color w:val="auto"/>
          <w:sz w:val="21"/>
          <w:szCs w:val="21"/>
          <w:highlight w:val="none"/>
        </w:rPr>
        <w:t xml:space="preserve"> 　  　 </w:t>
      </w:r>
    </w:p>
    <w:p w14:paraId="6BB84689">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3.项目联系方式</w:t>
      </w:r>
    </w:p>
    <w:p w14:paraId="5CF77E44">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联系人：</w:t>
      </w:r>
      <w:r>
        <w:rPr>
          <w:rFonts w:hint="eastAsia" w:ascii="宋体" w:hAnsi="宋体"/>
          <w:bCs/>
          <w:color w:val="auto"/>
          <w:sz w:val="21"/>
          <w:szCs w:val="21"/>
          <w:highlight w:val="none"/>
          <w:lang w:eastAsia="zh-CN"/>
        </w:rPr>
        <w:t>刘伟</w:t>
      </w:r>
      <w:r>
        <w:rPr>
          <w:rFonts w:hint="eastAsia" w:ascii="宋体" w:hAnsi="宋体"/>
          <w:bCs/>
          <w:color w:val="auto"/>
          <w:sz w:val="21"/>
          <w:szCs w:val="21"/>
          <w:highlight w:val="none"/>
        </w:rPr>
        <w:t xml:space="preserve">                            </w:t>
      </w:r>
    </w:p>
    <w:p w14:paraId="00D9E431">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联系电话：18261202233 </w:t>
      </w:r>
    </w:p>
    <w:p w14:paraId="4DD732E3">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ascii="宋体" w:hAnsi="宋体"/>
          <w:bCs/>
          <w:color w:val="auto"/>
          <w:sz w:val="21"/>
          <w:szCs w:val="21"/>
          <w:highlight w:val="none"/>
        </w:rPr>
      </w:pPr>
      <w:r>
        <w:rPr>
          <w:rFonts w:hint="eastAsia" w:ascii="宋体" w:hAnsi="宋体"/>
          <w:bCs/>
          <w:color w:val="auto"/>
          <w:sz w:val="21"/>
          <w:szCs w:val="21"/>
          <w:highlight w:val="none"/>
        </w:rPr>
        <w:t>4</w:t>
      </w:r>
      <w:r>
        <w:rPr>
          <w:rFonts w:ascii="宋体" w:hAnsi="宋体"/>
          <w:bCs/>
          <w:color w:val="auto"/>
          <w:sz w:val="21"/>
          <w:szCs w:val="21"/>
          <w:highlight w:val="none"/>
        </w:rPr>
        <w:t>.</w:t>
      </w:r>
      <w:r>
        <w:rPr>
          <w:rFonts w:hint="eastAsia" w:ascii="宋体" w:hAnsi="宋体"/>
          <w:bCs/>
          <w:color w:val="auto"/>
          <w:sz w:val="21"/>
          <w:szCs w:val="21"/>
          <w:highlight w:val="none"/>
        </w:rPr>
        <w:t>软件技术支持：</w:t>
      </w:r>
      <w:r>
        <w:rPr>
          <w:rFonts w:ascii="宋体" w:hAnsi="宋体"/>
          <w:bCs/>
          <w:color w:val="auto"/>
          <w:sz w:val="21"/>
          <w:szCs w:val="21"/>
          <w:highlight w:val="none"/>
        </w:rPr>
        <w:t>0519-86722805</w:t>
      </w:r>
    </w:p>
    <w:p w14:paraId="2E2FECD0">
      <w:pPr>
        <w:spacing w:line="360" w:lineRule="auto"/>
        <w:jc w:val="center"/>
        <w:rPr>
          <w:rFonts w:hint="eastAsia" w:ascii="黑体" w:eastAsia="黑体"/>
          <w:color w:val="auto"/>
          <w:sz w:val="36"/>
          <w:szCs w:val="36"/>
          <w:highlight w:val="none"/>
        </w:rPr>
      </w:pPr>
    </w:p>
    <w:p w14:paraId="156EFE7C">
      <w:pPr>
        <w:spacing w:line="360" w:lineRule="auto"/>
        <w:jc w:val="center"/>
        <w:rPr>
          <w:rFonts w:hint="eastAsia" w:ascii="黑体" w:eastAsia="黑体"/>
          <w:color w:val="auto"/>
          <w:sz w:val="36"/>
          <w:szCs w:val="36"/>
          <w:highlight w:val="none"/>
        </w:rPr>
      </w:pPr>
    </w:p>
    <w:p w14:paraId="6C9D493A">
      <w:pPr>
        <w:spacing w:line="360" w:lineRule="auto"/>
        <w:jc w:val="center"/>
        <w:rPr>
          <w:rFonts w:hint="eastAsia" w:ascii="黑体" w:eastAsia="黑体"/>
          <w:color w:val="auto"/>
          <w:sz w:val="36"/>
          <w:szCs w:val="36"/>
          <w:highlight w:val="none"/>
        </w:rPr>
      </w:pPr>
    </w:p>
    <w:p w14:paraId="3DDF22C5">
      <w:pPr>
        <w:spacing w:line="360" w:lineRule="auto"/>
        <w:jc w:val="center"/>
        <w:rPr>
          <w:rFonts w:hint="eastAsia" w:ascii="黑体" w:eastAsia="黑体"/>
          <w:color w:val="auto"/>
          <w:sz w:val="36"/>
          <w:szCs w:val="36"/>
          <w:highlight w:val="none"/>
        </w:rPr>
      </w:pPr>
    </w:p>
    <w:p w14:paraId="461FC16E">
      <w:pPr>
        <w:spacing w:line="360" w:lineRule="auto"/>
        <w:jc w:val="center"/>
        <w:rPr>
          <w:rFonts w:hint="eastAsia" w:ascii="黑体" w:eastAsia="黑体"/>
          <w:b/>
          <w:bCs/>
          <w:color w:val="auto"/>
          <w:highlight w:val="none"/>
        </w:rPr>
      </w:pPr>
      <w:r>
        <w:rPr>
          <w:rFonts w:hint="eastAsia" w:ascii="黑体" w:eastAsia="黑体"/>
          <w:color w:val="auto"/>
          <w:sz w:val="36"/>
          <w:szCs w:val="36"/>
          <w:highlight w:val="none"/>
        </w:rPr>
        <w:t xml:space="preserve">第二章  </w:t>
      </w:r>
      <w:bookmarkEnd w:id="1"/>
      <w:bookmarkEnd w:id="2"/>
      <w:bookmarkEnd w:id="3"/>
      <w:bookmarkEnd w:id="4"/>
      <w:bookmarkEnd w:id="5"/>
      <w:bookmarkEnd w:id="31"/>
      <w:bookmarkStart w:id="32" w:name="_Toc513029202"/>
      <w:bookmarkStart w:id="33" w:name="_Toc16938518"/>
      <w:bookmarkStart w:id="34" w:name="_Toc120614213"/>
      <w:bookmarkStart w:id="35" w:name="_Toc20823274"/>
      <w:r>
        <w:rPr>
          <w:rFonts w:hint="eastAsia" w:ascii="黑体" w:eastAsia="黑体"/>
          <w:color w:val="auto"/>
          <w:sz w:val="36"/>
          <w:szCs w:val="36"/>
          <w:highlight w:val="none"/>
        </w:rPr>
        <w:t>投标人须知</w:t>
      </w:r>
      <w:bookmarkEnd w:id="32"/>
      <w:bookmarkEnd w:id="33"/>
      <w:bookmarkEnd w:id="34"/>
      <w:bookmarkEnd w:id="35"/>
    </w:p>
    <w:p w14:paraId="0E6C32FA">
      <w:pPr>
        <w:pStyle w:val="32"/>
        <w:keepNext/>
        <w:keepLines/>
        <w:pageBreakBefore w:val="0"/>
        <w:spacing w:beforeAutospacing="0" w:afterAutospacing="0" w:line="360" w:lineRule="auto"/>
        <w:ind w:firstLine="498"/>
        <w:jc w:val="both"/>
        <w:rPr>
          <w:rFonts w:hint="eastAsia" w:ascii="宋体" w:hAnsi="宋体" w:eastAsia="宋体" w:cs="宋体"/>
          <w:color w:val="auto"/>
          <w:sz w:val="21"/>
          <w:szCs w:val="21"/>
          <w:highlight w:val="none"/>
        </w:rPr>
      </w:pPr>
      <w:bookmarkStart w:id="36" w:name="_Toc20823314"/>
      <w:bookmarkStart w:id="37" w:name="_Toc120614221"/>
      <w:bookmarkStart w:id="38" w:name="_Toc513029242"/>
      <w:bookmarkStart w:id="39" w:name="_Toc16938558"/>
      <w:bookmarkStart w:id="40" w:name="_Toc479757207"/>
      <w:r>
        <w:rPr>
          <w:rFonts w:hint="eastAsia" w:ascii="宋体" w:hAnsi="宋体" w:eastAsia="宋体" w:cs="宋体"/>
          <w:b/>
          <w:color w:val="auto"/>
          <w:sz w:val="21"/>
          <w:szCs w:val="21"/>
          <w:highlight w:val="none"/>
        </w:rPr>
        <w:t>一、总则</w:t>
      </w:r>
    </w:p>
    <w:p w14:paraId="614BD184">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bookmarkStart w:id="41" w:name="_Toc458694821"/>
      <w:bookmarkEnd w:id="41"/>
      <w:bookmarkStart w:id="42" w:name="_Toc20823276"/>
      <w:bookmarkEnd w:id="42"/>
      <w:bookmarkStart w:id="43" w:name="_Toc513029204"/>
      <w:bookmarkEnd w:id="43"/>
      <w:bookmarkStart w:id="44" w:name="_Toc16938520"/>
      <w:bookmarkEnd w:id="44"/>
      <w:r>
        <w:rPr>
          <w:rFonts w:hint="eastAsia" w:ascii="宋体" w:hAnsi="宋体" w:eastAsia="宋体" w:cs="宋体"/>
          <w:color w:val="auto"/>
          <w:sz w:val="21"/>
          <w:szCs w:val="21"/>
          <w:highlight w:val="none"/>
        </w:rPr>
        <w:t>1、招标方式</w:t>
      </w:r>
    </w:p>
    <w:p w14:paraId="2F4B2928">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1.1本次招标采取公开招标方式，本招标文件仅适用于招标公告中所述项目。</w:t>
      </w:r>
    </w:p>
    <w:p w14:paraId="4C2FB0A8">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bookmarkStart w:id="45" w:name="_Toc513029205"/>
      <w:bookmarkEnd w:id="45"/>
      <w:bookmarkStart w:id="46" w:name="_Toc20823277"/>
      <w:bookmarkEnd w:id="46"/>
      <w:bookmarkStart w:id="47" w:name="_Toc16938521"/>
      <w:bookmarkEnd w:id="47"/>
      <w:r>
        <w:rPr>
          <w:rFonts w:hint="eastAsia" w:ascii="宋体" w:hAnsi="宋体" w:eastAsia="宋体" w:cs="宋体"/>
          <w:color w:val="auto"/>
          <w:sz w:val="21"/>
          <w:szCs w:val="21"/>
          <w:highlight w:val="none"/>
        </w:rPr>
        <w:t>2、合格的投标人</w:t>
      </w:r>
    </w:p>
    <w:p w14:paraId="5DB8BE52">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2.1满足招标公告中供应商的资格要求的规定。</w:t>
      </w:r>
    </w:p>
    <w:p w14:paraId="795390B9">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2.2满足本文件实质性要求和条件的规定。</w:t>
      </w:r>
    </w:p>
    <w:p w14:paraId="3A36C43D">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bookmarkStart w:id="48" w:name="_Toc20823278"/>
      <w:bookmarkEnd w:id="48"/>
      <w:bookmarkStart w:id="49" w:name="_Toc16938522"/>
      <w:bookmarkEnd w:id="49"/>
      <w:bookmarkStart w:id="50" w:name="_Toc513029206"/>
      <w:bookmarkEnd w:id="50"/>
      <w:r>
        <w:rPr>
          <w:rFonts w:hint="eastAsia" w:ascii="宋体" w:hAnsi="宋体" w:eastAsia="宋体" w:cs="宋体"/>
          <w:color w:val="auto"/>
          <w:sz w:val="21"/>
          <w:szCs w:val="21"/>
          <w:highlight w:val="none"/>
        </w:rPr>
        <w:t>3、适用法律</w:t>
      </w:r>
    </w:p>
    <w:p w14:paraId="265C9850">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3.1本次招标及由此产生的合同受中华人民共和国有关的法律法规制约和保护。</w:t>
      </w:r>
    </w:p>
    <w:p w14:paraId="7790A1AE">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bookmarkStart w:id="51" w:name="_Toc462564067"/>
      <w:bookmarkEnd w:id="51"/>
      <w:bookmarkStart w:id="52" w:name="_Toc513029207"/>
      <w:bookmarkEnd w:id="52"/>
      <w:bookmarkStart w:id="53" w:name="_Toc20823279"/>
      <w:bookmarkEnd w:id="53"/>
      <w:bookmarkStart w:id="54" w:name="_Toc16938523"/>
      <w:bookmarkEnd w:id="54"/>
      <w:r>
        <w:rPr>
          <w:rFonts w:hint="eastAsia" w:ascii="宋体" w:hAnsi="宋体" w:eastAsia="宋体" w:cs="宋体"/>
          <w:color w:val="auto"/>
          <w:sz w:val="21"/>
          <w:szCs w:val="21"/>
          <w:highlight w:val="none"/>
        </w:rPr>
        <w:t>4、投标费用</w:t>
      </w:r>
    </w:p>
    <w:p w14:paraId="1E953980">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在任何情况下均无义务和责任承担这些费用。</w:t>
      </w:r>
    </w:p>
    <w:p w14:paraId="7575165A">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招标代理服务费：本次招标代理服务费由中标单位向招标代理机构支付。中标单位须在领取中标通知书时向招标代理机构一次性付清。该费用折算在报价中，不在投标文件中单独列出。招标代理服务费按照按《江苏省招标代理服务费收费的指导意见》（苏招协【2022】002号）</w:t>
      </w:r>
      <w:r>
        <w:rPr>
          <w:rFonts w:hint="eastAsia" w:ascii="宋体" w:hAnsi="宋体" w:eastAsia="宋体" w:cs="宋体"/>
          <w:color w:val="auto"/>
          <w:sz w:val="21"/>
          <w:szCs w:val="21"/>
          <w:highlight w:val="none"/>
          <w:lang w:eastAsia="zh-CN"/>
        </w:rPr>
        <w:t>服务类标准</w:t>
      </w:r>
      <w:r>
        <w:rPr>
          <w:rFonts w:hint="eastAsia" w:ascii="宋体" w:hAnsi="宋体" w:eastAsia="宋体" w:cs="宋体"/>
          <w:color w:val="auto"/>
          <w:sz w:val="21"/>
          <w:szCs w:val="21"/>
          <w:highlight w:val="none"/>
        </w:rPr>
        <w:t>计取。</w:t>
      </w:r>
    </w:p>
    <w:p w14:paraId="69AE12F8">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5、招标文件的约束力</w:t>
      </w:r>
    </w:p>
    <w:p w14:paraId="78B003C5">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5.1投标人一旦参加本项目采购活动，即被认为接受了本招标文件的规定和约束。</w:t>
      </w:r>
    </w:p>
    <w:p w14:paraId="08F2E353">
      <w:pPr>
        <w:pStyle w:val="32"/>
        <w:keepNext/>
        <w:keepLines/>
        <w:pageBreakBefore w:val="0"/>
        <w:spacing w:beforeAutospacing="0" w:afterAutospacing="0" w:line="360" w:lineRule="auto"/>
        <w:ind w:firstLine="321"/>
        <w:jc w:val="both"/>
        <w:rPr>
          <w:rFonts w:hint="eastAsia" w:ascii="宋体" w:hAnsi="宋体" w:eastAsia="宋体" w:cs="宋体"/>
          <w:color w:val="auto"/>
          <w:sz w:val="21"/>
          <w:szCs w:val="21"/>
          <w:highlight w:val="none"/>
        </w:rPr>
      </w:pPr>
      <w:bookmarkStart w:id="55" w:name="_Toc513029209"/>
      <w:bookmarkEnd w:id="55"/>
      <w:bookmarkStart w:id="56" w:name="_Toc16938525"/>
      <w:bookmarkEnd w:id="56"/>
      <w:bookmarkStart w:id="57" w:name="_Toc20823281"/>
      <w:bookmarkEnd w:id="57"/>
      <w:bookmarkStart w:id="58" w:name="_Toc120614215"/>
      <w:bookmarkEnd w:id="58"/>
      <w:r>
        <w:rPr>
          <w:rFonts w:hint="eastAsia" w:ascii="宋体" w:hAnsi="宋体" w:eastAsia="宋体" w:cs="宋体"/>
          <w:b/>
          <w:color w:val="auto"/>
          <w:sz w:val="21"/>
          <w:szCs w:val="21"/>
          <w:highlight w:val="none"/>
        </w:rPr>
        <w:t>二、招标文件</w:t>
      </w:r>
    </w:p>
    <w:p w14:paraId="2F7DFBC2">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bookmarkStart w:id="59" w:name="_Toc16938526"/>
      <w:bookmarkEnd w:id="59"/>
      <w:bookmarkStart w:id="60" w:name="_Toc513029210"/>
      <w:bookmarkEnd w:id="60"/>
      <w:bookmarkStart w:id="61" w:name="_Toc20823282"/>
      <w:bookmarkEnd w:id="61"/>
      <w:r>
        <w:rPr>
          <w:rFonts w:hint="eastAsia" w:ascii="宋体" w:hAnsi="宋体" w:eastAsia="宋体" w:cs="宋体"/>
          <w:color w:val="auto"/>
          <w:sz w:val="21"/>
          <w:szCs w:val="21"/>
          <w:highlight w:val="none"/>
        </w:rPr>
        <w:t>6、招标文件构成</w:t>
      </w:r>
    </w:p>
    <w:p w14:paraId="21A43031">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招标文件由以下部分组成：</w:t>
      </w:r>
    </w:p>
    <w:p w14:paraId="3D7A759F">
      <w:pPr>
        <w:pStyle w:val="32"/>
        <w:pageBreakBefore w:val="0"/>
        <w:spacing w:beforeAutospacing="0" w:afterAutospacing="0" w:line="360" w:lineRule="auto"/>
        <w:ind w:firstLine="36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招标公告</w:t>
      </w:r>
    </w:p>
    <w:p w14:paraId="1BB1B188">
      <w:pPr>
        <w:pStyle w:val="32"/>
        <w:pageBreakBefore w:val="0"/>
        <w:spacing w:beforeAutospacing="0" w:afterAutospacing="0" w:line="360" w:lineRule="auto"/>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418574B3">
      <w:pPr>
        <w:pStyle w:val="32"/>
        <w:pageBreakBefore w:val="0"/>
        <w:spacing w:beforeAutospacing="0" w:afterAutospacing="0" w:line="360" w:lineRule="auto"/>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（3）合同文本</w:t>
      </w:r>
    </w:p>
    <w:p w14:paraId="2C8E2904">
      <w:pPr>
        <w:pStyle w:val="32"/>
        <w:pageBreakBefore w:val="0"/>
        <w:spacing w:beforeAutospacing="0" w:afterAutospacing="0" w:line="360" w:lineRule="auto"/>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（4）采购需求</w:t>
      </w:r>
    </w:p>
    <w:p w14:paraId="28DF3F02">
      <w:pPr>
        <w:pStyle w:val="32"/>
        <w:pageBreakBefore w:val="0"/>
        <w:spacing w:beforeAutospacing="0" w:afterAutospacing="0" w:line="360" w:lineRule="auto"/>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（5）评标方法与评标标准</w:t>
      </w:r>
    </w:p>
    <w:p w14:paraId="398E3652">
      <w:pPr>
        <w:pStyle w:val="32"/>
        <w:pageBreakBefore w:val="0"/>
        <w:spacing w:beforeAutospacing="0" w:afterAutospacing="0" w:line="360" w:lineRule="auto"/>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600E874A">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请仔细检查招标文件是否齐全，如有缺漏请立即与采购</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联系解决。</w:t>
      </w:r>
    </w:p>
    <w:p w14:paraId="79BB81AB">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7C3D233">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bookmarkStart w:id="62" w:name="_Toc513029211"/>
      <w:bookmarkEnd w:id="62"/>
      <w:bookmarkStart w:id="63" w:name="_Toc462564070"/>
      <w:bookmarkEnd w:id="63"/>
      <w:bookmarkStart w:id="64" w:name="_Toc20823283"/>
      <w:bookmarkEnd w:id="64"/>
      <w:bookmarkStart w:id="65" w:name="_Toc16938527"/>
      <w:bookmarkEnd w:id="65"/>
      <w:r>
        <w:rPr>
          <w:rFonts w:hint="eastAsia" w:ascii="宋体" w:hAnsi="宋体" w:eastAsia="宋体" w:cs="宋体"/>
          <w:color w:val="auto"/>
          <w:sz w:val="21"/>
          <w:szCs w:val="21"/>
          <w:highlight w:val="none"/>
        </w:rPr>
        <w:t>7、招标文件的澄清</w:t>
      </w:r>
    </w:p>
    <w:p w14:paraId="39D76596">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7.1任何要求对招标文件进行澄清的投标人，应在投标截止期</w:t>
      </w:r>
      <w:r>
        <w:rPr>
          <w:rFonts w:hint="eastAsia" w:ascii="宋体" w:hAnsi="宋体" w:eastAsia="宋体" w:cs="宋体"/>
          <w:b/>
          <w:color w:val="auto"/>
          <w:sz w:val="21"/>
          <w:szCs w:val="21"/>
          <w:highlight w:val="none"/>
        </w:rPr>
        <w:t>十日</w:t>
      </w:r>
      <w:r>
        <w:rPr>
          <w:rFonts w:hint="eastAsia" w:ascii="宋体" w:hAnsi="宋体" w:eastAsia="宋体" w:cs="宋体"/>
          <w:color w:val="auto"/>
          <w:sz w:val="21"/>
          <w:szCs w:val="21"/>
          <w:highlight w:val="none"/>
        </w:rPr>
        <w:t>前按招标公告中的通讯地址，以书面形式通知采购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w:t>
      </w:r>
    </w:p>
    <w:p w14:paraId="59F76D1C">
      <w:pPr>
        <w:pStyle w:val="32"/>
        <w:keepNext/>
        <w:keepLines/>
        <w:pageBreakBefore w:val="0"/>
        <w:numPr>
          <w:ilvl w:val="0"/>
          <w:numId w:val="2"/>
        </w:numPr>
        <w:spacing w:beforeAutospacing="0" w:afterAutospacing="0" w:line="360" w:lineRule="auto"/>
        <w:ind w:firstLine="420"/>
        <w:jc w:val="both"/>
        <w:rPr>
          <w:rFonts w:hint="eastAsia" w:ascii="宋体" w:hAnsi="宋体" w:eastAsia="宋体" w:cs="宋体"/>
          <w:color w:val="auto"/>
          <w:sz w:val="21"/>
          <w:szCs w:val="21"/>
          <w:highlight w:val="none"/>
        </w:rPr>
      </w:pPr>
      <w:bookmarkStart w:id="66" w:name="_Toc462564071"/>
      <w:bookmarkEnd w:id="66"/>
      <w:bookmarkStart w:id="67" w:name="_Toc20823284"/>
      <w:bookmarkEnd w:id="67"/>
      <w:bookmarkStart w:id="68" w:name="_Toc513029212"/>
      <w:bookmarkEnd w:id="68"/>
      <w:bookmarkStart w:id="69" w:name="_Toc16938528"/>
      <w:bookmarkEnd w:id="69"/>
      <w:r>
        <w:rPr>
          <w:rFonts w:hint="eastAsia" w:ascii="宋体" w:hAnsi="宋体" w:eastAsia="宋体" w:cs="宋体"/>
          <w:color w:val="auto"/>
          <w:sz w:val="21"/>
          <w:szCs w:val="21"/>
          <w:highlight w:val="none"/>
        </w:rPr>
        <w:t>招标文件的修改</w:t>
      </w:r>
      <w:r>
        <w:rPr>
          <w:rFonts w:hint="eastAsia" w:ascii="宋体" w:hAnsi="宋体" w:eastAsia="宋体" w:cs="宋体"/>
          <w:color w:val="auto"/>
          <w:sz w:val="21"/>
          <w:szCs w:val="21"/>
          <w:highlight w:val="none"/>
          <w:lang w:val="en-US" w:eastAsia="zh-CN"/>
        </w:rPr>
        <w:t xml:space="preserve"> </w:t>
      </w:r>
    </w:p>
    <w:p w14:paraId="7700E9F9">
      <w:pPr>
        <w:pStyle w:val="32"/>
        <w:keepNext/>
        <w:keepLines/>
        <w:pageBreakBefore w:val="0"/>
        <w:numPr>
          <w:ilvl w:val="0"/>
          <w:numId w:val="0"/>
        </w:numP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8.1在投标截止时间前，采购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可以对招标文件进行修改。</w:t>
      </w:r>
    </w:p>
    <w:p w14:paraId="67E217C1">
      <w:pPr>
        <w:pStyle w:val="32"/>
        <w:keepNext/>
        <w:keepLines/>
        <w:pageBreakBefore w:val="0"/>
        <w:numPr>
          <w:ilvl w:val="0"/>
          <w:numId w:val="0"/>
        </w:numP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有权按照法定的要求推迟投标截止日期和开标日期。</w:t>
      </w:r>
    </w:p>
    <w:p w14:paraId="45A1BF4B">
      <w:pPr>
        <w:pStyle w:val="32"/>
        <w:keepNext/>
        <w:keepLines/>
        <w:pageBreakBefore w:val="0"/>
        <w:numPr>
          <w:ilvl w:val="0"/>
          <w:numId w:val="0"/>
        </w:numP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8.3招标文件的修改将在</w:t>
      </w:r>
      <w:r>
        <w:rPr>
          <w:rFonts w:hint="eastAsia" w:ascii="宋体" w:hAnsi="宋体" w:eastAsia="宋体" w:cs="宋体"/>
          <w:color w:val="auto"/>
          <w:sz w:val="21"/>
          <w:szCs w:val="21"/>
          <w:highlight w:val="none"/>
          <w:lang w:val="en-US" w:eastAsia="zh-CN" w:bidi="ar-SA"/>
        </w:rPr>
        <w:t>中国政府采购网</w:t>
      </w:r>
      <w:r>
        <w:rPr>
          <w:rFonts w:hint="eastAsia" w:ascii="宋体" w:hAnsi="宋体" w:eastAsia="宋体" w:cs="宋体"/>
          <w:i w:val="0"/>
          <w:iCs w:val="0"/>
          <w:color w:val="auto"/>
          <w:spacing w:val="0"/>
          <w:sz w:val="21"/>
          <w:szCs w:val="21"/>
          <w:highlight w:val="none"/>
          <w:shd w:val="clear" w:color="auto" w:fill="FFFFFF"/>
          <w:lang w:val="en-US" w:eastAsia="zh-CN"/>
        </w:rPr>
        <w:t>、</w:t>
      </w:r>
      <w:r>
        <w:rPr>
          <w:rFonts w:hint="eastAsia" w:ascii="宋体" w:hAnsi="宋体" w:eastAsia="宋体" w:cs="宋体"/>
          <w:color w:val="auto"/>
          <w:sz w:val="21"/>
          <w:szCs w:val="21"/>
          <w:highlight w:val="none"/>
        </w:rPr>
        <w:t>江苏政府采购网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盐城市政府采购网公布，补充文件将作为招标文件的组成部分，并对投标人具有约束力。</w:t>
      </w:r>
    </w:p>
    <w:p w14:paraId="16ADB975">
      <w:pPr>
        <w:pStyle w:val="32"/>
        <w:keepNext/>
        <w:keepLines/>
        <w:pageBreakBefore w:val="0"/>
        <w:spacing w:beforeAutospacing="0" w:afterAutospacing="0" w:line="360" w:lineRule="auto"/>
        <w:ind w:firstLine="482"/>
        <w:jc w:val="both"/>
        <w:rPr>
          <w:rFonts w:hint="eastAsia" w:ascii="宋体" w:hAnsi="宋体" w:eastAsia="宋体" w:cs="宋体"/>
          <w:color w:val="auto"/>
          <w:sz w:val="21"/>
          <w:szCs w:val="21"/>
          <w:highlight w:val="none"/>
        </w:rPr>
      </w:pPr>
      <w:bookmarkStart w:id="70" w:name="_Toc120614216"/>
      <w:bookmarkEnd w:id="70"/>
      <w:bookmarkStart w:id="71" w:name="_Toc20823285"/>
      <w:bookmarkEnd w:id="71"/>
      <w:bookmarkStart w:id="72" w:name="_Toc462564072"/>
      <w:bookmarkEnd w:id="72"/>
      <w:bookmarkStart w:id="73" w:name="_Toc513029213"/>
      <w:bookmarkEnd w:id="73"/>
      <w:bookmarkStart w:id="74" w:name="_Toc16938529"/>
      <w:bookmarkEnd w:id="74"/>
      <w:r>
        <w:rPr>
          <w:rFonts w:hint="eastAsia" w:ascii="宋体" w:hAnsi="宋体" w:eastAsia="宋体" w:cs="宋体"/>
          <w:b/>
          <w:color w:val="auto"/>
          <w:sz w:val="21"/>
          <w:szCs w:val="21"/>
          <w:highlight w:val="none"/>
        </w:rPr>
        <w:t>三、投标文件的编制</w:t>
      </w:r>
    </w:p>
    <w:p w14:paraId="6AB1245D">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bookmarkStart w:id="75" w:name="_Toc16938530"/>
      <w:bookmarkEnd w:id="75"/>
      <w:bookmarkStart w:id="76" w:name="_Toc20823286"/>
      <w:bookmarkEnd w:id="76"/>
      <w:bookmarkStart w:id="77" w:name="_Toc462564073"/>
      <w:bookmarkEnd w:id="77"/>
      <w:bookmarkStart w:id="78" w:name="_Toc513029214"/>
      <w:bookmarkEnd w:id="78"/>
      <w:r>
        <w:rPr>
          <w:rFonts w:hint="eastAsia" w:ascii="宋体" w:hAnsi="宋体" w:eastAsia="宋体" w:cs="宋体"/>
          <w:color w:val="auto"/>
          <w:sz w:val="21"/>
          <w:szCs w:val="21"/>
          <w:highlight w:val="none"/>
        </w:rPr>
        <w:t>9、投标文件的语言及度量衡单位</w:t>
      </w:r>
    </w:p>
    <w:p w14:paraId="2B814072">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9.1投标人提交的投标文件以及投标人与采购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就有关投标的所有来往通知、函件和文件均应使用</w:t>
      </w:r>
      <w:r>
        <w:rPr>
          <w:rFonts w:hint="eastAsia" w:ascii="宋体" w:hAnsi="宋体" w:eastAsia="宋体" w:cs="宋体"/>
          <w:b/>
          <w:color w:val="auto"/>
          <w:sz w:val="21"/>
          <w:szCs w:val="21"/>
          <w:highlight w:val="none"/>
        </w:rPr>
        <w:t>简体中文</w:t>
      </w:r>
      <w:r>
        <w:rPr>
          <w:rFonts w:hint="eastAsia" w:ascii="宋体" w:hAnsi="宋体" w:eastAsia="宋体" w:cs="宋体"/>
          <w:color w:val="auto"/>
          <w:sz w:val="21"/>
          <w:szCs w:val="21"/>
          <w:highlight w:val="none"/>
        </w:rPr>
        <w:t>。</w:t>
      </w:r>
    </w:p>
    <w:p w14:paraId="5A0B0F82">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9.2除技术性能另有规定外，投标文件所使用的度量衡单位，均须采用国家法定计量单位。</w:t>
      </w:r>
    </w:p>
    <w:p w14:paraId="11F886F7">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bookmarkStart w:id="79" w:name="_Toc20823287"/>
      <w:bookmarkEnd w:id="79"/>
      <w:bookmarkStart w:id="80" w:name="_Toc513029215"/>
      <w:bookmarkEnd w:id="80"/>
      <w:bookmarkStart w:id="81" w:name="_Toc16938531"/>
      <w:bookmarkEnd w:id="81"/>
      <w:bookmarkStart w:id="82" w:name="_Toc462564074"/>
      <w:bookmarkEnd w:id="82"/>
      <w:r>
        <w:rPr>
          <w:rFonts w:hint="eastAsia" w:ascii="宋体" w:hAnsi="宋体" w:eastAsia="宋体" w:cs="宋体"/>
          <w:color w:val="auto"/>
          <w:sz w:val="21"/>
          <w:szCs w:val="21"/>
          <w:highlight w:val="none"/>
        </w:rPr>
        <w:t>10、投标文件构成</w:t>
      </w:r>
    </w:p>
    <w:p w14:paraId="1DCE98DF">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10.1投标人编写的投标文件应包括资格证明文件、符合性证明文件、技术要求响应及偏离表、商务要求响应及偏离表、其他证明文件、投标函、开标一览表等部分。</w:t>
      </w:r>
    </w:p>
    <w:p w14:paraId="71B53CF1">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10.2如标书制作工具中格式和内容与</w:t>
      </w:r>
      <w:r>
        <w:rPr>
          <w:rFonts w:hint="eastAsia" w:ascii="宋体" w:hAnsi="宋体" w:eastAsia="宋体" w:cs="宋体"/>
          <w:i w:val="0"/>
          <w:iCs w:val="0"/>
          <w:color w:val="auto"/>
          <w:spacing w:val="0"/>
          <w:sz w:val="21"/>
          <w:szCs w:val="21"/>
          <w:highlight w:val="none"/>
          <w:shd w:val="clear" w:color="auto" w:fill="FFFFFF"/>
          <w:lang w:val="en-US" w:eastAsia="zh-CN"/>
        </w:rPr>
        <w:t>“</w:t>
      </w:r>
      <w:r>
        <w:rPr>
          <w:rFonts w:hint="eastAsia" w:ascii="宋体" w:hAnsi="宋体" w:eastAsia="宋体" w:cs="宋体"/>
          <w:color w:val="auto"/>
          <w:sz w:val="21"/>
          <w:szCs w:val="21"/>
          <w:highlight w:val="none"/>
          <w:lang w:val="en-US" w:eastAsia="zh-CN" w:bidi="ar-SA"/>
        </w:rPr>
        <w:t>中国政府采购网</w:t>
      </w:r>
      <w:r>
        <w:rPr>
          <w:rFonts w:hint="eastAsia" w:ascii="宋体" w:hAnsi="宋体" w:eastAsia="宋体" w:cs="宋体"/>
          <w:i w:val="0"/>
          <w:iCs w:val="0"/>
          <w:color w:val="auto"/>
          <w:spacing w:val="0"/>
          <w:sz w:val="21"/>
          <w:szCs w:val="21"/>
          <w:highlight w:val="none"/>
          <w:shd w:val="clear" w:color="auto" w:fill="FFFFFF"/>
          <w:lang w:val="en-US" w:eastAsia="zh-CN"/>
        </w:rPr>
        <w:t>”、</w:t>
      </w:r>
      <w:r>
        <w:rPr>
          <w:rFonts w:hint="eastAsia" w:ascii="宋体" w:hAnsi="宋体" w:eastAsia="宋体" w:cs="宋体"/>
          <w:color w:val="auto"/>
          <w:sz w:val="21"/>
          <w:szCs w:val="21"/>
          <w:highlight w:val="none"/>
        </w:rPr>
        <w:t>“江苏政府采购网”、“盐城市政府采购网”发布的招标文件不一致，请以</w:t>
      </w:r>
      <w:r>
        <w:rPr>
          <w:rFonts w:hint="eastAsia" w:ascii="宋体" w:hAnsi="宋体" w:eastAsia="宋体" w:cs="宋体"/>
          <w:i w:val="0"/>
          <w:iCs w:val="0"/>
          <w:color w:val="auto"/>
          <w:spacing w:val="0"/>
          <w:sz w:val="21"/>
          <w:szCs w:val="21"/>
          <w:highlight w:val="none"/>
          <w:shd w:val="clear" w:color="auto" w:fill="FFFFFF"/>
          <w:lang w:val="en-US" w:eastAsia="zh-CN"/>
        </w:rPr>
        <w:t>“</w:t>
      </w:r>
      <w:r>
        <w:rPr>
          <w:rFonts w:hint="eastAsia" w:ascii="宋体" w:hAnsi="宋体" w:eastAsia="宋体" w:cs="宋体"/>
          <w:color w:val="auto"/>
          <w:sz w:val="21"/>
          <w:szCs w:val="21"/>
          <w:highlight w:val="none"/>
          <w:lang w:val="en-US" w:eastAsia="zh-CN" w:bidi="ar-SA"/>
        </w:rPr>
        <w:t>中国政府采购网</w:t>
      </w:r>
      <w:r>
        <w:rPr>
          <w:rFonts w:hint="eastAsia" w:ascii="宋体" w:hAnsi="宋体" w:eastAsia="宋体" w:cs="宋体"/>
          <w:i w:val="0"/>
          <w:iCs w:val="0"/>
          <w:color w:val="auto"/>
          <w:spacing w:val="0"/>
          <w:sz w:val="21"/>
          <w:szCs w:val="21"/>
          <w:highlight w:val="none"/>
          <w:shd w:val="clear" w:color="auto" w:fill="FFFFFF"/>
          <w:lang w:val="en-US" w:eastAsia="zh-CN"/>
        </w:rPr>
        <w:t>”、</w:t>
      </w:r>
      <w:r>
        <w:rPr>
          <w:rFonts w:hint="eastAsia" w:ascii="宋体" w:hAnsi="宋体" w:eastAsia="宋体" w:cs="宋体"/>
          <w:color w:val="auto"/>
          <w:sz w:val="21"/>
          <w:szCs w:val="21"/>
          <w:highlight w:val="none"/>
        </w:rPr>
        <w:t>“江苏政府采购网”、“盐城市政府采购网”发布的招标文件为准。</w:t>
      </w:r>
    </w:p>
    <w:p w14:paraId="7E9F5EB8">
      <w:pPr>
        <w:pStyle w:val="32"/>
        <w:keepNext/>
        <w:keepLines/>
        <w:pageBreakBefore w:val="0"/>
        <w:numPr>
          <w:ilvl w:val="0"/>
          <w:numId w:val="0"/>
        </w:numPr>
        <w:spacing w:beforeAutospacing="0" w:afterAutospacing="0" w:line="360" w:lineRule="auto"/>
        <w:ind w:firstLine="420"/>
        <w:jc w:val="both"/>
        <w:rPr>
          <w:rFonts w:hint="eastAsia" w:ascii="宋体" w:hAnsi="宋体" w:eastAsia="宋体" w:cs="宋体"/>
          <w:color w:val="auto"/>
          <w:sz w:val="21"/>
          <w:szCs w:val="21"/>
          <w:highlight w:val="none"/>
        </w:rPr>
      </w:pPr>
      <w:bookmarkStart w:id="83" w:name="_Toc14577357"/>
      <w:bookmarkEnd w:id="83"/>
      <w:bookmarkStart w:id="84" w:name="_Toc14577354"/>
      <w:bookmarkEnd w:id="84"/>
      <w:bookmarkStart w:id="85" w:name="_Toc49090507"/>
      <w:bookmarkEnd w:id="85"/>
      <w:bookmarkStart w:id="86" w:name="_Toc49090509"/>
      <w:bookmarkEnd w:id="86"/>
      <w:bookmarkStart w:id="87" w:name="_Toc513029219"/>
      <w:bookmarkEnd w:id="87"/>
      <w:bookmarkStart w:id="88" w:name="_Toc513029216"/>
      <w:bookmarkEnd w:id="88"/>
      <w:bookmarkStart w:id="89" w:name="_Toc49090508"/>
      <w:bookmarkStart w:id="90" w:name="_Toc14577355"/>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证明投标人及投标标的符合招标文件规定的文件</w:t>
      </w:r>
      <w:bookmarkEnd w:id="89"/>
      <w:bookmarkEnd w:id="90"/>
    </w:p>
    <w:p w14:paraId="55B2DDF4">
      <w:pPr>
        <w:pStyle w:val="32"/>
        <w:keepNext/>
        <w:keepLines/>
        <w:pageBreakBefore w:val="0"/>
        <w:numPr>
          <w:ilvl w:val="0"/>
          <w:numId w:val="0"/>
        </w:numP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11.1投标人应按照法律、法规、规章和规范性文件以及招标文件要求提交证明文件，证明其及投标标的符合招标文件规定。</w:t>
      </w:r>
    </w:p>
    <w:p w14:paraId="06509982">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11.2招标文件对证明文件无明确形式要求的，证明文件可以以文字资料、图纸和数据等形式提交。</w:t>
      </w:r>
    </w:p>
    <w:p w14:paraId="2BD4A9C5">
      <w:pPr>
        <w:pStyle w:val="32"/>
        <w:pageBreakBefore w:val="0"/>
        <w:numPr>
          <w:ilvl w:val="0"/>
          <w:numId w:val="0"/>
        </w:numP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投标分项报价表</w:t>
      </w:r>
    </w:p>
    <w:p w14:paraId="631BD454">
      <w:pPr>
        <w:pStyle w:val="32"/>
        <w:pageBreakBefore w:val="0"/>
        <w:numPr>
          <w:ilvl w:val="0"/>
          <w:numId w:val="0"/>
        </w:numPr>
        <w:spacing w:beforeAutospacing="0" w:afterAutospacing="0" w:line="360" w:lineRule="auto"/>
        <w:ind w:firstLine="42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无</w:t>
      </w:r>
    </w:p>
    <w:p w14:paraId="0492E76E">
      <w:pPr>
        <w:pStyle w:val="32"/>
        <w:pageBreakBefore w:val="0"/>
        <w:numPr>
          <w:ilvl w:val="0"/>
          <w:numId w:val="0"/>
        </w:numP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技术要求响应及偏离表、商务要求响应及偏离表</w:t>
      </w:r>
    </w:p>
    <w:p w14:paraId="2988228B">
      <w:pPr>
        <w:pStyle w:val="32"/>
        <w:pageBreakBefore w:val="0"/>
        <w:numPr>
          <w:ilvl w:val="0"/>
          <w:numId w:val="0"/>
        </w:numP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13.1投标人需对招标文件中的技术要求与商务要求逐项作出响应或偏离，并说明原因。</w:t>
      </w:r>
    </w:p>
    <w:p w14:paraId="08CA9D80">
      <w:pPr>
        <w:pStyle w:val="32"/>
        <w:pageBreakBefore w:val="0"/>
        <w:tabs>
          <w:tab w:val="left" w:pos="1036"/>
        </w:tabs>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13.2投标人可在投标文件中提供认为需要的其他技术文件或说明。</w:t>
      </w:r>
    </w:p>
    <w:p w14:paraId="5E9B1407">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bookmarkStart w:id="91" w:name="_Toc49090510"/>
      <w:bookmarkEnd w:id="91"/>
      <w:bookmarkStart w:id="92" w:name="_Toc14577359"/>
      <w:bookmarkEnd w:id="92"/>
      <w:r>
        <w:rPr>
          <w:rFonts w:hint="eastAsia" w:ascii="宋体" w:hAnsi="宋体" w:eastAsia="宋体" w:cs="宋体"/>
          <w:color w:val="auto"/>
          <w:sz w:val="21"/>
          <w:szCs w:val="21"/>
          <w:highlight w:val="none"/>
        </w:rPr>
        <w:t>14、投标函和开标一览表</w:t>
      </w:r>
    </w:p>
    <w:p w14:paraId="5884035C">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14.1投标人应按照招标文件中提供的格式完整、正确填写投标函、开标一览表。</w:t>
      </w:r>
    </w:p>
    <w:p w14:paraId="66EDE6D6">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bookmarkStart w:id="93" w:name="_Toc49090511"/>
      <w:bookmarkEnd w:id="93"/>
      <w:bookmarkStart w:id="94" w:name="_Toc14577360"/>
      <w:bookmarkEnd w:id="94"/>
      <w:r>
        <w:rPr>
          <w:rFonts w:hint="eastAsia" w:ascii="宋体" w:hAnsi="宋体" w:eastAsia="宋体" w:cs="宋体"/>
          <w:color w:val="auto"/>
          <w:sz w:val="21"/>
          <w:szCs w:val="21"/>
          <w:highlight w:val="none"/>
        </w:rPr>
        <w:t>15、投标有效期</w:t>
      </w:r>
    </w:p>
    <w:p w14:paraId="14A5B883">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15.1投标有效期为采购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规定的开标之日后</w:t>
      </w:r>
      <w:r>
        <w:rPr>
          <w:rFonts w:hint="eastAsia" w:ascii="宋体" w:hAnsi="宋体" w:eastAsia="宋体" w:cs="宋体"/>
          <w:b/>
          <w:color w:val="auto"/>
          <w:sz w:val="21"/>
          <w:szCs w:val="21"/>
          <w:highlight w:val="none"/>
          <w:u w:val="single"/>
          <w:lang w:eastAsia="zh-CN"/>
        </w:rPr>
        <w:t>四十五</w:t>
      </w:r>
      <w:r>
        <w:rPr>
          <w:rFonts w:hint="eastAsia" w:ascii="宋体" w:hAnsi="宋体" w:eastAsia="宋体" w:cs="宋体"/>
          <w:b/>
          <w:color w:val="auto"/>
          <w:sz w:val="21"/>
          <w:szCs w:val="21"/>
          <w:highlight w:val="none"/>
          <w:u w:val="single"/>
        </w:rPr>
        <w:t>（</w:t>
      </w:r>
      <w:r>
        <w:rPr>
          <w:rFonts w:hint="eastAsia" w:ascii="宋体" w:hAnsi="宋体" w:eastAsia="宋体" w:cs="宋体"/>
          <w:b/>
          <w:color w:val="auto"/>
          <w:sz w:val="21"/>
          <w:szCs w:val="21"/>
          <w:highlight w:val="none"/>
          <w:u w:val="single"/>
          <w:lang w:val="en-US" w:eastAsia="zh-CN"/>
        </w:rPr>
        <w:t>45</w:t>
      </w:r>
      <w:r>
        <w:rPr>
          <w:rFonts w:hint="eastAsia" w:ascii="宋体" w:hAnsi="宋体" w:eastAsia="宋体" w:cs="宋体"/>
          <w:b/>
          <w:color w:val="auto"/>
          <w:sz w:val="21"/>
          <w:szCs w:val="21"/>
          <w:highlight w:val="none"/>
          <w:u w:val="single"/>
        </w:rPr>
        <w:t>）天</w:t>
      </w:r>
      <w:r>
        <w:rPr>
          <w:rFonts w:hint="eastAsia" w:ascii="宋体" w:hAnsi="宋体" w:eastAsia="宋体" w:cs="宋体"/>
          <w:color w:val="auto"/>
          <w:sz w:val="21"/>
          <w:szCs w:val="21"/>
          <w:highlight w:val="none"/>
        </w:rPr>
        <w:t>。投标有效期比规定短的将被视为未实质性响应招标文件而予以拒绝。</w:t>
      </w:r>
    </w:p>
    <w:p w14:paraId="4CECF346">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16、投标有效期的延长</w:t>
      </w:r>
    </w:p>
    <w:p w14:paraId="258B406C">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16.1在特殊情况下，采购人于原投标有效期满之前，可向投标人提出延长投标有效期的要求。这种要求与答复均应采用书面形式。投标人可以拒绝采购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的这一要求而放弃投标。同意延长投标有效期的投标人既不能要求也不允许修改其投标文件，同时受投标有效期约束的所有权利与义务均延长至新的有效期。</w:t>
      </w:r>
    </w:p>
    <w:p w14:paraId="3939CF55">
      <w:pPr>
        <w:pStyle w:val="32"/>
        <w:keepNext/>
        <w:keepLines/>
        <w:pageBreakBefore w:val="0"/>
        <w:spacing w:beforeAutospacing="0" w:afterAutospacing="0" w:line="360" w:lineRule="auto"/>
        <w:ind w:firstLine="422"/>
        <w:jc w:val="both"/>
        <w:rPr>
          <w:rFonts w:hint="eastAsia" w:ascii="宋体" w:hAnsi="宋体" w:eastAsia="宋体" w:cs="宋体"/>
          <w:color w:val="auto"/>
          <w:sz w:val="21"/>
          <w:szCs w:val="21"/>
          <w:highlight w:val="none"/>
        </w:rPr>
      </w:pPr>
      <w:bookmarkStart w:id="95" w:name="_Toc16938540"/>
      <w:bookmarkEnd w:id="95"/>
      <w:bookmarkStart w:id="96" w:name="_Toc120614217"/>
      <w:bookmarkEnd w:id="96"/>
      <w:bookmarkStart w:id="97" w:name="_Toc513029224"/>
      <w:bookmarkEnd w:id="97"/>
      <w:bookmarkStart w:id="98" w:name="_Toc20823296"/>
      <w:bookmarkEnd w:id="98"/>
      <w:r>
        <w:rPr>
          <w:rFonts w:hint="eastAsia" w:ascii="宋体" w:hAnsi="宋体" w:eastAsia="宋体" w:cs="宋体"/>
          <w:b/>
          <w:color w:val="auto"/>
          <w:sz w:val="21"/>
          <w:szCs w:val="21"/>
          <w:highlight w:val="none"/>
        </w:rPr>
        <w:t>四、投标文件的递交</w:t>
      </w:r>
    </w:p>
    <w:p w14:paraId="1B4237F9">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bookmarkStart w:id="99" w:name="_Toc16938541"/>
      <w:bookmarkEnd w:id="99"/>
      <w:bookmarkStart w:id="100" w:name="_Toc20823297"/>
      <w:bookmarkEnd w:id="100"/>
      <w:bookmarkStart w:id="101" w:name="_Toc462564084"/>
      <w:bookmarkEnd w:id="101"/>
      <w:bookmarkStart w:id="102" w:name="_Toc513029225"/>
      <w:bookmarkEnd w:id="102"/>
      <w:r>
        <w:rPr>
          <w:rFonts w:hint="eastAsia" w:ascii="宋体" w:hAnsi="宋体" w:eastAsia="宋体" w:cs="宋体"/>
          <w:color w:val="auto"/>
          <w:sz w:val="21"/>
          <w:szCs w:val="21"/>
          <w:highlight w:val="none"/>
        </w:rPr>
        <w:t>17、投标文件的递交</w:t>
      </w:r>
    </w:p>
    <w:p w14:paraId="79CF58F2">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 电子投标文件的递交</w:t>
      </w:r>
    </w:p>
    <w:p w14:paraId="4C498CA0">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bookmarkStart w:id="103" w:name="_Toc20823298"/>
      <w:bookmarkEnd w:id="103"/>
      <w:bookmarkStart w:id="104" w:name="_Toc16938542"/>
      <w:bookmarkEnd w:id="104"/>
      <w:r>
        <w:rPr>
          <w:rFonts w:hint="eastAsia" w:ascii="宋体" w:hAnsi="宋体" w:eastAsia="宋体" w:cs="宋体"/>
          <w:color w:val="auto"/>
          <w:sz w:val="21"/>
          <w:szCs w:val="21"/>
          <w:highlight w:val="none"/>
        </w:rPr>
        <w:t>投标人应当按照《操作手册》规定，在投标截止时间前制作并上传电子投标文件。</w:t>
      </w:r>
    </w:p>
    <w:p w14:paraId="487D233E">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18、投标截止时间</w:t>
      </w:r>
    </w:p>
    <w:p w14:paraId="0034072B">
      <w:pPr>
        <w:pStyle w:val="32"/>
        <w:pageBreakBefore w:val="0"/>
        <w:spacing w:beforeAutospacing="0" w:afterAutospacing="0" w:line="360" w:lineRule="auto"/>
        <w:ind w:firstLine="420"/>
        <w:jc w:val="both"/>
        <w:rPr>
          <w:rFonts w:hint="eastAsia" w:ascii="宋体" w:hAnsi="宋体" w:eastAsia="宋体" w:cs="宋体"/>
          <w:b w:val="0"/>
          <w:bCs w:val="0"/>
          <w:i w:val="0"/>
          <w:iCs/>
          <w:color w:val="auto"/>
          <w:sz w:val="21"/>
          <w:szCs w:val="21"/>
          <w:highlight w:val="none"/>
        </w:rPr>
      </w:pPr>
      <w:r>
        <w:rPr>
          <w:rFonts w:hint="eastAsia" w:ascii="宋体" w:hAnsi="宋体" w:eastAsia="宋体" w:cs="宋体"/>
          <w:b w:val="0"/>
          <w:bCs w:val="0"/>
          <w:i w:val="0"/>
          <w:iCs/>
          <w:color w:val="auto"/>
          <w:sz w:val="21"/>
          <w:szCs w:val="21"/>
          <w:highlight w:val="none"/>
          <w:u w:val="single"/>
        </w:rPr>
        <w:t>18.1投标人上传电子投标文件的时间不得迟于招标公告中规定的投标截止时间。</w:t>
      </w:r>
    </w:p>
    <w:p w14:paraId="7B0C0C93">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投标人应充分考虑到网络环境、网络宽带等风险因素，如因投标人自身原因造成的电子投标文件上传不成功的按照本招标文件第二章第26.1.2条 规定做无效投标处理。</w:t>
      </w:r>
    </w:p>
    <w:p w14:paraId="2A253B04">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采购人有权通过修改招标文件酌情延长投标截止日期，在此情况下，投标人的所有权利和义务以及投标人受制的截止日期均应以延长后新的截止日期为准。 </w:t>
      </w:r>
    </w:p>
    <w:p w14:paraId="0267EFB9">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bookmarkStart w:id="105" w:name="_Toc513029227"/>
      <w:bookmarkEnd w:id="105"/>
      <w:bookmarkStart w:id="106" w:name="_Toc16938543"/>
      <w:bookmarkEnd w:id="106"/>
      <w:bookmarkStart w:id="107" w:name="_Toc20823299"/>
      <w:bookmarkEnd w:id="107"/>
      <w:r>
        <w:rPr>
          <w:rFonts w:hint="eastAsia" w:ascii="宋体" w:hAnsi="宋体" w:eastAsia="宋体" w:cs="宋体"/>
          <w:color w:val="auto"/>
          <w:sz w:val="21"/>
          <w:szCs w:val="21"/>
          <w:highlight w:val="none"/>
        </w:rPr>
        <w:t>19、投标文件的拒收</w:t>
      </w:r>
    </w:p>
    <w:p w14:paraId="705C4820">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拒绝接收在其规定的投标截止时间后上传的任何投标文件。</w:t>
      </w:r>
    </w:p>
    <w:p w14:paraId="790A660E">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bookmarkStart w:id="108" w:name="_Toc16938544"/>
      <w:bookmarkEnd w:id="108"/>
      <w:bookmarkStart w:id="109" w:name="_Toc513029228"/>
      <w:bookmarkEnd w:id="109"/>
      <w:bookmarkStart w:id="110" w:name="_Toc20823300"/>
      <w:bookmarkEnd w:id="110"/>
      <w:r>
        <w:rPr>
          <w:rFonts w:hint="eastAsia" w:ascii="宋体" w:hAnsi="宋体" w:eastAsia="宋体" w:cs="宋体"/>
          <w:color w:val="auto"/>
          <w:sz w:val="21"/>
          <w:szCs w:val="21"/>
          <w:highlight w:val="none"/>
        </w:rPr>
        <w:t>20、投标文件的撤回和修改</w:t>
      </w:r>
    </w:p>
    <w:p w14:paraId="1B2D7DA5">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20.1投标文件的撤回</w:t>
      </w:r>
    </w:p>
    <w:p w14:paraId="0797AE80">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21.1.1电子投标文件的撤回</w:t>
      </w:r>
    </w:p>
    <w:p w14:paraId="32F44CAD">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投标人可在投标截止时间前，撤回其电子投标文件，具体操作方法见《操作手册》。</w:t>
      </w:r>
    </w:p>
    <w:p w14:paraId="1903A565">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21.1.2投标人撤回电子投标文件，则认为其不再参与本项目投标活动。</w:t>
      </w:r>
    </w:p>
    <w:p w14:paraId="2737FE30">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 投标文件的修改</w:t>
      </w:r>
    </w:p>
    <w:p w14:paraId="5A0A6C75">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20.2.1投标人可在投标截止时间前，对其电子投标文件进行修改，具体操作方法见《操作手册》。</w:t>
      </w:r>
    </w:p>
    <w:p w14:paraId="77F149F4">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20.2.2在投标截止时间之后，投标人不得对其电子投标文件作任何修改。</w:t>
      </w:r>
    </w:p>
    <w:p w14:paraId="6CEACC4C">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20.3在投标截止时间至招标文件中规定的投标有效期满之间的这段时间内，投标人不得撤回其投标。</w:t>
      </w:r>
    </w:p>
    <w:p w14:paraId="6D68BC19">
      <w:pPr>
        <w:pStyle w:val="32"/>
        <w:keepNext/>
        <w:keepLines/>
        <w:pageBreakBefore w:val="0"/>
        <w:spacing w:beforeAutospacing="0" w:afterAutospacing="0" w:line="360" w:lineRule="auto"/>
        <w:ind w:firstLine="422"/>
        <w:jc w:val="both"/>
        <w:rPr>
          <w:rFonts w:hint="eastAsia" w:ascii="宋体" w:hAnsi="宋体" w:eastAsia="宋体" w:cs="宋体"/>
          <w:color w:val="auto"/>
          <w:sz w:val="21"/>
          <w:szCs w:val="21"/>
          <w:highlight w:val="none"/>
        </w:rPr>
      </w:pPr>
      <w:bookmarkStart w:id="111" w:name="_Toc513029229"/>
      <w:bookmarkEnd w:id="111"/>
      <w:bookmarkStart w:id="112" w:name="_Toc20823301"/>
      <w:bookmarkEnd w:id="112"/>
      <w:bookmarkStart w:id="113" w:name="_Toc16938545"/>
      <w:bookmarkEnd w:id="113"/>
      <w:bookmarkStart w:id="114" w:name="_Toc120614218"/>
      <w:bookmarkEnd w:id="114"/>
      <w:r>
        <w:rPr>
          <w:rFonts w:hint="eastAsia" w:ascii="宋体" w:hAnsi="宋体" w:eastAsia="宋体" w:cs="宋体"/>
          <w:b/>
          <w:color w:val="auto"/>
          <w:sz w:val="21"/>
          <w:szCs w:val="21"/>
          <w:highlight w:val="none"/>
        </w:rPr>
        <w:t>五、开标与评标</w:t>
      </w:r>
    </w:p>
    <w:p w14:paraId="5E64E72A">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bookmarkStart w:id="115" w:name="_Toc16938546"/>
      <w:bookmarkEnd w:id="115"/>
      <w:bookmarkStart w:id="116" w:name="_Toc513029230"/>
      <w:bookmarkEnd w:id="116"/>
      <w:bookmarkStart w:id="117" w:name="_Toc20823302"/>
      <w:bookmarkEnd w:id="117"/>
      <w:r>
        <w:rPr>
          <w:rFonts w:hint="eastAsia" w:ascii="宋体" w:hAnsi="宋体" w:eastAsia="宋体" w:cs="宋体"/>
          <w:color w:val="auto"/>
          <w:sz w:val="21"/>
          <w:szCs w:val="21"/>
          <w:highlight w:val="none"/>
        </w:rPr>
        <w:t>21、开标</w:t>
      </w:r>
    </w:p>
    <w:p w14:paraId="343478C7">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将在招标公告中规定的时间和地点组织公开开标。投标人应当按照《操作手册》规定，参加开标活动和在苏采云系统规定的时间内对投标文件进行解密。</w:t>
      </w:r>
    </w:p>
    <w:p w14:paraId="14E9EC07">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21.2开标仪式由采购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组织。苏采云系统将自动对项目进行开标，并宣布各投标人名称和投标价格。</w:t>
      </w:r>
    </w:p>
    <w:p w14:paraId="7B81F213">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21.3投标人在开标过程中涉及到的投标文件解密、开标结果确认等工作，应按照《操作手册》规定执行。</w:t>
      </w:r>
    </w:p>
    <w:p w14:paraId="5979F840">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21.4投标人如果对开标过程和开标记录有疑义，应当根据《操作手册》规定提出，如苏采云系统中《开标记录表》宣布后5分钟内未提出的，视同认可开标结果。</w:t>
      </w:r>
    </w:p>
    <w:p w14:paraId="76229641">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bookmarkStart w:id="118" w:name="_Toc20823303"/>
      <w:bookmarkEnd w:id="118"/>
      <w:bookmarkStart w:id="119" w:name="_Toc16938547"/>
      <w:bookmarkEnd w:id="119"/>
      <w:bookmarkStart w:id="120" w:name="_Toc513029231"/>
      <w:bookmarkEnd w:id="120"/>
      <w:r>
        <w:rPr>
          <w:rFonts w:hint="eastAsia" w:ascii="宋体" w:hAnsi="宋体" w:eastAsia="宋体" w:cs="宋体"/>
          <w:color w:val="auto"/>
          <w:sz w:val="21"/>
          <w:szCs w:val="21"/>
          <w:highlight w:val="none"/>
        </w:rPr>
        <w:t>22、评标委员会</w:t>
      </w:r>
    </w:p>
    <w:p w14:paraId="36679AE6">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22.1开标后，采购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将立即组织评标委员会（以下简称评委会）进行评标。</w:t>
      </w:r>
    </w:p>
    <w:p w14:paraId="4B7302A4">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22.2评委会由有关技术、经济等方面的专家组成，且人员构成符合政府采购有关规定。</w:t>
      </w:r>
    </w:p>
    <w:p w14:paraId="2EB34ED0">
      <w:pPr>
        <w:pStyle w:val="32"/>
        <w:pageBreakBefore w:val="0"/>
        <w:spacing w:beforeAutospacing="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color w:val="auto"/>
          <w:sz w:val="21"/>
          <w:szCs w:val="21"/>
          <w:highlight w:val="none"/>
        </w:rPr>
        <w:t>22.3评委会独立工作，负责评审所有投标文件并确定中标</w:t>
      </w:r>
      <w:r>
        <w:rPr>
          <w:rFonts w:hint="eastAsia" w:cs="宋体"/>
          <w:color w:val="auto"/>
          <w:sz w:val="21"/>
          <w:szCs w:val="21"/>
          <w:highlight w:val="none"/>
          <w:lang w:eastAsia="zh-CN"/>
        </w:rPr>
        <w:t>候选人</w:t>
      </w:r>
      <w:r>
        <w:rPr>
          <w:rFonts w:hint="eastAsia" w:ascii="宋体" w:hAnsi="宋体" w:eastAsia="宋体" w:cs="宋体"/>
          <w:color w:val="auto"/>
          <w:sz w:val="21"/>
          <w:szCs w:val="21"/>
          <w:highlight w:val="none"/>
        </w:rPr>
        <w:t>。</w:t>
      </w:r>
    </w:p>
    <w:p w14:paraId="4928A839">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23、评标过程的保密与公正</w:t>
      </w:r>
    </w:p>
    <w:p w14:paraId="21234F68">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23.1凡是与审查、澄清、评价和比较投标的有关资料以及授标建议等，采购人、评委、采购</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均不得向投标人或与评标无关的其他人员透露。</w:t>
      </w:r>
    </w:p>
    <w:p w14:paraId="31FE6304">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23.2在评标过程中，投标人不得以任何行为影响评标过程，否则其投标文件将被作为无效投标文件。</w:t>
      </w:r>
    </w:p>
    <w:p w14:paraId="7B9DCC90">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和评标委员会不向未中标的投标人解释未中标原因，也不公布评标过程中的相关细节。</w:t>
      </w:r>
    </w:p>
    <w:p w14:paraId="1CD0F0AB">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23.4采用综合评分法的项目，未中标的投标人可于中标结果公告期限届满之日起通过苏采云系统查看自己的评审得分及排序情况。</w:t>
      </w:r>
    </w:p>
    <w:p w14:paraId="5BCDCD27">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bookmarkStart w:id="121" w:name="_Toc16938548"/>
      <w:bookmarkEnd w:id="121"/>
      <w:bookmarkStart w:id="122" w:name="_Toc513029232"/>
      <w:bookmarkEnd w:id="122"/>
      <w:bookmarkStart w:id="123" w:name="_Toc20823304"/>
      <w:bookmarkEnd w:id="123"/>
      <w:r>
        <w:rPr>
          <w:rFonts w:hint="eastAsia" w:ascii="宋体" w:hAnsi="宋体" w:eastAsia="宋体" w:cs="宋体"/>
          <w:color w:val="auto"/>
          <w:sz w:val="21"/>
          <w:szCs w:val="21"/>
          <w:highlight w:val="none"/>
        </w:rPr>
        <w:t>24、投标文件的澄清</w:t>
      </w:r>
    </w:p>
    <w:p w14:paraId="07E49FE8">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24.1评标期间，评委会对投标文件中含义不明确、同类问题表述不一致或者有明显文字和计算错误的内容，有权要求投标人作出必要的澄清、说明或者补正。</w:t>
      </w:r>
    </w:p>
    <w:p w14:paraId="0E77C025">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投标人的澄清、说明或者补正不得超出投标文件的范围或者改变投标文件的实质性内容。</w:t>
      </w:r>
    </w:p>
    <w:p w14:paraId="23C40543">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评标委员会并非对每个投标人都做澄清要求。</w:t>
      </w:r>
    </w:p>
    <w:p w14:paraId="5F0178BC">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6066783">
      <w:pPr>
        <w:pStyle w:val="32"/>
        <w:pageBreakBefore w:val="0"/>
        <w:spacing w:beforeAutospacing="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24.3接到评委会澄清、说明和补正要求的投标人如未按规定做出澄清、说明和补正，其风险由投标人自行承担。</w:t>
      </w:r>
    </w:p>
    <w:p w14:paraId="0ECF1417">
      <w:pPr>
        <w:pStyle w:val="32"/>
        <w:keepNext/>
        <w:keepLines/>
        <w:pageBreakBefore w:val="0"/>
        <w:numPr>
          <w:ilvl w:val="0"/>
          <w:numId w:val="3"/>
        </w:numPr>
        <w:spacing w:beforeAutospacing="0" w:afterAutospacing="0" w:line="360" w:lineRule="auto"/>
        <w:ind w:firstLine="420"/>
        <w:jc w:val="both"/>
        <w:rPr>
          <w:rFonts w:hint="eastAsia" w:ascii="宋体" w:hAnsi="宋体" w:eastAsia="宋体" w:cs="宋体"/>
          <w:color w:val="auto"/>
          <w:sz w:val="21"/>
          <w:szCs w:val="21"/>
          <w:highlight w:val="none"/>
        </w:rPr>
      </w:pPr>
      <w:bookmarkStart w:id="124" w:name="_Toc20823305"/>
      <w:bookmarkEnd w:id="124"/>
      <w:bookmarkStart w:id="125" w:name="_Toc513029233"/>
      <w:bookmarkEnd w:id="125"/>
      <w:bookmarkStart w:id="126" w:name="_Toc16938549"/>
      <w:bookmarkEnd w:id="126"/>
      <w:r>
        <w:rPr>
          <w:rFonts w:hint="eastAsia" w:ascii="宋体" w:hAnsi="宋体" w:eastAsia="宋体" w:cs="宋体"/>
          <w:color w:val="auto"/>
          <w:sz w:val="21"/>
          <w:szCs w:val="21"/>
          <w:highlight w:val="none"/>
        </w:rPr>
        <w:t>对投标文件的初审</w:t>
      </w:r>
    </w:p>
    <w:p w14:paraId="646AD14B">
      <w:pPr>
        <w:pStyle w:val="32"/>
        <w:keepNext/>
        <w:keepLines/>
        <w:pageBreakBefore w:val="0"/>
        <w:numPr>
          <w:ilvl w:val="0"/>
          <w:numId w:val="0"/>
        </w:numPr>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25.1投标文件初审分为资格审查和符合性审查。</w:t>
      </w:r>
    </w:p>
    <w:p w14:paraId="04D1D88F">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25.1.1资格审查：依据法律法规和招标文件的规定，由采购人对投标文件中的资格证明文件进行审查。资格审查的结论，采购人以书面形式向评委会进行反馈。</w:t>
      </w:r>
    </w:p>
    <w:p w14:paraId="7C60062C">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采购人在进行资格性审查的同时，将在“信用中国”网站（www.creditchina.gov.cn）查询投标人的信用记录，以确定投标人是否具备投标资格,查询结果留存并归档。</w:t>
      </w:r>
    </w:p>
    <w:p w14:paraId="029F05DF">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ABDFB61">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25.1.2符合性审查：依据招标文件的规定，由评委会从投标文件的有效性、完整性和对招标文件的响应程度进行审查，以确定是否对招标文件的实质性要求作出响应。</w:t>
      </w:r>
    </w:p>
    <w:p w14:paraId="50968B38">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25.1.3未通过资格审查或符合性审查的投标人，采购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将在苏采云系统中告知未通过资格审查或符合性审查的原因，评标结束后，采购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将不再告知未通过资格审查和符合性审查的原因。</w:t>
      </w:r>
    </w:p>
    <w:p w14:paraId="53833CF3">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69E6EC7E">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4779736">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25.3如果投标文件实质上没有响应招标文件的要求，评委会将予以拒绝，投标人不得通过修改或撤销不合要求的偏离或保留而使其投标成为实质性响应的投标。</w:t>
      </w:r>
    </w:p>
    <w:p w14:paraId="12C2A44B">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25.4评委会将对确定为实质性响应的投标进行进一步审核，确定其是否有计算上或累加上的算术错误，修正错误的原则如下：</w:t>
      </w:r>
    </w:p>
    <w:p w14:paraId="42F6F7A4">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（1）投标文件中开标一览表内容与投标文件中相应内容不一致的，以开标一览表为准。</w:t>
      </w:r>
    </w:p>
    <w:p w14:paraId="27827752">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（2）大写金额和小写金额不一致的，以大写金额为准。</w:t>
      </w:r>
    </w:p>
    <w:p w14:paraId="2E6B7281">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（3）单价金额小数点或者百分比有明显错位的，以开标一览表的总价为准，并修改单价。</w:t>
      </w:r>
    </w:p>
    <w:p w14:paraId="28775B8B">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（4）总价金额与按单价汇总金额不一致的，以单价金额计算结果为准。</w:t>
      </w:r>
    </w:p>
    <w:p w14:paraId="10A8431F">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同时出现两种以上错误的，按照前款规定的顺序修正。</w:t>
      </w:r>
    </w:p>
    <w:p w14:paraId="5215AE27">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E830E06">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bookmarkStart w:id="127" w:name="_Toc513029234"/>
      <w:bookmarkEnd w:id="127"/>
      <w:bookmarkStart w:id="128" w:name="_Toc20823306"/>
      <w:bookmarkEnd w:id="128"/>
      <w:bookmarkStart w:id="129" w:name="_Toc16938550"/>
      <w:bookmarkEnd w:id="129"/>
      <w:r>
        <w:rPr>
          <w:rFonts w:hint="eastAsia" w:ascii="宋体" w:hAnsi="宋体" w:eastAsia="宋体" w:cs="宋体"/>
          <w:color w:val="auto"/>
          <w:sz w:val="21"/>
          <w:szCs w:val="21"/>
          <w:highlight w:val="none"/>
        </w:rPr>
        <w:t>25.6投标人在开、评标全过程中应保持通讯畅通，及时登录苏采云系统查阅、答复相关信息，并安排专人与采购代理机构及评标委员会联系。</w:t>
      </w:r>
    </w:p>
    <w:p w14:paraId="52840ECC">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26、无效投标条款和废标条款</w:t>
      </w:r>
    </w:p>
    <w:p w14:paraId="2A89EA6E">
      <w:pPr>
        <w:pStyle w:val="32"/>
        <w:pageBreakBefore w:val="0"/>
        <w:spacing w:beforeAutospacing="0" w:afterAutospacing="0" w:line="360" w:lineRule="auto"/>
        <w:ind w:left="479"/>
        <w:jc w:val="both"/>
        <w:rPr>
          <w:rFonts w:hint="eastAsia" w:ascii="宋体" w:hAnsi="宋体" w:eastAsia="宋体" w:cs="宋体"/>
          <w:color w:val="auto"/>
          <w:sz w:val="21"/>
          <w:szCs w:val="21"/>
          <w:highlight w:val="none"/>
        </w:rPr>
      </w:pPr>
      <w:bookmarkStart w:id="130" w:name="_Toc20823307"/>
      <w:bookmarkEnd w:id="130"/>
      <w:bookmarkStart w:id="131" w:name="_Toc16938551"/>
      <w:bookmarkEnd w:id="131"/>
      <w:bookmarkStart w:id="132" w:name="_Toc513029235"/>
      <w:bookmarkEnd w:id="132"/>
      <w:r>
        <w:rPr>
          <w:rFonts w:hint="eastAsia" w:ascii="宋体" w:hAnsi="宋体" w:eastAsia="宋体" w:cs="宋体"/>
          <w:color w:val="auto"/>
          <w:sz w:val="21"/>
          <w:szCs w:val="21"/>
          <w:highlight w:val="none"/>
        </w:rPr>
        <w:t>26.1无效投标条款</w:t>
      </w:r>
    </w:p>
    <w:p w14:paraId="672BAFAF">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26.1.1投标人在苏采云系统规定的时间内未成功解密电子投标文件的。</w:t>
      </w:r>
    </w:p>
    <w:p w14:paraId="41484DEC">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26.1.2投标人未按照招标文件要求上传电子投标文件的。</w:t>
      </w:r>
    </w:p>
    <w:p w14:paraId="3EBA7945">
      <w:pPr>
        <w:pStyle w:val="32"/>
        <w:pageBreakBefore w:val="0"/>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26.1.3同一投标人提交两个（含两个）以上不同的投标报价的。</w:t>
      </w:r>
    </w:p>
    <w:p w14:paraId="5191804D">
      <w:pPr>
        <w:pStyle w:val="32"/>
        <w:pageBreakBefore w:val="0"/>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26.1.4投标人不具备招标文件中规定资格要求的。</w:t>
      </w:r>
    </w:p>
    <w:p w14:paraId="40EE086D">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26.1.5投标人的报价超过了最高限价的。</w:t>
      </w:r>
    </w:p>
    <w:p w14:paraId="73A2DB1A">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26.1.6未通过符合性审查的。</w:t>
      </w:r>
    </w:p>
    <w:p w14:paraId="0D0DC337">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26.1.7不符合招标文件中规定的实质性要求和条件的</w:t>
      </w:r>
      <w:r>
        <w:rPr>
          <w:rFonts w:hint="eastAsia" w:ascii="宋体" w:hAnsi="宋体" w:eastAsia="宋体" w:cs="宋体"/>
          <w:color w:val="auto"/>
          <w:sz w:val="21"/>
          <w:szCs w:val="21"/>
          <w:highlight w:val="none"/>
          <w:lang w:eastAsia="zh-CN"/>
        </w:rPr>
        <w:t>。</w:t>
      </w:r>
    </w:p>
    <w:p w14:paraId="7D01C36E">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3305739">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26.1.9投标文件含有采购人不能接受的附加条件的。</w:t>
      </w:r>
    </w:p>
    <w:p w14:paraId="43E2A834">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70B2B7C">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26.1.11投标文件未按照招标文件要求加盖CA电子公章的。</w:t>
      </w:r>
    </w:p>
    <w:p w14:paraId="4FFA9718">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26.1.12其他法律、法规及本招标文件规定的属无效投标的情形。</w:t>
      </w:r>
    </w:p>
    <w:p w14:paraId="2D93F095">
      <w:pPr>
        <w:pStyle w:val="32"/>
        <w:pageBreakBefore w:val="0"/>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26.2废标条款</w:t>
      </w:r>
    </w:p>
    <w:p w14:paraId="259EE207">
      <w:pPr>
        <w:pStyle w:val="32"/>
        <w:pageBreakBefore w:val="0"/>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26.2.1符合专业条件的供应商或者对招标文件作实质响应的供应商不足三家的。</w:t>
      </w:r>
    </w:p>
    <w:p w14:paraId="0B50DC44">
      <w:pPr>
        <w:pStyle w:val="32"/>
        <w:pageBreakBefore w:val="0"/>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26.2.2出现影响采购公正的违法、违规行为的。</w:t>
      </w:r>
    </w:p>
    <w:p w14:paraId="44A39F4E">
      <w:pPr>
        <w:pStyle w:val="32"/>
        <w:pageBreakBefore w:val="0"/>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26.2.3因重大变故，采购任务取消的。</w:t>
      </w:r>
    </w:p>
    <w:p w14:paraId="6CCD441F">
      <w:pPr>
        <w:pStyle w:val="32"/>
        <w:pageBreakBefore w:val="0"/>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26.2.4评标委员会认定招标文件存在歧义、重大缺陷导致评审工作无法进行。</w:t>
      </w:r>
    </w:p>
    <w:p w14:paraId="114BABA4">
      <w:pPr>
        <w:pStyle w:val="32"/>
        <w:pageBreakBefore w:val="0"/>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26.2.5因苏采云系统系统故障原因造成开标不成功的。</w:t>
      </w:r>
    </w:p>
    <w:p w14:paraId="587EAC04">
      <w:pPr>
        <w:pStyle w:val="32"/>
        <w:pageBreakBefore w:val="0"/>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26.3 投标截止时间结束后参加投标的供应商不足三家的处理：</w:t>
      </w:r>
    </w:p>
    <w:p w14:paraId="2DC7E616">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26.3.1如出现投标截止时间结束后参加投标的供应商或者在评标期间对招标文件做出实质响应的供应商不足三家情况，按政府采购相关规定执行。</w:t>
      </w:r>
    </w:p>
    <w:p w14:paraId="7B254C20">
      <w:pPr>
        <w:pStyle w:val="32"/>
        <w:keepNext/>
        <w:keepLines/>
        <w:pageBreakBefore w:val="0"/>
        <w:spacing w:beforeAutospacing="0" w:afterAutospacing="0" w:line="360" w:lineRule="auto"/>
        <w:ind w:firstLine="482"/>
        <w:jc w:val="both"/>
        <w:rPr>
          <w:rFonts w:hint="eastAsia" w:ascii="宋体" w:hAnsi="宋体" w:eastAsia="宋体" w:cs="宋体"/>
          <w:color w:val="auto"/>
          <w:sz w:val="21"/>
          <w:szCs w:val="21"/>
          <w:highlight w:val="none"/>
        </w:rPr>
      </w:pPr>
      <w:bookmarkStart w:id="133" w:name="_Toc120614219"/>
      <w:bookmarkEnd w:id="133"/>
      <w:r>
        <w:rPr>
          <w:rFonts w:hint="eastAsia" w:ascii="宋体" w:hAnsi="宋体" w:eastAsia="宋体" w:cs="宋体"/>
          <w:b/>
          <w:color w:val="auto"/>
          <w:sz w:val="21"/>
          <w:szCs w:val="21"/>
          <w:highlight w:val="none"/>
        </w:rPr>
        <w:t>六、定标</w:t>
      </w:r>
    </w:p>
    <w:p w14:paraId="08FFD426">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bookmarkStart w:id="134" w:name="_Toc513029238"/>
      <w:bookmarkEnd w:id="134"/>
      <w:bookmarkStart w:id="135" w:name="_Toc16938554"/>
      <w:bookmarkEnd w:id="135"/>
      <w:bookmarkStart w:id="136" w:name="_Toc20823310"/>
      <w:bookmarkEnd w:id="136"/>
      <w:r>
        <w:rPr>
          <w:rFonts w:hint="eastAsia" w:ascii="宋体" w:hAnsi="宋体" w:eastAsia="宋体" w:cs="宋体"/>
          <w:color w:val="auto"/>
          <w:sz w:val="21"/>
          <w:szCs w:val="21"/>
          <w:highlight w:val="none"/>
        </w:rPr>
        <w:t>27、确定中标单位</w:t>
      </w:r>
    </w:p>
    <w:p w14:paraId="0EA56F8E">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27.1中标候选人的选取原则和数量见招标文件第五章规定。 </w:t>
      </w:r>
    </w:p>
    <w:p w14:paraId="39E27060">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27.2采购人应根据评委会推荐的中标候选人确定中标人。</w:t>
      </w:r>
    </w:p>
    <w:p w14:paraId="60BCCF2B">
      <w:pPr>
        <w:pStyle w:val="32"/>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27.3采购代理机构将在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中国政府采购网”、</w:t>
      </w:r>
      <w:r>
        <w:rPr>
          <w:rFonts w:hint="eastAsia" w:ascii="宋体" w:hAnsi="宋体" w:eastAsia="宋体" w:cs="宋体"/>
          <w:color w:val="auto"/>
          <w:sz w:val="21"/>
          <w:szCs w:val="21"/>
          <w:highlight w:val="none"/>
        </w:rPr>
        <w:t>“江苏政府采购网”、“盐城市政府采购网”发布中标公告，公告期限为1个工作日。</w:t>
      </w:r>
    </w:p>
    <w:p w14:paraId="2B6D077E">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27.4若有充分证据证明，中标人出现下列情况之一的，一经查实，将被取消中标资格：</w:t>
      </w:r>
    </w:p>
    <w:p w14:paraId="6C492A9E">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27.4.1提供虚假材料谋取中标的。</w:t>
      </w:r>
    </w:p>
    <w:p w14:paraId="6F68E370">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27.4.2向采购人、采购代理机构行贿或者提供其他不正当利益的。</w:t>
      </w:r>
    </w:p>
    <w:p w14:paraId="6F2694D9">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27.4.3属于本文件规定的无效条件，但在评标过程中又未被评委会发现的。</w:t>
      </w:r>
    </w:p>
    <w:p w14:paraId="719E9D20">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27.4.4与采购人或者其他供应商恶意串通的。</w:t>
      </w:r>
    </w:p>
    <w:p w14:paraId="004A8371">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27.4.5采取不正当手段诋毁、排挤其他供应商的。</w:t>
      </w:r>
    </w:p>
    <w:p w14:paraId="429665E4">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bookmarkStart w:id="137" w:name="_Toc200451960"/>
      <w:bookmarkEnd w:id="137"/>
      <w:r>
        <w:rPr>
          <w:rFonts w:hint="eastAsia" w:ascii="宋体" w:hAnsi="宋体" w:eastAsia="宋体" w:cs="宋体"/>
          <w:color w:val="auto"/>
          <w:sz w:val="21"/>
          <w:szCs w:val="21"/>
          <w:highlight w:val="none"/>
        </w:rPr>
        <w:t>27.5 有下列情形之一的，视为投标人串通投标，投标无效：</w:t>
      </w:r>
    </w:p>
    <w:p w14:paraId="19C579EF">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27.5.1不同投标人的投标文件由同一单位或者个人编制。</w:t>
      </w:r>
    </w:p>
    <w:p w14:paraId="2174B11C">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27.5.2不同投标人委托同一单位或者个人办理投标事宜。</w:t>
      </w:r>
    </w:p>
    <w:p w14:paraId="50F62072">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27.5.3不同投标人的投标文件载明的项目管理成员或者联系人员为同一人。</w:t>
      </w:r>
    </w:p>
    <w:p w14:paraId="17B11566">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27.5.4不同投标人的投标文件异常一致或者投标报价呈规律性差异。</w:t>
      </w:r>
    </w:p>
    <w:p w14:paraId="13A648F4">
      <w:pPr>
        <w:pStyle w:val="32"/>
        <w:keepNext/>
        <w:keepLines/>
        <w:pageBreakBefore w:val="0"/>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28、质疑处理</w:t>
      </w:r>
    </w:p>
    <w:p w14:paraId="6B9A2C93">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28.1提出质疑的供应商应当是参与所质疑项目采购活动的供应商。潜在供应商依法获取其可质疑的采购文件的，可以对采购文件提出质疑。</w:t>
      </w:r>
    </w:p>
    <w:p w14:paraId="3D2F0252">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5405621F">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28.2.1对可以质疑的采购文件提出质疑的，为收到采购文件之日或者采购文件公告期限届满之日；</w:t>
      </w:r>
    </w:p>
    <w:p w14:paraId="38044704">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28.2.2对采购过程提出质疑的，为各采购程序环节结束之日；</w:t>
      </w:r>
    </w:p>
    <w:p w14:paraId="1D898B5E">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28.2.3对中标或者成交结果提出质疑的，为中标或者成交结果公告期限届满之日。</w:t>
      </w:r>
    </w:p>
    <w:p w14:paraId="58E967F6">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3F281C45">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21A7FC5">
      <w:pPr>
        <w:pStyle w:val="32"/>
        <w:pageBreakBefore w:val="0"/>
        <w:spacing w:beforeAutospacing="0" w:afterAutospacing="0" w:line="360" w:lineRule="auto"/>
        <w:ind w:firstLine="48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1AFB5EBD">
      <w:pPr>
        <w:pageBreakBefore w:val="0"/>
        <w:tabs>
          <w:tab w:val="left" w:pos="1331"/>
        </w:tabs>
        <w:spacing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采购代理机构及采购人只接收以纸质原件形式送达的质疑,采购人和</w:t>
      </w:r>
      <w:r>
        <w:rPr>
          <w:rFonts w:hint="eastAsia" w:asciiTheme="minorEastAsia" w:hAnsiTheme="minorEastAsia" w:eastAsiaTheme="minorEastAsia"/>
          <w:color w:val="auto"/>
          <w:highlight w:val="none"/>
        </w:rPr>
        <w:t>采购代理机构</w:t>
      </w:r>
      <w:r>
        <w:rPr>
          <w:rFonts w:hint="eastAsia" w:ascii="宋体" w:hAnsi="宋体" w:eastAsia="宋体" w:cs="宋体"/>
          <w:color w:val="auto"/>
          <w:sz w:val="21"/>
          <w:szCs w:val="21"/>
          <w:highlight w:val="none"/>
          <w:lang w:val="en-US" w:eastAsia="zh-CN" w:bidi="ar-SA"/>
        </w:rPr>
        <w:t>不接受未填写快递运单的快件。质疑接收部门为公共资源交易中心业务受理处。</w:t>
      </w:r>
    </w:p>
    <w:p w14:paraId="5E0BF19C">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 以下情形的质疑不予受理</w:t>
      </w:r>
    </w:p>
    <w:p w14:paraId="4CEF09D7">
      <w:pPr>
        <w:pStyle w:val="32"/>
        <w:pageBreakBefore w:val="0"/>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28.5.1内容不符合《政府采购质疑和投诉办法》第十二条规定的质疑。</w:t>
      </w:r>
    </w:p>
    <w:p w14:paraId="1F0CB387">
      <w:pPr>
        <w:pStyle w:val="32"/>
        <w:pageBreakBefore w:val="0"/>
        <w:widowControl/>
        <w:kinsoku/>
        <w:wordWrap/>
        <w:overflowPunct/>
        <w:topLinePunct w:val="0"/>
        <w:autoSpaceDE/>
        <w:autoSpaceDN/>
        <w:bidi w:val="0"/>
        <w:adjustRightInd/>
        <w:snapToGrid/>
        <w:spacing w:beforeAutospacing="0" w:afterAutospacing="0" w:line="39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28.5.2超出政府采购法定期限的质疑。</w:t>
      </w:r>
    </w:p>
    <w:p w14:paraId="7BED8CFB">
      <w:pPr>
        <w:pStyle w:val="32"/>
        <w:pageBreakBefore w:val="0"/>
        <w:widowControl/>
        <w:kinsoku/>
        <w:wordWrap/>
        <w:overflowPunct/>
        <w:topLinePunct w:val="0"/>
        <w:autoSpaceDE/>
        <w:autoSpaceDN/>
        <w:bidi w:val="0"/>
        <w:adjustRightInd/>
        <w:snapToGrid/>
        <w:spacing w:beforeAutospacing="0" w:afterAutospacing="0" w:line="39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28.5.3以传真、电子邮件等方式递交的非原件形式的质疑。</w:t>
      </w:r>
    </w:p>
    <w:p w14:paraId="6CF473C6">
      <w:pPr>
        <w:pStyle w:val="32"/>
        <w:pageBreakBefore w:val="0"/>
        <w:widowControl/>
        <w:kinsoku/>
        <w:wordWrap/>
        <w:overflowPunct/>
        <w:topLinePunct w:val="0"/>
        <w:autoSpaceDE/>
        <w:autoSpaceDN/>
        <w:bidi w:val="0"/>
        <w:adjustRightInd/>
        <w:snapToGrid/>
        <w:spacing w:beforeAutospacing="0" w:afterAutospacing="0" w:line="39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28.5.4未参加投标活动的供应商或在投标活动中自身权益未受到损害的供应商所提出的质疑。</w:t>
      </w:r>
    </w:p>
    <w:p w14:paraId="65252334">
      <w:pPr>
        <w:pStyle w:val="32"/>
        <w:pageBreakBefore w:val="0"/>
        <w:widowControl/>
        <w:kinsoku/>
        <w:wordWrap/>
        <w:overflowPunct/>
        <w:topLinePunct w:val="0"/>
        <w:autoSpaceDE/>
        <w:autoSpaceDN/>
        <w:bidi w:val="0"/>
        <w:adjustRightInd/>
        <w:snapToGrid/>
        <w:spacing w:beforeAutospacing="0" w:afterAutospacing="0" w:line="39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28.5.5供应商组成联合体参加投标，联合体中任何一方或多方未按要求签字、盖章、加盖公章的质疑。</w:t>
      </w:r>
    </w:p>
    <w:p w14:paraId="0F88F077">
      <w:pPr>
        <w:pStyle w:val="32"/>
        <w:pageBreakBefore w:val="0"/>
        <w:widowControl/>
        <w:kinsoku/>
        <w:wordWrap/>
        <w:overflowPunct/>
        <w:topLinePunct w:val="0"/>
        <w:autoSpaceDE/>
        <w:autoSpaceDN/>
        <w:bidi w:val="0"/>
        <w:adjustRightInd/>
        <w:snapToGrid/>
        <w:spacing w:beforeAutospacing="0" w:afterAutospacing="0" w:line="390" w:lineRule="exact"/>
        <w:ind w:firstLine="468"/>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采购人或</w:t>
      </w:r>
      <w:r>
        <w:rPr>
          <w:rFonts w:hint="eastAsia" w:ascii="宋体" w:hAnsi="宋体" w:eastAsia="宋体" w:cs="宋体"/>
          <w:color w:val="auto"/>
          <w:sz w:val="21"/>
          <w:szCs w:val="21"/>
          <w:highlight w:val="none"/>
        </w:rPr>
        <w:t>采购代理机构有权依据政府采购的有关规定，报请政府采购监管部门对该供应商进行相应的行政处罚和记录该供应商的失信信息。</w:t>
      </w:r>
    </w:p>
    <w:p w14:paraId="44ACF366">
      <w:pPr>
        <w:pStyle w:val="32"/>
        <w:keepNext/>
        <w:keepLines/>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29、中标通知书</w:t>
      </w:r>
    </w:p>
    <w:p w14:paraId="010A7870">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29.l中标结果确定后，采购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4CFFAF0">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29.2中标通知书将是合同的一个组成部分。对采购人和中标人均具有法律效力。中标通知书发出后，采购人改变中标结果的，或者中标人放弃中标项目的，应当依法承担法律责任。</w:t>
      </w:r>
    </w:p>
    <w:p w14:paraId="72CC80EE">
      <w:pPr>
        <w:pStyle w:val="32"/>
        <w:keepNext/>
        <w:keepLines/>
        <w:pageBreakBefore w:val="0"/>
        <w:widowControl/>
        <w:kinsoku/>
        <w:wordWrap/>
        <w:overflowPunct/>
        <w:topLinePunct w:val="0"/>
        <w:autoSpaceDE/>
        <w:autoSpaceDN/>
        <w:bidi w:val="0"/>
        <w:adjustRightInd/>
        <w:snapToGrid/>
        <w:spacing w:beforeAutospacing="0" w:afterAutospacing="0" w:line="390" w:lineRule="exact"/>
        <w:jc w:val="both"/>
        <w:textAlignment w:val="auto"/>
        <w:rPr>
          <w:rFonts w:hint="eastAsia" w:ascii="宋体" w:hAnsi="宋体" w:eastAsia="宋体" w:cs="宋体"/>
          <w:color w:val="auto"/>
          <w:sz w:val="21"/>
          <w:szCs w:val="21"/>
          <w:highlight w:val="none"/>
        </w:rPr>
      </w:pPr>
      <w:bookmarkStart w:id="138" w:name="_Toc16938552"/>
      <w:bookmarkEnd w:id="138"/>
      <w:bookmarkStart w:id="139" w:name="_Toc20823308"/>
      <w:bookmarkEnd w:id="139"/>
      <w:bookmarkStart w:id="140" w:name="_Toc513029236"/>
      <w:bookmarkEnd w:id="140"/>
      <w:bookmarkStart w:id="141" w:name="_Toc120614220"/>
      <w:bookmarkEnd w:id="141"/>
      <w:r>
        <w:rPr>
          <w:rFonts w:hint="eastAsia" w:ascii="宋体" w:hAnsi="宋体" w:eastAsia="宋体" w:cs="宋体"/>
          <w:b/>
          <w:color w:val="auto"/>
          <w:sz w:val="21"/>
          <w:szCs w:val="21"/>
          <w:highlight w:val="none"/>
        </w:rPr>
        <w:t>七、授予合同</w:t>
      </w:r>
    </w:p>
    <w:p w14:paraId="409584BB">
      <w:pPr>
        <w:pStyle w:val="32"/>
        <w:keepNext/>
        <w:keepLines/>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bookmarkStart w:id="142" w:name="_Toc513029237"/>
      <w:bookmarkEnd w:id="142"/>
      <w:bookmarkStart w:id="143" w:name="_Toc16938553"/>
      <w:bookmarkEnd w:id="143"/>
      <w:bookmarkStart w:id="144" w:name="_Toc20823309"/>
      <w:bookmarkEnd w:id="144"/>
      <w:r>
        <w:rPr>
          <w:rFonts w:hint="eastAsia" w:ascii="宋体" w:hAnsi="宋体" w:eastAsia="宋体" w:cs="宋体"/>
          <w:color w:val="auto"/>
          <w:sz w:val="21"/>
          <w:szCs w:val="21"/>
          <w:highlight w:val="none"/>
        </w:rPr>
        <w:t>30.签订合同</w:t>
      </w:r>
    </w:p>
    <w:p w14:paraId="4D33BC23">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30.l中标人应当在中标通知书发出之日起三十日内，按照招标文件确定的事项与采购人签订政府采购合同。</w:t>
      </w:r>
    </w:p>
    <w:p w14:paraId="6ED7748A">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30.2招标文件、中标人的投标文件及招标过程中有关澄清、承诺文件均应作为合同附件。</w:t>
      </w:r>
    </w:p>
    <w:p w14:paraId="451B72E9">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30.3签订合同后，</w:t>
      </w:r>
      <w:r>
        <w:rPr>
          <w:rFonts w:hint="eastAsia" w:ascii="宋体" w:hAnsi="宋体" w:eastAsia="宋体" w:cs="宋体"/>
          <w:i/>
          <w:color w:val="auto"/>
          <w:sz w:val="21"/>
          <w:szCs w:val="21"/>
          <w:highlight w:val="none"/>
          <w:u w:val="single"/>
        </w:rPr>
        <w:t>中标人不得将合同标的进行转包</w:t>
      </w:r>
      <w:r>
        <w:rPr>
          <w:rFonts w:hint="eastAsia" w:ascii="宋体" w:hAnsi="宋体" w:eastAsia="宋体" w:cs="宋体"/>
          <w:color w:val="auto"/>
          <w:sz w:val="21"/>
          <w:szCs w:val="21"/>
          <w:highlight w:val="none"/>
        </w:rPr>
        <w:t>。未经采购人同意，中标人也不得采用分包的形式履行合同，否则采购人有权终止合同。转包或分包造成采购人损失的，中标人应承担相应赔偿责任。</w:t>
      </w:r>
    </w:p>
    <w:p w14:paraId="41DD395F">
      <w:pPr>
        <w:pStyle w:val="32"/>
        <w:keepNext/>
        <w:keepLines/>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31、服务（包含与服务相关的货物）的追加</w:t>
      </w:r>
    </w:p>
    <w:p w14:paraId="7531EE81">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A394A2E">
      <w:pPr>
        <w:pStyle w:val="32"/>
        <w:pageBreakBefore w:val="0"/>
        <w:widowControl/>
        <w:numPr>
          <w:ilvl w:val="0"/>
          <w:numId w:val="4"/>
        </w:numPr>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w:t>
      </w:r>
      <w:r>
        <w:rPr>
          <w:rFonts w:hint="eastAsia" w:ascii="宋体" w:hAnsi="宋体" w:eastAsia="宋体" w:cs="宋体"/>
          <w:color w:val="auto"/>
          <w:sz w:val="21"/>
          <w:szCs w:val="21"/>
          <w:highlight w:val="none"/>
          <w:lang w:eastAsia="zh-CN"/>
        </w:rPr>
        <w:t>线上合同信用融资</w:t>
      </w:r>
      <w:r>
        <w:rPr>
          <w:rFonts w:hint="eastAsia" w:ascii="宋体" w:hAnsi="宋体" w:eastAsia="宋体" w:cs="宋体"/>
          <w:color w:val="auto"/>
          <w:sz w:val="21"/>
          <w:szCs w:val="21"/>
          <w:highlight w:val="none"/>
        </w:rPr>
        <w:t>政策</w:t>
      </w:r>
    </w:p>
    <w:p w14:paraId="46068BD2">
      <w:pPr>
        <w:pStyle w:val="32"/>
        <w:pageBreakBefore w:val="0"/>
        <w:widowControl/>
        <w:numPr>
          <w:ilvl w:val="0"/>
          <w:numId w:val="0"/>
        </w:numPr>
        <w:kinsoku/>
        <w:wordWrap/>
        <w:overflowPunct/>
        <w:topLinePunct w:val="0"/>
        <w:autoSpaceDE/>
        <w:autoSpaceDN/>
        <w:bidi w:val="0"/>
        <w:adjustRightInd/>
        <w:snapToGrid/>
        <w:spacing w:beforeAutospacing="0" w:afterAutospacing="0" w:line="390" w:lineRule="exact"/>
        <w:ind w:firstLine="420" w:firstLineChars="200"/>
        <w:jc w:val="both"/>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32.1</w:t>
      </w:r>
      <w:r>
        <w:rPr>
          <w:rFonts w:hint="eastAsia" w:ascii="宋体" w:hAnsi="宋体" w:eastAsia="宋体" w:cs="宋体"/>
          <w:color w:val="auto"/>
          <w:sz w:val="21"/>
          <w:szCs w:val="21"/>
          <w:highlight w:val="none"/>
        </w:rPr>
        <w:t>根据《转发江苏省财政厅</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424C2E7C">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32.2进口产品</w:t>
      </w:r>
    </w:p>
    <w:p w14:paraId="73B68305">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C65615F">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32.3中小企业、监狱企业及残疾人福利性单位</w:t>
      </w:r>
    </w:p>
    <w:p w14:paraId="66B91B30">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32.3.1中小企业定义：</w:t>
      </w:r>
    </w:p>
    <w:p w14:paraId="5413D9E2">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6763AC0">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32.3.2供应商提供的货物、工程或者服务符合下列情形的，享受中小企业扶持政策：</w:t>
      </w:r>
    </w:p>
    <w:p w14:paraId="56C02AD1">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32.3.2.1在货物采购项目中，货物由中小企业制造，即货物由中小企业生产且使用该中小企业商号或者注册商标；</w:t>
      </w:r>
    </w:p>
    <w:p w14:paraId="19D24E2F">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32.3.2.2在工程采购项目中，工程由中小企业承建，即工程施工单位为中小企业；</w:t>
      </w:r>
    </w:p>
    <w:p w14:paraId="69B04E4F">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32.3.2.3在服务采购项目中，服务由中小企业承接，即提供服务的人员为中小企业依照《中华人民共和国劳动合同法》订立劳动合同的从业人员。</w:t>
      </w:r>
    </w:p>
    <w:p w14:paraId="3057D90D">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32.3.3在货物采购项目中，供应商提供的货物既有中小企业制造货物，也有大型企业制造货物的，不享受中小企业扶持政策。</w:t>
      </w:r>
    </w:p>
    <w:p w14:paraId="0B2C38E9">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32.3.4以联合体形式参加政府采购活动，联合体各方均为中小企业的，联合体视同中小企业。其中，联合体各方均为小微企业的，联合体视同小微企业。</w:t>
      </w:r>
    </w:p>
    <w:p w14:paraId="1C27836A">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7FCC61A">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32.3.6残疾人福利单位定义：享受政府采购支持政策的残疾人福利性单位应当同时满足以下条件：</w:t>
      </w:r>
    </w:p>
    <w:p w14:paraId="371D3187">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32.3.6.1安置的残疾人占本单位在职职工人数的比例不低于25%（含25%），并且安置的残疾人人数不少于10 人（含10 人）；</w:t>
      </w:r>
    </w:p>
    <w:p w14:paraId="33D07EEC">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32.3.6.2依法与安置的每位残疾人签订了一年以上（含一年）的劳动合同或服务协议；</w:t>
      </w:r>
    </w:p>
    <w:p w14:paraId="2344C17A">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32.3.6.3为安置的每位残疾人按月足额缴纳了基本养老保险、基本医疗保险、失业保险、工伤保险和生育保险等社会保险费；</w:t>
      </w:r>
    </w:p>
    <w:p w14:paraId="216DC360">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32.3.6.4通过银行等金融机构向安置的每位残疾人，按月支付了不低于单位所在区县适用的经省级人民政府批准的月最低工资标准的工资；</w:t>
      </w:r>
    </w:p>
    <w:p w14:paraId="0E0F0BC8">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33.3.6.5提供本单位制造的货物、承担的工程或者服务（以下简称产品），或者提供其他残疾人福利性单位制造的货物（不包括使用非残疾人福利性单位注册商标的货物）；</w:t>
      </w:r>
    </w:p>
    <w:p w14:paraId="32CB56FA">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F1036C9">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32.3.7本项目是否专门面向中小企业预留采购份额见第一章《招标公告》。</w:t>
      </w:r>
    </w:p>
    <w:p w14:paraId="77388689">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32.3.8采购标的对应的中小企业划分标准所属行业见第四章《采购需求》。</w:t>
      </w:r>
    </w:p>
    <w:p w14:paraId="2FBAAA4D">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32.3.9小微企业价格评审优惠的政策：见第五章《评标方法和评标标准》。</w:t>
      </w:r>
    </w:p>
    <w:p w14:paraId="2F0500A6">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32.4政府采购节能产品、环境标志产品</w:t>
      </w:r>
    </w:p>
    <w:p w14:paraId="7766889B">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5BCA1FA">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A51E222">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32.5绿色包装</w:t>
      </w:r>
    </w:p>
    <w:p w14:paraId="58224D64">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7CEAD1C8">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32.6政府采购创新产品</w:t>
      </w:r>
    </w:p>
    <w:p w14:paraId="361268FC">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采购人优先采购各级政府部门公开发布的有效期内的创新产品、创新服务、首台套、首购首用等《目录》的创新产品。</w:t>
      </w:r>
    </w:p>
    <w:p w14:paraId="4DD019F1">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32.7绿色数据中心政策 </w:t>
      </w:r>
    </w:p>
    <w:p w14:paraId="7E2D96A7">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0C046C8">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32.8履约保证金政策</w:t>
      </w:r>
    </w:p>
    <w:p w14:paraId="244BE68C">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确需收取履约保证金的，履约保证金的缴纳形式：</w:t>
      </w:r>
    </w:p>
    <w:p w14:paraId="6E9EE41A">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供应商应当</w:t>
      </w:r>
      <w:r>
        <w:rPr>
          <w:rFonts w:hint="eastAsia" w:ascii="宋体" w:hAnsi="宋体"/>
          <w:color w:val="auto"/>
          <w:sz w:val="21"/>
          <w:szCs w:val="21"/>
          <w:highlight w:val="none"/>
        </w:rPr>
        <w:t>以现金（转账）或者投标人基本账户缴纳的担保机构保函、保险机构保单等非现金交易担保方式</w:t>
      </w:r>
      <w:r>
        <w:rPr>
          <w:rFonts w:hint="eastAsia"/>
          <w:color w:val="auto"/>
          <w:sz w:val="21"/>
          <w:szCs w:val="21"/>
          <w:highlight w:val="none"/>
          <w:lang w:val="en-US" w:eastAsia="zh-CN"/>
        </w:rPr>
        <w:t>提交履约保证金</w:t>
      </w:r>
      <w:r>
        <w:rPr>
          <w:rFonts w:hint="eastAsia" w:ascii="宋体" w:hAnsi="宋体" w:eastAsia="宋体" w:cs="宋体"/>
          <w:color w:val="auto"/>
          <w:sz w:val="21"/>
          <w:szCs w:val="21"/>
          <w:highlight w:val="none"/>
        </w:rPr>
        <w:t>。依据《关于在全省政府采购领域推行电子履约保函（保险）的通知》，鼓励供应商自愿使用电子履约保函（保险）代替缴纳履约保证金。</w:t>
      </w:r>
    </w:p>
    <w:p w14:paraId="21DC8413">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如以履约保函（保险）形式缴纳履约保证金，供应商可通过政府采购电子履约保函（保险）平台（www.jsdzbh.com）在线申请履约保函（保险）。</w:t>
      </w:r>
    </w:p>
    <w:p w14:paraId="5AD8DEF9">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E11BD2B">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预付款制度</w:t>
      </w:r>
    </w:p>
    <w:p w14:paraId="3243F8C1">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本项目落实预付款制度，预付款比例为 30 %</w:t>
      </w:r>
      <w:r>
        <w:rPr>
          <w:rFonts w:hint="eastAsia" w:ascii="Segoe UI" w:hAnsi="Segoe UI" w:eastAsia="Segoe UI" w:cs="Segoe UI"/>
          <w:b/>
          <w:bCs/>
          <w:i w:val="0"/>
          <w:iCs w:val="0"/>
          <w:caps w:val="0"/>
          <w:color w:val="auto"/>
          <w:spacing w:val="0"/>
          <w:sz w:val="21"/>
          <w:szCs w:val="21"/>
          <w:highlight w:val="none"/>
          <w:shd w:val="clear" w:color="auto" w:fill="FFFFFF"/>
        </w:rPr>
        <w:t>（</w:t>
      </w:r>
      <w:r>
        <w:rPr>
          <w:rFonts w:hint="eastAsia" w:ascii="宋体" w:hAnsi="宋体" w:eastAsia="宋体" w:cs="宋体"/>
          <w:b/>
          <w:bCs/>
          <w:color w:val="auto"/>
          <w:sz w:val="21"/>
          <w:szCs w:val="21"/>
          <w:highlight w:val="none"/>
        </w:rPr>
        <w:t>待区财政资金到位后再</w:t>
      </w:r>
      <w:r>
        <w:rPr>
          <w:rFonts w:hint="eastAsia" w:ascii="宋体" w:hAnsi="宋体" w:eastAsia="宋体" w:cs="宋体"/>
          <w:b/>
          <w:bCs/>
          <w:color w:val="auto"/>
          <w:sz w:val="21"/>
          <w:szCs w:val="21"/>
          <w:highlight w:val="none"/>
          <w:lang w:val="en-US" w:eastAsia="zh-CN"/>
        </w:rPr>
        <w:t>拨付预付款</w:t>
      </w:r>
      <w:r>
        <w:rPr>
          <w:rFonts w:hint="eastAsia" w:ascii="宋体" w:hAnsi="宋体" w:eastAsia="宋体" w:cs="宋体"/>
          <w:b/>
          <w:bCs/>
          <w:color w:val="auto"/>
          <w:sz w:val="21"/>
          <w:szCs w:val="21"/>
          <w:highlight w:val="none"/>
        </w:rPr>
        <w:t>）。在签订合同时，中标、成交供应商明确书面表示无需预付款或者主动要求降低预付款比例的，采购人可就预付款比例作相应调整。</w:t>
      </w:r>
    </w:p>
    <w:p w14:paraId="4209E70F">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default" w:ascii="宋体" w:hAnsi="宋体" w:eastAsia="宋体" w:cs="宋体"/>
          <w:color w:val="auto"/>
          <w:sz w:val="21"/>
          <w:szCs w:val="21"/>
          <w:highlight w:val="none"/>
          <w:lang w:val="en-US" w:eastAsia="zh-CN"/>
        </w:rPr>
      </w:pPr>
    </w:p>
    <w:p w14:paraId="32A2E6E2">
      <w:pPr>
        <w:pStyle w:val="32"/>
        <w:pageBreakBefore w:val="0"/>
        <w:widowControl/>
        <w:kinsoku/>
        <w:wordWrap/>
        <w:overflowPunct/>
        <w:topLinePunct w:val="0"/>
        <w:autoSpaceDE/>
        <w:autoSpaceDN/>
        <w:bidi w:val="0"/>
        <w:adjustRightInd/>
        <w:snapToGrid/>
        <w:spacing w:beforeAutospacing="0" w:afterAutospacing="0" w:line="390" w:lineRule="exact"/>
        <w:ind w:firstLine="420"/>
        <w:jc w:val="both"/>
        <w:textAlignment w:val="auto"/>
        <w:rPr>
          <w:rFonts w:hint="default" w:ascii="宋体" w:hAnsi="宋体" w:eastAsia="宋体" w:cs="宋体"/>
          <w:color w:val="auto"/>
          <w:sz w:val="21"/>
          <w:szCs w:val="21"/>
          <w:highlight w:val="none"/>
          <w:lang w:val="en-US" w:eastAsia="zh-CN"/>
        </w:rPr>
      </w:pPr>
    </w:p>
    <w:p w14:paraId="5FB38317">
      <w:pPr>
        <w:pageBreakBefore w:val="0"/>
        <w:spacing w:line="360" w:lineRule="auto"/>
        <w:jc w:val="center"/>
        <w:rPr>
          <w:rFonts w:hint="eastAsia" w:ascii="黑体" w:eastAsia="黑体"/>
          <w:bCs/>
          <w:color w:val="auto"/>
          <w:sz w:val="44"/>
          <w:highlight w:val="none"/>
        </w:rPr>
      </w:pPr>
    </w:p>
    <w:p w14:paraId="6106A044">
      <w:pPr>
        <w:pageBreakBefore w:val="0"/>
        <w:spacing w:line="360" w:lineRule="auto"/>
        <w:jc w:val="center"/>
        <w:rPr>
          <w:rFonts w:hint="eastAsia" w:ascii="黑体" w:eastAsia="黑体"/>
          <w:bCs/>
          <w:color w:val="auto"/>
          <w:sz w:val="44"/>
          <w:highlight w:val="none"/>
        </w:rPr>
      </w:pPr>
    </w:p>
    <w:p w14:paraId="1C9AF501">
      <w:pPr>
        <w:pageBreakBefore w:val="0"/>
        <w:spacing w:line="360" w:lineRule="auto"/>
        <w:jc w:val="center"/>
        <w:rPr>
          <w:rFonts w:hint="eastAsia" w:ascii="黑体" w:eastAsia="黑体"/>
          <w:bCs/>
          <w:color w:val="auto"/>
          <w:sz w:val="44"/>
          <w:highlight w:val="none"/>
        </w:rPr>
      </w:pPr>
      <w:r>
        <w:rPr>
          <w:rFonts w:hint="eastAsia" w:ascii="黑体" w:eastAsia="黑体"/>
          <w:bCs/>
          <w:color w:val="auto"/>
          <w:sz w:val="44"/>
          <w:highlight w:val="none"/>
        </w:rPr>
        <w:t xml:space="preserve">第三章  </w:t>
      </w:r>
      <w:bookmarkEnd w:id="36"/>
      <w:bookmarkEnd w:id="37"/>
      <w:bookmarkEnd w:id="38"/>
      <w:bookmarkEnd w:id="39"/>
      <w:bookmarkEnd w:id="40"/>
      <w:bookmarkStart w:id="145" w:name="_Toc20823346"/>
      <w:bookmarkStart w:id="146" w:name="_Toc16938590"/>
      <w:bookmarkStart w:id="147" w:name="_Toc120614244"/>
      <w:bookmarkStart w:id="148" w:name="_Toc462564139"/>
      <w:bookmarkStart w:id="149" w:name="_Toc479757211"/>
      <w:r>
        <w:rPr>
          <w:rFonts w:hint="eastAsia" w:ascii="黑体" w:eastAsia="黑体"/>
          <w:bCs/>
          <w:color w:val="auto"/>
          <w:sz w:val="44"/>
          <w:highlight w:val="none"/>
          <w:lang w:val="en-US" w:eastAsia="zh-CN"/>
        </w:rPr>
        <w:t xml:space="preserve"> </w:t>
      </w:r>
      <w:r>
        <w:rPr>
          <w:rFonts w:hint="eastAsia" w:ascii="黑体" w:eastAsia="黑体"/>
          <w:bCs/>
          <w:color w:val="auto"/>
          <w:sz w:val="44"/>
          <w:highlight w:val="none"/>
        </w:rPr>
        <w:t>项目需求</w:t>
      </w:r>
      <w:bookmarkEnd w:id="145"/>
      <w:bookmarkEnd w:id="146"/>
      <w:bookmarkEnd w:id="147"/>
    </w:p>
    <w:p w14:paraId="23C4AA55">
      <w:pPr>
        <w:keepNext w:val="0"/>
        <w:keepLines w:val="0"/>
        <w:pageBreakBefore w:val="0"/>
        <w:widowControl w:val="0"/>
        <w:kinsoku/>
        <w:wordWrap/>
        <w:overflowPunct/>
        <w:topLinePunct w:val="0"/>
        <w:autoSpaceDE/>
        <w:autoSpaceDN/>
        <w:bidi w:val="0"/>
        <w:adjustRightInd/>
        <w:snapToGrid/>
        <w:spacing w:beforeAutospacing="0" w:line="420" w:lineRule="exact"/>
        <w:ind w:firstLine="422"/>
        <w:textAlignment w:val="auto"/>
        <w:rPr>
          <w:rFonts w:hint="eastAsia" w:ascii="宋体" w:hAnsi="宋体" w:cs="宋体"/>
          <w:b/>
          <w:bCs/>
          <w:color w:val="auto"/>
          <w:highlight w:val="none"/>
        </w:rPr>
      </w:pPr>
      <w:r>
        <w:rPr>
          <w:rFonts w:hint="eastAsia" w:ascii="宋体" w:hAnsi="宋体" w:cs="宋体"/>
          <w:b/>
          <w:bCs/>
          <w:color w:val="auto"/>
          <w:highlight w:val="none"/>
        </w:rPr>
        <w:t>一、人员及机械基本要求</w:t>
      </w:r>
    </w:p>
    <w:p w14:paraId="49CA9B4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20" w:firstLineChars="0"/>
        <w:textAlignment w:val="auto"/>
        <w:rPr>
          <w:rFonts w:hint="default" w:ascii="宋体" w:hAnsi="宋体"/>
          <w:b/>
          <w:bCs/>
          <w:color w:val="auto"/>
          <w:highlight w:val="none"/>
          <w:lang w:val="en-US" w:eastAsia="zh-CN"/>
        </w:rPr>
      </w:pPr>
      <w:r>
        <w:rPr>
          <w:rFonts w:hint="eastAsia" w:ascii="宋体" w:hAnsi="宋体"/>
          <w:color w:val="auto"/>
          <w:highlight w:val="none"/>
        </w:rPr>
        <w:t>（1）</w:t>
      </w:r>
      <w:r>
        <w:rPr>
          <w:rFonts w:hint="eastAsia" w:ascii="宋体" w:hAnsi="宋体" w:cs="宋体"/>
          <w:b w:val="0"/>
          <w:bCs w:val="0"/>
          <w:color w:val="auto"/>
          <w:sz w:val="21"/>
          <w:szCs w:val="21"/>
          <w:highlight w:val="none"/>
          <w:lang w:val="en-US" w:eastAsia="zh-CN"/>
        </w:rPr>
        <w:t>全自动打捞保洁船4条，</w:t>
      </w:r>
      <w:r>
        <w:rPr>
          <w:rFonts w:hint="eastAsia" w:ascii="宋体" w:hAnsi="宋体" w:eastAsia="宋体" w:cs="宋体"/>
          <w:color w:val="auto"/>
          <w:sz w:val="21"/>
          <w:szCs w:val="24"/>
          <w:highlight w:val="none"/>
        </w:rPr>
        <w:t>打捞船除了要有正常的航行功能外，还必须具有自动打捞水面漂浮物，并且能自动将漂浮物输送上岸的功能</w:t>
      </w:r>
      <w:r>
        <w:rPr>
          <w:rFonts w:hint="eastAsia" w:ascii="宋体" w:hAnsi="宋体" w:eastAsia="宋体" w:cs="宋体"/>
          <w:color w:val="auto"/>
          <w:sz w:val="21"/>
          <w:szCs w:val="24"/>
          <w:highlight w:val="none"/>
          <w:lang w:eastAsia="zh-CN"/>
        </w:rPr>
        <w:t>，</w:t>
      </w:r>
      <w:r>
        <w:rPr>
          <w:rFonts w:hint="eastAsia" w:ascii="宋体" w:hAnsi="宋体" w:eastAsia="宋体" w:cs="宋体"/>
          <w:b/>
          <w:bCs/>
          <w:color w:val="auto"/>
          <w:sz w:val="21"/>
          <w:szCs w:val="24"/>
          <w:highlight w:val="none"/>
        </w:rPr>
        <w:t>配备的打捞保洁船须与河道规模相适应，具备载货量不小于10立方米或打捞保洁船发动机功率不低于50千瓦。</w:t>
      </w:r>
      <w:r>
        <w:rPr>
          <w:rFonts w:hint="eastAsia" w:ascii="宋体" w:hAnsi="宋体"/>
          <w:b/>
          <w:bCs/>
          <w:color w:val="auto"/>
          <w:highlight w:val="none"/>
          <w:lang w:eastAsia="zh-CN"/>
        </w:rPr>
        <w:t>（</w:t>
      </w:r>
      <w:r>
        <w:rPr>
          <w:rFonts w:hint="eastAsia" w:ascii="宋体" w:hAnsi="宋体"/>
          <w:b/>
          <w:bCs/>
          <w:color w:val="auto"/>
          <w:highlight w:val="none"/>
          <w:lang w:val="en-US" w:eastAsia="zh-CN"/>
        </w:rPr>
        <w:t>每条保洁船需配备监控设备</w:t>
      </w:r>
      <w:r>
        <w:rPr>
          <w:rFonts w:hint="eastAsia" w:ascii="宋体" w:hAnsi="宋体"/>
          <w:b/>
          <w:bCs/>
          <w:color w:val="auto"/>
          <w:highlight w:val="none"/>
          <w:lang w:eastAsia="zh-CN"/>
        </w:rPr>
        <w:t>）</w:t>
      </w:r>
      <w:r>
        <w:rPr>
          <w:rFonts w:hint="eastAsia" w:ascii="宋体" w:hAnsi="宋体"/>
          <w:b/>
          <w:bCs/>
          <w:color w:val="auto"/>
          <w:highlight w:val="none"/>
          <w:lang w:val="en-US" w:eastAsia="zh-CN"/>
        </w:rPr>
        <w:t>另如有保洁船发生故障，两小时内需有备用保洁船到达现场并投入使用。</w:t>
      </w:r>
    </w:p>
    <w:p w14:paraId="7B60E939">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20" w:firstLineChars="0"/>
        <w:textAlignment w:val="auto"/>
        <w:rPr>
          <w:rFonts w:hint="eastAsia" w:ascii="宋体" w:hAnsi="宋体" w:eastAsia="宋体" w:cs="Times New Roman"/>
          <w:b/>
          <w:bCs/>
          <w:color w:val="auto"/>
          <w:highlight w:val="none"/>
        </w:rPr>
      </w:pPr>
      <w:r>
        <w:rPr>
          <w:rFonts w:hint="eastAsia" w:ascii="宋体" w:hAnsi="宋体" w:eastAsia="宋体" w:cs="Times New Roman"/>
          <w:color w:val="auto"/>
          <w:sz w:val="21"/>
          <w:szCs w:val="21"/>
          <w:highlight w:val="none"/>
          <w:lang w:val="en-US" w:eastAsia="zh-CN" w:bidi="ar-SA"/>
        </w:rPr>
        <w:t>（</w:t>
      </w:r>
      <w:r>
        <w:rPr>
          <w:rFonts w:hint="eastAsia" w:ascii="宋体" w:hAnsi="宋体" w:cs="Times New Roman"/>
          <w:color w:val="auto"/>
          <w:sz w:val="21"/>
          <w:szCs w:val="21"/>
          <w:highlight w:val="none"/>
          <w:lang w:val="en-US" w:eastAsia="zh-CN" w:bidi="ar-SA"/>
        </w:rPr>
        <w:t>2</w:t>
      </w:r>
      <w:r>
        <w:rPr>
          <w:rFonts w:hint="eastAsia" w:ascii="宋体" w:hAnsi="宋体" w:eastAsia="宋体" w:cs="Times New Roman"/>
          <w:color w:val="auto"/>
          <w:sz w:val="21"/>
          <w:szCs w:val="21"/>
          <w:highlight w:val="none"/>
          <w:lang w:val="en-US" w:eastAsia="zh-CN" w:bidi="ar-SA"/>
        </w:rPr>
        <w:t>）</w:t>
      </w:r>
      <w:r>
        <w:rPr>
          <w:rFonts w:hint="eastAsia" w:ascii="宋体" w:hAnsi="宋体"/>
          <w:color w:val="auto"/>
          <w:highlight w:val="none"/>
        </w:rPr>
        <w:t>挖掘机</w:t>
      </w:r>
      <w:r>
        <w:rPr>
          <w:rFonts w:hint="eastAsia" w:ascii="宋体" w:hAnsi="宋体"/>
          <w:color w:val="auto"/>
          <w:highlight w:val="none"/>
          <w:lang w:val="en-US" w:eastAsia="zh-CN"/>
        </w:rPr>
        <w:t>2</w:t>
      </w:r>
      <w:r>
        <w:rPr>
          <w:rFonts w:hint="eastAsia" w:ascii="宋体" w:hAnsi="宋体"/>
          <w:color w:val="auto"/>
          <w:highlight w:val="none"/>
        </w:rPr>
        <w:t>台，用于上岸漂浮物的翻运、装车。</w:t>
      </w:r>
      <w:r>
        <w:rPr>
          <w:rFonts w:hint="eastAsia" w:ascii="宋体" w:hAnsi="宋体"/>
          <w:color w:val="auto"/>
          <w:highlight w:val="none"/>
          <w:lang w:eastAsia="zh-CN"/>
        </w:rPr>
        <w:t>拖网设备</w:t>
      </w:r>
      <w:r>
        <w:rPr>
          <w:rFonts w:hint="eastAsia" w:ascii="宋体" w:hAnsi="宋体"/>
          <w:color w:val="auto"/>
          <w:highlight w:val="none"/>
          <w:lang w:val="en-US" w:eastAsia="zh-CN"/>
        </w:rPr>
        <w:t>1</w:t>
      </w:r>
      <w:r>
        <w:rPr>
          <w:rFonts w:hint="eastAsia" w:ascii="宋体" w:hAnsi="宋体"/>
          <w:color w:val="auto"/>
          <w:highlight w:val="none"/>
          <w:lang w:eastAsia="zh-CN"/>
        </w:rPr>
        <w:t>条</w:t>
      </w:r>
      <w:r>
        <w:rPr>
          <w:rFonts w:hint="eastAsia" w:ascii="宋体" w:hAnsi="宋体"/>
          <w:b/>
          <w:bCs/>
          <w:color w:val="auto"/>
          <w:highlight w:val="none"/>
          <w:lang w:eastAsia="zh-CN"/>
        </w:rPr>
        <w:t>（</w:t>
      </w:r>
      <w:r>
        <w:rPr>
          <w:rFonts w:hint="eastAsia" w:ascii="宋体" w:hAnsi="宋体"/>
          <w:b/>
          <w:bCs/>
          <w:color w:val="auto"/>
          <w:highlight w:val="none"/>
          <w:lang w:val="en-US" w:eastAsia="zh-CN"/>
        </w:rPr>
        <w:t>拖网长度不得低于河道宽度</w:t>
      </w:r>
      <w:r>
        <w:rPr>
          <w:rFonts w:hint="eastAsia" w:ascii="宋体" w:hAnsi="宋体"/>
          <w:b/>
          <w:bCs/>
          <w:color w:val="auto"/>
          <w:highlight w:val="none"/>
          <w:lang w:eastAsia="zh-CN"/>
        </w:rPr>
        <w:t>）。</w:t>
      </w:r>
    </w:p>
    <w:p w14:paraId="3CFD3CF5">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rPr>
        <w:t>（3）</w:t>
      </w:r>
      <w:r>
        <w:rPr>
          <w:rFonts w:hint="eastAsia" w:ascii="宋体" w:hAnsi="宋体" w:cs="Times New Roman"/>
          <w:color w:val="auto"/>
          <w:highlight w:val="none"/>
          <w:lang w:val="en-US" w:eastAsia="zh-CN"/>
        </w:rPr>
        <w:t>本项目设置</w:t>
      </w:r>
      <w:r>
        <w:rPr>
          <w:rFonts w:hint="eastAsia" w:ascii="宋体" w:hAnsi="宋体" w:eastAsia="宋体" w:cs="宋体"/>
          <w:color w:val="auto"/>
          <w:highlight w:val="none"/>
          <w:lang w:val="en-US" w:eastAsia="zh-CN"/>
        </w:rPr>
        <w:t>拦截</w:t>
      </w:r>
      <w:r>
        <w:rPr>
          <w:rFonts w:hint="eastAsia" w:ascii="宋体" w:hAnsi="宋体" w:cs="宋体"/>
          <w:color w:val="auto"/>
          <w:highlight w:val="none"/>
          <w:lang w:val="en-US" w:eastAsia="zh-CN"/>
        </w:rPr>
        <w:t>打捞点6处</w:t>
      </w:r>
      <w:r>
        <w:rPr>
          <w:rFonts w:hint="eastAsia" w:ascii="宋体" w:hAnsi="宋体" w:eastAsia="宋体" w:cs="宋体"/>
          <w:color w:val="auto"/>
          <w:highlight w:val="none"/>
          <w:lang w:val="en-US" w:eastAsia="zh-CN"/>
        </w:rPr>
        <w:t>。</w:t>
      </w:r>
      <w:r>
        <w:rPr>
          <w:rFonts w:hint="eastAsia" w:ascii="宋体" w:hAnsi="宋体" w:cs="宋体"/>
          <w:color w:val="auto"/>
          <w:highlight w:val="none"/>
          <w:lang w:val="en-US" w:eastAsia="zh-CN"/>
        </w:rPr>
        <w:t>设置临时堆放点6处，临时堆放点漂浮物</w:t>
      </w:r>
      <w:r>
        <w:rPr>
          <w:rFonts w:hint="eastAsia" w:ascii="宋体" w:hAnsi="宋体"/>
          <w:color w:val="auto"/>
          <w:highlight w:val="none"/>
        </w:rPr>
        <w:t>具体翻运作业时间根据现场情况自行安排，保证水草不得在现场长时间堆积</w:t>
      </w:r>
      <w:r>
        <w:rPr>
          <w:rFonts w:hint="eastAsia" w:ascii="宋体" w:hAnsi="宋体"/>
          <w:color w:val="auto"/>
          <w:highlight w:val="none"/>
          <w:lang w:eastAsia="zh-CN"/>
        </w:rPr>
        <w:t>（</w:t>
      </w:r>
      <w:r>
        <w:rPr>
          <w:rFonts w:hint="eastAsia" w:ascii="宋体" w:hAnsi="宋体" w:cs="宋体"/>
          <w:color w:val="auto"/>
          <w:highlight w:val="none"/>
          <w:lang w:val="en-US" w:eastAsia="zh-CN"/>
        </w:rPr>
        <w:t>临时堆放不超过5天</w:t>
      </w:r>
      <w:r>
        <w:rPr>
          <w:rFonts w:hint="eastAsia" w:ascii="宋体" w:hAnsi="宋体"/>
          <w:color w:val="auto"/>
          <w:highlight w:val="none"/>
          <w:lang w:eastAsia="zh-CN"/>
        </w:rPr>
        <w:t>）</w:t>
      </w:r>
      <w:r>
        <w:rPr>
          <w:rFonts w:hint="eastAsia" w:ascii="宋体" w:hAnsi="宋体"/>
          <w:color w:val="auto"/>
          <w:highlight w:val="none"/>
        </w:rPr>
        <w:t>；</w:t>
      </w:r>
      <w:r>
        <w:rPr>
          <w:rFonts w:hint="eastAsia" w:ascii="宋体" w:hAnsi="宋体"/>
          <w:color w:val="auto"/>
          <w:highlight w:val="none"/>
          <w:lang w:val="en-US" w:eastAsia="zh-CN"/>
        </w:rPr>
        <w:t>打捞</w:t>
      </w:r>
      <w:r>
        <w:rPr>
          <w:rFonts w:hint="eastAsia" w:ascii="宋体" w:hAnsi="宋体" w:cs="Times New Roman"/>
          <w:color w:val="auto"/>
          <w:highlight w:val="none"/>
          <w:lang w:val="en-US" w:eastAsia="zh-CN"/>
        </w:rPr>
        <w:t>实施单位在</w:t>
      </w:r>
      <w:r>
        <w:rPr>
          <w:rFonts w:hint="eastAsia" w:ascii="宋体" w:hAnsi="宋体" w:eastAsia="宋体" w:cs="Times New Roman"/>
          <w:color w:val="auto"/>
          <w:highlight w:val="none"/>
          <w:lang w:eastAsia="zh-CN"/>
        </w:rPr>
        <w:t>拦截打捞点</w:t>
      </w:r>
      <w:r>
        <w:rPr>
          <w:rFonts w:hint="eastAsia" w:ascii="宋体" w:hAnsi="宋体" w:cs="Times New Roman"/>
          <w:color w:val="auto"/>
          <w:highlight w:val="none"/>
          <w:lang w:eastAsia="zh-CN"/>
        </w:rPr>
        <w:t>，</w:t>
      </w:r>
      <w:r>
        <w:rPr>
          <w:rFonts w:hint="eastAsia" w:ascii="宋体" w:hAnsi="宋体" w:cs="Times New Roman"/>
          <w:color w:val="auto"/>
          <w:highlight w:val="none"/>
          <w:lang w:val="en-US" w:eastAsia="zh-CN"/>
        </w:rPr>
        <w:t>草堰与白驹交界处、白驹与小海交界处、小海与万盈交界处、万盈与南阳交界处、南阳与丰华交界处、G228大桥附近</w:t>
      </w:r>
      <w:r>
        <w:rPr>
          <w:rFonts w:hint="eastAsia" w:ascii="宋体" w:hAnsi="宋体" w:cs="Times New Roman"/>
          <w:color w:val="auto"/>
          <w:highlight w:val="none"/>
          <w:lang w:eastAsia="zh-CN"/>
        </w:rPr>
        <w:t>，</w:t>
      </w:r>
      <w:r>
        <w:rPr>
          <w:rFonts w:hint="eastAsia" w:ascii="宋体" w:hAnsi="宋体" w:cs="Times New Roman"/>
          <w:color w:val="auto"/>
          <w:highlight w:val="none"/>
          <w:lang w:val="en-US" w:eastAsia="zh-CN"/>
        </w:rPr>
        <w:t>临时堆放点由中标单位就近处理，配备专业打捞保洁船及专职保洁人员</w:t>
      </w:r>
      <w:r>
        <w:rPr>
          <w:rFonts w:hint="eastAsia" w:ascii="宋体" w:hAnsi="宋体" w:eastAsia="宋体" w:cs="Times New Roman"/>
          <w:color w:val="auto"/>
          <w:highlight w:val="none"/>
          <w:lang w:eastAsia="zh-CN"/>
        </w:rPr>
        <w:t>，常态化开展水面漂浮物的打捞与处置工作，保证打捞工作专业性和安全性。</w:t>
      </w:r>
    </w:p>
    <w:p w14:paraId="7432C7F0">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eastAsia="宋体" w:cs="Times New Roman"/>
          <w:color w:val="auto"/>
          <w:highlight w:val="none"/>
          <w:lang w:eastAsia="zh-CN"/>
        </w:rPr>
      </w:pPr>
      <w:bookmarkStart w:id="150" w:name="_Toc26554093"/>
      <w:bookmarkStart w:id="151" w:name="_Toc120614281"/>
      <w:bookmarkStart w:id="152" w:name="_Toc49090575"/>
      <w:r>
        <w:rPr>
          <w:rFonts w:hint="eastAsia" w:ascii="宋体" w:hAnsi="宋体" w:eastAsia="宋体" w:cs="Times New Roman"/>
          <w:color w:val="auto"/>
          <w:highlight w:val="none"/>
          <w:lang w:val="en-US" w:eastAsia="zh-CN"/>
        </w:rPr>
        <w:t>（</w:t>
      </w:r>
      <w:r>
        <w:rPr>
          <w:rFonts w:hint="eastAsia" w:ascii="宋体" w:hAnsi="宋体" w:cs="Times New Roman"/>
          <w:color w:val="auto"/>
          <w:highlight w:val="none"/>
          <w:lang w:val="en-US" w:eastAsia="zh-CN"/>
        </w:rPr>
        <w:t>4</w:t>
      </w:r>
      <w:r>
        <w:rPr>
          <w:rFonts w:hint="eastAsia" w:ascii="宋体" w:hAnsi="宋体" w:eastAsia="宋体" w:cs="Times New Roman"/>
          <w:color w:val="auto"/>
          <w:highlight w:val="none"/>
          <w:lang w:val="en-US" w:eastAsia="zh-CN"/>
        </w:rPr>
        <w:t>）</w:t>
      </w:r>
      <w:r>
        <w:rPr>
          <w:rFonts w:hint="eastAsia" w:ascii="宋体" w:hAnsi="宋体" w:eastAsia="宋体" w:cs="Times New Roman"/>
          <w:color w:val="auto"/>
          <w:highlight w:val="none"/>
          <w:lang w:eastAsia="zh-CN"/>
        </w:rPr>
        <w:t>保洁要求：</w:t>
      </w:r>
      <w:r>
        <w:rPr>
          <w:rFonts w:hint="eastAsia" w:ascii="宋体" w:hAnsi="宋体" w:cs="Times New Roman"/>
          <w:color w:val="auto"/>
          <w:highlight w:val="none"/>
          <w:lang w:val="en-US" w:eastAsia="zh-CN"/>
        </w:rPr>
        <w:t>王港河</w:t>
      </w:r>
      <w:r>
        <w:rPr>
          <w:rFonts w:hint="eastAsia" w:ascii="宋体" w:hAnsi="宋体" w:eastAsia="宋体" w:cs="Times New Roman"/>
          <w:color w:val="auto"/>
          <w:highlight w:val="none"/>
          <w:lang w:eastAsia="zh-CN"/>
        </w:rPr>
        <w:t>境内实现无水面漂浮物出境、无集聚性水面漂浮物的目标。</w:t>
      </w:r>
    </w:p>
    <w:p w14:paraId="3BDD11D0">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rPr>
        <w:t>（</w:t>
      </w:r>
      <w:r>
        <w:rPr>
          <w:rFonts w:hint="eastAsia" w:ascii="宋体" w:hAnsi="宋体" w:cs="Times New Roman"/>
          <w:color w:val="auto"/>
          <w:highlight w:val="none"/>
          <w:lang w:val="en-US" w:eastAsia="zh-CN"/>
        </w:rPr>
        <w:t>5</w:t>
      </w:r>
      <w:r>
        <w:rPr>
          <w:rFonts w:hint="eastAsia" w:ascii="宋体" w:hAnsi="宋体" w:eastAsia="宋体" w:cs="Times New Roman"/>
          <w:color w:val="auto"/>
          <w:highlight w:val="none"/>
        </w:rPr>
        <w:t>）</w:t>
      </w:r>
      <w:r>
        <w:rPr>
          <w:rFonts w:hint="eastAsia"/>
          <w:color w:val="auto"/>
          <w:highlight w:val="none"/>
        </w:rPr>
        <w:t>项目负责人1人，安全管理员1人，在打捞作业时必须在项目实施区域内</w:t>
      </w:r>
      <w:r>
        <w:rPr>
          <w:rFonts w:hint="eastAsia"/>
          <w:color w:val="auto"/>
          <w:highlight w:val="none"/>
          <w:lang w:eastAsia="zh-CN"/>
        </w:rPr>
        <w:t>。</w:t>
      </w:r>
    </w:p>
    <w:p w14:paraId="167E577B">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rPr>
        <w:t>（</w:t>
      </w:r>
      <w:r>
        <w:rPr>
          <w:rFonts w:hint="eastAsia" w:ascii="宋体" w:hAnsi="宋体" w:cs="Times New Roman"/>
          <w:color w:val="auto"/>
          <w:highlight w:val="none"/>
          <w:lang w:val="en-US" w:eastAsia="zh-CN"/>
        </w:rPr>
        <w:t>6</w:t>
      </w:r>
      <w:r>
        <w:rPr>
          <w:rFonts w:hint="eastAsia" w:ascii="宋体" w:hAnsi="宋体" w:eastAsia="宋体" w:cs="Times New Roman"/>
          <w:color w:val="auto"/>
          <w:highlight w:val="none"/>
        </w:rPr>
        <w:t>）人员年龄：项目负责人、安全管理员</w:t>
      </w:r>
      <w:r>
        <w:rPr>
          <w:rFonts w:hint="eastAsia" w:ascii="宋体" w:hAnsi="宋体" w:cs="Times New Roman"/>
          <w:color w:val="auto"/>
          <w:highlight w:val="none"/>
          <w:lang w:val="en-US" w:eastAsia="zh-CN"/>
        </w:rPr>
        <w:t>60</w:t>
      </w:r>
      <w:r>
        <w:rPr>
          <w:rFonts w:hint="eastAsia" w:ascii="宋体" w:hAnsi="宋体" w:eastAsia="宋体" w:cs="Times New Roman"/>
          <w:color w:val="auto"/>
          <w:highlight w:val="none"/>
        </w:rPr>
        <w:t>周岁以下，必须为投标单位正式职工</w:t>
      </w:r>
      <w:r>
        <w:rPr>
          <w:rFonts w:hint="eastAsia" w:ascii="宋体" w:hAnsi="宋体" w:eastAsia="宋体" w:cs="Times New Roman"/>
          <w:color w:val="auto"/>
          <w:highlight w:val="none"/>
          <w:lang w:eastAsia="zh-CN"/>
        </w:rPr>
        <w:t>。</w:t>
      </w:r>
    </w:p>
    <w:p w14:paraId="229AFD3E">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eastAsia="宋体" w:cs="Times New Roman"/>
          <w:color w:val="auto"/>
          <w:highlight w:val="none"/>
        </w:rPr>
      </w:pPr>
      <w:r>
        <w:rPr>
          <w:rFonts w:hint="eastAsia" w:ascii="宋体" w:hAnsi="宋体" w:eastAsia="宋体" w:cs="Times New Roman"/>
          <w:color w:val="auto"/>
          <w:highlight w:val="none"/>
        </w:rPr>
        <w:t>（</w:t>
      </w:r>
      <w:r>
        <w:rPr>
          <w:rFonts w:hint="eastAsia" w:ascii="宋体" w:hAnsi="宋体" w:cs="Times New Roman"/>
          <w:color w:val="auto"/>
          <w:highlight w:val="none"/>
          <w:lang w:val="en-US" w:eastAsia="zh-CN"/>
        </w:rPr>
        <w:t>7</w:t>
      </w:r>
      <w:r>
        <w:rPr>
          <w:rFonts w:hint="eastAsia" w:ascii="宋体" w:hAnsi="宋体" w:eastAsia="宋体" w:cs="Times New Roman"/>
          <w:color w:val="auto"/>
          <w:highlight w:val="none"/>
        </w:rPr>
        <w:t>）遇到突击检查时，所有配备人员须无条件服务甲方调度。</w:t>
      </w:r>
    </w:p>
    <w:p w14:paraId="2DAE980C">
      <w:pPr>
        <w:pStyle w:val="35"/>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olor w:val="auto"/>
          <w:sz w:val="21"/>
          <w:szCs w:val="21"/>
          <w:highlight w:val="none"/>
          <w:lang w:eastAsia="zh-CN"/>
        </w:rPr>
      </w:pPr>
      <w:r>
        <w:rPr>
          <w:rFonts w:hint="eastAsia"/>
          <w:color w:val="auto"/>
          <w:sz w:val="21"/>
          <w:szCs w:val="21"/>
          <w:highlight w:val="none"/>
          <w:lang w:val="en-US" w:eastAsia="zh-CN"/>
        </w:rPr>
        <w:t>（8）</w:t>
      </w:r>
      <w:r>
        <w:rPr>
          <w:rFonts w:hint="eastAsia" w:ascii="宋体" w:hAnsi="宋体" w:eastAsia="宋体"/>
          <w:color w:val="auto"/>
          <w:sz w:val="21"/>
          <w:szCs w:val="24"/>
          <w:highlight w:val="none"/>
        </w:rPr>
        <w:t>所有配备人员要求60周岁以下（男女不限），身体健康，</w:t>
      </w:r>
      <w:r>
        <w:rPr>
          <w:rFonts w:hint="eastAsia"/>
          <w:color w:val="auto"/>
          <w:sz w:val="21"/>
          <w:szCs w:val="24"/>
          <w:highlight w:val="none"/>
          <w:lang w:val="en-US" w:eastAsia="zh-CN"/>
        </w:rPr>
        <w:t>会水性，需缴纳意外险，</w:t>
      </w:r>
      <w:r>
        <w:rPr>
          <w:rFonts w:hint="eastAsia" w:ascii="宋体" w:hAnsi="宋体" w:eastAsia="宋体"/>
          <w:color w:val="auto"/>
          <w:sz w:val="21"/>
          <w:szCs w:val="24"/>
          <w:highlight w:val="none"/>
        </w:rPr>
        <w:t>上班时间内必须穿救生衣。打捞船</w:t>
      </w:r>
      <w:r>
        <w:rPr>
          <w:rFonts w:hint="eastAsia" w:ascii="宋体" w:hAnsi="宋体" w:eastAsia="宋体"/>
          <w:b/>
          <w:bCs/>
          <w:color w:val="auto"/>
          <w:sz w:val="21"/>
          <w:szCs w:val="24"/>
          <w:highlight w:val="none"/>
        </w:rPr>
        <w:t>、</w:t>
      </w:r>
      <w:r>
        <w:rPr>
          <w:rFonts w:hint="eastAsia" w:ascii="宋体" w:hAnsi="宋体" w:eastAsia="宋体"/>
          <w:color w:val="auto"/>
          <w:sz w:val="21"/>
          <w:szCs w:val="24"/>
          <w:highlight w:val="none"/>
        </w:rPr>
        <w:t>挖掘机</w:t>
      </w:r>
      <w:r>
        <w:rPr>
          <w:rFonts w:hint="eastAsia" w:ascii="宋体" w:hAnsi="宋体" w:eastAsia="宋体"/>
          <w:b/>
          <w:bCs/>
          <w:color w:val="auto"/>
          <w:sz w:val="21"/>
          <w:szCs w:val="24"/>
          <w:highlight w:val="none"/>
        </w:rPr>
        <w:t>操作人员的配备必须达到1机1人，</w:t>
      </w:r>
      <w:r>
        <w:rPr>
          <w:rFonts w:hint="eastAsia" w:ascii="宋体" w:hAnsi="宋体" w:eastAsia="宋体"/>
          <w:color w:val="auto"/>
          <w:sz w:val="21"/>
          <w:szCs w:val="24"/>
          <w:highlight w:val="none"/>
        </w:rPr>
        <w:t>打捞船</w:t>
      </w:r>
      <w:r>
        <w:rPr>
          <w:rFonts w:hint="eastAsia" w:ascii="宋体" w:hAnsi="宋体" w:eastAsia="宋体"/>
          <w:b/>
          <w:bCs/>
          <w:color w:val="auto"/>
          <w:sz w:val="21"/>
          <w:szCs w:val="24"/>
          <w:highlight w:val="none"/>
        </w:rPr>
        <w:t>操作人员须具有市级及以上地方海事局颁发的《内河船舶船员适任证书》，挖掘机操作人员须具有住建部门颁发的《建筑施工特种作业操作资格证》</w:t>
      </w:r>
      <w:r>
        <w:rPr>
          <w:rFonts w:hint="eastAsia"/>
          <w:b/>
          <w:bCs/>
          <w:color w:val="auto"/>
          <w:sz w:val="21"/>
          <w:szCs w:val="24"/>
          <w:highlight w:val="none"/>
          <w:lang w:val="en-US" w:eastAsia="zh-CN"/>
        </w:rPr>
        <w:t>。</w:t>
      </w:r>
    </w:p>
    <w:p w14:paraId="2BEF1FAE">
      <w:pPr>
        <w:keepNext w:val="0"/>
        <w:keepLines w:val="0"/>
        <w:pageBreakBefore w:val="0"/>
        <w:widowControl w:val="0"/>
        <w:kinsoku/>
        <w:wordWrap/>
        <w:overflowPunct/>
        <w:topLinePunct w:val="0"/>
        <w:autoSpaceDE/>
        <w:autoSpaceDN/>
        <w:bidi w:val="0"/>
        <w:adjustRightInd/>
        <w:snapToGrid/>
        <w:spacing w:line="420" w:lineRule="exact"/>
        <w:ind w:firstLine="422"/>
        <w:textAlignment w:val="auto"/>
        <w:rPr>
          <w:rFonts w:hint="eastAsia" w:ascii="宋体" w:hAnsi="宋体" w:eastAsia="宋体" w:cs="宋体"/>
          <w:b/>
          <w:bCs/>
          <w:color w:val="auto"/>
          <w:highlight w:val="none"/>
        </w:rPr>
      </w:pPr>
      <w:r>
        <w:rPr>
          <w:rFonts w:hint="eastAsia" w:ascii="宋体" w:hAnsi="宋体"/>
          <w:b/>
          <w:bCs/>
          <w:color w:val="auto"/>
          <w:highlight w:val="none"/>
        </w:rPr>
        <w:t>二、</w:t>
      </w:r>
      <w:r>
        <w:rPr>
          <w:rFonts w:hint="eastAsia" w:ascii="宋体" w:hAnsi="宋体" w:eastAsia="宋体" w:cs="宋体"/>
          <w:b/>
          <w:bCs/>
          <w:color w:val="auto"/>
          <w:highlight w:val="none"/>
        </w:rPr>
        <w:t>服务内容及要求</w:t>
      </w:r>
    </w:p>
    <w:p w14:paraId="5B6EB6EC">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20" w:lineRule="exact"/>
        <w:ind w:firstLine="42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cs="宋体"/>
          <w:color w:val="auto"/>
          <w:highlight w:val="none"/>
          <w:lang w:val="en-US" w:eastAsia="zh-CN"/>
        </w:rPr>
        <w:t>对</w:t>
      </w:r>
      <w:r>
        <w:rPr>
          <w:rFonts w:hint="eastAsia" w:ascii="宋体" w:hAnsi="宋体" w:cs="宋体"/>
          <w:color w:val="auto"/>
          <w:sz w:val="21"/>
          <w:szCs w:val="21"/>
          <w:highlight w:val="none"/>
          <w:lang w:val="en-US" w:eastAsia="zh-CN"/>
        </w:rPr>
        <w:t>王港河大丰区境内河段</w:t>
      </w:r>
      <w:r>
        <w:rPr>
          <w:rFonts w:hint="eastAsia" w:ascii="宋体" w:hAnsi="宋体" w:cs="宋体"/>
          <w:color w:val="auto"/>
          <w:sz w:val="21"/>
          <w:szCs w:val="21"/>
          <w:highlight w:val="none"/>
          <w:lang w:eastAsia="zh-CN"/>
        </w:rPr>
        <w:t>及其支河拦挡（或闸、站）外漂浮物</w:t>
      </w:r>
      <w:r>
        <w:rPr>
          <w:rFonts w:hint="eastAsia" w:ascii="宋体" w:hAnsi="宋体" w:cs="宋体"/>
          <w:color w:val="auto"/>
          <w:sz w:val="21"/>
          <w:szCs w:val="21"/>
          <w:highlight w:val="none"/>
          <w:lang w:val="en-US" w:eastAsia="zh-CN"/>
        </w:rPr>
        <w:t>进行</w:t>
      </w:r>
      <w:r>
        <w:rPr>
          <w:rFonts w:hint="eastAsia" w:ascii="宋体" w:hAnsi="宋体" w:cs="宋体"/>
          <w:color w:val="auto"/>
          <w:sz w:val="21"/>
          <w:szCs w:val="21"/>
          <w:highlight w:val="none"/>
          <w:lang w:eastAsia="zh-CN"/>
        </w:rPr>
        <w:t>打捞，</w:t>
      </w:r>
      <w:r>
        <w:rPr>
          <w:rFonts w:hint="eastAsia" w:ascii="宋体" w:hAnsi="宋体" w:cs="宋体"/>
          <w:color w:val="auto"/>
          <w:sz w:val="21"/>
          <w:szCs w:val="21"/>
          <w:highlight w:val="none"/>
          <w:lang w:val="en-US" w:eastAsia="zh-CN"/>
        </w:rPr>
        <w:t>在</w:t>
      </w:r>
      <w:r>
        <w:rPr>
          <w:rFonts w:hint="eastAsia" w:ascii="宋体" w:hAnsi="宋体" w:eastAsia="宋体" w:cs="宋体"/>
          <w:color w:val="auto"/>
          <w:highlight w:val="none"/>
        </w:rPr>
        <w:t>设置的拦截打捞点</w:t>
      </w:r>
      <w:r>
        <w:rPr>
          <w:rFonts w:hint="eastAsia" w:ascii="宋体" w:hAnsi="宋体" w:eastAsia="宋体" w:cs="宋体"/>
          <w:color w:val="auto"/>
          <w:highlight w:val="none"/>
          <w:lang w:val="en-US" w:eastAsia="zh-CN"/>
        </w:rPr>
        <w:t>配备专业打捞保洁船，</w:t>
      </w:r>
      <w:r>
        <w:rPr>
          <w:rFonts w:hint="eastAsia" w:ascii="宋体" w:hAnsi="宋体" w:cs="宋体"/>
          <w:color w:val="auto"/>
          <w:sz w:val="21"/>
          <w:szCs w:val="21"/>
          <w:highlight w:val="none"/>
          <w:lang w:eastAsia="zh-CN"/>
        </w:rPr>
        <w:t>采取近岸拦截打捞和流动打捞相结合的方式，</w:t>
      </w:r>
      <w:r>
        <w:rPr>
          <w:rFonts w:hint="eastAsia" w:ascii="宋体" w:hAnsi="宋体" w:eastAsia="宋体" w:cs="宋体"/>
          <w:color w:val="auto"/>
          <w:highlight w:val="none"/>
          <w:lang w:val="en-US" w:eastAsia="zh-CN"/>
        </w:rPr>
        <w:t>常态化开展水面漂浮物的打捞与处置工作，保证打捞工作专业性和安全性</w:t>
      </w:r>
      <w:r>
        <w:rPr>
          <w:rFonts w:hint="eastAsia" w:ascii="宋体" w:hAnsi="宋体" w:cs="宋体"/>
          <w:color w:val="auto"/>
          <w:sz w:val="21"/>
          <w:szCs w:val="21"/>
          <w:highlight w:val="none"/>
          <w:lang w:eastAsia="zh-CN"/>
        </w:rPr>
        <w:t>。确保</w:t>
      </w:r>
      <w:r>
        <w:rPr>
          <w:rFonts w:hint="eastAsia" w:ascii="宋体" w:hAnsi="宋体" w:eastAsia="宋体" w:cs="宋体"/>
          <w:color w:val="auto"/>
          <w:highlight w:val="none"/>
          <w:lang w:val="en-US" w:eastAsia="zh-CN"/>
        </w:rPr>
        <w:t>境内</w:t>
      </w:r>
      <w:r>
        <w:rPr>
          <w:rFonts w:hint="eastAsia" w:ascii="宋体" w:hAnsi="宋体" w:cs="宋体"/>
          <w:color w:val="auto"/>
          <w:highlight w:val="none"/>
          <w:lang w:val="en-US" w:eastAsia="zh-CN"/>
        </w:rPr>
        <w:t>及</w:t>
      </w:r>
      <w:r>
        <w:rPr>
          <w:rFonts w:hint="eastAsia" w:ascii="宋体" w:hAnsi="宋体" w:cs="宋体"/>
          <w:color w:val="auto"/>
          <w:sz w:val="21"/>
          <w:szCs w:val="21"/>
          <w:highlight w:val="none"/>
          <w:lang w:eastAsia="zh-CN"/>
        </w:rPr>
        <w:t>打捞断面无集聚性水面漂浮物，</w:t>
      </w:r>
      <w:r>
        <w:rPr>
          <w:rFonts w:hint="eastAsia" w:ascii="宋体" w:hAnsi="宋体" w:eastAsia="宋体" w:cs="宋体"/>
          <w:color w:val="auto"/>
          <w:highlight w:val="none"/>
          <w:lang w:val="en-US" w:eastAsia="zh-CN"/>
        </w:rPr>
        <w:t>实现</w:t>
      </w:r>
      <w:r>
        <w:rPr>
          <w:rFonts w:hint="eastAsia" w:ascii="宋体" w:hAnsi="宋体" w:cs="宋体"/>
          <w:color w:val="auto"/>
          <w:sz w:val="21"/>
          <w:szCs w:val="21"/>
          <w:highlight w:val="none"/>
          <w:lang w:eastAsia="zh-CN"/>
        </w:rPr>
        <w:t>无漂浮物出境</w:t>
      </w:r>
      <w:r>
        <w:rPr>
          <w:rFonts w:hint="eastAsia" w:ascii="宋体" w:hAnsi="宋体" w:eastAsia="宋体" w:cs="宋体"/>
          <w:color w:val="auto"/>
          <w:highlight w:val="none"/>
          <w:lang w:val="en-US" w:eastAsia="zh-CN"/>
        </w:rPr>
        <w:t>目标</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打捞上岸的漂浮物按要求及时清运无害化处置，严防二次污染</w:t>
      </w:r>
      <w:r>
        <w:rPr>
          <w:rFonts w:hint="eastAsia" w:ascii="宋体" w:hAnsi="宋体" w:cs="宋体"/>
          <w:color w:val="auto"/>
          <w:sz w:val="21"/>
          <w:szCs w:val="21"/>
          <w:highlight w:val="none"/>
          <w:lang w:eastAsia="zh-CN"/>
        </w:rPr>
        <w:t>。</w:t>
      </w:r>
    </w:p>
    <w:p w14:paraId="58B3115F">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20" w:lineRule="exact"/>
        <w:ind w:firstLine="42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2、服务地点：</w:t>
      </w:r>
      <w:r>
        <w:rPr>
          <w:rFonts w:hint="eastAsia" w:ascii="宋体" w:hAnsi="宋体" w:cs="宋体"/>
          <w:color w:val="auto"/>
          <w:sz w:val="21"/>
          <w:szCs w:val="21"/>
          <w:highlight w:val="none"/>
          <w:lang w:val="en-US" w:eastAsia="zh-CN"/>
        </w:rPr>
        <w:t>草堰段通榆河--新垛界河约3.8公里、白驹段新垛界河--上港河8.2公里、丰华段G228大桥西1公里-老王港闸约2.7公里、小海段上港河--小洋河约10.7公里、万盈段小洋河--六里大桥约3.1公里、南阳段六里大桥--棉花原种场交界约12.5公里、港区段老王港闸--王港新闸约12.5公里</w:t>
      </w:r>
      <w:r>
        <w:rPr>
          <w:rFonts w:hint="eastAsia" w:ascii="宋体" w:hAnsi="宋体" w:eastAsia="宋体" w:cs="宋体"/>
          <w:color w:val="auto"/>
          <w:highlight w:val="none"/>
          <w:lang w:val="en-US" w:eastAsia="zh-CN"/>
        </w:rPr>
        <w:t>。</w:t>
      </w:r>
    </w:p>
    <w:p w14:paraId="579C9C9C">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20" w:lineRule="exact"/>
        <w:ind w:firstLine="42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3、保洁要求：实现无水面漂浮物出境、境内</w:t>
      </w:r>
      <w:r>
        <w:rPr>
          <w:rFonts w:hint="eastAsia" w:ascii="宋体" w:hAnsi="宋体" w:cs="宋体"/>
          <w:color w:val="auto"/>
          <w:highlight w:val="none"/>
          <w:lang w:val="en-US" w:eastAsia="zh-CN"/>
        </w:rPr>
        <w:t>及</w:t>
      </w:r>
      <w:r>
        <w:rPr>
          <w:rFonts w:hint="eastAsia" w:ascii="宋体" w:hAnsi="宋体" w:cs="宋体"/>
          <w:color w:val="auto"/>
          <w:sz w:val="21"/>
          <w:szCs w:val="21"/>
          <w:highlight w:val="none"/>
          <w:lang w:eastAsia="zh-CN"/>
        </w:rPr>
        <w:t>打捞断面</w:t>
      </w:r>
      <w:r>
        <w:rPr>
          <w:rFonts w:hint="eastAsia" w:ascii="宋体" w:hAnsi="宋体" w:eastAsia="宋体" w:cs="宋体"/>
          <w:color w:val="auto"/>
          <w:highlight w:val="none"/>
          <w:lang w:val="en-US" w:eastAsia="zh-CN"/>
        </w:rPr>
        <w:t>无集聚性水面漂浮物的目标。</w:t>
      </w:r>
    </w:p>
    <w:p w14:paraId="5DB8A813">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20" w:lineRule="exact"/>
        <w:ind w:firstLine="42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4、除上述要求配备的保洁打捞船舶</w:t>
      </w:r>
      <w:r>
        <w:rPr>
          <w:rFonts w:hint="eastAsia" w:ascii="宋体" w:hAnsi="宋体" w:cs="宋体"/>
          <w:color w:val="auto"/>
          <w:highlight w:val="none"/>
          <w:lang w:val="en-US" w:eastAsia="zh-CN"/>
        </w:rPr>
        <w:t>、挖掘机、拖网设备</w:t>
      </w:r>
      <w:r>
        <w:rPr>
          <w:rFonts w:hint="eastAsia" w:ascii="宋体" w:hAnsi="宋体" w:eastAsia="宋体" w:cs="宋体"/>
          <w:color w:val="auto"/>
          <w:highlight w:val="none"/>
          <w:lang w:val="en-US" w:eastAsia="zh-CN"/>
        </w:rPr>
        <w:t>外，根据甲方的要求，要随时确保</w:t>
      </w:r>
      <w:r>
        <w:rPr>
          <w:rFonts w:hint="eastAsia" w:ascii="宋体" w:hAnsi="宋体" w:cs="宋体"/>
          <w:color w:val="auto"/>
          <w:highlight w:val="none"/>
          <w:lang w:val="en-US" w:eastAsia="zh-CN"/>
        </w:rPr>
        <w:t>王港河</w:t>
      </w:r>
      <w:r>
        <w:rPr>
          <w:rFonts w:hint="eastAsia" w:ascii="宋体" w:hAnsi="宋体" w:eastAsia="宋体" w:cs="宋体"/>
          <w:color w:val="auto"/>
          <w:highlight w:val="none"/>
          <w:lang w:val="en-US" w:eastAsia="zh-CN"/>
        </w:rPr>
        <w:t>招标范围内水面漂浮物的突击打捞。根据自身打捞方案考虑，必须满足打捞点日常无水面漂浮物出境及无水面漂浮物聚集的要求。</w:t>
      </w:r>
    </w:p>
    <w:p w14:paraId="26F77151">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20" w:lineRule="exact"/>
        <w:ind w:firstLine="420"/>
        <w:textAlignment w:val="auto"/>
        <w:rPr>
          <w:rFonts w:hint="eastAsia" w:ascii="宋体" w:hAnsi="宋体" w:cs="宋体"/>
          <w:color w:val="auto"/>
          <w:highlight w:val="none"/>
          <w:lang w:val="en-US" w:eastAsia="zh-CN"/>
        </w:rPr>
      </w:pPr>
      <w:r>
        <w:rPr>
          <w:rFonts w:hint="eastAsia" w:ascii="宋体" w:hAnsi="宋体" w:eastAsia="宋体" w:cs="宋体"/>
          <w:color w:val="auto"/>
          <w:highlight w:val="none"/>
          <w:lang w:val="en-US" w:eastAsia="zh-CN"/>
        </w:rPr>
        <w:t>5、区水利局每月定期</w:t>
      </w:r>
      <w:r>
        <w:rPr>
          <w:rFonts w:hint="eastAsia" w:ascii="宋体" w:hAnsi="宋体" w:cs="宋体"/>
          <w:color w:val="auto"/>
          <w:highlight w:val="none"/>
          <w:lang w:val="en-US" w:eastAsia="zh-CN"/>
        </w:rPr>
        <w:t>或不定期牵头会同</w:t>
      </w:r>
      <w:r>
        <w:rPr>
          <w:rFonts w:hint="eastAsia" w:ascii="宋体" w:hAnsi="宋体" w:eastAsia="宋体" w:cs="宋体"/>
          <w:color w:val="auto"/>
          <w:highlight w:val="none"/>
          <w:lang w:val="en-US" w:eastAsia="zh-CN"/>
        </w:rPr>
        <w:t>属地相关单位对打捞保洁情况进行考</w:t>
      </w:r>
      <w:r>
        <w:rPr>
          <w:rFonts w:hint="eastAsia" w:ascii="宋体" w:hAnsi="宋体" w:cs="宋体"/>
          <w:color w:val="auto"/>
          <w:highlight w:val="none"/>
          <w:lang w:val="en-US" w:eastAsia="zh-CN"/>
        </w:rPr>
        <w:t>核，属地</w:t>
      </w:r>
      <w:r>
        <w:rPr>
          <w:rFonts w:hint="eastAsia" w:ascii="宋体" w:hAnsi="宋体" w:eastAsia="宋体" w:cs="宋体"/>
          <w:color w:val="auto"/>
          <w:highlight w:val="none"/>
          <w:lang w:val="en-US" w:eastAsia="zh-CN"/>
        </w:rPr>
        <w:t>工作情况由</w:t>
      </w:r>
      <w:r>
        <w:rPr>
          <w:rFonts w:hint="eastAsia" w:ascii="宋体" w:hAnsi="宋体" w:cs="宋体"/>
          <w:color w:val="auto"/>
          <w:highlight w:val="none"/>
          <w:lang w:val="en-US" w:eastAsia="zh-CN"/>
        </w:rPr>
        <w:t>相关镇</w:t>
      </w:r>
      <w:r>
        <w:rPr>
          <w:rFonts w:hint="eastAsia" w:ascii="宋体" w:hAnsi="宋体" w:eastAsia="宋体" w:cs="宋体"/>
          <w:color w:val="auto"/>
          <w:highlight w:val="none"/>
          <w:lang w:val="en-US" w:eastAsia="zh-CN"/>
        </w:rPr>
        <w:t>政府安排</w:t>
      </w:r>
      <w:r>
        <w:rPr>
          <w:rFonts w:hint="eastAsia" w:ascii="宋体" w:hAnsi="宋体" w:eastAsia="宋体" w:cs="宋体"/>
          <w:b/>
          <w:bCs/>
          <w:color w:val="auto"/>
          <w:highlight w:val="none"/>
          <w:lang w:val="en-US" w:eastAsia="zh-CN"/>
        </w:rPr>
        <w:t>属地水利、农业</w:t>
      </w:r>
      <w:r>
        <w:rPr>
          <w:rFonts w:hint="eastAsia" w:ascii="宋体" w:hAnsi="宋体" w:cs="宋体"/>
          <w:b/>
          <w:bCs/>
          <w:color w:val="auto"/>
          <w:highlight w:val="none"/>
          <w:lang w:val="en-US" w:eastAsia="zh-CN"/>
        </w:rPr>
        <w:t>农村</w:t>
      </w:r>
      <w:r>
        <w:rPr>
          <w:rFonts w:hint="eastAsia" w:ascii="宋体" w:hAnsi="宋体" w:eastAsia="宋体" w:cs="宋体"/>
          <w:b/>
          <w:bCs/>
          <w:color w:val="auto"/>
          <w:highlight w:val="none"/>
          <w:lang w:val="en-US" w:eastAsia="zh-CN"/>
        </w:rPr>
        <w:t>等部门</w:t>
      </w:r>
      <w:r>
        <w:rPr>
          <w:rFonts w:hint="eastAsia" w:ascii="宋体" w:hAnsi="宋体" w:eastAsia="宋体" w:cs="宋体"/>
          <w:color w:val="auto"/>
          <w:highlight w:val="none"/>
          <w:lang w:val="en-US" w:eastAsia="zh-CN"/>
        </w:rPr>
        <w:t>人员联合签名确认</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考核最终的得分以沿线各板块（断面）考核平均分为准，作为付款依据。</w:t>
      </w:r>
      <w:r>
        <w:rPr>
          <w:rFonts w:hint="eastAsia" w:ascii="宋体" w:hAnsi="宋体" w:cs="宋体"/>
          <w:color w:val="auto"/>
          <w:highlight w:val="none"/>
          <w:lang w:val="en-US" w:eastAsia="zh-CN"/>
        </w:rPr>
        <w:t>考核结果作为审计结算依据。日常管理由各版块负责各自辖区内河段，具体河段为：</w:t>
      </w:r>
      <w:r>
        <w:rPr>
          <w:rFonts w:hint="eastAsia" w:ascii="宋体" w:hAnsi="宋体" w:cs="宋体"/>
          <w:color w:val="auto"/>
          <w:sz w:val="21"/>
          <w:szCs w:val="21"/>
          <w:highlight w:val="none"/>
          <w:lang w:val="en-US" w:eastAsia="zh-CN"/>
        </w:rPr>
        <w:t>草堰段通榆河--新垛界河约3.8公里、白驹段新垛界河--上港河8.2公里、丰华段G228大桥西1公里-老王港闸约2.7公里、小海段上港河--小洋河约10.7公里、万盈段小洋河--六里大桥约3.1公里、南阳段六里大桥--棉花原种场交界约12.5公里、港区段老王港闸--王港新闸约12.5公里</w:t>
      </w:r>
      <w:r>
        <w:rPr>
          <w:rFonts w:hint="eastAsia" w:ascii="宋体" w:hAnsi="宋体" w:eastAsia="宋体" w:cs="宋体"/>
          <w:color w:val="auto"/>
          <w:highlight w:val="none"/>
          <w:lang w:val="en-US" w:eastAsia="zh-CN"/>
        </w:rPr>
        <w:t>。</w:t>
      </w:r>
    </w:p>
    <w:p w14:paraId="5B4D5BCE">
      <w:pPr>
        <w:keepNext w:val="0"/>
        <w:keepLines w:val="0"/>
        <w:pageBreakBefore w:val="0"/>
        <w:widowControl w:val="0"/>
        <w:kinsoku/>
        <w:wordWrap/>
        <w:overflowPunct/>
        <w:topLinePunct w:val="0"/>
        <w:autoSpaceDE/>
        <w:autoSpaceDN/>
        <w:bidi w:val="0"/>
        <w:adjustRightInd/>
        <w:snapToGrid/>
        <w:spacing w:line="420" w:lineRule="exact"/>
        <w:ind w:left="42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三、保洁标准重要内容：</w:t>
      </w:r>
    </w:p>
    <w:p w14:paraId="4155B190">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1、对河道实施</w:t>
      </w:r>
      <w:r>
        <w:rPr>
          <w:rFonts w:hint="eastAsia" w:ascii="宋体" w:hAnsi="宋体" w:cs="宋体"/>
          <w:color w:val="auto"/>
          <w:highlight w:val="none"/>
          <w:lang w:val="en-US" w:eastAsia="zh-CN"/>
        </w:rPr>
        <w:t>常态化</w:t>
      </w:r>
      <w:r>
        <w:rPr>
          <w:rFonts w:hint="eastAsia" w:ascii="宋体" w:hAnsi="宋体" w:eastAsia="宋体" w:cs="宋体"/>
          <w:color w:val="auto"/>
          <w:highlight w:val="none"/>
          <w:lang w:val="en-US" w:eastAsia="zh-CN"/>
        </w:rPr>
        <w:t>保洁，</w:t>
      </w:r>
      <w:r>
        <w:rPr>
          <w:rFonts w:hint="eastAsia" w:ascii="宋体" w:hAnsi="宋体" w:cs="宋体"/>
          <w:color w:val="auto"/>
          <w:highlight w:val="none"/>
          <w:lang w:val="en-US" w:eastAsia="zh-CN"/>
        </w:rPr>
        <w:t>保持</w:t>
      </w:r>
      <w:r>
        <w:rPr>
          <w:rFonts w:hint="eastAsia" w:ascii="宋体" w:hAnsi="宋体" w:eastAsia="宋体" w:cs="宋体"/>
          <w:color w:val="auto"/>
          <w:highlight w:val="none"/>
          <w:lang w:val="en-US" w:eastAsia="zh-CN"/>
        </w:rPr>
        <w:t>水面无漂浮物，</w:t>
      </w:r>
      <w:r>
        <w:rPr>
          <w:rFonts w:hint="eastAsia" w:ascii="宋体" w:hAnsi="宋体" w:cs="宋体"/>
          <w:color w:val="auto"/>
          <w:highlight w:val="none"/>
          <w:lang w:val="en-US" w:eastAsia="zh-CN"/>
        </w:rPr>
        <w:t>河道两侧</w:t>
      </w:r>
      <w:r>
        <w:rPr>
          <w:rFonts w:hint="eastAsia" w:ascii="宋体" w:hAnsi="宋体" w:eastAsia="宋体" w:cs="宋体"/>
          <w:color w:val="auto"/>
          <w:highlight w:val="none"/>
          <w:lang w:val="en-US" w:eastAsia="zh-CN"/>
        </w:rPr>
        <w:t>无水花生，无成片水草</w:t>
      </w:r>
      <w:r>
        <w:rPr>
          <w:rFonts w:hint="eastAsia" w:ascii="宋体" w:hAnsi="宋体" w:cs="宋体"/>
          <w:color w:val="auto"/>
          <w:highlight w:val="none"/>
          <w:lang w:val="en-US" w:eastAsia="zh-CN"/>
        </w:rPr>
        <w:t>，做到水面日产日清</w:t>
      </w:r>
      <w:r>
        <w:rPr>
          <w:rFonts w:hint="eastAsia" w:ascii="宋体" w:hAnsi="宋体" w:eastAsia="宋体" w:cs="宋体"/>
          <w:color w:val="auto"/>
          <w:highlight w:val="none"/>
          <w:lang w:val="en-US" w:eastAsia="zh-CN"/>
        </w:rPr>
        <w:t>；</w:t>
      </w:r>
    </w:p>
    <w:p w14:paraId="332B0B31">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lang w:val="en-US" w:eastAsia="zh-CN"/>
        </w:rPr>
        <w:t>2、</w:t>
      </w:r>
      <w:r>
        <w:rPr>
          <w:rFonts w:hint="eastAsia" w:ascii="宋体" w:hAnsi="宋体" w:eastAsia="宋体" w:cs="宋体"/>
          <w:b/>
          <w:bCs/>
          <w:color w:val="auto"/>
          <w:highlight w:val="none"/>
          <w:lang w:val="en-US" w:eastAsia="zh-CN"/>
        </w:rPr>
        <w:t>所打捞的漂浮物由中标单位负责处理，甲方不提供堆放场地，乙方堆积的漂浮物必须清运无害化处置，避免污染环境，不得随地掩埋或随意倾倒农田、河塘内、不得随意堆放河坡形成二次污染</w:t>
      </w:r>
      <w:r>
        <w:rPr>
          <w:rFonts w:hint="eastAsia" w:ascii="宋体" w:hAnsi="宋体" w:cs="宋体"/>
          <w:b/>
          <w:bCs/>
          <w:color w:val="auto"/>
          <w:highlight w:val="none"/>
          <w:lang w:val="en-US" w:eastAsia="zh-CN"/>
        </w:rPr>
        <w:t>；</w:t>
      </w:r>
    </w:p>
    <w:p w14:paraId="7F43AD44">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r>
        <w:rPr>
          <w:rFonts w:hint="eastAsia" w:ascii="宋体" w:hAnsi="宋体" w:cs="宋体"/>
          <w:color w:val="auto"/>
          <w:highlight w:val="none"/>
          <w:lang w:val="en-US" w:eastAsia="zh-CN"/>
        </w:rPr>
        <w:t>保</w:t>
      </w:r>
      <w:r>
        <w:rPr>
          <w:rFonts w:hint="eastAsia" w:ascii="宋体" w:hAnsi="宋体" w:eastAsia="宋体" w:cs="宋体"/>
          <w:color w:val="auto"/>
          <w:highlight w:val="none"/>
          <w:lang w:val="en-US" w:eastAsia="zh-CN"/>
        </w:rPr>
        <w:t>护好现有绿化，不得损坏；不得从事与河道保洁工作无关的其他一切经营活动；</w:t>
      </w:r>
    </w:p>
    <w:p w14:paraId="0EB2CD4F">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4、积极配合政府重大活动，随时组织突击性保洁；</w:t>
      </w:r>
    </w:p>
    <w:p w14:paraId="7AECBA49">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5、所有保洁员上班时间内都必须穿戴救生衣</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接受甲方的管理和考核。</w:t>
      </w:r>
    </w:p>
    <w:p w14:paraId="4558FFAC">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四、安全责任</w:t>
      </w:r>
    </w:p>
    <w:p w14:paraId="5995D54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2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中标单位须</w:t>
      </w:r>
      <w:r>
        <w:rPr>
          <w:rFonts w:hint="eastAsia" w:ascii="宋体" w:hAnsi="宋体" w:cs="宋体"/>
          <w:color w:val="auto"/>
          <w:highlight w:val="none"/>
          <w:lang w:val="en-US" w:eastAsia="zh-CN"/>
        </w:rPr>
        <w:t>维护好</w:t>
      </w:r>
      <w:r>
        <w:rPr>
          <w:rFonts w:hint="eastAsia" w:ascii="宋体" w:hAnsi="宋体" w:eastAsia="宋体" w:cs="宋体"/>
          <w:color w:val="auto"/>
          <w:highlight w:val="none"/>
          <w:lang w:val="en-US" w:eastAsia="zh-CN"/>
        </w:rPr>
        <w:t>拦截</w:t>
      </w:r>
      <w:r>
        <w:rPr>
          <w:rFonts w:hint="eastAsia" w:ascii="宋体" w:hAnsi="宋体" w:cs="宋体"/>
          <w:color w:val="auto"/>
          <w:highlight w:val="none"/>
          <w:lang w:val="en-US" w:eastAsia="zh-CN"/>
        </w:rPr>
        <w:t>设施及</w:t>
      </w:r>
      <w:r>
        <w:rPr>
          <w:rFonts w:hint="eastAsia" w:ascii="宋体" w:hAnsi="宋体" w:eastAsia="宋体" w:cs="宋体"/>
          <w:color w:val="auto"/>
          <w:highlight w:val="none"/>
          <w:lang w:val="en-US" w:eastAsia="zh-CN"/>
        </w:rPr>
        <w:t>警示标语、警示灯等警示标志，负责安全管理，并对履约过程中的一切安全工作负全部法律责任，并承担由此而产生的一切经济损失，一切责任与招标人无关。打捞船机、人员都需配备专业的安全消防救生器材。必须建立安全台账。</w:t>
      </w:r>
    </w:p>
    <w:p w14:paraId="182A3CB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22"/>
        <w:textAlignment w:val="auto"/>
        <w:rPr>
          <w:rFonts w:hint="eastAsia" w:ascii="宋体" w:hAnsi="宋体"/>
          <w:b/>
          <w:bCs/>
          <w:color w:val="auto"/>
          <w:highlight w:val="none"/>
        </w:rPr>
      </w:pPr>
      <w:r>
        <w:rPr>
          <w:rFonts w:hint="eastAsia" w:ascii="宋体" w:hAnsi="宋体"/>
          <w:b/>
          <w:bCs/>
          <w:color w:val="auto"/>
          <w:highlight w:val="none"/>
          <w:lang w:val="en-US" w:eastAsia="zh-CN"/>
        </w:rPr>
        <w:t>五、</w:t>
      </w:r>
      <w:r>
        <w:rPr>
          <w:rFonts w:hint="eastAsia" w:ascii="宋体" w:hAnsi="宋体"/>
          <w:b/>
          <w:bCs/>
          <w:color w:val="auto"/>
          <w:highlight w:val="none"/>
        </w:rPr>
        <w:t>考核要求</w:t>
      </w:r>
    </w:p>
    <w:p w14:paraId="7351F66F">
      <w:pPr>
        <w:keepNext w:val="0"/>
        <w:keepLines w:val="0"/>
        <w:pageBreakBefore w:val="0"/>
        <w:widowControl w:val="0"/>
        <w:kinsoku/>
        <w:wordWrap/>
        <w:overflowPunct/>
        <w:topLinePunct w:val="0"/>
        <w:autoSpaceDE/>
        <w:autoSpaceDN/>
        <w:bidi w:val="0"/>
        <w:adjustRightInd/>
        <w:snapToGrid/>
        <w:spacing w:line="420" w:lineRule="exact"/>
        <w:ind w:firstLine="422"/>
        <w:textAlignment w:val="auto"/>
        <w:rPr>
          <w:rFonts w:hint="eastAsia" w:ascii="宋体" w:hAnsi="宋体" w:cs="宋体"/>
          <w:b/>
          <w:bCs/>
          <w:color w:val="auto"/>
          <w:highlight w:val="none"/>
        </w:rPr>
      </w:pPr>
      <w:r>
        <w:rPr>
          <w:rFonts w:hint="eastAsia" w:ascii="宋体" w:hAnsi="宋体" w:cs="宋体"/>
          <w:b/>
          <w:bCs/>
          <w:color w:val="auto"/>
          <w:highlight w:val="none"/>
        </w:rPr>
        <w:t>1、甲方对乙方采取随时检查与月度考核相结合的方式，以打分形式考核。考核分数与年度费用结算挂钩，考核分数高于等于95分时不扣除任何费用，考核分数在90分（含）至94分（含）时每扣1分减中标价的1</w:t>
      </w:r>
      <w:r>
        <w:rPr>
          <w:rFonts w:hint="eastAsia" w:ascii="宋体" w:hAnsi="宋体" w:eastAsia="宋体" w:cs="宋体"/>
          <w:b/>
          <w:bCs/>
          <w:color w:val="auto"/>
          <w:highlight w:val="none"/>
        </w:rPr>
        <w:t>％</w:t>
      </w:r>
      <w:r>
        <w:rPr>
          <w:rFonts w:hint="eastAsia" w:ascii="宋体" w:hAnsi="宋体" w:cs="宋体"/>
          <w:b/>
          <w:bCs/>
          <w:color w:val="auto"/>
          <w:highlight w:val="none"/>
        </w:rPr>
        <w:t>，考核分数在</w:t>
      </w:r>
      <w:r>
        <w:rPr>
          <w:rFonts w:hint="eastAsia" w:ascii="宋体" w:hAnsi="宋体" w:cs="宋体"/>
          <w:b/>
          <w:bCs/>
          <w:color w:val="auto"/>
          <w:highlight w:val="none"/>
          <w:lang w:val="en-US" w:eastAsia="zh-CN"/>
        </w:rPr>
        <w:t>8</w:t>
      </w:r>
      <w:r>
        <w:rPr>
          <w:rFonts w:hint="eastAsia" w:ascii="宋体" w:hAnsi="宋体" w:cs="宋体"/>
          <w:b/>
          <w:bCs/>
          <w:color w:val="auto"/>
          <w:highlight w:val="none"/>
        </w:rPr>
        <w:t>0分（含）至89分（含）时每扣1分减中标价的</w:t>
      </w:r>
      <w:r>
        <w:rPr>
          <w:rFonts w:hint="eastAsia" w:ascii="宋体" w:hAnsi="宋体" w:cs="宋体"/>
          <w:b/>
          <w:bCs/>
          <w:color w:val="auto"/>
          <w:highlight w:val="none"/>
          <w:lang w:val="en-US" w:eastAsia="zh-CN"/>
        </w:rPr>
        <w:t>1.5</w:t>
      </w:r>
      <w:r>
        <w:rPr>
          <w:rFonts w:hint="eastAsia" w:ascii="宋体" w:hAnsi="宋体" w:eastAsia="宋体" w:cs="宋体"/>
          <w:b/>
          <w:bCs/>
          <w:color w:val="auto"/>
          <w:highlight w:val="none"/>
        </w:rPr>
        <w:t>％</w:t>
      </w:r>
      <w:r>
        <w:rPr>
          <w:rFonts w:hint="eastAsia" w:ascii="宋体" w:hAnsi="宋体" w:cs="宋体"/>
          <w:b/>
          <w:bCs/>
          <w:color w:val="auto"/>
          <w:highlight w:val="none"/>
        </w:rPr>
        <w:t>，考核分数在</w:t>
      </w:r>
      <w:r>
        <w:rPr>
          <w:rFonts w:hint="eastAsia" w:ascii="宋体" w:hAnsi="宋体" w:cs="宋体"/>
          <w:b/>
          <w:bCs/>
          <w:color w:val="auto"/>
          <w:highlight w:val="none"/>
          <w:lang w:val="en-US" w:eastAsia="zh-CN"/>
        </w:rPr>
        <w:t>70</w:t>
      </w:r>
      <w:r>
        <w:rPr>
          <w:rFonts w:hint="eastAsia" w:ascii="宋体" w:hAnsi="宋体" w:cs="宋体"/>
          <w:b/>
          <w:bCs/>
          <w:color w:val="auto"/>
          <w:highlight w:val="none"/>
        </w:rPr>
        <w:t>分（含）至</w:t>
      </w:r>
      <w:r>
        <w:rPr>
          <w:rFonts w:hint="eastAsia" w:ascii="宋体" w:hAnsi="宋体" w:cs="宋体"/>
          <w:b/>
          <w:bCs/>
          <w:color w:val="auto"/>
          <w:highlight w:val="none"/>
          <w:lang w:val="en-US" w:eastAsia="zh-CN"/>
        </w:rPr>
        <w:t>7</w:t>
      </w:r>
      <w:r>
        <w:rPr>
          <w:rFonts w:hint="eastAsia" w:ascii="宋体" w:hAnsi="宋体" w:cs="宋体"/>
          <w:b/>
          <w:bCs/>
          <w:color w:val="auto"/>
          <w:highlight w:val="none"/>
        </w:rPr>
        <w:t>9分（含）时每扣1分减中标价的</w:t>
      </w:r>
      <w:r>
        <w:rPr>
          <w:rFonts w:hint="eastAsia" w:ascii="宋体" w:hAnsi="宋体" w:cs="宋体"/>
          <w:b/>
          <w:bCs/>
          <w:color w:val="auto"/>
          <w:highlight w:val="none"/>
          <w:lang w:val="en-US" w:eastAsia="zh-CN"/>
        </w:rPr>
        <w:t>2</w:t>
      </w:r>
      <w:r>
        <w:rPr>
          <w:rFonts w:hint="eastAsia" w:ascii="宋体" w:hAnsi="宋体" w:eastAsia="宋体" w:cs="宋体"/>
          <w:b/>
          <w:bCs/>
          <w:color w:val="auto"/>
          <w:highlight w:val="none"/>
        </w:rPr>
        <w:t>％</w:t>
      </w:r>
      <w:r>
        <w:rPr>
          <w:rFonts w:hint="eastAsia" w:ascii="宋体" w:hAnsi="宋体" w:cs="宋体"/>
          <w:b/>
          <w:bCs/>
          <w:color w:val="auto"/>
          <w:highlight w:val="none"/>
          <w:lang w:eastAsia="zh-CN"/>
        </w:rPr>
        <w:t>，</w:t>
      </w:r>
      <w:r>
        <w:rPr>
          <w:rFonts w:hint="eastAsia" w:ascii="宋体" w:hAnsi="宋体" w:cs="宋体"/>
          <w:b/>
          <w:bCs/>
          <w:color w:val="auto"/>
          <w:highlight w:val="none"/>
        </w:rPr>
        <w:t>考核分数70分</w:t>
      </w:r>
      <w:r>
        <w:rPr>
          <w:rFonts w:hint="eastAsia" w:ascii="宋体" w:hAnsi="宋体" w:cs="宋体"/>
          <w:b/>
          <w:bCs/>
          <w:color w:val="auto"/>
          <w:highlight w:val="none"/>
          <w:lang w:val="en-US" w:eastAsia="zh-CN"/>
        </w:rPr>
        <w:t>以下</w:t>
      </w:r>
      <w:r>
        <w:rPr>
          <w:rFonts w:hint="eastAsia" w:ascii="宋体" w:hAnsi="宋体" w:cs="宋体"/>
          <w:b/>
          <w:bCs/>
          <w:color w:val="auto"/>
          <w:highlight w:val="none"/>
        </w:rPr>
        <w:t>时每扣1分减中标价的</w:t>
      </w:r>
      <w:r>
        <w:rPr>
          <w:rFonts w:hint="eastAsia" w:ascii="宋体" w:hAnsi="宋体" w:cs="宋体"/>
          <w:b/>
          <w:bCs/>
          <w:color w:val="auto"/>
          <w:highlight w:val="none"/>
          <w:lang w:val="en-US" w:eastAsia="zh-CN"/>
        </w:rPr>
        <w:t>2.5</w:t>
      </w:r>
      <w:r>
        <w:rPr>
          <w:rFonts w:hint="eastAsia" w:ascii="宋体" w:hAnsi="宋体" w:eastAsia="宋体" w:cs="宋体"/>
          <w:b/>
          <w:bCs/>
          <w:color w:val="auto"/>
          <w:highlight w:val="none"/>
        </w:rPr>
        <w:t>％</w:t>
      </w:r>
      <w:r>
        <w:rPr>
          <w:rFonts w:hint="eastAsia" w:ascii="宋体" w:hAnsi="宋体" w:cs="宋体"/>
          <w:b/>
          <w:bCs/>
          <w:color w:val="auto"/>
          <w:highlight w:val="none"/>
          <w:lang w:eastAsia="zh-CN"/>
        </w:rPr>
        <w:t>，</w:t>
      </w:r>
      <w:r>
        <w:rPr>
          <w:rFonts w:hint="eastAsia" w:ascii="宋体" w:hAnsi="宋体" w:cs="宋体"/>
          <w:b/>
          <w:bCs/>
          <w:color w:val="auto"/>
          <w:highlight w:val="none"/>
          <w:lang w:val="en-US" w:eastAsia="zh-CN"/>
        </w:rPr>
        <w:t>扣完为止</w:t>
      </w:r>
      <w:r>
        <w:rPr>
          <w:rFonts w:hint="eastAsia" w:ascii="宋体" w:hAnsi="宋体" w:cs="宋体"/>
          <w:b/>
          <w:bCs/>
          <w:color w:val="auto"/>
          <w:highlight w:val="none"/>
        </w:rPr>
        <w:t>。</w:t>
      </w:r>
    </w:p>
    <w:p w14:paraId="3037B0B2">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color w:val="auto"/>
          <w:highlight w:val="none"/>
        </w:rPr>
      </w:pPr>
      <w:r>
        <w:rPr>
          <w:rFonts w:hint="eastAsia" w:ascii="宋体" w:hAnsi="宋体"/>
          <w:color w:val="auto"/>
          <w:highlight w:val="none"/>
        </w:rPr>
        <w:t>2、考核细则见《</w:t>
      </w:r>
      <w:r>
        <w:rPr>
          <w:rFonts w:hint="eastAsia" w:ascii="宋体" w:hAnsi="宋体" w:cs="Times New Roman"/>
          <w:color w:val="auto"/>
          <w:highlight w:val="none"/>
          <w:lang w:eastAsia="zh-CN"/>
        </w:rPr>
        <w:t>盐城市大丰区</w:t>
      </w:r>
      <w:r>
        <w:rPr>
          <w:rFonts w:hint="eastAsia" w:ascii="宋体" w:hAnsi="宋体" w:cs="Times New Roman"/>
          <w:color w:val="auto"/>
          <w:highlight w:val="none"/>
          <w:lang w:val="en-US" w:eastAsia="zh-CN"/>
        </w:rPr>
        <w:t>骨干河道</w:t>
      </w:r>
      <w:r>
        <w:rPr>
          <w:rFonts w:hint="eastAsia" w:ascii="宋体" w:hAnsi="宋体" w:cs="Times New Roman"/>
          <w:color w:val="auto"/>
          <w:highlight w:val="none"/>
          <w:lang w:eastAsia="zh-CN"/>
        </w:rPr>
        <w:t>水面漂浮物打捞服务项目</w:t>
      </w:r>
      <w:r>
        <w:rPr>
          <w:rFonts w:hint="eastAsia" w:ascii="宋体" w:hAnsi="宋体" w:eastAsia="宋体" w:cs="Times New Roman"/>
          <w:color w:val="auto"/>
          <w:highlight w:val="none"/>
        </w:rPr>
        <w:t>保洁打捞考核细则表</w:t>
      </w:r>
      <w:r>
        <w:rPr>
          <w:rFonts w:hint="eastAsia" w:ascii="宋体" w:hAnsi="宋体"/>
          <w:color w:val="auto"/>
          <w:highlight w:val="none"/>
        </w:rPr>
        <w:t>》。</w:t>
      </w:r>
    </w:p>
    <w:p w14:paraId="5AD83E8F">
      <w:pPr>
        <w:keepNext w:val="0"/>
        <w:keepLines w:val="0"/>
        <w:pageBreakBefore w:val="0"/>
        <w:widowControl w:val="0"/>
        <w:kinsoku/>
        <w:wordWrap/>
        <w:overflowPunct/>
        <w:topLinePunct w:val="0"/>
        <w:autoSpaceDE/>
        <w:autoSpaceDN/>
        <w:bidi w:val="0"/>
        <w:adjustRightInd/>
        <w:snapToGrid/>
        <w:spacing w:before="50" w:line="420" w:lineRule="exact"/>
        <w:ind w:firstLine="180"/>
        <w:textAlignment w:val="auto"/>
        <w:rPr>
          <w:rFonts w:hint="eastAsia" w:eastAsia="宋体"/>
          <w:color w:val="auto"/>
          <w:highlight w:val="none"/>
          <w:lang w:eastAsia="zh-CN"/>
        </w:rPr>
      </w:pPr>
      <w:r>
        <w:rPr>
          <w:rFonts w:hint="eastAsia" w:ascii="宋体" w:hAnsi="宋体"/>
          <w:color w:val="auto"/>
          <w:sz w:val="18"/>
          <w:szCs w:val="18"/>
          <w:highlight w:val="none"/>
          <w:lang w:val="en-US" w:eastAsia="zh-CN"/>
        </w:rPr>
        <w:t xml:space="preserve"> </w:t>
      </w:r>
      <w:r>
        <w:rPr>
          <w:rFonts w:hint="eastAsia" w:ascii="宋体" w:hAnsi="宋体" w:cs="宋体"/>
          <w:color w:val="auto"/>
          <w:sz w:val="21"/>
          <w:szCs w:val="18"/>
          <w:highlight w:val="none"/>
        </w:rPr>
        <w:t>注：★采购标的的所属行业为</w:t>
      </w:r>
      <w:r>
        <w:rPr>
          <w:rFonts w:hint="eastAsia" w:ascii="宋体" w:hAnsi="宋体" w:cs="宋体"/>
          <w:color w:val="auto"/>
          <w:sz w:val="21"/>
          <w:szCs w:val="18"/>
          <w:highlight w:val="none"/>
          <w:u w:val="single"/>
        </w:rPr>
        <w:t>其他未列明服务</w:t>
      </w:r>
      <w:r>
        <w:rPr>
          <w:rFonts w:hint="eastAsia" w:ascii="宋体" w:hAnsi="宋体" w:cs="宋体"/>
          <w:color w:val="auto"/>
          <w:sz w:val="21"/>
          <w:szCs w:val="18"/>
          <w:highlight w:val="none"/>
        </w:rPr>
        <w:t>，根据《工业和信息化部、国家统计局、国家发展和改革委员会、财政部关于印发中小企业划型标准规定的通知》（工信部联企业[2011]300号）规定的划分标准填写</w:t>
      </w:r>
      <w:r>
        <w:rPr>
          <w:rFonts w:hint="eastAsia" w:ascii="宋体" w:hAnsi="宋体" w:cs="宋体"/>
          <w:color w:val="auto"/>
          <w:sz w:val="21"/>
          <w:szCs w:val="18"/>
          <w:highlight w:val="none"/>
          <w:lang w:eastAsia="zh-CN"/>
        </w:rPr>
        <w:t>。</w:t>
      </w:r>
    </w:p>
    <w:p w14:paraId="32FBAE21">
      <w:pPr>
        <w:spacing w:line="360" w:lineRule="auto"/>
        <w:rPr>
          <w:rFonts w:hint="eastAsia" w:ascii="宋体" w:hAnsi="宋体"/>
          <w:color w:val="auto"/>
          <w:highlight w:val="none"/>
        </w:rPr>
      </w:pPr>
    </w:p>
    <w:p w14:paraId="141C64B1">
      <w:pP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p>
    <w:tbl>
      <w:tblPr>
        <w:tblStyle w:val="36"/>
        <w:tblW w:w="958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50"/>
        <w:gridCol w:w="3257"/>
        <w:gridCol w:w="803"/>
        <w:gridCol w:w="2771"/>
        <w:gridCol w:w="999"/>
      </w:tblGrid>
      <w:tr w14:paraId="1196D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8" w:hRule="atLeast"/>
        </w:trPr>
        <w:tc>
          <w:tcPr>
            <w:tcW w:w="9580" w:type="dxa"/>
            <w:gridSpan w:val="5"/>
            <w:tcBorders>
              <w:top w:val="nil"/>
              <w:left w:val="nil"/>
              <w:bottom w:val="nil"/>
              <w:right w:val="nil"/>
            </w:tcBorders>
            <w:shd w:val="clear" w:color="auto" w:fill="auto"/>
            <w:vAlign w:val="center"/>
          </w:tcPr>
          <w:p w14:paraId="30F1F7B8">
            <w:pPr>
              <w:keepNext w:val="0"/>
              <w:keepLines w:val="0"/>
              <w:widowControl/>
              <w:suppressLineNumbers w:val="0"/>
              <w:jc w:val="center"/>
              <w:textAlignment w:val="center"/>
              <w:rPr>
                <w:rFonts w:hint="eastAsia" w:ascii="宋体" w:hAnsi="宋体" w:eastAsia="宋体" w:cs="宋体"/>
                <w:b/>
                <w:bCs/>
                <w:i w:val="0"/>
                <w:iCs w:val="0"/>
                <w:color w:val="auto"/>
                <w:sz w:val="32"/>
                <w:szCs w:val="32"/>
                <w:highlight w:val="none"/>
                <w:u w:val="none"/>
              </w:rPr>
            </w:pPr>
            <w:r>
              <w:rPr>
                <w:rStyle w:val="198"/>
                <w:rFonts w:hint="eastAsia"/>
                <w:b/>
                <w:bCs/>
                <w:color w:val="auto"/>
                <w:sz w:val="28"/>
                <w:szCs w:val="28"/>
                <w:highlight w:val="none"/>
                <w:lang w:val="en-US" w:eastAsia="zh-CN" w:bidi="ar"/>
              </w:rPr>
              <w:t>盐城市大丰区骨干河道水面漂浮物打捞服务项目保洁打捞考核细则表</w:t>
            </w:r>
          </w:p>
        </w:tc>
      </w:tr>
      <w:tr w14:paraId="4F37A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750" w:type="dxa"/>
            <w:tcBorders>
              <w:top w:val="nil"/>
              <w:left w:val="nil"/>
              <w:bottom w:val="nil"/>
              <w:right w:val="nil"/>
            </w:tcBorders>
            <w:shd w:val="clear" w:color="auto" w:fill="auto"/>
            <w:vAlign w:val="center"/>
          </w:tcPr>
          <w:p w14:paraId="2ED6EF67">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保洁单位：</w:t>
            </w:r>
          </w:p>
        </w:tc>
        <w:tc>
          <w:tcPr>
            <w:tcW w:w="7830" w:type="dxa"/>
            <w:gridSpan w:val="4"/>
            <w:tcBorders>
              <w:top w:val="nil"/>
              <w:left w:val="nil"/>
              <w:bottom w:val="nil"/>
              <w:right w:val="nil"/>
            </w:tcBorders>
            <w:shd w:val="clear" w:color="auto" w:fill="auto"/>
            <w:vAlign w:val="center"/>
          </w:tcPr>
          <w:p w14:paraId="21BCD9A5">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 xml:space="preserve">   </w:t>
            </w:r>
            <w:r>
              <w:rPr>
                <w:rFonts w:hint="eastAsia" w:ascii="宋体" w:hAnsi="宋体" w:cs="宋体"/>
                <w:b/>
                <w:bCs/>
                <w:i w:val="0"/>
                <w:iCs w:val="0"/>
                <w:color w:val="auto"/>
                <w:kern w:val="0"/>
                <w:sz w:val="21"/>
                <w:szCs w:val="21"/>
                <w:highlight w:val="none"/>
                <w:u w:val="none"/>
                <w:lang w:val="en-US" w:eastAsia="zh-CN" w:bidi="ar"/>
              </w:rPr>
              <w:t xml:space="preserve">            </w:t>
            </w:r>
            <w:r>
              <w:rPr>
                <w:rFonts w:hint="eastAsia" w:ascii="宋体" w:hAnsi="宋体" w:eastAsia="宋体" w:cs="宋体"/>
                <w:b/>
                <w:bCs/>
                <w:i w:val="0"/>
                <w:iCs w:val="0"/>
                <w:color w:val="auto"/>
                <w:kern w:val="0"/>
                <w:sz w:val="21"/>
                <w:szCs w:val="21"/>
                <w:highlight w:val="none"/>
                <w:u w:val="none"/>
                <w:lang w:val="en-US" w:eastAsia="zh-CN" w:bidi="ar"/>
              </w:rPr>
              <w:t xml:space="preserve">                         考核时间：       年   月    日</w:t>
            </w:r>
          </w:p>
        </w:tc>
      </w:tr>
      <w:tr w14:paraId="6DDDE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9" w:hRule="atLeast"/>
        </w:trPr>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C8687">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考核项目</w:t>
            </w:r>
          </w:p>
        </w:tc>
        <w:tc>
          <w:tcPr>
            <w:tcW w:w="3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E287B">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考核要求</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6582E">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分值</w:t>
            </w:r>
          </w:p>
        </w:tc>
        <w:tc>
          <w:tcPr>
            <w:tcW w:w="2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01C33">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考核细则</w:t>
            </w: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A8898">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考核结果</w:t>
            </w:r>
          </w:p>
        </w:tc>
      </w:tr>
      <w:tr w14:paraId="65D4E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CA9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船机配备</w:t>
            </w:r>
          </w:p>
        </w:tc>
        <w:tc>
          <w:tcPr>
            <w:tcW w:w="3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751C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配备全自动打捞船</w:t>
            </w:r>
            <w:r>
              <w:rPr>
                <w:rStyle w:val="197"/>
                <w:color w:val="auto"/>
                <w:sz w:val="18"/>
                <w:szCs w:val="18"/>
                <w:highlight w:val="none"/>
                <w:lang w:val="en-US" w:eastAsia="zh-CN" w:bidi="ar"/>
              </w:rPr>
              <w:t xml:space="preserve">    </w:t>
            </w:r>
            <w:r>
              <w:rPr>
                <w:rStyle w:val="198"/>
                <w:color w:val="auto"/>
                <w:sz w:val="18"/>
                <w:szCs w:val="18"/>
                <w:highlight w:val="none"/>
                <w:lang w:val="en-US" w:eastAsia="zh-CN" w:bidi="ar"/>
              </w:rPr>
              <w:t>艘，</w:t>
            </w:r>
            <w:r>
              <w:rPr>
                <w:rStyle w:val="198"/>
                <w:rFonts w:hint="eastAsia"/>
                <w:color w:val="auto"/>
                <w:sz w:val="18"/>
                <w:szCs w:val="18"/>
                <w:highlight w:val="none"/>
                <w:lang w:val="en-US" w:eastAsia="zh-CN" w:bidi="ar"/>
              </w:rPr>
              <w:t>挖掘机</w:t>
            </w:r>
            <w:r>
              <w:rPr>
                <w:rStyle w:val="198"/>
                <w:color w:val="auto"/>
                <w:sz w:val="18"/>
                <w:szCs w:val="18"/>
                <w:highlight w:val="none"/>
                <w:lang w:val="en-US" w:eastAsia="zh-CN" w:bidi="ar"/>
              </w:rPr>
              <w:t xml:space="preserve"> </w:t>
            </w:r>
            <w:r>
              <w:rPr>
                <w:rStyle w:val="197"/>
                <w:color w:val="auto"/>
                <w:sz w:val="18"/>
                <w:szCs w:val="18"/>
                <w:highlight w:val="none"/>
                <w:lang w:val="en-US" w:eastAsia="zh-CN" w:bidi="ar"/>
              </w:rPr>
              <w:t xml:space="preserve">  </w:t>
            </w:r>
            <w:r>
              <w:rPr>
                <w:rStyle w:val="198"/>
                <w:rFonts w:hint="eastAsia"/>
                <w:color w:val="auto"/>
                <w:sz w:val="18"/>
                <w:szCs w:val="18"/>
                <w:highlight w:val="none"/>
                <w:lang w:val="en-US" w:eastAsia="zh-CN" w:bidi="ar"/>
              </w:rPr>
              <w:t>台</w:t>
            </w:r>
            <w:r>
              <w:rPr>
                <w:rStyle w:val="198"/>
                <w:color w:val="auto"/>
                <w:sz w:val="18"/>
                <w:szCs w:val="18"/>
                <w:highlight w:val="none"/>
                <w:lang w:val="en-US" w:eastAsia="zh-CN" w:bidi="ar"/>
              </w:rPr>
              <w:t>，拦截设施</w:t>
            </w:r>
            <w:r>
              <w:rPr>
                <w:rStyle w:val="197"/>
                <w:color w:val="auto"/>
                <w:sz w:val="18"/>
                <w:szCs w:val="18"/>
                <w:highlight w:val="none"/>
                <w:lang w:val="en-US" w:eastAsia="zh-CN" w:bidi="ar"/>
              </w:rPr>
              <w:t xml:space="preserve">  </w:t>
            </w:r>
            <w:r>
              <w:rPr>
                <w:rStyle w:val="198"/>
                <w:color w:val="auto"/>
                <w:sz w:val="18"/>
                <w:szCs w:val="18"/>
                <w:highlight w:val="none"/>
                <w:lang w:val="en-US" w:eastAsia="zh-CN" w:bidi="ar"/>
              </w:rPr>
              <w:t>套，</w:t>
            </w:r>
            <w:r>
              <w:rPr>
                <w:rStyle w:val="198"/>
                <w:rFonts w:hint="eastAsia"/>
                <w:color w:val="auto"/>
                <w:sz w:val="18"/>
                <w:szCs w:val="18"/>
                <w:highlight w:val="none"/>
                <w:lang w:val="en-US" w:eastAsia="zh-CN" w:bidi="ar"/>
              </w:rPr>
              <w:t>拖网设备</w:t>
            </w:r>
            <w:r>
              <w:rPr>
                <w:rStyle w:val="197"/>
                <w:color w:val="auto"/>
                <w:sz w:val="18"/>
                <w:szCs w:val="18"/>
                <w:highlight w:val="none"/>
                <w:lang w:val="en-US" w:eastAsia="zh-CN" w:bidi="ar"/>
              </w:rPr>
              <w:t xml:space="preserve">   </w:t>
            </w:r>
            <w:r>
              <w:rPr>
                <w:rStyle w:val="198"/>
                <w:color w:val="auto"/>
                <w:sz w:val="18"/>
                <w:szCs w:val="18"/>
                <w:highlight w:val="none"/>
                <w:lang w:val="en-US" w:eastAsia="zh-CN" w:bidi="ar"/>
              </w:rPr>
              <w:t>套，船机状态良好（按中标人投标文件中设备填写）。</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6E0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2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6FFF4">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船机因故障不能出勤1船/次扣1分</w:t>
            </w:r>
            <w:r>
              <w:rPr>
                <w:rFonts w:hint="eastAsia" w:ascii="宋体" w:hAnsi="宋体" w:cs="宋体"/>
                <w:b/>
                <w:bCs/>
                <w:i w:val="0"/>
                <w:iCs w:val="0"/>
                <w:color w:val="auto"/>
                <w:kern w:val="0"/>
                <w:sz w:val="18"/>
                <w:szCs w:val="18"/>
                <w:highlight w:val="none"/>
                <w:u w:val="none"/>
                <w:lang w:val="en-US" w:eastAsia="zh-CN" w:bidi="ar"/>
              </w:rPr>
              <w:t>（如两小时内备用船机能到达现场并配合使用的不扣分）</w:t>
            </w:r>
            <w:r>
              <w:rPr>
                <w:rFonts w:hint="eastAsia" w:ascii="宋体" w:hAnsi="宋体" w:eastAsia="宋体" w:cs="宋体"/>
                <w:i w:val="0"/>
                <w:iCs w:val="0"/>
                <w:color w:val="auto"/>
                <w:kern w:val="0"/>
                <w:sz w:val="18"/>
                <w:szCs w:val="18"/>
                <w:highlight w:val="none"/>
                <w:u w:val="none"/>
                <w:lang w:val="en-US" w:eastAsia="zh-CN" w:bidi="ar"/>
              </w:rPr>
              <w:t>。</w:t>
            </w: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4F8F7">
            <w:pPr>
              <w:jc w:val="center"/>
              <w:rPr>
                <w:rFonts w:hint="eastAsia" w:ascii="宋体" w:hAnsi="宋体" w:eastAsia="宋体" w:cs="宋体"/>
                <w:b/>
                <w:bCs/>
                <w:i w:val="0"/>
                <w:iCs w:val="0"/>
                <w:color w:val="auto"/>
                <w:sz w:val="21"/>
                <w:szCs w:val="21"/>
                <w:highlight w:val="none"/>
                <w:u w:val="none"/>
              </w:rPr>
            </w:pPr>
          </w:p>
        </w:tc>
      </w:tr>
      <w:tr w14:paraId="5BB4C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5" w:hRule="atLeast"/>
        </w:trPr>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D97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人员配备</w:t>
            </w:r>
          </w:p>
        </w:tc>
        <w:tc>
          <w:tcPr>
            <w:tcW w:w="3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ADB9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配备项目负责人、安全管理员、每台船机都需配备专业操作人员，要有意外伤害保险。船机操作人员必须具有相应操作证。（按中标人投标文件中配备人员数量）。</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824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2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23DC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操作人员缺勤1人/次扣1分、无操作证1人/次扣0.5分。</w:t>
            </w: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7AF25">
            <w:pPr>
              <w:jc w:val="center"/>
              <w:rPr>
                <w:rFonts w:hint="eastAsia" w:ascii="宋体" w:hAnsi="宋体" w:eastAsia="宋体" w:cs="宋体"/>
                <w:i w:val="0"/>
                <w:iCs w:val="0"/>
                <w:color w:val="auto"/>
                <w:sz w:val="21"/>
                <w:szCs w:val="21"/>
                <w:highlight w:val="none"/>
                <w:u w:val="none"/>
              </w:rPr>
            </w:pPr>
          </w:p>
        </w:tc>
      </w:tr>
      <w:tr w14:paraId="2E129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21E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安全配备</w:t>
            </w:r>
          </w:p>
        </w:tc>
        <w:tc>
          <w:tcPr>
            <w:tcW w:w="3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5DC3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打捞船机操作人员都需配备专业的安全消防救生器材（包括但不限于救生衣、救生绳、救生圈、救生杆、灭火器）。</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C8E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2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E277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安全消防救生设施配备不到位不得分。</w:t>
            </w: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489CF">
            <w:pPr>
              <w:jc w:val="center"/>
              <w:rPr>
                <w:rFonts w:hint="eastAsia" w:ascii="宋体" w:hAnsi="宋体" w:eastAsia="宋体" w:cs="宋体"/>
                <w:i w:val="0"/>
                <w:iCs w:val="0"/>
                <w:color w:val="auto"/>
                <w:sz w:val="21"/>
                <w:szCs w:val="21"/>
                <w:highlight w:val="none"/>
                <w:u w:val="none"/>
              </w:rPr>
            </w:pPr>
          </w:p>
        </w:tc>
      </w:tr>
      <w:tr w14:paraId="3237D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5" w:hRule="atLeast"/>
        </w:trPr>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EF0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软件资料</w:t>
            </w:r>
          </w:p>
        </w:tc>
        <w:tc>
          <w:tcPr>
            <w:tcW w:w="3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5CEC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安全台账、船机使用保养维修台账、每日漂浮物打捞台账、清运处置台账齐全，每周提供一次河道全长保洁效果影像资料。</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772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2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12EF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缺1项扣2分。</w:t>
            </w: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66C61">
            <w:pPr>
              <w:jc w:val="center"/>
              <w:rPr>
                <w:rFonts w:hint="eastAsia" w:ascii="宋体" w:hAnsi="宋体" w:eastAsia="宋体" w:cs="宋体"/>
                <w:i w:val="0"/>
                <w:iCs w:val="0"/>
                <w:color w:val="auto"/>
                <w:sz w:val="21"/>
                <w:szCs w:val="21"/>
                <w:highlight w:val="none"/>
                <w:u w:val="none"/>
              </w:rPr>
            </w:pPr>
          </w:p>
        </w:tc>
      </w:tr>
      <w:tr w14:paraId="4C3A8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5" w:hRule="atLeast"/>
        </w:trPr>
        <w:tc>
          <w:tcPr>
            <w:tcW w:w="1750" w:type="dxa"/>
            <w:vMerge w:val="restart"/>
            <w:tcBorders>
              <w:top w:val="single" w:color="000000" w:sz="4" w:space="0"/>
              <w:left w:val="single" w:color="000000" w:sz="4" w:space="0"/>
              <w:right w:val="single" w:color="000000" w:sz="4" w:space="0"/>
            </w:tcBorders>
            <w:shd w:val="clear" w:color="auto" w:fill="auto"/>
            <w:vAlign w:val="center"/>
          </w:tcPr>
          <w:p w14:paraId="169955C2">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保洁打捞效果</w:t>
            </w:r>
          </w:p>
        </w:tc>
        <w:tc>
          <w:tcPr>
            <w:tcW w:w="3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FD87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河道水面每100米长漂浮物累计面积不得大于50平方米。</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35CBB">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cs="宋体"/>
                <w:i w:val="0"/>
                <w:iCs w:val="0"/>
                <w:color w:val="auto"/>
                <w:kern w:val="0"/>
                <w:sz w:val="18"/>
                <w:szCs w:val="18"/>
                <w:highlight w:val="none"/>
                <w:u w:val="none"/>
                <w:lang w:val="en-US" w:eastAsia="zh-CN" w:bidi="ar"/>
              </w:rPr>
              <w:t>20</w:t>
            </w:r>
          </w:p>
        </w:tc>
        <w:tc>
          <w:tcPr>
            <w:tcW w:w="2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DD6B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随时检查，每100米长水域发现漂浮物累计面积超出50平方米且在4小时内未及时清理干净的1次扣1分、</w:t>
            </w:r>
            <w:r>
              <w:rPr>
                <w:rFonts w:hint="eastAsia" w:ascii="宋体" w:hAnsi="宋体" w:eastAsia="宋体" w:cs="宋体"/>
                <w:b/>
                <w:bCs/>
                <w:i w:val="0"/>
                <w:iCs w:val="0"/>
                <w:color w:val="auto"/>
                <w:kern w:val="0"/>
                <w:sz w:val="18"/>
                <w:szCs w:val="18"/>
                <w:highlight w:val="none"/>
                <w:u w:val="none"/>
                <w:lang w:val="en-US" w:eastAsia="zh-CN" w:bidi="ar"/>
              </w:rPr>
              <w:t>超出100平方米且在</w:t>
            </w:r>
            <w:r>
              <w:rPr>
                <w:rFonts w:hint="eastAsia" w:ascii="宋体" w:hAnsi="宋体" w:cs="宋体"/>
                <w:b/>
                <w:bCs/>
                <w:i w:val="0"/>
                <w:iCs w:val="0"/>
                <w:color w:val="auto"/>
                <w:kern w:val="0"/>
                <w:sz w:val="18"/>
                <w:szCs w:val="18"/>
                <w:highlight w:val="none"/>
                <w:u w:val="none"/>
                <w:lang w:val="en-US" w:eastAsia="zh-CN" w:bidi="ar"/>
              </w:rPr>
              <w:t>8</w:t>
            </w:r>
            <w:r>
              <w:rPr>
                <w:rFonts w:hint="eastAsia" w:ascii="宋体" w:hAnsi="宋体" w:eastAsia="宋体" w:cs="宋体"/>
                <w:b/>
                <w:bCs/>
                <w:i w:val="0"/>
                <w:iCs w:val="0"/>
                <w:color w:val="auto"/>
                <w:kern w:val="0"/>
                <w:sz w:val="18"/>
                <w:szCs w:val="18"/>
                <w:highlight w:val="none"/>
                <w:u w:val="none"/>
                <w:lang w:val="en-US" w:eastAsia="zh-CN" w:bidi="ar"/>
              </w:rPr>
              <w:t>小时内未及时清理干净的1次扣2分。</w:t>
            </w: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13AF7">
            <w:pPr>
              <w:jc w:val="center"/>
              <w:rPr>
                <w:rFonts w:hint="eastAsia" w:ascii="宋体" w:hAnsi="宋体" w:eastAsia="宋体" w:cs="宋体"/>
                <w:i w:val="0"/>
                <w:iCs w:val="0"/>
                <w:color w:val="auto"/>
                <w:sz w:val="21"/>
                <w:szCs w:val="21"/>
                <w:highlight w:val="none"/>
                <w:u w:val="none"/>
              </w:rPr>
            </w:pPr>
          </w:p>
        </w:tc>
      </w:tr>
      <w:tr w14:paraId="553A0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2" w:hRule="atLeast"/>
        </w:trPr>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571DC">
            <w:pPr>
              <w:jc w:val="center"/>
              <w:rPr>
                <w:rFonts w:hint="eastAsia" w:ascii="宋体" w:hAnsi="宋体" w:eastAsia="宋体" w:cs="宋体"/>
                <w:i w:val="0"/>
                <w:iCs w:val="0"/>
                <w:color w:val="auto"/>
                <w:sz w:val="18"/>
                <w:szCs w:val="18"/>
                <w:highlight w:val="none"/>
                <w:u w:val="none"/>
              </w:rPr>
            </w:pPr>
          </w:p>
        </w:tc>
        <w:tc>
          <w:tcPr>
            <w:tcW w:w="3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15F1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所打捞的漂浮物，甲方不提供堆放场地，乙方堆积的漂浮物必须</w:t>
            </w:r>
            <w:r>
              <w:rPr>
                <w:rStyle w:val="199"/>
                <w:color w:val="auto"/>
                <w:sz w:val="18"/>
                <w:szCs w:val="18"/>
                <w:highlight w:val="none"/>
                <w:lang w:val="en-US" w:eastAsia="zh-CN" w:bidi="ar"/>
              </w:rPr>
              <w:t>在</w:t>
            </w:r>
            <w:r>
              <w:rPr>
                <w:rStyle w:val="199"/>
                <w:rFonts w:hint="eastAsia"/>
                <w:color w:val="auto"/>
                <w:sz w:val="18"/>
                <w:szCs w:val="18"/>
                <w:highlight w:val="none"/>
                <w:lang w:val="en-US" w:eastAsia="zh-CN" w:bidi="ar"/>
              </w:rPr>
              <w:t>5日内</w:t>
            </w:r>
            <w:r>
              <w:rPr>
                <w:rStyle w:val="199"/>
                <w:color w:val="auto"/>
                <w:sz w:val="18"/>
                <w:szCs w:val="18"/>
                <w:highlight w:val="none"/>
                <w:lang w:val="en-US" w:eastAsia="zh-CN" w:bidi="ar"/>
              </w:rPr>
              <w:t>清运无害化处置</w:t>
            </w:r>
            <w:r>
              <w:rPr>
                <w:rStyle w:val="198"/>
                <w:color w:val="auto"/>
                <w:sz w:val="18"/>
                <w:szCs w:val="18"/>
                <w:highlight w:val="none"/>
                <w:lang w:val="en-US" w:eastAsia="zh-CN" w:bidi="ar"/>
              </w:rPr>
              <w:t>，避免污染环境，不得随地掩埋或随意倾倒农田、河塘内、不得随意堆放河坡形成二次污染。</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674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2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DD81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随时检查，当天的漂浮物未清运发现1次扣2分、随地掩埋或随意倾倒农田、河塘里发现1次扣3分。</w:t>
            </w: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628B4">
            <w:pPr>
              <w:jc w:val="center"/>
              <w:rPr>
                <w:rFonts w:hint="eastAsia" w:ascii="宋体" w:hAnsi="宋体" w:eastAsia="宋体" w:cs="宋体"/>
                <w:i w:val="0"/>
                <w:iCs w:val="0"/>
                <w:color w:val="auto"/>
                <w:sz w:val="21"/>
                <w:szCs w:val="21"/>
                <w:highlight w:val="none"/>
                <w:u w:val="none"/>
              </w:rPr>
            </w:pPr>
          </w:p>
        </w:tc>
      </w:tr>
      <w:tr w14:paraId="12CA5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1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3BEE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投诉、曝光、交办</w:t>
            </w:r>
          </w:p>
        </w:tc>
        <w:tc>
          <w:tcPr>
            <w:tcW w:w="32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16824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群众投诉、媒体曝光的</w:t>
            </w:r>
          </w:p>
        </w:tc>
        <w:tc>
          <w:tcPr>
            <w:tcW w:w="8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2BAA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27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F4ADB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经调查属实，群众投诉1次扣1分，区级媒体曝光1次扣2分、市级及以上媒体曝光1次扣3分。</w:t>
            </w:r>
          </w:p>
        </w:tc>
        <w:tc>
          <w:tcPr>
            <w:tcW w:w="9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87F3D0">
            <w:pPr>
              <w:jc w:val="center"/>
              <w:rPr>
                <w:rFonts w:hint="eastAsia" w:ascii="宋体" w:hAnsi="宋体" w:eastAsia="宋体" w:cs="宋体"/>
                <w:i w:val="0"/>
                <w:iCs w:val="0"/>
                <w:color w:val="auto"/>
                <w:sz w:val="21"/>
                <w:szCs w:val="21"/>
                <w:highlight w:val="none"/>
                <w:u w:val="none"/>
              </w:rPr>
            </w:pPr>
          </w:p>
        </w:tc>
      </w:tr>
      <w:tr w14:paraId="33E62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A1275">
            <w:pPr>
              <w:jc w:val="center"/>
              <w:rPr>
                <w:rFonts w:hint="eastAsia" w:ascii="宋体" w:hAnsi="宋体" w:eastAsia="宋体" w:cs="宋体"/>
                <w:i w:val="0"/>
                <w:iCs w:val="0"/>
                <w:color w:val="auto"/>
                <w:sz w:val="18"/>
                <w:szCs w:val="18"/>
                <w:highlight w:val="none"/>
                <w:u w:val="none"/>
              </w:rPr>
            </w:pPr>
          </w:p>
        </w:tc>
        <w:tc>
          <w:tcPr>
            <w:tcW w:w="32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9EDFF9">
            <w:pPr>
              <w:jc w:val="left"/>
              <w:rPr>
                <w:rFonts w:hint="eastAsia" w:ascii="宋体" w:hAnsi="宋体" w:eastAsia="宋体" w:cs="宋体"/>
                <w:i w:val="0"/>
                <w:iCs w:val="0"/>
                <w:color w:val="auto"/>
                <w:sz w:val="18"/>
                <w:szCs w:val="18"/>
                <w:highlight w:val="none"/>
                <w:u w:val="none"/>
              </w:rPr>
            </w:pPr>
          </w:p>
        </w:tc>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1166B">
            <w:pPr>
              <w:jc w:val="center"/>
              <w:rPr>
                <w:rFonts w:hint="eastAsia" w:ascii="宋体" w:hAnsi="宋体" w:eastAsia="宋体" w:cs="宋体"/>
                <w:i w:val="0"/>
                <w:iCs w:val="0"/>
                <w:color w:val="auto"/>
                <w:sz w:val="18"/>
                <w:szCs w:val="18"/>
                <w:highlight w:val="none"/>
                <w:u w:val="none"/>
              </w:rPr>
            </w:pPr>
          </w:p>
        </w:tc>
        <w:tc>
          <w:tcPr>
            <w:tcW w:w="27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04556">
            <w:pPr>
              <w:jc w:val="left"/>
              <w:rPr>
                <w:rFonts w:hint="eastAsia" w:ascii="宋体" w:hAnsi="宋体" w:eastAsia="宋体" w:cs="宋体"/>
                <w:i w:val="0"/>
                <w:iCs w:val="0"/>
                <w:color w:val="auto"/>
                <w:sz w:val="18"/>
                <w:szCs w:val="18"/>
                <w:highlight w:val="none"/>
                <w:u w:val="none"/>
              </w:rPr>
            </w:pPr>
          </w:p>
        </w:tc>
        <w:tc>
          <w:tcPr>
            <w:tcW w:w="9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2FBDF">
            <w:pPr>
              <w:jc w:val="center"/>
              <w:rPr>
                <w:rFonts w:hint="eastAsia" w:ascii="宋体" w:hAnsi="宋体" w:eastAsia="宋体" w:cs="宋体"/>
                <w:i w:val="0"/>
                <w:iCs w:val="0"/>
                <w:color w:val="auto"/>
                <w:sz w:val="21"/>
                <w:szCs w:val="21"/>
                <w:highlight w:val="none"/>
                <w:u w:val="none"/>
              </w:rPr>
            </w:pPr>
          </w:p>
        </w:tc>
      </w:tr>
      <w:tr w14:paraId="275A1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C44C8">
            <w:pPr>
              <w:jc w:val="center"/>
              <w:rPr>
                <w:rFonts w:hint="eastAsia" w:ascii="宋体" w:hAnsi="宋体" w:eastAsia="宋体" w:cs="宋体"/>
                <w:i w:val="0"/>
                <w:iCs w:val="0"/>
                <w:color w:val="auto"/>
                <w:sz w:val="18"/>
                <w:szCs w:val="18"/>
                <w:highlight w:val="none"/>
                <w:u w:val="none"/>
              </w:rPr>
            </w:pPr>
          </w:p>
        </w:tc>
        <w:tc>
          <w:tcPr>
            <w:tcW w:w="3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D8E4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领导交办</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BE2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2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967B7">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市级及以上领导</w:t>
            </w:r>
            <w:r>
              <w:rPr>
                <w:rFonts w:hint="eastAsia" w:ascii="宋体" w:hAnsi="宋体" w:cs="宋体"/>
                <w:b/>
                <w:bCs/>
                <w:i w:val="0"/>
                <w:iCs w:val="0"/>
                <w:color w:val="auto"/>
                <w:kern w:val="0"/>
                <w:sz w:val="18"/>
                <w:szCs w:val="18"/>
                <w:highlight w:val="none"/>
                <w:u w:val="none"/>
                <w:lang w:val="en-US" w:eastAsia="zh-CN" w:bidi="ar"/>
              </w:rPr>
              <w:t>、</w:t>
            </w:r>
            <w:r>
              <w:rPr>
                <w:rFonts w:hint="eastAsia" w:ascii="宋体" w:hAnsi="宋体" w:eastAsia="宋体" w:cs="宋体"/>
                <w:b/>
                <w:bCs/>
                <w:i w:val="0"/>
                <w:iCs w:val="0"/>
                <w:color w:val="auto"/>
                <w:kern w:val="0"/>
                <w:sz w:val="18"/>
                <w:szCs w:val="18"/>
                <w:highlight w:val="none"/>
                <w:u w:val="none"/>
                <w:lang w:val="en-US" w:eastAsia="zh-CN" w:bidi="ar"/>
              </w:rPr>
              <w:t>区主要领导发现</w:t>
            </w:r>
            <w:r>
              <w:rPr>
                <w:rFonts w:hint="eastAsia" w:ascii="宋体" w:hAnsi="宋体" w:cs="宋体"/>
                <w:b/>
                <w:bCs/>
                <w:i w:val="0"/>
                <w:iCs w:val="0"/>
                <w:color w:val="auto"/>
                <w:kern w:val="0"/>
                <w:sz w:val="18"/>
                <w:szCs w:val="18"/>
                <w:highlight w:val="none"/>
                <w:u w:val="none"/>
                <w:lang w:val="en-US" w:eastAsia="zh-CN" w:bidi="ar"/>
              </w:rPr>
              <w:t>并交办</w:t>
            </w:r>
            <w:r>
              <w:rPr>
                <w:rFonts w:hint="eastAsia" w:ascii="宋体" w:hAnsi="宋体" w:eastAsia="宋体" w:cs="宋体"/>
                <w:b/>
                <w:bCs/>
                <w:i w:val="0"/>
                <w:iCs w:val="0"/>
                <w:color w:val="auto"/>
                <w:kern w:val="0"/>
                <w:sz w:val="18"/>
                <w:szCs w:val="18"/>
                <w:highlight w:val="none"/>
                <w:u w:val="none"/>
                <w:lang w:val="en-US" w:eastAsia="zh-CN" w:bidi="ar"/>
              </w:rPr>
              <w:t>1次扣3分，其他区领导发现</w:t>
            </w:r>
            <w:r>
              <w:rPr>
                <w:rFonts w:hint="eastAsia" w:ascii="宋体" w:hAnsi="宋体" w:cs="宋体"/>
                <w:b/>
                <w:bCs/>
                <w:i w:val="0"/>
                <w:iCs w:val="0"/>
                <w:color w:val="auto"/>
                <w:kern w:val="0"/>
                <w:sz w:val="18"/>
                <w:szCs w:val="18"/>
                <w:highlight w:val="none"/>
                <w:u w:val="none"/>
                <w:lang w:val="en-US" w:eastAsia="zh-CN" w:bidi="ar"/>
              </w:rPr>
              <w:t>并交办</w:t>
            </w:r>
            <w:r>
              <w:rPr>
                <w:rFonts w:hint="eastAsia" w:ascii="宋体" w:hAnsi="宋体" w:eastAsia="宋体" w:cs="宋体"/>
                <w:b/>
                <w:bCs/>
                <w:i w:val="0"/>
                <w:iCs w:val="0"/>
                <w:color w:val="auto"/>
                <w:kern w:val="0"/>
                <w:sz w:val="18"/>
                <w:szCs w:val="18"/>
                <w:highlight w:val="none"/>
                <w:u w:val="none"/>
                <w:lang w:val="en-US" w:eastAsia="zh-CN" w:bidi="ar"/>
              </w:rPr>
              <w:t>一次扣2分，</w:t>
            </w:r>
            <w:r>
              <w:rPr>
                <w:rFonts w:hint="eastAsia" w:ascii="宋体" w:hAnsi="宋体" w:cs="宋体"/>
                <w:b/>
                <w:bCs/>
                <w:i w:val="0"/>
                <w:iCs w:val="0"/>
                <w:color w:val="auto"/>
                <w:kern w:val="0"/>
                <w:sz w:val="18"/>
                <w:szCs w:val="18"/>
                <w:highlight w:val="none"/>
                <w:u w:val="none"/>
                <w:lang w:val="en-US" w:eastAsia="zh-CN" w:bidi="ar"/>
              </w:rPr>
              <w:t>相关部门</w:t>
            </w:r>
            <w:r>
              <w:rPr>
                <w:rFonts w:hint="eastAsia" w:ascii="宋体" w:hAnsi="宋体" w:eastAsia="宋体" w:cs="宋体"/>
                <w:b/>
                <w:bCs/>
                <w:i w:val="0"/>
                <w:iCs w:val="0"/>
                <w:color w:val="auto"/>
                <w:kern w:val="0"/>
                <w:sz w:val="18"/>
                <w:szCs w:val="18"/>
                <w:highlight w:val="none"/>
                <w:u w:val="none"/>
                <w:lang w:val="en-US" w:eastAsia="zh-CN" w:bidi="ar"/>
              </w:rPr>
              <w:t>发现</w:t>
            </w:r>
            <w:r>
              <w:rPr>
                <w:rFonts w:hint="eastAsia" w:ascii="宋体" w:hAnsi="宋体" w:cs="宋体"/>
                <w:b/>
                <w:bCs/>
                <w:i w:val="0"/>
                <w:iCs w:val="0"/>
                <w:color w:val="auto"/>
                <w:kern w:val="0"/>
                <w:sz w:val="18"/>
                <w:szCs w:val="18"/>
                <w:highlight w:val="none"/>
                <w:u w:val="none"/>
                <w:lang w:val="en-US" w:eastAsia="zh-CN" w:bidi="ar"/>
              </w:rPr>
              <w:t>并交办</w:t>
            </w:r>
            <w:r>
              <w:rPr>
                <w:rFonts w:hint="eastAsia" w:ascii="宋体" w:hAnsi="宋体" w:eastAsia="宋体" w:cs="宋体"/>
                <w:b/>
                <w:bCs/>
                <w:i w:val="0"/>
                <w:iCs w:val="0"/>
                <w:color w:val="auto"/>
                <w:kern w:val="0"/>
                <w:sz w:val="18"/>
                <w:szCs w:val="18"/>
                <w:highlight w:val="none"/>
                <w:u w:val="none"/>
                <w:lang w:val="en-US" w:eastAsia="zh-CN" w:bidi="ar"/>
              </w:rPr>
              <w:t>1次扣1分</w:t>
            </w:r>
            <w:r>
              <w:rPr>
                <w:rFonts w:hint="eastAsia" w:ascii="宋体" w:hAnsi="宋体" w:cs="宋体"/>
                <w:b/>
                <w:bCs/>
                <w:i w:val="0"/>
                <w:iCs w:val="0"/>
                <w:color w:val="auto"/>
                <w:kern w:val="0"/>
                <w:sz w:val="18"/>
                <w:szCs w:val="18"/>
                <w:highlight w:val="none"/>
                <w:u w:val="none"/>
                <w:lang w:val="en-US" w:eastAsia="zh-CN" w:bidi="ar"/>
              </w:rPr>
              <w:t>。</w:t>
            </w: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48449">
            <w:pPr>
              <w:jc w:val="center"/>
              <w:rPr>
                <w:rFonts w:hint="eastAsia" w:ascii="宋体" w:hAnsi="宋体" w:eastAsia="宋体" w:cs="宋体"/>
                <w:i w:val="0"/>
                <w:iCs w:val="0"/>
                <w:color w:val="auto"/>
                <w:sz w:val="21"/>
                <w:szCs w:val="21"/>
                <w:highlight w:val="none"/>
                <w:u w:val="none"/>
              </w:rPr>
            </w:pPr>
          </w:p>
        </w:tc>
      </w:tr>
      <w:tr w14:paraId="797B7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6A04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合  计</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D56B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2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37E23">
            <w:pPr>
              <w:jc w:val="left"/>
              <w:rPr>
                <w:rFonts w:hint="eastAsia" w:ascii="宋体" w:hAnsi="宋体" w:eastAsia="宋体" w:cs="宋体"/>
                <w:i w:val="0"/>
                <w:iCs w:val="0"/>
                <w:color w:val="auto"/>
                <w:sz w:val="21"/>
                <w:szCs w:val="21"/>
                <w:highlight w:val="none"/>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DA54C">
            <w:pPr>
              <w:jc w:val="both"/>
              <w:rPr>
                <w:rFonts w:hint="eastAsia" w:ascii="宋体" w:hAnsi="宋体" w:eastAsia="宋体" w:cs="宋体"/>
                <w:i w:val="0"/>
                <w:iCs w:val="0"/>
                <w:color w:val="auto"/>
                <w:sz w:val="21"/>
                <w:szCs w:val="21"/>
                <w:highlight w:val="none"/>
                <w:u w:val="none"/>
              </w:rPr>
            </w:pPr>
          </w:p>
        </w:tc>
      </w:tr>
      <w:tr w14:paraId="0234F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750" w:type="dxa"/>
            <w:tcBorders>
              <w:top w:val="nil"/>
              <w:left w:val="nil"/>
              <w:bottom w:val="nil"/>
              <w:right w:val="nil"/>
            </w:tcBorders>
            <w:shd w:val="clear" w:color="auto" w:fill="auto"/>
            <w:noWrap/>
            <w:vAlign w:val="center"/>
          </w:tcPr>
          <w:p w14:paraId="74405E0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考核人（签字）：</w:t>
            </w:r>
          </w:p>
        </w:tc>
        <w:tc>
          <w:tcPr>
            <w:tcW w:w="3257" w:type="dxa"/>
            <w:tcBorders>
              <w:top w:val="nil"/>
              <w:left w:val="nil"/>
              <w:bottom w:val="nil"/>
              <w:right w:val="nil"/>
            </w:tcBorders>
            <w:shd w:val="clear" w:color="auto" w:fill="auto"/>
            <w:noWrap/>
            <w:vAlign w:val="center"/>
          </w:tcPr>
          <w:p w14:paraId="2B37F28F">
            <w:pPr>
              <w:jc w:val="both"/>
              <w:rPr>
                <w:rFonts w:hint="eastAsia" w:ascii="宋体" w:hAnsi="宋体" w:eastAsia="宋体" w:cs="宋体"/>
                <w:i w:val="0"/>
                <w:iCs w:val="0"/>
                <w:color w:val="auto"/>
                <w:sz w:val="18"/>
                <w:szCs w:val="18"/>
                <w:highlight w:val="none"/>
                <w:u w:val="none"/>
              </w:rPr>
            </w:pPr>
          </w:p>
        </w:tc>
        <w:tc>
          <w:tcPr>
            <w:tcW w:w="803" w:type="dxa"/>
            <w:tcBorders>
              <w:top w:val="nil"/>
              <w:left w:val="nil"/>
              <w:bottom w:val="nil"/>
              <w:right w:val="nil"/>
            </w:tcBorders>
            <w:shd w:val="clear" w:color="auto" w:fill="auto"/>
            <w:noWrap/>
            <w:vAlign w:val="center"/>
          </w:tcPr>
          <w:p w14:paraId="12BFF985">
            <w:pPr>
              <w:jc w:val="both"/>
              <w:rPr>
                <w:rFonts w:hint="eastAsia" w:ascii="宋体" w:hAnsi="宋体" w:eastAsia="宋体" w:cs="宋体"/>
                <w:i w:val="0"/>
                <w:iCs w:val="0"/>
                <w:color w:val="auto"/>
                <w:sz w:val="18"/>
                <w:szCs w:val="18"/>
                <w:highlight w:val="none"/>
                <w:u w:val="none"/>
              </w:rPr>
            </w:pPr>
          </w:p>
        </w:tc>
        <w:tc>
          <w:tcPr>
            <w:tcW w:w="2771" w:type="dxa"/>
            <w:tcBorders>
              <w:top w:val="nil"/>
              <w:left w:val="nil"/>
              <w:bottom w:val="nil"/>
              <w:right w:val="nil"/>
            </w:tcBorders>
            <w:shd w:val="clear" w:color="auto" w:fill="auto"/>
            <w:noWrap/>
            <w:vAlign w:val="center"/>
          </w:tcPr>
          <w:p w14:paraId="4A57B9B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被考核人（签字）：</w:t>
            </w:r>
          </w:p>
        </w:tc>
        <w:tc>
          <w:tcPr>
            <w:tcW w:w="999" w:type="dxa"/>
            <w:tcBorders>
              <w:top w:val="nil"/>
              <w:left w:val="nil"/>
              <w:bottom w:val="nil"/>
              <w:right w:val="nil"/>
            </w:tcBorders>
            <w:shd w:val="clear" w:color="auto" w:fill="auto"/>
            <w:noWrap/>
            <w:vAlign w:val="center"/>
          </w:tcPr>
          <w:p w14:paraId="56E0A0F1">
            <w:pPr>
              <w:jc w:val="both"/>
              <w:rPr>
                <w:rFonts w:hint="eastAsia" w:ascii="宋体" w:hAnsi="宋体" w:eastAsia="宋体" w:cs="宋体"/>
                <w:i w:val="0"/>
                <w:iCs w:val="0"/>
                <w:color w:val="auto"/>
                <w:sz w:val="18"/>
                <w:szCs w:val="18"/>
                <w:highlight w:val="none"/>
                <w:u w:val="none"/>
              </w:rPr>
            </w:pPr>
          </w:p>
        </w:tc>
      </w:tr>
      <w:tr w14:paraId="4F529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9580" w:type="dxa"/>
            <w:gridSpan w:val="5"/>
            <w:tcBorders>
              <w:top w:val="nil"/>
              <w:left w:val="nil"/>
              <w:bottom w:val="nil"/>
              <w:right w:val="nil"/>
            </w:tcBorders>
            <w:shd w:val="clear" w:color="auto" w:fill="auto"/>
            <w:noWrap/>
            <w:vAlign w:val="center"/>
          </w:tcPr>
          <w:p w14:paraId="3F1BA297">
            <w:pPr>
              <w:jc w:val="both"/>
              <w:rPr>
                <w:rFonts w:hint="default" w:ascii="宋体" w:hAnsi="宋体" w:eastAsia="宋体" w:cs="宋体"/>
                <w:b/>
                <w:bCs/>
                <w:i w:val="0"/>
                <w:iCs w:val="0"/>
                <w:color w:val="auto"/>
                <w:sz w:val="18"/>
                <w:szCs w:val="18"/>
                <w:highlight w:val="none"/>
                <w:u w:val="none"/>
                <w:lang w:val="en-US" w:eastAsia="zh-CN"/>
              </w:rPr>
            </w:pPr>
            <w:r>
              <w:rPr>
                <w:rFonts w:hint="eastAsia" w:ascii="宋体" w:hAnsi="宋体" w:cs="宋体"/>
                <w:b/>
                <w:bCs/>
                <w:i w:val="0"/>
                <w:iCs w:val="0"/>
                <w:color w:val="auto"/>
                <w:sz w:val="18"/>
                <w:szCs w:val="18"/>
                <w:highlight w:val="none"/>
                <w:u w:val="none"/>
                <w:lang w:val="en-US" w:eastAsia="zh-CN"/>
              </w:rPr>
              <w:t>备注：区水利局每月定期或不定期牵头会同属地相关单位对打捞保洁情况进行考核，属地工作情况由相关镇政府安排属地水利、农业农村等部门人员联合签名确认。考核最终的得分以沿线各板块（断面）考核平均分为准，作为付款依据。</w:t>
            </w:r>
          </w:p>
        </w:tc>
      </w:tr>
    </w:tbl>
    <w:p w14:paraId="70B2CE2D">
      <w:pPr>
        <w:pStyle w:val="2"/>
        <w:jc w:val="center"/>
        <w:rPr>
          <w:rFonts w:hint="eastAsia" w:ascii="黑体" w:eastAsia="黑体"/>
          <w:bCs/>
          <w:color w:val="auto"/>
          <w:sz w:val="44"/>
          <w:highlight w:val="none"/>
        </w:rPr>
      </w:pPr>
      <w:r>
        <w:rPr>
          <w:rFonts w:hint="eastAsia" w:ascii="黑体" w:eastAsia="黑体"/>
          <w:bCs/>
          <w:color w:val="auto"/>
          <w:sz w:val="44"/>
          <w:highlight w:val="none"/>
        </w:rPr>
        <w:t>第</w:t>
      </w:r>
      <w:r>
        <w:rPr>
          <w:rFonts w:hint="eastAsia" w:ascii="黑体" w:eastAsia="黑体"/>
          <w:bCs/>
          <w:color w:val="auto"/>
          <w:sz w:val="44"/>
          <w:highlight w:val="none"/>
          <w:lang w:val="en-US" w:eastAsia="zh-CN"/>
        </w:rPr>
        <w:t>四</w:t>
      </w:r>
      <w:r>
        <w:rPr>
          <w:rFonts w:hint="eastAsia" w:ascii="黑体" w:eastAsia="黑体"/>
          <w:bCs/>
          <w:color w:val="auto"/>
          <w:sz w:val="44"/>
          <w:highlight w:val="none"/>
        </w:rPr>
        <w:t xml:space="preserve">章  </w:t>
      </w:r>
      <w:r>
        <w:rPr>
          <w:rFonts w:hint="eastAsia" w:ascii="黑体" w:eastAsia="黑体"/>
          <w:b/>
          <w:bCs/>
          <w:color w:val="auto"/>
          <w:sz w:val="44"/>
          <w:highlight w:val="none"/>
        </w:rPr>
        <w:t>定标原则与评标标准</w:t>
      </w:r>
      <w:bookmarkEnd w:id="150"/>
      <w:bookmarkEnd w:id="151"/>
      <w:bookmarkEnd w:id="152"/>
    </w:p>
    <w:p w14:paraId="0BAB4E62">
      <w:pPr>
        <w:rPr>
          <w:rFonts w:hint="eastAsia"/>
          <w:color w:val="auto"/>
          <w:highlight w:val="none"/>
        </w:rPr>
      </w:pPr>
    </w:p>
    <w:p w14:paraId="35BD64F7">
      <w:pPr>
        <w:spacing w:line="360" w:lineRule="auto"/>
        <w:rPr>
          <w:rFonts w:hint="eastAsia" w:ascii="宋体" w:hAnsi="宋体" w:cs="Courier New"/>
          <w:b/>
          <w:bCs/>
          <w:color w:val="auto"/>
          <w:highlight w:val="none"/>
        </w:rPr>
      </w:pPr>
      <w:r>
        <w:rPr>
          <w:rFonts w:hint="eastAsia" w:ascii="宋体" w:hAnsi="宋体" w:cs="Courier New"/>
          <w:b/>
          <w:bCs/>
          <w:color w:val="auto"/>
          <w:highlight w:val="none"/>
        </w:rPr>
        <w:t>一、定标原则</w:t>
      </w:r>
    </w:p>
    <w:p w14:paraId="5D6A38D0">
      <w:pPr>
        <w:spacing w:line="500" w:lineRule="exact"/>
        <w:ind w:firstLine="440"/>
        <w:rPr>
          <w:rFonts w:ascii="宋体" w:hAnsi="宋体" w:cs="Arial"/>
          <w:color w:val="auto"/>
          <w:sz w:val="22"/>
          <w:szCs w:val="22"/>
          <w:highlight w:val="none"/>
        </w:rPr>
      </w:pPr>
      <w:r>
        <w:rPr>
          <w:rFonts w:hint="eastAsia" w:ascii="宋体" w:hAnsi="宋体" w:cs="Courier New"/>
          <w:bCs/>
          <w:color w:val="auto"/>
          <w:sz w:val="22"/>
          <w:szCs w:val="22"/>
          <w:highlight w:val="none"/>
        </w:rPr>
        <w:t>本项目采用</w:t>
      </w:r>
      <w:r>
        <w:rPr>
          <w:rFonts w:hint="eastAsia" w:ascii="宋体" w:hAnsi="宋体" w:cs="Courier New"/>
          <w:bCs/>
          <w:color w:val="auto"/>
          <w:sz w:val="22"/>
          <w:szCs w:val="22"/>
          <w:highlight w:val="none"/>
          <w:u w:val="single"/>
        </w:rPr>
        <w:t xml:space="preserve"> 综合评分</w:t>
      </w:r>
      <w:r>
        <w:rPr>
          <w:rFonts w:hint="eastAsia" w:ascii="宋体" w:hAnsi="宋体" w:cs="Courier New"/>
          <w:bCs/>
          <w:color w:val="auto"/>
          <w:sz w:val="22"/>
          <w:szCs w:val="22"/>
          <w:highlight w:val="none"/>
        </w:rPr>
        <w:t>法。</w:t>
      </w:r>
      <w:r>
        <w:rPr>
          <w:rFonts w:hint="eastAsia" w:ascii="宋体" w:hAnsi="宋体" w:cs="Arial"/>
          <w:color w:val="auto"/>
          <w:sz w:val="22"/>
          <w:szCs w:val="22"/>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175728F2">
      <w:pPr>
        <w:widowControl/>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政府采购政策功能落实</w:t>
      </w:r>
    </w:p>
    <w:p w14:paraId="2CCC460F">
      <w:pPr>
        <w:widowControl/>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1、小微型企业价格扣除</w:t>
      </w:r>
    </w:p>
    <w:p w14:paraId="1BF44408">
      <w:pPr>
        <w:widowControl/>
        <w:spacing w:line="360" w:lineRule="auto"/>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（1）本项目对小型和微型企业产品给予20%的扣除价格，用扣除后的价格参与评审。</w:t>
      </w:r>
    </w:p>
    <w:p w14:paraId="44ED0C62">
      <w:pPr>
        <w:widowControl/>
        <w:spacing w:line="360" w:lineRule="auto"/>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（2）供应商需按照采购文件的要求提供相应的《企业声明函》。</w:t>
      </w:r>
    </w:p>
    <w:p w14:paraId="02DBC8A5">
      <w:pPr>
        <w:widowControl/>
        <w:spacing w:line="360" w:lineRule="auto"/>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（3）企业标准请参照《关于印发中小企业划型标准规定的通知》（工信部联企业[2011]300号）文件规定自行填写。</w:t>
      </w:r>
    </w:p>
    <w:p w14:paraId="5C56E244">
      <w:pPr>
        <w:widowControl/>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（4）在货物采购项目中，供应商提供的货物既有中小企业制造货物，也有大型企业制造货物的，不享受本办法规定的中小企业扶持政策。</w:t>
      </w:r>
    </w:p>
    <w:p w14:paraId="46B260AE">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2、残疾人福利单位价格扣除</w:t>
      </w:r>
    </w:p>
    <w:p w14:paraId="474325AD">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（1）本项目对残疾人福利性单位视同小型、微型企业，给予20%的价格扣除，用扣除后的价格参与评审。</w:t>
      </w:r>
    </w:p>
    <w:p w14:paraId="7E6B3DEC">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（2）残疾人福利单位需按照采购文件的要求提供《残疾人福利性单位声明函》。</w:t>
      </w:r>
    </w:p>
    <w:p w14:paraId="3959A65C">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（3）残疾人福利单位标准请参照《关于促进残疾人就业政府采购政策的通知》（财库〔2017〕141号）。</w:t>
      </w:r>
    </w:p>
    <w:p w14:paraId="0FF272A4">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3、监狱和戒毒企业价格扣除</w:t>
      </w:r>
    </w:p>
    <w:p w14:paraId="2249C459">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（1）本项目对监狱和戒毒企业（简称监狱企业）视同小型、微型企业，给予20%的价格扣除，用扣除后的价格参与评审。</w:t>
      </w:r>
    </w:p>
    <w:p w14:paraId="6A3409AC">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（2）监狱企业参加政府采购活动时，需提供由省级以上监狱管理局、戒毒管理局(含新疆生产建设兵团)出具的属于监狱企业的证明文件。供应商如不提供上述证明文件，价格将不做相应扣除。</w:t>
      </w:r>
    </w:p>
    <w:p w14:paraId="5C2B9674">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（3）监狱企业标准请参照《关于政府采购支持监狱企业发展有关问题的通知》（财库[2014]68号）。</w:t>
      </w:r>
    </w:p>
    <w:p w14:paraId="2960C7FB">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4、残疾人福利单位、监狱企业属于小型、微型企业的，不重复享受政策。</w:t>
      </w:r>
    </w:p>
    <w:p w14:paraId="2AEFCBBF">
      <w:pPr>
        <w:spacing w:line="360" w:lineRule="auto"/>
        <w:ind w:firstLine="440"/>
        <w:rPr>
          <w:rFonts w:hint="eastAsia" w:ascii="宋体" w:hAnsi="宋体"/>
          <w:color w:val="auto"/>
          <w:sz w:val="22"/>
          <w:szCs w:val="22"/>
          <w:highlight w:val="none"/>
        </w:rPr>
      </w:pPr>
      <w:r>
        <w:rPr>
          <w:rFonts w:hint="eastAsia" w:ascii="宋体" w:hAnsi="宋体"/>
          <w:color w:val="auto"/>
          <w:sz w:val="22"/>
          <w:szCs w:val="22"/>
          <w:highlight w:val="none"/>
        </w:rPr>
        <w:t>5、★符合本采购文件优先采购 “环境标志产品”或“节能产品”的；必须提供“环境标志产品”或“节能产品”证明，否则不予认可。</w:t>
      </w:r>
    </w:p>
    <w:p w14:paraId="413A20FB">
      <w:pPr>
        <w:spacing w:line="360" w:lineRule="auto"/>
        <w:ind w:firstLine="440"/>
        <w:rPr>
          <w:rFonts w:ascii="宋体" w:hAnsi="宋体"/>
          <w:color w:val="auto"/>
          <w:sz w:val="22"/>
          <w:szCs w:val="22"/>
          <w:highlight w:val="none"/>
        </w:rPr>
      </w:pPr>
      <w:r>
        <w:rPr>
          <w:rFonts w:hint="eastAsia" w:ascii="宋体" w:hAnsi="宋体"/>
          <w:color w:val="auto"/>
          <w:sz w:val="22"/>
          <w:szCs w:val="22"/>
          <w:highlight w:val="none"/>
        </w:rPr>
        <w:t>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p>
    <w:p w14:paraId="53609276">
      <w:pPr>
        <w:spacing w:line="360" w:lineRule="auto"/>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t>二、评标标准</w:t>
      </w:r>
    </w:p>
    <w:tbl>
      <w:tblPr>
        <w:tblStyle w:val="36"/>
        <w:tblpPr w:leftFromText="180" w:rightFromText="180" w:vertAnchor="text" w:horzAnchor="page" w:tblpX="1355" w:tblpY="459"/>
        <w:tblW w:w="926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0"/>
        <w:gridCol w:w="833"/>
        <w:gridCol w:w="7121"/>
      </w:tblGrid>
      <w:tr w14:paraId="4904C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1310" w:type="dxa"/>
            <w:noWrap w:val="0"/>
            <w:vAlign w:val="center"/>
          </w:tcPr>
          <w:p w14:paraId="3F2D6AE4">
            <w:pPr>
              <w:tabs>
                <w:tab w:val="left" w:pos="215"/>
              </w:tabs>
              <w:spacing w:before="35" w:line="228" w:lineRule="auto"/>
              <w:jc w:val="center"/>
              <w:rPr>
                <w:rFonts w:hint="eastAsia" w:ascii="宋体" w:hAnsi="宋体" w:cs="宋体"/>
                <w:color w:val="auto"/>
                <w:highlight w:val="none"/>
              </w:rPr>
            </w:pPr>
            <w:r>
              <w:rPr>
                <w:rFonts w:hint="eastAsia" w:ascii="宋体" w:hAnsi="宋体" w:cs="宋体"/>
                <w:color w:val="auto"/>
                <w:spacing w:val="9"/>
                <w:highlight w:val="none"/>
              </w:rPr>
              <w:t>评审因</w:t>
            </w:r>
            <w:r>
              <w:rPr>
                <w:rFonts w:hint="eastAsia" w:ascii="宋体" w:hAnsi="宋体" w:cs="宋体"/>
                <w:color w:val="auto"/>
                <w:spacing w:val="8"/>
                <w:highlight w:val="none"/>
              </w:rPr>
              <w:t>素</w:t>
            </w:r>
          </w:p>
        </w:tc>
        <w:tc>
          <w:tcPr>
            <w:tcW w:w="833" w:type="dxa"/>
            <w:noWrap w:val="0"/>
            <w:vAlign w:val="center"/>
          </w:tcPr>
          <w:p w14:paraId="4076F506">
            <w:pPr>
              <w:spacing w:before="35" w:line="228" w:lineRule="auto"/>
              <w:ind w:left="120"/>
              <w:jc w:val="center"/>
              <w:rPr>
                <w:rFonts w:hint="eastAsia" w:ascii="宋体" w:hAnsi="宋体" w:cs="宋体"/>
                <w:color w:val="auto"/>
                <w:highlight w:val="none"/>
              </w:rPr>
            </w:pPr>
            <w:r>
              <w:rPr>
                <w:rFonts w:hint="eastAsia" w:ascii="宋体" w:hAnsi="宋体" w:cs="宋体"/>
                <w:color w:val="auto"/>
                <w:spacing w:val="5"/>
                <w:highlight w:val="none"/>
              </w:rPr>
              <w:t>分</w:t>
            </w:r>
            <w:r>
              <w:rPr>
                <w:rFonts w:hint="eastAsia" w:ascii="宋体" w:hAnsi="宋体" w:cs="宋体"/>
                <w:color w:val="auto"/>
                <w:spacing w:val="4"/>
                <w:highlight w:val="none"/>
              </w:rPr>
              <w:t>值</w:t>
            </w:r>
          </w:p>
        </w:tc>
        <w:tc>
          <w:tcPr>
            <w:tcW w:w="7121" w:type="dxa"/>
            <w:noWrap w:val="0"/>
            <w:vAlign w:val="center"/>
          </w:tcPr>
          <w:p w14:paraId="2F067119">
            <w:pPr>
              <w:spacing w:before="35" w:line="228" w:lineRule="auto"/>
              <w:ind w:left="3143"/>
              <w:jc w:val="both"/>
              <w:rPr>
                <w:rFonts w:hint="eastAsia" w:ascii="宋体" w:hAnsi="宋体" w:cs="宋体"/>
                <w:color w:val="auto"/>
                <w:highlight w:val="none"/>
              </w:rPr>
            </w:pPr>
            <w:r>
              <w:rPr>
                <w:rFonts w:hint="eastAsia" w:ascii="宋体" w:hAnsi="宋体" w:cs="宋体"/>
                <w:color w:val="auto"/>
                <w:spacing w:val="9"/>
                <w:highlight w:val="none"/>
              </w:rPr>
              <w:t>评分细</w:t>
            </w:r>
            <w:r>
              <w:rPr>
                <w:rFonts w:hint="eastAsia" w:ascii="宋体" w:hAnsi="宋体" w:cs="宋体"/>
                <w:color w:val="auto"/>
                <w:spacing w:val="8"/>
                <w:highlight w:val="none"/>
              </w:rPr>
              <w:t>则</w:t>
            </w:r>
          </w:p>
        </w:tc>
      </w:tr>
      <w:tr w14:paraId="3A071B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trPr>
        <w:tc>
          <w:tcPr>
            <w:tcW w:w="9264" w:type="dxa"/>
            <w:gridSpan w:val="3"/>
            <w:noWrap w:val="0"/>
            <w:vAlign w:val="center"/>
          </w:tcPr>
          <w:p w14:paraId="509CB992">
            <w:pPr>
              <w:spacing w:before="30" w:line="226" w:lineRule="auto"/>
              <w:ind w:left="117"/>
              <w:jc w:val="left"/>
              <w:rPr>
                <w:rFonts w:hint="eastAsia" w:ascii="宋体" w:hAnsi="宋体" w:cs="宋体"/>
                <w:color w:val="auto"/>
                <w:highlight w:val="none"/>
              </w:rPr>
            </w:pPr>
            <w:r>
              <w:rPr>
                <w:rFonts w:hint="eastAsia" w:ascii="宋体" w:hAnsi="宋体" w:cs="宋体"/>
                <w:b/>
                <w:bCs/>
                <w:color w:val="auto"/>
                <w:spacing w:val="10"/>
                <w:highlight w:val="none"/>
              </w:rPr>
              <w:t>价</w:t>
            </w:r>
            <w:r>
              <w:rPr>
                <w:rFonts w:hint="eastAsia" w:ascii="宋体" w:hAnsi="宋体" w:cs="宋体"/>
                <w:b/>
                <w:bCs/>
                <w:color w:val="auto"/>
                <w:spacing w:val="5"/>
                <w:highlight w:val="none"/>
              </w:rPr>
              <w:t>格分 (</w:t>
            </w:r>
            <w:r>
              <w:rPr>
                <w:rFonts w:hint="eastAsia" w:ascii="宋体" w:hAnsi="宋体" w:cs="宋体"/>
                <w:b/>
                <w:bCs/>
                <w:color w:val="auto"/>
                <w:spacing w:val="5"/>
                <w:highlight w:val="none"/>
                <w:lang w:val="en-US" w:eastAsia="zh-CN"/>
              </w:rPr>
              <w:t>28</w:t>
            </w:r>
            <w:r>
              <w:rPr>
                <w:rFonts w:hint="eastAsia" w:ascii="宋体" w:hAnsi="宋体" w:cs="宋体"/>
                <w:b/>
                <w:bCs/>
                <w:color w:val="auto"/>
                <w:spacing w:val="5"/>
                <w:highlight w:val="none"/>
              </w:rPr>
              <w:t>)</w:t>
            </w:r>
          </w:p>
        </w:tc>
      </w:tr>
      <w:tr w14:paraId="3302A2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1310" w:type="dxa"/>
            <w:noWrap w:val="0"/>
            <w:vAlign w:val="top"/>
          </w:tcPr>
          <w:p w14:paraId="5545CCA6">
            <w:pPr>
              <w:spacing w:line="259" w:lineRule="auto"/>
              <w:rPr>
                <w:rFonts w:hint="eastAsia" w:ascii="宋体" w:hAnsi="宋体" w:cs="宋体"/>
                <w:color w:val="auto"/>
                <w:highlight w:val="none"/>
              </w:rPr>
            </w:pPr>
          </w:p>
          <w:p w14:paraId="5025CA3B">
            <w:pPr>
              <w:spacing w:line="260" w:lineRule="auto"/>
              <w:rPr>
                <w:rFonts w:hint="eastAsia" w:ascii="宋体" w:hAnsi="宋体" w:cs="宋体"/>
                <w:color w:val="auto"/>
                <w:highlight w:val="none"/>
              </w:rPr>
            </w:pPr>
          </w:p>
          <w:p w14:paraId="694DB15A">
            <w:pPr>
              <w:spacing w:line="260" w:lineRule="auto"/>
              <w:rPr>
                <w:rFonts w:hint="eastAsia" w:ascii="宋体" w:hAnsi="宋体" w:cs="宋体"/>
                <w:color w:val="auto"/>
                <w:highlight w:val="none"/>
              </w:rPr>
            </w:pPr>
          </w:p>
          <w:p w14:paraId="7170037A">
            <w:pPr>
              <w:spacing w:before="65" w:line="226" w:lineRule="auto"/>
              <w:ind w:left="462"/>
              <w:rPr>
                <w:rFonts w:hint="eastAsia" w:ascii="宋体" w:hAnsi="宋体" w:cs="宋体"/>
                <w:color w:val="auto"/>
                <w:spacing w:val="8"/>
                <w:highlight w:val="none"/>
              </w:rPr>
            </w:pPr>
          </w:p>
          <w:p w14:paraId="33948DFF">
            <w:pPr>
              <w:spacing w:before="65" w:line="226" w:lineRule="auto"/>
              <w:ind w:left="462"/>
              <w:rPr>
                <w:rFonts w:hint="eastAsia" w:ascii="宋体" w:hAnsi="宋体" w:cs="宋体"/>
                <w:color w:val="auto"/>
                <w:spacing w:val="8"/>
                <w:highlight w:val="none"/>
              </w:rPr>
            </w:pPr>
          </w:p>
          <w:p w14:paraId="23E78022">
            <w:pPr>
              <w:spacing w:before="65" w:line="226" w:lineRule="auto"/>
              <w:ind w:left="462"/>
              <w:rPr>
                <w:rFonts w:hint="eastAsia" w:ascii="宋体" w:hAnsi="宋体" w:cs="宋体"/>
                <w:color w:val="auto"/>
                <w:spacing w:val="8"/>
                <w:highlight w:val="none"/>
              </w:rPr>
            </w:pPr>
          </w:p>
          <w:p w14:paraId="5835EE20">
            <w:pPr>
              <w:spacing w:before="65" w:line="226" w:lineRule="auto"/>
              <w:ind w:firstLine="226" w:firstLineChars="100"/>
              <w:rPr>
                <w:rFonts w:hint="eastAsia" w:ascii="宋体" w:hAnsi="宋体" w:cs="宋体"/>
                <w:color w:val="auto"/>
                <w:highlight w:val="none"/>
              </w:rPr>
            </w:pPr>
            <w:r>
              <w:rPr>
                <w:rFonts w:hint="eastAsia" w:ascii="宋体" w:hAnsi="宋体" w:cs="宋体"/>
                <w:color w:val="auto"/>
                <w:spacing w:val="8"/>
                <w:highlight w:val="none"/>
              </w:rPr>
              <w:t>投标报</w:t>
            </w:r>
            <w:r>
              <w:rPr>
                <w:rFonts w:hint="eastAsia" w:ascii="宋体" w:hAnsi="宋体" w:cs="宋体"/>
                <w:color w:val="auto"/>
                <w:spacing w:val="7"/>
                <w:highlight w:val="none"/>
              </w:rPr>
              <w:t>价</w:t>
            </w:r>
          </w:p>
        </w:tc>
        <w:tc>
          <w:tcPr>
            <w:tcW w:w="833" w:type="dxa"/>
            <w:noWrap w:val="0"/>
            <w:vAlign w:val="top"/>
          </w:tcPr>
          <w:p w14:paraId="4A23391D">
            <w:pPr>
              <w:spacing w:line="270" w:lineRule="auto"/>
              <w:rPr>
                <w:rFonts w:hint="eastAsia" w:ascii="宋体" w:hAnsi="宋体" w:cs="宋体"/>
                <w:color w:val="auto"/>
                <w:highlight w:val="none"/>
              </w:rPr>
            </w:pPr>
          </w:p>
          <w:p w14:paraId="6173E403">
            <w:pPr>
              <w:spacing w:line="271" w:lineRule="auto"/>
              <w:rPr>
                <w:rFonts w:hint="eastAsia" w:ascii="宋体" w:hAnsi="宋体" w:cs="宋体"/>
                <w:color w:val="auto"/>
                <w:highlight w:val="none"/>
              </w:rPr>
            </w:pPr>
          </w:p>
          <w:p w14:paraId="381C4CFC">
            <w:pPr>
              <w:spacing w:line="271" w:lineRule="auto"/>
              <w:rPr>
                <w:rFonts w:hint="eastAsia" w:ascii="宋体" w:hAnsi="宋体" w:cs="宋体"/>
                <w:color w:val="auto"/>
                <w:highlight w:val="none"/>
              </w:rPr>
            </w:pPr>
          </w:p>
          <w:p w14:paraId="77D491C6">
            <w:pPr>
              <w:spacing w:before="65" w:line="190" w:lineRule="auto"/>
              <w:ind w:left="227"/>
              <w:rPr>
                <w:rFonts w:hint="eastAsia" w:ascii="宋体" w:hAnsi="宋体" w:cs="宋体"/>
                <w:color w:val="auto"/>
                <w:spacing w:val="-2"/>
                <w:highlight w:val="none"/>
              </w:rPr>
            </w:pPr>
          </w:p>
          <w:p w14:paraId="7DE84F8C">
            <w:pPr>
              <w:spacing w:before="65" w:line="190" w:lineRule="auto"/>
              <w:ind w:left="227"/>
              <w:rPr>
                <w:rFonts w:hint="eastAsia" w:ascii="宋体" w:hAnsi="宋体" w:cs="宋体"/>
                <w:color w:val="auto"/>
                <w:spacing w:val="-2"/>
                <w:highlight w:val="none"/>
              </w:rPr>
            </w:pPr>
          </w:p>
          <w:p w14:paraId="403BA82F">
            <w:pPr>
              <w:spacing w:before="65" w:line="190" w:lineRule="auto"/>
              <w:ind w:left="227"/>
              <w:rPr>
                <w:rFonts w:hint="eastAsia" w:ascii="宋体" w:hAnsi="宋体" w:cs="宋体"/>
                <w:color w:val="auto"/>
                <w:spacing w:val="-2"/>
                <w:highlight w:val="none"/>
              </w:rPr>
            </w:pPr>
          </w:p>
          <w:p w14:paraId="39BE7A30">
            <w:pPr>
              <w:spacing w:before="65" w:line="190" w:lineRule="auto"/>
              <w:jc w:val="center"/>
              <w:rPr>
                <w:rFonts w:hint="default" w:ascii="宋体" w:hAnsi="宋体" w:cs="宋体"/>
                <w:color w:val="auto"/>
                <w:highlight w:val="none"/>
                <w:lang w:val="en-US"/>
              </w:rPr>
            </w:pPr>
            <w:r>
              <w:rPr>
                <w:rFonts w:hint="eastAsia" w:ascii="宋体" w:hAnsi="宋体" w:cs="宋体"/>
                <w:color w:val="auto"/>
                <w:highlight w:val="none"/>
                <w:lang w:val="en-US" w:eastAsia="zh-CN"/>
              </w:rPr>
              <w:t>28</w:t>
            </w:r>
          </w:p>
        </w:tc>
        <w:tc>
          <w:tcPr>
            <w:tcW w:w="7121" w:type="dxa"/>
            <w:noWrap w:val="0"/>
            <w:vAlign w:val="top"/>
          </w:tcPr>
          <w:p w14:paraId="23F1077A">
            <w:pPr>
              <w:spacing w:before="33" w:line="301" w:lineRule="auto"/>
              <w:ind w:left="113" w:right="108"/>
              <w:rPr>
                <w:rFonts w:hint="eastAsia" w:ascii="宋体" w:hAnsi="宋体" w:cs="宋体"/>
                <w:color w:val="auto"/>
                <w:highlight w:val="none"/>
              </w:rPr>
            </w:pPr>
            <w:r>
              <w:rPr>
                <w:rFonts w:hint="eastAsia" w:ascii="宋体" w:hAnsi="宋体" w:cs="宋体"/>
                <w:color w:val="auto"/>
                <w:spacing w:val="9"/>
                <w:highlight w:val="none"/>
              </w:rPr>
              <w:t>价格分采用低价优先法计算，即满足招标文件要求且投标价格最低的投标</w:t>
            </w:r>
            <w:r>
              <w:rPr>
                <w:rFonts w:hint="eastAsia" w:ascii="宋体" w:hAnsi="宋体" w:cs="宋体"/>
                <w:color w:val="auto"/>
                <w:spacing w:val="5"/>
                <w:highlight w:val="none"/>
              </w:rPr>
              <w:t>报</w:t>
            </w:r>
            <w:r>
              <w:rPr>
                <w:rFonts w:hint="eastAsia" w:ascii="宋体" w:hAnsi="宋体" w:cs="宋体"/>
                <w:color w:val="auto"/>
                <w:spacing w:val="14"/>
                <w:highlight w:val="none"/>
              </w:rPr>
              <w:t>价</w:t>
            </w:r>
            <w:r>
              <w:rPr>
                <w:rFonts w:hint="eastAsia" w:ascii="宋体" w:hAnsi="宋体" w:cs="宋体"/>
                <w:color w:val="auto"/>
                <w:spacing w:val="9"/>
                <w:highlight w:val="none"/>
              </w:rPr>
              <w:t>为评标基准价，其他供应商的价格分按照下列公式计算：</w:t>
            </w:r>
          </w:p>
          <w:p w14:paraId="3359FE5E">
            <w:pPr>
              <w:spacing w:before="33" w:line="301" w:lineRule="auto"/>
              <w:ind w:left="113" w:right="108"/>
              <w:rPr>
                <w:rFonts w:hint="eastAsia" w:ascii="宋体" w:hAnsi="宋体" w:cs="宋体"/>
                <w:b/>
                <w:bCs/>
                <w:color w:val="auto"/>
                <w:spacing w:val="9"/>
                <w:highlight w:val="none"/>
              </w:rPr>
            </w:pPr>
            <w:r>
              <w:rPr>
                <w:rFonts w:hint="eastAsia" w:ascii="宋体" w:hAnsi="宋体" w:cs="宋体"/>
                <w:color w:val="auto"/>
                <w:spacing w:val="16"/>
                <w:highlight w:val="none"/>
              </w:rPr>
              <w:t>价格分</w:t>
            </w:r>
            <w:r>
              <w:rPr>
                <w:rFonts w:hint="eastAsia" w:ascii="宋体" w:hAnsi="宋体" w:cs="宋体"/>
                <w:color w:val="auto"/>
                <w:spacing w:val="8"/>
                <w:highlight w:val="none"/>
              </w:rPr>
              <w:t>= (评标基准价/投标报价)×</w:t>
            </w:r>
            <w:r>
              <w:rPr>
                <w:rFonts w:hint="eastAsia" w:ascii="宋体" w:hAnsi="宋体" w:cs="宋体"/>
                <w:color w:val="auto"/>
                <w:spacing w:val="8"/>
                <w:highlight w:val="none"/>
                <w:lang w:val="en-US" w:eastAsia="zh-CN"/>
              </w:rPr>
              <w:t>28</w:t>
            </w:r>
            <w:r>
              <w:rPr>
                <w:rFonts w:hint="eastAsia" w:ascii="宋体" w:hAnsi="宋体" w:cs="宋体"/>
                <w:color w:val="auto"/>
                <w:spacing w:val="8"/>
                <w:highlight w:val="none"/>
              </w:rPr>
              <w:t>，得分数值保留两位小数。</w:t>
            </w:r>
            <w:r>
              <w:rPr>
                <w:rFonts w:hint="eastAsia" w:ascii="宋体" w:hAnsi="宋体" w:cs="宋体"/>
                <w:color w:val="auto"/>
                <w:highlight w:val="none"/>
              </w:rPr>
              <w:t xml:space="preserve">  </w:t>
            </w:r>
            <w:r>
              <w:rPr>
                <w:rFonts w:hint="eastAsia" w:ascii="宋体" w:hAnsi="宋体" w:cs="宋体"/>
                <w:color w:val="auto"/>
                <w:spacing w:val="12"/>
                <w:highlight w:val="none"/>
              </w:rPr>
              <w:t>注</w:t>
            </w:r>
            <w:r>
              <w:rPr>
                <w:rFonts w:hint="eastAsia" w:ascii="宋体" w:hAnsi="宋体" w:cs="宋体"/>
                <w:color w:val="auto"/>
                <w:spacing w:val="9"/>
                <w:highlight w:val="none"/>
              </w:rPr>
              <w:t>：</w:t>
            </w:r>
            <w:r>
              <w:rPr>
                <w:rFonts w:hint="eastAsia" w:ascii="宋体" w:hAnsi="宋体" w:cs="宋体"/>
                <w:b/>
                <w:bCs/>
                <w:color w:val="auto"/>
                <w:highlight w:val="none"/>
              </w:rPr>
              <w:t>对小型和微型企业服务的价格给予20%的扣除</w:t>
            </w:r>
            <w:r>
              <w:rPr>
                <w:rFonts w:hint="eastAsia" w:ascii="宋体" w:hAnsi="宋体" w:cs="宋体"/>
                <w:b/>
                <w:bCs/>
                <w:color w:val="auto"/>
                <w:spacing w:val="9"/>
                <w:highlight w:val="none"/>
              </w:rPr>
              <w:t>，用扣除后的价格参与评审(因落实政府采购政策进行价格调整的，以调整后的价格计算评标基准价和投标报价)，如有虚假，将按照《中华人民共和国政府采购法》第七十七条依法承担相应责任。</w:t>
            </w:r>
          </w:p>
          <w:p w14:paraId="2B1204EF">
            <w:pPr>
              <w:spacing w:line="301" w:lineRule="auto"/>
              <w:ind w:left="113" w:right="108"/>
              <w:rPr>
                <w:rFonts w:hint="eastAsia" w:ascii="宋体" w:hAnsi="宋体" w:cs="宋体"/>
                <w:b/>
                <w:bCs/>
                <w:color w:val="auto"/>
                <w:spacing w:val="9"/>
                <w:highlight w:val="none"/>
              </w:rPr>
            </w:pPr>
            <w:r>
              <w:rPr>
                <w:rFonts w:hint="eastAsia" w:ascii="宋体" w:hAnsi="宋体" w:cs="宋体"/>
                <w:b/>
                <w:bCs/>
                <w:color w:val="auto"/>
                <w:spacing w:val="9"/>
                <w:highlight w:val="none"/>
              </w:rPr>
              <w:t>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51C938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9264" w:type="dxa"/>
            <w:gridSpan w:val="3"/>
            <w:noWrap w:val="0"/>
            <w:vAlign w:val="top"/>
          </w:tcPr>
          <w:p w14:paraId="390ED909">
            <w:pPr>
              <w:spacing w:before="30" w:line="228" w:lineRule="auto"/>
              <w:ind w:left="120"/>
              <w:rPr>
                <w:rFonts w:hint="eastAsia" w:ascii="宋体" w:hAnsi="宋体" w:cs="宋体"/>
                <w:color w:val="auto"/>
                <w:highlight w:val="none"/>
              </w:rPr>
            </w:pPr>
            <w:r>
              <w:rPr>
                <w:rFonts w:hint="eastAsia" w:ascii="宋体" w:hAnsi="宋体" w:cs="宋体"/>
                <w:b/>
                <w:bCs/>
                <w:color w:val="auto"/>
                <w:spacing w:val="7"/>
                <w:highlight w:val="none"/>
              </w:rPr>
              <w:t>商</w:t>
            </w:r>
            <w:r>
              <w:rPr>
                <w:rFonts w:hint="eastAsia" w:ascii="宋体" w:hAnsi="宋体" w:cs="宋体"/>
                <w:b/>
                <w:bCs/>
                <w:color w:val="auto"/>
                <w:spacing w:val="5"/>
                <w:highlight w:val="none"/>
              </w:rPr>
              <w:t>务分 (</w:t>
            </w:r>
            <w:r>
              <w:rPr>
                <w:rFonts w:hint="eastAsia" w:ascii="宋体" w:hAnsi="宋体" w:cs="宋体"/>
                <w:b/>
                <w:bCs/>
                <w:color w:val="auto"/>
                <w:spacing w:val="5"/>
                <w:highlight w:val="none"/>
                <w:lang w:val="en-US" w:eastAsia="zh-CN"/>
              </w:rPr>
              <w:t>10</w:t>
            </w:r>
            <w:r>
              <w:rPr>
                <w:rFonts w:hint="eastAsia" w:ascii="宋体" w:hAnsi="宋体" w:cs="宋体"/>
                <w:b/>
                <w:bCs/>
                <w:color w:val="auto"/>
                <w:spacing w:val="5"/>
                <w:highlight w:val="none"/>
              </w:rPr>
              <w:t>)</w:t>
            </w:r>
          </w:p>
        </w:tc>
      </w:tr>
      <w:tr w14:paraId="7364D0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1" w:hRule="atLeast"/>
        </w:trPr>
        <w:tc>
          <w:tcPr>
            <w:tcW w:w="1310" w:type="dxa"/>
            <w:noWrap w:val="0"/>
            <w:vAlign w:val="top"/>
          </w:tcPr>
          <w:p w14:paraId="75C8301A">
            <w:pPr>
              <w:spacing w:line="295" w:lineRule="auto"/>
              <w:rPr>
                <w:rFonts w:hint="eastAsia" w:ascii="宋体" w:hAnsi="宋体" w:cs="宋体"/>
                <w:b/>
                <w:bCs/>
                <w:color w:val="auto"/>
                <w:highlight w:val="none"/>
              </w:rPr>
            </w:pPr>
          </w:p>
          <w:p w14:paraId="180BDCC4">
            <w:pPr>
              <w:spacing w:before="65" w:line="228" w:lineRule="auto"/>
              <w:ind w:left="463"/>
              <w:rPr>
                <w:rFonts w:hint="eastAsia" w:ascii="宋体" w:hAnsi="宋体" w:cs="宋体"/>
                <w:b/>
                <w:bCs/>
                <w:color w:val="auto"/>
                <w:spacing w:val="10"/>
                <w:highlight w:val="none"/>
              </w:rPr>
            </w:pPr>
          </w:p>
          <w:p w14:paraId="3A18A314">
            <w:pPr>
              <w:spacing w:before="65" w:line="228" w:lineRule="auto"/>
              <w:ind w:firstLine="230"/>
              <w:rPr>
                <w:rFonts w:hint="eastAsia" w:ascii="宋体" w:hAnsi="宋体" w:cs="宋体"/>
                <w:b/>
                <w:bCs/>
                <w:color w:val="auto"/>
                <w:highlight w:val="none"/>
              </w:rPr>
            </w:pPr>
            <w:r>
              <w:rPr>
                <w:rFonts w:hint="eastAsia" w:ascii="宋体" w:hAnsi="宋体" w:cs="宋体"/>
                <w:b/>
                <w:bCs/>
                <w:color w:val="auto"/>
                <w:spacing w:val="10"/>
                <w:highlight w:val="none"/>
              </w:rPr>
              <w:t>业务能力</w:t>
            </w:r>
          </w:p>
        </w:tc>
        <w:tc>
          <w:tcPr>
            <w:tcW w:w="833" w:type="dxa"/>
            <w:noWrap w:val="0"/>
            <w:vAlign w:val="top"/>
          </w:tcPr>
          <w:p w14:paraId="5D74F0C9">
            <w:pPr>
              <w:spacing w:before="65" w:line="190" w:lineRule="auto"/>
              <w:ind w:left="227"/>
              <w:jc w:val="center"/>
              <w:rPr>
                <w:rFonts w:hint="eastAsia" w:ascii="宋体" w:hAnsi="宋体" w:cs="宋体"/>
                <w:b/>
                <w:bCs/>
                <w:color w:val="auto"/>
                <w:highlight w:val="none"/>
                <w:lang w:val="en-US" w:eastAsia="zh-CN"/>
              </w:rPr>
            </w:pPr>
          </w:p>
          <w:p w14:paraId="3D9223CD">
            <w:pPr>
              <w:spacing w:before="65" w:line="190" w:lineRule="auto"/>
              <w:ind w:left="227"/>
              <w:jc w:val="center"/>
              <w:rPr>
                <w:rFonts w:hint="eastAsia" w:ascii="宋体" w:hAnsi="宋体" w:cs="宋体"/>
                <w:b/>
                <w:bCs/>
                <w:color w:val="auto"/>
                <w:highlight w:val="none"/>
                <w:lang w:val="en-US" w:eastAsia="zh-CN"/>
              </w:rPr>
            </w:pPr>
          </w:p>
          <w:p w14:paraId="7FDD1906">
            <w:pPr>
              <w:spacing w:before="65" w:line="190" w:lineRule="auto"/>
              <w:jc w:val="center"/>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2</w:t>
            </w:r>
          </w:p>
        </w:tc>
        <w:tc>
          <w:tcPr>
            <w:tcW w:w="7121" w:type="dxa"/>
            <w:noWrap w:val="0"/>
            <w:vAlign w:val="top"/>
          </w:tcPr>
          <w:p w14:paraId="5D97F072">
            <w:pPr>
              <w:spacing w:before="99" w:line="287" w:lineRule="auto"/>
              <w:ind w:right="106"/>
              <w:rPr>
                <w:rFonts w:hint="eastAsia" w:ascii="宋体" w:hAnsi="宋体" w:cs="宋体"/>
                <w:b/>
                <w:bCs/>
                <w:color w:val="auto"/>
                <w:highlight w:val="none"/>
              </w:rPr>
            </w:pPr>
            <w:r>
              <w:rPr>
                <w:rFonts w:hint="eastAsia" w:ascii="宋体" w:hAnsi="宋体" w:cs="宋体"/>
                <w:b/>
                <w:bCs/>
                <w:color w:val="auto"/>
                <w:highlight w:val="none"/>
              </w:rPr>
              <w:t>投标人具有202</w:t>
            </w:r>
            <w:r>
              <w:rPr>
                <w:rFonts w:hint="eastAsia" w:ascii="宋体" w:hAnsi="宋体" w:cs="宋体"/>
                <w:b/>
                <w:bCs/>
                <w:color w:val="auto"/>
                <w:highlight w:val="none"/>
                <w:lang w:val="en-US" w:eastAsia="zh-CN"/>
              </w:rPr>
              <w:t>1</w:t>
            </w:r>
            <w:r>
              <w:rPr>
                <w:rFonts w:hint="eastAsia" w:ascii="宋体" w:hAnsi="宋体" w:cs="宋体"/>
                <w:b/>
                <w:bCs/>
                <w:color w:val="auto"/>
                <w:highlight w:val="none"/>
              </w:rPr>
              <w:t>年1月1日以来（</w:t>
            </w:r>
            <w:r>
              <w:rPr>
                <w:rFonts w:hint="eastAsia" w:ascii="宋体" w:hAnsi="宋体"/>
                <w:b/>
                <w:bCs/>
                <w:color w:val="auto"/>
                <w:highlight w:val="none"/>
              </w:rPr>
              <w:t>（以合同签订时间为准）</w:t>
            </w:r>
            <w:r>
              <w:rPr>
                <w:rFonts w:hint="eastAsia" w:ascii="宋体" w:hAnsi="宋体" w:cs="宋体"/>
                <w:b/>
                <w:bCs/>
                <w:color w:val="auto"/>
                <w:highlight w:val="none"/>
              </w:rPr>
              <w:t>骨干河道的打捞保洁合同，每提供一个得</w:t>
            </w:r>
            <w:r>
              <w:rPr>
                <w:rFonts w:hint="eastAsia" w:ascii="宋体" w:hAnsi="宋体" w:cs="宋体"/>
                <w:b/>
                <w:bCs/>
                <w:color w:val="auto"/>
                <w:highlight w:val="none"/>
                <w:lang w:val="en-US" w:eastAsia="zh-CN"/>
              </w:rPr>
              <w:t>1</w:t>
            </w:r>
            <w:r>
              <w:rPr>
                <w:rFonts w:hint="eastAsia" w:ascii="宋体" w:hAnsi="宋体" w:cs="宋体"/>
                <w:b/>
                <w:bCs/>
                <w:color w:val="auto"/>
                <w:highlight w:val="none"/>
              </w:rPr>
              <w:t>分，最高得</w:t>
            </w:r>
            <w:r>
              <w:rPr>
                <w:rFonts w:hint="eastAsia" w:ascii="宋体" w:hAnsi="宋体" w:cs="宋体"/>
                <w:b/>
                <w:bCs/>
                <w:color w:val="auto"/>
                <w:highlight w:val="none"/>
                <w:lang w:val="en-US" w:eastAsia="zh-CN"/>
              </w:rPr>
              <w:t>2</w:t>
            </w:r>
            <w:r>
              <w:rPr>
                <w:rFonts w:hint="eastAsia" w:ascii="宋体" w:hAnsi="宋体" w:cs="宋体"/>
                <w:b/>
                <w:bCs/>
                <w:color w:val="auto"/>
                <w:highlight w:val="none"/>
              </w:rPr>
              <w:t>分（投标时需提供河道等级证明材料（如</w:t>
            </w:r>
            <w:r>
              <w:rPr>
                <w:rFonts w:hint="eastAsia" w:ascii="宋体" w:hAnsi="宋体" w:cs="宋体"/>
                <w:b/>
                <w:bCs/>
                <w:color w:val="auto"/>
                <w:highlight w:val="none"/>
                <w:lang w:val="en-US" w:eastAsia="zh-CN"/>
              </w:rPr>
              <w:t>**</w:t>
            </w:r>
            <w:r>
              <w:rPr>
                <w:rFonts w:hint="eastAsia" w:ascii="宋体" w:hAnsi="宋体" w:cs="宋体"/>
                <w:b/>
                <w:bCs/>
                <w:color w:val="auto"/>
                <w:highlight w:val="none"/>
              </w:rPr>
              <w:t>省需提供《</w:t>
            </w:r>
            <w:r>
              <w:rPr>
                <w:rFonts w:hint="eastAsia" w:ascii="宋体" w:hAnsi="宋体" w:cs="宋体"/>
                <w:b/>
                <w:bCs/>
                <w:color w:val="auto"/>
                <w:highlight w:val="none"/>
                <w:lang w:val="en-US" w:eastAsia="zh-CN"/>
              </w:rPr>
              <w:t>**</w:t>
            </w:r>
            <w:r>
              <w:rPr>
                <w:rFonts w:hint="eastAsia" w:ascii="宋体" w:hAnsi="宋体" w:cs="宋体"/>
                <w:b/>
                <w:bCs/>
                <w:color w:val="auto"/>
                <w:highlight w:val="none"/>
              </w:rPr>
              <w:t>省骨干河道名录》）、中标通知书原件扫描件及合同的原件扫描件，未提供或提供不全的不得分）。</w:t>
            </w:r>
          </w:p>
        </w:tc>
      </w:tr>
      <w:tr w14:paraId="7A2205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6" w:hRule="atLeast"/>
        </w:trPr>
        <w:tc>
          <w:tcPr>
            <w:tcW w:w="1310" w:type="dxa"/>
            <w:noWrap w:val="0"/>
            <w:vAlign w:val="center"/>
          </w:tcPr>
          <w:p w14:paraId="7B7BF176">
            <w:pPr>
              <w:spacing w:before="65" w:line="228" w:lineRule="auto"/>
              <w:jc w:val="center"/>
              <w:rPr>
                <w:rFonts w:hint="eastAsia" w:ascii="宋体" w:hAnsi="宋体" w:eastAsia="宋体" w:cs="宋体"/>
                <w:b/>
                <w:bCs/>
                <w:color w:val="auto"/>
                <w:spacing w:val="10"/>
                <w:highlight w:val="none"/>
              </w:rPr>
            </w:pPr>
            <w:r>
              <w:rPr>
                <w:rFonts w:hint="eastAsia" w:ascii="宋体" w:hAnsi="宋体" w:eastAsia="宋体" w:cs="宋体"/>
                <w:b/>
                <w:bCs/>
                <w:color w:val="auto"/>
                <w:spacing w:val="10"/>
                <w:highlight w:val="none"/>
                <w:lang w:val="en-US" w:eastAsia="zh-CN"/>
              </w:rPr>
              <w:t>项目管理人员</w:t>
            </w:r>
          </w:p>
        </w:tc>
        <w:tc>
          <w:tcPr>
            <w:tcW w:w="833" w:type="dxa"/>
            <w:noWrap w:val="0"/>
            <w:vAlign w:val="center"/>
          </w:tcPr>
          <w:p w14:paraId="2A25281F">
            <w:pPr>
              <w:spacing w:before="65" w:line="190" w:lineRule="auto"/>
              <w:jc w:val="center"/>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4</w:t>
            </w:r>
          </w:p>
        </w:tc>
        <w:tc>
          <w:tcPr>
            <w:tcW w:w="7121" w:type="dxa"/>
            <w:noWrap w:val="0"/>
            <w:vAlign w:val="top"/>
          </w:tcPr>
          <w:p w14:paraId="7C03D1F8">
            <w:pPr>
              <w:numPr>
                <w:ilvl w:val="0"/>
                <w:numId w:val="0"/>
              </w:numPr>
              <w:spacing w:before="99" w:line="287" w:lineRule="auto"/>
              <w:ind w:left="114" w:right="106"/>
              <w:rPr>
                <w:rFonts w:hint="default"/>
                <w:b/>
                <w:bCs/>
                <w:color w:val="auto"/>
                <w:highlight w:val="none"/>
                <w:lang w:val="en-US"/>
              </w:rPr>
            </w:pPr>
            <w:r>
              <w:rPr>
                <w:rFonts w:hint="eastAsia" w:ascii="宋体" w:hAnsi="宋体" w:eastAsia="宋体" w:cs="宋体"/>
                <w:b/>
                <w:bCs/>
                <w:color w:val="auto"/>
                <w:sz w:val="21"/>
                <w:szCs w:val="21"/>
                <w:highlight w:val="none"/>
                <w:lang w:val="en-US" w:eastAsia="zh-CN"/>
              </w:rPr>
              <w:t>项目负责人承担类似项目无任何安全事故每提供一个得1分(建设单位出具</w:t>
            </w:r>
            <w:r>
              <w:rPr>
                <w:rFonts w:hint="eastAsia" w:ascii="宋体" w:hAnsi="宋体" w:cs="宋体"/>
                <w:b/>
                <w:bCs/>
                <w:color w:val="auto"/>
                <w:sz w:val="21"/>
                <w:szCs w:val="21"/>
                <w:highlight w:val="none"/>
                <w:lang w:val="en-US" w:eastAsia="zh-CN"/>
              </w:rPr>
              <w:t>的证明材料</w:t>
            </w:r>
            <w:r>
              <w:rPr>
                <w:rFonts w:hint="eastAsia" w:ascii="宋体" w:hAnsi="宋体" w:eastAsia="宋体" w:cs="宋体"/>
                <w:b/>
                <w:bCs/>
                <w:color w:val="auto"/>
                <w:sz w:val="21"/>
                <w:szCs w:val="21"/>
                <w:highlight w:val="none"/>
                <w:lang w:val="en-US" w:eastAsia="zh-CN"/>
              </w:rPr>
              <w:t>)，最高得</w:t>
            </w:r>
            <w:r>
              <w:rPr>
                <w:rFonts w:hint="eastAsia" w:ascii="宋体" w:hAnsi="宋体" w:cs="宋体"/>
                <w:b/>
                <w:bCs/>
                <w:color w:val="auto"/>
                <w:sz w:val="21"/>
                <w:szCs w:val="21"/>
                <w:highlight w:val="none"/>
                <w:lang w:val="en-US" w:eastAsia="zh-CN"/>
              </w:rPr>
              <w:t>4</w:t>
            </w:r>
            <w:r>
              <w:rPr>
                <w:rFonts w:hint="eastAsia" w:ascii="宋体" w:hAnsi="宋体" w:eastAsia="宋体" w:cs="宋体"/>
                <w:b/>
                <w:bCs/>
                <w:color w:val="auto"/>
                <w:sz w:val="21"/>
                <w:szCs w:val="21"/>
                <w:highlight w:val="none"/>
                <w:lang w:val="en-US" w:eastAsia="zh-CN"/>
              </w:rPr>
              <w:t>分</w:t>
            </w:r>
            <w:r>
              <w:rPr>
                <w:rFonts w:hint="eastAsia" w:ascii="宋体" w:hAnsi="宋体" w:cs="宋体"/>
                <w:b/>
                <w:bCs/>
                <w:color w:val="auto"/>
                <w:sz w:val="21"/>
                <w:szCs w:val="21"/>
                <w:highlight w:val="none"/>
                <w:lang w:val="en-US" w:eastAsia="zh-CN"/>
              </w:rPr>
              <w:t>。</w:t>
            </w:r>
          </w:p>
        </w:tc>
      </w:tr>
      <w:tr w14:paraId="67B818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310" w:type="dxa"/>
            <w:noWrap w:val="0"/>
            <w:vAlign w:val="top"/>
          </w:tcPr>
          <w:p w14:paraId="6B565B92">
            <w:pPr>
              <w:spacing w:before="65" w:line="228" w:lineRule="auto"/>
              <w:jc w:val="center"/>
              <w:rPr>
                <w:rFonts w:hint="eastAsia" w:ascii="宋体" w:hAnsi="宋体" w:cs="宋体"/>
                <w:color w:val="auto"/>
                <w:spacing w:val="10"/>
                <w:highlight w:val="none"/>
              </w:rPr>
            </w:pPr>
          </w:p>
          <w:p w14:paraId="6E8E7D39">
            <w:pPr>
              <w:spacing w:before="65" w:line="228" w:lineRule="auto"/>
              <w:jc w:val="center"/>
              <w:rPr>
                <w:rFonts w:hint="eastAsia" w:ascii="宋体" w:hAnsi="宋体" w:cs="宋体"/>
                <w:color w:val="auto"/>
                <w:spacing w:val="10"/>
                <w:highlight w:val="none"/>
              </w:rPr>
            </w:pPr>
          </w:p>
          <w:p w14:paraId="180292DC">
            <w:pPr>
              <w:spacing w:before="65" w:line="228" w:lineRule="auto"/>
              <w:jc w:val="center"/>
              <w:rPr>
                <w:rFonts w:hint="eastAsia" w:ascii="宋体" w:hAnsi="宋体" w:cs="宋体"/>
                <w:color w:val="auto"/>
                <w:sz w:val="21"/>
                <w:szCs w:val="21"/>
                <w:highlight w:val="none"/>
                <w:lang w:val="en-US" w:eastAsia="zh-CN" w:bidi="ar-SA"/>
              </w:rPr>
            </w:pPr>
            <w:r>
              <w:rPr>
                <w:rFonts w:hint="eastAsia" w:ascii="宋体" w:hAnsi="宋体" w:cs="宋体"/>
                <w:color w:val="auto"/>
                <w:spacing w:val="10"/>
                <w:highlight w:val="none"/>
              </w:rPr>
              <w:t>配</w:t>
            </w:r>
            <w:r>
              <w:rPr>
                <w:rFonts w:hint="eastAsia" w:ascii="宋体" w:hAnsi="宋体" w:cs="宋体"/>
                <w:color w:val="auto"/>
                <w:spacing w:val="8"/>
                <w:highlight w:val="none"/>
              </w:rPr>
              <w:t>置保障</w:t>
            </w:r>
          </w:p>
        </w:tc>
        <w:tc>
          <w:tcPr>
            <w:tcW w:w="833" w:type="dxa"/>
            <w:noWrap w:val="0"/>
            <w:vAlign w:val="top"/>
          </w:tcPr>
          <w:p w14:paraId="2A9E5C67">
            <w:pPr>
              <w:spacing w:before="65" w:line="190" w:lineRule="auto"/>
              <w:ind w:left="227"/>
              <w:jc w:val="center"/>
              <w:rPr>
                <w:rFonts w:hint="eastAsia" w:ascii="宋体" w:hAnsi="宋体" w:cs="宋体"/>
                <w:color w:val="auto"/>
                <w:highlight w:val="none"/>
                <w:lang w:val="en-US" w:eastAsia="zh-CN"/>
              </w:rPr>
            </w:pPr>
          </w:p>
          <w:p w14:paraId="7E56A50D">
            <w:pPr>
              <w:spacing w:before="65" w:line="190" w:lineRule="auto"/>
              <w:ind w:left="227"/>
              <w:jc w:val="center"/>
              <w:rPr>
                <w:rFonts w:hint="eastAsia" w:ascii="宋体" w:hAnsi="宋体" w:cs="宋体"/>
                <w:color w:val="auto"/>
                <w:highlight w:val="none"/>
                <w:lang w:val="en-US" w:eastAsia="zh-CN"/>
              </w:rPr>
            </w:pPr>
          </w:p>
          <w:p w14:paraId="47DBB6ED">
            <w:pPr>
              <w:spacing w:before="65" w:line="190" w:lineRule="auto"/>
              <w:ind w:left="227"/>
              <w:jc w:val="center"/>
              <w:rPr>
                <w:rFonts w:hint="default" w:ascii="宋体" w:hAnsi="宋体" w:cs="宋体"/>
                <w:color w:val="auto"/>
                <w:highlight w:val="none"/>
                <w:lang w:val="en-US" w:eastAsia="zh-CN"/>
              </w:rPr>
            </w:pPr>
          </w:p>
          <w:p w14:paraId="653B1A29">
            <w:pPr>
              <w:spacing w:before="65" w:line="190" w:lineRule="auto"/>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4</w:t>
            </w:r>
          </w:p>
        </w:tc>
        <w:tc>
          <w:tcPr>
            <w:tcW w:w="7121" w:type="dxa"/>
            <w:noWrap w:val="0"/>
            <w:vAlign w:val="top"/>
          </w:tcPr>
          <w:p w14:paraId="1754774E">
            <w:pPr>
              <w:numPr>
                <w:ilvl w:val="0"/>
                <w:numId w:val="0"/>
              </w:numPr>
              <w:spacing w:before="99" w:line="287" w:lineRule="auto"/>
              <w:ind w:left="114" w:right="106" w:firstLine="0"/>
              <w:rPr>
                <w:rFonts w:hint="eastAsia"/>
                <w:color w:val="auto"/>
                <w:sz w:val="21"/>
                <w:szCs w:val="21"/>
                <w:highlight w:val="none"/>
                <w:lang w:val="en-US" w:eastAsia="zh-CN" w:bidi="ar-SA"/>
              </w:rPr>
            </w:pPr>
            <w:r>
              <w:rPr>
                <w:rFonts w:hint="eastAsia"/>
                <w:color w:val="auto"/>
                <w:highlight w:val="none"/>
              </w:rPr>
              <w:t>投标人另外配备全自动</w:t>
            </w:r>
            <w:r>
              <w:rPr>
                <w:rFonts w:hint="eastAsia" w:ascii="Times New Roman" w:hAnsi="Times New Roman" w:eastAsia="宋体" w:cs="Times New Roman"/>
                <w:color w:val="auto"/>
                <w:highlight w:val="none"/>
                <w:lang w:eastAsia="zh-CN"/>
              </w:rPr>
              <w:t>打捞</w:t>
            </w:r>
            <w:r>
              <w:rPr>
                <w:rFonts w:hint="eastAsia"/>
                <w:color w:val="auto"/>
                <w:highlight w:val="none"/>
              </w:rPr>
              <w:t>保洁船，每提供一艘</w:t>
            </w:r>
            <w:r>
              <w:rPr>
                <w:rFonts w:hint="eastAsia"/>
                <w:color w:val="auto"/>
                <w:highlight w:val="none"/>
                <w:lang w:val="en-US" w:eastAsia="zh-CN"/>
              </w:rPr>
              <w:t>保洁船并</w:t>
            </w:r>
            <w:r>
              <w:rPr>
                <w:rFonts w:hint="eastAsia"/>
                <w:b/>
                <w:bCs/>
                <w:color w:val="auto"/>
                <w:highlight w:val="none"/>
                <w:lang w:val="en-US" w:eastAsia="zh-CN"/>
              </w:rPr>
              <w:t>同时</w:t>
            </w:r>
            <w:r>
              <w:rPr>
                <w:rFonts w:hint="eastAsia"/>
                <w:color w:val="auto"/>
                <w:highlight w:val="none"/>
                <w:lang w:val="en-US" w:eastAsia="zh-CN"/>
              </w:rPr>
              <w:t>提供一名</w:t>
            </w:r>
            <w:r>
              <w:rPr>
                <w:rFonts w:hint="eastAsia" w:ascii="宋体" w:hAnsi="宋体" w:eastAsia="宋体"/>
                <w:b/>
                <w:bCs/>
                <w:color w:val="auto"/>
                <w:sz w:val="21"/>
                <w:szCs w:val="24"/>
                <w:highlight w:val="none"/>
              </w:rPr>
              <w:t>操作人员</w:t>
            </w:r>
            <w:r>
              <w:rPr>
                <w:rFonts w:hint="eastAsia" w:ascii="宋体" w:hAnsi="宋体"/>
                <w:b/>
                <w:bCs/>
                <w:color w:val="auto"/>
                <w:sz w:val="21"/>
                <w:szCs w:val="24"/>
                <w:highlight w:val="none"/>
                <w:lang w:val="en-US" w:eastAsia="zh-CN"/>
              </w:rPr>
              <w:t>且操作人员</w:t>
            </w:r>
            <w:r>
              <w:rPr>
                <w:rFonts w:hint="eastAsia" w:ascii="宋体" w:hAnsi="宋体" w:eastAsia="宋体"/>
                <w:b/>
                <w:bCs/>
                <w:color w:val="auto"/>
                <w:sz w:val="21"/>
                <w:szCs w:val="24"/>
                <w:highlight w:val="none"/>
              </w:rPr>
              <w:t>须具有市级及以上地方海事局颁发的《内河船舶船员适任证书》</w:t>
            </w:r>
            <w:r>
              <w:rPr>
                <w:rFonts w:hint="eastAsia" w:ascii="宋体" w:hAnsi="宋体"/>
                <w:b/>
                <w:bCs/>
                <w:color w:val="auto"/>
                <w:sz w:val="21"/>
                <w:szCs w:val="24"/>
                <w:highlight w:val="none"/>
                <w:lang w:val="en-US" w:eastAsia="zh-CN"/>
              </w:rPr>
              <w:t>的得</w:t>
            </w:r>
            <w:r>
              <w:rPr>
                <w:rFonts w:hint="eastAsia"/>
                <w:color w:val="auto"/>
                <w:highlight w:val="none"/>
                <w:lang w:val="en-US" w:eastAsia="zh-CN"/>
              </w:rPr>
              <w:t>2</w:t>
            </w:r>
            <w:r>
              <w:rPr>
                <w:rFonts w:hint="eastAsia"/>
                <w:color w:val="auto"/>
                <w:highlight w:val="none"/>
              </w:rPr>
              <w:t>分</w:t>
            </w:r>
            <w:r>
              <w:rPr>
                <w:rFonts w:hint="eastAsia"/>
                <w:color w:val="auto"/>
                <w:highlight w:val="none"/>
                <w:lang w:eastAsia="zh-CN"/>
              </w:rPr>
              <w:t>，</w:t>
            </w:r>
            <w:r>
              <w:rPr>
                <w:rFonts w:hint="eastAsia"/>
                <w:b/>
                <w:bCs/>
                <w:color w:val="auto"/>
                <w:highlight w:val="none"/>
                <w:lang w:val="en-US" w:eastAsia="zh-CN"/>
              </w:rPr>
              <w:t>二者缺一不得分</w:t>
            </w:r>
            <w:r>
              <w:rPr>
                <w:rFonts w:hint="eastAsia"/>
                <w:color w:val="auto"/>
                <w:highlight w:val="none"/>
              </w:rPr>
              <w:t>，最高得</w:t>
            </w:r>
            <w:r>
              <w:rPr>
                <w:rFonts w:hint="eastAsia"/>
                <w:color w:val="auto"/>
                <w:highlight w:val="none"/>
                <w:lang w:val="en-US" w:eastAsia="zh-CN"/>
              </w:rPr>
              <w:t>4</w:t>
            </w:r>
            <w:r>
              <w:rPr>
                <w:rFonts w:hint="eastAsia"/>
                <w:color w:val="auto"/>
                <w:highlight w:val="none"/>
              </w:rPr>
              <w:t>分（提供自购发票原件</w:t>
            </w:r>
            <w:r>
              <w:rPr>
                <w:rFonts w:hint="eastAsia"/>
                <w:color w:val="auto"/>
                <w:highlight w:val="none"/>
                <w:lang w:eastAsia="zh-CN"/>
              </w:rPr>
              <w:t>扫描件或</w:t>
            </w:r>
            <w:r>
              <w:rPr>
                <w:rFonts w:hint="eastAsia"/>
                <w:color w:val="auto"/>
                <w:highlight w:val="none"/>
              </w:rPr>
              <w:t>租赁合同</w:t>
            </w:r>
            <w:r>
              <w:rPr>
                <w:rFonts w:hint="eastAsia"/>
                <w:color w:val="auto"/>
                <w:highlight w:val="none"/>
                <w:lang w:eastAsia="zh-CN"/>
              </w:rPr>
              <w:t>原件扫描件</w:t>
            </w:r>
            <w:r>
              <w:rPr>
                <w:rFonts w:hint="eastAsia"/>
                <w:color w:val="auto"/>
                <w:highlight w:val="none"/>
              </w:rPr>
              <w:t>及所租赁物的购买发票原件</w:t>
            </w:r>
            <w:r>
              <w:rPr>
                <w:rFonts w:hint="eastAsia"/>
                <w:color w:val="auto"/>
                <w:highlight w:val="none"/>
                <w:lang w:eastAsia="zh-CN"/>
              </w:rPr>
              <w:t>扫描件，</w:t>
            </w:r>
            <w:r>
              <w:rPr>
                <w:rFonts w:hint="eastAsia"/>
                <w:color w:val="auto"/>
                <w:highlight w:val="none"/>
              </w:rPr>
              <w:t>还需提供船只发动机编号清晰照片</w:t>
            </w:r>
            <w:r>
              <w:rPr>
                <w:rFonts w:hint="eastAsia"/>
                <w:color w:val="auto"/>
                <w:highlight w:val="none"/>
                <w:lang w:eastAsia="zh-CN"/>
              </w:rPr>
              <w:t>及市级及以上地方海事部门颁发的相关检验证书或出厂合格证明材料，</w:t>
            </w:r>
            <w:r>
              <w:rPr>
                <w:rFonts w:hint="eastAsia"/>
                <w:color w:val="auto"/>
                <w:highlight w:val="none"/>
              </w:rPr>
              <w:t>未提供相关材料或提供不全的不得分）。</w:t>
            </w:r>
          </w:p>
        </w:tc>
      </w:tr>
      <w:tr w14:paraId="207416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9264" w:type="dxa"/>
            <w:gridSpan w:val="3"/>
            <w:noWrap w:val="0"/>
            <w:vAlign w:val="top"/>
          </w:tcPr>
          <w:p w14:paraId="2C70D20A">
            <w:pPr>
              <w:spacing w:before="33" w:line="228" w:lineRule="auto"/>
              <w:rPr>
                <w:rFonts w:hint="eastAsia" w:ascii="宋体" w:hAnsi="宋体" w:cs="宋体"/>
                <w:color w:val="auto"/>
                <w:highlight w:val="none"/>
              </w:rPr>
            </w:pPr>
            <w:r>
              <w:rPr>
                <w:rFonts w:hint="eastAsia" w:ascii="宋体" w:hAnsi="宋体" w:cs="宋体"/>
                <w:b/>
                <w:bCs/>
                <w:color w:val="auto"/>
                <w:spacing w:val="8"/>
                <w:highlight w:val="none"/>
              </w:rPr>
              <w:t>技术分（</w:t>
            </w:r>
            <w:r>
              <w:rPr>
                <w:rFonts w:hint="eastAsia" w:ascii="宋体" w:hAnsi="宋体" w:cs="宋体"/>
                <w:b/>
                <w:bCs/>
                <w:color w:val="auto"/>
                <w:spacing w:val="8"/>
                <w:highlight w:val="none"/>
                <w:lang w:val="en-US" w:eastAsia="zh-CN"/>
              </w:rPr>
              <w:t>61</w:t>
            </w:r>
            <w:r>
              <w:rPr>
                <w:rFonts w:hint="eastAsia" w:ascii="宋体" w:hAnsi="宋体" w:cs="宋体"/>
                <w:b/>
                <w:bCs/>
                <w:color w:val="auto"/>
                <w:spacing w:val="8"/>
                <w:highlight w:val="none"/>
              </w:rPr>
              <w:t>）</w:t>
            </w:r>
          </w:p>
        </w:tc>
      </w:tr>
      <w:tr w14:paraId="579776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310" w:type="dxa"/>
            <w:noWrap w:val="0"/>
            <w:vAlign w:val="top"/>
          </w:tcPr>
          <w:p w14:paraId="5EA237B7">
            <w:pPr>
              <w:spacing w:line="277" w:lineRule="auto"/>
              <w:rPr>
                <w:rFonts w:hint="eastAsia" w:ascii="宋体" w:hAnsi="宋体" w:eastAsia="宋体" w:cs="宋体"/>
                <w:color w:val="auto"/>
                <w:sz w:val="21"/>
                <w:szCs w:val="21"/>
                <w:highlight w:val="none"/>
              </w:rPr>
            </w:pPr>
          </w:p>
          <w:p w14:paraId="7CBC9281">
            <w:pPr>
              <w:spacing w:before="65" w:line="228" w:lineRule="auto"/>
              <w:ind w:left="150" w:leftChars="0"/>
              <w:jc w:val="center"/>
              <w:rPr>
                <w:rFonts w:hint="eastAsia" w:ascii="宋体" w:hAnsi="宋体" w:cs="宋体"/>
                <w:color w:val="auto"/>
                <w:highlight w:val="none"/>
              </w:rPr>
            </w:pPr>
            <w:r>
              <w:rPr>
                <w:rFonts w:hint="eastAsia" w:ascii="宋体" w:hAnsi="宋体" w:eastAsia="宋体" w:cs="宋体"/>
                <w:color w:val="auto"/>
                <w:spacing w:val="12"/>
                <w:sz w:val="21"/>
                <w:szCs w:val="21"/>
                <w:highlight w:val="none"/>
              </w:rPr>
              <w:t>管</w:t>
            </w:r>
            <w:r>
              <w:rPr>
                <w:rFonts w:hint="eastAsia" w:ascii="宋体" w:hAnsi="宋体" w:eastAsia="宋体" w:cs="宋体"/>
                <w:color w:val="auto"/>
                <w:spacing w:val="8"/>
                <w:sz w:val="21"/>
                <w:szCs w:val="21"/>
                <w:highlight w:val="none"/>
              </w:rPr>
              <w:t>理</w:t>
            </w:r>
            <w:r>
              <w:rPr>
                <w:rFonts w:hint="eastAsia" w:ascii="宋体" w:hAnsi="宋体" w:eastAsia="宋体" w:cs="宋体"/>
                <w:color w:val="auto"/>
                <w:spacing w:val="8"/>
                <w:sz w:val="21"/>
                <w:szCs w:val="21"/>
                <w:highlight w:val="none"/>
                <w:lang w:eastAsia="zh-CN"/>
              </w:rPr>
              <w:t>模式</w:t>
            </w:r>
            <w:r>
              <w:rPr>
                <w:rFonts w:hint="eastAsia" w:ascii="宋体" w:hAnsi="宋体" w:eastAsia="宋体" w:cs="宋体"/>
                <w:color w:val="auto"/>
                <w:spacing w:val="8"/>
                <w:sz w:val="21"/>
                <w:szCs w:val="21"/>
                <w:highlight w:val="none"/>
              </w:rPr>
              <w:t>及目标</w:t>
            </w:r>
          </w:p>
        </w:tc>
        <w:tc>
          <w:tcPr>
            <w:tcW w:w="833" w:type="dxa"/>
            <w:noWrap w:val="0"/>
            <w:vAlign w:val="top"/>
          </w:tcPr>
          <w:p w14:paraId="1DBF2BAC">
            <w:pPr>
              <w:spacing w:before="65" w:line="192" w:lineRule="auto"/>
              <w:ind w:left="2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p w14:paraId="044D385B">
            <w:pPr>
              <w:spacing w:before="65" w:line="192" w:lineRule="auto"/>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9</w:t>
            </w:r>
          </w:p>
        </w:tc>
        <w:tc>
          <w:tcPr>
            <w:tcW w:w="7121" w:type="dxa"/>
            <w:noWrap w:val="0"/>
            <w:vAlign w:val="top"/>
          </w:tcPr>
          <w:p w14:paraId="42E2D6BA">
            <w:pPr>
              <w:spacing w:before="36" w:line="301" w:lineRule="auto"/>
              <w:ind w:left="112" w:leftChars="0" w:right="64" w:rightChars="0" w:firstLine="2" w:firstLineChars="0"/>
              <w:rPr>
                <w:rFonts w:hint="eastAsia" w:ascii="宋体" w:hAnsi="宋体" w:cs="宋体"/>
                <w:color w:val="auto"/>
                <w:highlight w:val="none"/>
              </w:rPr>
            </w:pPr>
            <w:r>
              <w:rPr>
                <w:rFonts w:hint="eastAsia" w:ascii="宋体" w:hAnsi="宋体" w:eastAsia="宋体" w:cs="宋体"/>
                <w:color w:val="auto"/>
                <w:sz w:val="21"/>
                <w:szCs w:val="21"/>
                <w:highlight w:val="none"/>
              </w:rPr>
              <w:t>投标人应在标书中明确表述出对招标项目的河道垃圾清捞收集及清运服务的管理</w:t>
            </w:r>
            <w:r>
              <w:rPr>
                <w:rFonts w:hint="eastAsia" w:ascii="宋体" w:hAnsi="宋体" w:eastAsia="宋体" w:cs="宋体"/>
                <w:color w:val="auto"/>
                <w:sz w:val="21"/>
                <w:szCs w:val="21"/>
                <w:highlight w:val="none"/>
                <w:lang w:eastAsia="zh-CN"/>
              </w:rPr>
              <w:t>模式</w:t>
            </w:r>
            <w:r>
              <w:rPr>
                <w:rFonts w:hint="eastAsia" w:ascii="宋体" w:hAnsi="宋体" w:eastAsia="宋体" w:cs="宋体"/>
                <w:color w:val="auto"/>
                <w:sz w:val="21"/>
                <w:szCs w:val="21"/>
                <w:highlight w:val="none"/>
              </w:rPr>
              <w:t>及目标[包括河道垃圾清捞、分类、清运、保洁、质量、安全等]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管理</w:t>
            </w:r>
            <w:r>
              <w:rPr>
                <w:rFonts w:hint="eastAsia" w:ascii="宋体" w:hAnsi="宋体" w:eastAsia="宋体" w:cs="宋体"/>
                <w:color w:val="auto"/>
                <w:sz w:val="21"/>
                <w:szCs w:val="21"/>
                <w:highlight w:val="none"/>
                <w:lang w:eastAsia="zh-CN"/>
              </w:rPr>
              <w:t>模式</w:t>
            </w:r>
            <w:r>
              <w:rPr>
                <w:rFonts w:hint="eastAsia" w:ascii="宋体" w:hAnsi="宋体" w:eastAsia="宋体" w:cs="宋体"/>
                <w:color w:val="auto"/>
                <w:sz w:val="21"/>
                <w:szCs w:val="21"/>
                <w:highlight w:val="none"/>
              </w:rPr>
              <w:t>应从适应招标项目实际情况，</w:t>
            </w:r>
            <w:r>
              <w:rPr>
                <w:rFonts w:hint="eastAsia" w:ascii="宋体" w:hAnsi="宋体" w:eastAsia="宋体" w:cs="宋体"/>
                <w:color w:val="auto"/>
                <w:sz w:val="21"/>
                <w:szCs w:val="21"/>
                <w:highlight w:val="none"/>
                <w:lang w:val="en-US" w:eastAsia="zh-CN"/>
              </w:rPr>
              <w:t>内容完整，优于项目需求的得9分；</w:t>
            </w:r>
            <w:r>
              <w:rPr>
                <w:rFonts w:hint="eastAsia" w:ascii="宋体" w:hAnsi="宋体" w:eastAsia="宋体" w:cs="宋体"/>
                <w:color w:val="auto"/>
                <w:sz w:val="21"/>
                <w:szCs w:val="21"/>
                <w:highlight w:val="none"/>
              </w:rPr>
              <w:t>满足采购人服务管理需求，目标明确可操作性强的</w:t>
            </w:r>
            <w:r>
              <w:rPr>
                <w:rFonts w:hint="eastAsia" w:ascii="宋体" w:hAnsi="宋体" w:eastAsia="宋体" w:cs="宋体"/>
                <w:color w:val="auto"/>
                <w:sz w:val="21"/>
                <w:szCs w:val="21"/>
                <w:highlight w:val="none"/>
                <w:lang w:eastAsia="zh-CN"/>
              </w:rPr>
              <w:t>得</w:t>
            </w:r>
            <w:r>
              <w:rPr>
                <w:rFonts w:hint="eastAsia" w:ascii="宋体" w:hAnsi="宋体" w:cs="宋体"/>
                <w:color w:val="auto"/>
                <w:sz w:val="21"/>
                <w:szCs w:val="21"/>
                <w:highlight w:val="none"/>
                <w:lang w:val="en-US" w:eastAsia="zh-CN"/>
              </w:rPr>
              <w:t>7.2</w:t>
            </w:r>
            <w:r>
              <w:rPr>
                <w:rFonts w:hint="eastAsia" w:ascii="宋体" w:hAnsi="宋体" w:eastAsia="宋体" w:cs="宋体"/>
                <w:color w:val="auto"/>
                <w:sz w:val="21"/>
                <w:szCs w:val="21"/>
                <w:highlight w:val="none"/>
              </w:rPr>
              <w:t>分；针对性一般、目标内容基本明确的</w:t>
            </w:r>
            <w:r>
              <w:rPr>
                <w:rFonts w:hint="eastAsia" w:ascii="宋体" w:hAnsi="宋体" w:cs="宋体"/>
                <w:color w:val="auto"/>
                <w:spacing w:val="5"/>
                <w:sz w:val="21"/>
                <w:szCs w:val="21"/>
                <w:highlight w:val="none"/>
                <w:lang w:eastAsia="zh-CN"/>
              </w:rPr>
              <w:t>得</w:t>
            </w:r>
            <w:r>
              <w:rPr>
                <w:rFonts w:hint="eastAsia" w:ascii="宋体" w:hAnsi="宋体" w:cs="宋体"/>
                <w:color w:val="auto"/>
                <w:spacing w:val="5"/>
                <w:sz w:val="21"/>
                <w:szCs w:val="21"/>
                <w:highlight w:val="none"/>
                <w:lang w:val="en-US" w:eastAsia="zh-CN"/>
              </w:rPr>
              <w:t>5.4</w:t>
            </w:r>
            <w:r>
              <w:rPr>
                <w:rFonts w:hint="eastAsia" w:ascii="宋体" w:hAnsi="宋体" w:eastAsia="宋体" w:cs="宋体"/>
                <w:color w:val="auto"/>
                <w:spacing w:val="-3"/>
                <w:sz w:val="21"/>
                <w:szCs w:val="21"/>
                <w:highlight w:val="none"/>
              </w:rPr>
              <w:t>分；针对性欠佳，目标内容表述不清的</w:t>
            </w:r>
            <w:r>
              <w:rPr>
                <w:rFonts w:hint="eastAsia" w:ascii="宋体" w:hAnsi="宋体" w:cs="宋体"/>
                <w:color w:val="auto"/>
                <w:spacing w:val="5"/>
                <w:sz w:val="21"/>
                <w:szCs w:val="21"/>
                <w:highlight w:val="none"/>
                <w:lang w:eastAsia="zh-CN"/>
              </w:rPr>
              <w:t>得</w:t>
            </w:r>
            <w:r>
              <w:rPr>
                <w:rFonts w:hint="eastAsia" w:ascii="宋体" w:hAnsi="宋体" w:cs="宋体"/>
                <w:color w:val="auto"/>
                <w:spacing w:val="5"/>
                <w:sz w:val="21"/>
                <w:szCs w:val="21"/>
                <w:highlight w:val="none"/>
                <w:lang w:val="en-US" w:eastAsia="zh-CN"/>
              </w:rPr>
              <w:t>4.5</w:t>
            </w:r>
            <w:r>
              <w:rPr>
                <w:rFonts w:hint="eastAsia" w:ascii="宋体" w:hAnsi="宋体" w:eastAsia="宋体" w:cs="宋体"/>
                <w:color w:val="auto"/>
                <w:spacing w:val="-3"/>
                <w:sz w:val="21"/>
                <w:szCs w:val="21"/>
                <w:highlight w:val="none"/>
                <w:lang w:val="en-US" w:eastAsia="zh-CN"/>
              </w:rPr>
              <w:t>分。未提供本项内容的本项不得分。</w:t>
            </w:r>
          </w:p>
        </w:tc>
      </w:tr>
      <w:tr w14:paraId="5343FA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5" w:hRule="atLeast"/>
        </w:trPr>
        <w:tc>
          <w:tcPr>
            <w:tcW w:w="1310" w:type="dxa"/>
            <w:noWrap w:val="0"/>
            <w:vAlign w:val="top"/>
          </w:tcPr>
          <w:p w14:paraId="4907E9D0">
            <w:pPr>
              <w:spacing w:line="310" w:lineRule="auto"/>
              <w:rPr>
                <w:rFonts w:hint="eastAsia" w:ascii="宋体" w:hAnsi="宋体" w:eastAsia="宋体" w:cs="宋体"/>
                <w:color w:val="auto"/>
                <w:sz w:val="21"/>
                <w:szCs w:val="21"/>
                <w:highlight w:val="none"/>
              </w:rPr>
            </w:pPr>
          </w:p>
          <w:p w14:paraId="17C60CD8">
            <w:pPr>
              <w:spacing w:before="80" w:line="228" w:lineRule="auto"/>
              <w:jc w:val="center"/>
              <w:rPr>
                <w:rFonts w:hint="eastAsia" w:ascii="宋体" w:hAnsi="宋体" w:cs="宋体"/>
                <w:color w:val="auto"/>
                <w:highlight w:val="none"/>
              </w:rPr>
            </w:pPr>
            <w:r>
              <w:rPr>
                <w:rFonts w:hint="eastAsia" w:ascii="宋体" w:hAnsi="宋体" w:eastAsia="宋体" w:cs="宋体"/>
                <w:color w:val="auto"/>
                <w:spacing w:val="-8"/>
                <w:sz w:val="21"/>
                <w:szCs w:val="21"/>
                <w:highlight w:val="none"/>
                <w:lang w:val="en-US" w:eastAsia="zh-CN"/>
              </w:rPr>
              <w:t>项目的管理机构、各部门分工</w:t>
            </w:r>
          </w:p>
        </w:tc>
        <w:tc>
          <w:tcPr>
            <w:tcW w:w="833" w:type="dxa"/>
            <w:noWrap w:val="0"/>
            <w:vAlign w:val="top"/>
          </w:tcPr>
          <w:p w14:paraId="2828AF29">
            <w:pPr>
              <w:spacing w:line="244" w:lineRule="auto"/>
              <w:rPr>
                <w:rFonts w:hint="eastAsia" w:ascii="宋体" w:hAnsi="宋体" w:eastAsia="宋体" w:cs="宋体"/>
                <w:color w:val="auto"/>
                <w:sz w:val="21"/>
                <w:szCs w:val="21"/>
                <w:highlight w:val="none"/>
              </w:rPr>
            </w:pPr>
          </w:p>
          <w:p w14:paraId="3C38866B">
            <w:pPr>
              <w:spacing w:line="245" w:lineRule="auto"/>
              <w:rPr>
                <w:rFonts w:hint="eastAsia" w:ascii="宋体" w:hAnsi="宋体" w:eastAsia="宋体" w:cs="宋体"/>
                <w:color w:val="auto"/>
                <w:sz w:val="21"/>
                <w:szCs w:val="21"/>
                <w:highlight w:val="none"/>
              </w:rPr>
            </w:pPr>
          </w:p>
          <w:p w14:paraId="45533E7A">
            <w:pPr>
              <w:spacing w:before="65" w:line="193" w:lineRule="auto"/>
              <w:ind w:left="238" w:leftChars="0" w:firstLine="210" w:firstLineChars="10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8</w:t>
            </w:r>
          </w:p>
        </w:tc>
        <w:tc>
          <w:tcPr>
            <w:tcW w:w="7121" w:type="dxa"/>
            <w:noWrap w:val="0"/>
            <w:vAlign w:val="top"/>
          </w:tcPr>
          <w:p w14:paraId="372C55C3">
            <w:pPr>
              <w:spacing w:before="79" w:line="302" w:lineRule="auto"/>
              <w:ind w:left="115" w:leftChars="0" w:right="105" w:rightChars="0" w:hanging="3" w:firstLineChars="0"/>
              <w:rPr>
                <w:rFonts w:hint="eastAsia" w:ascii="宋体" w:hAnsi="宋体" w:cs="宋体"/>
                <w:color w:val="auto"/>
                <w:highlight w:val="none"/>
              </w:rPr>
            </w:pPr>
            <w:r>
              <w:rPr>
                <w:rFonts w:hint="eastAsia" w:ascii="宋体" w:hAnsi="宋体" w:eastAsia="宋体" w:cs="宋体"/>
                <w:color w:val="auto"/>
                <w:spacing w:val="5"/>
                <w:sz w:val="21"/>
                <w:szCs w:val="21"/>
                <w:highlight w:val="none"/>
              </w:rPr>
              <w:t>项目管理机构</w:t>
            </w:r>
            <w:r>
              <w:rPr>
                <w:rFonts w:hint="eastAsia" w:ascii="宋体" w:hAnsi="宋体" w:eastAsia="宋体" w:cs="宋体"/>
                <w:color w:val="auto"/>
                <w:spacing w:val="5"/>
                <w:sz w:val="21"/>
                <w:szCs w:val="21"/>
                <w:highlight w:val="none"/>
                <w:lang w:eastAsia="zh-CN"/>
              </w:rPr>
              <w:t>及</w:t>
            </w:r>
            <w:r>
              <w:rPr>
                <w:rFonts w:hint="eastAsia" w:ascii="宋体" w:hAnsi="宋体" w:eastAsia="宋体" w:cs="宋体"/>
                <w:color w:val="auto"/>
                <w:spacing w:val="5"/>
                <w:sz w:val="21"/>
                <w:szCs w:val="21"/>
                <w:highlight w:val="none"/>
              </w:rPr>
              <w:t>各部门分工明确完整、全面、与现场实际情况结合切实可行</w:t>
            </w:r>
            <w:r>
              <w:rPr>
                <w:rFonts w:hint="eastAsia" w:ascii="宋体" w:hAnsi="宋体" w:cs="宋体"/>
                <w:color w:val="auto"/>
                <w:spacing w:val="5"/>
                <w:sz w:val="21"/>
                <w:szCs w:val="21"/>
                <w:highlight w:val="none"/>
                <w:lang w:eastAsia="zh-CN"/>
              </w:rPr>
              <w:t>，</w:t>
            </w:r>
            <w:r>
              <w:rPr>
                <w:rFonts w:hint="eastAsia" w:ascii="宋体" w:hAnsi="宋体" w:eastAsia="宋体" w:cs="宋体"/>
                <w:color w:val="auto"/>
                <w:sz w:val="21"/>
                <w:szCs w:val="21"/>
                <w:highlight w:val="none"/>
                <w:lang w:val="en-US" w:eastAsia="zh-CN"/>
              </w:rPr>
              <w:t>内容完整，优于项目需求的得8分；</w:t>
            </w:r>
            <w:r>
              <w:rPr>
                <w:rFonts w:hint="eastAsia" w:ascii="宋体" w:hAnsi="宋体" w:eastAsia="宋体" w:cs="宋体"/>
                <w:color w:val="auto"/>
                <w:sz w:val="21"/>
                <w:szCs w:val="21"/>
                <w:highlight w:val="none"/>
              </w:rPr>
              <w:t>满足采购人服务管理需求，目标明确可操作性强的</w:t>
            </w:r>
            <w:r>
              <w:rPr>
                <w:rFonts w:hint="eastAsia" w:ascii="宋体" w:hAnsi="宋体" w:eastAsia="宋体" w:cs="宋体"/>
                <w:color w:val="auto"/>
                <w:sz w:val="21"/>
                <w:szCs w:val="21"/>
                <w:highlight w:val="none"/>
                <w:lang w:eastAsia="zh-CN"/>
              </w:rPr>
              <w:t>得</w:t>
            </w:r>
            <w:r>
              <w:rPr>
                <w:rFonts w:hint="eastAsia" w:ascii="宋体" w:hAnsi="宋体" w:cs="宋体"/>
                <w:color w:val="auto"/>
                <w:sz w:val="21"/>
                <w:szCs w:val="21"/>
                <w:highlight w:val="none"/>
                <w:lang w:val="en-US" w:eastAsia="zh-CN"/>
              </w:rPr>
              <w:t>6.4</w:t>
            </w:r>
            <w:r>
              <w:rPr>
                <w:rFonts w:hint="eastAsia" w:ascii="宋体" w:hAnsi="宋体" w:eastAsia="宋体" w:cs="宋体"/>
                <w:color w:val="auto"/>
                <w:sz w:val="21"/>
                <w:szCs w:val="21"/>
                <w:highlight w:val="none"/>
              </w:rPr>
              <w:t>分；针对性一般、目标内容基本明确的</w:t>
            </w:r>
            <w:r>
              <w:rPr>
                <w:rFonts w:hint="eastAsia" w:ascii="宋体" w:hAnsi="宋体" w:cs="宋体"/>
                <w:color w:val="auto"/>
                <w:spacing w:val="5"/>
                <w:sz w:val="21"/>
                <w:szCs w:val="21"/>
                <w:highlight w:val="none"/>
                <w:lang w:eastAsia="zh-CN"/>
              </w:rPr>
              <w:t>得</w:t>
            </w:r>
            <w:r>
              <w:rPr>
                <w:rFonts w:hint="eastAsia" w:ascii="宋体" w:hAnsi="宋体" w:cs="宋体"/>
                <w:color w:val="auto"/>
                <w:spacing w:val="5"/>
                <w:sz w:val="21"/>
                <w:szCs w:val="21"/>
                <w:highlight w:val="none"/>
                <w:lang w:val="en-US" w:eastAsia="zh-CN"/>
              </w:rPr>
              <w:t>4.8</w:t>
            </w:r>
            <w:r>
              <w:rPr>
                <w:rFonts w:hint="eastAsia" w:ascii="宋体" w:hAnsi="宋体" w:eastAsia="宋体" w:cs="宋体"/>
                <w:color w:val="auto"/>
                <w:spacing w:val="-3"/>
                <w:sz w:val="21"/>
                <w:szCs w:val="21"/>
                <w:highlight w:val="none"/>
              </w:rPr>
              <w:t>分；针对性欠佳，目标内容表述不清的</w:t>
            </w:r>
            <w:r>
              <w:rPr>
                <w:rFonts w:hint="eastAsia" w:ascii="宋体" w:hAnsi="宋体" w:cs="宋体"/>
                <w:color w:val="auto"/>
                <w:spacing w:val="5"/>
                <w:sz w:val="21"/>
                <w:szCs w:val="21"/>
                <w:highlight w:val="none"/>
                <w:lang w:eastAsia="zh-CN"/>
              </w:rPr>
              <w:t>得</w:t>
            </w:r>
            <w:r>
              <w:rPr>
                <w:rFonts w:hint="eastAsia" w:ascii="宋体" w:hAnsi="宋体" w:cs="宋体"/>
                <w:color w:val="auto"/>
                <w:spacing w:val="5"/>
                <w:sz w:val="21"/>
                <w:szCs w:val="21"/>
                <w:highlight w:val="none"/>
                <w:lang w:val="en-US" w:eastAsia="zh-CN"/>
              </w:rPr>
              <w:t>4</w:t>
            </w:r>
            <w:r>
              <w:rPr>
                <w:rFonts w:hint="eastAsia" w:ascii="宋体" w:hAnsi="宋体" w:eastAsia="宋体" w:cs="宋体"/>
                <w:color w:val="auto"/>
                <w:spacing w:val="-3"/>
                <w:sz w:val="21"/>
                <w:szCs w:val="21"/>
                <w:highlight w:val="none"/>
                <w:lang w:val="en-US" w:eastAsia="zh-CN"/>
              </w:rPr>
              <w:t>分。未提供本项内容的本项不得分。</w:t>
            </w:r>
          </w:p>
        </w:tc>
      </w:tr>
      <w:tr w14:paraId="39C1F5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trPr>
        <w:tc>
          <w:tcPr>
            <w:tcW w:w="1310" w:type="dxa"/>
            <w:noWrap w:val="0"/>
            <w:vAlign w:val="top"/>
          </w:tcPr>
          <w:p w14:paraId="0112B7F2">
            <w:pPr>
              <w:spacing w:line="314" w:lineRule="auto"/>
              <w:rPr>
                <w:rFonts w:hint="eastAsia" w:ascii="宋体" w:hAnsi="宋体" w:eastAsia="宋体" w:cs="宋体"/>
                <w:color w:val="auto"/>
                <w:sz w:val="21"/>
                <w:szCs w:val="21"/>
                <w:highlight w:val="none"/>
              </w:rPr>
            </w:pPr>
          </w:p>
          <w:p w14:paraId="1F82BE39">
            <w:pPr>
              <w:spacing w:line="314" w:lineRule="auto"/>
              <w:rPr>
                <w:rFonts w:hint="eastAsia" w:ascii="宋体" w:hAnsi="宋体" w:eastAsia="宋体" w:cs="宋体"/>
                <w:color w:val="auto"/>
                <w:sz w:val="21"/>
                <w:szCs w:val="21"/>
                <w:highlight w:val="none"/>
              </w:rPr>
            </w:pPr>
          </w:p>
          <w:p w14:paraId="37395952">
            <w:pPr>
              <w:spacing w:line="314" w:lineRule="auto"/>
              <w:rPr>
                <w:rFonts w:hint="eastAsia" w:ascii="宋体" w:hAnsi="宋体" w:eastAsia="宋体" w:cs="宋体"/>
                <w:color w:val="auto"/>
                <w:sz w:val="21"/>
                <w:szCs w:val="21"/>
                <w:highlight w:val="none"/>
              </w:rPr>
            </w:pPr>
          </w:p>
          <w:p w14:paraId="463F50FF">
            <w:pPr>
              <w:spacing w:before="65" w:line="227" w:lineRule="auto"/>
              <w:jc w:val="center"/>
              <w:rPr>
                <w:rFonts w:hint="eastAsia" w:ascii="宋体" w:hAnsi="宋体" w:cs="宋体"/>
                <w:color w:val="auto"/>
                <w:highlight w:val="none"/>
              </w:rPr>
            </w:pPr>
            <w:r>
              <w:rPr>
                <w:rFonts w:hint="eastAsia" w:ascii="宋体" w:hAnsi="宋体" w:eastAsia="宋体" w:cs="宋体"/>
                <w:color w:val="auto"/>
                <w:spacing w:val="-8"/>
                <w:sz w:val="21"/>
                <w:szCs w:val="21"/>
                <w:highlight w:val="none"/>
                <w:lang w:val="en-US" w:eastAsia="zh-CN"/>
              </w:rPr>
              <w:t>人员配备</w:t>
            </w:r>
          </w:p>
        </w:tc>
        <w:tc>
          <w:tcPr>
            <w:tcW w:w="833" w:type="dxa"/>
            <w:noWrap w:val="0"/>
            <w:vAlign w:val="top"/>
          </w:tcPr>
          <w:p w14:paraId="711DFCF5">
            <w:pPr>
              <w:spacing w:line="243" w:lineRule="auto"/>
              <w:rPr>
                <w:rFonts w:hint="eastAsia" w:ascii="宋体" w:hAnsi="宋体" w:eastAsia="宋体" w:cs="宋体"/>
                <w:b w:val="0"/>
                <w:bCs w:val="0"/>
                <w:color w:val="auto"/>
                <w:sz w:val="21"/>
                <w:szCs w:val="21"/>
                <w:highlight w:val="none"/>
              </w:rPr>
            </w:pPr>
          </w:p>
          <w:p w14:paraId="74E9DA4A">
            <w:pPr>
              <w:spacing w:line="243" w:lineRule="auto"/>
              <w:rPr>
                <w:rFonts w:hint="eastAsia" w:ascii="宋体" w:hAnsi="宋体" w:eastAsia="宋体" w:cs="宋体"/>
                <w:b w:val="0"/>
                <w:bCs w:val="0"/>
                <w:color w:val="auto"/>
                <w:sz w:val="21"/>
                <w:szCs w:val="21"/>
                <w:highlight w:val="none"/>
              </w:rPr>
            </w:pPr>
          </w:p>
          <w:p w14:paraId="6AABA0A8">
            <w:pPr>
              <w:spacing w:line="244" w:lineRule="auto"/>
              <w:rPr>
                <w:rFonts w:hint="eastAsia" w:ascii="宋体" w:hAnsi="宋体" w:eastAsia="宋体" w:cs="宋体"/>
                <w:b w:val="0"/>
                <w:bCs w:val="0"/>
                <w:color w:val="auto"/>
                <w:sz w:val="21"/>
                <w:szCs w:val="21"/>
                <w:highlight w:val="none"/>
              </w:rPr>
            </w:pPr>
          </w:p>
          <w:p w14:paraId="687A1C14">
            <w:pPr>
              <w:spacing w:line="244" w:lineRule="auto"/>
              <w:rPr>
                <w:rFonts w:hint="eastAsia" w:ascii="宋体" w:hAnsi="宋体" w:eastAsia="宋体" w:cs="宋体"/>
                <w:b w:val="0"/>
                <w:bCs w:val="0"/>
                <w:color w:val="auto"/>
                <w:sz w:val="21"/>
                <w:szCs w:val="21"/>
                <w:highlight w:val="none"/>
              </w:rPr>
            </w:pPr>
          </w:p>
          <w:p w14:paraId="4AE49BA2">
            <w:pPr>
              <w:spacing w:before="65" w:line="193" w:lineRule="auto"/>
              <w:ind w:firstLine="420" w:firstLineChars="20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9</w:t>
            </w:r>
          </w:p>
        </w:tc>
        <w:tc>
          <w:tcPr>
            <w:tcW w:w="7121" w:type="dxa"/>
            <w:noWrap w:val="0"/>
            <w:vAlign w:val="top"/>
          </w:tcPr>
          <w:p w14:paraId="69A3E21E">
            <w:pPr>
              <w:pStyle w:val="14"/>
              <w:rPr>
                <w:rFonts w:hint="eastAsia" w:ascii="宋体" w:hAnsi="宋体" w:eastAsia="宋体" w:cs="宋体"/>
                <w:b w:val="0"/>
                <w:bCs w:val="0"/>
                <w:color w:val="auto"/>
                <w:spacing w:val="5"/>
                <w:sz w:val="21"/>
                <w:szCs w:val="21"/>
                <w:highlight w:val="none"/>
                <w:lang w:val="en-US" w:eastAsia="zh-CN" w:bidi="ar-SA"/>
              </w:rPr>
            </w:pPr>
            <w:r>
              <w:rPr>
                <w:rFonts w:hint="eastAsia" w:ascii="宋体" w:hAnsi="宋体" w:eastAsia="宋体" w:cs="宋体"/>
                <w:b w:val="0"/>
                <w:bCs w:val="0"/>
                <w:color w:val="auto"/>
                <w:spacing w:val="5"/>
                <w:sz w:val="21"/>
                <w:szCs w:val="21"/>
                <w:highlight w:val="none"/>
                <w:lang w:val="en-US" w:eastAsia="zh-CN" w:bidi="ar-SA"/>
              </w:rPr>
              <w:t>根据投标人项目管理架构、岗位设置、职责分工、管理技术人员的经验、专业水平，对人员配置方案的完整性、合理性、可行性进行综合评价。分工明确，配置方案完整，科学合理，针对性内容完整，优于项目需求的得9分；满足采购人服务管理需求，目标明确可操作性强的得7.2分；针对性一般、目标内容基本明确的得5.4分；针对性欠佳，目标内容表述不清的得4.5分。未提供本项内容的本项不得分。</w:t>
            </w:r>
          </w:p>
          <w:p w14:paraId="53FBC21C">
            <w:pPr>
              <w:pStyle w:val="14"/>
              <w:rPr>
                <w:rFonts w:hint="eastAsia" w:ascii="宋体" w:hAnsi="宋体" w:cs="宋体"/>
                <w:color w:val="auto"/>
                <w:highlight w:val="none"/>
              </w:rPr>
            </w:pPr>
            <w:r>
              <w:rPr>
                <w:rFonts w:hint="eastAsia" w:ascii="宋体" w:hAnsi="宋体" w:eastAsia="宋体" w:cs="宋体"/>
                <w:b/>
                <w:bCs/>
                <w:color w:val="auto"/>
                <w:spacing w:val="5"/>
                <w:sz w:val="21"/>
                <w:szCs w:val="21"/>
                <w:highlight w:val="none"/>
                <w:lang w:val="en-US" w:eastAsia="zh-CN" w:bidi="ar-SA"/>
              </w:rPr>
              <w:t>注：项目组成人员不得在其他项目中兼职，一旦发现，招标人有权取消其中标资格并追究其相应责任。</w:t>
            </w:r>
          </w:p>
        </w:tc>
      </w:tr>
      <w:tr w14:paraId="330E2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 w:hRule="atLeast"/>
        </w:trPr>
        <w:tc>
          <w:tcPr>
            <w:tcW w:w="1310" w:type="dxa"/>
            <w:noWrap w:val="0"/>
            <w:vAlign w:val="top"/>
          </w:tcPr>
          <w:p w14:paraId="74D0D918">
            <w:pPr>
              <w:spacing w:before="65" w:line="227" w:lineRule="auto"/>
              <w:jc w:val="center"/>
              <w:rPr>
                <w:rFonts w:hint="eastAsia" w:ascii="宋体" w:hAnsi="宋体" w:eastAsia="宋体" w:cs="宋体"/>
                <w:color w:val="auto"/>
                <w:spacing w:val="10"/>
                <w:sz w:val="21"/>
                <w:szCs w:val="21"/>
                <w:highlight w:val="none"/>
                <w:lang w:eastAsia="zh-CN"/>
              </w:rPr>
            </w:pPr>
          </w:p>
          <w:p w14:paraId="56F30984">
            <w:pPr>
              <w:spacing w:before="65" w:line="227" w:lineRule="auto"/>
              <w:jc w:val="center"/>
              <w:rPr>
                <w:rFonts w:hint="eastAsia" w:ascii="宋体" w:hAnsi="宋体" w:eastAsia="宋体" w:cs="宋体"/>
                <w:color w:val="auto"/>
                <w:spacing w:val="10"/>
                <w:sz w:val="21"/>
                <w:szCs w:val="21"/>
                <w:highlight w:val="none"/>
                <w:lang w:eastAsia="zh-CN"/>
              </w:rPr>
            </w:pPr>
          </w:p>
          <w:p w14:paraId="638010A5">
            <w:pPr>
              <w:spacing w:before="65" w:line="227" w:lineRule="auto"/>
              <w:jc w:val="center"/>
              <w:rPr>
                <w:rFonts w:hint="eastAsia" w:ascii="宋体" w:hAnsi="宋体" w:cs="宋体"/>
                <w:color w:val="auto"/>
                <w:spacing w:val="10"/>
                <w:highlight w:val="none"/>
              </w:rPr>
            </w:pPr>
            <w:r>
              <w:rPr>
                <w:rFonts w:hint="eastAsia" w:ascii="宋体" w:hAnsi="宋体" w:eastAsia="宋体" w:cs="宋体"/>
                <w:color w:val="auto"/>
                <w:spacing w:val="10"/>
                <w:sz w:val="21"/>
                <w:szCs w:val="21"/>
                <w:highlight w:val="none"/>
                <w:lang w:eastAsia="zh-CN"/>
              </w:rPr>
              <w:t>各项操作程序、管护保洁标准</w:t>
            </w:r>
          </w:p>
        </w:tc>
        <w:tc>
          <w:tcPr>
            <w:tcW w:w="833" w:type="dxa"/>
            <w:noWrap w:val="0"/>
            <w:vAlign w:val="top"/>
          </w:tcPr>
          <w:p w14:paraId="5A496B4E">
            <w:pPr>
              <w:spacing w:before="65" w:line="193" w:lineRule="auto"/>
              <w:ind w:left="238"/>
              <w:rPr>
                <w:rFonts w:hint="eastAsia" w:ascii="宋体" w:hAnsi="宋体" w:eastAsia="宋体" w:cs="宋体"/>
                <w:b w:val="0"/>
                <w:bCs w:val="0"/>
                <w:color w:val="auto"/>
                <w:sz w:val="21"/>
                <w:szCs w:val="21"/>
                <w:highlight w:val="none"/>
                <w:lang w:val="en-US" w:eastAsia="zh-CN"/>
              </w:rPr>
            </w:pPr>
          </w:p>
          <w:p w14:paraId="5A071CA8">
            <w:pPr>
              <w:pStyle w:val="14"/>
              <w:rPr>
                <w:rFonts w:hint="eastAsia" w:ascii="宋体" w:hAnsi="宋体" w:eastAsia="宋体" w:cs="宋体"/>
                <w:b w:val="0"/>
                <w:bCs w:val="0"/>
                <w:color w:val="auto"/>
                <w:sz w:val="21"/>
                <w:szCs w:val="21"/>
                <w:highlight w:val="none"/>
                <w:lang w:val="en-US" w:eastAsia="zh-CN"/>
              </w:rPr>
            </w:pPr>
          </w:p>
          <w:p w14:paraId="37CB7829">
            <w:pPr>
              <w:rPr>
                <w:rFonts w:hint="eastAsia" w:ascii="宋体" w:hAnsi="宋体" w:eastAsia="宋体" w:cs="宋体"/>
                <w:b w:val="0"/>
                <w:bCs w:val="0"/>
                <w:color w:val="auto"/>
                <w:sz w:val="21"/>
                <w:szCs w:val="21"/>
                <w:highlight w:val="none"/>
                <w:lang w:val="en-US" w:eastAsia="zh-CN"/>
              </w:rPr>
            </w:pPr>
          </w:p>
          <w:p w14:paraId="4AD3BE6D">
            <w:pPr>
              <w:pStyle w:val="14"/>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7121" w:type="dxa"/>
            <w:noWrap w:val="0"/>
            <w:vAlign w:val="top"/>
          </w:tcPr>
          <w:p w14:paraId="6C9CC3B9">
            <w:pPr>
              <w:spacing w:before="96" w:beforeAutospacing="0" w:afterAutospacing="0" w:line="302" w:lineRule="auto"/>
              <w:ind w:left="115" w:leftChars="0" w:right="105" w:rightChars="0" w:hanging="3" w:firstLineChars="0"/>
              <w:rPr>
                <w:rFonts w:hint="eastAsia" w:ascii="宋体" w:hAnsi="宋体" w:cs="宋体"/>
                <w:color w:val="auto"/>
                <w:spacing w:val="5"/>
                <w:highlight w:val="none"/>
              </w:rPr>
            </w:pPr>
            <w:r>
              <w:rPr>
                <w:rFonts w:hint="eastAsia" w:ascii="宋体" w:hAnsi="宋体" w:eastAsia="宋体" w:cs="宋体"/>
                <w:color w:val="auto"/>
                <w:spacing w:val="5"/>
                <w:sz w:val="21"/>
                <w:szCs w:val="21"/>
                <w:highlight w:val="none"/>
                <w:lang w:val="en-US" w:eastAsia="zh-CN"/>
              </w:rPr>
              <w:t>针对本项目，根据招标需求及河道情况制定相应的工作流程预案，提出相应的管护保洁标准方案，保证工作的顺利开展；</w:t>
            </w:r>
            <w:r>
              <w:rPr>
                <w:rFonts w:hint="eastAsia" w:ascii="宋体" w:hAnsi="宋体" w:eastAsia="宋体" w:cs="宋体"/>
                <w:color w:val="auto"/>
                <w:sz w:val="21"/>
                <w:szCs w:val="21"/>
                <w:highlight w:val="none"/>
                <w:lang w:val="en-US" w:eastAsia="zh-CN"/>
              </w:rPr>
              <w:t>工作流程预案、管护保洁标准方案内容完整、具体、合理、与现场实际情况结合切实可行，优于项目需求的得9分</w:t>
            </w:r>
            <w:r>
              <w:rPr>
                <w:rFonts w:hint="eastAsia" w:ascii="宋体" w:hAnsi="宋体" w:eastAsia="宋体" w:cs="宋体"/>
                <w:color w:val="auto"/>
                <w:spacing w:val="5"/>
                <w:sz w:val="21"/>
                <w:szCs w:val="21"/>
                <w:highlight w:val="none"/>
                <w:lang w:val="en-US" w:eastAsia="zh-CN"/>
              </w:rPr>
              <w:t>；</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满足采购人服务管理需求，目标明确可操作性强的得</w:t>
            </w:r>
            <w:r>
              <w:rPr>
                <w:rFonts w:hint="eastAsia" w:ascii="宋体" w:hAnsi="宋体" w:cs="宋体"/>
                <w:color w:val="auto"/>
                <w:sz w:val="21"/>
                <w:szCs w:val="21"/>
                <w:highlight w:val="none"/>
                <w:lang w:val="en-US" w:eastAsia="zh-CN"/>
              </w:rPr>
              <w:t>7.2</w:t>
            </w:r>
            <w:r>
              <w:rPr>
                <w:rFonts w:hint="eastAsia" w:ascii="宋体" w:hAnsi="宋体" w:eastAsia="宋体" w:cs="宋体"/>
                <w:color w:val="auto"/>
                <w:sz w:val="21"/>
                <w:szCs w:val="21"/>
                <w:highlight w:val="none"/>
                <w:lang w:eastAsia="zh-CN"/>
              </w:rPr>
              <w:t>分；针对性一般、目标内容基本明确的得</w:t>
            </w:r>
            <w:r>
              <w:rPr>
                <w:rFonts w:hint="eastAsia" w:ascii="宋体" w:hAnsi="宋体" w:cs="宋体"/>
                <w:color w:val="auto"/>
                <w:sz w:val="21"/>
                <w:szCs w:val="21"/>
                <w:highlight w:val="none"/>
                <w:lang w:val="en-US" w:eastAsia="zh-CN"/>
              </w:rPr>
              <w:t>5.4</w:t>
            </w:r>
            <w:r>
              <w:rPr>
                <w:rFonts w:hint="eastAsia" w:ascii="宋体" w:hAnsi="宋体" w:eastAsia="宋体" w:cs="宋体"/>
                <w:color w:val="auto"/>
                <w:sz w:val="21"/>
                <w:szCs w:val="21"/>
                <w:highlight w:val="none"/>
                <w:lang w:eastAsia="zh-CN"/>
              </w:rPr>
              <w:t>分；针对性欠佳，目标内容表述不清的得</w:t>
            </w:r>
            <w:r>
              <w:rPr>
                <w:rFonts w:hint="eastAsia" w:ascii="宋体" w:hAnsi="宋体" w:cs="宋体"/>
                <w:color w:val="auto"/>
                <w:sz w:val="21"/>
                <w:szCs w:val="21"/>
                <w:highlight w:val="none"/>
                <w:lang w:val="en-US" w:eastAsia="zh-CN"/>
              </w:rPr>
              <w:t>4.5</w:t>
            </w:r>
            <w:r>
              <w:rPr>
                <w:rFonts w:hint="eastAsia" w:ascii="宋体" w:hAnsi="宋体" w:eastAsia="宋体" w:cs="宋体"/>
                <w:color w:val="auto"/>
                <w:sz w:val="21"/>
                <w:szCs w:val="21"/>
                <w:highlight w:val="none"/>
                <w:lang w:val="en-US" w:eastAsia="zh-CN"/>
              </w:rPr>
              <w:t>分。未提供本项内容的本项不得分。</w:t>
            </w:r>
          </w:p>
        </w:tc>
      </w:tr>
      <w:tr w14:paraId="41B2AD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310" w:type="dxa"/>
            <w:noWrap w:val="0"/>
            <w:vAlign w:val="top"/>
          </w:tcPr>
          <w:p w14:paraId="0CBCA1A8">
            <w:pPr>
              <w:spacing w:before="65" w:line="227" w:lineRule="auto"/>
              <w:jc w:val="center"/>
              <w:rPr>
                <w:rFonts w:hint="eastAsia" w:ascii="宋体" w:hAnsi="宋体" w:eastAsia="宋体" w:cs="宋体"/>
                <w:color w:val="auto"/>
                <w:spacing w:val="10"/>
                <w:sz w:val="21"/>
                <w:szCs w:val="21"/>
                <w:highlight w:val="none"/>
                <w:lang w:eastAsia="zh-CN"/>
              </w:rPr>
            </w:pPr>
          </w:p>
          <w:p w14:paraId="457BFCC9">
            <w:pPr>
              <w:spacing w:before="65" w:line="227" w:lineRule="auto"/>
              <w:jc w:val="center"/>
              <w:rPr>
                <w:rFonts w:hint="eastAsia" w:ascii="宋体" w:hAnsi="宋体" w:eastAsia="宋体" w:cs="宋体"/>
                <w:color w:val="auto"/>
                <w:spacing w:val="10"/>
                <w:sz w:val="21"/>
                <w:szCs w:val="21"/>
                <w:highlight w:val="none"/>
                <w:lang w:eastAsia="zh-CN"/>
              </w:rPr>
            </w:pPr>
          </w:p>
          <w:p w14:paraId="55F9B8DC">
            <w:pPr>
              <w:spacing w:before="65" w:line="227" w:lineRule="auto"/>
              <w:jc w:val="center"/>
              <w:rPr>
                <w:rFonts w:hint="eastAsia" w:ascii="宋体" w:hAnsi="宋体" w:cs="宋体"/>
                <w:color w:val="auto"/>
                <w:spacing w:val="10"/>
                <w:highlight w:val="none"/>
              </w:rPr>
            </w:pPr>
            <w:r>
              <w:rPr>
                <w:rFonts w:hint="eastAsia" w:ascii="宋体" w:hAnsi="宋体" w:eastAsia="宋体" w:cs="宋体"/>
                <w:color w:val="auto"/>
                <w:spacing w:val="10"/>
                <w:sz w:val="21"/>
                <w:szCs w:val="21"/>
                <w:highlight w:val="none"/>
                <w:lang w:eastAsia="zh-CN"/>
              </w:rPr>
              <w:t>日常打捞保障体系及措施</w:t>
            </w:r>
          </w:p>
        </w:tc>
        <w:tc>
          <w:tcPr>
            <w:tcW w:w="833" w:type="dxa"/>
            <w:noWrap w:val="0"/>
            <w:vAlign w:val="top"/>
          </w:tcPr>
          <w:p w14:paraId="1608A9CA">
            <w:pPr>
              <w:pStyle w:val="14"/>
              <w:jc w:val="center"/>
              <w:rPr>
                <w:rFonts w:hint="eastAsia" w:ascii="宋体" w:hAnsi="宋体" w:eastAsia="宋体" w:cs="宋体"/>
                <w:b w:val="0"/>
                <w:bCs w:val="0"/>
                <w:color w:val="auto"/>
                <w:sz w:val="21"/>
                <w:szCs w:val="21"/>
                <w:highlight w:val="none"/>
                <w:lang w:val="en-US" w:eastAsia="zh-CN"/>
              </w:rPr>
            </w:pPr>
          </w:p>
          <w:p w14:paraId="67A970AD">
            <w:pPr>
              <w:rPr>
                <w:rFonts w:hint="eastAsia" w:ascii="宋体" w:hAnsi="宋体" w:eastAsia="宋体" w:cs="宋体"/>
                <w:b w:val="0"/>
                <w:bCs w:val="0"/>
                <w:color w:val="auto"/>
                <w:sz w:val="21"/>
                <w:szCs w:val="21"/>
                <w:highlight w:val="none"/>
                <w:lang w:val="en-US" w:eastAsia="zh-CN"/>
              </w:rPr>
            </w:pPr>
          </w:p>
          <w:p w14:paraId="2F8D2E05">
            <w:pPr>
              <w:pStyle w:val="14"/>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7121" w:type="dxa"/>
            <w:noWrap w:val="0"/>
            <w:vAlign w:val="top"/>
          </w:tcPr>
          <w:p w14:paraId="54E1D4EE">
            <w:pPr>
              <w:spacing w:before="95" w:beforeAutospacing="0" w:afterAutospacing="0" w:line="302" w:lineRule="auto"/>
              <w:ind w:left="115" w:leftChars="0" w:right="105" w:rightChars="0" w:hanging="3" w:firstLineChars="0"/>
              <w:rPr>
                <w:rFonts w:hint="eastAsia" w:ascii="宋体" w:hAnsi="宋体" w:cs="宋体"/>
                <w:color w:val="auto"/>
                <w:spacing w:val="5"/>
                <w:highlight w:val="none"/>
              </w:rPr>
            </w:pPr>
            <w:r>
              <w:rPr>
                <w:rFonts w:hint="eastAsia" w:ascii="宋体" w:hAnsi="宋体" w:eastAsia="宋体" w:cs="宋体"/>
                <w:color w:val="auto"/>
                <w:spacing w:val="5"/>
                <w:sz w:val="21"/>
                <w:szCs w:val="21"/>
                <w:highlight w:val="none"/>
                <w:lang w:val="en-US" w:eastAsia="zh-CN"/>
              </w:rPr>
              <w:t>项目配备人员需接受安全培训且配备齐全的防护措施，船只各项防护措施需配备齐全；项目配备人员安全培训方案全面、防护措施齐全、船只各项防护措施齐全</w:t>
            </w:r>
            <w:r>
              <w:rPr>
                <w:rFonts w:hint="eastAsia" w:ascii="宋体" w:hAnsi="宋体" w:cs="宋体"/>
                <w:color w:val="auto"/>
                <w:spacing w:val="5"/>
                <w:sz w:val="21"/>
                <w:szCs w:val="21"/>
                <w:highlight w:val="none"/>
                <w:lang w:val="en-US" w:eastAsia="zh-CN"/>
              </w:rPr>
              <w:t>，</w:t>
            </w:r>
            <w:r>
              <w:rPr>
                <w:rFonts w:hint="eastAsia" w:ascii="宋体" w:hAnsi="宋体" w:eastAsia="宋体" w:cs="宋体"/>
                <w:color w:val="auto"/>
                <w:sz w:val="21"/>
                <w:szCs w:val="21"/>
                <w:highlight w:val="none"/>
                <w:lang w:val="en-US" w:eastAsia="zh-CN"/>
              </w:rPr>
              <w:t>优于项目需求的得</w:t>
            </w:r>
            <w:r>
              <w:rPr>
                <w:rFonts w:hint="eastAsia" w:ascii="宋体" w:hAnsi="宋体" w:cs="宋体"/>
                <w:color w:val="auto"/>
                <w:spacing w:val="5"/>
                <w:sz w:val="21"/>
                <w:szCs w:val="21"/>
                <w:highlight w:val="none"/>
                <w:lang w:val="en-US" w:eastAsia="zh-CN"/>
              </w:rPr>
              <w:t>9</w:t>
            </w:r>
            <w:r>
              <w:rPr>
                <w:rFonts w:hint="eastAsia" w:ascii="宋体" w:hAnsi="宋体" w:eastAsia="宋体" w:cs="宋体"/>
                <w:color w:val="auto"/>
                <w:spacing w:val="5"/>
                <w:sz w:val="21"/>
                <w:szCs w:val="21"/>
                <w:highlight w:val="none"/>
                <w:lang w:val="en-US" w:eastAsia="zh-CN"/>
              </w:rPr>
              <w:t>分；</w:t>
            </w:r>
            <w:r>
              <w:rPr>
                <w:rFonts w:hint="eastAsia" w:ascii="宋体" w:hAnsi="宋体" w:eastAsia="宋体" w:cs="宋体"/>
                <w:color w:val="auto"/>
                <w:sz w:val="21"/>
                <w:szCs w:val="21"/>
                <w:highlight w:val="none"/>
                <w:lang w:eastAsia="zh-CN"/>
              </w:rPr>
              <w:t>满足采购人服务管理需求，目标明确可操作性强的得</w:t>
            </w:r>
            <w:r>
              <w:rPr>
                <w:rFonts w:hint="eastAsia" w:ascii="宋体" w:hAnsi="宋体" w:cs="宋体"/>
                <w:color w:val="auto"/>
                <w:sz w:val="21"/>
                <w:szCs w:val="21"/>
                <w:highlight w:val="none"/>
                <w:lang w:val="en-US" w:eastAsia="zh-CN"/>
              </w:rPr>
              <w:t>7.2</w:t>
            </w:r>
            <w:r>
              <w:rPr>
                <w:rFonts w:hint="eastAsia" w:ascii="宋体" w:hAnsi="宋体" w:eastAsia="宋体" w:cs="宋体"/>
                <w:color w:val="auto"/>
                <w:sz w:val="21"/>
                <w:szCs w:val="21"/>
                <w:highlight w:val="none"/>
                <w:lang w:eastAsia="zh-CN"/>
              </w:rPr>
              <w:t>分；针对性一般、目标内容基本明确的得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分</w:t>
            </w:r>
            <w:r>
              <w:rPr>
                <w:rFonts w:hint="eastAsia" w:ascii="宋体" w:hAnsi="宋体" w:eastAsia="宋体" w:cs="宋体"/>
                <w:color w:val="auto"/>
                <w:spacing w:val="5"/>
                <w:sz w:val="21"/>
                <w:szCs w:val="21"/>
                <w:highlight w:val="none"/>
                <w:lang w:val="en-US" w:eastAsia="zh-CN"/>
              </w:rPr>
              <w:t>；</w:t>
            </w:r>
            <w:r>
              <w:rPr>
                <w:rFonts w:hint="eastAsia" w:ascii="宋体" w:hAnsi="宋体" w:eastAsia="宋体" w:cs="宋体"/>
                <w:color w:val="auto"/>
                <w:sz w:val="21"/>
                <w:szCs w:val="21"/>
                <w:highlight w:val="none"/>
                <w:lang w:eastAsia="zh-CN"/>
              </w:rPr>
              <w:t>针对性欠佳，目标内容表述不清的得</w:t>
            </w:r>
            <w:r>
              <w:rPr>
                <w:rFonts w:hint="eastAsia" w:ascii="宋体" w:hAnsi="宋体" w:cs="宋体"/>
                <w:color w:val="auto"/>
                <w:sz w:val="21"/>
                <w:szCs w:val="21"/>
                <w:highlight w:val="none"/>
                <w:lang w:val="en-US" w:eastAsia="zh-CN"/>
              </w:rPr>
              <w:t>4.5</w:t>
            </w:r>
            <w:r>
              <w:rPr>
                <w:rFonts w:hint="eastAsia" w:ascii="宋体" w:hAnsi="宋体" w:eastAsia="宋体" w:cs="宋体"/>
                <w:color w:val="auto"/>
                <w:sz w:val="21"/>
                <w:szCs w:val="21"/>
                <w:highlight w:val="none"/>
                <w:lang w:val="en-US" w:eastAsia="zh-CN"/>
              </w:rPr>
              <w:t>分。未提供本项内容的本项不得分。</w:t>
            </w:r>
          </w:p>
        </w:tc>
      </w:tr>
      <w:tr w14:paraId="7C4814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1310" w:type="dxa"/>
            <w:noWrap w:val="0"/>
            <w:vAlign w:val="top"/>
          </w:tcPr>
          <w:p w14:paraId="5156147A">
            <w:pPr>
              <w:spacing w:before="65" w:line="227" w:lineRule="auto"/>
              <w:jc w:val="center"/>
              <w:rPr>
                <w:rFonts w:hint="eastAsia" w:ascii="宋体" w:hAnsi="宋体" w:eastAsia="宋体" w:cs="宋体"/>
                <w:color w:val="auto"/>
                <w:spacing w:val="10"/>
                <w:sz w:val="21"/>
                <w:szCs w:val="21"/>
                <w:highlight w:val="none"/>
                <w:lang w:eastAsia="zh-CN"/>
              </w:rPr>
            </w:pPr>
          </w:p>
          <w:p w14:paraId="28EDF2B0">
            <w:pPr>
              <w:spacing w:before="65" w:line="227" w:lineRule="auto"/>
              <w:jc w:val="center"/>
              <w:rPr>
                <w:rFonts w:hint="eastAsia" w:ascii="宋体" w:hAnsi="宋体" w:eastAsia="宋体" w:cs="宋体"/>
                <w:color w:val="auto"/>
                <w:spacing w:val="10"/>
                <w:sz w:val="21"/>
                <w:szCs w:val="21"/>
                <w:highlight w:val="none"/>
                <w:lang w:eastAsia="zh-CN"/>
              </w:rPr>
            </w:pPr>
          </w:p>
          <w:p w14:paraId="741752DF">
            <w:pPr>
              <w:spacing w:before="65" w:line="227" w:lineRule="auto"/>
              <w:jc w:val="center"/>
              <w:rPr>
                <w:rFonts w:hint="eastAsia" w:ascii="宋体" w:hAnsi="宋体" w:cs="宋体"/>
                <w:color w:val="auto"/>
                <w:spacing w:val="10"/>
                <w:highlight w:val="none"/>
              </w:rPr>
            </w:pPr>
            <w:r>
              <w:rPr>
                <w:rFonts w:hint="eastAsia" w:ascii="宋体" w:hAnsi="宋体" w:eastAsia="宋体" w:cs="宋体"/>
                <w:color w:val="auto"/>
                <w:spacing w:val="10"/>
                <w:sz w:val="21"/>
                <w:szCs w:val="21"/>
                <w:highlight w:val="none"/>
                <w:lang w:eastAsia="zh-CN"/>
              </w:rPr>
              <w:t>质量保证体系及措施</w:t>
            </w:r>
          </w:p>
        </w:tc>
        <w:tc>
          <w:tcPr>
            <w:tcW w:w="833" w:type="dxa"/>
            <w:noWrap w:val="0"/>
            <w:vAlign w:val="top"/>
          </w:tcPr>
          <w:p w14:paraId="7638AEDB">
            <w:pPr>
              <w:pStyle w:val="14"/>
              <w:ind w:firstLine="194"/>
              <w:rPr>
                <w:rFonts w:hint="eastAsia" w:ascii="宋体" w:hAnsi="宋体" w:eastAsia="宋体" w:cs="宋体"/>
                <w:b w:val="0"/>
                <w:bCs w:val="0"/>
                <w:color w:val="auto"/>
                <w:spacing w:val="-8"/>
                <w:sz w:val="21"/>
                <w:szCs w:val="21"/>
                <w:highlight w:val="none"/>
                <w:lang w:val="en-US" w:eastAsia="zh-CN"/>
              </w:rPr>
            </w:pPr>
          </w:p>
          <w:p w14:paraId="1E5147D8">
            <w:pPr>
              <w:pStyle w:val="14"/>
              <w:ind w:firstLine="194"/>
              <w:rPr>
                <w:rFonts w:hint="eastAsia" w:ascii="宋体" w:hAnsi="宋体" w:eastAsia="宋体" w:cs="宋体"/>
                <w:b w:val="0"/>
                <w:bCs w:val="0"/>
                <w:color w:val="auto"/>
                <w:spacing w:val="-8"/>
                <w:sz w:val="21"/>
                <w:szCs w:val="21"/>
                <w:highlight w:val="none"/>
                <w:lang w:val="en-US" w:eastAsia="zh-CN"/>
              </w:rPr>
            </w:pPr>
          </w:p>
          <w:p w14:paraId="5B5164F2">
            <w:pPr>
              <w:pStyle w:val="14"/>
              <w:ind w:firstLine="388" w:firstLineChars="200"/>
              <w:rPr>
                <w:rFonts w:hint="default"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t>8</w:t>
            </w:r>
          </w:p>
        </w:tc>
        <w:tc>
          <w:tcPr>
            <w:tcW w:w="7121" w:type="dxa"/>
            <w:noWrap w:val="0"/>
            <w:vAlign w:val="top"/>
          </w:tcPr>
          <w:p w14:paraId="49983AEF">
            <w:pPr>
              <w:spacing w:before="61" w:beforeAutospacing="0" w:afterAutospacing="0" w:line="302" w:lineRule="auto"/>
              <w:ind w:left="115" w:leftChars="0" w:right="105" w:rightChars="0" w:hanging="3" w:firstLineChars="0"/>
              <w:rPr>
                <w:rFonts w:hint="eastAsia" w:ascii="宋体" w:hAnsi="宋体" w:cs="宋体"/>
                <w:color w:val="auto"/>
                <w:spacing w:val="5"/>
                <w:highlight w:val="none"/>
              </w:rPr>
            </w:pPr>
            <w:r>
              <w:rPr>
                <w:rFonts w:hint="eastAsia" w:ascii="宋体" w:hAnsi="宋体" w:eastAsia="宋体" w:cs="宋体"/>
                <w:color w:val="auto"/>
                <w:spacing w:val="5"/>
                <w:sz w:val="21"/>
                <w:szCs w:val="21"/>
                <w:highlight w:val="none"/>
                <w:lang w:val="en-US" w:eastAsia="zh-CN"/>
              </w:rPr>
              <w:t>根据本项目的特点，充分采用组织、经济、合同、技术、</w:t>
            </w:r>
            <w:r>
              <w:rPr>
                <w:rFonts w:hint="eastAsia" w:ascii="宋体" w:hAnsi="宋体" w:eastAsia="宋体" w:cs="宋体"/>
                <w:b/>
                <w:bCs/>
                <w:color w:val="auto"/>
                <w:spacing w:val="5"/>
                <w:sz w:val="21"/>
                <w:szCs w:val="21"/>
                <w:highlight w:val="none"/>
                <w:lang w:val="en-US" w:eastAsia="zh-CN"/>
              </w:rPr>
              <w:t>实时监控</w:t>
            </w:r>
            <w:r>
              <w:rPr>
                <w:rFonts w:hint="eastAsia" w:ascii="宋体" w:hAnsi="宋体" w:cs="宋体"/>
                <w:b/>
                <w:bCs/>
                <w:color w:val="auto"/>
                <w:spacing w:val="5"/>
                <w:sz w:val="21"/>
                <w:szCs w:val="21"/>
                <w:highlight w:val="none"/>
                <w:lang w:val="en-US" w:eastAsia="zh-CN"/>
              </w:rPr>
              <w:t>（打捞保洁船需配备监控设备）</w:t>
            </w:r>
            <w:r>
              <w:rPr>
                <w:rFonts w:hint="eastAsia" w:ascii="宋体" w:hAnsi="宋体" w:eastAsia="宋体" w:cs="宋体"/>
                <w:color w:val="auto"/>
                <w:spacing w:val="5"/>
                <w:sz w:val="21"/>
                <w:szCs w:val="21"/>
                <w:highlight w:val="none"/>
                <w:lang w:val="en-US" w:eastAsia="zh-CN"/>
              </w:rPr>
              <w:t>、协调管理、等措施预案；措施预案内容完整、具体、合理、与</w:t>
            </w:r>
            <w:r>
              <w:rPr>
                <w:rFonts w:hint="eastAsia" w:ascii="宋体" w:hAnsi="宋体" w:cs="宋体"/>
                <w:color w:val="auto"/>
                <w:spacing w:val="5"/>
                <w:sz w:val="21"/>
                <w:szCs w:val="21"/>
                <w:highlight w:val="none"/>
                <w:lang w:val="en-US" w:eastAsia="zh-CN"/>
              </w:rPr>
              <w:t>王港河</w:t>
            </w:r>
            <w:r>
              <w:rPr>
                <w:rFonts w:hint="eastAsia" w:ascii="宋体" w:hAnsi="宋体" w:eastAsia="宋体" w:cs="宋体"/>
                <w:color w:val="auto"/>
                <w:spacing w:val="5"/>
                <w:sz w:val="21"/>
                <w:szCs w:val="21"/>
                <w:highlight w:val="none"/>
                <w:lang w:val="en-US" w:eastAsia="zh-CN"/>
              </w:rPr>
              <w:t>现场实际情况结合切实可行</w:t>
            </w:r>
            <w:r>
              <w:rPr>
                <w:rFonts w:hint="eastAsia" w:ascii="宋体" w:hAnsi="宋体" w:cs="宋体"/>
                <w:color w:val="auto"/>
                <w:spacing w:val="5"/>
                <w:sz w:val="21"/>
                <w:szCs w:val="21"/>
                <w:highlight w:val="none"/>
                <w:lang w:val="en-US" w:eastAsia="zh-CN"/>
              </w:rPr>
              <w:t>。</w:t>
            </w:r>
            <w:r>
              <w:rPr>
                <w:rFonts w:hint="eastAsia" w:ascii="宋体" w:hAnsi="宋体" w:eastAsia="宋体" w:cs="宋体"/>
                <w:color w:val="auto"/>
                <w:sz w:val="21"/>
                <w:szCs w:val="21"/>
                <w:highlight w:val="none"/>
                <w:lang w:val="en-US" w:eastAsia="zh-CN"/>
              </w:rPr>
              <w:t>优于项目需求的得8分；</w:t>
            </w:r>
            <w:r>
              <w:rPr>
                <w:rFonts w:hint="eastAsia" w:ascii="宋体" w:hAnsi="宋体" w:eastAsia="宋体" w:cs="宋体"/>
                <w:color w:val="auto"/>
                <w:sz w:val="21"/>
                <w:szCs w:val="21"/>
                <w:highlight w:val="none"/>
                <w:lang w:eastAsia="zh-CN"/>
              </w:rPr>
              <w:t>满足采购人服务管理需求，目标明确可操作性强的得</w:t>
            </w:r>
            <w:r>
              <w:rPr>
                <w:rFonts w:hint="eastAsia" w:ascii="宋体" w:hAnsi="宋体" w:eastAsia="宋体" w:cs="宋体"/>
                <w:color w:val="auto"/>
                <w:sz w:val="21"/>
                <w:szCs w:val="21"/>
                <w:highlight w:val="none"/>
                <w:lang w:val="en-US" w:eastAsia="zh-CN"/>
              </w:rPr>
              <w:t>6</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分；针对性一般、目标内容基本明确的得</w:t>
            </w:r>
            <w:r>
              <w:rPr>
                <w:rFonts w:hint="eastAsia" w:ascii="宋体" w:hAnsi="宋体" w:eastAsia="宋体" w:cs="宋体"/>
                <w:color w:val="auto"/>
                <w:sz w:val="21"/>
                <w:szCs w:val="21"/>
                <w:highlight w:val="none"/>
                <w:lang w:val="en-US" w:eastAsia="zh-CN"/>
              </w:rPr>
              <w:t>4</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分；针对性欠佳，目标内容表述不清的得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分。未提供本项内容的本项不得分。</w:t>
            </w:r>
          </w:p>
        </w:tc>
      </w:tr>
      <w:tr w14:paraId="7C50B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310" w:type="dxa"/>
            <w:noWrap w:val="0"/>
            <w:vAlign w:val="top"/>
          </w:tcPr>
          <w:p w14:paraId="38F78A8C">
            <w:pPr>
              <w:spacing w:line="314" w:lineRule="auto"/>
              <w:rPr>
                <w:rFonts w:hint="eastAsia" w:ascii="宋体" w:hAnsi="宋体" w:eastAsia="宋体" w:cs="宋体"/>
                <w:color w:val="auto"/>
                <w:sz w:val="21"/>
                <w:szCs w:val="21"/>
                <w:highlight w:val="none"/>
              </w:rPr>
            </w:pPr>
          </w:p>
          <w:p w14:paraId="40EDD662">
            <w:pPr>
              <w:spacing w:line="314" w:lineRule="auto"/>
              <w:rPr>
                <w:rFonts w:hint="eastAsia" w:ascii="宋体" w:hAnsi="宋体" w:eastAsia="宋体" w:cs="宋体"/>
                <w:color w:val="auto"/>
                <w:sz w:val="21"/>
                <w:szCs w:val="21"/>
                <w:highlight w:val="none"/>
              </w:rPr>
            </w:pPr>
          </w:p>
          <w:p w14:paraId="260ABED7">
            <w:pPr>
              <w:spacing w:line="315" w:lineRule="auto"/>
              <w:rPr>
                <w:rFonts w:hint="eastAsia" w:ascii="宋体" w:hAnsi="宋体" w:eastAsia="宋体" w:cs="宋体"/>
                <w:color w:val="auto"/>
                <w:sz w:val="21"/>
                <w:szCs w:val="21"/>
                <w:highlight w:val="none"/>
              </w:rPr>
            </w:pPr>
          </w:p>
          <w:p w14:paraId="7C6AC9D6">
            <w:pPr>
              <w:spacing w:before="65" w:line="228" w:lineRule="auto"/>
              <w:ind w:firstLine="230" w:firstLineChars="100"/>
              <w:rPr>
                <w:rFonts w:hint="eastAsia" w:ascii="宋体" w:hAnsi="宋体" w:cs="宋体"/>
                <w:color w:val="auto"/>
                <w:highlight w:val="none"/>
              </w:rPr>
            </w:pPr>
            <w:r>
              <w:rPr>
                <w:rFonts w:hint="eastAsia" w:ascii="宋体" w:hAnsi="宋体" w:eastAsia="宋体" w:cs="宋体"/>
                <w:color w:val="auto"/>
                <w:spacing w:val="10"/>
                <w:sz w:val="21"/>
                <w:szCs w:val="21"/>
                <w:highlight w:val="none"/>
              </w:rPr>
              <w:t>应</w:t>
            </w:r>
            <w:r>
              <w:rPr>
                <w:rFonts w:hint="eastAsia" w:ascii="宋体" w:hAnsi="宋体" w:eastAsia="宋体" w:cs="宋体"/>
                <w:color w:val="auto"/>
                <w:spacing w:val="8"/>
                <w:sz w:val="21"/>
                <w:szCs w:val="21"/>
                <w:highlight w:val="none"/>
              </w:rPr>
              <w:t>急方案</w:t>
            </w:r>
          </w:p>
        </w:tc>
        <w:tc>
          <w:tcPr>
            <w:tcW w:w="833" w:type="dxa"/>
            <w:noWrap w:val="0"/>
            <w:vAlign w:val="top"/>
          </w:tcPr>
          <w:p w14:paraId="15E5AD53">
            <w:pPr>
              <w:spacing w:line="244" w:lineRule="auto"/>
              <w:rPr>
                <w:rFonts w:hint="eastAsia" w:ascii="宋体" w:hAnsi="宋体" w:eastAsia="宋体" w:cs="宋体"/>
                <w:b w:val="0"/>
                <w:bCs w:val="0"/>
                <w:color w:val="auto"/>
                <w:sz w:val="21"/>
                <w:szCs w:val="21"/>
                <w:highlight w:val="none"/>
              </w:rPr>
            </w:pPr>
          </w:p>
          <w:p w14:paraId="17D434B6">
            <w:pPr>
              <w:spacing w:line="244" w:lineRule="auto"/>
              <w:rPr>
                <w:rFonts w:hint="eastAsia" w:ascii="宋体" w:hAnsi="宋体" w:eastAsia="宋体" w:cs="宋体"/>
                <w:b w:val="0"/>
                <w:bCs w:val="0"/>
                <w:color w:val="auto"/>
                <w:sz w:val="21"/>
                <w:szCs w:val="21"/>
                <w:highlight w:val="none"/>
              </w:rPr>
            </w:pPr>
          </w:p>
          <w:p w14:paraId="29125EFB">
            <w:pPr>
              <w:spacing w:line="244" w:lineRule="auto"/>
              <w:rPr>
                <w:rFonts w:hint="eastAsia" w:ascii="宋体" w:hAnsi="宋体" w:eastAsia="宋体" w:cs="宋体"/>
                <w:b w:val="0"/>
                <w:bCs w:val="0"/>
                <w:color w:val="auto"/>
                <w:sz w:val="21"/>
                <w:szCs w:val="21"/>
                <w:highlight w:val="none"/>
              </w:rPr>
            </w:pPr>
          </w:p>
          <w:p w14:paraId="71B10B5D">
            <w:pPr>
              <w:spacing w:line="244" w:lineRule="auto"/>
              <w:rPr>
                <w:rFonts w:hint="eastAsia" w:ascii="宋体" w:hAnsi="宋体" w:eastAsia="宋体" w:cs="宋体"/>
                <w:b w:val="0"/>
                <w:bCs w:val="0"/>
                <w:color w:val="auto"/>
                <w:sz w:val="21"/>
                <w:szCs w:val="21"/>
                <w:highlight w:val="none"/>
              </w:rPr>
            </w:pPr>
          </w:p>
          <w:p w14:paraId="66631686">
            <w:pPr>
              <w:spacing w:before="65" w:line="190" w:lineRule="auto"/>
              <w:ind w:firstLine="420" w:firstLineChars="20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9</w:t>
            </w:r>
          </w:p>
        </w:tc>
        <w:tc>
          <w:tcPr>
            <w:tcW w:w="7121" w:type="dxa"/>
            <w:noWrap w:val="0"/>
            <w:vAlign w:val="top"/>
          </w:tcPr>
          <w:p w14:paraId="5D6B181D">
            <w:pPr>
              <w:spacing w:before="61" w:beforeAutospacing="0" w:afterAutospacing="0" w:line="302" w:lineRule="auto"/>
              <w:ind w:left="115" w:leftChars="0" w:right="105" w:rightChars="0" w:hanging="3" w:firstLineChars="0"/>
              <w:rPr>
                <w:rFonts w:hint="eastAsia" w:ascii="宋体" w:hAnsi="宋体" w:cs="宋体"/>
                <w:color w:val="auto"/>
                <w:spacing w:val="5"/>
                <w:highlight w:val="none"/>
              </w:rPr>
            </w:pPr>
            <w:r>
              <w:rPr>
                <w:rFonts w:hint="eastAsia" w:ascii="宋体" w:hAnsi="宋体" w:eastAsia="宋体" w:cs="宋体"/>
                <w:color w:val="auto"/>
                <w:spacing w:val="5"/>
                <w:sz w:val="21"/>
                <w:szCs w:val="21"/>
                <w:highlight w:val="none"/>
                <w:lang w:val="en-US" w:eastAsia="zh-CN"/>
              </w:rPr>
              <w:t>针对突发性事件(如自然灾害、突发疫情、临时任务等) ，应急人员配备、应急设备、应急响应时间、处理预案等情况的应对能力，切实可行并能按期完成保洁任务</w:t>
            </w:r>
            <w:r>
              <w:rPr>
                <w:rFonts w:hint="eastAsia" w:ascii="宋体" w:hAnsi="宋体" w:cs="宋体"/>
                <w:color w:val="auto"/>
                <w:spacing w:val="5"/>
                <w:sz w:val="21"/>
                <w:szCs w:val="21"/>
                <w:highlight w:val="none"/>
                <w:lang w:val="en-US" w:eastAsia="zh-CN"/>
              </w:rPr>
              <w:t>，</w:t>
            </w:r>
            <w:r>
              <w:rPr>
                <w:rFonts w:hint="eastAsia" w:ascii="宋体" w:hAnsi="宋体" w:eastAsia="宋体" w:cs="宋体"/>
                <w:color w:val="auto"/>
                <w:sz w:val="21"/>
                <w:szCs w:val="21"/>
                <w:highlight w:val="none"/>
                <w:lang w:val="en-US" w:eastAsia="zh-CN"/>
              </w:rPr>
              <w:t>优于项目需求的得</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eastAsia="zh-CN"/>
              </w:rPr>
              <w:t>满足采购人服务管理需求，目标明确可操作性强的得</w:t>
            </w:r>
            <w:r>
              <w:rPr>
                <w:rFonts w:hint="eastAsia" w:ascii="宋体" w:hAnsi="宋体" w:cs="宋体"/>
                <w:color w:val="auto"/>
                <w:sz w:val="21"/>
                <w:szCs w:val="21"/>
                <w:highlight w:val="none"/>
                <w:lang w:val="en-US" w:eastAsia="zh-CN"/>
              </w:rPr>
              <w:t>7.2</w:t>
            </w:r>
            <w:r>
              <w:rPr>
                <w:rFonts w:hint="eastAsia" w:ascii="宋体" w:hAnsi="宋体" w:eastAsia="宋体" w:cs="宋体"/>
                <w:color w:val="auto"/>
                <w:sz w:val="21"/>
                <w:szCs w:val="21"/>
                <w:highlight w:val="none"/>
                <w:lang w:eastAsia="zh-CN"/>
              </w:rPr>
              <w:t>分；针对性一般、目标内容基本明确的得</w:t>
            </w:r>
            <w:r>
              <w:rPr>
                <w:rFonts w:hint="eastAsia" w:ascii="宋体" w:hAnsi="宋体" w:cs="宋体"/>
                <w:color w:val="auto"/>
                <w:sz w:val="21"/>
                <w:szCs w:val="21"/>
                <w:highlight w:val="none"/>
                <w:lang w:val="en-US" w:eastAsia="zh-CN"/>
              </w:rPr>
              <w:t>5.4</w:t>
            </w:r>
            <w:r>
              <w:rPr>
                <w:rFonts w:hint="eastAsia" w:ascii="宋体" w:hAnsi="宋体" w:eastAsia="宋体" w:cs="宋体"/>
                <w:color w:val="auto"/>
                <w:sz w:val="21"/>
                <w:szCs w:val="21"/>
                <w:highlight w:val="none"/>
                <w:lang w:eastAsia="zh-CN"/>
              </w:rPr>
              <w:t>分；针对性欠佳，目标内容表述不清的得</w:t>
            </w:r>
            <w:r>
              <w:rPr>
                <w:rFonts w:hint="eastAsia" w:ascii="宋体" w:hAnsi="宋体" w:cs="宋体"/>
                <w:color w:val="auto"/>
                <w:sz w:val="21"/>
                <w:szCs w:val="21"/>
                <w:highlight w:val="none"/>
                <w:lang w:val="en-US" w:eastAsia="zh-CN"/>
              </w:rPr>
              <w:t>4.5</w:t>
            </w:r>
            <w:r>
              <w:rPr>
                <w:rFonts w:hint="eastAsia" w:ascii="宋体" w:hAnsi="宋体" w:eastAsia="宋体" w:cs="宋体"/>
                <w:color w:val="auto"/>
                <w:sz w:val="21"/>
                <w:szCs w:val="21"/>
                <w:highlight w:val="none"/>
                <w:lang w:val="en-US" w:eastAsia="zh-CN"/>
              </w:rPr>
              <w:t>分。未提供本项内容的本项不得分。</w:t>
            </w:r>
          </w:p>
        </w:tc>
      </w:tr>
      <w:tr w14:paraId="5E334E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9264" w:type="dxa"/>
            <w:gridSpan w:val="3"/>
            <w:noWrap w:val="0"/>
            <w:vAlign w:val="top"/>
          </w:tcPr>
          <w:p w14:paraId="4605BEE6">
            <w:pPr>
              <w:spacing w:before="36" w:line="225" w:lineRule="auto"/>
              <w:ind w:left="117"/>
              <w:rPr>
                <w:rFonts w:hint="eastAsia" w:ascii="宋体" w:hAnsi="宋体" w:cs="宋体"/>
                <w:color w:val="auto"/>
                <w:highlight w:val="none"/>
              </w:rPr>
            </w:pPr>
            <w:r>
              <w:rPr>
                <w:rFonts w:hint="eastAsia" w:ascii="宋体" w:hAnsi="宋体" w:cs="宋体"/>
                <w:color w:val="auto"/>
                <w:spacing w:val="6"/>
                <w:highlight w:val="none"/>
              </w:rPr>
              <w:t>其</w:t>
            </w:r>
            <w:r>
              <w:rPr>
                <w:rFonts w:hint="eastAsia" w:ascii="宋体" w:hAnsi="宋体" w:cs="宋体"/>
                <w:color w:val="auto"/>
                <w:spacing w:val="4"/>
                <w:highlight w:val="none"/>
              </w:rPr>
              <w:t>他 (1)</w:t>
            </w:r>
          </w:p>
        </w:tc>
      </w:tr>
      <w:tr w14:paraId="281A27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1310" w:type="dxa"/>
            <w:noWrap w:val="0"/>
            <w:vAlign w:val="top"/>
          </w:tcPr>
          <w:p w14:paraId="5A73460D">
            <w:pPr>
              <w:spacing w:before="197" w:line="227" w:lineRule="auto"/>
              <w:ind w:left="565"/>
              <w:rPr>
                <w:rFonts w:hint="eastAsia" w:ascii="宋体" w:hAnsi="宋体" w:cs="宋体"/>
                <w:color w:val="auto"/>
                <w:highlight w:val="none"/>
              </w:rPr>
            </w:pPr>
            <w:r>
              <w:rPr>
                <w:rFonts w:hint="eastAsia" w:ascii="宋体" w:hAnsi="宋体" w:cs="宋体"/>
                <w:color w:val="auto"/>
                <w:spacing w:val="9"/>
                <w:highlight w:val="none"/>
              </w:rPr>
              <w:t>承</w:t>
            </w:r>
            <w:r>
              <w:rPr>
                <w:rFonts w:hint="eastAsia" w:ascii="宋体" w:hAnsi="宋体" w:cs="宋体"/>
                <w:color w:val="auto"/>
                <w:spacing w:val="7"/>
                <w:highlight w:val="none"/>
              </w:rPr>
              <w:t>诺书</w:t>
            </w:r>
          </w:p>
        </w:tc>
        <w:tc>
          <w:tcPr>
            <w:tcW w:w="833" w:type="dxa"/>
            <w:noWrap w:val="0"/>
            <w:vAlign w:val="top"/>
          </w:tcPr>
          <w:p w14:paraId="7031D1C3">
            <w:pPr>
              <w:spacing w:before="229" w:line="193" w:lineRule="auto"/>
              <w:ind w:firstLine="420" w:firstLineChars="200"/>
              <w:rPr>
                <w:rFonts w:hint="eastAsia" w:ascii="宋体" w:hAnsi="宋体" w:cs="宋体"/>
                <w:color w:val="auto"/>
                <w:highlight w:val="none"/>
              </w:rPr>
            </w:pPr>
            <w:r>
              <w:rPr>
                <w:rFonts w:hint="eastAsia" w:ascii="宋体" w:hAnsi="宋体" w:cs="宋体"/>
                <w:color w:val="auto"/>
                <w:highlight w:val="none"/>
              </w:rPr>
              <w:t>1</w:t>
            </w:r>
          </w:p>
        </w:tc>
        <w:tc>
          <w:tcPr>
            <w:tcW w:w="7121" w:type="dxa"/>
            <w:noWrap w:val="0"/>
            <w:vAlign w:val="top"/>
          </w:tcPr>
          <w:p w14:paraId="6530D702">
            <w:pPr>
              <w:spacing w:before="35" w:line="264" w:lineRule="auto"/>
              <w:ind w:left="113" w:right="106" w:firstLine="1"/>
              <w:rPr>
                <w:rFonts w:hint="eastAsia" w:ascii="宋体" w:hAnsi="宋体" w:cs="宋体"/>
                <w:color w:val="auto"/>
                <w:highlight w:val="none"/>
              </w:rPr>
            </w:pPr>
            <w:r>
              <w:rPr>
                <w:rFonts w:hint="eastAsia" w:ascii="宋体" w:hAnsi="宋体" w:cs="宋体"/>
                <w:color w:val="auto"/>
                <w:spacing w:val="10"/>
                <w:highlight w:val="none"/>
              </w:rPr>
              <w:t>投标文</w:t>
            </w:r>
            <w:r>
              <w:rPr>
                <w:rFonts w:hint="eastAsia" w:ascii="宋体" w:hAnsi="宋体" w:cs="宋体"/>
                <w:color w:val="auto"/>
                <w:spacing w:val="9"/>
                <w:highlight w:val="none"/>
              </w:rPr>
              <w:t>件</w:t>
            </w:r>
            <w:r>
              <w:rPr>
                <w:rFonts w:hint="eastAsia" w:ascii="宋体" w:hAnsi="宋体" w:cs="宋体"/>
                <w:color w:val="auto"/>
                <w:spacing w:val="5"/>
                <w:highlight w:val="none"/>
              </w:rPr>
              <w:t>中提供《盐城市大丰区政府招标采购供应商承诺书》的得 1 分，未</w:t>
            </w:r>
            <w:r>
              <w:rPr>
                <w:rFonts w:hint="eastAsia" w:ascii="宋体" w:hAnsi="宋体" w:cs="宋体"/>
                <w:color w:val="auto"/>
                <w:spacing w:val="7"/>
                <w:highlight w:val="none"/>
              </w:rPr>
              <w:t>提供的不得分</w:t>
            </w:r>
            <w:r>
              <w:rPr>
                <w:rFonts w:hint="eastAsia" w:ascii="宋体" w:hAnsi="宋体" w:cs="宋体"/>
                <w:color w:val="auto"/>
                <w:spacing w:val="6"/>
                <w:highlight w:val="none"/>
              </w:rPr>
              <w:t>。</w:t>
            </w:r>
          </w:p>
        </w:tc>
      </w:tr>
    </w:tbl>
    <w:p w14:paraId="6710D70E">
      <w:pPr>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异常低价审查</w:t>
      </w:r>
    </w:p>
    <w:p w14:paraId="201F73FE">
      <w:pPr>
        <w:spacing w:line="400" w:lineRule="exact"/>
        <w:ind w:firstLine="48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(一)评审过程中出现下列情形之一的，评审委员会应当启动异常低价投标(响应)审查程序:</w:t>
      </w:r>
    </w:p>
    <w:p w14:paraId="61483254">
      <w:pPr>
        <w:spacing w:line="400" w:lineRule="exact"/>
        <w:ind w:firstLine="48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1.投标(响应)报价低于采购项目预算50%的，即投标(响应)报价&lt;采购项目预算x50%;</w:t>
      </w:r>
    </w:p>
    <w:p w14:paraId="58F12088">
      <w:pPr>
        <w:spacing w:line="400" w:lineRule="exact"/>
        <w:ind w:firstLine="48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2.投标(响应)报价低于采购项目最高限价45%的，即投标(响应)报价&lt;采购项目最高限价x45%;</w:t>
      </w:r>
    </w:p>
    <w:p w14:paraId="3E24A60D">
      <w:pPr>
        <w:spacing w:line="400" w:lineRule="exact"/>
        <w:ind w:firstLine="48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3.评审委员会认定的供应商报价过低、有可能影响产品质量或者不能诚信履约的其他情形。</w:t>
      </w:r>
    </w:p>
    <w:p w14:paraId="1546D40F">
      <w:pPr>
        <w:spacing w:line="400" w:lineRule="exact"/>
        <w:ind w:firstLine="48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68C6B7D">
      <w:pPr>
        <w:spacing w:line="420" w:lineRule="exact"/>
        <w:ind w:firstLine="442"/>
        <w:rPr>
          <w:rFonts w:ascii="宋体" w:hAnsi="宋体" w:cs="宋体"/>
          <w:color w:val="auto"/>
          <w:sz w:val="21"/>
          <w:szCs w:val="21"/>
          <w:highlight w:val="none"/>
        </w:rPr>
      </w:pPr>
      <w:r>
        <w:rPr>
          <w:rFonts w:hint="eastAsia" w:ascii="宋体" w:hAnsi="宋体" w:cs="宋体"/>
          <w:b/>
          <w:bCs/>
          <w:color w:val="auto"/>
          <w:sz w:val="21"/>
          <w:szCs w:val="21"/>
          <w:highlight w:val="none"/>
        </w:rPr>
        <w:t>三.评标程序</w:t>
      </w:r>
    </w:p>
    <w:p w14:paraId="0CBB69B9">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3.1 评标准备</w:t>
      </w:r>
    </w:p>
    <w:p w14:paraId="350D3449">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3.1.1 评标委员会成员到达评标现场时应在签到表上签到（或通过门禁系统签到）以证明其出席。</w:t>
      </w:r>
    </w:p>
    <w:p w14:paraId="2B96E583">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3.1.2 评标委员会成员首先推选一名评标委员会负责人，负责评标活动的组织领导工作。</w:t>
      </w:r>
    </w:p>
    <w:p w14:paraId="57FB1D47">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3.1.3 招标人或招标代理机构应向评标委员会提供评标所需的信息和数据。评标委员会负责人应组织评标委员会成员认真研究招标文件，未在招标文件中规定的标准和方法不得作为评标的依据。</w:t>
      </w:r>
    </w:p>
    <w:p w14:paraId="7C7CBBDF">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3.2 初步评审</w:t>
      </w:r>
    </w:p>
    <w:p w14:paraId="3BF3BB0A">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3.2.1评标委员会依据</w:t>
      </w:r>
      <w:r>
        <w:rPr>
          <w:rFonts w:hint="eastAsia" w:ascii="宋体" w:hAnsi="宋体" w:cs="宋体"/>
          <w:color w:val="auto"/>
          <w:sz w:val="21"/>
          <w:szCs w:val="21"/>
          <w:highlight w:val="none"/>
          <w:lang w:eastAsia="zh-CN"/>
        </w:rPr>
        <w:t>招标文件的</w:t>
      </w:r>
      <w:r>
        <w:rPr>
          <w:rFonts w:hint="eastAsia" w:ascii="宋体" w:hAnsi="宋体" w:cs="宋体"/>
          <w:color w:val="auto"/>
          <w:sz w:val="21"/>
          <w:szCs w:val="21"/>
          <w:highlight w:val="none"/>
        </w:rPr>
        <w:t>规定的标准对投标文件进行初步评审。</w:t>
      </w:r>
    </w:p>
    <w:p w14:paraId="4CC0A330">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3.2.2投标文件不符合</w:t>
      </w:r>
      <w:r>
        <w:rPr>
          <w:rFonts w:hint="eastAsia" w:ascii="宋体" w:hAnsi="宋体" w:cs="宋体"/>
          <w:color w:val="auto"/>
          <w:sz w:val="21"/>
          <w:szCs w:val="21"/>
          <w:highlight w:val="none"/>
          <w:lang w:eastAsia="zh-CN"/>
        </w:rPr>
        <w:t>招标文件</w:t>
      </w:r>
      <w:r>
        <w:rPr>
          <w:rFonts w:hint="eastAsia" w:ascii="宋体" w:hAnsi="宋体" w:cs="宋体"/>
          <w:color w:val="auto"/>
          <w:sz w:val="21"/>
          <w:szCs w:val="21"/>
          <w:highlight w:val="none"/>
        </w:rPr>
        <w:t>评审标准的，属于重大偏差，视为未能对招标文件作出实质性响应，应当作为无效投标予以否决。</w:t>
      </w:r>
    </w:p>
    <w:p w14:paraId="0CF05690">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3.2.3投标报价有算术错误的，评标委员会按以下原则对投标报价进行修正，修正的价格经投标人书面确认后具有约束力。</w:t>
      </w:r>
    </w:p>
    <w:p w14:paraId="2D732FE4">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(1）投标文件中的大写金额与小写金额不一致的，以大写金额为准；</w:t>
      </w:r>
    </w:p>
    <w:p w14:paraId="73DABABA">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(2）总价金额与依据单价计算出的结果不一致的，以单价金额为准修正总价，但单价金额小数点有明显错误的除外。</w:t>
      </w:r>
    </w:p>
    <w:p w14:paraId="2004AB4D">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3.2.</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只有通过初步评审的投标文件才能进入详细评审。</w:t>
      </w:r>
    </w:p>
    <w:p w14:paraId="77CF3B7F">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3.3 详细评审</w:t>
      </w:r>
    </w:p>
    <w:p w14:paraId="75B4F329">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3.3.1 在详细评审发现符合“无效标书条款”的，应当作为无效投标予以否决，其投标报价亦不作为评标基准价的依据。</w:t>
      </w:r>
    </w:p>
    <w:p w14:paraId="2195C3AE">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3.3.2 评标委员会按</w:t>
      </w:r>
      <w:r>
        <w:rPr>
          <w:rFonts w:hint="eastAsia" w:ascii="宋体" w:hAnsi="宋体" w:cs="宋体"/>
          <w:color w:val="auto"/>
          <w:sz w:val="21"/>
          <w:szCs w:val="21"/>
          <w:highlight w:val="none"/>
          <w:lang w:eastAsia="zh-CN"/>
        </w:rPr>
        <w:t>招标文件</w:t>
      </w:r>
      <w:r>
        <w:rPr>
          <w:rFonts w:hint="eastAsia" w:ascii="宋体" w:hAnsi="宋体" w:cs="宋体"/>
          <w:color w:val="auto"/>
          <w:sz w:val="21"/>
          <w:szCs w:val="21"/>
          <w:highlight w:val="none"/>
        </w:rPr>
        <w:t>规定的量化因素和分值进行打分，并计算出综合评估得分。</w:t>
      </w:r>
    </w:p>
    <w:p w14:paraId="4CE6FA19">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3.3.3 评分分值计算保留小数点后两位，小数点后第三位“四舍五入”。</w:t>
      </w:r>
    </w:p>
    <w:p w14:paraId="5D8294E7">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3.4 投标文件的澄清和补正</w:t>
      </w:r>
    </w:p>
    <w:p w14:paraId="68020709">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3.4.1 在评标过程中，评标委员会可以书面形式要求投标人对所提交投标文件中不明确的内容进行书面澄清或说明，或者对细微偏差进行补正。评标委员会不接受投标人主动提出的澄清、说明或补正。</w:t>
      </w:r>
    </w:p>
    <w:p w14:paraId="0DC05B79">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3.4.2 澄清、说明和补正不得改变投标文件的实质性内容（算术性错误修正的除外）。投标人的书面澄清、说明和补正属于投标文件的组成部分。</w:t>
      </w:r>
    </w:p>
    <w:p w14:paraId="6F116E71">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3.4.3 评标委员会对投标人提交的澄清、说明或补正有疑问的，可以要求投标人进一步澄清、说明或补正。</w:t>
      </w:r>
    </w:p>
    <w:p w14:paraId="0183EF48">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3.5 推荐中标候选人或直接确定中标人</w:t>
      </w:r>
    </w:p>
    <w:p w14:paraId="445B2FB9">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3.5.1 除投标人须知前附表授权直接确定中标人外，评标委员会在推荐中标候选人时，应遵照以下原则:</w:t>
      </w:r>
    </w:p>
    <w:p w14:paraId="3BDECECF">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评标委员会按照最终得分由高至低的次序排列，并根据</w:t>
      </w:r>
      <w:r>
        <w:rPr>
          <w:rFonts w:hint="eastAsia" w:ascii="宋体" w:hAnsi="宋体" w:cs="宋体"/>
          <w:color w:val="auto"/>
          <w:sz w:val="21"/>
          <w:szCs w:val="21"/>
          <w:highlight w:val="none"/>
          <w:lang w:eastAsia="zh-CN"/>
        </w:rPr>
        <w:t>招标文件</w:t>
      </w:r>
      <w:r>
        <w:rPr>
          <w:rFonts w:hint="eastAsia" w:ascii="宋体" w:hAnsi="宋体" w:cs="宋体"/>
          <w:color w:val="auto"/>
          <w:sz w:val="21"/>
          <w:szCs w:val="21"/>
          <w:highlight w:val="none"/>
        </w:rPr>
        <w:t>规定的中标候选人数量，将排序在前的投标人推荐为中标候选人。</w:t>
      </w:r>
    </w:p>
    <w:p w14:paraId="6F72FAD9">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 xml:space="preserve">3.6 提交评标报告 </w:t>
      </w:r>
    </w:p>
    <w:p w14:paraId="4FACD39F">
      <w:pPr>
        <w:spacing w:line="400" w:lineRule="exact"/>
        <w:ind w:firstLine="480"/>
        <w:rPr>
          <w:rFonts w:hint="eastAsia"/>
          <w:color w:val="auto"/>
          <w:highlight w:val="none"/>
        </w:rPr>
      </w:pPr>
      <w:r>
        <w:rPr>
          <w:rFonts w:hint="eastAsia" w:ascii="宋体" w:hAnsi="宋体" w:cs="宋体"/>
          <w:color w:val="auto"/>
          <w:sz w:val="21"/>
          <w:szCs w:val="21"/>
          <w:highlight w:val="none"/>
        </w:rPr>
        <w:t>评标委员会完成评标后，应当向招标人提交书面评标报告。评标报告应当由全体评标委员会成员签字，并于评标结束时抄送有关行政监督部门。</w:t>
      </w:r>
    </w:p>
    <w:p w14:paraId="5571F9A7">
      <w:pPr>
        <w:jc w:val="center"/>
        <w:rPr>
          <w:rFonts w:hint="eastAsia" w:ascii="宋体" w:hAnsi="宋体" w:eastAsia="宋体" w:cs="宋体"/>
          <w:b/>
          <w:color w:val="auto"/>
          <w:sz w:val="44"/>
          <w:szCs w:val="44"/>
          <w:highlight w:val="none"/>
        </w:rPr>
      </w:pPr>
      <w:bookmarkStart w:id="153" w:name="_Toc20823315"/>
      <w:bookmarkStart w:id="154" w:name="_Toc513029243"/>
      <w:bookmarkStart w:id="155" w:name="_Toc120614282"/>
      <w:bookmarkStart w:id="156" w:name="_Toc16938559"/>
      <w:bookmarkStart w:id="157" w:name="_Toc6648"/>
      <w:bookmarkStart w:id="158" w:name="_Toc26554094"/>
      <w:bookmarkStart w:id="159" w:name="_Toc10540"/>
      <w:bookmarkStart w:id="160" w:name="_Toc15858"/>
      <w:bookmarkStart w:id="161" w:name="_Toc49090576"/>
    </w:p>
    <w:p w14:paraId="57B6F9E6">
      <w:pPr>
        <w:jc w:val="center"/>
        <w:rPr>
          <w:rFonts w:hint="eastAsia" w:ascii="宋体" w:hAnsi="宋体" w:eastAsia="宋体" w:cs="宋体"/>
          <w:b/>
          <w:color w:val="auto"/>
          <w:sz w:val="44"/>
          <w:szCs w:val="44"/>
          <w:highlight w:val="none"/>
        </w:rPr>
      </w:pPr>
    </w:p>
    <w:p w14:paraId="6EA3AA09">
      <w:pPr>
        <w:jc w:val="center"/>
        <w:rPr>
          <w:rFonts w:hint="eastAsia" w:ascii="宋体" w:hAnsi="宋体" w:eastAsia="宋体" w:cs="宋体"/>
          <w:b/>
          <w:color w:val="auto"/>
          <w:sz w:val="44"/>
          <w:szCs w:val="44"/>
          <w:highlight w:val="none"/>
        </w:rPr>
      </w:pPr>
    </w:p>
    <w:p w14:paraId="3D248832">
      <w:pPr>
        <w:jc w:val="center"/>
        <w:rPr>
          <w:rFonts w:hint="eastAsia" w:ascii="宋体" w:hAnsi="宋体" w:eastAsia="宋体" w:cs="宋体"/>
          <w:b/>
          <w:color w:val="auto"/>
          <w:sz w:val="44"/>
          <w:szCs w:val="44"/>
          <w:highlight w:val="none"/>
        </w:rPr>
      </w:pPr>
    </w:p>
    <w:p w14:paraId="0D57A346">
      <w:pPr>
        <w:jc w:val="center"/>
        <w:rPr>
          <w:rFonts w:hint="eastAsia" w:ascii="宋体" w:hAnsi="宋体" w:eastAsia="宋体" w:cs="宋体"/>
          <w:b/>
          <w:color w:val="auto"/>
          <w:sz w:val="44"/>
          <w:szCs w:val="44"/>
          <w:highlight w:val="none"/>
        </w:rPr>
      </w:pPr>
    </w:p>
    <w:p w14:paraId="2CFDB808">
      <w:pPr>
        <w:jc w:val="center"/>
        <w:rPr>
          <w:rFonts w:hint="eastAsia" w:ascii="宋体" w:hAnsi="宋体" w:eastAsia="宋体" w:cs="宋体"/>
          <w:b/>
          <w:color w:val="auto"/>
          <w:sz w:val="44"/>
          <w:szCs w:val="44"/>
          <w:highlight w:val="none"/>
        </w:rPr>
      </w:pPr>
    </w:p>
    <w:p w14:paraId="348660BD">
      <w:pPr>
        <w:jc w:val="center"/>
        <w:rPr>
          <w:rFonts w:hint="eastAsia" w:ascii="宋体" w:hAnsi="宋体" w:eastAsia="宋体" w:cs="宋体"/>
          <w:b/>
          <w:color w:val="auto"/>
          <w:sz w:val="44"/>
          <w:szCs w:val="44"/>
          <w:highlight w:val="none"/>
        </w:rPr>
      </w:pPr>
    </w:p>
    <w:p w14:paraId="1FCBE7F8">
      <w:pPr>
        <w:jc w:val="center"/>
        <w:rPr>
          <w:rFonts w:hint="eastAsia" w:ascii="宋体" w:hAnsi="宋体" w:eastAsia="宋体" w:cs="宋体"/>
          <w:b/>
          <w:color w:val="auto"/>
          <w:sz w:val="44"/>
          <w:szCs w:val="44"/>
          <w:highlight w:val="none"/>
        </w:rPr>
      </w:pPr>
    </w:p>
    <w:p w14:paraId="362F69FA">
      <w:pPr>
        <w:jc w:val="center"/>
        <w:rPr>
          <w:rFonts w:hint="eastAsia" w:ascii="宋体" w:hAnsi="宋体" w:eastAsia="宋体" w:cs="宋体"/>
          <w:b/>
          <w:color w:val="auto"/>
          <w:sz w:val="44"/>
          <w:szCs w:val="44"/>
          <w:highlight w:val="none"/>
        </w:rPr>
      </w:pPr>
    </w:p>
    <w:p w14:paraId="3F4CB204">
      <w:pPr>
        <w:jc w:val="center"/>
        <w:rPr>
          <w:rFonts w:hint="eastAsia" w:ascii="宋体" w:hAnsi="宋体" w:eastAsia="宋体" w:cs="宋体"/>
          <w:b/>
          <w:color w:val="auto"/>
          <w:sz w:val="44"/>
          <w:szCs w:val="44"/>
          <w:highlight w:val="none"/>
        </w:rPr>
      </w:pPr>
      <w:bookmarkStart w:id="166" w:name="_GoBack"/>
      <w:bookmarkEnd w:id="166"/>
    </w:p>
    <w:p w14:paraId="68E73B16">
      <w:pPr>
        <w:jc w:val="center"/>
        <w:rPr>
          <w:rFonts w:hint="eastAsia" w:ascii="宋体" w:hAnsi="宋体" w:eastAsia="宋体" w:cs="宋体"/>
          <w:b/>
          <w:color w:val="auto"/>
          <w:sz w:val="44"/>
          <w:szCs w:val="44"/>
          <w:highlight w:val="none"/>
        </w:rPr>
      </w:pPr>
    </w:p>
    <w:p w14:paraId="1DDBE0D1">
      <w:pPr>
        <w:jc w:val="center"/>
        <w:rPr>
          <w:rFonts w:hint="eastAsia" w:ascii="ˎ̥" w:hAnsi="ˎ̥"/>
          <w:color w:val="auto"/>
          <w:sz w:val="24"/>
          <w:szCs w:val="24"/>
          <w:highlight w:val="none"/>
        </w:rPr>
      </w:pPr>
      <w:r>
        <w:rPr>
          <w:rFonts w:hint="eastAsia" w:ascii="宋体" w:hAnsi="宋体" w:eastAsia="宋体" w:cs="宋体"/>
          <w:b/>
          <w:color w:val="auto"/>
          <w:sz w:val="44"/>
          <w:szCs w:val="44"/>
          <w:highlight w:val="none"/>
        </w:rPr>
        <w:t>第五章 合同主要条款</w:t>
      </w:r>
      <w:bookmarkEnd w:id="148"/>
      <w:bookmarkEnd w:id="149"/>
      <w:bookmarkEnd w:id="153"/>
      <w:bookmarkEnd w:id="154"/>
      <w:bookmarkEnd w:id="155"/>
      <w:bookmarkEnd w:id="156"/>
      <w:bookmarkEnd w:id="157"/>
      <w:bookmarkEnd w:id="158"/>
      <w:bookmarkEnd w:id="159"/>
      <w:bookmarkEnd w:id="160"/>
      <w:bookmarkEnd w:id="161"/>
    </w:p>
    <w:p w14:paraId="06D86C89">
      <w:pPr>
        <w:spacing w:line="360" w:lineRule="auto"/>
        <w:rPr>
          <w:rFonts w:hint="eastAsia" w:ascii="宋体" w:hAnsi="宋体" w:cs="宋体"/>
          <w:color w:val="auto"/>
          <w:sz w:val="24"/>
          <w:szCs w:val="24"/>
          <w:highlight w:val="none"/>
          <w:lang w:bidi="ar"/>
        </w:rPr>
      </w:pPr>
    </w:p>
    <w:p w14:paraId="48E8E342">
      <w:pPr>
        <w:pStyle w:val="19"/>
        <w:keepLines w:val="0"/>
        <w:pageBreakBefore w:val="0"/>
        <w:widowControl w:val="0"/>
        <w:tabs>
          <w:tab w:val="left" w:pos="2472"/>
        </w:tabs>
        <w:spacing w:before="120" w:after="120" w:line="400" w:lineRule="exact"/>
        <w:rPr>
          <w:rFonts w:hint="eastAsia" w:hAnsi="宋体" w:eastAsia="宋体"/>
          <w:color w:val="auto"/>
          <w:sz w:val="21"/>
          <w:szCs w:val="21"/>
          <w:highlight w:val="none"/>
          <w:u w:val="single"/>
          <w:lang w:eastAsia="zh-CN"/>
        </w:rPr>
      </w:pPr>
      <w:bookmarkStart w:id="162" w:name="_Toc31592"/>
      <w:bookmarkStart w:id="163" w:name="_Toc32002"/>
      <w:bookmarkStart w:id="164" w:name="_Toc25681"/>
      <w:r>
        <w:rPr>
          <w:rFonts w:hAnsi="宋体"/>
          <w:color w:val="auto"/>
          <w:sz w:val="21"/>
          <w:szCs w:val="21"/>
          <w:highlight w:val="none"/>
        </w:rPr>
        <w:t>委托方(以下简称甲方)：</w:t>
      </w:r>
      <w:r>
        <w:rPr>
          <w:rFonts w:hint="eastAsia" w:hAnsi="宋体"/>
          <w:color w:val="auto"/>
          <w:sz w:val="21"/>
          <w:szCs w:val="21"/>
          <w:highlight w:val="none"/>
          <w:u w:val="single"/>
          <w:lang w:eastAsia="zh-CN"/>
        </w:rPr>
        <w:t>盐城市大丰区南阳镇人民政府</w:t>
      </w:r>
    </w:p>
    <w:p w14:paraId="67F21178">
      <w:pPr>
        <w:pStyle w:val="19"/>
        <w:keepLines w:val="0"/>
        <w:pageBreakBefore w:val="0"/>
        <w:widowControl w:val="0"/>
        <w:tabs>
          <w:tab w:val="left" w:pos="2472"/>
        </w:tabs>
        <w:spacing w:before="120" w:afterAutospacing="0" w:line="400" w:lineRule="exact"/>
        <w:rPr>
          <w:rFonts w:hAnsi="宋体"/>
          <w:color w:val="auto"/>
          <w:sz w:val="21"/>
          <w:szCs w:val="21"/>
          <w:highlight w:val="none"/>
        </w:rPr>
      </w:pPr>
      <w:r>
        <w:rPr>
          <w:rFonts w:hAnsi="宋体"/>
          <w:color w:val="auto"/>
          <w:sz w:val="21"/>
          <w:szCs w:val="21"/>
          <w:highlight w:val="none"/>
        </w:rPr>
        <w:t>受委托方(以下简称乙方)：</w:t>
      </w:r>
      <w:r>
        <w:rPr>
          <w:rFonts w:hint="eastAsia" w:hAnsi="宋体"/>
          <w:color w:val="auto"/>
          <w:sz w:val="21"/>
          <w:szCs w:val="21"/>
          <w:highlight w:val="none"/>
          <w:u w:val="single"/>
        </w:rPr>
        <w:t>(中标单位名称)</w:t>
      </w:r>
    </w:p>
    <w:p w14:paraId="151FA33A">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textAlignment w:val="auto"/>
        <w:rPr>
          <w:rFonts w:hAnsi="宋体"/>
          <w:color w:val="auto"/>
          <w:sz w:val="21"/>
          <w:szCs w:val="21"/>
          <w:highlight w:val="none"/>
        </w:rPr>
      </w:pPr>
      <w:r>
        <w:rPr>
          <w:rFonts w:hAnsi="宋体"/>
          <w:color w:val="auto"/>
          <w:sz w:val="21"/>
          <w:szCs w:val="21"/>
          <w:highlight w:val="none"/>
        </w:rPr>
        <w:t>根据《中华人民共和国</w:t>
      </w:r>
      <w:r>
        <w:rPr>
          <w:rFonts w:hint="eastAsia" w:hAnsi="宋体"/>
          <w:color w:val="auto"/>
          <w:sz w:val="21"/>
          <w:szCs w:val="21"/>
          <w:highlight w:val="none"/>
          <w:lang w:eastAsia="zh-CN"/>
        </w:rPr>
        <w:t>民法典</w:t>
      </w:r>
      <w:r>
        <w:rPr>
          <w:rFonts w:hAnsi="宋体"/>
          <w:color w:val="auto"/>
          <w:sz w:val="21"/>
          <w:szCs w:val="21"/>
          <w:highlight w:val="none"/>
        </w:rPr>
        <w:t>》等国家、地方有关法律、法规和政策，在平等、自愿、协商一致的基础上，就甲方委托乙方对</w:t>
      </w:r>
      <w:r>
        <w:rPr>
          <w:rFonts w:hint="eastAsia" w:hAnsi="宋体"/>
          <w:color w:val="auto"/>
          <w:sz w:val="21"/>
          <w:szCs w:val="21"/>
          <w:highlight w:val="none"/>
          <w:u w:val="single"/>
        </w:rPr>
        <w:t xml:space="preserve"> </w:t>
      </w:r>
      <w:r>
        <w:rPr>
          <w:rFonts w:hint="eastAsia" w:hAnsi="宋体"/>
          <w:color w:val="auto"/>
          <w:sz w:val="21"/>
          <w:szCs w:val="21"/>
          <w:highlight w:val="none"/>
          <w:u w:val="single"/>
          <w:lang w:eastAsia="zh-CN"/>
        </w:rPr>
        <w:t>盐城市大丰区2026年王港河水面漂浮物打捞服务项目</w:t>
      </w:r>
      <w:r>
        <w:rPr>
          <w:rFonts w:hAnsi="宋体"/>
          <w:color w:val="auto"/>
          <w:sz w:val="21"/>
          <w:szCs w:val="21"/>
          <w:highlight w:val="none"/>
        </w:rPr>
        <w:t>实行专业化、一体化的</w:t>
      </w:r>
      <w:r>
        <w:rPr>
          <w:rFonts w:hint="eastAsia" w:hAnsi="宋体"/>
          <w:color w:val="auto"/>
          <w:sz w:val="21"/>
          <w:szCs w:val="21"/>
          <w:highlight w:val="none"/>
        </w:rPr>
        <w:t>服务</w:t>
      </w:r>
      <w:r>
        <w:rPr>
          <w:rFonts w:hAnsi="宋体"/>
          <w:color w:val="auto"/>
          <w:sz w:val="21"/>
          <w:szCs w:val="21"/>
          <w:highlight w:val="none"/>
        </w:rPr>
        <w:t>订立本合同。</w:t>
      </w:r>
    </w:p>
    <w:p w14:paraId="237F96D3">
      <w:pPr>
        <w:pStyle w:val="19"/>
        <w:keepNext w:val="0"/>
        <w:keepLines w:val="0"/>
        <w:pageBreakBefore w:val="0"/>
        <w:widowControl w:val="0"/>
        <w:numPr>
          <w:ilvl w:val="0"/>
          <w:numId w:val="5"/>
        </w:numPr>
        <w:tabs>
          <w:tab w:val="left" w:pos="2472"/>
        </w:tabs>
        <w:kinsoku/>
        <w:wordWrap/>
        <w:overflowPunct/>
        <w:topLinePunct w:val="0"/>
        <w:autoSpaceDE/>
        <w:autoSpaceDN/>
        <w:bidi w:val="0"/>
        <w:adjustRightInd/>
        <w:snapToGrid/>
        <w:spacing w:beforeAutospacing="0" w:afterAutospacing="0" w:line="460" w:lineRule="exact"/>
        <w:ind w:left="420" w:leftChars="0" w:firstLine="0" w:firstLineChars="0"/>
        <w:textAlignment w:val="auto"/>
        <w:rPr>
          <w:rFonts w:hAnsi="宋体"/>
          <w:color w:val="auto"/>
          <w:sz w:val="21"/>
          <w:szCs w:val="21"/>
          <w:highlight w:val="none"/>
        </w:rPr>
      </w:pPr>
      <w:r>
        <w:rPr>
          <w:rFonts w:hAnsi="宋体"/>
          <w:color w:val="auto"/>
          <w:sz w:val="21"/>
          <w:szCs w:val="21"/>
          <w:highlight w:val="none"/>
        </w:rPr>
        <w:t>基本情况</w:t>
      </w:r>
    </w:p>
    <w:p w14:paraId="240C00DB">
      <w:pPr>
        <w:pStyle w:val="19"/>
        <w:keepNext w:val="0"/>
        <w:keepLines w:val="0"/>
        <w:pageBreakBefore w:val="0"/>
        <w:widowControl w:val="0"/>
        <w:numPr>
          <w:ilvl w:val="0"/>
          <w:numId w:val="0"/>
        </w:numPr>
        <w:tabs>
          <w:tab w:val="left" w:pos="2472"/>
        </w:tabs>
        <w:kinsoku/>
        <w:wordWrap/>
        <w:overflowPunct/>
        <w:topLinePunct w:val="0"/>
        <w:autoSpaceDE/>
        <w:autoSpaceDN/>
        <w:bidi w:val="0"/>
        <w:adjustRightInd/>
        <w:snapToGrid/>
        <w:spacing w:beforeAutospacing="0" w:afterAutospacing="0" w:line="460" w:lineRule="exact"/>
        <w:ind w:left="420" w:leftChars="0"/>
        <w:textAlignment w:val="auto"/>
        <w:rPr>
          <w:rFonts w:hint="eastAsia" w:hAnsi="宋体" w:eastAsia="宋体"/>
          <w:color w:val="auto"/>
          <w:sz w:val="21"/>
          <w:szCs w:val="21"/>
          <w:highlight w:val="none"/>
          <w:u w:val="single"/>
          <w:lang w:val="en-US" w:eastAsia="zh-CN"/>
        </w:rPr>
      </w:pPr>
      <w:r>
        <w:rPr>
          <w:rFonts w:hint="eastAsia" w:hAnsi="宋体"/>
          <w:color w:val="auto"/>
          <w:sz w:val="21"/>
          <w:szCs w:val="21"/>
          <w:highlight w:val="none"/>
          <w:lang w:val="en-US" w:eastAsia="zh-CN"/>
        </w:rPr>
        <w:t>1.</w:t>
      </w:r>
      <w:r>
        <w:rPr>
          <w:rFonts w:hint="eastAsia" w:hAnsi="宋体"/>
          <w:color w:val="auto"/>
          <w:sz w:val="21"/>
          <w:szCs w:val="21"/>
          <w:highlight w:val="none"/>
        </w:rPr>
        <w:t>标的名称：</w:t>
      </w:r>
      <w:r>
        <w:rPr>
          <w:rFonts w:hint="eastAsia" w:hAnsi="宋体"/>
          <w:color w:val="auto"/>
          <w:sz w:val="21"/>
          <w:szCs w:val="21"/>
          <w:highlight w:val="none"/>
          <w:u w:val="single"/>
          <w:lang w:eastAsia="zh-CN"/>
        </w:rPr>
        <w:t>盐城市大丰区2026年王港河水面漂浮物打捞服务项目</w:t>
      </w:r>
    </w:p>
    <w:p w14:paraId="6D94ED04">
      <w:pPr>
        <w:pStyle w:val="19"/>
        <w:keepNext w:val="0"/>
        <w:keepLines w:val="0"/>
        <w:pageBreakBefore w:val="0"/>
        <w:widowControl w:val="0"/>
        <w:numPr>
          <w:ilvl w:val="0"/>
          <w:numId w:val="0"/>
        </w:numPr>
        <w:tabs>
          <w:tab w:val="left" w:pos="2472"/>
        </w:tabs>
        <w:kinsoku/>
        <w:wordWrap/>
        <w:overflowPunct/>
        <w:topLinePunct w:val="0"/>
        <w:autoSpaceDE/>
        <w:autoSpaceDN/>
        <w:bidi w:val="0"/>
        <w:adjustRightInd/>
        <w:snapToGrid/>
        <w:spacing w:beforeAutospacing="0" w:afterAutospacing="0" w:line="460" w:lineRule="exact"/>
        <w:ind w:left="420" w:leftChars="0"/>
        <w:textAlignment w:val="auto"/>
        <w:rPr>
          <w:rFonts w:hint="default" w:hAnsi="宋体" w:eastAsia="宋体"/>
          <w:color w:val="auto"/>
          <w:sz w:val="21"/>
          <w:szCs w:val="21"/>
          <w:highlight w:val="none"/>
          <w:u w:val="single"/>
          <w:lang w:val="en-US" w:eastAsia="zh-CN"/>
        </w:rPr>
      </w:pPr>
      <w:r>
        <w:rPr>
          <w:rFonts w:hint="eastAsia" w:hAnsi="宋体"/>
          <w:color w:val="auto"/>
          <w:sz w:val="21"/>
          <w:szCs w:val="21"/>
          <w:highlight w:val="none"/>
          <w:lang w:val="en-US" w:eastAsia="zh-CN"/>
        </w:rPr>
        <w:t>2.</w:t>
      </w:r>
      <w:r>
        <w:rPr>
          <w:rFonts w:hint="eastAsia" w:hAnsi="宋体"/>
          <w:color w:val="auto"/>
          <w:sz w:val="21"/>
          <w:szCs w:val="21"/>
          <w:highlight w:val="none"/>
        </w:rPr>
        <w:t>履行时间（期限）：</w:t>
      </w:r>
      <w:r>
        <w:rPr>
          <w:rFonts w:hint="eastAsia" w:ascii="宋体" w:hAnsi="宋体" w:eastAsia="宋体" w:cs="宋体"/>
          <w:color w:val="auto"/>
          <w:sz w:val="21"/>
          <w:szCs w:val="21"/>
          <w:highlight w:val="none"/>
          <w:u w:val="single"/>
          <w:lang w:eastAsia="zh-CN"/>
        </w:rPr>
        <w:t>合同签订后12个月</w:t>
      </w:r>
    </w:p>
    <w:p w14:paraId="5F8A62EA">
      <w:pPr>
        <w:pStyle w:val="19"/>
        <w:keepNext w:val="0"/>
        <w:keepLines w:val="0"/>
        <w:pageBreakBefore w:val="0"/>
        <w:widowControl w:val="0"/>
        <w:numPr>
          <w:ilvl w:val="0"/>
          <w:numId w:val="0"/>
        </w:numPr>
        <w:tabs>
          <w:tab w:val="left" w:pos="2472"/>
        </w:tabs>
        <w:kinsoku/>
        <w:wordWrap/>
        <w:overflowPunct/>
        <w:topLinePunct w:val="0"/>
        <w:autoSpaceDE/>
        <w:autoSpaceDN/>
        <w:bidi w:val="0"/>
        <w:adjustRightInd/>
        <w:snapToGrid/>
        <w:spacing w:beforeAutospacing="0" w:afterAutospacing="0" w:line="460" w:lineRule="exact"/>
        <w:ind w:left="420" w:leftChars="0"/>
        <w:textAlignment w:val="auto"/>
        <w:rPr>
          <w:rFonts w:hint="default" w:hAnsi="宋体" w:eastAsia="宋体"/>
          <w:color w:val="auto"/>
          <w:sz w:val="21"/>
          <w:szCs w:val="21"/>
          <w:highlight w:val="none"/>
          <w:u w:val="single"/>
          <w:lang w:val="en-US" w:eastAsia="zh-CN"/>
        </w:rPr>
      </w:pPr>
      <w:r>
        <w:rPr>
          <w:rFonts w:hint="eastAsia" w:hAnsi="宋体"/>
          <w:color w:val="auto"/>
          <w:sz w:val="21"/>
          <w:szCs w:val="21"/>
          <w:highlight w:val="none"/>
          <w:lang w:val="en-US" w:eastAsia="zh-CN"/>
        </w:rPr>
        <w:t>3.</w:t>
      </w:r>
      <w:r>
        <w:rPr>
          <w:rFonts w:hint="eastAsia" w:hAnsi="宋体"/>
          <w:color w:val="auto"/>
          <w:sz w:val="21"/>
          <w:szCs w:val="21"/>
          <w:highlight w:val="none"/>
        </w:rPr>
        <w:t>履行地点：</w:t>
      </w:r>
      <w:r>
        <w:rPr>
          <w:rFonts w:hint="eastAsia" w:hAnsi="宋体"/>
          <w:color w:val="auto"/>
          <w:sz w:val="21"/>
          <w:szCs w:val="21"/>
          <w:highlight w:val="none"/>
          <w:u w:val="single"/>
          <w:lang w:val="en-US" w:eastAsia="zh-CN"/>
        </w:rPr>
        <w:t xml:space="preserve"> 盐城市大丰区</w:t>
      </w:r>
    </w:p>
    <w:p w14:paraId="5E31F3BB">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color w:val="auto"/>
          <w:sz w:val="21"/>
          <w:szCs w:val="21"/>
          <w:highlight w:val="none"/>
        </w:rPr>
      </w:pPr>
      <w:r>
        <w:rPr>
          <w:rFonts w:hint="eastAsia" w:hAnsi="宋体"/>
          <w:color w:val="auto"/>
          <w:sz w:val="21"/>
          <w:szCs w:val="21"/>
          <w:highlight w:val="none"/>
        </w:rPr>
        <w:t xml:space="preserve"> </w:t>
      </w:r>
      <w:r>
        <w:rPr>
          <w:rFonts w:hAnsi="宋体"/>
          <w:color w:val="auto"/>
          <w:sz w:val="21"/>
          <w:szCs w:val="21"/>
          <w:highlight w:val="none"/>
        </w:rPr>
        <w:t>　</w:t>
      </w:r>
      <w:r>
        <w:rPr>
          <w:rFonts w:hint="eastAsia" w:hAnsi="宋体"/>
          <w:color w:val="auto"/>
          <w:sz w:val="21"/>
          <w:szCs w:val="21"/>
          <w:highlight w:val="none"/>
          <w:lang w:val="en-US" w:eastAsia="zh-CN"/>
        </w:rPr>
        <w:t xml:space="preserve"> </w:t>
      </w:r>
      <w:r>
        <w:rPr>
          <w:rFonts w:hAnsi="宋体"/>
          <w:color w:val="auto"/>
          <w:sz w:val="21"/>
          <w:szCs w:val="21"/>
          <w:highlight w:val="none"/>
        </w:rPr>
        <w:t>第二条　委托事项</w:t>
      </w:r>
    </w:p>
    <w:p w14:paraId="158FA891">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int="eastAsia" w:hAnsi="宋体"/>
          <w:color w:val="auto"/>
          <w:sz w:val="21"/>
          <w:szCs w:val="21"/>
          <w:highlight w:val="none"/>
          <w:u w:val="single"/>
        </w:rPr>
      </w:pPr>
      <w:r>
        <w:rPr>
          <w:rFonts w:hint="eastAsia" w:hAnsi="宋体"/>
          <w:b/>
          <w:color w:val="auto"/>
          <w:sz w:val="21"/>
          <w:szCs w:val="21"/>
          <w:highlight w:val="none"/>
        </w:rPr>
        <w:t>　　</w:t>
      </w:r>
      <w:r>
        <w:rPr>
          <w:rFonts w:hint="eastAsia" w:hAnsi="宋体"/>
          <w:b/>
          <w:color w:val="auto"/>
          <w:sz w:val="21"/>
          <w:szCs w:val="21"/>
          <w:highlight w:val="none"/>
          <w:lang w:val="en-US" w:eastAsia="zh-CN"/>
        </w:rPr>
        <w:t>1</w:t>
      </w:r>
      <w:r>
        <w:rPr>
          <w:rFonts w:hint="eastAsia" w:hAnsi="宋体"/>
          <w:b/>
          <w:color w:val="auto"/>
          <w:sz w:val="21"/>
          <w:szCs w:val="21"/>
          <w:highlight w:val="none"/>
        </w:rPr>
        <w:t>. 服务内容</w:t>
      </w:r>
      <w:r>
        <w:rPr>
          <w:rFonts w:hint="eastAsia" w:hAnsi="宋体"/>
          <w:color w:val="auto"/>
          <w:sz w:val="21"/>
          <w:szCs w:val="21"/>
          <w:highlight w:val="none"/>
        </w:rPr>
        <w:t>：</w:t>
      </w:r>
      <w:r>
        <w:rPr>
          <w:rFonts w:hint="eastAsia" w:hAnsi="宋体"/>
          <w:color w:val="auto"/>
          <w:sz w:val="21"/>
          <w:szCs w:val="21"/>
          <w:highlight w:val="none"/>
          <w:u w:val="single"/>
        </w:rPr>
        <w:t>详见招标文件；</w:t>
      </w:r>
    </w:p>
    <w:p w14:paraId="1D0762A7">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textAlignment w:val="auto"/>
        <w:rPr>
          <w:rFonts w:hint="eastAsia" w:hAnsi="宋体"/>
          <w:bCs/>
          <w:color w:val="auto"/>
          <w:sz w:val="21"/>
          <w:szCs w:val="21"/>
          <w:highlight w:val="none"/>
        </w:rPr>
      </w:pPr>
      <w:r>
        <w:rPr>
          <w:rFonts w:hint="eastAsia" w:hAnsi="宋体"/>
          <w:color w:val="auto"/>
          <w:sz w:val="21"/>
          <w:szCs w:val="21"/>
          <w:highlight w:val="none"/>
          <w:lang w:val="en-US" w:eastAsia="zh-CN"/>
        </w:rPr>
        <w:t>2</w:t>
      </w:r>
      <w:r>
        <w:rPr>
          <w:rFonts w:hint="eastAsia" w:hAnsi="宋体"/>
          <w:color w:val="auto"/>
          <w:sz w:val="21"/>
          <w:szCs w:val="21"/>
          <w:highlight w:val="none"/>
        </w:rPr>
        <w:t>.</w:t>
      </w:r>
      <w:r>
        <w:rPr>
          <w:rFonts w:hint="eastAsia" w:hAnsi="宋体"/>
          <w:bCs/>
          <w:color w:val="auto"/>
          <w:sz w:val="21"/>
          <w:szCs w:val="21"/>
          <w:highlight w:val="none"/>
        </w:rPr>
        <w:t xml:space="preserve"> 服务要求：见本项目招标文件；甲方从乙方开始进场时立即按照招标文件和本合同要求对乙方进行考核。在使用期内，乙方不能满足甲方服务内容及要求的，甲方将终止合同，乙方无条件清退出场。</w:t>
      </w:r>
    </w:p>
    <w:p w14:paraId="45861CC5">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textAlignment w:val="auto"/>
        <w:rPr>
          <w:rFonts w:hint="eastAsia" w:hAnsi="宋体"/>
          <w:bCs/>
          <w:color w:val="auto"/>
          <w:sz w:val="21"/>
          <w:szCs w:val="21"/>
          <w:highlight w:val="none"/>
        </w:rPr>
      </w:pPr>
      <w:r>
        <w:rPr>
          <w:rFonts w:hint="eastAsia" w:hAnsi="宋体"/>
          <w:bCs/>
          <w:color w:val="auto"/>
          <w:sz w:val="21"/>
          <w:szCs w:val="21"/>
          <w:highlight w:val="none"/>
          <w:lang w:val="en-US" w:eastAsia="zh-CN"/>
        </w:rPr>
        <w:t>3.</w:t>
      </w:r>
      <w:r>
        <w:rPr>
          <w:rFonts w:hint="eastAsia" w:hAnsi="宋体"/>
          <w:bCs/>
          <w:color w:val="auto"/>
          <w:sz w:val="21"/>
          <w:szCs w:val="21"/>
          <w:highlight w:val="none"/>
        </w:rPr>
        <w:t>考核要求</w:t>
      </w:r>
      <w:r>
        <w:rPr>
          <w:rFonts w:hint="eastAsia" w:hAnsi="宋体"/>
          <w:bCs/>
          <w:color w:val="auto"/>
          <w:sz w:val="21"/>
          <w:szCs w:val="21"/>
          <w:highlight w:val="none"/>
          <w:lang w:eastAsia="zh-CN"/>
        </w:rPr>
        <w:t>：</w:t>
      </w:r>
      <w:r>
        <w:rPr>
          <w:rFonts w:hint="eastAsia" w:ascii="宋体" w:hAnsi="宋体" w:cs="宋体"/>
          <w:b/>
          <w:bCs/>
          <w:color w:val="auto"/>
          <w:highlight w:val="none"/>
        </w:rPr>
        <w:t>甲方对乙方采取随时检查与月度考核相结合的方式，以打分形式考核。考核分数与年度费用结算挂钩，考核分数高于等于95分时不扣除任何费用，考核分数在90分（含）至94分（含）时每扣1分减中标价的1</w:t>
      </w:r>
      <w:r>
        <w:rPr>
          <w:rFonts w:hint="eastAsia" w:ascii="宋体" w:hAnsi="宋体" w:eastAsia="宋体" w:cs="宋体"/>
          <w:b/>
          <w:bCs/>
          <w:color w:val="auto"/>
          <w:highlight w:val="none"/>
        </w:rPr>
        <w:t>％</w:t>
      </w:r>
      <w:r>
        <w:rPr>
          <w:rFonts w:hint="eastAsia" w:ascii="宋体" w:hAnsi="宋体" w:cs="宋体"/>
          <w:b/>
          <w:bCs/>
          <w:color w:val="auto"/>
          <w:highlight w:val="none"/>
        </w:rPr>
        <w:t>，考核分数在</w:t>
      </w:r>
      <w:r>
        <w:rPr>
          <w:rFonts w:hint="eastAsia" w:ascii="宋体" w:hAnsi="宋体" w:cs="宋体"/>
          <w:b/>
          <w:bCs/>
          <w:color w:val="auto"/>
          <w:highlight w:val="none"/>
          <w:lang w:val="en-US" w:eastAsia="zh-CN"/>
        </w:rPr>
        <w:t>8</w:t>
      </w:r>
      <w:r>
        <w:rPr>
          <w:rFonts w:hint="eastAsia" w:ascii="宋体" w:hAnsi="宋体" w:cs="宋体"/>
          <w:b/>
          <w:bCs/>
          <w:color w:val="auto"/>
          <w:highlight w:val="none"/>
        </w:rPr>
        <w:t>0分（含）至89分（含）时每扣1分减中标价的</w:t>
      </w:r>
      <w:r>
        <w:rPr>
          <w:rFonts w:hint="eastAsia" w:ascii="宋体" w:hAnsi="宋体" w:cs="宋体"/>
          <w:b/>
          <w:bCs/>
          <w:color w:val="auto"/>
          <w:highlight w:val="none"/>
          <w:lang w:val="en-US" w:eastAsia="zh-CN"/>
        </w:rPr>
        <w:t>1.5</w:t>
      </w:r>
      <w:r>
        <w:rPr>
          <w:rFonts w:hint="eastAsia" w:ascii="宋体" w:hAnsi="宋体" w:eastAsia="宋体" w:cs="宋体"/>
          <w:b/>
          <w:bCs/>
          <w:color w:val="auto"/>
          <w:highlight w:val="none"/>
        </w:rPr>
        <w:t>％</w:t>
      </w:r>
      <w:r>
        <w:rPr>
          <w:rFonts w:hint="eastAsia" w:ascii="宋体" w:hAnsi="宋体" w:cs="宋体"/>
          <w:b/>
          <w:bCs/>
          <w:color w:val="auto"/>
          <w:highlight w:val="none"/>
        </w:rPr>
        <w:t>，考核分数在</w:t>
      </w:r>
      <w:r>
        <w:rPr>
          <w:rFonts w:hint="eastAsia" w:ascii="宋体" w:hAnsi="宋体" w:cs="宋体"/>
          <w:b/>
          <w:bCs/>
          <w:color w:val="auto"/>
          <w:highlight w:val="none"/>
          <w:lang w:val="en-US" w:eastAsia="zh-CN"/>
        </w:rPr>
        <w:t>70</w:t>
      </w:r>
      <w:r>
        <w:rPr>
          <w:rFonts w:hint="eastAsia" w:ascii="宋体" w:hAnsi="宋体" w:cs="宋体"/>
          <w:b/>
          <w:bCs/>
          <w:color w:val="auto"/>
          <w:highlight w:val="none"/>
        </w:rPr>
        <w:t>分（含）至</w:t>
      </w:r>
      <w:r>
        <w:rPr>
          <w:rFonts w:hint="eastAsia" w:ascii="宋体" w:hAnsi="宋体" w:cs="宋体"/>
          <w:b/>
          <w:bCs/>
          <w:color w:val="auto"/>
          <w:highlight w:val="none"/>
          <w:lang w:val="en-US" w:eastAsia="zh-CN"/>
        </w:rPr>
        <w:t>7</w:t>
      </w:r>
      <w:r>
        <w:rPr>
          <w:rFonts w:hint="eastAsia" w:ascii="宋体" w:hAnsi="宋体" w:cs="宋体"/>
          <w:b/>
          <w:bCs/>
          <w:color w:val="auto"/>
          <w:highlight w:val="none"/>
        </w:rPr>
        <w:t>9分（含）时每扣1分减中标价的</w:t>
      </w:r>
      <w:r>
        <w:rPr>
          <w:rFonts w:hint="eastAsia" w:ascii="宋体" w:hAnsi="宋体" w:cs="宋体"/>
          <w:b/>
          <w:bCs/>
          <w:color w:val="auto"/>
          <w:highlight w:val="none"/>
          <w:lang w:val="en-US" w:eastAsia="zh-CN"/>
        </w:rPr>
        <w:t>2</w:t>
      </w:r>
      <w:r>
        <w:rPr>
          <w:rFonts w:hint="eastAsia" w:ascii="宋体" w:hAnsi="宋体" w:eastAsia="宋体" w:cs="宋体"/>
          <w:b/>
          <w:bCs/>
          <w:color w:val="auto"/>
          <w:highlight w:val="none"/>
        </w:rPr>
        <w:t>％</w:t>
      </w:r>
      <w:r>
        <w:rPr>
          <w:rFonts w:hint="eastAsia" w:ascii="宋体" w:hAnsi="宋体" w:cs="宋体"/>
          <w:b/>
          <w:bCs/>
          <w:color w:val="auto"/>
          <w:highlight w:val="none"/>
          <w:lang w:eastAsia="zh-CN"/>
        </w:rPr>
        <w:t>，</w:t>
      </w:r>
      <w:r>
        <w:rPr>
          <w:rFonts w:hint="eastAsia" w:ascii="宋体" w:hAnsi="宋体" w:cs="宋体"/>
          <w:b/>
          <w:bCs/>
          <w:color w:val="auto"/>
          <w:highlight w:val="none"/>
        </w:rPr>
        <w:t>考核分数70分</w:t>
      </w:r>
      <w:r>
        <w:rPr>
          <w:rFonts w:hint="eastAsia" w:ascii="宋体" w:hAnsi="宋体" w:cs="宋体"/>
          <w:b/>
          <w:bCs/>
          <w:color w:val="auto"/>
          <w:highlight w:val="none"/>
          <w:lang w:val="en-US" w:eastAsia="zh-CN"/>
        </w:rPr>
        <w:t>以下</w:t>
      </w:r>
      <w:r>
        <w:rPr>
          <w:rFonts w:hint="eastAsia" w:ascii="宋体" w:hAnsi="宋体" w:cs="宋体"/>
          <w:b/>
          <w:bCs/>
          <w:color w:val="auto"/>
          <w:highlight w:val="none"/>
        </w:rPr>
        <w:t>时每扣1分减中标价的</w:t>
      </w:r>
      <w:r>
        <w:rPr>
          <w:rFonts w:hint="eastAsia" w:ascii="宋体" w:hAnsi="宋体" w:cs="宋体"/>
          <w:b/>
          <w:bCs/>
          <w:color w:val="auto"/>
          <w:highlight w:val="none"/>
          <w:lang w:val="en-US" w:eastAsia="zh-CN"/>
        </w:rPr>
        <w:t>2.5</w:t>
      </w:r>
      <w:r>
        <w:rPr>
          <w:rFonts w:hint="eastAsia" w:ascii="宋体" w:hAnsi="宋体" w:eastAsia="宋体" w:cs="宋体"/>
          <w:b/>
          <w:bCs/>
          <w:color w:val="auto"/>
          <w:highlight w:val="none"/>
        </w:rPr>
        <w:t>％</w:t>
      </w:r>
      <w:r>
        <w:rPr>
          <w:rFonts w:hint="eastAsia" w:ascii="宋体" w:hAnsi="宋体" w:cs="宋体"/>
          <w:b/>
          <w:bCs/>
          <w:color w:val="auto"/>
          <w:highlight w:val="none"/>
          <w:lang w:eastAsia="zh-CN"/>
        </w:rPr>
        <w:t>，</w:t>
      </w:r>
      <w:r>
        <w:rPr>
          <w:rFonts w:hint="eastAsia" w:ascii="宋体" w:hAnsi="宋体" w:cs="宋体"/>
          <w:b/>
          <w:bCs/>
          <w:color w:val="auto"/>
          <w:highlight w:val="none"/>
          <w:lang w:val="en-US" w:eastAsia="zh-CN"/>
        </w:rPr>
        <w:t>扣完为止</w:t>
      </w:r>
      <w:r>
        <w:rPr>
          <w:rFonts w:hint="eastAsia" w:ascii="宋体" w:hAnsi="宋体" w:cs="宋体"/>
          <w:b/>
          <w:bCs/>
          <w:color w:val="auto"/>
          <w:highlight w:val="none"/>
        </w:rPr>
        <w:t>。</w:t>
      </w:r>
    </w:p>
    <w:p w14:paraId="76FA0033">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color w:val="auto"/>
          <w:sz w:val="21"/>
          <w:szCs w:val="21"/>
          <w:highlight w:val="none"/>
        </w:rPr>
      </w:pPr>
      <w:r>
        <w:rPr>
          <w:rFonts w:hAnsi="宋体"/>
          <w:color w:val="auto"/>
          <w:sz w:val="21"/>
          <w:szCs w:val="21"/>
          <w:highlight w:val="none"/>
        </w:rPr>
        <w:t>　　第三条　合同期限</w:t>
      </w:r>
    </w:p>
    <w:p w14:paraId="03ABA998">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4"/>
        <w:textAlignment w:val="auto"/>
        <w:rPr>
          <w:rFonts w:hint="eastAsia" w:hAnsi="宋体"/>
          <w:color w:val="auto"/>
          <w:sz w:val="21"/>
          <w:szCs w:val="21"/>
          <w:highlight w:val="none"/>
        </w:rPr>
      </w:pPr>
      <w:r>
        <w:rPr>
          <w:rFonts w:hAnsi="宋体"/>
          <w:color w:val="auto"/>
          <w:sz w:val="21"/>
          <w:szCs w:val="21"/>
          <w:highlight w:val="none"/>
        </w:rPr>
        <w:t>本合同期限为</w:t>
      </w:r>
      <w:r>
        <w:rPr>
          <w:rFonts w:hint="eastAsia" w:hAnsi="宋体"/>
          <w:color w:val="auto"/>
          <w:sz w:val="21"/>
          <w:szCs w:val="21"/>
          <w:highlight w:val="none"/>
          <w:u w:val="single"/>
        </w:rPr>
        <w:t xml:space="preserve"> </w:t>
      </w:r>
      <w:r>
        <w:rPr>
          <w:rFonts w:hint="eastAsia" w:hAnsi="宋体"/>
          <w:color w:val="auto"/>
          <w:sz w:val="21"/>
          <w:szCs w:val="21"/>
          <w:highlight w:val="none"/>
          <w:u w:val="single"/>
          <w:lang w:val="en-US" w:eastAsia="zh-CN"/>
        </w:rPr>
        <w:t>12</w:t>
      </w:r>
      <w:r>
        <w:rPr>
          <w:rFonts w:hint="eastAsia" w:hAnsi="宋体"/>
          <w:color w:val="auto"/>
          <w:sz w:val="21"/>
          <w:szCs w:val="21"/>
          <w:highlight w:val="none"/>
          <w:u w:val="single"/>
        </w:rPr>
        <w:t xml:space="preserve">  </w:t>
      </w:r>
      <w:r>
        <w:rPr>
          <w:rFonts w:hint="eastAsia" w:hAnsi="宋体"/>
          <w:color w:val="auto"/>
          <w:sz w:val="21"/>
          <w:szCs w:val="21"/>
          <w:highlight w:val="none"/>
        </w:rPr>
        <w:t>个月，自</w:t>
      </w:r>
      <w:r>
        <w:rPr>
          <w:rFonts w:hint="eastAsia" w:hAnsi="宋体"/>
          <w:color w:val="auto"/>
          <w:sz w:val="21"/>
          <w:szCs w:val="21"/>
          <w:highlight w:val="none"/>
          <w:u w:val="single"/>
        </w:rPr>
        <w:t xml:space="preserve">       </w:t>
      </w:r>
      <w:r>
        <w:rPr>
          <w:rFonts w:hint="eastAsia" w:hAnsi="宋体"/>
          <w:color w:val="auto"/>
          <w:sz w:val="21"/>
          <w:szCs w:val="21"/>
          <w:highlight w:val="none"/>
        </w:rPr>
        <w:t>年</w:t>
      </w:r>
      <w:r>
        <w:rPr>
          <w:rFonts w:hint="eastAsia" w:hAnsi="宋体"/>
          <w:color w:val="auto"/>
          <w:sz w:val="21"/>
          <w:szCs w:val="21"/>
          <w:highlight w:val="none"/>
          <w:u w:val="single"/>
        </w:rPr>
        <w:t xml:space="preserve">     </w:t>
      </w:r>
      <w:r>
        <w:rPr>
          <w:rFonts w:hint="eastAsia" w:hAnsi="宋体"/>
          <w:color w:val="auto"/>
          <w:sz w:val="21"/>
          <w:szCs w:val="21"/>
          <w:highlight w:val="none"/>
        </w:rPr>
        <w:t>月</w:t>
      </w:r>
      <w:r>
        <w:rPr>
          <w:rFonts w:hint="eastAsia" w:hAnsi="宋体"/>
          <w:color w:val="auto"/>
          <w:sz w:val="21"/>
          <w:szCs w:val="21"/>
          <w:highlight w:val="none"/>
          <w:u w:val="single"/>
        </w:rPr>
        <w:t xml:space="preserve">     </w:t>
      </w:r>
      <w:r>
        <w:rPr>
          <w:rFonts w:hint="eastAsia" w:hAnsi="宋体"/>
          <w:color w:val="auto"/>
          <w:sz w:val="21"/>
          <w:szCs w:val="21"/>
          <w:highlight w:val="none"/>
        </w:rPr>
        <w:t>日起至</w:t>
      </w:r>
      <w:r>
        <w:rPr>
          <w:rFonts w:hint="eastAsia" w:hAnsi="宋体"/>
          <w:color w:val="auto"/>
          <w:sz w:val="21"/>
          <w:szCs w:val="21"/>
          <w:highlight w:val="none"/>
          <w:u w:val="single"/>
        </w:rPr>
        <w:t xml:space="preserve">     </w:t>
      </w:r>
      <w:r>
        <w:rPr>
          <w:rFonts w:hint="eastAsia" w:hAnsi="宋体"/>
          <w:color w:val="auto"/>
          <w:sz w:val="21"/>
          <w:szCs w:val="21"/>
          <w:highlight w:val="none"/>
        </w:rPr>
        <w:t>年</w:t>
      </w:r>
      <w:r>
        <w:rPr>
          <w:rFonts w:hint="eastAsia" w:hAnsi="宋体"/>
          <w:color w:val="auto"/>
          <w:sz w:val="21"/>
          <w:szCs w:val="21"/>
          <w:highlight w:val="none"/>
          <w:u w:val="single"/>
        </w:rPr>
        <w:t xml:space="preserve">     </w:t>
      </w:r>
      <w:r>
        <w:rPr>
          <w:rFonts w:hint="eastAsia" w:hAnsi="宋体"/>
          <w:color w:val="auto"/>
          <w:sz w:val="21"/>
          <w:szCs w:val="21"/>
          <w:highlight w:val="none"/>
        </w:rPr>
        <w:t>月</w:t>
      </w:r>
      <w:r>
        <w:rPr>
          <w:rFonts w:hint="eastAsia" w:hAnsi="宋体"/>
          <w:color w:val="auto"/>
          <w:sz w:val="21"/>
          <w:szCs w:val="21"/>
          <w:highlight w:val="none"/>
          <w:u w:val="single"/>
        </w:rPr>
        <w:t xml:space="preserve">     </w:t>
      </w:r>
      <w:r>
        <w:rPr>
          <w:rFonts w:hint="eastAsia" w:hAnsi="宋体"/>
          <w:color w:val="auto"/>
          <w:sz w:val="21"/>
          <w:szCs w:val="21"/>
          <w:highlight w:val="none"/>
        </w:rPr>
        <w:t>日止。</w:t>
      </w:r>
      <w:r>
        <w:rPr>
          <w:rFonts w:hAnsi="宋体"/>
          <w:color w:val="auto"/>
          <w:highlight w:val="none"/>
        </w:rPr>
        <w:t>合同规定的服务期满，本合同自然终止。</w:t>
      </w:r>
    </w:p>
    <w:p w14:paraId="0FA06606">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color w:val="auto"/>
          <w:sz w:val="21"/>
          <w:szCs w:val="21"/>
          <w:highlight w:val="none"/>
        </w:rPr>
      </w:pPr>
      <w:r>
        <w:rPr>
          <w:rFonts w:hAnsi="宋体"/>
          <w:color w:val="auto"/>
          <w:sz w:val="21"/>
          <w:szCs w:val="21"/>
          <w:highlight w:val="none"/>
        </w:rPr>
        <w:t>　　第四条　甲方的权利和义务</w:t>
      </w:r>
    </w:p>
    <w:p w14:paraId="0C474949">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int="eastAsia" w:hAnsi="宋体"/>
          <w:color w:val="auto"/>
          <w:sz w:val="21"/>
          <w:szCs w:val="21"/>
          <w:highlight w:val="none"/>
        </w:rPr>
      </w:pPr>
      <w:r>
        <w:rPr>
          <w:rFonts w:hAnsi="宋体"/>
          <w:color w:val="auto"/>
          <w:sz w:val="21"/>
          <w:szCs w:val="21"/>
          <w:highlight w:val="none"/>
        </w:rPr>
        <w:t>　　</w:t>
      </w:r>
      <w:r>
        <w:rPr>
          <w:rFonts w:hint="eastAsia" w:hAnsi="宋体"/>
          <w:color w:val="auto"/>
          <w:sz w:val="21"/>
          <w:szCs w:val="21"/>
          <w:highlight w:val="none"/>
        </w:rPr>
        <w:t>1</w:t>
      </w:r>
      <w:r>
        <w:rPr>
          <w:rFonts w:hAnsi="宋体"/>
          <w:color w:val="auto"/>
          <w:sz w:val="21"/>
          <w:szCs w:val="21"/>
          <w:highlight w:val="none"/>
        </w:rPr>
        <w:t>.对乙方的管理实施监督检查，</w:t>
      </w:r>
      <w:r>
        <w:rPr>
          <w:rFonts w:hint="eastAsia" w:hAnsi="宋体"/>
          <w:color w:val="auto"/>
          <w:sz w:val="21"/>
          <w:szCs w:val="21"/>
          <w:highlight w:val="none"/>
          <w:lang w:val="en-US" w:eastAsia="zh-CN"/>
        </w:rPr>
        <w:t xml:space="preserve"> </w:t>
      </w:r>
      <w:r>
        <w:rPr>
          <w:rFonts w:hAnsi="宋体"/>
          <w:color w:val="auto"/>
          <w:sz w:val="21"/>
          <w:szCs w:val="21"/>
          <w:highlight w:val="none"/>
        </w:rPr>
        <w:t>全面进行考核评定，如因乙方管理不善，造成重大经济损失或管理失误，有权终止合同</w:t>
      </w:r>
      <w:r>
        <w:rPr>
          <w:rFonts w:hint="eastAsia" w:hAnsi="宋体"/>
          <w:color w:val="auto"/>
          <w:sz w:val="21"/>
          <w:szCs w:val="21"/>
          <w:highlight w:val="none"/>
        </w:rPr>
        <w:t>，同时甲方有权追偿由此产生的损失费用</w:t>
      </w:r>
      <w:r>
        <w:rPr>
          <w:rFonts w:hAnsi="宋体"/>
          <w:color w:val="auto"/>
          <w:sz w:val="21"/>
          <w:szCs w:val="21"/>
          <w:highlight w:val="none"/>
        </w:rPr>
        <w:t>;</w:t>
      </w:r>
    </w:p>
    <w:p w14:paraId="014A8CA8">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color w:val="auto"/>
          <w:sz w:val="21"/>
          <w:szCs w:val="21"/>
          <w:highlight w:val="none"/>
        </w:rPr>
      </w:pPr>
      <w:r>
        <w:rPr>
          <w:rFonts w:hAnsi="宋体"/>
          <w:color w:val="auto"/>
          <w:sz w:val="21"/>
          <w:szCs w:val="21"/>
          <w:highlight w:val="none"/>
        </w:rPr>
        <w:t>　　</w:t>
      </w:r>
      <w:r>
        <w:rPr>
          <w:rFonts w:hint="eastAsia" w:hAnsi="宋体"/>
          <w:color w:val="auto"/>
          <w:sz w:val="21"/>
          <w:szCs w:val="21"/>
          <w:highlight w:val="none"/>
        </w:rPr>
        <w:t>2.</w:t>
      </w:r>
      <w:r>
        <w:rPr>
          <w:rFonts w:hAnsi="宋体"/>
          <w:color w:val="auto"/>
          <w:sz w:val="21"/>
          <w:szCs w:val="21"/>
          <w:highlight w:val="none"/>
        </w:rPr>
        <w:t>法规政策规定由甲方承担的其他责任。</w:t>
      </w:r>
    </w:p>
    <w:p w14:paraId="0B18106E">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color w:val="auto"/>
          <w:sz w:val="21"/>
          <w:szCs w:val="21"/>
          <w:highlight w:val="none"/>
        </w:rPr>
      </w:pPr>
      <w:r>
        <w:rPr>
          <w:rFonts w:hAnsi="宋体"/>
          <w:color w:val="auto"/>
          <w:sz w:val="21"/>
          <w:szCs w:val="21"/>
          <w:highlight w:val="none"/>
        </w:rPr>
        <w:t>　　第五条　乙方的权利和义务</w:t>
      </w:r>
    </w:p>
    <w:p w14:paraId="1A76DF68">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color w:val="auto"/>
          <w:sz w:val="21"/>
          <w:szCs w:val="21"/>
          <w:highlight w:val="none"/>
        </w:rPr>
      </w:pPr>
      <w:r>
        <w:rPr>
          <w:rFonts w:hAnsi="宋体"/>
          <w:color w:val="auto"/>
          <w:sz w:val="21"/>
          <w:szCs w:val="21"/>
          <w:highlight w:val="none"/>
        </w:rPr>
        <w:t>　　1.根据有关法律、法规政策及本合同的规定，制订各项管理办法、规章制度、实施细则，自主开展各项管理经营活动，但不得损害</w:t>
      </w:r>
      <w:r>
        <w:rPr>
          <w:rFonts w:hint="eastAsia" w:hAnsi="宋体"/>
          <w:color w:val="auto"/>
          <w:sz w:val="21"/>
          <w:szCs w:val="21"/>
          <w:highlight w:val="none"/>
        </w:rPr>
        <w:t>甲方</w:t>
      </w:r>
      <w:r>
        <w:rPr>
          <w:rFonts w:hAnsi="宋体"/>
          <w:color w:val="auto"/>
          <w:sz w:val="21"/>
          <w:szCs w:val="21"/>
          <w:highlight w:val="none"/>
        </w:rPr>
        <w:t>的合法权益，获取不当利益。</w:t>
      </w:r>
    </w:p>
    <w:p w14:paraId="4B9F185B">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color w:val="auto"/>
          <w:sz w:val="21"/>
          <w:szCs w:val="21"/>
          <w:highlight w:val="none"/>
        </w:rPr>
      </w:pPr>
      <w:r>
        <w:rPr>
          <w:rFonts w:hAnsi="宋体"/>
          <w:color w:val="auto"/>
          <w:sz w:val="21"/>
          <w:szCs w:val="21"/>
          <w:highlight w:val="none"/>
        </w:rPr>
        <w:t>　　</w:t>
      </w:r>
      <w:r>
        <w:rPr>
          <w:rFonts w:hint="eastAsia" w:hAnsi="宋体"/>
          <w:color w:val="auto"/>
          <w:sz w:val="21"/>
          <w:szCs w:val="21"/>
          <w:highlight w:val="none"/>
        </w:rPr>
        <w:t>2</w:t>
      </w:r>
      <w:r>
        <w:rPr>
          <w:rFonts w:hAnsi="宋体"/>
          <w:color w:val="auto"/>
          <w:sz w:val="21"/>
          <w:szCs w:val="21"/>
          <w:highlight w:val="none"/>
        </w:rPr>
        <w:t>.接受主管部门及有关政府部门的监督、指导，并接受甲方的监督;</w:t>
      </w:r>
    </w:p>
    <w:p w14:paraId="6932ECEC">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color w:val="auto"/>
          <w:sz w:val="21"/>
          <w:szCs w:val="21"/>
          <w:highlight w:val="none"/>
        </w:rPr>
      </w:pPr>
      <w:r>
        <w:rPr>
          <w:rFonts w:hAnsi="宋体"/>
          <w:color w:val="auto"/>
          <w:sz w:val="21"/>
          <w:szCs w:val="21"/>
          <w:highlight w:val="none"/>
        </w:rPr>
        <w:t>　　</w:t>
      </w:r>
      <w:r>
        <w:rPr>
          <w:rFonts w:hint="eastAsia" w:hAnsi="宋体"/>
          <w:color w:val="auto"/>
          <w:sz w:val="21"/>
          <w:szCs w:val="21"/>
          <w:highlight w:val="none"/>
        </w:rPr>
        <w:t>3</w:t>
      </w:r>
      <w:r>
        <w:rPr>
          <w:rFonts w:hAnsi="宋体"/>
          <w:color w:val="auto"/>
          <w:sz w:val="21"/>
          <w:szCs w:val="21"/>
          <w:highlight w:val="none"/>
        </w:rPr>
        <w:t>.对本</w:t>
      </w:r>
      <w:r>
        <w:rPr>
          <w:rFonts w:hint="eastAsia" w:hAnsi="宋体"/>
          <w:color w:val="auto"/>
          <w:sz w:val="21"/>
          <w:szCs w:val="21"/>
          <w:highlight w:val="none"/>
        </w:rPr>
        <w:t>打捞点</w:t>
      </w:r>
      <w:r>
        <w:rPr>
          <w:rFonts w:hAnsi="宋体"/>
          <w:color w:val="auto"/>
          <w:sz w:val="21"/>
          <w:szCs w:val="21"/>
          <w:highlight w:val="none"/>
        </w:rPr>
        <w:t>的公用设施不得擅自占用和改变使用功能;</w:t>
      </w:r>
    </w:p>
    <w:p w14:paraId="59729F14">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color w:val="auto"/>
          <w:sz w:val="21"/>
          <w:szCs w:val="21"/>
          <w:highlight w:val="none"/>
        </w:rPr>
      </w:pPr>
      <w:r>
        <w:rPr>
          <w:rFonts w:hAnsi="宋体"/>
          <w:color w:val="auto"/>
          <w:sz w:val="21"/>
          <w:szCs w:val="21"/>
          <w:highlight w:val="none"/>
        </w:rPr>
        <w:t>　　第六条　管理目标</w:t>
      </w:r>
    </w:p>
    <w:p w14:paraId="5C510260">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color w:val="auto"/>
          <w:sz w:val="21"/>
          <w:szCs w:val="21"/>
          <w:highlight w:val="none"/>
        </w:rPr>
      </w:pPr>
      <w:r>
        <w:rPr>
          <w:rFonts w:hAnsi="宋体"/>
          <w:color w:val="auto"/>
          <w:sz w:val="21"/>
          <w:szCs w:val="21"/>
          <w:highlight w:val="none"/>
        </w:rPr>
        <w:t>　</w:t>
      </w:r>
      <w:r>
        <w:rPr>
          <w:rFonts w:hint="eastAsia" w:hAnsi="宋体"/>
          <w:color w:val="auto"/>
          <w:sz w:val="21"/>
          <w:szCs w:val="21"/>
          <w:highlight w:val="none"/>
        </w:rPr>
        <w:t xml:space="preserve">  管理服务总体要求：</w:t>
      </w:r>
      <w:r>
        <w:rPr>
          <w:rFonts w:hint="eastAsia" w:hAnsi="宋体"/>
          <w:bCs/>
          <w:color w:val="auto"/>
          <w:sz w:val="21"/>
          <w:szCs w:val="21"/>
          <w:highlight w:val="none"/>
          <w:u w:val="single"/>
        </w:rPr>
        <w:t xml:space="preserve"> 详见招标文件招标需求 </w:t>
      </w:r>
      <w:r>
        <w:rPr>
          <w:rFonts w:hint="eastAsia" w:hAnsi="宋体"/>
          <w:color w:val="auto"/>
          <w:sz w:val="21"/>
          <w:szCs w:val="21"/>
          <w:highlight w:val="none"/>
        </w:rPr>
        <w:t>。</w:t>
      </w:r>
    </w:p>
    <w:p w14:paraId="11B8A484">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color w:val="auto"/>
          <w:sz w:val="21"/>
          <w:szCs w:val="21"/>
          <w:highlight w:val="none"/>
        </w:rPr>
      </w:pPr>
      <w:r>
        <w:rPr>
          <w:rFonts w:hAnsi="宋体"/>
          <w:color w:val="auto"/>
          <w:sz w:val="21"/>
          <w:szCs w:val="21"/>
          <w:highlight w:val="none"/>
        </w:rPr>
        <w:t>　　第七条　服务费用</w:t>
      </w:r>
    </w:p>
    <w:p w14:paraId="0AFDA6A6">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left="405"/>
        <w:textAlignment w:val="auto"/>
        <w:rPr>
          <w:rFonts w:hint="eastAsia" w:hAnsi="宋体"/>
          <w:color w:val="auto"/>
          <w:sz w:val="21"/>
          <w:szCs w:val="21"/>
          <w:highlight w:val="none"/>
        </w:rPr>
      </w:pPr>
      <w:r>
        <w:rPr>
          <w:rFonts w:hint="eastAsia" w:hAnsi="宋体"/>
          <w:color w:val="auto"/>
          <w:sz w:val="21"/>
          <w:szCs w:val="21"/>
          <w:highlight w:val="none"/>
        </w:rPr>
        <w:t>1、服务费暂定</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元，服务费组成以中标人投标文件为准。 </w:t>
      </w:r>
    </w:p>
    <w:p w14:paraId="7BB8F9E4">
      <w:pPr>
        <w:keepNext w:val="0"/>
        <w:keepLines w:val="0"/>
        <w:pageBreakBefore w:val="0"/>
        <w:widowControl w:val="0"/>
        <w:kinsoku/>
        <w:wordWrap/>
        <w:overflowPunct/>
        <w:topLinePunct w:val="0"/>
        <w:autoSpaceDE/>
        <w:autoSpaceDN/>
        <w:bidi w:val="0"/>
        <w:adjustRightInd/>
        <w:snapToGrid/>
        <w:spacing w:beforeAutospacing="0" w:line="460" w:lineRule="exact"/>
        <w:ind w:firstLine="420"/>
        <w:textAlignment w:val="auto"/>
        <w:rPr>
          <w:rFonts w:hint="eastAsia" w:ascii="宋体" w:hAnsi="宋体"/>
          <w:color w:val="auto"/>
          <w:sz w:val="21"/>
          <w:szCs w:val="21"/>
          <w:highlight w:val="none"/>
        </w:rPr>
      </w:pPr>
      <w:r>
        <w:rPr>
          <w:rFonts w:hint="eastAsia" w:ascii="宋体" w:hAnsi="宋体"/>
          <w:color w:val="auto"/>
          <w:sz w:val="21"/>
          <w:szCs w:val="21"/>
          <w:highlight w:val="none"/>
        </w:rPr>
        <w:t>2、本项目履约保证金为：履约保证金的缴纳方式：以现金（转账）或者投标人基本账户缴纳的担保机构保函、保险机构保单等非现金交易担保方式，履约保证金的金额：中标价的10%，履约保证金的退还：服务期满后7日内无息退还。鼓励采购人对AA评级及以上政府采购供应商（需提供信用管理部门备案的第三方信用报告），免收履约保证金或降低履约保证金缴纳比例。合同签订后15日内项目组成人员及设备全部配备到位，如未按时到位履约保证金不予退还，招标人将重新招标。</w:t>
      </w:r>
      <w:r>
        <w:rPr>
          <w:rFonts w:ascii="Segoe UI" w:hAnsi="Segoe UI" w:eastAsia="Segoe UI" w:cs="Segoe UI"/>
          <w:i w:val="0"/>
          <w:iCs w:val="0"/>
          <w:caps w:val="0"/>
          <w:color w:val="auto"/>
          <w:spacing w:val="0"/>
          <w:sz w:val="21"/>
          <w:szCs w:val="21"/>
          <w:highlight w:val="none"/>
          <w:shd w:val="clear" w:color="auto" w:fill="FFFFFF"/>
        </w:rPr>
        <w:t>根据盐财购〔2024〕18号 关于在全市政府采购领域进一步推行电子履约保函（保险）的通知。可以通过政府采购电子履约保函（保险）平台（www.jsdzbh.com）在线申请履约保函（保险）。</w:t>
      </w:r>
    </w:p>
    <w:p w14:paraId="4D515AA0">
      <w:pPr>
        <w:keepNext w:val="0"/>
        <w:keepLines w:val="0"/>
        <w:pageBreakBefore w:val="0"/>
        <w:widowControl w:val="0"/>
        <w:kinsoku/>
        <w:wordWrap/>
        <w:overflowPunct/>
        <w:topLinePunct w:val="0"/>
        <w:autoSpaceDE/>
        <w:autoSpaceDN/>
        <w:bidi w:val="0"/>
        <w:adjustRightInd/>
        <w:snapToGrid/>
        <w:spacing w:beforeAutospacing="0" w:line="460" w:lineRule="exact"/>
        <w:ind w:firstLine="420"/>
        <w:textAlignment w:val="auto"/>
        <w:rPr>
          <w:rFonts w:hint="eastAsia" w:ascii="Segoe UI" w:hAnsi="Segoe UI" w:eastAsia="Segoe UI" w:cs="Segoe UI"/>
          <w:b w:val="0"/>
          <w:bCs w:val="0"/>
          <w:i w:val="0"/>
          <w:iCs w:val="0"/>
          <w:caps w:val="0"/>
          <w:color w:val="auto"/>
          <w:spacing w:val="0"/>
          <w:sz w:val="21"/>
          <w:szCs w:val="21"/>
          <w:highlight w:val="none"/>
          <w:shd w:val="clear" w:color="auto" w:fill="FFFFFF"/>
        </w:rPr>
      </w:pPr>
      <w:r>
        <w:rPr>
          <w:rFonts w:hint="eastAsia" w:ascii="宋体" w:hAnsi="宋体"/>
          <w:b w:val="0"/>
          <w:bCs w:val="0"/>
          <w:color w:val="auto"/>
          <w:sz w:val="21"/>
          <w:szCs w:val="21"/>
          <w:highlight w:val="none"/>
        </w:rPr>
        <w:t>3、服</w:t>
      </w:r>
      <w:r>
        <w:rPr>
          <w:rFonts w:hint="eastAsia" w:ascii="Segoe UI" w:hAnsi="Segoe UI" w:eastAsia="Segoe UI" w:cs="Segoe UI"/>
          <w:b w:val="0"/>
          <w:bCs w:val="0"/>
          <w:i w:val="0"/>
          <w:iCs w:val="0"/>
          <w:caps w:val="0"/>
          <w:color w:val="auto"/>
          <w:spacing w:val="0"/>
          <w:sz w:val="21"/>
          <w:szCs w:val="21"/>
          <w:highlight w:val="none"/>
          <w:shd w:val="clear" w:color="auto" w:fill="FFFFFF"/>
        </w:rPr>
        <w:t>务费支付方式：根据招标需求，甲方依据考核细则的考核结果经审计后支付服务费，审计单位由建设单位落实委派</w:t>
      </w:r>
      <w:r>
        <w:rPr>
          <w:rFonts w:hint="eastAsia" w:ascii="Segoe UI" w:hAnsi="Segoe UI" w:eastAsia="宋体" w:cs="Segoe UI"/>
          <w:b w:val="0"/>
          <w:bCs w:val="0"/>
          <w:i w:val="0"/>
          <w:iCs w:val="0"/>
          <w:caps w:val="0"/>
          <w:color w:val="auto"/>
          <w:spacing w:val="0"/>
          <w:sz w:val="21"/>
          <w:szCs w:val="21"/>
          <w:highlight w:val="none"/>
          <w:shd w:val="clear" w:color="auto" w:fill="FFFFFF"/>
          <w:lang w:eastAsia="zh-CN"/>
        </w:rPr>
        <w:t>，</w:t>
      </w:r>
      <w:r>
        <w:rPr>
          <w:rFonts w:hint="eastAsia" w:ascii="Segoe UI" w:hAnsi="Segoe UI" w:eastAsia="Segoe UI" w:cs="Segoe UI"/>
          <w:b/>
          <w:bCs/>
          <w:i w:val="0"/>
          <w:iCs w:val="0"/>
          <w:caps w:val="0"/>
          <w:color w:val="auto"/>
          <w:spacing w:val="0"/>
          <w:sz w:val="21"/>
          <w:szCs w:val="21"/>
          <w:highlight w:val="none"/>
          <w:shd w:val="clear" w:color="auto" w:fill="FFFFFF"/>
        </w:rPr>
        <w:t>费用由</w:t>
      </w:r>
      <w:r>
        <w:rPr>
          <w:rFonts w:hint="eastAsia" w:ascii="Segoe UI" w:hAnsi="Segoe UI" w:eastAsia="宋体" w:cs="Segoe UI"/>
          <w:b/>
          <w:bCs/>
          <w:i w:val="0"/>
          <w:iCs w:val="0"/>
          <w:caps w:val="0"/>
          <w:color w:val="auto"/>
          <w:spacing w:val="0"/>
          <w:sz w:val="21"/>
          <w:szCs w:val="21"/>
          <w:highlight w:val="none"/>
          <w:shd w:val="clear" w:color="auto" w:fill="FFFFFF"/>
          <w:lang w:val="en-US" w:eastAsia="zh-CN"/>
        </w:rPr>
        <w:t>建设</w:t>
      </w:r>
      <w:r>
        <w:rPr>
          <w:rFonts w:hint="eastAsia" w:ascii="Segoe UI" w:hAnsi="Segoe UI" w:eastAsia="Segoe UI" w:cs="Segoe UI"/>
          <w:b/>
          <w:bCs/>
          <w:i w:val="0"/>
          <w:iCs w:val="0"/>
          <w:caps w:val="0"/>
          <w:color w:val="auto"/>
          <w:spacing w:val="0"/>
          <w:sz w:val="21"/>
          <w:szCs w:val="21"/>
          <w:highlight w:val="none"/>
          <w:shd w:val="clear" w:color="auto" w:fill="FFFFFF"/>
        </w:rPr>
        <w:t>单位支付</w:t>
      </w:r>
      <w:r>
        <w:rPr>
          <w:rFonts w:hint="eastAsia" w:ascii="Segoe UI" w:hAnsi="Segoe UI" w:eastAsia="Segoe UI" w:cs="Segoe UI"/>
          <w:b w:val="0"/>
          <w:bCs w:val="0"/>
          <w:i w:val="0"/>
          <w:iCs w:val="0"/>
          <w:caps w:val="0"/>
          <w:color w:val="auto"/>
          <w:spacing w:val="0"/>
          <w:sz w:val="21"/>
          <w:szCs w:val="21"/>
          <w:highlight w:val="none"/>
          <w:shd w:val="clear" w:color="auto" w:fill="FFFFFF"/>
        </w:rPr>
        <w:t>。具体详见考核细则。</w:t>
      </w:r>
    </w:p>
    <w:p w14:paraId="45489DBC">
      <w:pPr>
        <w:keepNext w:val="0"/>
        <w:keepLines w:val="0"/>
        <w:pageBreakBefore w:val="0"/>
        <w:widowControl w:val="0"/>
        <w:kinsoku/>
        <w:wordWrap/>
        <w:overflowPunct/>
        <w:topLinePunct w:val="0"/>
        <w:autoSpaceDE/>
        <w:autoSpaceDN/>
        <w:bidi w:val="0"/>
        <w:adjustRightInd/>
        <w:snapToGrid/>
        <w:spacing w:beforeAutospacing="0" w:line="460" w:lineRule="exact"/>
        <w:ind w:firstLine="420"/>
        <w:textAlignment w:val="auto"/>
        <w:rPr>
          <w:rFonts w:hint="eastAsia" w:hAnsi="宋体"/>
          <w:b w:val="0"/>
          <w:bCs w:val="0"/>
          <w:color w:val="auto"/>
          <w:sz w:val="21"/>
          <w:szCs w:val="21"/>
          <w:highlight w:val="none"/>
        </w:rPr>
      </w:pPr>
      <w:r>
        <w:rPr>
          <w:rFonts w:hint="eastAsia" w:ascii="Segoe UI" w:hAnsi="Segoe UI" w:eastAsia="Segoe UI" w:cs="Segoe UI"/>
          <w:b w:val="0"/>
          <w:bCs w:val="0"/>
          <w:i w:val="0"/>
          <w:iCs w:val="0"/>
          <w:caps w:val="0"/>
          <w:color w:val="auto"/>
          <w:spacing w:val="0"/>
          <w:sz w:val="21"/>
          <w:szCs w:val="21"/>
          <w:highlight w:val="none"/>
          <w:shd w:val="clear" w:color="auto" w:fill="FFFFFF"/>
        </w:rPr>
        <w:t>付款进度和方式：合同签订后，乙方须提供税务发票后一个月内支付合同价款的30%的预付款（待上级补助资金到位后拨付预付款）；服务期满考核后付至审计金额的90%（</w:t>
      </w:r>
      <w:r>
        <w:rPr>
          <w:rFonts w:hint="eastAsia" w:ascii="Segoe UI" w:hAnsi="Segoe UI" w:eastAsia="Segoe UI" w:cs="Segoe UI"/>
          <w:b w:val="0"/>
          <w:bCs w:val="0"/>
          <w:i w:val="0"/>
          <w:iCs w:val="0"/>
          <w:caps w:val="0"/>
          <w:color w:val="auto"/>
          <w:spacing w:val="0"/>
          <w:sz w:val="21"/>
          <w:szCs w:val="21"/>
          <w:highlight w:val="none"/>
          <w:shd w:val="clear" w:color="auto" w:fill="FFFFFF"/>
          <w:lang w:val="en-US" w:eastAsia="zh-CN"/>
        </w:rPr>
        <w:t>待</w:t>
      </w:r>
      <w:r>
        <w:rPr>
          <w:rFonts w:hint="eastAsia" w:ascii="Segoe UI" w:hAnsi="Segoe UI" w:eastAsia="Segoe UI" w:cs="Segoe UI"/>
          <w:b w:val="0"/>
          <w:bCs w:val="0"/>
          <w:i w:val="0"/>
          <w:iCs w:val="0"/>
          <w:caps w:val="0"/>
          <w:color w:val="auto"/>
          <w:spacing w:val="0"/>
          <w:sz w:val="21"/>
          <w:szCs w:val="21"/>
          <w:highlight w:val="none"/>
          <w:shd w:val="clear" w:color="auto" w:fill="FFFFFF"/>
        </w:rPr>
        <w:t>区财政资金到位后</w:t>
      </w:r>
      <w:r>
        <w:rPr>
          <w:rFonts w:hint="eastAsia" w:ascii="Segoe UI" w:hAnsi="Segoe UI" w:eastAsia="宋体" w:cs="Segoe UI"/>
          <w:b w:val="0"/>
          <w:bCs w:val="0"/>
          <w:i w:val="0"/>
          <w:iCs w:val="0"/>
          <w:caps w:val="0"/>
          <w:color w:val="auto"/>
          <w:spacing w:val="0"/>
          <w:sz w:val="21"/>
          <w:szCs w:val="21"/>
          <w:highlight w:val="none"/>
          <w:shd w:val="clear" w:color="auto" w:fill="FFFFFF"/>
          <w:lang w:val="en-US" w:eastAsia="zh-CN"/>
        </w:rPr>
        <w:t>拨付</w:t>
      </w:r>
      <w:r>
        <w:rPr>
          <w:rFonts w:hint="eastAsia" w:ascii="Segoe UI" w:hAnsi="Segoe UI" w:eastAsia="Segoe UI" w:cs="Segoe UI"/>
          <w:b w:val="0"/>
          <w:bCs w:val="0"/>
          <w:i w:val="0"/>
          <w:iCs w:val="0"/>
          <w:caps w:val="0"/>
          <w:color w:val="auto"/>
          <w:spacing w:val="0"/>
          <w:sz w:val="21"/>
          <w:szCs w:val="21"/>
          <w:highlight w:val="none"/>
          <w:shd w:val="clear" w:color="auto" w:fill="FFFFFF"/>
        </w:rPr>
        <w:t>），服务期满当年年底付清余款（</w:t>
      </w:r>
      <w:r>
        <w:rPr>
          <w:rFonts w:hint="eastAsia" w:ascii="Segoe UI" w:hAnsi="Segoe UI" w:eastAsia="Segoe UI" w:cs="Segoe UI"/>
          <w:b w:val="0"/>
          <w:bCs w:val="0"/>
          <w:i w:val="0"/>
          <w:iCs w:val="0"/>
          <w:caps w:val="0"/>
          <w:color w:val="auto"/>
          <w:spacing w:val="0"/>
          <w:sz w:val="21"/>
          <w:szCs w:val="21"/>
          <w:highlight w:val="none"/>
          <w:shd w:val="clear" w:color="auto" w:fill="FFFFFF"/>
          <w:lang w:val="en-US" w:eastAsia="zh-CN"/>
        </w:rPr>
        <w:t>待</w:t>
      </w:r>
      <w:r>
        <w:rPr>
          <w:rFonts w:hint="eastAsia" w:ascii="Segoe UI" w:hAnsi="Segoe UI" w:eastAsia="Segoe UI" w:cs="Segoe UI"/>
          <w:b w:val="0"/>
          <w:bCs w:val="0"/>
          <w:i w:val="0"/>
          <w:iCs w:val="0"/>
          <w:caps w:val="0"/>
          <w:color w:val="auto"/>
          <w:spacing w:val="0"/>
          <w:sz w:val="21"/>
          <w:szCs w:val="21"/>
          <w:highlight w:val="none"/>
          <w:shd w:val="clear" w:color="auto" w:fill="FFFFFF"/>
        </w:rPr>
        <w:t>区财政资金到位后付清余款）。（以上付款无利息补偿）</w:t>
      </w:r>
    </w:p>
    <w:p w14:paraId="799E9D72">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firstLineChars="200"/>
        <w:textAlignment w:val="auto"/>
        <w:rPr>
          <w:rFonts w:hAnsi="宋体"/>
          <w:color w:val="auto"/>
          <w:sz w:val="21"/>
          <w:szCs w:val="21"/>
          <w:highlight w:val="none"/>
        </w:rPr>
      </w:pPr>
      <w:r>
        <w:rPr>
          <w:rFonts w:hAnsi="宋体"/>
          <w:color w:val="auto"/>
          <w:sz w:val="21"/>
          <w:szCs w:val="21"/>
          <w:highlight w:val="none"/>
        </w:rPr>
        <w:t>第</w:t>
      </w:r>
      <w:r>
        <w:rPr>
          <w:rFonts w:hint="eastAsia" w:hAnsi="宋体"/>
          <w:color w:val="auto"/>
          <w:sz w:val="21"/>
          <w:szCs w:val="21"/>
          <w:highlight w:val="none"/>
        </w:rPr>
        <w:t>八</w:t>
      </w:r>
      <w:r>
        <w:rPr>
          <w:rFonts w:hAnsi="宋体"/>
          <w:color w:val="auto"/>
          <w:sz w:val="21"/>
          <w:szCs w:val="21"/>
          <w:highlight w:val="none"/>
        </w:rPr>
        <w:t>条　违约责任</w:t>
      </w:r>
    </w:p>
    <w:p w14:paraId="3E4522BC">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color w:val="auto"/>
          <w:sz w:val="21"/>
          <w:szCs w:val="21"/>
          <w:highlight w:val="none"/>
        </w:rPr>
      </w:pPr>
      <w:r>
        <w:rPr>
          <w:rFonts w:hAnsi="宋体"/>
          <w:color w:val="auto"/>
          <w:sz w:val="21"/>
          <w:szCs w:val="21"/>
          <w:highlight w:val="none"/>
        </w:rPr>
        <w:t>　　</w:t>
      </w:r>
      <w:r>
        <w:rPr>
          <w:rFonts w:hint="eastAsia" w:hAnsi="宋体"/>
          <w:color w:val="auto"/>
          <w:sz w:val="21"/>
          <w:szCs w:val="21"/>
          <w:highlight w:val="none"/>
        </w:rPr>
        <w:t>1</w:t>
      </w:r>
      <w:r>
        <w:rPr>
          <w:rFonts w:hAnsi="宋体"/>
          <w:color w:val="auto"/>
          <w:sz w:val="21"/>
          <w:szCs w:val="21"/>
          <w:highlight w:val="none"/>
        </w:rPr>
        <w:t>.如因乙方原因，造成不能完成管理目标或直接造成甲方经济损失的，乙方应给予甲方相应补偿。甲方有权要求乙方限期整改，并有权终止合同。</w:t>
      </w:r>
    </w:p>
    <w:p w14:paraId="49AF19F6">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textAlignment w:val="auto"/>
        <w:rPr>
          <w:rFonts w:hint="eastAsia" w:hAnsi="宋体"/>
          <w:color w:val="auto"/>
          <w:sz w:val="21"/>
          <w:szCs w:val="21"/>
          <w:highlight w:val="none"/>
        </w:rPr>
      </w:pPr>
      <w:r>
        <w:rPr>
          <w:rFonts w:hint="eastAsia" w:hAnsi="宋体"/>
          <w:color w:val="auto"/>
          <w:sz w:val="21"/>
          <w:szCs w:val="21"/>
          <w:highlight w:val="none"/>
        </w:rPr>
        <w:t>2</w:t>
      </w:r>
      <w:r>
        <w:rPr>
          <w:rFonts w:hAnsi="宋体"/>
          <w:color w:val="auto"/>
          <w:sz w:val="21"/>
          <w:szCs w:val="21"/>
          <w:highlight w:val="none"/>
        </w:rPr>
        <w:t>.因乙方管理不善或操作不当等原因造成重大事故的</w:t>
      </w:r>
      <w:r>
        <w:rPr>
          <w:rFonts w:hint="eastAsia" w:hAnsi="宋体"/>
          <w:color w:val="auto"/>
          <w:sz w:val="21"/>
          <w:szCs w:val="21"/>
          <w:highlight w:val="none"/>
        </w:rPr>
        <w:t xml:space="preserve"> </w:t>
      </w:r>
      <w:r>
        <w:rPr>
          <w:rFonts w:hAnsi="宋体"/>
          <w:color w:val="auto"/>
          <w:sz w:val="21"/>
          <w:szCs w:val="21"/>
          <w:highlight w:val="none"/>
        </w:rPr>
        <w:t>，由乙方承担责任并负责善后处理。(产生事故的直接原因，以政府有关部门的鉴定结论为准)</w:t>
      </w:r>
      <w:r>
        <w:rPr>
          <w:rFonts w:hint="eastAsia" w:hAnsi="宋体"/>
          <w:color w:val="auto"/>
          <w:sz w:val="21"/>
          <w:szCs w:val="21"/>
          <w:highlight w:val="none"/>
        </w:rPr>
        <w:t>。</w:t>
      </w:r>
    </w:p>
    <w:p w14:paraId="5A93453D">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textAlignment w:val="auto"/>
        <w:rPr>
          <w:rFonts w:hint="eastAsia" w:hAnsi="宋体"/>
          <w:color w:val="auto"/>
          <w:sz w:val="21"/>
          <w:szCs w:val="21"/>
          <w:highlight w:val="none"/>
        </w:rPr>
      </w:pPr>
      <w:r>
        <w:rPr>
          <w:rFonts w:hint="eastAsia" w:hAnsi="宋体"/>
          <w:color w:val="auto"/>
          <w:sz w:val="21"/>
          <w:szCs w:val="21"/>
          <w:highlight w:val="none"/>
        </w:rPr>
        <w:t>3、不经甲方同意，中标人不得在管理区域内自主生产或经营管理服务之外的任何项目，如若发生，</w:t>
      </w:r>
      <w:r>
        <w:rPr>
          <w:rFonts w:hAnsi="宋体"/>
          <w:color w:val="auto"/>
          <w:sz w:val="21"/>
          <w:szCs w:val="21"/>
          <w:highlight w:val="none"/>
        </w:rPr>
        <w:t>甲方有权要求乙方限期整改，并有权终止合同</w:t>
      </w:r>
      <w:r>
        <w:rPr>
          <w:rFonts w:hint="eastAsia" w:hAnsi="宋体"/>
          <w:color w:val="auto"/>
          <w:sz w:val="21"/>
          <w:szCs w:val="21"/>
          <w:highlight w:val="none"/>
        </w:rPr>
        <w:t>，没收履约保证金。</w:t>
      </w:r>
    </w:p>
    <w:p w14:paraId="1A4AF71D">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textAlignment w:val="auto"/>
        <w:rPr>
          <w:rFonts w:hAnsi="宋体"/>
          <w:color w:val="auto"/>
          <w:sz w:val="21"/>
          <w:szCs w:val="21"/>
          <w:highlight w:val="none"/>
        </w:rPr>
      </w:pPr>
      <w:r>
        <w:rPr>
          <w:rFonts w:hAnsi="宋体"/>
          <w:color w:val="auto"/>
          <w:sz w:val="21"/>
          <w:szCs w:val="21"/>
          <w:highlight w:val="none"/>
        </w:rPr>
        <w:t>第</w:t>
      </w:r>
      <w:r>
        <w:rPr>
          <w:rFonts w:hint="eastAsia" w:hAnsi="宋体"/>
          <w:color w:val="auto"/>
          <w:sz w:val="21"/>
          <w:szCs w:val="21"/>
          <w:highlight w:val="none"/>
        </w:rPr>
        <w:t>九</w:t>
      </w:r>
      <w:r>
        <w:rPr>
          <w:rFonts w:hAnsi="宋体"/>
          <w:color w:val="auto"/>
          <w:sz w:val="21"/>
          <w:szCs w:val="21"/>
          <w:highlight w:val="none"/>
        </w:rPr>
        <w:t>条　其他事项</w:t>
      </w:r>
    </w:p>
    <w:p w14:paraId="63F6D8CA">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textAlignment w:val="auto"/>
        <w:rPr>
          <w:rFonts w:hAnsi="宋体"/>
          <w:color w:val="auto"/>
          <w:sz w:val="21"/>
          <w:szCs w:val="21"/>
          <w:highlight w:val="none"/>
        </w:rPr>
      </w:pPr>
      <w:r>
        <w:rPr>
          <w:rFonts w:hint="eastAsia" w:hAnsi="宋体"/>
          <w:color w:val="auto"/>
          <w:sz w:val="21"/>
          <w:szCs w:val="21"/>
          <w:highlight w:val="none"/>
          <w:lang w:val="en-US" w:eastAsia="zh-CN"/>
        </w:rPr>
        <w:t>1.</w:t>
      </w:r>
      <w:r>
        <w:rPr>
          <w:rFonts w:hint="eastAsia" w:hAnsi="宋体"/>
          <w:color w:val="auto"/>
          <w:sz w:val="21"/>
          <w:szCs w:val="21"/>
          <w:highlight w:val="none"/>
        </w:rPr>
        <w:t>乙方须维护好拦截设施及警示标语、警示灯等警示标志，合同到期时保持完好。</w:t>
      </w:r>
    </w:p>
    <w:p w14:paraId="0EC2BD5B">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color w:val="auto"/>
          <w:sz w:val="21"/>
          <w:szCs w:val="21"/>
          <w:highlight w:val="none"/>
        </w:rPr>
      </w:pPr>
      <w:r>
        <w:rPr>
          <w:rFonts w:hAnsi="宋体"/>
          <w:color w:val="auto"/>
          <w:sz w:val="21"/>
          <w:szCs w:val="21"/>
          <w:highlight w:val="none"/>
        </w:rPr>
        <w:t>　　</w:t>
      </w:r>
      <w:r>
        <w:rPr>
          <w:rFonts w:hint="eastAsia" w:hAnsi="宋体"/>
          <w:color w:val="auto"/>
          <w:sz w:val="21"/>
          <w:szCs w:val="21"/>
          <w:highlight w:val="none"/>
          <w:lang w:val="en-US" w:eastAsia="zh-CN"/>
        </w:rPr>
        <w:t>2</w:t>
      </w:r>
      <w:r>
        <w:rPr>
          <w:rFonts w:hAnsi="宋体"/>
          <w:color w:val="auto"/>
          <w:sz w:val="21"/>
          <w:szCs w:val="21"/>
          <w:highlight w:val="none"/>
        </w:rPr>
        <w:t>.双方可对本合同的条款进行修订更改或补充，以书面签订补充协议，补充协议与本合同具有同等效力。</w:t>
      </w:r>
    </w:p>
    <w:p w14:paraId="5F0F4320">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ascii="宋体" w:hAnsi="宋体" w:eastAsia="宋体" w:cs="Times New Roman"/>
          <w:color w:val="auto"/>
          <w:sz w:val="21"/>
          <w:szCs w:val="21"/>
          <w:highlight w:val="none"/>
        </w:rPr>
      </w:pPr>
      <w:r>
        <w:rPr>
          <w:rFonts w:hAnsi="宋体"/>
          <w:color w:val="auto"/>
          <w:sz w:val="21"/>
          <w:szCs w:val="21"/>
          <w:highlight w:val="none"/>
        </w:rPr>
        <w:t>　</w:t>
      </w:r>
      <w:r>
        <w:rPr>
          <w:rFonts w:ascii="宋体" w:hAnsi="宋体" w:eastAsia="宋体" w:cs="Times New Roman"/>
          <w:color w:val="auto"/>
          <w:sz w:val="21"/>
          <w:szCs w:val="21"/>
          <w:highlight w:val="none"/>
        </w:rPr>
        <w:t>　</w:t>
      </w:r>
      <w:r>
        <w:rPr>
          <w:rFonts w:hint="eastAsia" w:hAnsi="宋体" w:cs="Times New Roman"/>
          <w:color w:val="auto"/>
          <w:sz w:val="21"/>
          <w:szCs w:val="21"/>
          <w:highlight w:val="none"/>
          <w:lang w:val="en-US" w:eastAsia="zh-CN"/>
        </w:rPr>
        <w:t>3</w:t>
      </w:r>
      <w:r>
        <w:rPr>
          <w:rFonts w:ascii="宋体" w:hAnsi="宋体" w:eastAsia="宋体" w:cs="Times New Roman"/>
          <w:color w:val="auto"/>
          <w:sz w:val="21"/>
          <w:szCs w:val="21"/>
          <w:highlight w:val="none"/>
        </w:rPr>
        <w:t>.本合同执行期间，如遇不可抗力，致使合同无法履行时，双方均不承担违约责任并按有关法规政策规定及时协商处理。</w:t>
      </w:r>
    </w:p>
    <w:p w14:paraId="7E6255FF">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w:t>
      </w:r>
      <w:r>
        <w:rPr>
          <w:rFonts w:hint="eastAsia" w:hAnsi="宋体" w:cs="Times New Roman"/>
          <w:color w:val="auto"/>
          <w:sz w:val="21"/>
          <w:szCs w:val="21"/>
          <w:highlight w:val="none"/>
          <w:lang w:val="en-US" w:eastAsia="zh-CN"/>
        </w:rPr>
        <w:t>4</w:t>
      </w:r>
      <w:r>
        <w:rPr>
          <w:rFonts w:ascii="宋体" w:hAnsi="宋体" w:eastAsia="宋体" w:cs="Times New Roman"/>
          <w:color w:val="auto"/>
          <w:sz w:val="21"/>
          <w:szCs w:val="21"/>
          <w:highlight w:val="none"/>
        </w:rPr>
        <w:t>.本合同在履行中如发生争议，双方应协商解决，协商不成时，提请主管部门调解，调解不成的，</w:t>
      </w:r>
      <w:r>
        <w:rPr>
          <w:rFonts w:hint="eastAsia" w:ascii="宋体" w:hAnsi="宋体" w:eastAsia="宋体" w:cs="Times New Roman"/>
          <w:color w:val="auto"/>
          <w:sz w:val="21"/>
          <w:szCs w:val="21"/>
          <w:highlight w:val="none"/>
        </w:rPr>
        <w:t>任何一方可向项目所在地人民法院提起诉讼</w:t>
      </w:r>
      <w:r>
        <w:rPr>
          <w:rFonts w:ascii="宋体" w:hAnsi="宋体" w:eastAsia="宋体" w:cs="Times New Roman"/>
          <w:color w:val="auto"/>
          <w:sz w:val="21"/>
          <w:szCs w:val="21"/>
          <w:highlight w:val="none"/>
        </w:rPr>
        <w:t>。</w:t>
      </w:r>
    </w:p>
    <w:p w14:paraId="69CED1EF">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textAlignment w:val="auto"/>
        <w:rPr>
          <w:rFonts w:ascii="宋体" w:hAnsi="宋体" w:eastAsia="宋体" w:cs="Times New Roman"/>
          <w:color w:val="auto"/>
          <w:sz w:val="21"/>
          <w:szCs w:val="21"/>
          <w:highlight w:val="none"/>
        </w:rPr>
      </w:pPr>
      <w:r>
        <w:rPr>
          <w:rFonts w:hint="eastAsia" w:hAnsi="宋体" w:cs="Times New Roman"/>
          <w:color w:val="auto"/>
          <w:sz w:val="21"/>
          <w:szCs w:val="21"/>
          <w:highlight w:val="none"/>
          <w:lang w:val="en-US" w:eastAsia="zh-CN"/>
        </w:rPr>
        <w:t>5</w:t>
      </w:r>
      <w:r>
        <w:rPr>
          <w:rFonts w:ascii="宋体" w:hAnsi="宋体" w:eastAsia="宋体" w:cs="Times New Roman"/>
          <w:color w:val="auto"/>
          <w:sz w:val="21"/>
          <w:szCs w:val="21"/>
          <w:highlight w:val="none"/>
        </w:rPr>
        <w:t>.本合同之附件均为合同有效组成部分;本合同及其附件内，空格部分填写的文字与印刷文字具有同等效力。</w:t>
      </w:r>
    </w:p>
    <w:p w14:paraId="747B58B5">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textAlignment w:val="auto"/>
        <w:rPr>
          <w:rFonts w:ascii="宋体" w:hAnsi="宋体" w:eastAsia="宋体" w:cs="Times New Roman"/>
          <w:color w:val="auto"/>
          <w:sz w:val="21"/>
          <w:szCs w:val="21"/>
          <w:highlight w:val="none"/>
        </w:rPr>
      </w:pPr>
      <w:r>
        <w:rPr>
          <w:rFonts w:hint="eastAsia" w:hAnsi="宋体" w:cs="Times New Roman"/>
          <w:color w:val="auto"/>
          <w:sz w:val="21"/>
          <w:szCs w:val="21"/>
          <w:highlight w:val="none"/>
          <w:lang w:val="en-US" w:eastAsia="zh-CN"/>
        </w:rPr>
        <w:t>6</w:t>
      </w:r>
      <w:r>
        <w:rPr>
          <w:rFonts w:hint="eastAsia" w:ascii="宋体" w:hAnsi="宋体" w:eastAsia="宋体" w:cs="Times New Roman"/>
          <w:color w:val="auto"/>
          <w:sz w:val="21"/>
          <w:szCs w:val="21"/>
          <w:highlight w:val="none"/>
          <w:lang w:val="en-US" w:eastAsia="zh-CN"/>
        </w:rPr>
        <w:t>.</w:t>
      </w:r>
      <w:r>
        <w:rPr>
          <w:rFonts w:ascii="宋体" w:hAnsi="宋体" w:eastAsia="宋体" w:cs="Times New Roman"/>
          <w:color w:val="auto"/>
          <w:sz w:val="21"/>
          <w:szCs w:val="21"/>
          <w:highlight w:val="none"/>
        </w:rPr>
        <w:t>本合同及其附件和补充协议中未规定的事项，均遵照中华人民共和国有关法律、法规和政策执行。</w:t>
      </w:r>
    </w:p>
    <w:p w14:paraId="3848832F">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firstLineChars="200"/>
        <w:textAlignment w:val="auto"/>
        <w:rPr>
          <w:rFonts w:hAnsi="宋体"/>
          <w:color w:val="auto"/>
          <w:sz w:val="21"/>
          <w:szCs w:val="21"/>
          <w:highlight w:val="none"/>
        </w:rPr>
      </w:pPr>
      <w:r>
        <w:rPr>
          <w:rFonts w:hint="eastAsia" w:hAnsi="宋体" w:cs="Times New Roman"/>
          <w:color w:val="auto"/>
          <w:sz w:val="21"/>
          <w:szCs w:val="21"/>
          <w:highlight w:val="none"/>
          <w:lang w:val="en-US" w:eastAsia="zh-CN"/>
        </w:rPr>
        <w:t>7</w:t>
      </w:r>
      <w:r>
        <w:rPr>
          <w:rFonts w:hint="eastAsia" w:ascii="宋体" w:hAnsi="宋体" w:eastAsia="宋体" w:cs="Times New Roman"/>
          <w:color w:val="auto"/>
          <w:sz w:val="21"/>
          <w:szCs w:val="21"/>
          <w:highlight w:val="none"/>
          <w:lang w:val="en-US" w:eastAsia="zh-CN"/>
        </w:rPr>
        <w:t>.</w:t>
      </w:r>
      <w:r>
        <w:rPr>
          <w:rFonts w:ascii="宋体" w:hAnsi="宋体" w:eastAsia="宋体" w:cs="Times New Roman"/>
          <w:color w:val="auto"/>
          <w:sz w:val="21"/>
          <w:szCs w:val="21"/>
          <w:highlight w:val="none"/>
        </w:rPr>
        <w:t>本</w:t>
      </w:r>
      <w:r>
        <w:rPr>
          <w:rFonts w:hAnsi="宋体"/>
          <w:color w:val="auto"/>
          <w:sz w:val="21"/>
          <w:szCs w:val="21"/>
          <w:highlight w:val="none"/>
        </w:rPr>
        <w:t>合同</w:t>
      </w:r>
      <w:r>
        <w:rPr>
          <w:rFonts w:hint="eastAsia" w:hAnsi="宋体"/>
          <w:color w:val="auto"/>
          <w:sz w:val="21"/>
          <w:szCs w:val="21"/>
          <w:highlight w:val="none"/>
        </w:rPr>
        <w:t>一式</w:t>
      </w:r>
      <w:r>
        <w:rPr>
          <w:rFonts w:hint="eastAsia" w:hAnsi="宋体"/>
          <w:color w:val="auto"/>
          <w:sz w:val="21"/>
          <w:szCs w:val="21"/>
          <w:highlight w:val="none"/>
          <w:u w:val="single"/>
        </w:rPr>
        <w:t xml:space="preserve">   </w:t>
      </w:r>
      <w:r>
        <w:rPr>
          <w:rFonts w:hint="eastAsia" w:hAnsi="宋体"/>
          <w:color w:val="auto"/>
          <w:sz w:val="21"/>
          <w:szCs w:val="21"/>
          <w:highlight w:val="none"/>
        </w:rPr>
        <w:t>份，正本</w:t>
      </w:r>
      <w:r>
        <w:rPr>
          <w:rFonts w:hint="eastAsia" w:hAnsi="宋体"/>
          <w:color w:val="auto"/>
          <w:sz w:val="21"/>
          <w:szCs w:val="21"/>
          <w:highlight w:val="none"/>
          <w:u w:val="single"/>
        </w:rPr>
        <w:t xml:space="preserve">   </w:t>
      </w:r>
      <w:r>
        <w:rPr>
          <w:rFonts w:hint="eastAsia" w:hAnsi="宋体"/>
          <w:color w:val="auto"/>
          <w:sz w:val="21"/>
          <w:szCs w:val="21"/>
          <w:highlight w:val="none"/>
        </w:rPr>
        <w:t>份、副本</w:t>
      </w:r>
      <w:r>
        <w:rPr>
          <w:rFonts w:hint="eastAsia" w:hAnsi="宋体"/>
          <w:color w:val="auto"/>
          <w:sz w:val="21"/>
          <w:szCs w:val="21"/>
          <w:highlight w:val="none"/>
          <w:u w:val="single"/>
        </w:rPr>
        <w:t xml:space="preserve">   </w:t>
      </w:r>
      <w:r>
        <w:rPr>
          <w:rFonts w:hint="eastAsia" w:hAnsi="宋体"/>
          <w:color w:val="auto"/>
          <w:sz w:val="21"/>
          <w:szCs w:val="21"/>
          <w:highlight w:val="none"/>
        </w:rPr>
        <w:t>份</w:t>
      </w:r>
      <w:r>
        <w:rPr>
          <w:rFonts w:hAnsi="宋体"/>
          <w:color w:val="auto"/>
          <w:sz w:val="21"/>
          <w:szCs w:val="21"/>
          <w:highlight w:val="none"/>
        </w:rPr>
        <w:t>，</w:t>
      </w:r>
      <w:r>
        <w:rPr>
          <w:rFonts w:hint="eastAsia" w:hAnsi="宋体"/>
          <w:color w:val="auto"/>
          <w:sz w:val="21"/>
          <w:szCs w:val="21"/>
          <w:highlight w:val="none"/>
        </w:rPr>
        <w:t>甲方</w:t>
      </w:r>
      <w:r>
        <w:rPr>
          <w:rFonts w:hint="eastAsia" w:hAnsi="宋体"/>
          <w:color w:val="auto"/>
          <w:sz w:val="21"/>
          <w:szCs w:val="21"/>
          <w:highlight w:val="none"/>
          <w:u w:val="single"/>
        </w:rPr>
        <w:t xml:space="preserve">   </w:t>
      </w:r>
      <w:r>
        <w:rPr>
          <w:rFonts w:hint="eastAsia" w:hAnsi="宋体"/>
          <w:color w:val="auto"/>
          <w:sz w:val="21"/>
          <w:szCs w:val="21"/>
          <w:highlight w:val="none"/>
        </w:rPr>
        <w:t>份、乙方</w:t>
      </w:r>
      <w:r>
        <w:rPr>
          <w:rFonts w:hint="eastAsia" w:hAnsi="宋体"/>
          <w:color w:val="auto"/>
          <w:sz w:val="21"/>
          <w:szCs w:val="21"/>
          <w:highlight w:val="none"/>
          <w:u w:val="single"/>
        </w:rPr>
        <w:t xml:space="preserve">   </w:t>
      </w:r>
      <w:r>
        <w:rPr>
          <w:rFonts w:hint="eastAsia" w:hAnsi="宋体"/>
          <w:color w:val="auto"/>
          <w:sz w:val="21"/>
          <w:szCs w:val="21"/>
          <w:highlight w:val="none"/>
        </w:rPr>
        <w:t>份</w:t>
      </w:r>
      <w:r>
        <w:rPr>
          <w:rFonts w:hAnsi="宋体"/>
          <w:color w:val="auto"/>
          <w:sz w:val="21"/>
          <w:szCs w:val="21"/>
          <w:highlight w:val="none"/>
        </w:rPr>
        <w:t>，</w:t>
      </w:r>
      <w:r>
        <w:rPr>
          <w:rFonts w:hint="eastAsia" w:hAnsi="宋体"/>
          <w:color w:val="auto"/>
          <w:sz w:val="21"/>
          <w:szCs w:val="21"/>
          <w:highlight w:val="none"/>
        </w:rPr>
        <w:t>一份用于政府采购监管部门备案，</w:t>
      </w:r>
      <w:r>
        <w:rPr>
          <w:rFonts w:hAnsi="宋体"/>
          <w:color w:val="auto"/>
          <w:sz w:val="21"/>
          <w:szCs w:val="21"/>
          <w:highlight w:val="none"/>
        </w:rPr>
        <w:t>具有同等法律效力。</w:t>
      </w:r>
    </w:p>
    <w:p w14:paraId="43135277">
      <w:pPr>
        <w:pStyle w:val="1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color w:val="auto"/>
          <w:sz w:val="22"/>
          <w:szCs w:val="22"/>
          <w:highlight w:val="none"/>
        </w:rPr>
      </w:pPr>
      <w:r>
        <w:rPr>
          <w:rFonts w:hAnsi="宋体"/>
          <w:color w:val="auto"/>
          <w:sz w:val="21"/>
          <w:szCs w:val="21"/>
          <w:highlight w:val="none"/>
        </w:rPr>
        <w:t>　　</w:t>
      </w:r>
      <w:r>
        <w:rPr>
          <w:rFonts w:hint="eastAsia" w:hAnsi="宋体"/>
          <w:color w:val="auto"/>
          <w:sz w:val="21"/>
          <w:szCs w:val="21"/>
          <w:highlight w:val="none"/>
          <w:lang w:val="en-US" w:eastAsia="zh-CN"/>
        </w:rPr>
        <w:t>8</w:t>
      </w:r>
      <w:r>
        <w:rPr>
          <w:rFonts w:hAnsi="宋体"/>
          <w:color w:val="auto"/>
          <w:sz w:val="21"/>
          <w:szCs w:val="21"/>
          <w:highlight w:val="none"/>
        </w:rPr>
        <w:t>.本合同自签订之日起生效</w:t>
      </w:r>
      <w:r>
        <w:rPr>
          <w:rFonts w:hint="eastAsia" w:hAnsi="宋体"/>
          <w:color w:val="auto"/>
          <w:sz w:val="21"/>
          <w:szCs w:val="21"/>
          <w:highlight w:val="none"/>
        </w:rPr>
        <w:t>，合同未尽事宜按招标文件及有关法律、法规执行</w:t>
      </w:r>
      <w:r>
        <w:rPr>
          <w:rFonts w:hAnsi="宋体"/>
          <w:color w:val="auto"/>
          <w:sz w:val="21"/>
          <w:szCs w:val="21"/>
          <w:highlight w:val="none"/>
        </w:rPr>
        <w:t>。</w:t>
      </w:r>
    </w:p>
    <w:p w14:paraId="6F9D55F2">
      <w:pPr>
        <w:pStyle w:val="19"/>
        <w:keepLines w:val="0"/>
        <w:pageBreakBefore w:val="0"/>
        <w:widowControl w:val="0"/>
        <w:tabs>
          <w:tab w:val="left" w:pos="2472"/>
        </w:tabs>
        <w:spacing w:beforeAutospacing="0" w:after="120" w:line="400" w:lineRule="exact"/>
        <w:rPr>
          <w:rFonts w:hAnsi="宋体"/>
          <w:color w:val="auto"/>
          <w:sz w:val="22"/>
          <w:szCs w:val="22"/>
          <w:highlight w:val="none"/>
        </w:rPr>
      </w:pPr>
      <w:r>
        <w:rPr>
          <w:rFonts w:hAnsi="宋体"/>
          <w:color w:val="auto"/>
          <w:sz w:val="22"/>
          <w:szCs w:val="22"/>
          <w:highlight w:val="none"/>
        </w:rPr>
        <w:t>　</w:t>
      </w:r>
    </w:p>
    <w:p w14:paraId="13F11580">
      <w:pPr>
        <w:pStyle w:val="19"/>
        <w:keepLines w:val="0"/>
        <w:pageBreakBefore w:val="0"/>
        <w:widowControl w:val="0"/>
        <w:tabs>
          <w:tab w:val="left" w:pos="2472"/>
        </w:tabs>
        <w:spacing w:before="120" w:after="120" w:line="400" w:lineRule="exact"/>
        <w:rPr>
          <w:rFonts w:hAnsi="宋体"/>
          <w:color w:val="auto"/>
          <w:sz w:val="22"/>
          <w:szCs w:val="22"/>
          <w:highlight w:val="none"/>
        </w:rPr>
      </w:pPr>
    </w:p>
    <w:p w14:paraId="00B6A033">
      <w:pPr>
        <w:pStyle w:val="19"/>
        <w:keepLines w:val="0"/>
        <w:pageBreakBefore w:val="0"/>
        <w:widowControl w:val="0"/>
        <w:tabs>
          <w:tab w:val="left" w:pos="2472"/>
        </w:tabs>
        <w:spacing w:before="120" w:after="120" w:line="400" w:lineRule="exact"/>
        <w:ind w:firstLine="220"/>
        <w:rPr>
          <w:rFonts w:hAnsi="宋体"/>
          <w:color w:val="auto"/>
          <w:sz w:val="22"/>
          <w:szCs w:val="22"/>
          <w:highlight w:val="none"/>
        </w:rPr>
      </w:pPr>
      <w:r>
        <w:rPr>
          <w:rFonts w:hAnsi="宋体"/>
          <w:color w:val="auto"/>
          <w:sz w:val="22"/>
          <w:szCs w:val="22"/>
          <w:highlight w:val="none"/>
        </w:rPr>
        <w:t>　甲方(盖章)：_________　　　　　　　　</w:t>
      </w:r>
      <w:r>
        <w:rPr>
          <w:rFonts w:hint="eastAsia" w:hAnsi="宋体"/>
          <w:color w:val="auto"/>
          <w:sz w:val="22"/>
          <w:szCs w:val="22"/>
          <w:highlight w:val="none"/>
          <w:lang w:val="en-US" w:eastAsia="zh-CN"/>
        </w:rPr>
        <w:t xml:space="preserve">  </w:t>
      </w:r>
      <w:r>
        <w:rPr>
          <w:rFonts w:hAnsi="宋体"/>
          <w:color w:val="auto"/>
          <w:sz w:val="22"/>
          <w:szCs w:val="22"/>
          <w:highlight w:val="none"/>
        </w:rPr>
        <w:t>乙方(盖章)：_________</w:t>
      </w:r>
    </w:p>
    <w:p w14:paraId="008C424B">
      <w:pPr>
        <w:pStyle w:val="19"/>
        <w:keepLines w:val="0"/>
        <w:pageBreakBefore w:val="0"/>
        <w:widowControl w:val="0"/>
        <w:tabs>
          <w:tab w:val="left" w:pos="2472"/>
        </w:tabs>
        <w:spacing w:before="120" w:after="120" w:line="400" w:lineRule="exact"/>
        <w:ind w:firstLine="220"/>
        <w:rPr>
          <w:rFonts w:hint="eastAsia" w:ascii="宋体" w:hAnsi="宋体" w:eastAsia="宋体" w:cs="宋体"/>
          <w:color w:val="auto"/>
          <w:sz w:val="22"/>
          <w:szCs w:val="22"/>
          <w:highlight w:val="none"/>
        </w:rPr>
      </w:pPr>
      <w:r>
        <w:rPr>
          <w:rFonts w:hAnsi="宋体"/>
          <w:color w:val="auto"/>
          <w:sz w:val="22"/>
          <w:szCs w:val="22"/>
          <w:highlight w:val="none"/>
        </w:rPr>
        <w:t>法定代表人(签字)：_________　　　　　</w:t>
      </w:r>
      <w:r>
        <w:rPr>
          <w:rFonts w:hint="eastAsia" w:hAnsi="宋体"/>
          <w:color w:val="auto"/>
          <w:sz w:val="22"/>
          <w:szCs w:val="22"/>
          <w:highlight w:val="none"/>
          <w:lang w:val="en-US" w:eastAsia="zh-CN"/>
        </w:rPr>
        <w:t xml:space="preserve">    </w:t>
      </w:r>
      <w:r>
        <w:rPr>
          <w:rFonts w:hAnsi="宋体"/>
          <w:color w:val="auto"/>
          <w:sz w:val="22"/>
          <w:szCs w:val="22"/>
          <w:highlight w:val="none"/>
        </w:rPr>
        <w:t>法定代表人(签字)：_________</w:t>
      </w:r>
    </w:p>
    <w:p w14:paraId="63C7752D">
      <w:pPr>
        <w:pStyle w:val="19"/>
        <w:keepLines w:val="0"/>
        <w:pageBreakBefore w:val="0"/>
        <w:widowControl w:val="0"/>
        <w:tabs>
          <w:tab w:val="left" w:pos="2472"/>
        </w:tabs>
        <w:spacing w:before="120" w:after="120" w:line="400" w:lineRule="exact"/>
        <w:ind w:firstLine="660"/>
        <w:rPr>
          <w:rFonts w:hAnsi="宋体"/>
          <w:color w:val="auto"/>
          <w:sz w:val="22"/>
          <w:szCs w:val="22"/>
          <w:highlight w:val="none"/>
        </w:rPr>
      </w:pPr>
      <w:r>
        <w:rPr>
          <w:rFonts w:hint="eastAsia" w:ascii="宋体" w:hAnsi="宋体" w:eastAsia="宋体" w:cs="宋体"/>
          <w:color w:val="auto"/>
          <w:sz w:val="22"/>
          <w:szCs w:val="22"/>
          <w:highlight w:val="none"/>
        </w:rPr>
        <w:t>_________年____月____日　　　　　　　_________年____月____日</w:t>
      </w:r>
    </w:p>
    <w:p w14:paraId="14AF6E94">
      <w:pPr>
        <w:spacing w:line="520" w:lineRule="exact"/>
        <w:jc w:val="center"/>
        <w:outlineLvl w:val="0"/>
        <w:rPr>
          <w:rFonts w:hint="eastAsia"/>
          <w:b/>
          <w:color w:val="auto"/>
          <w:sz w:val="44"/>
          <w:szCs w:val="44"/>
          <w:highlight w:val="none"/>
        </w:rPr>
      </w:pPr>
    </w:p>
    <w:p w14:paraId="178445A1">
      <w:pPr>
        <w:spacing w:line="520" w:lineRule="exact"/>
        <w:jc w:val="center"/>
        <w:outlineLvl w:val="0"/>
        <w:rPr>
          <w:rFonts w:hint="eastAsia"/>
          <w:b/>
          <w:color w:val="auto"/>
          <w:sz w:val="44"/>
          <w:szCs w:val="44"/>
          <w:highlight w:val="none"/>
        </w:rPr>
        <w:sectPr>
          <w:footerReference r:id="rId6" w:type="default"/>
          <w:pgSz w:w="11906" w:h="16838"/>
          <w:pgMar w:top="1440" w:right="1587" w:bottom="1440" w:left="1587" w:header="851" w:footer="907" w:gutter="0"/>
          <w:cols w:space="720" w:num="1"/>
          <w:docGrid w:linePitch="360" w:charSpace="0"/>
        </w:sectPr>
      </w:pPr>
    </w:p>
    <w:p w14:paraId="36304360">
      <w:pPr>
        <w:spacing w:line="240" w:lineRule="auto"/>
        <w:ind w:firstLine="0"/>
        <w:jc w:val="center"/>
        <w:rPr>
          <w:rFonts w:ascii="Times New Roman" w:eastAsia="方正小标宋_GBK"/>
          <w:color w:val="auto"/>
          <w:sz w:val="44"/>
          <w:szCs w:val="44"/>
          <w:highlight w:val="none"/>
        </w:rPr>
      </w:pPr>
      <w:bookmarkStart w:id="165" w:name="MOFFICE_OUTDOC_NTDOC__TITLE"/>
      <w:r>
        <w:rPr>
          <w:rFonts w:ascii="Times New Roman" w:eastAsia="方正小标宋_GBK"/>
          <w:color w:val="auto"/>
          <w:sz w:val="44"/>
          <w:szCs w:val="44"/>
          <w:highlight w:val="none"/>
        </w:rPr>
        <w:t>政府采购合同履约验收书（参考格式）</w:t>
      </w:r>
    </w:p>
    <w:p w14:paraId="45F63862">
      <w:pPr>
        <w:spacing w:line="560" w:lineRule="exact"/>
        <w:ind w:firstLine="600"/>
        <w:jc w:val="left"/>
        <w:rPr>
          <w:rFonts w:ascii="Times New Roman"/>
          <w:color w:val="auto"/>
          <w:szCs w:val="32"/>
          <w:highlight w:val="none"/>
        </w:rPr>
      </w:pPr>
      <w:r>
        <w:rPr>
          <w:rFonts w:ascii="Times New Roman"/>
          <w:color w:val="auto"/>
          <w:szCs w:val="32"/>
          <w:highlight w:val="none"/>
        </w:rPr>
        <w:t>根据政府采购合同（编号：          ）的约定，我单位组织对</w:t>
      </w:r>
      <w:r>
        <w:rPr>
          <w:rFonts w:ascii="Times New Roman"/>
          <w:color w:val="auto"/>
          <w:szCs w:val="32"/>
          <w:highlight w:val="none"/>
          <w:u w:val="single"/>
        </w:rPr>
        <w:t>（项目名称）</w:t>
      </w:r>
      <w:r>
        <w:rPr>
          <w:rFonts w:ascii="Times New Roman"/>
          <w:color w:val="auto"/>
          <w:szCs w:val="32"/>
          <w:highlight w:val="none"/>
        </w:rPr>
        <w:t>项目中标（成交）供应商</w:t>
      </w:r>
      <w:r>
        <w:rPr>
          <w:rFonts w:ascii="Times New Roman"/>
          <w:color w:val="auto"/>
          <w:szCs w:val="32"/>
          <w:highlight w:val="none"/>
          <w:u w:val="single"/>
        </w:rPr>
        <w:t>（公司名称）</w:t>
      </w:r>
      <w:r>
        <w:rPr>
          <w:rFonts w:ascii="Times New Roman"/>
          <w:color w:val="auto"/>
          <w:szCs w:val="32"/>
          <w:highlight w:val="none"/>
        </w:rPr>
        <w:t>提供的货物（工程、服务）进行了履约验收，验收情况如下：</w:t>
      </w:r>
      <w:bookmarkEnd w:id="165"/>
    </w:p>
    <w:tbl>
      <w:tblPr>
        <w:tblStyle w:val="36"/>
        <w:tblW w:w="9132" w:type="dxa"/>
        <w:jc w:val="center"/>
        <w:tblLayout w:type="fixed"/>
        <w:tblCellMar>
          <w:top w:w="0" w:type="dxa"/>
          <w:left w:w="108" w:type="dxa"/>
          <w:bottom w:w="0" w:type="dxa"/>
          <w:right w:w="108" w:type="dxa"/>
        </w:tblCellMar>
      </w:tblPr>
      <w:tblGrid>
        <w:gridCol w:w="1708"/>
        <w:gridCol w:w="3030"/>
        <w:gridCol w:w="1750"/>
        <w:gridCol w:w="2644"/>
      </w:tblGrid>
      <w:tr w14:paraId="04272A98">
        <w:tblPrEx>
          <w:tblCellMar>
            <w:top w:w="0" w:type="dxa"/>
            <w:left w:w="108" w:type="dxa"/>
            <w:bottom w:w="0" w:type="dxa"/>
            <w:right w:w="108" w:type="dxa"/>
          </w:tblCellMar>
        </w:tblPrEx>
        <w:trPr>
          <w:trHeight w:val="855" w:hRule="atLeast"/>
          <w:jc w:val="center"/>
        </w:trPr>
        <w:tc>
          <w:tcPr>
            <w:tcW w:w="1708" w:type="dxa"/>
            <w:tcBorders>
              <w:top w:val="single" w:color="auto" w:sz="8" w:space="0"/>
              <w:left w:val="single" w:color="auto" w:sz="8" w:space="0"/>
              <w:bottom w:val="single" w:color="auto" w:sz="4" w:space="0"/>
              <w:right w:val="single" w:color="auto" w:sz="4" w:space="0"/>
            </w:tcBorders>
            <w:noWrap w:val="0"/>
            <w:vAlign w:val="center"/>
          </w:tcPr>
          <w:p w14:paraId="548103ED">
            <w:pPr>
              <w:spacing w:line="360" w:lineRule="exact"/>
              <w:ind w:firstLine="0"/>
              <w:jc w:val="center"/>
              <w:rPr>
                <w:rFonts w:ascii="Times New Roman"/>
                <w:color w:val="auto"/>
                <w:szCs w:val="32"/>
                <w:highlight w:val="none"/>
              </w:rPr>
            </w:pPr>
            <w:r>
              <w:rPr>
                <w:rFonts w:ascii="Times New Roman"/>
                <w:color w:val="auto"/>
                <w:szCs w:val="32"/>
                <w:highlight w:val="none"/>
              </w:rPr>
              <w:t>项目名称</w:t>
            </w:r>
          </w:p>
        </w:tc>
        <w:tc>
          <w:tcPr>
            <w:tcW w:w="3030" w:type="dxa"/>
            <w:tcBorders>
              <w:top w:val="single" w:color="auto" w:sz="8" w:space="0"/>
              <w:left w:val="nil"/>
              <w:bottom w:val="single" w:color="auto" w:sz="4" w:space="0"/>
              <w:right w:val="single" w:color="auto" w:sz="4" w:space="0"/>
            </w:tcBorders>
            <w:noWrap w:val="0"/>
            <w:vAlign w:val="center"/>
          </w:tcPr>
          <w:p w14:paraId="47DD8DB0">
            <w:pPr>
              <w:spacing w:line="360" w:lineRule="exact"/>
              <w:ind w:firstLine="0"/>
              <w:jc w:val="center"/>
              <w:rPr>
                <w:rFonts w:ascii="Times New Roman"/>
                <w:color w:val="auto"/>
                <w:szCs w:val="32"/>
                <w:highlight w:val="none"/>
              </w:rPr>
            </w:pPr>
          </w:p>
        </w:tc>
        <w:tc>
          <w:tcPr>
            <w:tcW w:w="1750" w:type="dxa"/>
            <w:tcBorders>
              <w:top w:val="single" w:color="auto" w:sz="8" w:space="0"/>
              <w:left w:val="nil"/>
              <w:bottom w:val="single" w:color="auto" w:sz="4" w:space="0"/>
              <w:right w:val="single" w:color="auto" w:sz="4" w:space="0"/>
            </w:tcBorders>
            <w:noWrap w:val="0"/>
            <w:vAlign w:val="center"/>
          </w:tcPr>
          <w:p w14:paraId="43BABB1A">
            <w:pPr>
              <w:spacing w:line="360" w:lineRule="exact"/>
              <w:ind w:firstLine="0"/>
              <w:jc w:val="center"/>
              <w:rPr>
                <w:rFonts w:ascii="Times New Roman"/>
                <w:color w:val="auto"/>
                <w:szCs w:val="32"/>
                <w:highlight w:val="none"/>
              </w:rPr>
            </w:pPr>
            <w:r>
              <w:rPr>
                <w:rFonts w:ascii="Times New Roman"/>
                <w:color w:val="auto"/>
                <w:szCs w:val="32"/>
                <w:highlight w:val="none"/>
              </w:rPr>
              <w:t>项目地点</w:t>
            </w:r>
          </w:p>
        </w:tc>
        <w:tc>
          <w:tcPr>
            <w:tcW w:w="2644" w:type="dxa"/>
            <w:tcBorders>
              <w:top w:val="single" w:color="auto" w:sz="8" w:space="0"/>
              <w:left w:val="nil"/>
              <w:bottom w:val="single" w:color="auto" w:sz="4" w:space="0"/>
              <w:right w:val="single" w:color="auto" w:sz="8" w:space="0"/>
            </w:tcBorders>
            <w:noWrap w:val="0"/>
            <w:vAlign w:val="center"/>
          </w:tcPr>
          <w:p w14:paraId="79CB06B8">
            <w:pPr>
              <w:spacing w:line="360" w:lineRule="exact"/>
              <w:ind w:firstLine="0"/>
              <w:jc w:val="center"/>
              <w:rPr>
                <w:rFonts w:ascii="Times New Roman"/>
                <w:color w:val="auto"/>
                <w:szCs w:val="32"/>
                <w:highlight w:val="none"/>
              </w:rPr>
            </w:pPr>
          </w:p>
        </w:tc>
      </w:tr>
      <w:tr w14:paraId="2B36533A">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696916C3">
            <w:pPr>
              <w:spacing w:line="360" w:lineRule="exact"/>
              <w:ind w:firstLine="0"/>
              <w:jc w:val="center"/>
              <w:rPr>
                <w:rFonts w:ascii="Times New Roman"/>
                <w:color w:val="auto"/>
                <w:szCs w:val="32"/>
                <w:highlight w:val="none"/>
              </w:rPr>
            </w:pPr>
            <w:r>
              <w:rPr>
                <w:rFonts w:ascii="Times New Roman"/>
                <w:color w:val="auto"/>
                <w:szCs w:val="32"/>
                <w:highlight w:val="none"/>
              </w:rPr>
              <w:t>预算金额</w:t>
            </w:r>
          </w:p>
        </w:tc>
        <w:tc>
          <w:tcPr>
            <w:tcW w:w="3030" w:type="dxa"/>
            <w:tcBorders>
              <w:top w:val="single" w:color="auto" w:sz="4" w:space="0"/>
              <w:left w:val="nil"/>
              <w:bottom w:val="single" w:color="auto" w:sz="4" w:space="0"/>
              <w:right w:val="single" w:color="auto" w:sz="4" w:space="0"/>
            </w:tcBorders>
            <w:noWrap w:val="0"/>
            <w:vAlign w:val="center"/>
          </w:tcPr>
          <w:p w14:paraId="1C57C451">
            <w:pPr>
              <w:spacing w:line="360" w:lineRule="exact"/>
              <w:ind w:firstLine="0"/>
              <w:jc w:val="center"/>
              <w:rPr>
                <w:rFonts w:ascii="Times New Roman"/>
                <w:color w:val="auto"/>
                <w:szCs w:val="32"/>
                <w:highlight w:val="none"/>
              </w:rPr>
            </w:pPr>
          </w:p>
        </w:tc>
        <w:tc>
          <w:tcPr>
            <w:tcW w:w="1750" w:type="dxa"/>
            <w:tcBorders>
              <w:top w:val="nil"/>
              <w:left w:val="nil"/>
              <w:bottom w:val="nil"/>
              <w:right w:val="nil"/>
            </w:tcBorders>
            <w:noWrap w:val="0"/>
            <w:vAlign w:val="center"/>
          </w:tcPr>
          <w:p w14:paraId="1D261AF7">
            <w:pPr>
              <w:spacing w:line="360" w:lineRule="exact"/>
              <w:ind w:firstLine="0"/>
              <w:jc w:val="center"/>
              <w:rPr>
                <w:rFonts w:ascii="Times New Roman"/>
                <w:color w:val="auto"/>
                <w:szCs w:val="32"/>
                <w:highlight w:val="none"/>
              </w:rPr>
            </w:pPr>
            <w:r>
              <w:rPr>
                <w:rFonts w:ascii="Times New Roman"/>
                <w:color w:val="auto"/>
                <w:szCs w:val="32"/>
                <w:highlight w:val="none"/>
              </w:rPr>
              <w:t>承接单位</w:t>
            </w:r>
          </w:p>
        </w:tc>
        <w:tc>
          <w:tcPr>
            <w:tcW w:w="2644" w:type="dxa"/>
            <w:tcBorders>
              <w:top w:val="nil"/>
              <w:left w:val="single" w:color="auto" w:sz="4" w:space="0"/>
              <w:bottom w:val="single" w:color="auto" w:sz="4" w:space="0"/>
              <w:right w:val="single" w:color="auto" w:sz="8" w:space="0"/>
            </w:tcBorders>
            <w:noWrap w:val="0"/>
            <w:vAlign w:val="center"/>
          </w:tcPr>
          <w:p w14:paraId="574A3785">
            <w:pPr>
              <w:spacing w:line="360" w:lineRule="exact"/>
              <w:ind w:firstLine="0"/>
              <w:jc w:val="left"/>
              <w:rPr>
                <w:rFonts w:ascii="Times New Roman"/>
                <w:color w:val="auto"/>
                <w:szCs w:val="32"/>
                <w:highlight w:val="none"/>
              </w:rPr>
            </w:pPr>
          </w:p>
        </w:tc>
      </w:tr>
      <w:tr w14:paraId="222ECB6A">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701CDD40">
            <w:pPr>
              <w:spacing w:line="360" w:lineRule="exact"/>
              <w:ind w:firstLine="0"/>
              <w:jc w:val="center"/>
              <w:rPr>
                <w:rFonts w:ascii="Times New Roman"/>
                <w:color w:val="auto"/>
                <w:szCs w:val="32"/>
                <w:highlight w:val="none"/>
              </w:rPr>
            </w:pPr>
            <w:r>
              <w:rPr>
                <w:rFonts w:ascii="Times New Roman"/>
                <w:color w:val="auto"/>
                <w:szCs w:val="32"/>
                <w:highlight w:val="none"/>
              </w:rPr>
              <w:t>合同时间</w:t>
            </w:r>
          </w:p>
        </w:tc>
        <w:tc>
          <w:tcPr>
            <w:tcW w:w="3030" w:type="dxa"/>
            <w:tcBorders>
              <w:top w:val="single" w:color="auto" w:sz="4" w:space="0"/>
              <w:left w:val="nil"/>
              <w:bottom w:val="single" w:color="auto" w:sz="4" w:space="0"/>
              <w:right w:val="single" w:color="auto" w:sz="4" w:space="0"/>
            </w:tcBorders>
            <w:noWrap w:val="0"/>
            <w:vAlign w:val="center"/>
          </w:tcPr>
          <w:p w14:paraId="00DED1A9">
            <w:pPr>
              <w:spacing w:line="360" w:lineRule="exact"/>
              <w:ind w:firstLine="0"/>
              <w:jc w:val="center"/>
              <w:rPr>
                <w:rFonts w:ascii="Times New Roman"/>
                <w:color w:val="auto"/>
                <w:szCs w:val="32"/>
                <w:highlight w:val="none"/>
              </w:rPr>
            </w:pPr>
          </w:p>
        </w:tc>
        <w:tc>
          <w:tcPr>
            <w:tcW w:w="1750" w:type="dxa"/>
            <w:tcBorders>
              <w:top w:val="single" w:color="auto" w:sz="4" w:space="0"/>
              <w:left w:val="nil"/>
              <w:bottom w:val="single" w:color="auto" w:sz="4" w:space="0"/>
              <w:right w:val="single" w:color="auto" w:sz="4" w:space="0"/>
            </w:tcBorders>
            <w:noWrap w:val="0"/>
            <w:vAlign w:val="center"/>
          </w:tcPr>
          <w:p w14:paraId="40489630">
            <w:pPr>
              <w:spacing w:line="360" w:lineRule="exact"/>
              <w:ind w:firstLine="0"/>
              <w:jc w:val="center"/>
              <w:rPr>
                <w:rFonts w:ascii="Times New Roman"/>
                <w:color w:val="auto"/>
                <w:szCs w:val="32"/>
                <w:highlight w:val="none"/>
              </w:rPr>
            </w:pPr>
            <w:r>
              <w:rPr>
                <w:rFonts w:ascii="Times New Roman"/>
                <w:color w:val="auto"/>
                <w:szCs w:val="32"/>
                <w:highlight w:val="none"/>
              </w:rPr>
              <w:t>项目开始时间</w:t>
            </w:r>
          </w:p>
        </w:tc>
        <w:tc>
          <w:tcPr>
            <w:tcW w:w="2644" w:type="dxa"/>
            <w:tcBorders>
              <w:top w:val="nil"/>
              <w:left w:val="nil"/>
              <w:bottom w:val="single" w:color="auto" w:sz="4" w:space="0"/>
              <w:right w:val="single" w:color="auto" w:sz="8" w:space="0"/>
            </w:tcBorders>
            <w:noWrap w:val="0"/>
            <w:vAlign w:val="center"/>
          </w:tcPr>
          <w:p w14:paraId="693F788E">
            <w:pPr>
              <w:spacing w:line="360" w:lineRule="exact"/>
              <w:ind w:firstLine="0"/>
              <w:jc w:val="center"/>
              <w:rPr>
                <w:rFonts w:ascii="Times New Roman"/>
                <w:color w:val="auto"/>
                <w:szCs w:val="32"/>
                <w:highlight w:val="none"/>
              </w:rPr>
            </w:pPr>
          </w:p>
        </w:tc>
      </w:tr>
      <w:tr w14:paraId="1E4FA408">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015CFB9B">
            <w:pPr>
              <w:spacing w:line="360" w:lineRule="exact"/>
              <w:ind w:firstLine="0"/>
              <w:jc w:val="center"/>
              <w:rPr>
                <w:rFonts w:ascii="Times New Roman"/>
                <w:color w:val="auto"/>
                <w:szCs w:val="32"/>
                <w:highlight w:val="none"/>
              </w:rPr>
            </w:pPr>
            <w:r>
              <w:rPr>
                <w:rFonts w:ascii="Times New Roman"/>
                <w:color w:val="auto"/>
                <w:szCs w:val="32"/>
                <w:highlight w:val="none"/>
              </w:rPr>
              <w:t>项目结束时间</w:t>
            </w:r>
          </w:p>
        </w:tc>
        <w:tc>
          <w:tcPr>
            <w:tcW w:w="3030" w:type="dxa"/>
            <w:tcBorders>
              <w:top w:val="single" w:color="auto" w:sz="4" w:space="0"/>
              <w:left w:val="nil"/>
              <w:bottom w:val="single" w:color="auto" w:sz="4" w:space="0"/>
              <w:right w:val="single" w:color="auto" w:sz="4" w:space="0"/>
            </w:tcBorders>
            <w:noWrap w:val="0"/>
            <w:vAlign w:val="center"/>
          </w:tcPr>
          <w:p w14:paraId="415DB2DE">
            <w:pPr>
              <w:spacing w:line="360" w:lineRule="exact"/>
              <w:ind w:firstLine="0"/>
              <w:jc w:val="center"/>
              <w:rPr>
                <w:rFonts w:ascii="Times New Roman"/>
                <w:color w:val="auto"/>
                <w:szCs w:val="32"/>
                <w:highlight w:val="none"/>
              </w:rPr>
            </w:pPr>
          </w:p>
        </w:tc>
        <w:tc>
          <w:tcPr>
            <w:tcW w:w="1750" w:type="dxa"/>
            <w:tcBorders>
              <w:top w:val="nil"/>
              <w:left w:val="nil"/>
              <w:bottom w:val="single" w:color="auto" w:sz="4" w:space="0"/>
              <w:right w:val="single" w:color="auto" w:sz="4" w:space="0"/>
            </w:tcBorders>
            <w:noWrap w:val="0"/>
            <w:vAlign w:val="center"/>
          </w:tcPr>
          <w:p w14:paraId="3E7EF837">
            <w:pPr>
              <w:spacing w:line="360" w:lineRule="exact"/>
              <w:ind w:firstLine="0"/>
              <w:jc w:val="center"/>
              <w:rPr>
                <w:rFonts w:ascii="Times New Roman"/>
                <w:color w:val="auto"/>
                <w:szCs w:val="32"/>
                <w:highlight w:val="none"/>
              </w:rPr>
            </w:pPr>
            <w:r>
              <w:rPr>
                <w:rFonts w:ascii="Times New Roman"/>
                <w:color w:val="auto"/>
                <w:szCs w:val="32"/>
                <w:highlight w:val="none"/>
              </w:rPr>
              <w:t>项目联系人</w:t>
            </w:r>
          </w:p>
        </w:tc>
        <w:tc>
          <w:tcPr>
            <w:tcW w:w="2644" w:type="dxa"/>
            <w:tcBorders>
              <w:top w:val="nil"/>
              <w:left w:val="nil"/>
              <w:bottom w:val="single" w:color="auto" w:sz="4" w:space="0"/>
              <w:right w:val="single" w:color="auto" w:sz="8" w:space="0"/>
            </w:tcBorders>
            <w:noWrap w:val="0"/>
            <w:vAlign w:val="center"/>
          </w:tcPr>
          <w:p w14:paraId="47F72691">
            <w:pPr>
              <w:spacing w:line="360" w:lineRule="exact"/>
              <w:ind w:firstLine="0"/>
              <w:jc w:val="center"/>
              <w:rPr>
                <w:rFonts w:ascii="Times New Roman"/>
                <w:color w:val="auto"/>
                <w:szCs w:val="32"/>
                <w:highlight w:val="none"/>
              </w:rPr>
            </w:pPr>
          </w:p>
        </w:tc>
      </w:tr>
      <w:tr w14:paraId="39F67E1E">
        <w:tblPrEx>
          <w:tblCellMar>
            <w:top w:w="0" w:type="dxa"/>
            <w:left w:w="108" w:type="dxa"/>
            <w:bottom w:w="0" w:type="dxa"/>
            <w:right w:w="108" w:type="dxa"/>
          </w:tblCellMar>
        </w:tblPrEx>
        <w:trPr>
          <w:trHeight w:val="3096"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081DFD5F">
            <w:pPr>
              <w:spacing w:line="240" w:lineRule="auto"/>
              <w:ind w:firstLine="0"/>
              <w:jc w:val="center"/>
              <w:rPr>
                <w:rFonts w:ascii="Times New Roman"/>
                <w:b/>
                <w:bCs/>
                <w:color w:val="auto"/>
                <w:szCs w:val="32"/>
                <w:highlight w:val="none"/>
              </w:rPr>
            </w:pPr>
            <w:r>
              <w:rPr>
                <w:rFonts w:ascii="Times New Roman"/>
                <w:b/>
                <w:bCs/>
                <w:color w:val="auto"/>
                <w:szCs w:val="32"/>
                <w:highlight w:val="none"/>
              </w:rPr>
              <w:t>验收情况和验收意见</w:t>
            </w:r>
          </w:p>
          <w:p w14:paraId="17984E5D">
            <w:pPr>
              <w:spacing w:line="240" w:lineRule="auto"/>
              <w:ind w:firstLine="0"/>
              <w:rPr>
                <w:rFonts w:ascii="Times New Roman"/>
                <w:color w:val="auto"/>
                <w:szCs w:val="32"/>
                <w:highlight w:val="none"/>
              </w:rPr>
            </w:pPr>
            <w:r>
              <w:rPr>
                <w:rFonts w:ascii="Times New Roman"/>
                <w:color w:val="auto"/>
                <w:szCs w:val="32"/>
                <w:highlight w:val="none"/>
              </w:rPr>
              <w:t>（可另附）</w:t>
            </w:r>
          </w:p>
          <w:p w14:paraId="452B9C7E">
            <w:pPr>
              <w:spacing w:line="240" w:lineRule="auto"/>
              <w:ind w:firstLine="0"/>
              <w:rPr>
                <w:rFonts w:ascii="Times New Roman"/>
                <w:color w:val="auto"/>
                <w:szCs w:val="32"/>
                <w:highlight w:val="none"/>
              </w:rPr>
            </w:pPr>
          </w:p>
          <w:p w14:paraId="2F1A6048">
            <w:pPr>
              <w:spacing w:line="240" w:lineRule="auto"/>
              <w:ind w:firstLine="0"/>
              <w:rPr>
                <w:rFonts w:ascii="Times New Roman"/>
                <w:color w:val="auto"/>
                <w:szCs w:val="32"/>
                <w:highlight w:val="none"/>
              </w:rPr>
            </w:pPr>
          </w:p>
          <w:p w14:paraId="0B6ACF87">
            <w:pPr>
              <w:spacing w:line="240" w:lineRule="auto"/>
              <w:ind w:firstLine="0"/>
              <w:rPr>
                <w:rFonts w:ascii="Times New Roman"/>
                <w:color w:val="auto"/>
                <w:szCs w:val="32"/>
                <w:highlight w:val="none"/>
              </w:rPr>
            </w:pPr>
          </w:p>
          <w:p w14:paraId="1254626F">
            <w:pPr>
              <w:spacing w:line="240" w:lineRule="auto"/>
              <w:ind w:firstLine="0"/>
              <w:rPr>
                <w:rFonts w:ascii="Times New Roman"/>
                <w:color w:val="auto"/>
                <w:szCs w:val="32"/>
                <w:highlight w:val="none"/>
              </w:rPr>
            </w:pPr>
          </w:p>
          <w:p w14:paraId="0070A625">
            <w:pPr>
              <w:spacing w:line="240" w:lineRule="auto"/>
              <w:ind w:firstLine="0"/>
              <w:rPr>
                <w:rFonts w:ascii="Times New Roman"/>
                <w:color w:val="auto"/>
                <w:szCs w:val="32"/>
                <w:highlight w:val="none"/>
              </w:rPr>
            </w:pPr>
          </w:p>
          <w:p w14:paraId="32FC5856">
            <w:pPr>
              <w:spacing w:line="240" w:lineRule="auto"/>
              <w:ind w:firstLine="0"/>
              <w:rPr>
                <w:rFonts w:ascii="Times New Roman"/>
                <w:color w:val="auto"/>
                <w:szCs w:val="32"/>
                <w:highlight w:val="none"/>
              </w:rPr>
            </w:pPr>
          </w:p>
          <w:p w14:paraId="6E1E036B">
            <w:pPr>
              <w:spacing w:line="240" w:lineRule="auto"/>
              <w:ind w:firstLine="0"/>
              <w:rPr>
                <w:rFonts w:ascii="Times New Roman"/>
                <w:color w:val="auto"/>
                <w:szCs w:val="32"/>
                <w:highlight w:val="none"/>
              </w:rPr>
            </w:pPr>
          </w:p>
          <w:p w14:paraId="4594DA62">
            <w:pPr>
              <w:spacing w:line="240" w:lineRule="auto"/>
              <w:ind w:firstLine="420"/>
              <w:rPr>
                <w:rFonts w:ascii="Times New Roman"/>
                <w:color w:val="auto"/>
                <w:szCs w:val="32"/>
                <w:highlight w:val="none"/>
              </w:rPr>
            </w:pPr>
          </w:p>
        </w:tc>
      </w:tr>
      <w:tr w14:paraId="33A15D58">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41A7051C">
            <w:pPr>
              <w:spacing w:line="240" w:lineRule="auto"/>
              <w:ind w:firstLine="0"/>
              <w:jc w:val="left"/>
              <w:rPr>
                <w:rFonts w:ascii="Times New Roman"/>
                <w:color w:val="auto"/>
                <w:szCs w:val="32"/>
                <w:highlight w:val="none"/>
              </w:rPr>
            </w:pPr>
            <w:r>
              <w:rPr>
                <w:rFonts w:ascii="Times New Roman"/>
                <w:color w:val="auto"/>
                <w:szCs w:val="32"/>
                <w:highlight w:val="none"/>
              </w:rPr>
              <w:t>验收小组（签字）：</w:t>
            </w:r>
          </w:p>
          <w:p w14:paraId="3CED73F3">
            <w:pPr>
              <w:spacing w:line="240" w:lineRule="auto"/>
              <w:ind w:firstLine="0"/>
              <w:jc w:val="left"/>
              <w:rPr>
                <w:rFonts w:ascii="Times New Roman"/>
                <w:color w:val="auto"/>
                <w:szCs w:val="32"/>
                <w:highlight w:val="none"/>
              </w:rPr>
            </w:pPr>
          </w:p>
          <w:p w14:paraId="6C8A34BB">
            <w:pPr>
              <w:spacing w:line="240" w:lineRule="auto"/>
              <w:ind w:firstLine="0"/>
              <w:jc w:val="left"/>
              <w:rPr>
                <w:rFonts w:ascii="Times New Roman"/>
                <w:color w:val="auto"/>
                <w:szCs w:val="32"/>
                <w:highlight w:val="none"/>
              </w:rPr>
            </w:pPr>
          </w:p>
          <w:p w14:paraId="73EC4565">
            <w:pPr>
              <w:spacing w:line="240" w:lineRule="auto"/>
              <w:ind w:firstLine="0"/>
              <w:jc w:val="left"/>
              <w:rPr>
                <w:rFonts w:ascii="Times New Roman"/>
                <w:color w:val="auto"/>
                <w:szCs w:val="32"/>
                <w:highlight w:val="none"/>
              </w:rPr>
            </w:pPr>
          </w:p>
          <w:p w14:paraId="4451CF64">
            <w:pPr>
              <w:spacing w:line="240" w:lineRule="auto"/>
              <w:ind w:firstLine="0"/>
              <w:jc w:val="left"/>
              <w:rPr>
                <w:rFonts w:ascii="Times New Roman"/>
                <w:color w:val="auto"/>
                <w:szCs w:val="32"/>
                <w:highlight w:val="none"/>
              </w:rPr>
            </w:pPr>
          </w:p>
          <w:p w14:paraId="570B7485">
            <w:pPr>
              <w:spacing w:line="240" w:lineRule="auto"/>
              <w:ind w:firstLine="0"/>
              <w:jc w:val="left"/>
              <w:rPr>
                <w:rFonts w:ascii="Times New Roman"/>
                <w:color w:val="auto"/>
                <w:szCs w:val="32"/>
                <w:highlight w:val="none"/>
              </w:rPr>
            </w:pPr>
          </w:p>
          <w:p w14:paraId="1B767004">
            <w:pPr>
              <w:spacing w:line="240" w:lineRule="auto"/>
              <w:ind w:firstLine="0"/>
              <w:jc w:val="left"/>
              <w:rPr>
                <w:rFonts w:ascii="Times New Roman"/>
                <w:color w:val="auto"/>
                <w:szCs w:val="32"/>
                <w:highlight w:val="none"/>
              </w:rPr>
            </w:pPr>
            <w:r>
              <w:rPr>
                <w:rFonts w:ascii="Times New Roman"/>
                <w:color w:val="auto"/>
                <w:szCs w:val="32"/>
                <w:highlight w:val="none"/>
              </w:rPr>
              <w:t>　　</w:t>
            </w:r>
          </w:p>
          <w:p w14:paraId="33A8DAA5">
            <w:pPr>
              <w:spacing w:line="240" w:lineRule="auto"/>
              <w:ind w:firstLine="0"/>
              <w:jc w:val="left"/>
              <w:rPr>
                <w:rFonts w:ascii="Times New Roman"/>
                <w:color w:val="auto"/>
                <w:szCs w:val="32"/>
                <w:highlight w:val="none"/>
              </w:rPr>
            </w:pPr>
            <w:r>
              <w:rPr>
                <w:rFonts w:ascii="Times New Roman"/>
                <w:color w:val="auto"/>
                <w:szCs w:val="32"/>
                <w:highlight w:val="none"/>
              </w:rPr>
              <w:br w:type="textWrapping"/>
            </w:r>
            <w:r>
              <w:rPr>
                <w:rFonts w:ascii="Times New Roman"/>
                <w:color w:val="auto"/>
                <w:szCs w:val="32"/>
                <w:highlight w:val="none"/>
              </w:rPr>
              <w:t>　　　　　                              年    月    日</w:t>
            </w:r>
          </w:p>
        </w:tc>
      </w:tr>
      <w:tr w14:paraId="42809B5E">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7BFC7062">
            <w:pPr>
              <w:spacing w:line="240" w:lineRule="auto"/>
              <w:ind w:firstLine="0"/>
              <w:jc w:val="left"/>
              <w:rPr>
                <w:rFonts w:ascii="Times New Roman"/>
                <w:color w:val="auto"/>
                <w:szCs w:val="32"/>
                <w:highlight w:val="none"/>
              </w:rPr>
            </w:pPr>
            <w:r>
              <w:rPr>
                <w:rFonts w:ascii="Times New Roman"/>
                <w:color w:val="auto"/>
                <w:szCs w:val="32"/>
                <w:highlight w:val="none"/>
              </w:rPr>
              <w:t>供应商确认意见（签章）：</w:t>
            </w:r>
          </w:p>
          <w:p w14:paraId="4C40EFE7">
            <w:pPr>
              <w:spacing w:line="240" w:lineRule="auto"/>
              <w:ind w:firstLine="0"/>
              <w:jc w:val="left"/>
              <w:rPr>
                <w:rFonts w:ascii="Times New Roman"/>
                <w:color w:val="auto"/>
                <w:szCs w:val="32"/>
                <w:highlight w:val="none"/>
              </w:rPr>
            </w:pPr>
          </w:p>
          <w:p w14:paraId="54090B02">
            <w:pPr>
              <w:spacing w:line="240" w:lineRule="auto"/>
              <w:ind w:firstLine="0"/>
              <w:jc w:val="left"/>
              <w:rPr>
                <w:rFonts w:ascii="Times New Roman"/>
                <w:color w:val="auto"/>
                <w:szCs w:val="32"/>
                <w:highlight w:val="none"/>
              </w:rPr>
            </w:pPr>
          </w:p>
          <w:p w14:paraId="457603A9">
            <w:pPr>
              <w:spacing w:line="240" w:lineRule="auto"/>
              <w:ind w:firstLine="0"/>
              <w:jc w:val="left"/>
              <w:rPr>
                <w:rFonts w:ascii="Times New Roman"/>
                <w:color w:val="auto"/>
                <w:szCs w:val="32"/>
                <w:highlight w:val="none"/>
              </w:rPr>
            </w:pPr>
          </w:p>
          <w:p w14:paraId="54CD197E">
            <w:pPr>
              <w:spacing w:line="240" w:lineRule="auto"/>
              <w:ind w:firstLine="0"/>
              <w:jc w:val="left"/>
              <w:rPr>
                <w:rFonts w:ascii="Times New Roman"/>
                <w:color w:val="auto"/>
                <w:szCs w:val="32"/>
                <w:highlight w:val="none"/>
              </w:rPr>
            </w:pPr>
            <w:r>
              <w:rPr>
                <w:rFonts w:ascii="Times New Roman"/>
                <w:color w:val="auto"/>
                <w:szCs w:val="32"/>
                <w:highlight w:val="none"/>
              </w:rPr>
              <w:t>　　</w:t>
            </w:r>
            <w:r>
              <w:rPr>
                <w:rFonts w:ascii="Times New Roman"/>
                <w:color w:val="auto"/>
                <w:szCs w:val="32"/>
                <w:highlight w:val="none"/>
              </w:rPr>
              <w:br w:type="textWrapping"/>
            </w:r>
            <w:r>
              <w:rPr>
                <w:rFonts w:ascii="Times New Roman"/>
                <w:color w:val="auto"/>
                <w:szCs w:val="32"/>
                <w:highlight w:val="none"/>
              </w:rPr>
              <w:t>　　　　　                              年    月    日</w:t>
            </w:r>
          </w:p>
        </w:tc>
      </w:tr>
      <w:tr w14:paraId="61E3859C">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30B90B3B">
            <w:pPr>
              <w:spacing w:line="240" w:lineRule="auto"/>
              <w:ind w:firstLine="0"/>
              <w:jc w:val="left"/>
              <w:rPr>
                <w:rFonts w:ascii="Times New Roman"/>
                <w:color w:val="auto"/>
                <w:szCs w:val="32"/>
                <w:highlight w:val="none"/>
              </w:rPr>
            </w:pPr>
            <w:r>
              <w:rPr>
                <w:rFonts w:ascii="Times New Roman"/>
                <w:color w:val="auto"/>
                <w:szCs w:val="32"/>
                <w:highlight w:val="none"/>
              </w:rPr>
              <w:t>采购人确认意见（签章）：</w:t>
            </w:r>
          </w:p>
          <w:p w14:paraId="35051527">
            <w:pPr>
              <w:spacing w:line="240" w:lineRule="auto"/>
              <w:ind w:firstLine="0"/>
              <w:jc w:val="left"/>
              <w:rPr>
                <w:rFonts w:ascii="Times New Roman"/>
                <w:color w:val="auto"/>
                <w:szCs w:val="32"/>
                <w:highlight w:val="none"/>
              </w:rPr>
            </w:pPr>
          </w:p>
          <w:p w14:paraId="7695DD4E">
            <w:pPr>
              <w:spacing w:line="240" w:lineRule="auto"/>
              <w:ind w:firstLine="0"/>
              <w:jc w:val="left"/>
              <w:rPr>
                <w:rFonts w:ascii="Times New Roman"/>
                <w:color w:val="auto"/>
                <w:szCs w:val="32"/>
                <w:highlight w:val="none"/>
              </w:rPr>
            </w:pPr>
          </w:p>
          <w:p w14:paraId="289DFE67">
            <w:pPr>
              <w:spacing w:line="240" w:lineRule="auto"/>
              <w:ind w:firstLine="0"/>
              <w:jc w:val="left"/>
              <w:rPr>
                <w:rFonts w:ascii="Times New Roman"/>
                <w:color w:val="auto"/>
                <w:szCs w:val="32"/>
                <w:highlight w:val="none"/>
              </w:rPr>
            </w:pPr>
          </w:p>
          <w:p w14:paraId="41A41316">
            <w:pPr>
              <w:spacing w:line="240" w:lineRule="auto"/>
              <w:ind w:firstLine="0"/>
              <w:jc w:val="left"/>
              <w:rPr>
                <w:rFonts w:ascii="Times New Roman"/>
                <w:color w:val="auto"/>
                <w:szCs w:val="32"/>
                <w:highlight w:val="none"/>
              </w:rPr>
            </w:pPr>
          </w:p>
          <w:p w14:paraId="6036E890">
            <w:pPr>
              <w:spacing w:line="240" w:lineRule="auto"/>
              <w:ind w:firstLine="0"/>
              <w:jc w:val="left"/>
              <w:rPr>
                <w:rFonts w:ascii="Times New Roman"/>
                <w:color w:val="auto"/>
                <w:szCs w:val="32"/>
                <w:highlight w:val="none"/>
              </w:rPr>
            </w:pPr>
            <w:r>
              <w:rPr>
                <w:rFonts w:ascii="Times New Roman"/>
                <w:color w:val="auto"/>
                <w:szCs w:val="32"/>
                <w:highlight w:val="none"/>
              </w:rPr>
              <w:t>　　</w:t>
            </w:r>
            <w:r>
              <w:rPr>
                <w:rFonts w:ascii="Times New Roman"/>
                <w:color w:val="auto"/>
                <w:szCs w:val="32"/>
                <w:highlight w:val="none"/>
              </w:rPr>
              <w:br w:type="textWrapping"/>
            </w:r>
            <w:r>
              <w:rPr>
                <w:rFonts w:ascii="Times New Roman"/>
                <w:color w:val="auto"/>
                <w:szCs w:val="32"/>
                <w:highlight w:val="none"/>
              </w:rPr>
              <w:t>　　　　　                              年    月    日</w:t>
            </w:r>
          </w:p>
        </w:tc>
      </w:tr>
    </w:tbl>
    <w:p w14:paraId="012B64B4">
      <w:pPr>
        <w:spacing w:line="520" w:lineRule="exact"/>
        <w:jc w:val="center"/>
        <w:outlineLvl w:val="0"/>
        <w:rPr>
          <w:rFonts w:hint="eastAsia"/>
          <w:b/>
          <w:color w:val="auto"/>
          <w:sz w:val="44"/>
          <w:szCs w:val="44"/>
          <w:highlight w:val="none"/>
        </w:rPr>
      </w:pPr>
    </w:p>
    <w:p w14:paraId="1A77BFAF">
      <w:pPr>
        <w:spacing w:line="520" w:lineRule="exact"/>
        <w:jc w:val="center"/>
        <w:outlineLvl w:val="0"/>
        <w:rPr>
          <w:rFonts w:hint="eastAsia" w:ascii="宋体" w:hAnsi="宋体" w:eastAsia="宋体" w:cs="宋体"/>
          <w:b/>
          <w:color w:val="auto"/>
          <w:sz w:val="72"/>
          <w:szCs w:val="72"/>
          <w:highlight w:val="none"/>
        </w:rPr>
      </w:pPr>
      <w:r>
        <w:rPr>
          <w:rFonts w:hint="eastAsia"/>
          <w:b/>
          <w:color w:val="auto"/>
          <w:sz w:val="44"/>
          <w:szCs w:val="44"/>
          <w:highlight w:val="none"/>
        </w:rPr>
        <w:t>第六章 投标文件及格式</w:t>
      </w:r>
      <w:bookmarkEnd w:id="162"/>
      <w:bookmarkEnd w:id="163"/>
      <w:bookmarkEnd w:id="164"/>
    </w:p>
    <w:p w14:paraId="4EADFDD5">
      <w:pPr>
        <w:pStyle w:val="32"/>
        <w:spacing w:beforeAutospacing="0" w:afterAutospacing="0"/>
        <w:jc w:val="center"/>
        <w:rPr>
          <w:rFonts w:hint="eastAsia" w:ascii="宋体" w:hAnsi="宋体" w:eastAsia="宋体" w:cs="宋体"/>
          <w:b/>
          <w:color w:val="auto"/>
          <w:sz w:val="72"/>
          <w:szCs w:val="72"/>
          <w:highlight w:val="none"/>
        </w:rPr>
      </w:pPr>
    </w:p>
    <w:p w14:paraId="70BB58BE">
      <w:pPr>
        <w:pStyle w:val="32"/>
        <w:spacing w:beforeAutospacing="0" w:afterAutospacing="0"/>
        <w:jc w:val="center"/>
        <w:rPr>
          <w:color w:val="auto"/>
          <w:highlight w:val="none"/>
        </w:rPr>
      </w:pPr>
      <w:r>
        <w:rPr>
          <w:rFonts w:hint="eastAsia" w:ascii="宋体" w:hAnsi="宋体" w:eastAsia="宋体" w:cs="宋体"/>
          <w:b/>
          <w:color w:val="auto"/>
          <w:sz w:val="72"/>
          <w:szCs w:val="72"/>
          <w:highlight w:val="none"/>
        </w:rPr>
        <w:t>投  标  文  件</w:t>
      </w:r>
    </w:p>
    <w:p w14:paraId="5BA5549D">
      <w:pPr>
        <w:pStyle w:val="32"/>
        <w:spacing w:beforeAutospacing="0" w:afterAutospacing="0"/>
        <w:jc w:val="center"/>
        <w:rPr>
          <w:color w:val="auto"/>
          <w:highlight w:val="none"/>
        </w:rPr>
      </w:pPr>
      <w:r>
        <w:rPr>
          <w:color w:val="auto"/>
          <w:highlight w:val="none"/>
        </w:rPr>
        <w:t> </w:t>
      </w:r>
    </w:p>
    <w:p w14:paraId="05B06817">
      <w:pPr>
        <w:pStyle w:val="32"/>
        <w:spacing w:beforeAutospacing="0" w:afterAutospacing="0"/>
        <w:jc w:val="center"/>
        <w:rPr>
          <w:color w:val="auto"/>
          <w:highlight w:val="none"/>
        </w:rPr>
      </w:pPr>
      <w:r>
        <w:rPr>
          <w:color w:val="auto"/>
          <w:highlight w:val="none"/>
        </w:rPr>
        <w:t> </w:t>
      </w:r>
    </w:p>
    <w:p w14:paraId="663AFDEF">
      <w:pPr>
        <w:pStyle w:val="32"/>
        <w:spacing w:beforeAutospacing="0" w:afterAutospacing="0"/>
        <w:jc w:val="center"/>
        <w:rPr>
          <w:color w:val="auto"/>
          <w:highlight w:val="none"/>
        </w:rPr>
      </w:pPr>
      <w:r>
        <w:rPr>
          <w:color w:val="auto"/>
          <w:highlight w:val="none"/>
        </w:rPr>
        <w:t> </w:t>
      </w:r>
    </w:p>
    <w:p w14:paraId="500B64B2">
      <w:pPr>
        <w:pStyle w:val="32"/>
        <w:spacing w:beforeAutospacing="0" w:afterAutospacing="0"/>
        <w:jc w:val="center"/>
        <w:rPr>
          <w:color w:val="auto"/>
          <w:highlight w:val="none"/>
        </w:rPr>
      </w:pPr>
      <w:r>
        <w:rPr>
          <w:color w:val="auto"/>
          <w:highlight w:val="none"/>
        </w:rPr>
        <w:t> </w:t>
      </w:r>
    </w:p>
    <w:p w14:paraId="30541D2A">
      <w:pPr>
        <w:pStyle w:val="32"/>
        <w:spacing w:beforeAutospacing="0" w:afterAutospacing="0"/>
        <w:jc w:val="center"/>
        <w:rPr>
          <w:color w:val="auto"/>
          <w:highlight w:val="none"/>
        </w:rPr>
      </w:pPr>
      <w:r>
        <w:rPr>
          <w:color w:val="auto"/>
          <w:highlight w:val="none"/>
        </w:rPr>
        <w:t> </w:t>
      </w:r>
    </w:p>
    <w:p w14:paraId="7169C7C3">
      <w:pPr>
        <w:pStyle w:val="32"/>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505D63E3">
      <w:pPr>
        <w:pStyle w:val="32"/>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790B9613">
      <w:pPr>
        <w:pStyle w:val="32"/>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5572C870">
      <w:pPr>
        <w:pStyle w:val="32"/>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2ACA0F9F">
      <w:pPr>
        <w:spacing w:line="480" w:lineRule="exact"/>
        <w:jc w:val="center"/>
        <w:rPr>
          <w:rFonts w:hint="eastAsia" w:ascii="宋体" w:hAnsi="宋体" w:cs="Segoe UI"/>
          <w:b/>
          <w:bCs/>
          <w:color w:val="auto"/>
          <w:sz w:val="32"/>
          <w:szCs w:val="32"/>
          <w:highlight w:val="none"/>
        </w:rPr>
        <w:sectPr>
          <w:pgSz w:w="11906" w:h="16838"/>
          <w:pgMar w:top="1440" w:right="1587" w:bottom="1440" w:left="1587" w:header="851" w:footer="907" w:gutter="0"/>
          <w:cols w:space="720" w:num="1"/>
          <w:docGrid w:linePitch="360" w:charSpace="0"/>
        </w:sectPr>
      </w:pPr>
    </w:p>
    <w:p w14:paraId="55A78AEB">
      <w:pPr>
        <w:spacing w:line="44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评分索引表</w:t>
      </w:r>
    </w:p>
    <w:tbl>
      <w:tblPr>
        <w:tblStyle w:val="36"/>
        <w:tblpPr w:leftFromText="180" w:rightFromText="180" w:vertAnchor="text" w:horzAnchor="page" w:tblpXSpec="center" w:tblpY="3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2FE37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noWrap w:val="0"/>
            <w:vAlign w:val="top"/>
          </w:tcPr>
          <w:p w14:paraId="7997377B">
            <w:pPr>
              <w:pStyle w:val="196"/>
              <w:shd w:val="clear" w:color="auto" w:fill="FFFFFF"/>
              <w:spacing w:line="265" w:lineRule="atLeast"/>
              <w:ind w:left="420"/>
              <w:jc w:val="center"/>
              <w:rPr>
                <w:rFonts w:hint="eastAsia" w:ascii="宋体" w:hAnsi="宋体" w:eastAsia="宋体" w:cs="宋体"/>
                <w:b/>
                <w:bCs/>
                <w:color w:val="auto"/>
                <w:highlight w:val="none"/>
                <w:lang w:val="en-US" w:eastAsia="zh-CN"/>
              </w:rPr>
            </w:pPr>
            <w:r>
              <w:rPr>
                <w:rFonts w:hint="eastAsia" w:ascii="宋体" w:hAnsi="宋体" w:eastAsia="宋体" w:cs="宋体"/>
                <w:b/>
                <w:color w:val="auto"/>
                <w:highlight w:val="none"/>
                <w:lang w:val="en-US"/>
              </w:rPr>
              <w:t>评分项目</w:t>
            </w:r>
          </w:p>
        </w:tc>
        <w:tc>
          <w:tcPr>
            <w:tcW w:w="3570" w:type="dxa"/>
            <w:noWrap w:val="0"/>
            <w:vAlign w:val="top"/>
          </w:tcPr>
          <w:p w14:paraId="2AB5E712">
            <w:pPr>
              <w:jc w:val="center"/>
              <w:rPr>
                <w:rFonts w:hint="eastAsia" w:ascii="宋体" w:hAnsi="宋体" w:eastAsia="宋体" w:cs="宋体"/>
                <w:b/>
                <w:color w:val="auto"/>
                <w:highlight w:val="none"/>
              </w:rPr>
            </w:pPr>
            <w:r>
              <w:rPr>
                <w:rFonts w:hint="eastAsia" w:ascii="宋体" w:hAnsi="宋体" w:eastAsia="宋体" w:cs="宋体"/>
                <w:b/>
                <w:color w:val="auto"/>
                <w:sz w:val="24"/>
                <w:highlight w:val="none"/>
                <w:lang w:bidi="en-US"/>
              </w:rPr>
              <w:t>在投标文件中的页码位置</w:t>
            </w:r>
          </w:p>
        </w:tc>
      </w:tr>
      <w:tr w14:paraId="34774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noWrap w:val="0"/>
            <w:vAlign w:val="top"/>
          </w:tcPr>
          <w:p w14:paraId="0B0DEBB0">
            <w:pPr>
              <w:pStyle w:val="196"/>
              <w:shd w:val="clear" w:color="auto" w:fill="FFFFFF"/>
              <w:spacing w:line="265" w:lineRule="atLeast"/>
              <w:ind w:left="420"/>
              <w:jc w:val="both"/>
              <w:rPr>
                <w:rFonts w:hint="eastAsia" w:ascii="宋体" w:hAnsi="宋体" w:eastAsia="宋体" w:cs="宋体"/>
                <w:b/>
                <w:color w:val="auto"/>
                <w:highlight w:val="none"/>
                <w:lang w:val="en-US" w:eastAsia="zh-CN"/>
              </w:rPr>
            </w:pPr>
          </w:p>
        </w:tc>
        <w:tc>
          <w:tcPr>
            <w:tcW w:w="3570" w:type="dxa"/>
            <w:noWrap w:val="0"/>
            <w:vAlign w:val="top"/>
          </w:tcPr>
          <w:p w14:paraId="4016BCD1">
            <w:pPr>
              <w:rPr>
                <w:rFonts w:hint="eastAsia" w:ascii="宋体" w:hAnsi="宋体" w:eastAsia="宋体" w:cs="宋体"/>
                <w:b/>
                <w:color w:val="auto"/>
                <w:sz w:val="24"/>
                <w:highlight w:val="none"/>
                <w:lang w:bidi="en-US"/>
              </w:rPr>
            </w:pPr>
          </w:p>
        </w:tc>
      </w:tr>
      <w:tr w14:paraId="6B765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noWrap w:val="0"/>
            <w:vAlign w:val="top"/>
          </w:tcPr>
          <w:p w14:paraId="6D0BDCA9">
            <w:pPr>
              <w:pStyle w:val="196"/>
              <w:shd w:val="clear" w:color="auto" w:fill="FFFFFF"/>
              <w:spacing w:line="265" w:lineRule="atLeast"/>
              <w:ind w:left="420"/>
              <w:jc w:val="both"/>
              <w:rPr>
                <w:rFonts w:hint="eastAsia" w:ascii="宋体" w:hAnsi="宋体" w:eastAsia="宋体" w:cs="宋体"/>
                <w:color w:val="auto"/>
                <w:highlight w:val="none"/>
                <w:lang w:val="en-US" w:eastAsia="zh-CN"/>
              </w:rPr>
            </w:pPr>
          </w:p>
        </w:tc>
      </w:tr>
      <w:tr w14:paraId="2C370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noWrap w:val="0"/>
            <w:vAlign w:val="top"/>
          </w:tcPr>
          <w:p w14:paraId="69187803">
            <w:pPr>
              <w:pStyle w:val="196"/>
              <w:shd w:val="clear" w:color="auto" w:fill="FFFFFF"/>
              <w:spacing w:line="265" w:lineRule="atLeast"/>
              <w:ind w:left="420"/>
              <w:rPr>
                <w:rFonts w:hint="eastAsia" w:ascii="宋体" w:hAnsi="宋体" w:eastAsia="宋体" w:cs="宋体"/>
                <w:color w:val="auto"/>
                <w:highlight w:val="none"/>
                <w:lang w:val="en-US" w:eastAsia="zh-CN"/>
              </w:rPr>
            </w:pPr>
          </w:p>
        </w:tc>
        <w:tc>
          <w:tcPr>
            <w:tcW w:w="3570" w:type="dxa"/>
            <w:noWrap w:val="0"/>
            <w:vAlign w:val="top"/>
          </w:tcPr>
          <w:p w14:paraId="7DF8C135">
            <w:pPr>
              <w:rPr>
                <w:rFonts w:hint="eastAsia" w:ascii="宋体" w:hAnsi="宋体" w:eastAsia="宋体" w:cs="宋体"/>
                <w:color w:val="auto"/>
                <w:highlight w:val="none"/>
              </w:rPr>
            </w:pPr>
          </w:p>
        </w:tc>
      </w:tr>
      <w:tr w14:paraId="6FA4B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noWrap w:val="0"/>
            <w:vAlign w:val="top"/>
          </w:tcPr>
          <w:p w14:paraId="6061E54F">
            <w:pPr>
              <w:pStyle w:val="196"/>
              <w:shd w:val="clear" w:color="auto" w:fill="FFFFFF"/>
              <w:spacing w:line="265" w:lineRule="atLeast"/>
              <w:ind w:left="420"/>
              <w:rPr>
                <w:rFonts w:hint="eastAsia" w:ascii="宋体" w:hAnsi="宋体" w:eastAsia="宋体" w:cs="宋体"/>
                <w:color w:val="auto"/>
                <w:highlight w:val="none"/>
                <w:lang w:val="en-US" w:eastAsia="zh-CN"/>
              </w:rPr>
            </w:pPr>
          </w:p>
        </w:tc>
        <w:tc>
          <w:tcPr>
            <w:tcW w:w="3570" w:type="dxa"/>
            <w:noWrap w:val="0"/>
            <w:vAlign w:val="top"/>
          </w:tcPr>
          <w:p w14:paraId="6977D161">
            <w:pPr>
              <w:rPr>
                <w:rFonts w:hint="eastAsia" w:ascii="宋体" w:hAnsi="宋体" w:eastAsia="宋体" w:cs="宋体"/>
                <w:color w:val="auto"/>
                <w:highlight w:val="none"/>
              </w:rPr>
            </w:pPr>
          </w:p>
        </w:tc>
      </w:tr>
      <w:tr w14:paraId="7E08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noWrap w:val="0"/>
            <w:vAlign w:val="top"/>
          </w:tcPr>
          <w:p w14:paraId="19179CC7">
            <w:pPr>
              <w:pStyle w:val="196"/>
              <w:shd w:val="clear" w:color="auto" w:fill="FFFFFF"/>
              <w:spacing w:line="265" w:lineRule="atLeast"/>
              <w:ind w:left="420"/>
              <w:rPr>
                <w:rFonts w:hint="eastAsia" w:ascii="宋体" w:hAnsi="宋体" w:eastAsia="宋体" w:cs="宋体"/>
                <w:color w:val="auto"/>
                <w:highlight w:val="none"/>
                <w:lang w:val="en-US" w:eastAsia="zh-CN"/>
              </w:rPr>
            </w:pPr>
          </w:p>
        </w:tc>
        <w:tc>
          <w:tcPr>
            <w:tcW w:w="3570" w:type="dxa"/>
            <w:noWrap w:val="0"/>
            <w:vAlign w:val="top"/>
          </w:tcPr>
          <w:p w14:paraId="2891C7A7">
            <w:pPr>
              <w:rPr>
                <w:rFonts w:hint="eastAsia" w:ascii="宋体" w:hAnsi="宋体" w:eastAsia="宋体" w:cs="宋体"/>
                <w:color w:val="auto"/>
                <w:highlight w:val="none"/>
              </w:rPr>
            </w:pPr>
          </w:p>
        </w:tc>
      </w:tr>
      <w:tr w14:paraId="2FCF6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noWrap w:val="0"/>
            <w:vAlign w:val="top"/>
          </w:tcPr>
          <w:p w14:paraId="79C90A5F">
            <w:pPr>
              <w:pStyle w:val="196"/>
              <w:shd w:val="clear" w:color="auto" w:fill="FFFFFF"/>
              <w:spacing w:line="265" w:lineRule="atLeast"/>
              <w:ind w:left="420"/>
              <w:rPr>
                <w:rFonts w:hint="eastAsia" w:ascii="宋体" w:hAnsi="宋体" w:eastAsia="宋体" w:cs="宋体"/>
                <w:color w:val="auto"/>
                <w:highlight w:val="none"/>
                <w:lang w:val="en-US" w:eastAsia="zh-CN"/>
              </w:rPr>
            </w:pPr>
          </w:p>
        </w:tc>
        <w:tc>
          <w:tcPr>
            <w:tcW w:w="3570" w:type="dxa"/>
            <w:noWrap w:val="0"/>
            <w:vAlign w:val="top"/>
          </w:tcPr>
          <w:p w14:paraId="5BAD4415">
            <w:pPr>
              <w:rPr>
                <w:rFonts w:hint="eastAsia" w:ascii="宋体" w:hAnsi="宋体" w:eastAsia="宋体" w:cs="宋体"/>
                <w:color w:val="auto"/>
                <w:highlight w:val="none"/>
              </w:rPr>
            </w:pPr>
          </w:p>
        </w:tc>
      </w:tr>
      <w:tr w14:paraId="489FD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noWrap w:val="0"/>
            <w:vAlign w:val="top"/>
          </w:tcPr>
          <w:p w14:paraId="595BB9ED">
            <w:pPr>
              <w:pStyle w:val="196"/>
              <w:shd w:val="clear" w:color="auto" w:fill="FFFFFF"/>
              <w:spacing w:line="265" w:lineRule="atLeast"/>
              <w:ind w:left="420"/>
              <w:rPr>
                <w:rFonts w:hint="eastAsia" w:ascii="宋体" w:hAnsi="宋体" w:eastAsia="宋体" w:cs="宋体"/>
                <w:color w:val="auto"/>
                <w:highlight w:val="none"/>
                <w:lang w:val="en-US" w:eastAsia="zh-CN"/>
              </w:rPr>
            </w:pPr>
          </w:p>
        </w:tc>
        <w:tc>
          <w:tcPr>
            <w:tcW w:w="3570" w:type="dxa"/>
            <w:noWrap w:val="0"/>
            <w:vAlign w:val="top"/>
          </w:tcPr>
          <w:p w14:paraId="14B61E89">
            <w:pPr>
              <w:rPr>
                <w:rFonts w:hint="eastAsia" w:ascii="宋体" w:hAnsi="宋体" w:eastAsia="宋体" w:cs="宋体"/>
                <w:color w:val="auto"/>
                <w:highlight w:val="none"/>
              </w:rPr>
            </w:pPr>
          </w:p>
        </w:tc>
      </w:tr>
      <w:tr w14:paraId="0951B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noWrap w:val="0"/>
            <w:vAlign w:val="top"/>
          </w:tcPr>
          <w:p w14:paraId="445F8454">
            <w:pPr>
              <w:pStyle w:val="196"/>
              <w:shd w:val="clear" w:color="auto" w:fill="FFFFFF"/>
              <w:spacing w:line="265" w:lineRule="atLeast"/>
              <w:ind w:left="420"/>
              <w:jc w:val="both"/>
              <w:rPr>
                <w:rFonts w:hint="eastAsia" w:ascii="宋体" w:hAnsi="宋体" w:eastAsia="宋体" w:cs="宋体"/>
                <w:color w:val="auto"/>
                <w:highlight w:val="none"/>
                <w:lang w:val="en-US" w:eastAsia="zh-CN"/>
              </w:rPr>
            </w:pPr>
          </w:p>
        </w:tc>
      </w:tr>
      <w:tr w14:paraId="48CF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noWrap w:val="0"/>
            <w:vAlign w:val="top"/>
          </w:tcPr>
          <w:p w14:paraId="22AFF191">
            <w:pPr>
              <w:pStyle w:val="196"/>
              <w:shd w:val="clear" w:color="auto" w:fill="FFFFFF"/>
              <w:spacing w:line="265" w:lineRule="atLeast"/>
              <w:ind w:left="420"/>
              <w:rPr>
                <w:rFonts w:hint="eastAsia" w:ascii="宋体" w:hAnsi="宋体" w:eastAsia="宋体" w:cs="宋体"/>
                <w:color w:val="auto"/>
                <w:highlight w:val="none"/>
                <w:lang w:val="en-US" w:eastAsia="zh-CN"/>
              </w:rPr>
            </w:pPr>
          </w:p>
        </w:tc>
        <w:tc>
          <w:tcPr>
            <w:tcW w:w="3570" w:type="dxa"/>
            <w:noWrap w:val="0"/>
            <w:vAlign w:val="top"/>
          </w:tcPr>
          <w:p w14:paraId="7D1500FC">
            <w:pPr>
              <w:rPr>
                <w:rFonts w:hint="eastAsia" w:ascii="宋体" w:hAnsi="宋体" w:eastAsia="宋体" w:cs="宋体"/>
                <w:color w:val="auto"/>
                <w:highlight w:val="none"/>
              </w:rPr>
            </w:pPr>
          </w:p>
        </w:tc>
      </w:tr>
      <w:tr w14:paraId="5CB74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noWrap w:val="0"/>
            <w:vAlign w:val="top"/>
          </w:tcPr>
          <w:p w14:paraId="562F85CD">
            <w:pPr>
              <w:pStyle w:val="196"/>
              <w:shd w:val="clear" w:color="auto" w:fill="FFFFFF"/>
              <w:spacing w:line="265" w:lineRule="atLeast"/>
              <w:ind w:left="420"/>
              <w:rPr>
                <w:rFonts w:hint="eastAsia" w:ascii="宋体" w:hAnsi="宋体" w:eastAsia="宋体" w:cs="宋体"/>
                <w:color w:val="auto"/>
                <w:highlight w:val="none"/>
                <w:lang w:val="en-US" w:eastAsia="zh-CN"/>
              </w:rPr>
            </w:pPr>
          </w:p>
        </w:tc>
        <w:tc>
          <w:tcPr>
            <w:tcW w:w="3570" w:type="dxa"/>
            <w:noWrap w:val="0"/>
            <w:vAlign w:val="top"/>
          </w:tcPr>
          <w:p w14:paraId="1C276FD0">
            <w:pPr>
              <w:rPr>
                <w:rFonts w:hint="eastAsia" w:ascii="宋体" w:hAnsi="宋体" w:eastAsia="宋体" w:cs="宋体"/>
                <w:color w:val="auto"/>
                <w:highlight w:val="none"/>
              </w:rPr>
            </w:pPr>
          </w:p>
        </w:tc>
      </w:tr>
      <w:tr w14:paraId="62CAD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noWrap w:val="0"/>
            <w:vAlign w:val="top"/>
          </w:tcPr>
          <w:p w14:paraId="326B425F">
            <w:pPr>
              <w:pStyle w:val="196"/>
              <w:shd w:val="clear" w:color="auto" w:fill="FFFFFF"/>
              <w:spacing w:line="265" w:lineRule="atLeast"/>
              <w:ind w:left="420"/>
              <w:rPr>
                <w:rFonts w:hint="eastAsia" w:ascii="宋体" w:hAnsi="宋体" w:eastAsia="宋体" w:cs="宋体"/>
                <w:color w:val="auto"/>
                <w:highlight w:val="none"/>
                <w:lang w:val="en-US" w:eastAsia="zh-CN"/>
              </w:rPr>
            </w:pPr>
          </w:p>
        </w:tc>
        <w:tc>
          <w:tcPr>
            <w:tcW w:w="3570" w:type="dxa"/>
            <w:noWrap w:val="0"/>
            <w:vAlign w:val="top"/>
          </w:tcPr>
          <w:p w14:paraId="440B38EB">
            <w:pPr>
              <w:rPr>
                <w:rFonts w:hint="eastAsia" w:ascii="宋体" w:hAnsi="宋体" w:eastAsia="宋体" w:cs="宋体"/>
                <w:color w:val="auto"/>
                <w:highlight w:val="none"/>
              </w:rPr>
            </w:pPr>
          </w:p>
        </w:tc>
      </w:tr>
      <w:tr w14:paraId="0569E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noWrap w:val="0"/>
            <w:vAlign w:val="top"/>
          </w:tcPr>
          <w:p w14:paraId="20DF00AB">
            <w:pPr>
              <w:pStyle w:val="196"/>
              <w:shd w:val="clear" w:color="auto" w:fill="FFFFFF"/>
              <w:spacing w:line="265" w:lineRule="atLeast"/>
              <w:ind w:left="420"/>
              <w:rPr>
                <w:rFonts w:hint="eastAsia" w:ascii="宋体" w:hAnsi="宋体" w:eastAsia="宋体" w:cs="宋体"/>
                <w:color w:val="auto"/>
                <w:highlight w:val="none"/>
                <w:lang w:val="en-US" w:eastAsia="zh-CN"/>
              </w:rPr>
            </w:pPr>
          </w:p>
        </w:tc>
        <w:tc>
          <w:tcPr>
            <w:tcW w:w="3570" w:type="dxa"/>
            <w:noWrap w:val="0"/>
            <w:vAlign w:val="top"/>
          </w:tcPr>
          <w:p w14:paraId="42A80648">
            <w:pPr>
              <w:rPr>
                <w:rFonts w:hint="eastAsia" w:ascii="宋体" w:hAnsi="宋体" w:eastAsia="宋体" w:cs="宋体"/>
                <w:color w:val="auto"/>
                <w:highlight w:val="none"/>
              </w:rPr>
            </w:pPr>
          </w:p>
        </w:tc>
      </w:tr>
      <w:tr w14:paraId="72F7B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noWrap w:val="0"/>
            <w:vAlign w:val="top"/>
          </w:tcPr>
          <w:p w14:paraId="128DA0F8">
            <w:pPr>
              <w:pStyle w:val="196"/>
              <w:shd w:val="clear" w:color="auto" w:fill="FFFFFF"/>
              <w:spacing w:line="265" w:lineRule="atLeast"/>
              <w:ind w:left="420"/>
              <w:rPr>
                <w:rFonts w:hint="eastAsia" w:ascii="宋体" w:hAnsi="宋体" w:eastAsia="宋体" w:cs="宋体"/>
                <w:color w:val="auto"/>
                <w:highlight w:val="none"/>
                <w:lang w:val="en-US" w:eastAsia="zh-CN"/>
              </w:rPr>
            </w:pPr>
          </w:p>
        </w:tc>
        <w:tc>
          <w:tcPr>
            <w:tcW w:w="3570" w:type="dxa"/>
            <w:noWrap w:val="0"/>
            <w:vAlign w:val="top"/>
          </w:tcPr>
          <w:p w14:paraId="281755D0">
            <w:pPr>
              <w:rPr>
                <w:rFonts w:hint="eastAsia" w:ascii="宋体" w:hAnsi="宋体" w:eastAsia="宋体" w:cs="宋体"/>
                <w:color w:val="auto"/>
                <w:highlight w:val="none"/>
              </w:rPr>
            </w:pPr>
          </w:p>
        </w:tc>
      </w:tr>
      <w:tr w14:paraId="64E3F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noWrap w:val="0"/>
            <w:vAlign w:val="top"/>
          </w:tcPr>
          <w:p w14:paraId="2E157A2C">
            <w:pPr>
              <w:pStyle w:val="196"/>
              <w:shd w:val="clear" w:color="auto" w:fill="FFFFFF"/>
              <w:spacing w:line="265" w:lineRule="atLeast"/>
              <w:ind w:left="420"/>
              <w:jc w:val="both"/>
              <w:rPr>
                <w:rFonts w:hint="eastAsia" w:ascii="宋体" w:hAnsi="宋体" w:eastAsia="宋体" w:cs="宋体"/>
                <w:b/>
                <w:color w:val="auto"/>
                <w:highlight w:val="none"/>
                <w:lang w:val="en-US" w:eastAsia="zh-CN"/>
              </w:rPr>
            </w:pPr>
          </w:p>
        </w:tc>
      </w:tr>
      <w:tr w14:paraId="1CEAD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noWrap w:val="0"/>
            <w:vAlign w:val="top"/>
          </w:tcPr>
          <w:p w14:paraId="1702606B">
            <w:pPr>
              <w:pStyle w:val="196"/>
              <w:shd w:val="clear" w:color="auto" w:fill="FFFFFF"/>
              <w:spacing w:line="265" w:lineRule="atLeast"/>
              <w:ind w:left="420"/>
              <w:rPr>
                <w:rFonts w:hint="eastAsia" w:ascii="宋体" w:hAnsi="宋体" w:eastAsia="宋体" w:cs="宋体"/>
                <w:b/>
                <w:bCs/>
                <w:color w:val="auto"/>
                <w:highlight w:val="none"/>
                <w:lang w:val="en-US" w:eastAsia="zh-CN"/>
              </w:rPr>
            </w:pPr>
          </w:p>
        </w:tc>
        <w:tc>
          <w:tcPr>
            <w:tcW w:w="3570" w:type="dxa"/>
            <w:noWrap w:val="0"/>
            <w:vAlign w:val="top"/>
          </w:tcPr>
          <w:p w14:paraId="188AEC57">
            <w:pPr>
              <w:rPr>
                <w:rFonts w:hint="eastAsia" w:ascii="宋体" w:hAnsi="宋体" w:eastAsia="宋体" w:cs="宋体"/>
                <w:color w:val="auto"/>
                <w:highlight w:val="none"/>
              </w:rPr>
            </w:pPr>
          </w:p>
        </w:tc>
      </w:tr>
      <w:tr w14:paraId="0B23B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noWrap w:val="0"/>
            <w:vAlign w:val="top"/>
          </w:tcPr>
          <w:p w14:paraId="532730A5">
            <w:pPr>
              <w:pStyle w:val="196"/>
              <w:shd w:val="clear" w:color="auto" w:fill="FFFFFF"/>
              <w:spacing w:line="265" w:lineRule="atLeast"/>
              <w:ind w:left="420"/>
              <w:rPr>
                <w:rFonts w:hint="eastAsia" w:ascii="宋体" w:hAnsi="宋体" w:eastAsia="宋体" w:cs="宋体"/>
                <w:color w:val="auto"/>
                <w:highlight w:val="none"/>
                <w:lang w:val="en-US" w:eastAsia="zh-CN"/>
              </w:rPr>
            </w:pPr>
          </w:p>
        </w:tc>
        <w:tc>
          <w:tcPr>
            <w:tcW w:w="3570" w:type="dxa"/>
            <w:noWrap w:val="0"/>
            <w:vAlign w:val="top"/>
          </w:tcPr>
          <w:p w14:paraId="1704C69F">
            <w:pPr>
              <w:rPr>
                <w:rFonts w:hint="eastAsia" w:ascii="宋体" w:hAnsi="宋体" w:eastAsia="宋体" w:cs="宋体"/>
                <w:color w:val="auto"/>
                <w:highlight w:val="none"/>
              </w:rPr>
            </w:pPr>
          </w:p>
        </w:tc>
      </w:tr>
      <w:tr w14:paraId="105F9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noWrap w:val="0"/>
            <w:vAlign w:val="top"/>
          </w:tcPr>
          <w:p w14:paraId="15B8C9EB">
            <w:pPr>
              <w:pStyle w:val="196"/>
              <w:shd w:val="clear" w:color="auto" w:fill="FFFFFF"/>
              <w:spacing w:line="265" w:lineRule="atLeast"/>
              <w:ind w:left="420"/>
              <w:rPr>
                <w:rFonts w:hint="eastAsia" w:ascii="宋体" w:hAnsi="宋体" w:eastAsia="宋体" w:cs="宋体"/>
                <w:b/>
                <w:bCs/>
                <w:color w:val="auto"/>
                <w:highlight w:val="none"/>
                <w:lang w:val="en-US" w:eastAsia="zh-CN"/>
              </w:rPr>
            </w:pPr>
          </w:p>
        </w:tc>
        <w:tc>
          <w:tcPr>
            <w:tcW w:w="3570" w:type="dxa"/>
            <w:noWrap w:val="0"/>
            <w:vAlign w:val="top"/>
          </w:tcPr>
          <w:p w14:paraId="3A433EED">
            <w:pPr>
              <w:rPr>
                <w:rFonts w:hint="eastAsia" w:ascii="宋体" w:hAnsi="宋体" w:eastAsia="宋体" w:cs="宋体"/>
                <w:color w:val="auto"/>
                <w:highlight w:val="none"/>
              </w:rPr>
            </w:pPr>
          </w:p>
        </w:tc>
      </w:tr>
      <w:tr w14:paraId="54325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noWrap w:val="0"/>
            <w:vAlign w:val="top"/>
          </w:tcPr>
          <w:p w14:paraId="67AC7CD7">
            <w:pPr>
              <w:pStyle w:val="196"/>
              <w:shd w:val="clear" w:color="auto" w:fill="FFFFFF"/>
              <w:spacing w:line="265" w:lineRule="atLeast"/>
              <w:ind w:left="420"/>
              <w:jc w:val="both"/>
              <w:rPr>
                <w:rFonts w:hint="eastAsia" w:ascii="宋体" w:hAnsi="宋体" w:eastAsia="宋体" w:cs="宋体"/>
                <w:b/>
                <w:color w:val="auto"/>
                <w:highlight w:val="none"/>
                <w:lang w:val="en-US" w:eastAsia="zh-CN"/>
              </w:rPr>
            </w:pPr>
          </w:p>
        </w:tc>
      </w:tr>
      <w:tr w14:paraId="05661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noWrap w:val="0"/>
            <w:vAlign w:val="top"/>
          </w:tcPr>
          <w:p w14:paraId="3341DE38">
            <w:pPr>
              <w:pStyle w:val="196"/>
              <w:shd w:val="clear" w:color="auto" w:fill="FFFFFF"/>
              <w:spacing w:line="265" w:lineRule="atLeast"/>
              <w:ind w:left="0" w:firstLine="480"/>
              <w:rPr>
                <w:rFonts w:hint="eastAsia" w:ascii="宋体" w:hAnsi="宋体" w:eastAsia="宋体" w:cs="宋体"/>
                <w:color w:val="auto"/>
                <w:szCs w:val="21"/>
                <w:highlight w:val="none"/>
                <w:lang w:val="en-US" w:eastAsia="zh-CN"/>
              </w:rPr>
            </w:pPr>
          </w:p>
        </w:tc>
        <w:tc>
          <w:tcPr>
            <w:tcW w:w="3570" w:type="dxa"/>
            <w:noWrap w:val="0"/>
            <w:vAlign w:val="top"/>
          </w:tcPr>
          <w:p w14:paraId="04E17198">
            <w:pPr>
              <w:rPr>
                <w:rFonts w:hint="eastAsia" w:ascii="宋体" w:hAnsi="宋体" w:eastAsia="宋体" w:cs="宋体"/>
                <w:color w:val="auto"/>
                <w:highlight w:val="none"/>
              </w:rPr>
            </w:pPr>
          </w:p>
        </w:tc>
      </w:tr>
      <w:tr w14:paraId="2C90D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Borders>
              <w:bottom w:val="single" w:color="auto" w:sz="4" w:space="0"/>
            </w:tcBorders>
            <w:noWrap w:val="0"/>
            <w:vAlign w:val="top"/>
          </w:tcPr>
          <w:p w14:paraId="6EEFDED6">
            <w:pPr>
              <w:pStyle w:val="196"/>
              <w:shd w:val="clear" w:color="auto" w:fill="FFFFFF"/>
              <w:spacing w:line="265" w:lineRule="atLeast"/>
              <w:ind w:left="0" w:firstLine="480"/>
              <w:rPr>
                <w:rFonts w:hint="eastAsia" w:ascii="宋体" w:hAnsi="宋体" w:eastAsia="宋体" w:cs="宋体"/>
                <w:color w:val="auto"/>
                <w:highlight w:val="none"/>
                <w:lang w:val="en-US" w:eastAsia="zh-CN"/>
              </w:rPr>
            </w:pPr>
          </w:p>
        </w:tc>
        <w:tc>
          <w:tcPr>
            <w:tcW w:w="3570" w:type="dxa"/>
            <w:tcBorders>
              <w:bottom w:val="single" w:color="auto" w:sz="4" w:space="0"/>
            </w:tcBorders>
            <w:noWrap w:val="0"/>
            <w:vAlign w:val="top"/>
          </w:tcPr>
          <w:p w14:paraId="7F94DFB4">
            <w:pPr>
              <w:rPr>
                <w:rFonts w:hint="eastAsia" w:ascii="宋体" w:hAnsi="宋体" w:eastAsia="宋体" w:cs="宋体"/>
                <w:color w:val="auto"/>
                <w:highlight w:val="none"/>
              </w:rPr>
            </w:pPr>
          </w:p>
        </w:tc>
      </w:tr>
    </w:tbl>
    <w:p w14:paraId="48A9B400">
      <w:pPr>
        <w:pStyle w:val="32"/>
        <w:spacing w:beforeAutospacing="0" w:afterAutospacing="0" w:line="0" w:lineRule="atLeast"/>
        <w:jc w:val="center"/>
        <w:rPr>
          <w:rFonts w:hint="eastAsia" w:ascii="宋体" w:hAnsi="宋体" w:eastAsia="宋体" w:cs="宋体"/>
          <w:b/>
          <w:color w:val="auto"/>
          <w:sz w:val="32"/>
          <w:szCs w:val="32"/>
          <w:highlight w:val="none"/>
        </w:rPr>
      </w:pPr>
    </w:p>
    <w:p w14:paraId="1E9F1E7C">
      <w:pPr>
        <w:pStyle w:val="32"/>
        <w:spacing w:beforeAutospacing="0" w:afterAutospacing="0" w:line="0" w:lineRule="atLeast"/>
        <w:jc w:val="center"/>
        <w:rPr>
          <w:rFonts w:hint="eastAsia" w:ascii="宋体" w:hAnsi="宋体" w:eastAsia="宋体" w:cs="宋体"/>
          <w:b/>
          <w:color w:val="auto"/>
          <w:sz w:val="32"/>
          <w:szCs w:val="32"/>
          <w:highlight w:val="none"/>
        </w:rPr>
      </w:pPr>
    </w:p>
    <w:p w14:paraId="399866F5">
      <w:pPr>
        <w:pStyle w:val="32"/>
        <w:spacing w:beforeAutospacing="0" w:afterAutospacing="0" w:line="0" w:lineRule="atLeast"/>
        <w:jc w:val="center"/>
        <w:rPr>
          <w:rFonts w:hint="eastAsia" w:ascii="宋体" w:hAnsi="宋体" w:eastAsia="宋体" w:cs="宋体"/>
          <w:b/>
          <w:color w:val="auto"/>
          <w:sz w:val="32"/>
          <w:szCs w:val="32"/>
          <w:highlight w:val="none"/>
        </w:rPr>
      </w:pPr>
    </w:p>
    <w:p w14:paraId="7E0CE41A">
      <w:pPr>
        <w:pStyle w:val="32"/>
        <w:spacing w:beforeAutospacing="0" w:afterAutospacing="0" w:line="0" w:lineRule="atLeast"/>
        <w:jc w:val="center"/>
        <w:rPr>
          <w:rFonts w:hint="eastAsia" w:ascii="宋体" w:hAnsi="宋体" w:eastAsia="宋体" w:cs="宋体"/>
          <w:b/>
          <w:color w:val="auto"/>
          <w:sz w:val="32"/>
          <w:szCs w:val="32"/>
          <w:highlight w:val="none"/>
        </w:rPr>
      </w:pPr>
    </w:p>
    <w:p w14:paraId="2C6DCB6A">
      <w:pPr>
        <w:pStyle w:val="32"/>
        <w:spacing w:beforeAutospacing="0" w:afterAutospacing="0" w:line="0" w:lineRule="atLeast"/>
        <w:jc w:val="center"/>
        <w:rPr>
          <w:rFonts w:hint="eastAsia" w:ascii="宋体" w:hAnsi="宋体" w:eastAsia="宋体" w:cs="宋体"/>
          <w:b/>
          <w:color w:val="auto"/>
          <w:sz w:val="32"/>
          <w:szCs w:val="32"/>
          <w:highlight w:val="none"/>
        </w:rPr>
      </w:pPr>
    </w:p>
    <w:p w14:paraId="0262E0E9">
      <w:pPr>
        <w:pStyle w:val="32"/>
        <w:spacing w:beforeAutospacing="0" w:afterAutospacing="0" w:line="0" w:lineRule="atLeast"/>
        <w:jc w:val="center"/>
        <w:rPr>
          <w:rFonts w:hint="eastAsia" w:ascii="宋体" w:hAnsi="宋体" w:eastAsia="宋体" w:cs="宋体"/>
          <w:b/>
          <w:color w:val="auto"/>
          <w:sz w:val="32"/>
          <w:szCs w:val="32"/>
          <w:highlight w:val="none"/>
        </w:rPr>
      </w:pPr>
    </w:p>
    <w:p w14:paraId="2C342B46">
      <w:pPr>
        <w:pStyle w:val="32"/>
        <w:spacing w:beforeAutospacing="0" w:afterAutospacing="0" w:line="0" w:lineRule="atLeast"/>
        <w:jc w:val="center"/>
        <w:rPr>
          <w:rFonts w:hint="eastAsia" w:ascii="宋体" w:hAnsi="宋体" w:eastAsia="宋体" w:cs="宋体"/>
          <w:b/>
          <w:color w:val="auto"/>
          <w:sz w:val="32"/>
          <w:szCs w:val="32"/>
          <w:highlight w:val="none"/>
        </w:rPr>
      </w:pPr>
    </w:p>
    <w:p w14:paraId="13F77D84">
      <w:pPr>
        <w:pStyle w:val="32"/>
        <w:spacing w:beforeAutospacing="0" w:afterAutospacing="0" w:line="0" w:lineRule="atLeast"/>
        <w:jc w:val="center"/>
        <w:rPr>
          <w:rFonts w:hint="eastAsia" w:ascii="宋体" w:hAnsi="宋体" w:eastAsia="宋体" w:cs="宋体"/>
          <w:b/>
          <w:color w:val="auto"/>
          <w:sz w:val="32"/>
          <w:szCs w:val="32"/>
          <w:highlight w:val="none"/>
        </w:rPr>
      </w:pPr>
    </w:p>
    <w:p w14:paraId="03DC45FE">
      <w:pPr>
        <w:pStyle w:val="32"/>
        <w:spacing w:beforeAutospacing="0" w:afterAutospacing="0" w:line="0" w:lineRule="atLeast"/>
        <w:jc w:val="center"/>
        <w:rPr>
          <w:rFonts w:hint="eastAsia" w:ascii="宋体" w:hAnsi="宋体" w:eastAsia="宋体" w:cs="宋体"/>
          <w:b/>
          <w:color w:val="auto"/>
          <w:sz w:val="32"/>
          <w:szCs w:val="32"/>
          <w:highlight w:val="none"/>
        </w:rPr>
      </w:pPr>
    </w:p>
    <w:p w14:paraId="67E7DC48">
      <w:pPr>
        <w:pStyle w:val="32"/>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0ADB3448">
      <w:pPr>
        <w:pStyle w:val="32"/>
        <w:spacing w:beforeAutospacing="0" w:afterAutospacing="0" w:line="0" w:lineRule="atLeast"/>
        <w:jc w:val="center"/>
        <w:rPr>
          <w:color w:val="auto"/>
          <w:highlight w:val="none"/>
        </w:rPr>
      </w:pPr>
      <w:r>
        <w:rPr>
          <w:color w:val="auto"/>
          <w:highlight w:val="none"/>
        </w:rPr>
        <w:t> </w:t>
      </w:r>
    </w:p>
    <w:p w14:paraId="5352D28F">
      <w:pPr>
        <w:pStyle w:val="32"/>
        <w:keepNext w:val="0"/>
        <w:keepLines w:val="0"/>
        <w:pageBreakBefore w:val="0"/>
        <w:widowControl/>
        <w:kinsoku/>
        <w:wordWrap/>
        <w:overflowPunct/>
        <w:topLinePunct w:val="0"/>
        <w:autoSpaceDE/>
        <w:autoSpaceDN/>
        <w:bidi w:val="0"/>
        <w:adjustRightInd/>
        <w:snapToGrid/>
        <w:spacing w:beforeAutospacing="0" w:afterAutospacing="0" w:line="420" w:lineRule="exact"/>
        <w:ind w:left="480"/>
        <w:jc w:val="both"/>
        <w:textAlignment w:val="auto"/>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文件</w:t>
      </w:r>
      <w:r>
        <w:rPr>
          <w:rFonts w:hint="eastAsia" w:cs="宋体"/>
          <w:i w:val="0"/>
          <w:iCs/>
          <w:color w:val="auto"/>
          <w:sz w:val="22"/>
          <w:szCs w:val="22"/>
          <w:highlight w:val="none"/>
          <w:u w:val="none"/>
          <w:lang w:val="en-US" w:eastAsia="zh-CN"/>
        </w:rPr>
        <w:t xml:space="preserve">1 </w:t>
      </w:r>
      <w:r>
        <w:rPr>
          <w:rFonts w:hint="eastAsia" w:ascii="宋体" w:hAnsi="宋体" w:eastAsia="宋体" w:cs="宋体"/>
          <w:i w:val="0"/>
          <w:iCs/>
          <w:color w:val="auto"/>
          <w:sz w:val="22"/>
          <w:szCs w:val="22"/>
          <w:highlight w:val="none"/>
          <w:u w:val="none"/>
        </w:rPr>
        <w:t>法人或者其他组织的营业执照等证明文件，自然人的身份证明</w:t>
      </w:r>
    </w:p>
    <w:p w14:paraId="352AB35C">
      <w:pPr>
        <w:pStyle w:val="32"/>
        <w:keepNext w:val="0"/>
        <w:keepLines w:val="0"/>
        <w:pageBreakBefore w:val="0"/>
        <w:widowControl/>
        <w:kinsoku/>
        <w:wordWrap/>
        <w:overflowPunct/>
        <w:topLinePunct w:val="0"/>
        <w:autoSpaceDE/>
        <w:autoSpaceDN/>
        <w:bidi w:val="0"/>
        <w:adjustRightInd/>
        <w:snapToGrid/>
        <w:spacing w:beforeAutospacing="0" w:afterAutospacing="0" w:line="420" w:lineRule="exact"/>
        <w:ind w:left="480"/>
        <w:jc w:val="both"/>
        <w:textAlignment w:val="auto"/>
        <w:rPr>
          <w:rFonts w:hint="eastAsia" w:ascii="宋体" w:hAnsi="宋体" w:eastAsia="宋体" w:cs="宋体"/>
          <w:i w:val="0"/>
          <w:iCs/>
          <w:color w:val="auto"/>
          <w:sz w:val="22"/>
          <w:szCs w:val="22"/>
          <w:highlight w:val="none"/>
          <w:u w:val="none"/>
          <w:lang w:val="en-US" w:eastAsia="zh-CN"/>
        </w:rPr>
      </w:pPr>
      <w:r>
        <w:rPr>
          <w:rFonts w:hint="eastAsia" w:cs="宋体"/>
          <w:i w:val="0"/>
          <w:iCs/>
          <w:color w:val="auto"/>
          <w:sz w:val="22"/>
          <w:szCs w:val="22"/>
          <w:highlight w:val="none"/>
          <w:u w:val="none"/>
          <w:lang w:eastAsia="zh-CN"/>
        </w:rPr>
        <w:t>文件</w:t>
      </w:r>
      <w:r>
        <w:rPr>
          <w:rFonts w:hint="eastAsia" w:cs="宋体"/>
          <w:i w:val="0"/>
          <w:iCs/>
          <w:color w:val="auto"/>
          <w:sz w:val="22"/>
          <w:szCs w:val="22"/>
          <w:highlight w:val="none"/>
          <w:u w:val="none"/>
          <w:lang w:val="en-US" w:eastAsia="zh-CN"/>
        </w:rPr>
        <w:t xml:space="preserve">2 </w:t>
      </w:r>
      <w:r>
        <w:rPr>
          <w:rFonts w:hint="eastAsia" w:ascii="宋体" w:hAnsi="宋体" w:eastAsia="宋体" w:cs="宋体"/>
          <w:i w:val="0"/>
          <w:iCs/>
          <w:color w:val="auto"/>
          <w:sz w:val="22"/>
          <w:szCs w:val="22"/>
          <w:highlight w:val="none"/>
          <w:u w:val="none"/>
          <w:lang w:val="en-US" w:eastAsia="zh-CN"/>
        </w:rPr>
        <w:t>上一年度财务状况报表（投标人成立不满一年无需提供）</w:t>
      </w:r>
    </w:p>
    <w:p w14:paraId="592DEBBF">
      <w:pPr>
        <w:pStyle w:val="32"/>
        <w:keepNext w:val="0"/>
        <w:keepLines w:val="0"/>
        <w:pageBreakBefore w:val="0"/>
        <w:widowControl/>
        <w:kinsoku/>
        <w:wordWrap/>
        <w:overflowPunct/>
        <w:topLinePunct w:val="0"/>
        <w:autoSpaceDE/>
        <w:autoSpaceDN/>
        <w:bidi w:val="0"/>
        <w:adjustRightInd/>
        <w:snapToGrid/>
        <w:spacing w:beforeAutospacing="0" w:afterAutospacing="0" w:line="420" w:lineRule="exact"/>
        <w:ind w:firstLine="440" w:firstLineChars="200"/>
        <w:jc w:val="both"/>
        <w:textAlignment w:val="auto"/>
        <w:rPr>
          <w:rFonts w:hint="eastAsia" w:ascii="宋体" w:hAnsi="宋体" w:eastAsia="宋体" w:cs="宋体"/>
          <w:i w:val="0"/>
          <w:iCs/>
          <w:color w:val="auto"/>
          <w:sz w:val="22"/>
          <w:szCs w:val="22"/>
          <w:highlight w:val="none"/>
          <w:u w:val="none"/>
          <w:lang w:eastAsia="zh-CN"/>
        </w:rPr>
      </w:pPr>
      <w:r>
        <w:rPr>
          <w:rFonts w:hint="eastAsia" w:cs="宋体"/>
          <w:i w:val="0"/>
          <w:iCs/>
          <w:color w:val="auto"/>
          <w:sz w:val="22"/>
          <w:szCs w:val="22"/>
          <w:highlight w:val="none"/>
          <w:u w:val="none"/>
          <w:lang w:eastAsia="zh-CN"/>
        </w:rPr>
        <w:t>文件</w:t>
      </w:r>
      <w:r>
        <w:rPr>
          <w:rFonts w:hint="eastAsia" w:cs="宋体"/>
          <w:i w:val="0"/>
          <w:iCs/>
          <w:color w:val="auto"/>
          <w:sz w:val="22"/>
          <w:szCs w:val="22"/>
          <w:highlight w:val="none"/>
          <w:u w:val="none"/>
          <w:lang w:val="en-US" w:eastAsia="zh-CN"/>
        </w:rPr>
        <w:t xml:space="preserve">3 </w:t>
      </w:r>
      <w:r>
        <w:rPr>
          <w:rFonts w:hint="eastAsia" w:ascii="宋体" w:hAnsi="宋体" w:eastAsia="宋体" w:cs="宋体"/>
          <w:i w:val="0"/>
          <w:iCs/>
          <w:color w:val="auto"/>
          <w:sz w:val="22"/>
          <w:szCs w:val="22"/>
          <w:highlight w:val="none"/>
          <w:u w:val="none"/>
        </w:rPr>
        <w:t>依法缴纳税收和社会保障资金的相关材料</w:t>
      </w:r>
      <w:r>
        <w:rPr>
          <w:rFonts w:hint="eastAsia" w:cs="宋体"/>
          <w:i w:val="0"/>
          <w:iCs/>
          <w:color w:val="auto"/>
          <w:sz w:val="22"/>
          <w:szCs w:val="22"/>
          <w:highlight w:val="none"/>
          <w:u w:val="none"/>
          <w:lang w:eastAsia="zh-CN"/>
        </w:rPr>
        <w:t>；</w:t>
      </w:r>
    </w:p>
    <w:p w14:paraId="6F073E9A">
      <w:pPr>
        <w:pStyle w:val="32"/>
        <w:keepNext w:val="0"/>
        <w:keepLines w:val="0"/>
        <w:pageBreakBefore w:val="0"/>
        <w:widowControl/>
        <w:kinsoku/>
        <w:wordWrap/>
        <w:overflowPunct/>
        <w:topLinePunct w:val="0"/>
        <w:autoSpaceDE/>
        <w:autoSpaceDN/>
        <w:bidi w:val="0"/>
        <w:adjustRightInd/>
        <w:snapToGrid/>
        <w:spacing w:beforeAutospacing="0" w:afterAutospacing="0" w:line="420" w:lineRule="exact"/>
        <w:ind w:left="480"/>
        <w:jc w:val="both"/>
        <w:textAlignment w:val="auto"/>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文件</w:t>
      </w:r>
      <w:r>
        <w:rPr>
          <w:rFonts w:hint="eastAsia" w:cs="宋体"/>
          <w:i w:val="0"/>
          <w:iCs/>
          <w:color w:val="auto"/>
          <w:sz w:val="22"/>
          <w:szCs w:val="22"/>
          <w:highlight w:val="none"/>
          <w:u w:val="none"/>
          <w:lang w:val="en-US" w:eastAsia="zh-CN"/>
        </w:rPr>
        <w:t xml:space="preserve">4 </w:t>
      </w:r>
      <w:r>
        <w:rPr>
          <w:rFonts w:hint="eastAsia" w:ascii="宋体" w:hAnsi="宋体" w:eastAsia="宋体" w:cs="宋体"/>
          <w:i w:val="0"/>
          <w:iCs/>
          <w:color w:val="auto"/>
          <w:sz w:val="22"/>
          <w:szCs w:val="22"/>
          <w:highlight w:val="none"/>
          <w:u w:val="none"/>
        </w:rPr>
        <w:t>具备履行合同所必需的设备和专业技术能力的书面声明</w:t>
      </w:r>
    </w:p>
    <w:p w14:paraId="02A0C4C4">
      <w:pPr>
        <w:keepNext w:val="0"/>
        <w:keepLines w:val="0"/>
        <w:pageBreakBefore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打捞船</w:t>
      </w:r>
      <w:r>
        <w:rPr>
          <w:rFonts w:hint="eastAsia" w:ascii="宋体" w:hAnsi="宋体" w:eastAsia="宋体" w:cs="宋体"/>
          <w:color w:val="auto"/>
          <w:sz w:val="22"/>
          <w:szCs w:val="22"/>
          <w:highlight w:val="none"/>
          <w:lang w:eastAsia="zh-CN"/>
        </w:rPr>
        <w:t>须提供市级及以上地方海事部门颁发的相关检验证书或出厂合格证明材料；</w:t>
      </w:r>
    </w:p>
    <w:p w14:paraId="382F24D0">
      <w:pPr>
        <w:keepNext w:val="0"/>
        <w:keepLines w:val="0"/>
        <w:pageBreakBefore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lang w:eastAsia="zh-CN"/>
        </w:rPr>
        <w:t>）</w:t>
      </w:r>
      <w:r>
        <w:rPr>
          <w:rFonts w:hint="eastAsia" w:ascii="宋体" w:hAnsi="宋体" w:cs="宋体"/>
          <w:color w:val="auto"/>
          <w:sz w:val="22"/>
          <w:szCs w:val="22"/>
          <w:highlight w:val="none"/>
          <w:lang w:eastAsia="zh-CN"/>
        </w:rPr>
        <w:t>打捞船、</w:t>
      </w:r>
      <w:r>
        <w:rPr>
          <w:rFonts w:hint="eastAsia" w:ascii="宋体" w:hAnsi="宋体" w:cs="宋体"/>
          <w:color w:val="auto"/>
          <w:sz w:val="22"/>
          <w:szCs w:val="22"/>
          <w:highlight w:val="none"/>
          <w:lang w:val="en-US" w:eastAsia="zh-CN"/>
        </w:rPr>
        <w:t>挖掘机</w:t>
      </w:r>
      <w:r>
        <w:rPr>
          <w:rFonts w:hint="eastAsia" w:ascii="宋体" w:hAnsi="宋体" w:cs="宋体"/>
          <w:color w:val="auto"/>
          <w:sz w:val="22"/>
          <w:szCs w:val="22"/>
          <w:highlight w:val="none"/>
          <w:lang w:eastAsia="zh-CN"/>
        </w:rPr>
        <w:t>证明（自购需提供相关的购买发票原件扫描件，租赁的需提供相关的租赁合同原件扫描件及所租赁物的购买发票原件扫描件）。</w:t>
      </w:r>
    </w:p>
    <w:p w14:paraId="191368F4">
      <w:pPr>
        <w:pStyle w:val="35"/>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lang w:eastAsia="zh-CN"/>
        </w:rPr>
        <w:t>）</w:t>
      </w:r>
      <w:r>
        <w:rPr>
          <w:rFonts w:hint="eastAsia" w:ascii="宋体" w:hAnsi="宋体" w:eastAsia="宋体"/>
          <w:color w:val="auto"/>
          <w:sz w:val="21"/>
          <w:szCs w:val="24"/>
          <w:highlight w:val="none"/>
        </w:rPr>
        <w:t>打捞船</w:t>
      </w:r>
      <w:r>
        <w:rPr>
          <w:rFonts w:hint="eastAsia" w:ascii="宋体" w:hAnsi="宋体" w:eastAsia="宋体"/>
          <w:b/>
          <w:bCs/>
          <w:color w:val="auto"/>
          <w:sz w:val="21"/>
          <w:szCs w:val="24"/>
          <w:highlight w:val="none"/>
        </w:rPr>
        <w:t>操作人员须具有市级及以上地方海事局颁发的《内河船舶船员适任证书》，挖掘机操作人员须具有住建部门颁发的《建筑施工特种作业操作资格证》</w:t>
      </w:r>
      <w:r>
        <w:rPr>
          <w:rFonts w:hint="eastAsia"/>
          <w:b/>
          <w:bCs/>
          <w:color w:val="auto"/>
          <w:sz w:val="21"/>
          <w:szCs w:val="24"/>
          <w:highlight w:val="none"/>
          <w:lang w:val="en-US" w:eastAsia="zh-CN"/>
        </w:rPr>
        <w:t>。</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eastAsia="zh-CN"/>
        </w:rPr>
        <w:t>原件扫描件</w:t>
      </w:r>
      <w:r>
        <w:rPr>
          <w:rFonts w:hint="eastAsia" w:ascii="宋体" w:hAnsi="宋体" w:eastAsia="宋体" w:cs="宋体"/>
          <w:color w:val="auto"/>
          <w:sz w:val="22"/>
          <w:szCs w:val="22"/>
          <w:highlight w:val="none"/>
        </w:rPr>
        <w:t>）；</w:t>
      </w:r>
    </w:p>
    <w:p w14:paraId="22800399">
      <w:pPr>
        <w:keepNext w:val="0"/>
        <w:keepLines w:val="0"/>
        <w:pageBreakBefore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文件5 参加政府采购活动前 3 年内在经营活动中没有重大违法记录的书面声明</w:t>
      </w:r>
    </w:p>
    <w:p w14:paraId="72BED72D">
      <w:pPr>
        <w:keepNext w:val="0"/>
        <w:keepLines w:val="0"/>
        <w:pageBreakBefore w:val="0"/>
        <w:kinsoku/>
        <w:wordWrap/>
        <w:overflowPunct/>
        <w:topLinePunct w:val="0"/>
        <w:autoSpaceDE/>
        <w:autoSpaceDN/>
        <w:bidi w:val="0"/>
        <w:adjustRightInd/>
        <w:snapToGrid/>
        <w:spacing w:line="420" w:lineRule="exact"/>
        <w:ind w:firstLine="440"/>
        <w:textAlignment w:val="auto"/>
        <w:rPr>
          <w:rFonts w:hint="eastAsia" w:ascii="宋体" w:hAnsi="宋体" w:cs="宋体"/>
          <w:color w:val="auto"/>
          <w:sz w:val="22"/>
          <w:szCs w:val="22"/>
          <w:highlight w:val="none"/>
          <w:lang w:eastAsia="zh-CN"/>
        </w:rPr>
      </w:pPr>
      <w:r>
        <w:rPr>
          <w:rFonts w:hint="eastAsia" w:ascii="宋体" w:hAnsi="宋体" w:eastAsia="宋体" w:cs="宋体"/>
          <w:b w:val="0"/>
          <w:bCs w:val="0"/>
          <w:color w:val="auto"/>
          <w:sz w:val="22"/>
          <w:szCs w:val="22"/>
          <w:highlight w:val="none"/>
          <w:lang w:eastAsia="zh-CN"/>
        </w:rPr>
        <w:t xml:space="preserve">文件6 </w:t>
      </w:r>
      <w:r>
        <w:rPr>
          <w:rFonts w:hint="eastAsia" w:ascii="宋体" w:hAnsi="宋体" w:cs="宋体"/>
          <w:color w:val="auto"/>
          <w:sz w:val="22"/>
          <w:szCs w:val="22"/>
          <w:highlight w:val="none"/>
          <w:lang w:eastAsia="zh-CN"/>
        </w:rPr>
        <w:t>投标时，投标申请人须提供拟派的项目负责人、安全管理员从投标截止之日当月向前6个月内任意1个月的社保缴纳证明及安全管理员的相关安全管理证书。</w:t>
      </w:r>
    </w:p>
    <w:p w14:paraId="1DEC6A9F">
      <w:pPr>
        <w:keepNext w:val="0"/>
        <w:keepLines w:val="0"/>
        <w:pageBreakBefore w:val="0"/>
        <w:kinsoku/>
        <w:wordWrap/>
        <w:overflowPunct/>
        <w:topLinePunct w:val="0"/>
        <w:autoSpaceDE/>
        <w:autoSpaceDN/>
        <w:bidi w:val="0"/>
        <w:adjustRightInd/>
        <w:snapToGrid/>
        <w:spacing w:line="420" w:lineRule="exact"/>
        <w:ind w:firstLine="440"/>
        <w:textAlignment w:val="auto"/>
        <w:rPr>
          <w:rFonts w:hint="eastAsia" w:ascii="宋体" w:hAnsi="宋体" w:cs="宋体"/>
          <w:b w:val="0"/>
          <w:bCs w:val="0"/>
          <w:color w:val="auto"/>
          <w:sz w:val="22"/>
          <w:szCs w:val="22"/>
          <w:highlight w:val="none"/>
          <w:lang w:eastAsia="zh-CN"/>
        </w:rPr>
      </w:pPr>
      <w:r>
        <w:rPr>
          <w:rFonts w:hint="eastAsia" w:ascii="宋体" w:hAnsi="宋体" w:eastAsia="宋体" w:cs="宋体"/>
          <w:color w:val="auto"/>
          <w:sz w:val="22"/>
          <w:szCs w:val="22"/>
          <w:highlight w:val="none"/>
        </w:rPr>
        <w:t>文件</w:t>
      </w:r>
      <w:r>
        <w:rPr>
          <w:rFonts w:hint="eastAsia" w:ascii="宋体" w:hAnsi="宋体" w:eastAsia="宋体" w:cs="宋体"/>
          <w:color w:val="auto"/>
          <w:sz w:val="22"/>
          <w:szCs w:val="22"/>
          <w:highlight w:val="none"/>
          <w:lang w:val="en-US" w:eastAsia="zh-CN"/>
        </w:rPr>
        <w:t>7</w:t>
      </w:r>
      <w:r>
        <w:rPr>
          <w:rFonts w:hint="eastAsia" w:ascii="宋体" w:hAnsi="宋体" w:eastAsia="宋体" w:cs="宋体"/>
          <w:color w:val="auto"/>
          <w:sz w:val="22"/>
          <w:szCs w:val="22"/>
          <w:highlight w:val="none"/>
        </w:rPr>
        <w:t xml:space="preserve"> 招标文件中规定要求提供的证明材料和投标人认为需要提供的其他材料</w:t>
      </w:r>
      <w:r>
        <w:rPr>
          <w:rFonts w:hint="eastAsia" w:ascii="宋体" w:hAnsi="宋体" w:eastAsia="宋体" w:cs="宋体"/>
          <w:color w:val="auto"/>
          <w:sz w:val="22"/>
          <w:szCs w:val="22"/>
          <w:highlight w:val="none"/>
          <w:lang w:eastAsia="zh-CN"/>
        </w:rPr>
        <w:t>。</w:t>
      </w:r>
    </w:p>
    <w:p w14:paraId="21043035">
      <w:pPr>
        <w:keepNext w:val="0"/>
        <w:keepLines w:val="0"/>
        <w:pageBreakBefore w:val="0"/>
        <w:kinsoku/>
        <w:wordWrap/>
        <w:overflowPunct/>
        <w:topLinePunct w:val="0"/>
        <w:autoSpaceDE/>
        <w:autoSpaceDN/>
        <w:bidi w:val="0"/>
        <w:adjustRightInd/>
        <w:snapToGrid/>
        <w:spacing w:line="420" w:lineRule="exact"/>
        <w:ind w:firstLine="440"/>
        <w:textAlignment w:val="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注：以上材料原件扫描件须加盖投标单位公章，中标后将原件材料交采购人核查。</w:t>
      </w:r>
    </w:p>
    <w:p w14:paraId="705C5FE2">
      <w:pPr>
        <w:pStyle w:val="32"/>
        <w:keepNext w:val="0"/>
        <w:keepLines w:val="0"/>
        <w:pageBreakBefore w:val="0"/>
        <w:widowControl/>
        <w:kinsoku/>
        <w:wordWrap/>
        <w:overflowPunct/>
        <w:topLinePunct w:val="0"/>
        <w:autoSpaceDE/>
        <w:autoSpaceDN/>
        <w:bidi w:val="0"/>
        <w:adjustRightInd/>
        <w:snapToGrid/>
        <w:spacing w:beforeAutospacing="0" w:afterAutospacing="0" w:line="420" w:lineRule="exact"/>
        <w:ind w:left="480"/>
        <w:jc w:val="both"/>
        <w:textAlignment w:val="auto"/>
        <w:rPr>
          <w:rFonts w:hint="eastAsia" w:ascii="宋体" w:hAnsi="宋体" w:eastAsia="宋体" w:cs="宋体"/>
          <w:color w:val="auto"/>
          <w:sz w:val="22"/>
          <w:szCs w:val="22"/>
          <w:highlight w:val="none"/>
          <w:lang w:val="en-US" w:eastAsia="zh-CN" w:bidi="ar-SA"/>
        </w:rPr>
      </w:pPr>
      <w:r>
        <w:rPr>
          <w:rFonts w:hint="eastAsia" w:cs="宋体"/>
          <w:i w:val="0"/>
          <w:iCs/>
          <w:color w:val="auto"/>
          <w:sz w:val="22"/>
          <w:szCs w:val="22"/>
          <w:highlight w:val="none"/>
          <w:u w:val="none"/>
          <w:lang w:eastAsia="zh-CN"/>
        </w:rPr>
        <w:t>文件</w:t>
      </w:r>
      <w:r>
        <w:rPr>
          <w:rFonts w:hint="eastAsia" w:cs="宋体"/>
          <w:i w:val="0"/>
          <w:iCs/>
          <w:color w:val="auto"/>
          <w:sz w:val="22"/>
          <w:szCs w:val="22"/>
          <w:highlight w:val="none"/>
          <w:u w:val="none"/>
          <w:lang w:val="en-US" w:eastAsia="zh-CN"/>
        </w:rPr>
        <w:t xml:space="preserve">8 </w:t>
      </w:r>
      <w:r>
        <w:rPr>
          <w:rFonts w:hint="eastAsia" w:ascii="宋体" w:hAnsi="宋体" w:eastAsia="宋体" w:cs="宋体"/>
          <w:color w:val="auto"/>
          <w:sz w:val="22"/>
          <w:szCs w:val="22"/>
          <w:highlight w:val="none"/>
          <w:lang w:val="en-US" w:eastAsia="zh-CN" w:bidi="ar-SA"/>
        </w:rPr>
        <w:t>法定代表人身份证明书、法定代表人授权委托书</w:t>
      </w:r>
    </w:p>
    <w:p w14:paraId="11ECE246">
      <w:pPr>
        <w:pStyle w:val="32"/>
        <w:keepNext w:val="0"/>
        <w:keepLines w:val="0"/>
        <w:pageBreakBefore w:val="0"/>
        <w:widowControl/>
        <w:kinsoku/>
        <w:wordWrap/>
        <w:overflowPunct/>
        <w:topLinePunct w:val="0"/>
        <w:autoSpaceDE/>
        <w:autoSpaceDN/>
        <w:bidi w:val="0"/>
        <w:adjustRightInd/>
        <w:snapToGrid/>
        <w:spacing w:beforeAutospacing="0" w:afterAutospacing="0" w:line="420" w:lineRule="exact"/>
        <w:ind w:left="480"/>
        <w:jc w:val="both"/>
        <w:textAlignment w:val="auto"/>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文件</w:t>
      </w:r>
      <w:r>
        <w:rPr>
          <w:rFonts w:hint="eastAsia" w:cs="宋体"/>
          <w:i w:val="0"/>
          <w:iCs/>
          <w:color w:val="auto"/>
          <w:sz w:val="22"/>
          <w:szCs w:val="22"/>
          <w:highlight w:val="none"/>
          <w:u w:val="none"/>
          <w:lang w:val="en-US" w:eastAsia="zh-CN"/>
        </w:rPr>
        <w:t xml:space="preserve">9 </w:t>
      </w:r>
      <w:r>
        <w:rPr>
          <w:rFonts w:hint="eastAsia" w:ascii="宋体" w:hAnsi="宋体" w:eastAsia="宋体" w:cs="宋体"/>
          <w:i w:val="0"/>
          <w:iCs/>
          <w:color w:val="auto"/>
          <w:sz w:val="22"/>
          <w:szCs w:val="22"/>
          <w:highlight w:val="none"/>
          <w:u w:val="none"/>
        </w:rPr>
        <w:t>投标函</w:t>
      </w:r>
    </w:p>
    <w:p w14:paraId="68E93479">
      <w:pPr>
        <w:pStyle w:val="32"/>
        <w:keepNext w:val="0"/>
        <w:keepLines w:val="0"/>
        <w:pageBreakBefore w:val="0"/>
        <w:widowControl/>
        <w:kinsoku/>
        <w:wordWrap/>
        <w:overflowPunct/>
        <w:topLinePunct w:val="0"/>
        <w:autoSpaceDE/>
        <w:autoSpaceDN/>
        <w:bidi w:val="0"/>
        <w:adjustRightInd/>
        <w:snapToGrid/>
        <w:spacing w:beforeAutospacing="0" w:afterAutospacing="0" w:line="420" w:lineRule="exact"/>
        <w:ind w:left="480"/>
        <w:jc w:val="both"/>
        <w:textAlignment w:val="auto"/>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文件</w:t>
      </w:r>
      <w:r>
        <w:rPr>
          <w:rFonts w:hint="eastAsia" w:cs="宋体"/>
          <w:i w:val="0"/>
          <w:iCs/>
          <w:color w:val="auto"/>
          <w:sz w:val="22"/>
          <w:szCs w:val="22"/>
          <w:highlight w:val="none"/>
          <w:u w:val="none"/>
          <w:lang w:val="en-US" w:eastAsia="zh-CN"/>
        </w:rPr>
        <w:t xml:space="preserve">10 </w:t>
      </w:r>
      <w:r>
        <w:rPr>
          <w:rFonts w:hint="eastAsia" w:ascii="宋体" w:hAnsi="宋体" w:eastAsia="宋体" w:cs="宋体"/>
          <w:i w:val="0"/>
          <w:iCs/>
          <w:color w:val="auto"/>
          <w:sz w:val="22"/>
          <w:szCs w:val="22"/>
          <w:highlight w:val="none"/>
          <w:u w:val="none"/>
        </w:rPr>
        <w:t>小微企业声明函</w:t>
      </w:r>
    </w:p>
    <w:p w14:paraId="7D7B4D55">
      <w:pPr>
        <w:pStyle w:val="32"/>
        <w:keepNext w:val="0"/>
        <w:keepLines w:val="0"/>
        <w:pageBreakBefore w:val="0"/>
        <w:widowControl/>
        <w:kinsoku/>
        <w:wordWrap/>
        <w:overflowPunct/>
        <w:topLinePunct w:val="0"/>
        <w:autoSpaceDE/>
        <w:autoSpaceDN/>
        <w:bidi w:val="0"/>
        <w:adjustRightInd/>
        <w:snapToGrid/>
        <w:spacing w:beforeAutospacing="0" w:afterAutospacing="0" w:line="420" w:lineRule="exact"/>
        <w:ind w:left="480"/>
        <w:jc w:val="both"/>
        <w:textAlignment w:val="auto"/>
        <w:rPr>
          <w:rFonts w:hint="eastAsia" w:ascii="宋体" w:hAnsi="宋体" w:eastAsia="宋体" w:cs="宋体"/>
          <w:i w:val="0"/>
          <w:iCs/>
          <w:color w:val="auto"/>
          <w:sz w:val="22"/>
          <w:szCs w:val="22"/>
          <w:highlight w:val="none"/>
          <w:u w:val="none"/>
          <w:lang w:val="en-US" w:eastAsia="zh-CN"/>
        </w:rPr>
      </w:pPr>
      <w:r>
        <w:rPr>
          <w:rFonts w:hint="eastAsia" w:cs="宋体"/>
          <w:i w:val="0"/>
          <w:iCs/>
          <w:color w:val="auto"/>
          <w:sz w:val="22"/>
          <w:szCs w:val="22"/>
          <w:highlight w:val="none"/>
          <w:u w:val="none"/>
          <w:lang w:eastAsia="zh-CN"/>
        </w:rPr>
        <w:t>文件</w:t>
      </w:r>
      <w:r>
        <w:rPr>
          <w:rFonts w:hint="eastAsia" w:cs="宋体"/>
          <w:i w:val="0"/>
          <w:iCs/>
          <w:color w:val="auto"/>
          <w:sz w:val="22"/>
          <w:szCs w:val="22"/>
          <w:highlight w:val="none"/>
          <w:u w:val="none"/>
          <w:lang w:val="en-US" w:eastAsia="zh-CN"/>
        </w:rPr>
        <w:t xml:space="preserve">11 </w:t>
      </w:r>
      <w:r>
        <w:rPr>
          <w:rFonts w:hint="eastAsia" w:ascii="宋体" w:hAnsi="宋体" w:eastAsia="宋体" w:cs="宋体"/>
          <w:i w:val="0"/>
          <w:iCs/>
          <w:color w:val="auto"/>
          <w:sz w:val="22"/>
          <w:szCs w:val="22"/>
          <w:highlight w:val="none"/>
          <w:u w:val="none"/>
        </w:rPr>
        <w:t>残疾人福利性单位声明函</w:t>
      </w:r>
      <w:r>
        <w:rPr>
          <w:rFonts w:hint="eastAsia" w:ascii="宋体" w:hAnsi="宋体" w:eastAsia="宋体" w:cs="宋体"/>
          <w:i w:val="0"/>
          <w:iCs/>
          <w:color w:val="auto"/>
          <w:sz w:val="22"/>
          <w:szCs w:val="22"/>
          <w:highlight w:val="none"/>
          <w:u w:val="none"/>
          <w:lang w:val="en-US" w:eastAsia="zh-CN"/>
        </w:rPr>
        <w:t>（如有）</w:t>
      </w:r>
    </w:p>
    <w:p w14:paraId="7B1D7C25">
      <w:pPr>
        <w:pStyle w:val="32"/>
        <w:keepNext w:val="0"/>
        <w:keepLines w:val="0"/>
        <w:pageBreakBefore w:val="0"/>
        <w:widowControl/>
        <w:kinsoku/>
        <w:wordWrap/>
        <w:overflowPunct/>
        <w:topLinePunct w:val="0"/>
        <w:autoSpaceDE/>
        <w:autoSpaceDN/>
        <w:bidi w:val="0"/>
        <w:adjustRightInd/>
        <w:snapToGrid/>
        <w:spacing w:beforeAutospacing="0" w:afterAutospacing="0" w:line="420" w:lineRule="exact"/>
        <w:ind w:left="480"/>
        <w:jc w:val="both"/>
        <w:textAlignment w:val="auto"/>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文件</w:t>
      </w:r>
      <w:r>
        <w:rPr>
          <w:rFonts w:hint="eastAsia" w:cs="宋体"/>
          <w:i w:val="0"/>
          <w:iCs/>
          <w:color w:val="auto"/>
          <w:sz w:val="22"/>
          <w:szCs w:val="22"/>
          <w:highlight w:val="none"/>
          <w:u w:val="none"/>
          <w:lang w:val="en-US" w:eastAsia="zh-CN"/>
        </w:rPr>
        <w:t xml:space="preserve">12 </w:t>
      </w:r>
      <w:r>
        <w:rPr>
          <w:rFonts w:hint="eastAsia" w:ascii="宋体" w:hAnsi="宋体" w:eastAsia="宋体" w:cs="宋体"/>
          <w:i w:val="0"/>
          <w:iCs/>
          <w:color w:val="auto"/>
          <w:sz w:val="22"/>
          <w:szCs w:val="22"/>
          <w:highlight w:val="none"/>
          <w:u w:val="none"/>
        </w:rPr>
        <w:t>商务要求响应及偏离表</w:t>
      </w:r>
    </w:p>
    <w:p w14:paraId="147FC7EE">
      <w:pPr>
        <w:pStyle w:val="32"/>
        <w:keepNext w:val="0"/>
        <w:keepLines w:val="0"/>
        <w:pageBreakBefore w:val="0"/>
        <w:widowControl/>
        <w:kinsoku/>
        <w:wordWrap/>
        <w:overflowPunct/>
        <w:topLinePunct w:val="0"/>
        <w:autoSpaceDE/>
        <w:autoSpaceDN/>
        <w:bidi w:val="0"/>
        <w:adjustRightInd/>
        <w:snapToGrid/>
        <w:spacing w:beforeAutospacing="0" w:afterAutospacing="0" w:line="420" w:lineRule="exact"/>
        <w:ind w:left="480"/>
        <w:jc w:val="both"/>
        <w:textAlignment w:val="auto"/>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文件</w:t>
      </w:r>
      <w:r>
        <w:rPr>
          <w:rFonts w:hint="eastAsia" w:cs="宋体"/>
          <w:i w:val="0"/>
          <w:iCs/>
          <w:color w:val="auto"/>
          <w:sz w:val="22"/>
          <w:szCs w:val="22"/>
          <w:highlight w:val="none"/>
          <w:u w:val="none"/>
          <w:lang w:val="en-US" w:eastAsia="zh-CN"/>
        </w:rPr>
        <w:t xml:space="preserve">13 </w:t>
      </w:r>
      <w:r>
        <w:rPr>
          <w:rFonts w:hint="eastAsia" w:ascii="宋体" w:hAnsi="宋体" w:eastAsia="宋体" w:cs="宋体"/>
          <w:i w:val="0"/>
          <w:iCs/>
          <w:color w:val="auto"/>
          <w:sz w:val="22"/>
          <w:szCs w:val="22"/>
          <w:highlight w:val="none"/>
          <w:u w:val="none"/>
        </w:rPr>
        <w:t>开标一览表</w:t>
      </w:r>
    </w:p>
    <w:p w14:paraId="54AE8BBD">
      <w:pPr>
        <w:pStyle w:val="32"/>
        <w:keepNext w:val="0"/>
        <w:keepLines w:val="0"/>
        <w:pageBreakBefore w:val="0"/>
        <w:widowControl/>
        <w:kinsoku/>
        <w:wordWrap/>
        <w:overflowPunct/>
        <w:topLinePunct w:val="0"/>
        <w:autoSpaceDE/>
        <w:autoSpaceDN/>
        <w:bidi w:val="0"/>
        <w:adjustRightInd/>
        <w:snapToGrid/>
        <w:spacing w:beforeAutospacing="0" w:afterAutospacing="0" w:line="420" w:lineRule="exact"/>
        <w:ind w:left="480"/>
        <w:jc w:val="both"/>
        <w:textAlignment w:val="auto"/>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文件</w:t>
      </w:r>
      <w:r>
        <w:rPr>
          <w:rFonts w:hint="eastAsia" w:cs="宋体"/>
          <w:i w:val="0"/>
          <w:iCs/>
          <w:color w:val="auto"/>
          <w:sz w:val="22"/>
          <w:szCs w:val="22"/>
          <w:highlight w:val="none"/>
          <w:u w:val="none"/>
          <w:lang w:val="en-US" w:eastAsia="zh-CN"/>
        </w:rPr>
        <w:t xml:space="preserve">14 </w:t>
      </w:r>
      <w:r>
        <w:rPr>
          <w:rFonts w:hint="eastAsia" w:ascii="宋体" w:hAnsi="宋体" w:eastAsia="宋体" w:cs="宋体"/>
          <w:i w:val="0"/>
          <w:iCs/>
          <w:color w:val="auto"/>
          <w:sz w:val="22"/>
          <w:szCs w:val="22"/>
          <w:highlight w:val="none"/>
          <w:u w:val="none"/>
        </w:rPr>
        <w:t>技术方案、服务承诺</w:t>
      </w:r>
      <w:r>
        <w:rPr>
          <w:rFonts w:hint="eastAsia" w:ascii="宋体" w:hAnsi="宋体" w:eastAsia="宋体" w:cs="宋体"/>
          <w:i w:val="0"/>
          <w:iCs/>
          <w:color w:val="auto"/>
          <w:sz w:val="22"/>
          <w:szCs w:val="22"/>
          <w:highlight w:val="none"/>
          <w:u w:val="none"/>
          <w:lang w:val="en-US" w:eastAsia="zh-CN"/>
        </w:rPr>
        <w:t>、项目管理配备及企业能力等内容等</w:t>
      </w:r>
    </w:p>
    <w:p w14:paraId="1FE61A6A">
      <w:pPr>
        <w:pStyle w:val="32"/>
        <w:keepNext w:val="0"/>
        <w:keepLines w:val="0"/>
        <w:pageBreakBefore w:val="0"/>
        <w:widowControl/>
        <w:kinsoku/>
        <w:wordWrap/>
        <w:overflowPunct/>
        <w:topLinePunct w:val="0"/>
        <w:autoSpaceDE/>
        <w:autoSpaceDN/>
        <w:bidi w:val="0"/>
        <w:adjustRightInd/>
        <w:snapToGrid/>
        <w:spacing w:beforeAutospacing="0" w:afterAutospacing="0" w:line="420" w:lineRule="exact"/>
        <w:ind w:left="480"/>
        <w:jc w:val="both"/>
        <w:textAlignment w:val="auto"/>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文件</w:t>
      </w:r>
      <w:r>
        <w:rPr>
          <w:rFonts w:hint="eastAsia" w:cs="宋体"/>
          <w:i w:val="0"/>
          <w:iCs/>
          <w:color w:val="auto"/>
          <w:sz w:val="22"/>
          <w:szCs w:val="22"/>
          <w:highlight w:val="none"/>
          <w:u w:val="none"/>
          <w:lang w:val="en-US" w:eastAsia="zh-CN"/>
        </w:rPr>
        <w:t xml:space="preserve">15 </w:t>
      </w:r>
      <w:r>
        <w:rPr>
          <w:rFonts w:hint="eastAsia" w:ascii="宋体" w:hAnsi="宋体" w:eastAsia="宋体" w:cs="宋体"/>
          <w:i w:val="0"/>
          <w:iCs/>
          <w:color w:val="auto"/>
          <w:sz w:val="22"/>
          <w:szCs w:val="22"/>
          <w:highlight w:val="none"/>
          <w:u w:val="none"/>
        </w:rPr>
        <w:t>盐城市政府采购事前信用承诺书</w:t>
      </w:r>
    </w:p>
    <w:p w14:paraId="330E3476">
      <w:pPr>
        <w:pStyle w:val="32"/>
        <w:spacing w:beforeAutospacing="0" w:afterAutospacing="0" w:line="0" w:lineRule="atLeast"/>
        <w:jc w:val="center"/>
        <w:rPr>
          <w:rFonts w:hint="eastAsia" w:ascii="黑体" w:hAnsi="黑体" w:eastAsia="黑体" w:cs="黑体"/>
          <w:b/>
          <w:color w:val="auto"/>
          <w:sz w:val="36"/>
          <w:szCs w:val="36"/>
          <w:highlight w:val="none"/>
          <w:lang w:val="en-US" w:eastAsia="zh-CN"/>
        </w:rPr>
      </w:pPr>
    </w:p>
    <w:p w14:paraId="450ECAD5">
      <w:pPr>
        <w:pStyle w:val="32"/>
        <w:spacing w:beforeAutospacing="0" w:afterAutospacing="0" w:line="0" w:lineRule="atLeast"/>
        <w:jc w:val="center"/>
        <w:rPr>
          <w:rFonts w:hint="eastAsia" w:ascii="黑体" w:hAnsi="黑体" w:eastAsia="黑体" w:cs="黑体"/>
          <w:b/>
          <w:color w:val="auto"/>
          <w:sz w:val="36"/>
          <w:szCs w:val="36"/>
          <w:highlight w:val="none"/>
          <w:lang w:val="en-US" w:eastAsia="zh-CN"/>
        </w:rPr>
      </w:pPr>
    </w:p>
    <w:p w14:paraId="60C5E90D">
      <w:pPr>
        <w:pStyle w:val="32"/>
        <w:spacing w:beforeAutospacing="0" w:afterAutospacing="0" w:line="0" w:lineRule="atLeast"/>
        <w:jc w:val="center"/>
        <w:rPr>
          <w:rFonts w:hint="eastAsia" w:ascii="黑体" w:hAnsi="黑体" w:eastAsia="黑体" w:cs="黑体"/>
          <w:b/>
          <w:color w:val="auto"/>
          <w:sz w:val="36"/>
          <w:szCs w:val="36"/>
          <w:highlight w:val="none"/>
          <w:lang w:val="en-US" w:eastAsia="zh-CN"/>
        </w:rPr>
      </w:pPr>
    </w:p>
    <w:p w14:paraId="0D815B92">
      <w:pPr>
        <w:pStyle w:val="32"/>
        <w:spacing w:beforeAutospacing="0" w:afterAutospacing="0" w:line="0" w:lineRule="atLeas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val="en-US" w:eastAsia="zh-CN"/>
        </w:rPr>
        <w:t>（一）</w:t>
      </w:r>
      <w:r>
        <w:rPr>
          <w:rFonts w:hint="eastAsia" w:ascii="黑体" w:hAnsi="黑体" w:eastAsia="黑体" w:cs="黑体"/>
          <w:b/>
          <w:color w:val="auto"/>
          <w:sz w:val="36"/>
          <w:szCs w:val="36"/>
          <w:highlight w:val="none"/>
        </w:rPr>
        <w:t>法人或者其他组织的营业执照等证明文件，自然人的身份证明</w:t>
      </w:r>
    </w:p>
    <w:p w14:paraId="42B1D419">
      <w:pPr>
        <w:pStyle w:val="32"/>
        <w:spacing w:beforeAutospacing="0" w:afterAutospacing="0" w:line="0" w:lineRule="atLeast"/>
        <w:ind w:firstLine="480"/>
        <w:jc w:val="center"/>
        <w:rPr>
          <w:rFonts w:hint="eastAsia" w:ascii="黑体" w:hAnsi="黑体" w:eastAsia="黑体" w:cs="黑体"/>
          <w:b/>
          <w:color w:val="auto"/>
          <w:sz w:val="36"/>
          <w:szCs w:val="36"/>
          <w:highlight w:val="none"/>
          <w:lang w:val="en-US" w:eastAsia="zh-CN"/>
        </w:rPr>
        <w:sectPr>
          <w:pgSz w:w="11906" w:h="16838"/>
          <w:pgMar w:top="1440" w:right="1587" w:bottom="1440" w:left="1587" w:header="851" w:footer="907" w:gutter="0"/>
          <w:cols w:space="720" w:num="1"/>
          <w:docGrid w:linePitch="360" w:charSpace="0"/>
        </w:sectPr>
      </w:pPr>
    </w:p>
    <w:p w14:paraId="4260F1C1">
      <w:pPr>
        <w:pStyle w:val="32"/>
        <w:spacing w:beforeAutospacing="0" w:afterAutospacing="0" w:line="0" w:lineRule="atLeast"/>
        <w:ind w:firstLine="480"/>
        <w:jc w:val="center"/>
        <w:rPr>
          <w:rFonts w:hint="eastAsia" w:ascii="黑体" w:hAnsi="黑体" w:eastAsia="黑体" w:cs="黑体"/>
          <w:b/>
          <w:color w:val="auto"/>
          <w:sz w:val="36"/>
          <w:szCs w:val="36"/>
          <w:highlight w:val="none"/>
          <w:lang w:eastAsia="zh-CN"/>
        </w:rPr>
        <w:sectPr>
          <w:pgSz w:w="11906" w:h="16838"/>
          <w:pgMar w:top="1440" w:right="1587" w:bottom="1440" w:left="1587" w:header="851" w:footer="907" w:gutter="0"/>
          <w:cols w:space="720" w:num="1"/>
          <w:docGrid w:linePitch="360" w:charSpace="0"/>
        </w:sectPr>
      </w:pPr>
      <w:r>
        <w:rPr>
          <w:rFonts w:hint="eastAsia" w:ascii="黑体" w:hAnsi="黑体" w:eastAsia="黑体" w:cs="黑体"/>
          <w:b/>
          <w:color w:val="auto"/>
          <w:sz w:val="36"/>
          <w:szCs w:val="36"/>
          <w:highlight w:val="none"/>
          <w:lang w:val="en-US" w:eastAsia="zh-CN"/>
        </w:rPr>
        <w:t>（二）</w:t>
      </w:r>
      <w:r>
        <w:rPr>
          <w:rFonts w:hint="eastAsia" w:ascii="黑体" w:hAnsi="黑体" w:eastAsia="黑体" w:cs="黑体"/>
          <w:b/>
          <w:color w:val="auto"/>
          <w:sz w:val="36"/>
          <w:szCs w:val="36"/>
          <w:highlight w:val="none"/>
        </w:rPr>
        <w:t>上一年度财务状况报表（投标人成立不满一年无需提供）</w:t>
      </w:r>
    </w:p>
    <w:p w14:paraId="2668FD11">
      <w:pPr>
        <w:pStyle w:val="32"/>
        <w:spacing w:beforeAutospacing="0" w:afterAutospacing="0"/>
        <w:jc w:val="center"/>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rPr>
        <w:t>（</w:t>
      </w:r>
      <w:r>
        <w:rPr>
          <w:rFonts w:hint="eastAsia" w:ascii="黑体" w:hAnsi="黑体" w:eastAsia="黑体" w:cs="黑体"/>
          <w:b/>
          <w:color w:val="auto"/>
          <w:sz w:val="36"/>
          <w:szCs w:val="36"/>
          <w:highlight w:val="none"/>
          <w:lang w:val="en-US" w:eastAsia="zh-CN"/>
        </w:rPr>
        <w:t>三</w:t>
      </w:r>
      <w:r>
        <w:rPr>
          <w:rFonts w:hint="eastAsia" w:ascii="黑体" w:hAnsi="黑体" w:eastAsia="黑体" w:cs="黑体"/>
          <w:b/>
          <w:color w:val="auto"/>
          <w:sz w:val="36"/>
          <w:szCs w:val="36"/>
          <w:highlight w:val="none"/>
        </w:rPr>
        <w:t>）</w:t>
      </w:r>
      <w:r>
        <w:rPr>
          <w:rFonts w:hint="eastAsia" w:ascii="黑体" w:hAnsi="黑体" w:eastAsia="黑体" w:cs="黑体"/>
          <w:b/>
          <w:color w:val="auto"/>
          <w:sz w:val="36"/>
          <w:szCs w:val="36"/>
          <w:highlight w:val="none"/>
          <w:lang w:val="en-US" w:eastAsia="zh-CN" w:bidi="ar-SA"/>
        </w:rPr>
        <w:t>依法缴纳税收和社会保障资金的相关材料</w:t>
      </w:r>
    </w:p>
    <w:p w14:paraId="7624A1F8">
      <w:pPr>
        <w:pStyle w:val="19"/>
        <w:spacing w:before="120" w:after="120" w:line="440" w:lineRule="exact"/>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22E39427">
      <w:pPr>
        <w:pStyle w:val="32"/>
        <w:spacing w:beforeAutospacing="0" w:afterAutospacing="0"/>
        <w:jc w:val="center"/>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t>（四）具备履行合同所必需的设备和专业技术能力的书面声明</w:t>
      </w:r>
    </w:p>
    <w:p w14:paraId="5D3DE2FD">
      <w:pPr>
        <w:pStyle w:val="19"/>
        <w:spacing w:before="120" w:after="120" w:line="440" w:lineRule="exact"/>
        <w:jc w:val="center"/>
        <w:rPr>
          <w:rFonts w:hint="eastAsia" w:ascii="黑体" w:hAnsi="黑体" w:eastAsia="黑体" w:cs="黑体"/>
          <w:b/>
          <w:color w:val="auto"/>
          <w:sz w:val="36"/>
          <w:szCs w:val="36"/>
          <w:highlight w:val="none"/>
        </w:rPr>
      </w:pPr>
    </w:p>
    <w:p w14:paraId="3AED371A">
      <w:pPr>
        <w:pStyle w:val="32"/>
        <w:keepNext w:val="0"/>
        <w:keepLines w:val="0"/>
        <w:pageBreakBefore w:val="0"/>
        <w:spacing w:beforeAutospacing="0" w:afterAutospacing="0" w:line="500" w:lineRule="exac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781CA27E">
      <w:pPr>
        <w:pStyle w:val="32"/>
        <w:keepNext w:val="0"/>
        <w:keepLines w:val="0"/>
        <w:pageBreakBefore w:val="0"/>
        <w:spacing w:beforeAutospacing="0" w:afterAutospacing="0" w:line="500" w:lineRule="exac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2E02083F">
      <w:pPr>
        <w:pStyle w:val="32"/>
        <w:keepNext w:val="0"/>
        <w:keepLines w:val="0"/>
        <w:pageBreakBefore w:val="0"/>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310ADFD7">
      <w:pPr>
        <w:keepNext w:val="0"/>
        <w:keepLines w:val="0"/>
        <w:pageBreakBefore w:val="0"/>
        <w:spacing w:line="500" w:lineRule="exact"/>
        <w:jc w:val="right"/>
        <w:rPr>
          <w:rFonts w:ascii="宋体" w:hAnsi="宋体"/>
          <w:bCs/>
          <w:color w:val="auto"/>
          <w:sz w:val="24"/>
          <w:highlight w:val="none"/>
        </w:rPr>
      </w:pPr>
      <w:r>
        <w:rPr>
          <w:rFonts w:hint="eastAsia" w:ascii="宋体" w:hAnsi="宋体"/>
          <w:bCs/>
          <w:color w:val="auto"/>
          <w:sz w:val="24"/>
          <w:highlight w:val="none"/>
        </w:rPr>
        <w:t>投标人名称（公章）：</w:t>
      </w:r>
    </w:p>
    <w:p w14:paraId="169E6B52">
      <w:pPr>
        <w:keepNext w:val="0"/>
        <w:keepLines w:val="0"/>
        <w:pageBreakBefore w:val="0"/>
        <w:spacing w:line="500" w:lineRule="exact"/>
        <w:jc w:val="right"/>
        <w:rPr>
          <w:rFonts w:ascii="宋体" w:hAnsi="宋体"/>
          <w:bCs/>
          <w:color w:val="auto"/>
          <w:sz w:val="24"/>
          <w:highlight w:val="none"/>
        </w:rPr>
      </w:pPr>
      <w:r>
        <w:rPr>
          <w:rFonts w:hint="eastAsia" w:ascii="宋体" w:hAnsi="宋体"/>
          <w:bCs/>
          <w:color w:val="auto"/>
          <w:sz w:val="24"/>
          <w:highlight w:val="none"/>
        </w:rPr>
        <w:t xml:space="preserve">                                      授权代表签字：</w:t>
      </w:r>
    </w:p>
    <w:p w14:paraId="6425ABB3">
      <w:pPr>
        <w:keepNext w:val="0"/>
        <w:keepLines w:val="0"/>
        <w:pageBreakBefore w:val="0"/>
        <w:spacing w:line="500" w:lineRule="exact"/>
        <w:jc w:val="right"/>
        <w:rPr>
          <w:rFonts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1313A89B">
      <w:pPr>
        <w:pStyle w:val="19"/>
        <w:spacing w:before="120" w:after="120" w:line="440" w:lineRule="exact"/>
        <w:jc w:val="center"/>
        <w:rPr>
          <w:rFonts w:hint="eastAsia" w:ascii="黑体" w:hAnsi="黑体" w:eastAsia="黑体" w:cs="黑体"/>
          <w:b/>
          <w:color w:val="auto"/>
          <w:sz w:val="36"/>
          <w:szCs w:val="36"/>
          <w:highlight w:val="none"/>
        </w:rPr>
      </w:pPr>
    </w:p>
    <w:p w14:paraId="0BA4EEF5">
      <w:pPr>
        <w:pStyle w:val="19"/>
        <w:spacing w:before="120" w:after="120" w:line="440" w:lineRule="exact"/>
        <w:jc w:val="center"/>
        <w:rPr>
          <w:rFonts w:hint="eastAsia" w:ascii="黑体" w:hAnsi="黑体" w:eastAsia="黑体" w:cs="黑体"/>
          <w:b/>
          <w:color w:val="auto"/>
          <w:sz w:val="36"/>
          <w:szCs w:val="36"/>
          <w:highlight w:val="none"/>
        </w:rPr>
      </w:pPr>
    </w:p>
    <w:p w14:paraId="289359FD">
      <w:pPr>
        <w:pStyle w:val="19"/>
        <w:spacing w:before="120" w:after="120" w:line="440" w:lineRule="exact"/>
        <w:jc w:val="center"/>
        <w:rPr>
          <w:rFonts w:hint="eastAsia" w:ascii="黑体" w:hAnsi="黑体" w:eastAsia="黑体" w:cs="黑体"/>
          <w:b/>
          <w:color w:val="auto"/>
          <w:sz w:val="36"/>
          <w:szCs w:val="36"/>
          <w:highlight w:val="none"/>
        </w:rPr>
      </w:pPr>
    </w:p>
    <w:p w14:paraId="3B76909E">
      <w:pPr>
        <w:pStyle w:val="19"/>
        <w:spacing w:before="120" w:after="120" w:line="440" w:lineRule="exact"/>
        <w:jc w:val="center"/>
        <w:rPr>
          <w:rFonts w:hint="eastAsia" w:ascii="黑体" w:hAnsi="黑体" w:eastAsia="黑体" w:cs="黑体"/>
          <w:b/>
          <w:color w:val="auto"/>
          <w:sz w:val="36"/>
          <w:szCs w:val="36"/>
          <w:highlight w:val="none"/>
        </w:rPr>
      </w:pPr>
    </w:p>
    <w:p w14:paraId="60B7146C">
      <w:pPr>
        <w:pStyle w:val="19"/>
        <w:spacing w:before="120" w:after="120" w:line="440" w:lineRule="exact"/>
        <w:jc w:val="center"/>
        <w:rPr>
          <w:rFonts w:hint="eastAsia" w:ascii="黑体" w:hAnsi="黑体" w:eastAsia="黑体" w:cs="黑体"/>
          <w:b/>
          <w:color w:val="auto"/>
          <w:sz w:val="36"/>
          <w:szCs w:val="36"/>
          <w:highlight w:val="none"/>
        </w:rPr>
      </w:pPr>
    </w:p>
    <w:p w14:paraId="2E8AC350">
      <w:pPr>
        <w:pStyle w:val="19"/>
        <w:spacing w:before="120" w:after="120" w:line="440" w:lineRule="exact"/>
        <w:jc w:val="center"/>
        <w:rPr>
          <w:rFonts w:hint="eastAsia" w:ascii="黑体" w:hAnsi="黑体" w:eastAsia="黑体" w:cs="黑体"/>
          <w:b/>
          <w:color w:val="auto"/>
          <w:sz w:val="36"/>
          <w:szCs w:val="36"/>
          <w:highlight w:val="none"/>
        </w:rPr>
      </w:pPr>
    </w:p>
    <w:p w14:paraId="78FD0299">
      <w:pPr>
        <w:pStyle w:val="19"/>
        <w:spacing w:before="120" w:after="120" w:line="440" w:lineRule="exact"/>
        <w:jc w:val="center"/>
        <w:rPr>
          <w:rFonts w:hint="eastAsia" w:ascii="黑体" w:hAnsi="黑体" w:eastAsia="黑体" w:cs="黑体"/>
          <w:b/>
          <w:color w:val="auto"/>
          <w:sz w:val="36"/>
          <w:szCs w:val="36"/>
          <w:highlight w:val="none"/>
        </w:rPr>
      </w:pPr>
    </w:p>
    <w:p w14:paraId="64CB16BC">
      <w:pPr>
        <w:pStyle w:val="19"/>
        <w:spacing w:before="120" w:after="120" w:line="440" w:lineRule="exact"/>
        <w:jc w:val="center"/>
        <w:rPr>
          <w:rFonts w:hint="eastAsia" w:ascii="黑体" w:hAnsi="黑体" w:eastAsia="黑体" w:cs="黑体"/>
          <w:b/>
          <w:color w:val="auto"/>
          <w:sz w:val="36"/>
          <w:szCs w:val="36"/>
          <w:highlight w:val="none"/>
        </w:rPr>
      </w:pPr>
    </w:p>
    <w:p w14:paraId="59068C22">
      <w:pPr>
        <w:pStyle w:val="19"/>
        <w:spacing w:before="120" w:after="120" w:line="440" w:lineRule="exact"/>
        <w:jc w:val="center"/>
        <w:rPr>
          <w:rFonts w:hint="eastAsia" w:ascii="黑体" w:hAnsi="黑体" w:eastAsia="黑体" w:cs="黑体"/>
          <w:b/>
          <w:color w:val="auto"/>
          <w:sz w:val="36"/>
          <w:szCs w:val="36"/>
          <w:highlight w:val="none"/>
        </w:rPr>
      </w:pPr>
    </w:p>
    <w:p w14:paraId="39CEAFBC">
      <w:pPr>
        <w:pStyle w:val="19"/>
        <w:spacing w:before="120" w:after="120" w:line="440" w:lineRule="exact"/>
        <w:jc w:val="center"/>
        <w:rPr>
          <w:rFonts w:hint="eastAsia" w:ascii="黑体" w:hAnsi="黑体" w:eastAsia="黑体" w:cs="黑体"/>
          <w:b/>
          <w:color w:val="auto"/>
          <w:sz w:val="36"/>
          <w:szCs w:val="36"/>
          <w:highlight w:val="none"/>
        </w:rPr>
      </w:pPr>
    </w:p>
    <w:p w14:paraId="21D9EB86">
      <w:pPr>
        <w:pStyle w:val="19"/>
        <w:spacing w:before="120" w:after="120" w:line="440" w:lineRule="exact"/>
        <w:jc w:val="center"/>
        <w:rPr>
          <w:rFonts w:hint="eastAsia" w:ascii="黑体" w:hAnsi="黑体" w:eastAsia="黑体" w:cs="黑体"/>
          <w:b/>
          <w:color w:val="auto"/>
          <w:sz w:val="36"/>
          <w:szCs w:val="36"/>
          <w:highlight w:val="none"/>
        </w:rPr>
      </w:pPr>
    </w:p>
    <w:p w14:paraId="2BF2C32E">
      <w:pPr>
        <w:pStyle w:val="19"/>
        <w:spacing w:before="120" w:after="120" w:line="440" w:lineRule="exact"/>
        <w:jc w:val="center"/>
        <w:rPr>
          <w:rFonts w:hint="eastAsia" w:ascii="黑体" w:hAnsi="黑体" w:eastAsia="黑体" w:cs="黑体"/>
          <w:b/>
          <w:color w:val="auto"/>
          <w:sz w:val="36"/>
          <w:szCs w:val="36"/>
          <w:highlight w:val="none"/>
        </w:rPr>
      </w:pPr>
    </w:p>
    <w:p w14:paraId="042E411C">
      <w:pPr>
        <w:pStyle w:val="19"/>
        <w:spacing w:before="120" w:after="120" w:line="440" w:lineRule="exact"/>
        <w:jc w:val="center"/>
        <w:rPr>
          <w:rFonts w:hint="eastAsia" w:ascii="黑体" w:hAnsi="黑体" w:eastAsia="黑体" w:cs="黑体"/>
          <w:b/>
          <w:color w:val="auto"/>
          <w:sz w:val="36"/>
          <w:szCs w:val="36"/>
          <w:highlight w:val="none"/>
        </w:rPr>
      </w:pPr>
    </w:p>
    <w:p w14:paraId="10B7A43C">
      <w:pPr>
        <w:pStyle w:val="19"/>
        <w:spacing w:before="120" w:after="120" w:line="440" w:lineRule="exact"/>
        <w:jc w:val="center"/>
        <w:rPr>
          <w:rFonts w:hint="eastAsia" w:ascii="黑体" w:hAnsi="黑体" w:eastAsia="黑体" w:cs="黑体"/>
          <w:b/>
          <w:color w:val="auto"/>
          <w:sz w:val="36"/>
          <w:szCs w:val="36"/>
          <w:highlight w:val="none"/>
        </w:rPr>
      </w:pPr>
    </w:p>
    <w:p w14:paraId="2201BDD1">
      <w:pPr>
        <w:pStyle w:val="19"/>
        <w:spacing w:before="120" w:after="120" w:line="440" w:lineRule="exact"/>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2A042834">
      <w:pPr>
        <w:jc w:val="center"/>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w:t>
      </w:r>
      <w:r>
        <w:rPr>
          <w:rFonts w:hint="eastAsia" w:ascii="黑体" w:hAnsi="黑体" w:eastAsia="黑体" w:cs="黑体"/>
          <w:b/>
          <w:color w:val="auto"/>
          <w:sz w:val="36"/>
          <w:szCs w:val="36"/>
          <w:highlight w:val="none"/>
          <w:lang w:val="en-US" w:eastAsia="zh-CN"/>
        </w:rPr>
        <w:t>五</w:t>
      </w:r>
      <w:r>
        <w:rPr>
          <w:rFonts w:hint="eastAsia" w:ascii="黑体" w:hAnsi="黑体" w:eastAsia="黑体" w:cs="黑体"/>
          <w:b/>
          <w:color w:val="auto"/>
          <w:sz w:val="36"/>
          <w:szCs w:val="36"/>
          <w:highlight w:val="none"/>
        </w:rPr>
        <w:t>）参加政府采购活动前 3 年内在经营活动中没有重大违法记录的书面声明</w:t>
      </w:r>
    </w:p>
    <w:p w14:paraId="28B664FC">
      <w:pPr>
        <w:spacing w:line="460" w:lineRule="exact"/>
        <w:rPr>
          <w:rFonts w:ascii="宋体" w:hAnsi="宋体"/>
          <w:b/>
          <w:bCs/>
          <w:color w:val="auto"/>
          <w:sz w:val="44"/>
          <w:szCs w:val="44"/>
          <w:highlight w:val="none"/>
        </w:rPr>
      </w:pPr>
      <w:r>
        <w:rPr>
          <w:rFonts w:hint="eastAsia" w:ascii="宋体" w:hAnsi="宋体"/>
          <w:b/>
          <w:bCs/>
          <w:color w:val="auto"/>
          <w:sz w:val="24"/>
          <w:highlight w:val="none"/>
        </w:rPr>
        <w:t xml:space="preserve">                       </w:t>
      </w:r>
      <w:r>
        <w:rPr>
          <w:rFonts w:hint="eastAsia" w:ascii="宋体" w:hAnsi="宋体"/>
          <w:b/>
          <w:bCs/>
          <w:color w:val="auto"/>
          <w:sz w:val="44"/>
          <w:szCs w:val="44"/>
          <w:highlight w:val="none"/>
        </w:rPr>
        <w:t xml:space="preserve">   </w:t>
      </w:r>
    </w:p>
    <w:p w14:paraId="3CAECFFD">
      <w:pPr>
        <w:spacing w:line="460" w:lineRule="exact"/>
        <w:rPr>
          <w:rFonts w:ascii="宋体" w:hAnsi="宋体"/>
          <w:b/>
          <w:bCs/>
          <w:color w:val="auto"/>
          <w:sz w:val="44"/>
          <w:szCs w:val="44"/>
          <w:highlight w:val="none"/>
        </w:rPr>
      </w:pPr>
      <w:r>
        <w:rPr>
          <w:rFonts w:hint="eastAsia" w:ascii="宋体" w:hAnsi="宋体"/>
          <w:b/>
          <w:bCs/>
          <w:color w:val="auto"/>
          <w:sz w:val="44"/>
          <w:szCs w:val="44"/>
          <w:highlight w:val="none"/>
        </w:rPr>
        <w:t xml:space="preserve">                   声  明</w:t>
      </w:r>
    </w:p>
    <w:p w14:paraId="2382A430">
      <w:pPr>
        <w:spacing w:line="460" w:lineRule="exact"/>
        <w:ind w:firstLine="420"/>
        <w:rPr>
          <w:rFonts w:ascii="宋体" w:hAnsi="宋体"/>
          <w:bCs/>
          <w:color w:val="auto"/>
          <w:sz w:val="24"/>
          <w:highlight w:val="none"/>
        </w:rPr>
      </w:pPr>
      <w:r>
        <w:rPr>
          <w:rFonts w:hint="eastAsia" w:ascii="宋体" w:hAnsi="宋体"/>
          <w:bCs/>
          <w:color w:val="auto"/>
          <w:sz w:val="24"/>
          <w:highlight w:val="none"/>
        </w:rPr>
        <w:t>我公司郑重声明：参加本次政府采购活动前 3 年内，我公司在经营活动中没有因违法经营受到刑事处罚或者责令停产停业、吊销许可证或者执照、较大数额罚款等行政处罚。</w:t>
      </w:r>
    </w:p>
    <w:p w14:paraId="0E5A67C1">
      <w:pPr>
        <w:spacing w:line="460" w:lineRule="exact"/>
        <w:rPr>
          <w:rFonts w:ascii="宋体" w:hAnsi="宋体"/>
          <w:bCs/>
          <w:color w:val="auto"/>
          <w:sz w:val="24"/>
          <w:highlight w:val="none"/>
        </w:rPr>
      </w:pPr>
    </w:p>
    <w:p w14:paraId="797F55C7">
      <w:pPr>
        <w:spacing w:line="460" w:lineRule="exact"/>
        <w:rPr>
          <w:rFonts w:ascii="宋体" w:hAnsi="宋体"/>
          <w:bCs/>
          <w:color w:val="auto"/>
          <w:sz w:val="24"/>
          <w:highlight w:val="none"/>
        </w:rPr>
      </w:pPr>
      <w:r>
        <w:rPr>
          <w:rFonts w:hint="eastAsia" w:ascii="宋体" w:hAnsi="宋体"/>
          <w:bCs/>
          <w:color w:val="auto"/>
          <w:sz w:val="24"/>
          <w:highlight w:val="none"/>
        </w:rPr>
        <w:t xml:space="preserve">                                      投标人名称（公章）：</w:t>
      </w:r>
    </w:p>
    <w:p w14:paraId="003419AF">
      <w:pPr>
        <w:spacing w:line="460" w:lineRule="exact"/>
        <w:rPr>
          <w:rFonts w:ascii="宋体" w:hAnsi="宋体"/>
          <w:bCs/>
          <w:color w:val="auto"/>
          <w:sz w:val="24"/>
          <w:highlight w:val="none"/>
        </w:rPr>
      </w:pPr>
      <w:r>
        <w:rPr>
          <w:rFonts w:hint="eastAsia" w:ascii="宋体" w:hAnsi="宋体"/>
          <w:bCs/>
          <w:color w:val="auto"/>
          <w:sz w:val="24"/>
          <w:highlight w:val="none"/>
        </w:rPr>
        <w:t xml:space="preserve">                                      授权代表签字：</w:t>
      </w:r>
    </w:p>
    <w:p w14:paraId="4E87D04A">
      <w:pPr>
        <w:spacing w:line="460" w:lineRule="exact"/>
        <w:rPr>
          <w:rFonts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71FF6A1C">
      <w:pPr>
        <w:spacing w:line="360" w:lineRule="auto"/>
        <w:ind w:left="1446" w:hanging="1446"/>
        <w:jc w:val="center"/>
        <w:rPr>
          <w:rFonts w:ascii="宋体" w:hAnsi="宋体"/>
          <w:b/>
          <w:color w:val="auto"/>
          <w:sz w:val="36"/>
          <w:szCs w:val="36"/>
          <w:highlight w:val="none"/>
        </w:rPr>
      </w:pPr>
    </w:p>
    <w:p w14:paraId="4FAF4885">
      <w:pPr>
        <w:spacing w:line="360" w:lineRule="auto"/>
        <w:ind w:left="1446" w:hanging="1446"/>
        <w:jc w:val="center"/>
        <w:rPr>
          <w:rFonts w:ascii="宋体" w:hAnsi="宋体"/>
          <w:b/>
          <w:color w:val="auto"/>
          <w:sz w:val="36"/>
          <w:szCs w:val="36"/>
          <w:highlight w:val="none"/>
        </w:rPr>
      </w:pPr>
    </w:p>
    <w:p w14:paraId="51D10B3E">
      <w:pPr>
        <w:spacing w:line="360" w:lineRule="auto"/>
        <w:ind w:left="1446" w:hanging="1446"/>
        <w:jc w:val="center"/>
        <w:rPr>
          <w:rFonts w:ascii="宋体" w:hAnsi="宋体"/>
          <w:b/>
          <w:color w:val="auto"/>
          <w:sz w:val="36"/>
          <w:szCs w:val="36"/>
          <w:highlight w:val="none"/>
        </w:rPr>
      </w:pPr>
    </w:p>
    <w:p w14:paraId="6FA7F7DE">
      <w:pPr>
        <w:pStyle w:val="34"/>
        <w:ind w:firstLine="361"/>
        <w:rPr>
          <w:rFonts w:ascii="宋体" w:hAnsi="宋体"/>
          <w:b/>
          <w:color w:val="auto"/>
          <w:sz w:val="36"/>
          <w:szCs w:val="36"/>
          <w:highlight w:val="none"/>
        </w:rPr>
      </w:pPr>
    </w:p>
    <w:p w14:paraId="6529B5C5">
      <w:pPr>
        <w:rPr>
          <w:rFonts w:ascii="宋体" w:hAnsi="宋体"/>
          <w:b/>
          <w:color w:val="auto"/>
          <w:sz w:val="36"/>
          <w:szCs w:val="36"/>
          <w:highlight w:val="none"/>
        </w:rPr>
      </w:pPr>
    </w:p>
    <w:p w14:paraId="4FF99407">
      <w:pPr>
        <w:rPr>
          <w:rFonts w:ascii="黑体" w:hAnsi="黑体" w:eastAsia="黑体" w:cs="黑体"/>
          <w:b/>
          <w:color w:val="auto"/>
          <w:sz w:val="36"/>
          <w:szCs w:val="36"/>
          <w:highlight w:val="none"/>
        </w:rPr>
      </w:pPr>
    </w:p>
    <w:p w14:paraId="50B14441">
      <w:pPr>
        <w:pStyle w:val="22"/>
        <w:rPr>
          <w:color w:val="auto"/>
          <w:highlight w:val="none"/>
        </w:rPr>
      </w:pPr>
    </w:p>
    <w:p w14:paraId="09D4E541">
      <w:pPr>
        <w:rPr>
          <w:color w:val="auto"/>
          <w:highlight w:val="none"/>
        </w:rPr>
      </w:pPr>
    </w:p>
    <w:p w14:paraId="3D3BCC7D">
      <w:pPr>
        <w:pStyle w:val="22"/>
        <w:rPr>
          <w:color w:val="auto"/>
          <w:highlight w:val="none"/>
        </w:rPr>
      </w:pPr>
    </w:p>
    <w:p w14:paraId="104C17E8">
      <w:pPr>
        <w:rPr>
          <w:color w:val="auto"/>
          <w:highlight w:val="none"/>
        </w:rPr>
      </w:pPr>
    </w:p>
    <w:p w14:paraId="4BB515D5">
      <w:pPr>
        <w:pStyle w:val="22"/>
        <w:rPr>
          <w:color w:val="auto"/>
          <w:highlight w:val="none"/>
        </w:rPr>
      </w:pPr>
    </w:p>
    <w:p w14:paraId="67831554">
      <w:pPr>
        <w:rPr>
          <w:color w:val="auto"/>
          <w:highlight w:val="none"/>
        </w:rPr>
      </w:pPr>
    </w:p>
    <w:p w14:paraId="7D21A9D5">
      <w:pPr>
        <w:pStyle w:val="22"/>
        <w:rPr>
          <w:color w:val="auto"/>
          <w:highlight w:val="none"/>
        </w:rPr>
      </w:pPr>
    </w:p>
    <w:p w14:paraId="37BDC9DA">
      <w:pPr>
        <w:rPr>
          <w:color w:val="auto"/>
          <w:highlight w:val="none"/>
        </w:rPr>
      </w:pPr>
    </w:p>
    <w:p w14:paraId="33CB2B19">
      <w:pPr>
        <w:pStyle w:val="22"/>
        <w:rPr>
          <w:color w:val="auto"/>
          <w:highlight w:val="none"/>
        </w:rPr>
      </w:pPr>
    </w:p>
    <w:p w14:paraId="1D2CAC3D">
      <w:pPr>
        <w:rPr>
          <w:color w:val="auto"/>
          <w:highlight w:val="none"/>
        </w:rPr>
      </w:pPr>
    </w:p>
    <w:p w14:paraId="1521834D">
      <w:pPr>
        <w:pStyle w:val="22"/>
        <w:rPr>
          <w:color w:val="auto"/>
          <w:highlight w:val="none"/>
        </w:rPr>
      </w:pPr>
    </w:p>
    <w:p w14:paraId="6D77A4FE">
      <w:pPr>
        <w:rPr>
          <w:color w:val="auto"/>
          <w:highlight w:val="none"/>
        </w:rPr>
      </w:pPr>
    </w:p>
    <w:p w14:paraId="34AA1719">
      <w:pPr>
        <w:pStyle w:val="22"/>
        <w:rPr>
          <w:color w:val="auto"/>
          <w:highlight w:val="none"/>
        </w:rPr>
      </w:pPr>
    </w:p>
    <w:p w14:paraId="204FAA6D">
      <w:pPr>
        <w:rPr>
          <w:color w:val="auto"/>
          <w:highlight w:val="none"/>
        </w:rPr>
      </w:pPr>
    </w:p>
    <w:p w14:paraId="01E8A485">
      <w:pPr>
        <w:pStyle w:val="22"/>
        <w:rPr>
          <w:color w:val="auto"/>
          <w:highlight w:val="none"/>
        </w:rPr>
      </w:pPr>
    </w:p>
    <w:p w14:paraId="3D4DF3CE">
      <w:pPr>
        <w:rPr>
          <w:color w:val="auto"/>
          <w:highlight w:val="none"/>
        </w:rPr>
      </w:pPr>
    </w:p>
    <w:p w14:paraId="0EC1176A">
      <w:pPr>
        <w:pStyle w:val="22"/>
        <w:rPr>
          <w:color w:val="auto"/>
          <w:highlight w:val="none"/>
        </w:rPr>
      </w:pPr>
    </w:p>
    <w:p w14:paraId="38CBE3E8">
      <w:pPr>
        <w:jc w:val="center"/>
        <w:rPr>
          <w:rFonts w:hint="eastAsia" w:ascii="黑体" w:hAnsi="黑体" w:eastAsia="黑体" w:cs="黑体"/>
          <w:b/>
          <w:color w:val="auto"/>
          <w:sz w:val="36"/>
          <w:szCs w:val="36"/>
          <w:highlight w:val="none"/>
          <w:lang w:val="en-US" w:eastAsia="zh-CN"/>
        </w:rPr>
        <w:sectPr>
          <w:pgSz w:w="11906" w:h="16838"/>
          <w:pgMar w:top="1440" w:right="1587" w:bottom="1440" w:left="1587" w:header="851" w:footer="907" w:gutter="0"/>
          <w:cols w:space="720" w:num="1"/>
          <w:docGrid w:linePitch="360" w:charSpace="0"/>
        </w:sectPr>
      </w:pPr>
    </w:p>
    <w:p w14:paraId="6441EC08">
      <w:pPr>
        <w:numPr>
          <w:ilvl w:val="0"/>
          <w:numId w:val="6"/>
        </w:num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t>投标申请人须提供拟派的项目负责人、安全管理员从投标截止之日当月向前6个月内任意1个月的社保缴纳证明及安全管理员的相关安全管理证书。</w:t>
      </w:r>
    </w:p>
    <w:p w14:paraId="1B8E5ACA">
      <w:pPr>
        <w:numPr>
          <w:ilvl w:val="0"/>
          <w:numId w:val="0"/>
        </w:numPr>
        <w:jc w:val="both"/>
        <w:rPr>
          <w:rFonts w:hint="default" w:ascii="黑体" w:hAnsi="黑体" w:eastAsia="黑体" w:cs="黑体"/>
          <w:b/>
          <w:color w:val="auto"/>
          <w:sz w:val="36"/>
          <w:szCs w:val="36"/>
          <w:highlight w:val="none"/>
          <w:lang w:val="en-US" w:eastAsia="zh-CN"/>
        </w:rPr>
      </w:pPr>
    </w:p>
    <w:p w14:paraId="785575AF">
      <w:pPr>
        <w:numPr>
          <w:ilvl w:val="0"/>
          <w:numId w:val="0"/>
        </w:numPr>
        <w:jc w:val="both"/>
        <w:rPr>
          <w:rFonts w:hint="default" w:ascii="黑体" w:hAnsi="黑体" w:eastAsia="黑体" w:cs="黑体"/>
          <w:b/>
          <w:color w:val="auto"/>
          <w:sz w:val="36"/>
          <w:szCs w:val="36"/>
          <w:highlight w:val="none"/>
          <w:lang w:val="en-US" w:eastAsia="zh-CN"/>
        </w:rPr>
      </w:pPr>
    </w:p>
    <w:p w14:paraId="40BCA176">
      <w:pPr>
        <w:numPr>
          <w:ilvl w:val="0"/>
          <w:numId w:val="0"/>
        </w:numPr>
        <w:jc w:val="both"/>
        <w:rPr>
          <w:rFonts w:hint="default" w:ascii="黑体" w:hAnsi="黑体" w:eastAsia="黑体" w:cs="黑体"/>
          <w:b/>
          <w:color w:val="auto"/>
          <w:sz w:val="36"/>
          <w:szCs w:val="36"/>
          <w:highlight w:val="none"/>
          <w:lang w:val="en-US" w:eastAsia="zh-CN"/>
        </w:rPr>
      </w:pPr>
    </w:p>
    <w:p w14:paraId="4F42E625">
      <w:pPr>
        <w:numPr>
          <w:ilvl w:val="0"/>
          <w:numId w:val="0"/>
        </w:numPr>
        <w:jc w:val="both"/>
        <w:rPr>
          <w:rFonts w:hint="default" w:ascii="黑体" w:hAnsi="黑体" w:eastAsia="黑体" w:cs="黑体"/>
          <w:b/>
          <w:color w:val="auto"/>
          <w:sz w:val="36"/>
          <w:szCs w:val="36"/>
          <w:highlight w:val="none"/>
          <w:lang w:val="en-US" w:eastAsia="zh-CN"/>
        </w:rPr>
      </w:pPr>
    </w:p>
    <w:p w14:paraId="6553D5A2">
      <w:pPr>
        <w:numPr>
          <w:ilvl w:val="0"/>
          <w:numId w:val="0"/>
        </w:numPr>
        <w:jc w:val="both"/>
        <w:rPr>
          <w:rFonts w:hint="default" w:ascii="黑体" w:hAnsi="黑体" w:eastAsia="黑体" w:cs="黑体"/>
          <w:b/>
          <w:color w:val="auto"/>
          <w:sz w:val="36"/>
          <w:szCs w:val="36"/>
          <w:highlight w:val="none"/>
          <w:lang w:val="en-US" w:eastAsia="zh-CN"/>
        </w:rPr>
      </w:pPr>
    </w:p>
    <w:p w14:paraId="340B5257">
      <w:pPr>
        <w:numPr>
          <w:ilvl w:val="0"/>
          <w:numId w:val="0"/>
        </w:numPr>
        <w:jc w:val="both"/>
        <w:rPr>
          <w:rFonts w:hint="default" w:ascii="黑体" w:hAnsi="黑体" w:eastAsia="黑体" w:cs="黑体"/>
          <w:b/>
          <w:color w:val="auto"/>
          <w:sz w:val="36"/>
          <w:szCs w:val="36"/>
          <w:highlight w:val="none"/>
          <w:lang w:val="en-US" w:eastAsia="zh-CN"/>
        </w:rPr>
      </w:pPr>
    </w:p>
    <w:p w14:paraId="56586401">
      <w:pPr>
        <w:numPr>
          <w:ilvl w:val="0"/>
          <w:numId w:val="0"/>
        </w:numPr>
        <w:jc w:val="both"/>
        <w:rPr>
          <w:rFonts w:hint="default" w:ascii="黑体" w:hAnsi="黑体" w:eastAsia="黑体" w:cs="黑体"/>
          <w:b/>
          <w:color w:val="auto"/>
          <w:sz w:val="36"/>
          <w:szCs w:val="36"/>
          <w:highlight w:val="none"/>
          <w:lang w:val="en-US" w:eastAsia="zh-CN"/>
        </w:rPr>
      </w:pPr>
    </w:p>
    <w:p w14:paraId="6F9D32A2">
      <w:pPr>
        <w:numPr>
          <w:ilvl w:val="0"/>
          <w:numId w:val="0"/>
        </w:numPr>
        <w:jc w:val="both"/>
        <w:rPr>
          <w:rFonts w:hint="default" w:ascii="黑体" w:hAnsi="黑体" w:eastAsia="黑体" w:cs="黑体"/>
          <w:b/>
          <w:color w:val="auto"/>
          <w:sz w:val="36"/>
          <w:szCs w:val="36"/>
          <w:highlight w:val="none"/>
          <w:lang w:val="en-US" w:eastAsia="zh-CN"/>
        </w:rPr>
      </w:pPr>
    </w:p>
    <w:p w14:paraId="400C3B37">
      <w:pPr>
        <w:numPr>
          <w:ilvl w:val="0"/>
          <w:numId w:val="0"/>
        </w:numPr>
        <w:jc w:val="both"/>
        <w:rPr>
          <w:rFonts w:hint="default" w:ascii="黑体" w:hAnsi="黑体" w:eastAsia="黑体" w:cs="黑体"/>
          <w:b/>
          <w:color w:val="auto"/>
          <w:sz w:val="36"/>
          <w:szCs w:val="36"/>
          <w:highlight w:val="none"/>
          <w:lang w:val="en-US" w:eastAsia="zh-CN"/>
        </w:rPr>
      </w:pPr>
    </w:p>
    <w:p w14:paraId="1F7B01D0">
      <w:pPr>
        <w:numPr>
          <w:ilvl w:val="0"/>
          <w:numId w:val="0"/>
        </w:numPr>
        <w:jc w:val="both"/>
        <w:rPr>
          <w:rFonts w:hint="default" w:ascii="黑体" w:hAnsi="黑体" w:eastAsia="黑体" w:cs="黑体"/>
          <w:b/>
          <w:color w:val="auto"/>
          <w:sz w:val="36"/>
          <w:szCs w:val="36"/>
          <w:highlight w:val="none"/>
          <w:lang w:val="en-US" w:eastAsia="zh-CN"/>
        </w:rPr>
      </w:pPr>
    </w:p>
    <w:p w14:paraId="4A982CD4">
      <w:pPr>
        <w:numPr>
          <w:ilvl w:val="0"/>
          <w:numId w:val="0"/>
        </w:numPr>
        <w:jc w:val="both"/>
        <w:rPr>
          <w:rFonts w:hint="default" w:ascii="黑体" w:hAnsi="黑体" w:eastAsia="黑体" w:cs="黑体"/>
          <w:b/>
          <w:color w:val="auto"/>
          <w:sz w:val="36"/>
          <w:szCs w:val="36"/>
          <w:highlight w:val="none"/>
          <w:lang w:val="en-US" w:eastAsia="zh-CN"/>
        </w:rPr>
      </w:pPr>
    </w:p>
    <w:p w14:paraId="56A3C7EE">
      <w:pPr>
        <w:numPr>
          <w:ilvl w:val="0"/>
          <w:numId w:val="0"/>
        </w:numPr>
        <w:jc w:val="both"/>
        <w:rPr>
          <w:rFonts w:hint="default" w:ascii="黑体" w:hAnsi="黑体" w:eastAsia="黑体" w:cs="黑体"/>
          <w:b/>
          <w:color w:val="auto"/>
          <w:sz w:val="36"/>
          <w:szCs w:val="36"/>
          <w:highlight w:val="none"/>
          <w:lang w:val="en-US" w:eastAsia="zh-CN"/>
        </w:rPr>
      </w:pPr>
    </w:p>
    <w:p w14:paraId="24AC8CD0">
      <w:pPr>
        <w:numPr>
          <w:ilvl w:val="0"/>
          <w:numId w:val="0"/>
        </w:numPr>
        <w:jc w:val="both"/>
        <w:rPr>
          <w:rFonts w:hint="default" w:ascii="黑体" w:hAnsi="黑体" w:eastAsia="黑体" w:cs="黑体"/>
          <w:b/>
          <w:color w:val="auto"/>
          <w:sz w:val="36"/>
          <w:szCs w:val="36"/>
          <w:highlight w:val="none"/>
          <w:lang w:val="en-US" w:eastAsia="zh-CN"/>
        </w:rPr>
      </w:pPr>
    </w:p>
    <w:p w14:paraId="7899851B">
      <w:pPr>
        <w:numPr>
          <w:ilvl w:val="0"/>
          <w:numId w:val="0"/>
        </w:numPr>
        <w:jc w:val="both"/>
        <w:rPr>
          <w:rFonts w:hint="default" w:ascii="黑体" w:hAnsi="黑体" w:eastAsia="黑体" w:cs="黑体"/>
          <w:b/>
          <w:color w:val="auto"/>
          <w:sz w:val="36"/>
          <w:szCs w:val="36"/>
          <w:highlight w:val="none"/>
          <w:lang w:val="en-US" w:eastAsia="zh-CN"/>
        </w:rPr>
      </w:pPr>
    </w:p>
    <w:p w14:paraId="2E64F9E4">
      <w:pPr>
        <w:numPr>
          <w:ilvl w:val="0"/>
          <w:numId w:val="0"/>
        </w:numPr>
        <w:jc w:val="both"/>
        <w:rPr>
          <w:rFonts w:hint="default" w:ascii="黑体" w:hAnsi="黑体" w:eastAsia="黑体" w:cs="黑体"/>
          <w:b/>
          <w:color w:val="auto"/>
          <w:sz w:val="36"/>
          <w:szCs w:val="36"/>
          <w:highlight w:val="none"/>
          <w:lang w:val="en-US" w:eastAsia="zh-CN"/>
        </w:rPr>
      </w:pPr>
    </w:p>
    <w:p w14:paraId="161C7C2D">
      <w:pPr>
        <w:numPr>
          <w:ilvl w:val="0"/>
          <w:numId w:val="0"/>
        </w:numPr>
        <w:jc w:val="both"/>
        <w:rPr>
          <w:rFonts w:hint="default" w:ascii="黑体" w:hAnsi="黑体" w:eastAsia="黑体" w:cs="黑体"/>
          <w:b/>
          <w:color w:val="auto"/>
          <w:sz w:val="36"/>
          <w:szCs w:val="36"/>
          <w:highlight w:val="none"/>
          <w:lang w:val="en-US" w:eastAsia="zh-CN"/>
        </w:rPr>
      </w:pPr>
    </w:p>
    <w:p w14:paraId="2FE459DA">
      <w:pPr>
        <w:numPr>
          <w:ilvl w:val="0"/>
          <w:numId w:val="0"/>
        </w:numPr>
        <w:jc w:val="both"/>
        <w:rPr>
          <w:rFonts w:hint="default" w:ascii="黑体" w:hAnsi="黑体" w:eastAsia="黑体" w:cs="黑体"/>
          <w:b/>
          <w:color w:val="auto"/>
          <w:sz w:val="36"/>
          <w:szCs w:val="36"/>
          <w:highlight w:val="none"/>
          <w:lang w:val="en-US" w:eastAsia="zh-CN"/>
        </w:rPr>
      </w:pPr>
    </w:p>
    <w:p w14:paraId="2C2FA39A">
      <w:pPr>
        <w:numPr>
          <w:ilvl w:val="0"/>
          <w:numId w:val="0"/>
        </w:numPr>
        <w:jc w:val="both"/>
        <w:rPr>
          <w:rFonts w:hint="default" w:ascii="黑体" w:hAnsi="黑体" w:eastAsia="黑体" w:cs="黑体"/>
          <w:b/>
          <w:color w:val="auto"/>
          <w:sz w:val="36"/>
          <w:szCs w:val="36"/>
          <w:highlight w:val="none"/>
          <w:lang w:val="en-US" w:eastAsia="zh-CN"/>
        </w:rPr>
      </w:pPr>
    </w:p>
    <w:p w14:paraId="5D7B474D">
      <w:pPr>
        <w:numPr>
          <w:ilvl w:val="0"/>
          <w:numId w:val="0"/>
        </w:numPr>
        <w:jc w:val="both"/>
        <w:rPr>
          <w:rFonts w:hint="default" w:ascii="黑体" w:hAnsi="黑体" w:eastAsia="黑体" w:cs="黑体"/>
          <w:b/>
          <w:color w:val="auto"/>
          <w:sz w:val="36"/>
          <w:szCs w:val="36"/>
          <w:highlight w:val="none"/>
          <w:lang w:val="en-US" w:eastAsia="zh-CN"/>
        </w:rPr>
      </w:pPr>
    </w:p>
    <w:p w14:paraId="34AA6AB0">
      <w:pPr>
        <w:numPr>
          <w:ilvl w:val="0"/>
          <w:numId w:val="0"/>
        </w:numPr>
        <w:jc w:val="both"/>
        <w:rPr>
          <w:rFonts w:hint="default" w:ascii="黑体" w:hAnsi="黑体" w:eastAsia="黑体" w:cs="黑体"/>
          <w:b/>
          <w:color w:val="auto"/>
          <w:sz w:val="36"/>
          <w:szCs w:val="36"/>
          <w:highlight w:val="none"/>
          <w:lang w:val="en-US" w:eastAsia="zh-CN"/>
        </w:rPr>
      </w:pPr>
    </w:p>
    <w:p w14:paraId="2E602BDA">
      <w:pPr>
        <w:numPr>
          <w:ilvl w:val="0"/>
          <w:numId w:val="0"/>
        </w:numPr>
        <w:jc w:val="both"/>
        <w:rPr>
          <w:rFonts w:hint="default" w:ascii="黑体" w:hAnsi="黑体" w:eastAsia="黑体" w:cs="黑体"/>
          <w:b/>
          <w:color w:val="auto"/>
          <w:sz w:val="36"/>
          <w:szCs w:val="36"/>
          <w:highlight w:val="none"/>
          <w:lang w:val="en-US" w:eastAsia="zh-CN"/>
        </w:rPr>
      </w:pPr>
    </w:p>
    <w:p w14:paraId="13702591">
      <w:pPr>
        <w:numPr>
          <w:ilvl w:val="0"/>
          <w:numId w:val="0"/>
        </w:numPr>
        <w:jc w:val="both"/>
        <w:rPr>
          <w:rFonts w:hint="default" w:ascii="黑体" w:hAnsi="黑体" w:eastAsia="黑体" w:cs="黑体"/>
          <w:b/>
          <w:color w:val="auto"/>
          <w:sz w:val="36"/>
          <w:szCs w:val="36"/>
          <w:highlight w:val="none"/>
          <w:lang w:val="en-US" w:eastAsia="zh-CN"/>
        </w:rPr>
      </w:pPr>
    </w:p>
    <w:p w14:paraId="508C3B6A">
      <w:pPr>
        <w:numPr>
          <w:ilvl w:val="0"/>
          <w:numId w:val="0"/>
        </w:numPr>
        <w:jc w:val="both"/>
        <w:rPr>
          <w:rFonts w:hint="default" w:ascii="黑体" w:hAnsi="黑体" w:eastAsia="黑体" w:cs="黑体"/>
          <w:b/>
          <w:color w:val="auto"/>
          <w:sz w:val="36"/>
          <w:szCs w:val="36"/>
          <w:highlight w:val="none"/>
          <w:lang w:val="en-US" w:eastAsia="zh-CN"/>
        </w:rPr>
      </w:pPr>
    </w:p>
    <w:p w14:paraId="63469F44">
      <w:pPr>
        <w:numPr>
          <w:ilvl w:val="0"/>
          <w:numId w:val="0"/>
        </w:numPr>
        <w:jc w:val="both"/>
        <w:rPr>
          <w:rFonts w:hint="default" w:ascii="黑体" w:hAnsi="黑体" w:eastAsia="黑体" w:cs="黑体"/>
          <w:b/>
          <w:color w:val="auto"/>
          <w:sz w:val="36"/>
          <w:szCs w:val="36"/>
          <w:highlight w:val="none"/>
          <w:lang w:val="en-US" w:eastAsia="zh-CN"/>
        </w:rPr>
      </w:pPr>
    </w:p>
    <w:p w14:paraId="23470E90">
      <w:pPr>
        <w:numPr>
          <w:ilvl w:val="0"/>
          <w:numId w:val="0"/>
        </w:numPr>
        <w:jc w:val="both"/>
        <w:rPr>
          <w:rFonts w:hint="default" w:ascii="黑体" w:hAnsi="黑体" w:eastAsia="黑体" w:cs="黑体"/>
          <w:b/>
          <w:color w:val="auto"/>
          <w:sz w:val="36"/>
          <w:szCs w:val="36"/>
          <w:highlight w:val="none"/>
          <w:lang w:val="en-US" w:eastAsia="zh-CN"/>
        </w:rPr>
      </w:pPr>
    </w:p>
    <w:p w14:paraId="12038F6F">
      <w:pPr>
        <w:numPr>
          <w:ilvl w:val="0"/>
          <w:numId w:val="0"/>
        </w:numPr>
        <w:jc w:val="both"/>
        <w:rPr>
          <w:rFonts w:hint="default" w:ascii="黑体" w:hAnsi="黑体" w:eastAsia="黑体" w:cs="黑体"/>
          <w:b/>
          <w:color w:val="auto"/>
          <w:sz w:val="36"/>
          <w:szCs w:val="36"/>
          <w:highlight w:val="none"/>
          <w:lang w:val="en-US" w:eastAsia="zh-CN"/>
        </w:rPr>
      </w:pPr>
    </w:p>
    <w:p w14:paraId="098722F9">
      <w:pPr>
        <w:numPr>
          <w:ilvl w:val="0"/>
          <w:numId w:val="6"/>
        </w:numPr>
        <w:ind w:left="0" w:leftChars="0" w:firstLine="0" w:firstLineChars="0"/>
        <w:jc w:val="both"/>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t>招标文件中规定要求提供的证明材料和投标人认为需要提供的其他材料。</w:t>
      </w:r>
    </w:p>
    <w:p w14:paraId="21225FC9">
      <w:pPr>
        <w:numPr>
          <w:ilvl w:val="0"/>
          <w:numId w:val="0"/>
        </w:numPr>
        <w:ind w:leftChars="0"/>
        <w:jc w:val="both"/>
        <w:rPr>
          <w:rFonts w:hint="default" w:ascii="黑体" w:hAnsi="黑体" w:eastAsia="黑体" w:cs="黑体"/>
          <w:b/>
          <w:color w:val="auto"/>
          <w:sz w:val="36"/>
          <w:szCs w:val="36"/>
          <w:highlight w:val="none"/>
          <w:lang w:val="en-US" w:eastAsia="zh-CN"/>
        </w:rPr>
      </w:pPr>
    </w:p>
    <w:p w14:paraId="66C25925">
      <w:pPr>
        <w:numPr>
          <w:ilvl w:val="0"/>
          <w:numId w:val="0"/>
        </w:numPr>
        <w:ind w:leftChars="0"/>
        <w:jc w:val="both"/>
        <w:rPr>
          <w:rFonts w:hint="default" w:ascii="黑体" w:hAnsi="黑体" w:eastAsia="黑体" w:cs="黑体"/>
          <w:b/>
          <w:color w:val="auto"/>
          <w:sz w:val="36"/>
          <w:szCs w:val="36"/>
          <w:highlight w:val="none"/>
          <w:lang w:val="en-US" w:eastAsia="zh-CN"/>
        </w:rPr>
      </w:pPr>
    </w:p>
    <w:p w14:paraId="3A28CB3C">
      <w:pPr>
        <w:numPr>
          <w:ilvl w:val="0"/>
          <w:numId w:val="0"/>
        </w:numPr>
        <w:ind w:leftChars="0"/>
        <w:jc w:val="both"/>
        <w:rPr>
          <w:rFonts w:hint="default" w:ascii="黑体" w:hAnsi="黑体" w:eastAsia="黑体" w:cs="黑体"/>
          <w:b/>
          <w:color w:val="auto"/>
          <w:sz w:val="36"/>
          <w:szCs w:val="36"/>
          <w:highlight w:val="none"/>
          <w:lang w:val="en-US" w:eastAsia="zh-CN"/>
        </w:rPr>
      </w:pPr>
    </w:p>
    <w:p w14:paraId="6F73EB09">
      <w:pPr>
        <w:numPr>
          <w:ilvl w:val="0"/>
          <w:numId w:val="0"/>
        </w:numPr>
        <w:ind w:leftChars="0"/>
        <w:jc w:val="both"/>
        <w:rPr>
          <w:rFonts w:hint="default" w:ascii="黑体" w:hAnsi="黑体" w:eastAsia="黑体" w:cs="黑体"/>
          <w:b/>
          <w:color w:val="auto"/>
          <w:sz w:val="36"/>
          <w:szCs w:val="36"/>
          <w:highlight w:val="none"/>
          <w:lang w:val="en-US" w:eastAsia="zh-CN"/>
        </w:rPr>
      </w:pPr>
    </w:p>
    <w:p w14:paraId="6530848E">
      <w:pPr>
        <w:numPr>
          <w:ilvl w:val="0"/>
          <w:numId w:val="0"/>
        </w:numPr>
        <w:ind w:leftChars="0"/>
        <w:jc w:val="both"/>
        <w:rPr>
          <w:rFonts w:hint="default" w:ascii="黑体" w:hAnsi="黑体" w:eastAsia="黑体" w:cs="黑体"/>
          <w:b/>
          <w:color w:val="auto"/>
          <w:sz w:val="36"/>
          <w:szCs w:val="36"/>
          <w:highlight w:val="none"/>
          <w:lang w:val="en-US" w:eastAsia="zh-CN"/>
        </w:rPr>
      </w:pPr>
    </w:p>
    <w:p w14:paraId="57F0A8E4">
      <w:pPr>
        <w:numPr>
          <w:ilvl w:val="0"/>
          <w:numId w:val="0"/>
        </w:numPr>
        <w:ind w:leftChars="0"/>
        <w:jc w:val="both"/>
        <w:rPr>
          <w:rFonts w:hint="default" w:ascii="黑体" w:hAnsi="黑体" w:eastAsia="黑体" w:cs="黑体"/>
          <w:b/>
          <w:color w:val="auto"/>
          <w:sz w:val="36"/>
          <w:szCs w:val="36"/>
          <w:highlight w:val="none"/>
          <w:lang w:val="en-US" w:eastAsia="zh-CN"/>
        </w:rPr>
      </w:pPr>
    </w:p>
    <w:p w14:paraId="1DAAABA9">
      <w:pPr>
        <w:numPr>
          <w:ilvl w:val="0"/>
          <w:numId w:val="0"/>
        </w:numPr>
        <w:ind w:leftChars="0"/>
        <w:jc w:val="both"/>
        <w:rPr>
          <w:rFonts w:hint="default" w:ascii="黑体" w:hAnsi="黑体" w:eastAsia="黑体" w:cs="黑体"/>
          <w:b/>
          <w:color w:val="auto"/>
          <w:sz w:val="36"/>
          <w:szCs w:val="36"/>
          <w:highlight w:val="none"/>
          <w:lang w:val="en-US" w:eastAsia="zh-CN"/>
        </w:rPr>
      </w:pPr>
    </w:p>
    <w:p w14:paraId="333F82BA">
      <w:pPr>
        <w:numPr>
          <w:ilvl w:val="0"/>
          <w:numId w:val="0"/>
        </w:numPr>
        <w:ind w:leftChars="0"/>
        <w:jc w:val="both"/>
        <w:rPr>
          <w:rFonts w:hint="default" w:ascii="黑体" w:hAnsi="黑体" w:eastAsia="黑体" w:cs="黑体"/>
          <w:b/>
          <w:color w:val="auto"/>
          <w:sz w:val="36"/>
          <w:szCs w:val="36"/>
          <w:highlight w:val="none"/>
          <w:lang w:val="en-US" w:eastAsia="zh-CN"/>
        </w:rPr>
      </w:pPr>
    </w:p>
    <w:p w14:paraId="0643FB5D">
      <w:pPr>
        <w:numPr>
          <w:ilvl w:val="0"/>
          <w:numId w:val="0"/>
        </w:numPr>
        <w:ind w:leftChars="0"/>
        <w:jc w:val="both"/>
        <w:rPr>
          <w:rFonts w:hint="default" w:ascii="黑体" w:hAnsi="黑体" w:eastAsia="黑体" w:cs="黑体"/>
          <w:b/>
          <w:color w:val="auto"/>
          <w:sz w:val="36"/>
          <w:szCs w:val="36"/>
          <w:highlight w:val="none"/>
          <w:lang w:val="en-US" w:eastAsia="zh-CN"/>
        </w:rPr>
      </w:pPr>
    </w:p>
    <w:p w14:paraId="41756328">
      <w:pPr>
        <w:numPr>
          <w:ilvl w:val="0"/>
          <w:numId w:val="0"/>
        </w:numPr>
        <w:ind w:leftChars="0"/>
        <w:jc w:val="both"/>
        <w:rPr>
          <w:rFonts w:hint="default" w:ascii="黑体" w:hAnsi="黑体" w:eastAsia="黑体" w:cs="黑体"/>
          <w:b/>
          <w:color w:val="auto"/>
          <w:sz w:val="36"/>
          <w:szCs w:val="36"/>
          <w:highlight w:val="none"/>
          <w:lang w:val="en-US" w:eastAsia="zh-CN"/>
        </w:rPr>
      </w:pPr>
    </w:p>
    <w:p w14:paraId="3CE18971">
      <w:pPr>
        <w:numPr>
          <w:ilvl w:val="0"/>
          <w:numId w:val="0"/>
        </w:numPr>
        <w:ind w:leftChars="0"/>
        <w:jc w:val="both"/>
        <w:rPr>
          <w:rFonts w:hint="default" w:ascii="黑体" w:hAnsi="黑体" w:eastAsia="黑体" w:cs="黑体"/>
          <w:b/>
          <w:color w:val="auto"/>
          <w:sz w:val="36"/>
          <w:szCs w:val="36"/>
          <w:highlight w:val="none"/>
          <w:lang w:val="en-US" w:eastAsia="zh-CN"/>
        </w:rPr>
      </w:pPr>
    </w:p>
    <w:p w14:paraId="1EDDABA1">
      <w:pPr>
        <w:numPr>
          <w:ilvl w:val="0"/>
          <w:numId w:val="0"/>
        </w:numPr>
        <w:ind w:leftChars="0"/>
        <w:jc w:val="both"/>
        <w:rPr>
          <w:rFonts w:hint="default" w:ascii="黑体" w:hAnsi="黑体" w:eastAsia="黑体" w:cs="黑体"/>
          <w:b/>
          <w:color w:val="auto"/>
          <w:sz w:val="36"/>
          <w:szCs w:val="36"/>
          <w:highlight w:val="none"/>
          <w:lang w:val="en-US" w:eastAsia="zh-CN"/>
        </w:rPr>
      </w:pPr>
    </w:p>
    <w:p w14:paraId="450FA50D">
      <w:pPr>
        <w:numPr>
          <w:ilvl w:val="0"/>
          <w:numId w:val="0"/>
        </w:numPr>
        <w:ind w:leftChars="0"/>
        <w:jc w:val="both"/>
        <w:rPr>
          <w:rFonts w:hint="default" w:ascii="黑体" w:hAnsi="黑体" w:eastAsia="黑体" w:cs="黑体"/>
          <w:b/>
          <w:color w:val="auto"/>
          <w:sz w:val="36"/>
          <w:szCs w:val="36"/>
          <w:highlight w:val="none"/>
          <w:lang w:val="en-US" w:eastAsia="zh-CN"/>
        </w:rPr>
      </w:pPr>
    </w:p>
    <w:p w14:paraId="5B9A3A2F">
      <w:pPr>
        <w:numPr>
          <w:ilvl w:val="0"/>
          <w:numId w:val="0"/>
        </w:numPr>
        <w:ind w:leftChars="0"/>
        <w:jc w:val="both"/>
        <w:rPr>
          <w:rFonts w:hint="default" w:ascii="黑体" w:hAnsi="黑体" w:eastAsia="黑体" w:cs="黑体"/>
          <w:b/>
          <w:color w:val="auto"/>
          <w:sz w:val="36"/>
          <w:szCs w:val="36"/>
          <w:highlight w:val="none"/>
          <w:lang w:val="en-US" w:eastAsia="zh-CN"/>
        </w:rPr>
      </w:pPr>
    </w:p>
    <w:p w14:paraId="53339BE6">
      <w:pPr>
        <w:numPr>
          <w:ilvl w:val="0"/>
          <w:numId w:val="0"/>
        </w:numPr>
        <w:ind w:leftChars="0"/>
        <w:jc w:val="both"/>
        <w:rPr>
          <w:rFonts w:hint="default" w:ascii="黑体" w:hAnsi="黑体" w:eastAsia="黑体" w:cs="黑体"/>
          <w:b/>
          <w:color w:val="auto"/>
          <w:sz w:val="36"/>
          <w:szCs w:val="36"/>
          <w:highlight w:val="none"/>
          <w:lang w:val="en-US" w:eastAsia="zh-CN"/>
        </w:rPr>
      </w:pPr>
    </w:p>
    <w:p w14:paraId="1C38C789">
      <w:pPr>
        <w:numPr>
          <w:ilvl w:val="0"/>
          <w:numId w:val="0"/>
        </w:numPr>
        <w:ind w:leftChars="0"/>
        <w:jc w:val="both"/>
        <w:rPr>
          <w:rFonts w:hint="default" w:ascii="黑体" w:hAnsi="黑体" w:eastAsia="黑体" w:cs="黑体"/>
          <w:b/>
          <w:color w:val="auto"/>
          <w:sz w:val="36"/>
          <w:szCs w:val="36"/>
          <w:highlight w:val="none"/>
          <w:lang w:val="en-US" w:eastAsia="zh-CN"/>
        </w:rPr>
      </w:pPr>
    </w:p>
    <w:p w14:paraId="1BF0AB03">
      <w:pPr>
        <w:numPr>
          <w:ilvl w:val="0"/>
          <w:numId w:val="0"/>
        </w:numPr>
        <w:ind w:leftChars="0"/>
        <w:jc w:val="both"/>
        <w:rPr>
          <w:rFonts w:hint="default" w:ascii="黑体" w:hAnsi="黑体" w:eastAsia="黑体" w:cs="黑体"/>
          <w:b/>
          <w:color w:val="auto"/>
          <w:sz w:val="36"/>
          <w:szCs w:val="36"/>
          <w:highlight w:val="none"/>
          <w:lang w:val="en-US" w:eastAsia="zh-CN"/>
        </w:rPr>
      </w:pPr>
    </w:p>
    <w:p w14:paraId="27C8883C">
      <w:pPr>
        <w:numPr>
          <w:ilvl w:val="0"/>
          <w:numId w:val="0"/>
        </w:numPr>
        <w:ind w:leftChars="0"/>
        <w:jc w:val="both"/>
        <w:rPr>
          <w:rFonts w:hint="default" w:ascii="黑体" w:hAnsi="黑体" w:eastAsia="黑体" w:cs="黑体"/>
          <w:b/>
          <w:color w:val="auto"/>
          <w:sz w:val="36"/>
          <w:szCs w:val="36"/>
          <w:highlight w:val="none"/>
          <w:lang w:val="en-US" w:eastAsia="zh-CN"/>
        </w:rPr>
      </w:pPr>
    </w:p>
    <w:p w14:paraId="0FF08D89">
      <w:pPr>
        <w:numPr>
          <w:ilvl w:val="0"/>
          <w:numId w:val="0"/>
        </w:numPr>
        <w:ind w:leftChars="0"/>
        <w:jc w:val="both"/>
        <w:rPr>
          <w:rFonts w:hint="default" w:ascii="黑体" w:hAnsi="黑体" w:eastAsia="黑体" w:cs="黑体"/>
          <w:b/>
          <w:color w:val="auto"/>
          <w:sz w:val="36"/>
          <w:szCs w:val="36"/>
          <w:highlight w:val="none"/>
          <w:lang w:val="en-US" w:eastAsia="zh-CN"/>
        </w:rPr>
      </w:pPr>
    </w:p>
    <w:p w14:paraId="60C37CAC">
      <w:pPr>
        <w:numPr>
          <w:ilvl w:val="0"/>
          <w:numId w:val="0"/>
        </w:numPr>
        <w:ind w:leftChars="0"/>
        <w:jc w:val="both"/>
        <w:rPr>
          <w:rFonts w:hint="default" w:ascii="黑体" w:hAnsi="黑体" w:eastAsia="黑体" w:cs="黑体"/>
          <w:b/>
          <w:color w:val="auto"/>
          <w:sz w:val="36"/>
          <w:szCs w:val="36"/>
          <w:highlight w:val="none"/>
          <w:lang w:val="en-US" w:eastAsia="zh-CN"/>
        </w:rPr>
      </w:pPr>
    </w:p>
    <w:p w14:paraId="488CC159">
      <w:pPr>
        <w:numPr>
          <w:ilvl w:val="0"/>
          <w:numId w:val="0"/>
        </w:numPr>
        <w:ind w:leftChars="0"/>
        <w:jc w:val="both"/>
        <w:rPr>
          <w:rFonts w:hint="default" w:ascii="黑体" w:hAnsi="黑体" w:eastAsia="黑体" w:cs="黑体"/>
          <w:b/>
          <w:color w:val="auto"/>
          <w:sz w:val="36"/>
          <w:szCs w:val="36"/>
          <w:highlight w:val="none"/>
          <w:lang w:val="en-US" w:eastAsia="zh-CN"/>
        </w:rPr>
      </w:pPr>
    </w:p>
    <w:p w14:paraId="4261B530">
      <w:pPr>
        <w:numPr>
          <w:ilvl w:val="0"/>
          <w:numId w:val="0"/>
        </w:numPr>
        <w:ind w:leftChars="0"/>
        <w:jc w:val="both"/>
        <w:rPr>
          <w:rFonts w:hint="default" w:ascii="黑体" w:hAnsi="黑体" w:eastAsia="黑体" w:cs="黑体"/>
          <w:b/>
          <w:color w:val="auto"/>
          <w:sz w:val="36"/>
          <w:szCs w:val="36"/>
          <w:highlight w:val="none"/>
          <w:lang w:val="en-US" w:eastAsia="zh-CN"/>
        </w:rPr>
      </w:pPr>
    </w:p>
    <w:p w14:paraId="1886C4CD">
      <w:pPr>
        <w:numPr>
          <w:ilvl w:val="0"/>
          <w:numId w:val="0"/>
        </w:numPr>
        <w:ind w:leftChars="0"/>
        <w:jc w:val="both"/>
        <w:rPr>
          <w:rFonts w:hint="default" w:ascii="黑体" w:hAnsi="黑体" w:eastAsia="黑体" w:cs="黑体"/>
          <w:b/>
          <w:color w:val="auto"/>
          <w:sz w:val="36"/>
          <w:szCs w:val="36"/>
          <w:highlight w:val="none"/>
          <w:lang w:val="en-US" w:eastAsia="zh-CN"/>
        </w:rPr>
      </w:pPr>
    </w:p>
    <w:p w14:paraId="2A08F642">
      <w:pPr>
        <w:numPr>
          <w:ilvl w:val="0"/>
          <w:numId w:val="0"/>
        </w:numPr>
        <w:ind w:leftChars="0"/>
        <w:jc w:val="both"/>
        <w:rPr>
          <w:rFonts w:hint="default" w:ascii="黑体" w:hAnsi="黑体" w:eastAsia="黑体" w:cs="黑体"/>
          <w:b/>
          <w:color w:val="auto"/>
          <w:sz w:val="36"/>
          <w:szCs w:val="36"/>
          <w:highlight w:val="none"/>
          <w:lang w:val="en-US" w:eastAsia="zh-CN"/>
        </w:rPr>
      </w:pPr>
    </w:p>
    <w:p w14:paraId="6570DC30">
      <w:pPr>
        <w:numPr>
          <w:ilvl w:val="0"/>
          <w:numId w:val="0"/>
        </w:numPr>
        <w:ind w:leftChars="0"/>
        <w:jc w:val="both"/>
        <w:rPr>
          <w:rFonts w:hint="default" w:ascii="黑体" w:hAnsi="黑体" w:eastAsia="黑体" w:cs="黑体"/>
          <w:b/>
          <w:color w:val="auto"/>
          <w:sz w:val="36"/>
          <w:szCs w:val="36"/>
          <w:highlight w:val="none"/>
          <w:lang w:val="en-US" w:eastAsia="zh-CN"/>
        </w:rPr>
      </w:pPr>
    </w:p>
    <w:p w14:paraId="0528AB98">
      <w:pPr>
        <w:numPr>
          <w:ilvl w:val="0"/>
          <w:numId w:val="0"/>
        </w:numPr>
        <w:ind w:leftChars="0"/>
        <w:jc w:val="both"/>
        <w:rPr>
          <w:rFonts w:hint="default" w:ascii="黑体" w:hAnsi="黑体" w:eastAsia="黑体" w:cs="黑体"/>
          <w:b/>
          <w:color w:val="auto"/>
          <w:sz w:val="36"/>
          <w:szCs w:val="36"/>
          <w:highlight w:val="none"/>
          <w:lang w:val="en-US" w:eastAsia="zh-CN"/>
        </w:rPr>
      </w:pPr>
    </w:p>
    <w:p w14:paraId="0AC0677F">
      <w:pPr>
        <w:numPr>
          <w:ilvl w:val="0"/>
          <w:numId w:val="0"/>
        </w:numPr>
        <w:ind w:leftChars="0"/>
        <w:jc w:val="both"/>
        <w:rPr>
          <w:rFonts w:hint="default" w:ascii="黑体" w:hAnsi="黑体" w:eastAsia="黑体" w:cs="黑体"/>
          <w:b/>
          <w:color w:val="auto"/>
          <w:sz w:val="36"/>
          <w:szCs w:val="36"/>
          <w:highlight w:val="none"/>
          <w:lang w:val="en-US" w:eastAsia="zh-CN"/>
        </w:rPr>
      </w:pPr>
    </w:p>
    <w:p w14:paraId="23B6B6FE">
      <w:pPr>
        <w:jc w:val="center"/>
        <w:rPr>
          <w:rFonts w:hint="eastAsia" w:ascii="黑体" w:hAnsi="黑体" w:eastAsia="黑体" w:cs="黑体"/>
          <w:b/>
          <w:color w:val="auto"/>
          <w:sz w:val="36"/>
          <w:szCs w:val="36"/>
          <w:highlight w:val="none"/>
          <w:lang w:eastAsia="zh-CN"/>
        </w:rPr>
      </w:pPr>
      <w:r>
        <w:rPr>
          <w:rFonts w:hint="eastAsia" w:ascii="黑体" w:hAnsi="黑体" w:eastAsia="黑体" w:cs="黑体"/>
          <w:b/>
          <w:color w:val="auto"/>
          <w:sz w:val="36"/>
          <w:szCs w:val="36"/>
          <w:highlight w:val="none"/>
          <w:lang w:val="en-US" w:eastAsia="zh-CN"/>
        </w:rPr>
        <w:t>（八）</w:t>
      </w:r>
      <w:r>
        <w:rPr>
          <w:rFonts w:hint="eastAsia" w:ascii="黑体" w:hAnsi="黑体" w:eastAsia="黑体" w:cs="黑体"/>
          <w:b/>
          <w:color w:val="auto"/>
          <w:sz w:val="36"/>
          <w:szCs w:val="36"/>
          <w:highlight w:val="none"/>
        </w:rPr>
        <w:t>法定代表人身份证明书</w:t>
      </w:r>
    </w:p>
    <w:p w14:paraId="65689EDD">
      <w:pPr>
        <w:rPr>
          <w:rFonts w:ascii="宋体" w:hAnsi="宋体"/>
          <w:color w:val="auto"/>
          <w:sz w:val="32"/>
          <w:highlight w:val="none"/>
        </w:rPr>
      </w:pPr>
    </w:p>
    <w:p w14:paraId="3FCC9050">
      <w:pPr>
        <w:rPr>
          <w:rFonts w:ascii="宋体" w:hAnsi="宋体"/>
          <w:color w:val="auto"/>
          <w:sz w:val="24"/>
          <w:highlight w:val="none"/>
        </w:rPr>
      </w:pPr>
    </w:p>
    <w:p w14:paraId="2F80093B">
      <w:pPr>
        <w:ind w:firstLine="960"/>
        <w:rPr>
          <w:rFonts w:ascii="宋体" w:hAnsi="宋体"/>
          <w:color w:val="auto"/>
          <w:sz w:val="24"/>
          <w:highlight w:val="none"/>
          <w:u w:val="single"/>
        </w:rPr>
      </w:pPr>
      <w:r>
        <w:rPr>
          <w:rFonts w:hint="eastAsia" w:ascii="宋体" w:hAnsi="宋体"/>
          <w:color w:val="auto"/>
          <w:sz w:val="24"/>
          <w:highlight w:val="none"/>
        </w:rPr>
        <w:t>单位名称：</w:t>
      </w:r>
      <w:r>
        <w:rPr>
          <w:rFonts w:hint="eastAsia" w:ascii="宋体" w:hAnsi="宋体"/>
          <w:color w:val="auto"/>
          <w:sz w:val="24"/>
          <w:highlight w:val="none"/>
          <w:u w:val="single"/>
        </w:rPr>
        <w:t xml:space="preserve">                                                  </w:t>
      </w:r>
    </w:p>
    <w:p w14:paraId="65D6607E">
      <w:pPr>
        <w:rPr>
          <w:rFonts w:ascii="宋体" w:hAnsi="宋体"/>
          <w:color w:val="auto"/>
          <w:sz w:val="24"/>
          <w:highlight w:val="none"/>
          <w:u w:val="single"/>
        </w:rPr>
      </w:pPr>
    </w:p>
    <w:p w14:paraId="7D6E9120">
      <w:pPr>
        <w:ind w:firstLine="960"/>
        <w:rPr>
          <w:rFonts w:ascii="宋体" w:hAnsi="宋体"/>
          <w:color w:val="auto"/>
          <w:sz w:val="24"/>
          <w:highlight w:val="none"/>
        </w:rPr>
      </w:pPr>
      <w:r>
        <w:rPr>
          <w:rFonts w:hint="eastAsia" w:ascii="宋体" w:hAnsi="宋体"/>
          <w:color w:val="auto"/>
          <w:sz w:val="24"/>
          <w:highlight w:val="none"/>
        </w:rPr>
        <w:t>单位性质：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238DA723">
      <w:pPr>
        <w:rPr>
          <w:rFonts w:ascii="宋体" w:hAnsi="宋体"/>
          <w:color w:val="auto"/>
          <w:sz w:val="24"/>
          <w:highlight w:val="none"/>
          <w:u w:val="single"/>
        </w:rPr>
      </w:pPr>
      <w:r>
        <w:rPr>
          <w:rFonts w:hint="eastAsia" w:ascii="宋体" w:hAnsi="宋体"/>
          <w:color w:val="auto"/>
          <w:sz w:val="24"/>
          <w:highlight w:val="none"/>
        </w:rPr>
        <w:t xml:space="preserve">                          </w:t>
      </w:r>
    </w:p>
    <w:p w14:paraId="2A0C8093">
      <w:pPr>
        <w:ind w:firstLine="960"/>
        <w:rPr>
          <w:rFonts w:ascii="宋体" w:hAnsi="宋体"/>
          <w:color w:val="auto"/>
          <w:sz w:val="24"/>
          <w:highlight w:val="none"/>
          <w:u w:val="single"/>
        </w:rPr>
      </w:pPr>
      <w:r>
        <w:rPr>
          <w:rFonts w:hint="eastAsia" w:ascii="宋体" w:hAnsi="宋体"/>
          <w:color w:val="auto"/>
          <w:sz w:val="24"/>
          <w:highlight w:val="none"/>
        </w:rPr>
        <w:t>地    址：</w:t>
      </w:r>
      <w:r>
        <w:rPr>
          <w:rFonts w:hint="eastAsia" w:ascii="宋体" w:hAnsi="宋体"/>
          <w:color w:val="auto"/>
          <w:sz w:val="24"/>
          <w:highlight w:val="none"/>
          <w:u w:val="single"/>
        </w:rPr>
        <w:t xml:space="preserve">                                                 </w:t>
      </w:r>
    </w:p>
    <w:p w14:paraId="3886B9B2">
      <w:pPr>
        <w:rPr>
          <w:rFonts w:ascii="宋体" w:hAnsi="宋体"/>
          <w:color w:val="auto"/>
          <w:sz w:val="24"/>
          <w:highlight w:val="none"/>
          <w:u w:val="single"/>
        </w:rPr>
      </w:pPr>
    </w:p>
    <w:p w14:paraId="57C44D0A">
      <w:pPr>
        <w:ind w:firstLine="960"/>
        <w:rPr>
          <w:rFonts w:ascii="宋体" w:hAnsi="宋体"/>
          <w:color w:val="auto"/>
          <w:sz w:val="24"/>
          <w:highlight w:val="none"/>
        </w:rPr>
      </w:pPr>
      <w:r>
        <w:rPr>
          <w:rFonts w:hint="eastAsia" w:ascii="宋体" w:hAnsi="宋体"/>
          <w:color w:val="auto"/>
          <w:sz w:val="24"/>
          <w:highlight w:val="none"/>
        </w:rPr>
        <w:t>成立时间：</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p>
    <w:p w14:paraId="32491324">
      <w:pPr>
        <w:rPr>
          <w:rFonts w:ascii="宋体" w:hAnsi="宋体"/>
          <w:color w:val="auto"/>
          <w:sz w:val="24"/>
          <w:highlight w:val="none"/>
        </w:rPr>
      </w:pPr>
      <w:r>
        <w:rPr>
          <w:rFonts w:hint="eastAsia" w:ascii="宋体" w:hAnsi="宋体"/>
          <w:color w:val="auto"/>
          <w:sz w:val="24"/>
          <w:highlight w:val="none"/>
        </w:rPr>
        <w:t xml:space="preserve"> </w:t>
      </w:r>
    </w:p>
    <w:p w14:paraId="4D7146F5">
      <w:pPr>
        <w:ind w:firstLine="960"/>
        <w:rPr>
          <w:rFonts w:ascii="宋体" w:hAnsi="宋体"/>
          <w:color w:val="auto"/>
          <w:sz w:val="24"/>
          <w:highlight w:val="none"/>
          <w:u w:val="single"/>
        </w:rPr>
      </w:pPr>
      <w:r>
        <w:rPr>
          <w:rFonts w:hint="eastAsia" w:ascii="宋体" w:hAnsi="宋体"/>
          <w:color w:val="auto"/>
          <w:sz w:val="24"/>
          <w:highlight w:val="none"/>
        </w:rPr>
        <w:t>经营期限：</w:t>
      </w:r>
      <w:r>
        <w:rPr>
          <w:rFonts w:hint="eastAsia" w:ascii="宋体" w:hAnsi="宋体"/>
          <w:color w:val="auto"/>
          <w:sz w:val="24"/>
          <w:highlight w:val="none"/>
          <w:u w:val="single"/>
        </w:rPr>
        <w:t xml:space="preserve">                                        </w:t>
      </w:r>
    </w:p>
    <w:p w14:paraId="538DDCF3">
      <w:pPr>
        <w:rPr>
          <w:rFonts w:ascii="宋体" w:hAnsi="宋体"/>
          <w:color w:val="auto"/>
          <w:sz w:val="24"/>
          <w:highlight w:val="none"/>
          <w:u w:val="single"/>
        </w:rPr>
      </w:pPr>
    </w:p>
    <w:p w14:paraId="170F1043">
      <w:pPr>
        <w:ind w:left="3598" w:hanging="2760"/>
        <w:rPr>
          <w:rFonts w:ascii="宋体" w:hAnsi="宋体"/>
          <w:color w:val="auto"/>
          <w:sz w:val="24"/>
          <w:highlight w:val="none"/>
          <w:u w:val="single"/>
        </w:rPr>
      </w:pPr>
      <w:r>
        <w:rPr>
          <w:rFonts w:hint="eastAsia" w:ascii="宋体" w:hAnsi="宋体"/>
          <w:color w:val="auto"/>
          <w:sz w:val="24"/>
          <w:highlight w:val="none"/>
        </w:rPr>
        <w:t>姓    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身份证号：</w:t>
      </w:r>
      <w:r>
        <w:rPr>
          <w:rFonts w:hint="eastAsia" w:ascii="宋体" w:hAnsi="宋体"/>
          <w:color w:val="auto"/>
          <w:sz w:val="24"/>
          <w:highlight w:val="none"/>
          <w:u w:val="single"/>
        </w:rPr>
        <w:t xml:space="preserve">                      </w:t>
      </w:r>
    </w:p>
    <w:p w14:paraId="38FEBB38">
      <w:pPr>
        <w:rPr>
          <w:rFonts w:ascii="宋体" w:hAnsi="宋体"/>
          <w:color w:val="auto"/>
          <w:sz w:val="24"/>
          <w:highlight w:val="none"/>
        </w:rPr>
      </w:pPr>
    </w:p>
    <w:p w14:paraId="24AC74BB">
      <w:pPr>
        <w:ind w:firstLine="720"/>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 xml:space="preserve">                   （投标单位名称)</w:t>
      </w:r>
      <w:r>
        <w:rPr>
          <w:rFonts w:hint="eastAsia" w:ascii="宋体" w:hAnsi="宋体"/>
          <w:color w:val="auto"/>
          <w:sz w:val="24"/>
          <w:highlight w:val="none"/>
        </w:rPr>
        <w:t>的法定代表人或单位负责人。</w:t>
      </w:r>
    </w:p>
    <w:p w14:paraId="3315A3D3">
      <w:pPr>
        <w:rPr>
          <w:rFonts w:ascii="宋体" w:hAnsi="宋体"/>
          <w:color w:val="auto"/>
          <w:sz w:val="24"/>
          <w:highlight w:val="none"/>
        </w:rPr>
      </w:pPr>
    </w:p>
    <w:p w14:paraId="5013C704">
      <w:pPr>
        <w:rPr>
          <w:rFonts w:ascii="宋体" w:hAnsi="宋体"/>
          <w:color w:val="auto"/>
          <w:sz w:val="24"/>
          <w:highlight w:val="none"/>
        </w:rPr>
      </w:pPr>
      <w:r>
        <w:rPr>
          <w:rFonts w:hint="eastAsia" w:ascii="宋体" w:hAnsi="宋体"/>
          <w:color w:val="auto"/>
          <w:sz w:val="24"/>
          <w:highlight w:val="none"/>
        </w:rPr>
        <w:t>特此证明。</w:t>
      </w:r>
    </w:p>
    <w:p w14:paraId="1FD784B7">
      <w:pPr>
        <w:rPr>
          <w:rFonts w:ascii="宋体" w:hAnsi="宋体"/>
          <w:color w:val="auto"/>
          <w:sz w:val="24"/>
          <w:highlight w:val="none"/>
        </w:rPr>
      </w:pPr>
    </w:p>
    <w:p w14:paraId="7A089D5B">
      <w:pPr>
        <w:ind w:firstLine="4440"/>
        <w:rPr>
          <w:rFonts w:ascii="宋体" w:hAnsi="宋体"/>
          <w:color w:val="auto"/>
          <w:sz w:val="24"/>
          <w:highlight w:val="none"/>
          <w:u w:val="single"/>
        </w:rPr>
      </w:pPr>
      <w:r>
        <w:rPr>
          <w:rFonts w:hint="eastAsia" w:ascii="宋体" w:hAnsi="宋体"/>
          <w:color w:val="auto"/>
          <w:sz w:val="24"/>
          <w:highlight w:val="none"/>
        </w:rPr>
        <w:t>投标单位(公章) ：</w:t>
      </w:r>
      <w:r>
        <w:rPr>
          <w:rFonts w:hint="eastAsia" w:ascii="宋体" w:hAnsi="宋体"/>
          <w:color w:val="auto"/>
          <w:sz w:val="24"/>
          <w:highlight w:val="none"/>
          <w:u w:val="single"/>
        </w:rPr>
        <w:t xml:space="preserve">                </w:t>
      </w:r>
    </w:p>
    <w:p w14:paraId="6E1FD629">
      <w:pPr>
        <w:rPr>
          <w:rFonts w:ascii="宋体" w:hAnsi="宋体"/>
          <w:color w:val="auto"/>
          <w:sz w:val="24"/>
          <w:highlight w:val="none"/>
          <w:u w:val="single"/>
        </w:rPr>
      </w:pPr>
    </w:p>
    <w:p w14:paraId="79FC92C0">
      <w:pPr>
        <w:rPr>
          <w:rFonts w:ascii="宋体" w:hAnsi="宋体"/>
          <w:color w:val="auto"/>
          <w:sz w:val="24"/>
          <w:highlight w:val="none"/>
          <w:u w:val="single"/>
        </w:rPr>
      </w:pPr>
    </w:p>
    <w:p w14:paraId="5AFBCD19">
      <w:pPr>
        <w:ind w:firstLine="4440"/>
        <w:rPr>
          <w:rFonts w:ascii="宋体" w:hAnsi="宋体"/>
          <w:color w:val="auto"/>
          <w:sz w:val="24"/>
          <w:highlight w:val="none"/>
        </w:rPr>
      </w:pPr>
      <w:r>
        <w:rPr>
          <w:rFonts w:hint="eastAsia" w:ascii="宋体" w:hAnsi="宋体"/>
          <w:color w:val="auto"/>
          <w:sz w:val="24"/>
          <w:highlight w:val="none"/>
        </w:rPr>
        <w:t>日期：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54EEB82B">
      <w:pPr>
        <w:pStyle w:val="19"/>
        <w:spacing w:before="120" w:after="120" w:line="440" w:lineRule="exact"/>
        <w:ind w:firstLine="2530"/>
        <w:rPr>
          <w:rFonts w:hAnsi="宋体" w:cs="宋体"/>
          <w:b/>
          <w:color w:val="auto"/>
          <w:sz w:val="36"/>
          <w:szCs w:val="36"/>
          <w:highlight w:val="none"/>
        </w:rPr>
      </w:pPr>
      <w:r>
        <w:rPr>
          <w:rFonts w:hint="eastAsia" w:hAnsi="宋体" w:cs="宋体"/>
          <w:b/>
          <w:color w:val="auto"/>
          <w:sz w:val="36"/>
          <w:szCs w:val="36"/>
          <w:highlight w:val="none"/>
        </w:rPr>
        <w:br w:type="page" w:clear="all"/>
      </w:r>
      <w:r>
        <w:rPr>
          <w:rFonts w:hint="eastAsia" w:hAnsi="宋体" w:cs="宋体"/>
          <w:b/>
          <w:color w:val="auto"/>
          <w:sz w:val="36"/>
          <w:szCs w:val="36"/>
          <w:highlight w:val="none"/>
        </w:rPr>
        <w:t>法定代表人授权委托书</w:t>
      </w:r>
    </w:p>
    <w:p w14:paraId="6F843750">
      <w:pPr>
        <w:rPr>
          <w:color w:val="auto"/>
          <w:highlight w:val="none"/>
        </w:rPr>
      </w:pPr>
    </w:p>
    <w:p w14:paraId="10176532">
      <w:pPr>
        <w:rPr>
          <w:color w:val="auto"/>
          <w:highlight w:val="none"/>
        </w:rPr>
      </w:pPr>
    </w:p>
    <w:p w14:paraId="4F000215">
      <w:pPr>
        <w:spacing w:line="500" w:lineRule="exact"/>
        <w:ind w:firstLine="480"/>
        <w:rPr>
          <w:rFonts w:ascii="宋体" w:hAnsi="宋体"/>
          <w:color w:val="auto"/>
          <w:sz w:val="24"/>
          <w:highlight w:val="none"/>
        </w:rPr>
      </w:pPr>
      <w:r>
        <w:rPr>
          <w:rFonts w:hint="eastAsia" w:ascii="宋体" w:hAnsi="宋体"/>
          <w:color w:val="auto"/>
          <w:sz w:val="24"/>
          <w:highlight w:val="none"/>
        </w:rPr>
        <w:t>本授权委托书声明：我</w:t>
      </w:r>
      <w:r>
        <w:rPr>
          <w:rFonts w:hint="eastAsia" w:ascii="宋体" w:hAnsi="宋体"/>
          <w:color w:val="auto"/>
          <w:sz w:val="24"/>
          <w:highlight w:val="none"/>
          <w:u w:val="single"/>
        </w:rPr>
        <w:t>　　　　　</w:t>
      </w:r>
      <w:r>
        <w:rPr>
          <w:rFonts w:hint="eastAsia" w:ascii="宋体" w:hAnsi="宋体"/>
          <w:color w:val="auto"/>
          <w:sz w:val="24"/>
          <w:highlight w:val="none"/>
        </w:rPr>
        <w:t>（姓名）系</w:t>
      </w:r>
      <w:r>
        <w:rPr>
          <w:rFonts w:hint="eastAsia" w:ascii="宋体" w:hAnsi="宋体"/>
          <w:color w:val="auto"/>
          <w:sz w:val="24"/>
          <w:highlight w:val="none"/>
          <w:u w:val="single"/>
        </w:rPr>
        <w:t>　　　　　　</w:t>
      </w:r>
      <w:r>
        <w:rPr>
          <w:rFonts w:hint="eastAsia" w:ascii="宋体" w:hAnsi="宋体"/>
          <w:color w:val="auto"/>
          <w:sz w:val="24"/>
          <w:highlight w:val="none"/>
        </w:rPr>
        <w:t>（投标人名称）的法定代表人或单位负责人，现授权委托</w:t>
      </w:r>
      <w:r>
        <w:rPr>
          <w:rFonts w:hint="eastAsia" w:ascii="宋体" w:hAnsi="宋体"/>
          <w:color w:val="auto"/>
          <w:sz w:val="24"/>
          <w:highlight w:val="none"/>
          <w:u w:val="single"/>
        </w:rPr>
        <w:t>　　　　　　　　　</w:t>
      </w:r>
      <w:r>
        <w:rPr>
          <w:rFonts w:hint="eastAsia" w:ascii="宋体" w:hAnsi="宋体"/>
          <w:color w:val="auto"/>
          <w:sz w:val="24"/>
          <w:highlight w:val="none"/>
        </w:rPr>
        <w:t>（单位名称）</w:t>
      </w:r>
      <w:r>
        <w:rPr>
          <w:rFonts w:hint="eastAsia" w:ascii="宋体" w:hAnsi="宋体"/>
          <w:color w:val="auto"/>
          <w:sz w:val="24"/>
          <w:highlight w:val="none"/>
          <w:u w:val="single"/>
        </w:rPr>
        <w:t>　　　　</w:t>
      </w:r>
      <w:r>
        <w:rPr>
          <w:rFonts w:hint="eastAsia" w:ascii="宋体" w:hAnsi="宋体"/>
          <w:color w:val="auto"/>
          <w:sz w:val="24"/>
          <w:highlight w:val="none"/>
        </w:rPr>
        <w:t>（姓名）为我的代理人，以本公司的名义参加</w:t>
      </w:r>
      <w:r>
        <w:rPr>
          <w:rFonts w:hint="eastAsia" w:ascii="宋体" w:hAnsi="宋体"/>
          <w:color w:val="auto"/>
          <w:sz w:val="24"/>
          <w:highlight w:val="none"/>
          <w:u w:val="single"/>
        </w:rPr>
        <w:t>　　　　　　　　　　　　　　　　　</w:t>
      </w:r>
      <w:r>
        <w:rPr>
          <w:rFonts w:hint="eastAsia" w:ascii="宋体" w:hAnsi="宋体"/>
          <w:color w:val="auto"/>
          <w:sz w:val="24"/>
          <w:highlight w:val="none"/>
        </w:rPr>
        <w:t>的投标活动。代理人在开标、</w:t>
      </w:r>
      <w:r>
        <w:rPr>
          <w:rFonts w:hint="eastAsia" w:ascii="宋体" w:hAnsi="宋体"/>
          <w:color w:val="auto"/>
          <w:sz w:val="24"/>
          <w:highlight w:val="none"/>
          <w:lang w:val="en-US" w:eastAsia="zh-CN"/>
        </w:rPr>
        <w:t>评</w:t>
      </w:r>
      <w:r>
        <w:rPr>
          <w:rFonts w:hint="eastAsia" w:ascii="宋体" w:hAnsi="宋体"/>
          <w:color w:val="auto"/>
          <w:sz w:val="24"/>
          <w:highlight w:val="none"/>
        </w:rPr>
        <w:t>标、合同谈判等过程中所签署的一切文件和处理与之有关的一切事务，我均予以承认。</w:t>
      </w:r>
    </w:p>
    <w:p w14:paraId="01742DD2">
      <w:pPr>
        <w:spacing w:line="500" w:lineRule="exact"/>
        <w:rPr>
          <w:rFonts w:ascii="宋体" w:hAnsi="宋体"/>
          <w:color w:val="auto"/>
          <w:sz w:val="24"/>
          <w:highlight w:val="none"/>
        </w:rPr>
      </w:pPr>
    </w:p>
    <w:p w14:paraId="53C0BD39">
      <w:pPr>
        <w:spacing w:line="500" w:lineRule="exact"/>
        <w:ind w:firstLine="480"/>
        <w:rPr>
          <w:rFonts w:ascii="宋体" w:hAnsi="宋体"/>
          <w:color w:val="auto"/>
          <w:sz w:val="24"/>
          <w:highlight w:val="none"/>
        </w:rPr>
      </w:pPr>
      <w:r>
        <w:rPr>
          <w:rFonts w:hint="eastAsia" w:ascii="宋体" w:hAnsi="宋体"/>
          <w:color w:val="auto"/>
          <w:sz w:val="24"/>
          <w:highlight w:val="none"/>
        </w:rPr>
        <w:t>代理人无转委权，特此委托。</w:t>
      </w:r>
    </w:p>
    <w:p w14:paraId="00D2A7E9">
      <w:pPr>
        <w:spacing w:line="500" w:lineRule="exact"/>
        <w:rPr>
          <w:rFonts w:ascii="宋体" w:hAnsi="宋体"/>
          <w:color w:val="auto"/>
          <w:sz w:val="24"/>
          <w:highlight w:val="none"/>
        </w:rPr>
      </w:pPr>
    </w:p>
    <w:p w14:paraId="4032B22D">
      <w:pPr>
        <w:spacing w:line="500" w:lineRule="exact"/>
        <w:ind w:firstLine="480"/>
        <w:jc w:val="left"/>
        <w:rPr>
          <w:rFonts w:ascii="宋体" w:hAnsi="宋体"/>
          <w:color w:val="auto"/>
          <w:sz w:val="24"/>
          <w:highlight w:val="none"/>
        </w:rPr>
      </w:pPr>
      <w:r>
        <w:rPr>
          <w:rFonts w:hint="eastAsia" w:ascii="宋体" w:hAnsi="宋体"/>
          <w:color w:val="auto"/>
          <w:sz w:val="24"/>
          <w:highlight w:val="none"/>
        </w:rPr>
        <w:t>代理人：　　　　      代理人联系电话（手机号）：　　     　　</w:t>
      </w:r>
    </w:p>
    <w:p w14:paraId="7800E39F">
      <w:pPr>
        <w:spacing w:line="500" w:lineRule="exact"/>
        <w:ind w:firstLine="480"/>
        <w:jc w:val="left"/>
        <w:rPr>
          <w:rFonts w:ascii="宋体" w:hAnsi="宋体"/>
          <w:color w:val="auto"/>
          <w:sz w:val="24"/>
          <w:highlight w:val="none"/>
        </w:rPr>
      </w:pPr>
    </w:p>
    <w:p w14:paraId="5DC8BBCA">
      <w:pPr>
        <w:spacing w:line="500" w:lineRule="exact"/>
        <w:ind w:firstLine="480"/>
        <w:jc w:val="left"/>
        <w:rPr>
          <w:rFonts w:ascii="宋体" w:hAnsi="宋体"/>
          <w:color w:val="auto"/>
          <w:sz w:val="24"/>
          <w:highlight w:val="none"/>
        </w:rPr>
      </w:pPr>
      <w:r>
        <w:rPr>
          <w:rFonts w:hint="eastAsia" w:ascii="宋体" w:hAnsi="宋体"/>
          <w:color w:val="auto"/>
          <w:sz w:val="24"/>
          <w:highlight w:val="none"/>
        </w:rPr>
        <w:t>投标人(法人印章)：</w:t>
      </w:r>
    </w:p>
    <w:p w14:paraId="563CE808">
      <w:pPr>
        <w:spacing w:line="500" w:lineRule="exact"/>
        <w:ind w:firstLine="480"/>
        <w:jc w:val="left"/>
        <w:rPr>
          <w:rFonts w:ascii="宋体" w:hAnsi="宋体"/>
          <w:color w:val="auto"/>
          <w:sz w:val="24"/>
          <w:highlight w:val="none"/>
        </w:rPr>
      </w:pPr>
    </w:p>
    <w:p w14:paraId="440DC895">
      <w:pPr>
        <w:spacing w:line="500" w:lineRule="exact"/>
        <w:ind w:firstLine="480"/>
        <w:jc w:val="left"/>
        <w:rPr>
          <w:rFonts w:ascii="宋体" w:hAnsi="宋体"/>
          <w:color w:val="auto"/>
          <w:sz w:val="24"/>
          <w:highlight w:val="none"/>
        </w:rPr>
      </w:pPr>
      <w:r>
        <w:rPr>
          <w:rFonts w:hint="eastAsia" w:ascii="宋体" w:hAnsi="宋体"/>
          <w:color w:val="auto"/>
          <w:sz w:val="24"/>
          <w:highlight w:val="none"/>
        </w:rPr>
        <w:t>法定代表人(印章或签字)：</w:t>
      </w:r>
    </w:p>
    <w:p w14:paraId="51C6875F">
      <w:pPr>
        <w:rPr>
          <w:rFonts w:ascii="宋体" w:hAnsi="宋体"/>
          <w:color w:val="auto"/>
          <w:sz w:val="24"/>
          <w:highlight w:val="none"/>
        </w:rPr>
      </w:pPr>
    </w:p>
    <w:p w14:paraId="1F7E55BB">
      <w:pPr>
        <w:spacing w:after="161" w:line="480" w:lineRule="exact"/>
        <w:jc w:val="right"/>
        <w:rPr>
          <w:rFonts w:ascii="宋体" w:hAnsi="宋体"/>
          <w:color w:val="auto"/>
          <w:sz w:val="24"/>
          <w:highlight w:val="none"/>
        </w:rPr>
      </w:pPr>
      <w:r>
        <w:rPr>
          <w:rFonts w:hint="eastAsia" w:ascii="宋体" w:hAnsi="宋体"/>
          <w:color w:val="auto"/>
          <w:sz w:val="24"/>
          <w:highlight w:val="none"/>
        </w:rPr>
        <w:t>日期：</w:t>
      </w:r>
      <w:r>
        <w:rPr>
          <w:rFonts w:hint="eastAsia" w:ascii="宋体" w:hAnsi="宋体"/>
          <w:bCs/>
          <w:color w:val="auto"/>
          <w:sz w:val="24"/>
          <w:highlight w:val="none"/>
        </w:rPr>
        <w:t xml:space="preserve">年  </w:t>
      </w:r>
      <w:r>
        <w:rPr>
          <w:rFonts w:ascii="宋体" w:hAnsi="宋体"/>
          <w:bCs/>
          <w:color w:val="auto"/>
          <w:sz w:val="24"/>
          <w:highlight w:val="none"/>
        </w:rPr>
        <w:t xml:space="preserve">  </w:t>
      </w:r>
      <w:r>
        <w:rPr>
          <w:rFonts w:hint="eastAsia" w:ascii="宋体" w:hAnsi="宋体"/>
          <w:bCs/>
          <w:color w:val="auto"/>
          <w:sz w:val="24"/>
          <w:highlight w:val="none"/>
        </w:rPr>
        <w:t>月   日</w:t>
      </w:r>
    </w:p>
    <w:p w14:paraId="74D8DFC0">
      <w:pPr>
        <w:rPr>
          <w:rFonts w:ascii="宋体" w:hAnsi="宋体"/>
          <w:color w:val="auto"/>
          <w:sz w:val="24"/>
          <w:highlight w:val="none"/>
        </w:rPr>
      </w:pPr>
      <w:r>
        <w:rPr>
          <w:rFonts w:hint="eastAsia" w:ascii="宋体" w:hAnsi="宋体"/>
          <w:color w:val="auto"/>
          <w:sz w:val="24"/>
          <w:highlight w:val="none"/>
        </w:rPr>
        <w:t>附：</w:t>
      </w:r>
    </w:p>
    <w:tbl>
      <w:tblPr>
        <w:tblStyle w:val="36"/>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3"/>
      </w:tblGrid>
      <w:tr w14:paraId="0A18E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0" w:hRule="atLeast"/>
        </w:trPr>
        <w:tc>
          <w:tcPr>
            <w:tcW w:w="7893" w:type="dxa"/>
            <w:noWrap w:val="0"/>
            <w:vAlign w:val="center"/>
          </w:tcPr>
          <w:p w14:paraId="00C76325">
            <w:pPr>
              <w:rPr>
                <w:rFonts w:ascii="宋体" w:hAnsi="宋体"/>
                <w:color w:val="auto"/>
                <w:sz w:val="24"/>
                <w:highlight w:val="none"/>
              </w:rPr>
            </w:pPr>
            <w:r>
              <w:rPr>
                <w:rFonts w:hint="eastAsia" w:ascii="宋体" w:hAnsi="宋体"/>
                <w:color w:val="auto"/>
                <w:sz w:val="24"/>
                <w:highlight w:val="none"/>
              </w:rPr>
              <w:t>（代理人身份证</w:t>
            </w:r>
            <w:r>
              <w:rPr>
                <w:rFonts w:hint="eastAsia" w:ascii="宋体" w:hAnsi="宋体"/>
                <w:color w:val="auto"/>
                <w:sz w:val="24"/>
                <w:highlight w:val="none"/>
                <w:lang w:val="en-US" w:eastAsia="zh-CN"/>
              </w:rPr>
              <w:t>扫描件</w:t>
            </w:r>
            <w:r>
              <w:rPr>
                <w:rFonts w:hint="eastAsia" w:ascii="宋体" w:hAnsi="宋体"/>
                <w:color w:val="auto"/>
                <w:sz w:val="24"/>
                <w:highlight w:val="none"/>
              </w:rPr>
              <w:t>粘贴处）</w:t>
            </w:r>
          </w:p>
        </w:tc>
      </w:tr>
    </w:tbl>
    <w:p w14:paraId="0BEB7C57">
      <w:pPr>
        <w:spacing w:before="50" w:after="50"/>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r>
        <w:rPr>
          <w:rFonts w:hint="eastAsia" w:ascii="黑体" w:hAnsi="黑体" w:eastAsia="黑体" w:cs="黑体"/>
          <w:b/>
          <w:color w:val="auto"/>
          <w:sz w:val="36"/>
          <w:szCs w:val="36"/>
          <w:highlight w:val="none"/>
        </w:rPr>
        <w:br w:type="page" w:clear="all"/>
      </w:r>
    </w:p>
    <w:p w14:paraId="27D3FAAF">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val="en-US" w:eastAsia="zh-CN"/>
        </w:rPr>
        <w:t>（九）</w:t>
      </w:r>
      <w:r>
        <w:rPr>
          <w:rFonts w:hint="eastAsia" w:ascii="黑体" w:hAnsi="黑体" w:eastAsia="黑体" w:cs="黑体"/>
          <w:b/>
          <w:color w:val="auto"/>
          <w:sz w:val="36"/>
          <w:szCs w:val="36"/>
          <w:highlight w:val="none"/>
        </w:rPr>
        <w:t>投标函</w:t>
      </w:r>
    </w:p>
    <w:p w14:paraId="5D5D5C51">
      <w:pPr>
        <w:pStyle w:val="19"/>
        <w:spacing w:before="120" w:after="120" w:line="440" w:lineRule="exact"/>
        <w:rPr>
          <w:rFonts w:hAnsi="宋体"/>
          <w:color w:val="auto"/>
          <w:sz w:val="24"/>
          <w:highlight w:val="none"/>
          <w:u w:val="single"/>
        </w:rPr>
      </w:pPr>
      <w:r>
        <w:rPr>
          <w:rFonts w:hint="eastAsia" w:hAnsi="宋体"/>
          <w:color w:val="auto"/>
          <w:sz w:val="24"/>
          <w:highlight w:val="none"/>
        </w:rPr>
        <w:t>采购人：</w:t>
      </w:r>
      <w:r>
        <w:rPr>
          <w:rFonts w:hint="eastAsia" w:hAnsi="宋体"/>
          <w:b/>
          <w:bCs/>
          <w:color w:val="auto"/>
          <w:sz w:val="24"/>
          <w:highlight w:val="none"/>
          <w:u w:val="single"/>
        </w:rPr>
        <w:t xml:space="preserve"> </w:t>
      </w:r>
      <w:r>
        <w:rPr>
          <w:rFonts w:hAnsi="宋体"/>
          <w:b/>
          <w:bCs/>
          <w:color w:val="auto"/>
          <w:sz w:val="24"/>
          <w:highlight w:val="none"/>
          <w:u w:val="single"/>
        </w:rPr>
        <w:t xml:space="preserve">                      </w:t>
      </w:r>
    </w:p>
    <w:p w14:paraId="5E65A77A">
      <w:pPr>
        <w:pStyle w:val="191"/>
        <w:spacing w:before="0" w:after="0" w:line="420" w:lineRule="exact"/>
        <w:rPr>
          <w:rFonts w:ascii="宋体" w:hAnsi="宋体"/>
          <w:color w:val="auto"/>
          <w:szCs w:val="21"/>
          <w:highlight w:val="none"/>
        </w:rPr>
      </w:pPr>
      <w:r>
        <w:rPr>
          <w:rFonts w:hint="eastAsia" w:ascii="宋体" w:hAnsi="宋体"/>
          <w:color w:val="auto"/>
          <w:szCs w:val="21"/>
          <w:highlight w:val="none"/>
        </w:rPr>
        <w:t>根据贵方的</w:t>
      </w:r>
      <w:r>
        <w:rPr>
          <w:rFonts w:hint="eastAsia" w:ascii="宋体" w:hAnsi="宋体"/>
          <w:b/>
          <w:color w:val="auto"/>
          <w:sz w:val="36"/>
          <w:highlight w:val="none"/>
          <w:u w:val="single"/>
        </w:rPr>
        <w:t xml:space="preserve">           </w:t>
      </w:r>
      <w:r>
        <w:rPr>
          <w:rFonts w:hint="eastAsia" w:ascii="宋体" w:hAnsi="宋体"/>
          <w:color w:val="auto"/>
          <w:szCs w:val="21"/>
          <w:highlight w:val="none"/>
        </w:rPr>
        <w:t>号招标文件，正式授权下述签字人____________(姓名)代表我方______________（投标人的名称），全权处理本次项目投标的有关事宜。</w:t>
      </w:r>
    </w:p>
    <w:p w14:paraId="33C2F955">
      <w:pPr>
        <w:pStyle w:val="191"/>
        <w:spacing w:before="0" w:after="0" w:line="420" w:lineRule="exact"/>
        <w:rPr>
          <w:rFonts w:ascii="宋体" w:hAnsi="宋体"/>
          <w:color w:val="auto"/>
          <w:szCs w:val="21"/>
          <w:highlight w:val="none"/>
        </w:rPr>
      </w:pPr>
      <w:r>
        <w:rPr>
          <w:rFonts w:hint="eastAsia" w:ascii="宋体" w:hAnsi="宋体"/>
          <w:color w:val="auto"/>
          <w:szCs w:val="21"/>
          <w:highlight w:val="none"/>
        </w:rPr>
        <w:t>据此函，__________签字人兹宣布同意如下：</w:t>
      </w:r>
    </w:p>
    <w:p w14:paraId="2E3A6C1B">
      <w:pPr>
        <w:pStyle w:val="191"/>
        <w:spacing w:before="0" w:after="0" w:line="420" w:lineRule="exact"/>
        <w:rPr>
          <w:rFonts w:ascii="宋体" w:hAnsi="宋体"/>
          <w:color w:val="auto"/>
          <w:szCs w:val="21"/>
          <w:highlight w:val="none"/>
        </w:rPr>
      </w:pPr>
      <w:r>
        <w:rPr>
          <w:rFonts w:hint="eastAsia" w:ascii="宋体" w:hAnsi="宋体"/>
          <w:color w:val="auto"/>
          <w:szCs w:val="21"/>
          <w:highlight w:val="none"/>
        </w:rPr>
        <w:t>1.按招标文件规定的各项要求，向买方提供所需货物与服务。</w:t>
      </w:r>
    </w:p>
    <w:p w14:paraId="14998937">
      <w:pPr>
        <w:pStyle w:val="191"/>
        <w:spacing w:before="0" w:after="0" w:line="420" w:lineRule="exact"/>
        <w:rPr>
          <w:rFonts w:ascii="宋体" w:hAnsi="宋体"/>
          <w:color w:val="auto"/>
          <w:szCs w:val="21"/>
          <w:highlight w:val="none"/>
        </w:rPr>
      </w:pPr>
      <w:r>
        <w:rPr>
          <w:rFonts w:hint="eastAsia" w:ascii="宋体" w:hAnsi="宋体"/>
          <w:color w:val="auto"/>
          <w:szCs w:val="21"/>
          <w:highlight w:val="none"/>
        </w:rPr>
        <w:t>2.我们完全理解贵方不一定将合同授予最低报价的投标人。</w:t>
      </w:r>
    </w:p>
    <w:p w14:paraId="4CFE2D7C">
      <w:pPr>
        <w:pStyle w:val="191"/>
        <w:spacing w:before="0" w:after="0" w:line="420" w:lineRule="exact"/>
        <w:rPr>
          <w:rFonts w:ascii="宋体" w:hAnsi="宋体"/>
          <w:color w:val="auto"/>
          <w:szCs w:val="21"/>
          <w:highlight w:val="none"/>
        </w:rPr>
      </w:pPr>
      <w:r>
        <w:rPr>
          <w:rFonts w:hint="eastAsia" w:ascii="宋体" w:hAnsi="宋体"/>
          <w:color w:val="auto"/>
          <w:szCs w:val="21"/>
          <w:highlight w:val="none"/>
        </w:rPr>
        <w:t>3.我们已详细审核全部招标文件及其有效补充文件，我们知道必须放弃提出含糊不清或误解问题的权利。</w:t>
      </w:r>
    </w:p>
    <w:p w14:paraId="6AF7F87F">
      <w:pPr>
        <w:pStyle w:val="191"/>
        <w:spacing w:before="0" w:after="0" w:line="420" w:lineRule="exact"/>
        <w:rPr>
          <w:rFonts w:ascii="宋体" w:hAnsi="宋体"/>
          <w:color w:val="auto"/>
          <w:szCs w:val="21"/>
          <w:highlight w:val="none"/>
        </w:rPr>
      </w:pPr>
      <w:r>
        <w:rPr>
          <w:rFonts w:hint="eastAsia" w:ascii="宋体" w:hAnsi="宋体"/>
          <w:color w:val="auto"/>
          <w:szCs w:val="21"/>
          <w:highlight w:val="none"/>
        </w:rPr>
        <w:t>4.我们同意从规定的开标日期起遵循本投标文件，并在规定的投标有效期期满之前均具有约束力。</w:t>
      </w:r>
    </w:p>
    <w:p w14:paraId="15568C34">
      <w:pPr>
        <w:pStyle w:val="191"/>
        <w:spacing w:before="0" w:after="0" w:line="420" w:lineRule="exact"/>
        <w:rPr>
          <w:rFonts w:ascii="宋体" w:hAnsi="宋体"/>
          <w:color w:val="auto"/>
          <w:szCs w:val="21"/>
          <w:highlight w:val="none"/>
        </w:rPr>
      </w:pPr>
      <w:r>
        <w:rPr>
          <w:rFonts w:hint="eastAsia" w:ascii="宋体" w:hAnsi="宋体"/>
          <w:color w:val="auto"/>
          <w:szCs w:val="21"/>
          <w:highlight w:val="none"/>
        </w:rPr>
        <w:t>5.如果在开标后规定的投标有效期内撤回投标或中标后拒绝签订合同，则按照国家相关法律法规受到相应处罚。</w:t>
      </w:r>
    </w:p>
    <w:p w14:paraId="71A9260A">
      <w:pPr>
        <w:pStyle w:val="191"/>
        <w:spacing w:before="0" w:after="0" w:line="420" w:lineRule="exact"/>
        <w:rPr>
          <w:rFonts w:ascii="宋体" w:hAnsi="宋体"/>
          <w:color w:val="auto"/>
          <w:szCs w:val="21"/>
          <w:highlight w:val="none"/>
        </w:rPr>
      </w:pPr>
      <w:r>
        <w:rPr>
          <w:rFonts w:hint="eastAsia" w:ascii="宋体" w:hAnsi="宋体"/>
          <w:color w:val="auto"/>
          <w:szCs w:val="21"/>
          <w:highlight w:val="none"/>
        </w:rPr>
        <w:t>6.同意向贵方提供贵方可能另外要求的与投标有关的任何证据或资料，并保证我方已提供和将要提供的文件是真实的、准确的。</w:t>
      </w:r>
    </w:p>
    <w:p w14:paraId="4C18FAD6">
      <w:pPr>
        <w:pStyle w:val="191"/>
        <w:spacing w:before="0" w:after="0" w:line="420" w:lineRule="exact"/>
        <w:rPr>
          <w:rFonts w:ascii="宋体" w:hAnsi="宋体"/>
          <w:color w:val="auto"/>
          <w:szCs w:val="21"/>
          <w:highlight w:val="none"/>
        </w:rPr>
      </w:pPr>
      <w:r>
        <w:rPr>
          <w:rFonts w:hint="eastAsia" w:ascii="宋体" w:hAnsi="宋体"/>
          <w:color w:val="auto"/>
          <w:szCs w:val="21"/>
          <w:highlight w:val="none"/>
        </w:rPr>
        <w:t>7.一旦我方中标,我方将根据招标文件的规定，严格履行合同的责任和义务,并保证在招标文件规定的时间完成项目，交付买方验收、使用。</w:t>
      </w:r>
    </w:p>
    <w:p w14:paraId="5DFDB85D">
      <w:pPr>
        <w:pStyle w:val="191"/>
        <w:spacing w:before="0" w:after="0" w:line="420" w:lineRule="exact"/>
        <w:ind w:left="425" w:firstLine="0"/>
        <w:rPr>
          <w:rFonts w:ascii="宋体" w:hAnsi="宋体"/>
          <w:color w:val="auto"/>
          <w:szCs w:val="21"/>
          <w:highlight w:val="none"/>
        </w:rPr>
      </w:pPr>
      <w:r>
        <w:rPr>
          <w:rFonts w:hint="eastAsia" w:ascii="宋体" w:hAnsi="宋体"/>
          <w:color w:val="auto"/>
          <w:szCs w:val="21"/>
          <w:highlight w:val="none"/>
        </w:rPr>
        <w:t>8.与本投标有关的正式通讯地址为：</w:t>
      </w:r>
    </w:p>
    <w:p w14:paraId="46AEBE89">
      <w:pPr>
        <w:pStyle w:val="191"/>
        <w:spacing w:before="0" w:after="0" w:line="420" w:lineRule="exact"/>
        <w:ind w:left="420"/>
        <w:rPr>
          <w:rFonts w:ascii="宋体" w:hAnsi="宋体"/>
          <w:color w:val="auto"/>
          <w:szCs w:val="21"/>
          <w:highlight w:val="none"/>
        </w:rPr>
      </w:pPr>
      <w:r>
        <w:rPr>
          <w:rFonts w:hint="eastAsia" w:ascii="宋体" w:hAnsi="宋体"/>
          <w:color w:val="auto"/>
          <w:szCs w:val="21"/>
          <w:highlight w:val="none"/>
        </w:rPr>
        <w:t>地          址：</w:t>
      </w:r>
    </w:p>
    <w:p w14:paraId="2B5F0E40">
      <w:pPr>
        <w:pStyle w:val="191"/>
        <w:spacing w:before="0" w:after="0" w:line="420" w:lineRule="exact"/>
        <w:ind w:left="420"/>
        <w:rPr>
          <w:rFonts w:ascii="宋体" w:hAnsi="宋体"/>
          <w:color w:val="auto"/>
          <w:szCs w:val="21"/>
          <w:highlight w:val="none"/>
        </w:rPr>
      </w:pPr>
      <w:r>
        <w:rPr>
          <w:rFonts w:hint="eastAsia" w:ascii="宋体" w:hAnsi="宋体"/>
          <w:color w:val="auto"/>
          <w:szCs w:val="21"/>
          <w:highlight w:val="none"/>
        </w:rPr>
        <w:t>邮          编：</w:t>
      </w:r>
    </w:p>
    <w:p w14:paraId="1385AE5B">
      <w:pPr>
        <w:pStyle w:val="191"/>
        <w:spacing w:before="0" w:after="0" w:line="420" w:lineRule="exact"/>
        <w:ind w:left="420"/>
        <w:rPr>
          <w:rFonts w:ascii="宋体" w:hAnsi="宋体"/>
          <w:color w:val="auto"/>
          <w:szCs w:val="21"/>
          <w:highlight w:val="none"/>
        </w:rPr>
      </w:pPr>
      <w:r>
        <w:rPr>
          <w:rFonts w:hint="eastAsia" w:ascii="宋体" w:hAnsi="宋体"/>
          <w:color w:val="auto"/>
          <w:szCs w:val="21"/>
          <w:highlight w:val="none"/>
        </w:rPr>
        <w:t>电          话：</w:t>
      </w:r>
    </w:p>
    <w:p w14:paraId="7738EA91">
      <w:pPr>
        <w:pStyle w:val="191"/>
        <w:spacing w:before="0" w:after="0" w:line="420" w:lineRule="exact"/>
        <w:ind w:left="420"/>
        <w:rPr>
          <w:rFonts w:ascii="宋体" w:hAnsi="宋体"/>
          <w:color w:val="auto"/>
          <w:szCs w:val="21"/>
          <w:highlight w:val="none"/>
        </w:rPr>
      </w:pPr>
      <w:r>
        <w:rPr>
          <w:rFonts w:hint="eastAsia" w:ascii="宋体" w:hAnsi="宋体"/>
          <w:color w:val="auto"/>
          <w:szCs w:val="21"/>
          <w:highlight w:val="none"/>
        </w:rPr>
        <w:t>传          真：</w:t>
      </w:r>
    </w:p>
    <w:p w14:paraId="2969BD6E">
      <w:pPr>
        <w:pStyle w:val="191"/>
        <w:spacing w:before="0" w:after="0" w:line="420" w:lineRule="exact"/>
        <w:ind w:left="420"/>
        <w:rPr>
          <w:rFonts w:ascii="宋体" w:hAnsi="宋体"/>
          <w:color w:val="auto"/>
          <w:szCs w:val="21"/>
          <w:highlight w:val="none"/>
        </w:rPr>
      </w:pPr>
      <w:r>
        <w:rPr>
          <w:rFonts w:hint="eastAsia" w:ascii="宋体" w:hAnsi="宋体"/>
          <w:color w:val="auto"/>
          <w:szCs w:val="21"/>
          <w:highlight w:val="none"/>
        </w:rPr>
        <w:t>投标人开户行：</w:t>
      </w:r>
    </w:p>
    <w:p w14:paraId="36FDA1A4">
      <w:pPr>
        <w:pStyle w:val="191"/>
        <w:spacing w:before="0" w:after="0" w:line="420" w:lineRule="exact"/>
        <w:ind w:left="420"/>
        <w:rPr>
          <w:rFonts w:ascii="宋体" w:hAnsi="宋体"/>
          <w:color w:val="auto"/>
          <w:szCs w:val="21"/>
          <w:highlight w:val="none"/>
        </w:rPr>
      </w:pPr>
      <w:r>
        <w:rPr>
          <w:rFonts w:hint="eastAsia" w:ascii="宋体" w:hAnsi="宋体"/>
          <w:color w:val="auto"/>
          <w:szCs w:val="21"/>
          <w:highlight w:val="none"/>
        </w:rPr>
        <w:t xml:space="preserve">账          户： </w:t>
      </w:r>
    </w:p>
    <w:p w14:paraId="6EFDF5F5">
      <w:pPr>
        <w:pStyle w:val="191"/>
        <w:spacing w:before="0" w:after="0" w:line="420" w:lineRule="exact"/>
        <w:ind w:left="420"/>
        <w:rPr>
          <w:rFonts w:ascii="宋体" w:hAnsi="宋体"/>
          <w:color w:val="auto"/>
          <w:szCs w:val="21"/>
          <w:highlight w:val="none"/>
        </w:rPr>
      </w:pPr>
      <w:r>
        <w:rPr>
          <w:rFonts w:hint="eastAsia" w:ascii="宋体" w:hAnsi="宋体"/>
          <w:color w:val="auto"/>
          <w:szCs w:val="21"/>
          <w:highlight w:val="none"/>
        </w:rPr>
        <w:t xml:space="preserve">投标人授权代表姓名（签字）： </w:t>
      </w:r>
    </w:p>
    <w:p w14:paraId="2E6045EF">
      <w:pPr>
        <w:pStyle w:val="191"/>
        <w:spacing w:before="0" w:after="0" w:line="420" w:lineRule="exact"/>
        <w:ind w:left="420"/>
        <w:rPr>
          <w:rFonts w:ascii="宋体" w:hAnsi="宋体"/>
          <w:color w:val="auto"/>
          <w:szCs w:val="21"/>
          <w:highlight w:val="none"/>
        </w:rPr>
      </w:pPr>
      <w:r>
        <w:rPr>
          <w:rFonts w:hint="eastAsia" w:ascii="宋体" w:hAnsi="宋体"/>
          <w:color w:val="auto"/>
          <w:szCs w:val="21"/>
          <w:highlight w:val="none"/>
        </w:rPr>
        <w:t xml:space="preserve">投标人名称（公章）： </w:t>
      </w:r>
    </w:p>
    <w:p w14:paraId="4871B8B0">
      <w:pPr>
        <w:pStyle w:val="191"/>
        <w:spacing w:before="0" w:after="0" w:line="420" w:lineRule="exact"/>
        <w:ind w:left="420"/>
        <w:rPr>
          <w:rFonts w:ascii="宋体" w:hAnsi="宋体"/>
          <w:color w:val="auto"/>
          <w:szCs w:val="21"/>
          <w:highlight w:val="none"/>
        </w:rPr>
      </w:pPr>
      <w:r>
        <w:rPr>
          <w:rFonts w:hint="eastAsia" w:ascii="宋体" w:hAnsi="宋体"/>
          <w:color w:val="auto"/>
          <w:szCs w:val="21"/>
          <w:highlight w:val="none"/>
        </w:rPr>
        <w:t>日           期：________年____月____日</w:t>
      </w:r>
    </w:p>
    <w:p w14:paraId="1E32FE84">
      <w:pPr>
        <w:jc w:val="center"/>
        <w:rPr>
          <w:rFonts w:ascii="黑体" w:hAnsi="黑体" w:eastAsia="黑体" w:cs="黑体"/>
          <w:b/>
          <w:color w:val="auto"/>
          <w:sz w:val="36"/>
          <w:szCs w:val="36"/>
          <w:highlight w:val="none"/>
        </w:rPr>
      </w:pPr>
    </w:p>
    <w:p w14:paraId="49AD4BAF">
      <w:pPr>
        <w:spacing w:before="50" w:after="50"/>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3837C38D">
      <w:pPr>
        <w:widowControl/>
        <w:spacing w:line="500" w:lineRule="exact"/>
        <w:jc w:val="center"/>
        <w:rPr>
          <w:rFonts w:hint="eastAsia" w:ascii="黑体" w:hAnsi="黑体" w:eastAsia="黑体" w:cs="黑体"/>
          <w:b/>
          <w:color w:val="auto"/>
          <w:sz w:val="36"/>
          <w:szCs w:val="36"/>
          <w:highlight w:val="none"/>
          <w:lang w:eastAsia="zh-CN"/>
        </w:rPr>
      </w:pPr>
      <w:r>
        <w:rPr>
          <w:rFonts w:hint="eastAsia" w:ascii="黑体" w:hAnsi="黑体" w:eastAsia="黑体" w:cs="黑体"/>
          <w:b/>
          <w:color w:val="auto"/>
          <w:sz w:val="36"/>
          <w:szCs w:val="36"/>
          <w:highlight w:val="none"/>
          <w:lang w:eastAsia="zh-CN"/>
        </w:rPr>
        <w:t>（</w:t>
      </w:r>
      <w:r>
        <w:rPr>
          <w:rFonts w:hint="eastAsia" w:ascii="黑体" w:hAnsi="黑体" w:eastAsia="黑体" w:cs="黑体"/>
          <w:b/>
          <w:color w:val="auto"/>
          <w:sz w:val="36"/>
          <w:szCs w:val="36"/>
          <w:highlight w:val="none"/>
          <w:lang w:val="en-US" w:eastAsia="zh-CN"/>
        </w:rPr>
        <w:t>十</w:t>
      </w:r>
      <w:r>
        <w:rPr>
          <w:rFonts w:hint="eastAsia" w:ascii="黑体" w:hAnsi="黑体" w:eastAsia="黑体" w:cs="黑体"/>
          <w:b/>
          <w:color w:val="auto"/>
          <w:sz w:val="36"/>
          <w:szCs w:val="36"/>
          <w:highlight w:val="none"/>
          <w:lang w:eastAsia="zh-CN"/>
        </w:rPr>
        <w:t>）中小企业声明函（服务）</w:t>
      </w:r>
    </w:p>
    <w:p w14:paraId="0AD436F7">
      <w:pPr>
        <w:spacing w:line="560" w:lineRule="exact"/>
        <w:rPr>
          <w:rFonts w:ascii="宋体" w:hAnsi="宋体"/>
          <w:b/>
          <w:bCs/>
          <w:color w:val="auto"/>
          <w:sz w:val="28"/>
          <w:szCs w:val="28"/>
          <w:highlight w:val="none"/>
        </w:rPr>
      </w:pPr>
    </w:p>
    <w:p w14:paraId="37E7C085">
      <w:pPr>
        <w:widowControl/>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BA60694">
      <w:pPr>
        <w:widowControl/>
        <w:numPr>
          <w:ilvl w:val="0"/>
          <w:numId w:val="7"/>
        </w:numPr>
        <w:ind w:firstLine="480"/>
        <w:jc w:val="left"/>
        <w:rPr>
          <w:rFonts w:ascii="宋体" w:hAnsi="宋体" w:cs="宋体"/>
          <w:color w:val="auto"/>
          <w:sz w:val="24"/>
          <w:szCs w:val="24"/>
          <w:highlight w:val="none"/>
        </w:rPr>
      </w:pP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，属于</w:t>
      </w:r>
      <w:r>
        <w:rPr>
          <w:rFonts w:hint="eastAsia" w:ascii="宋体" w:hAnsi="宋体" w:cs="宋体"/>
          <w:i/>
          <w:iCs/>
          <w:color w:val="auto"/>
          <w:sz w:val="24"/>
          <w:szCs w:val="24"/>
          <w:highlight w:val="none"/>
          <w:u w:val="single"/>
        </w:rPr>
        <w:t>其他未列明</w:t>
      </w:r>
      <w:r>
        <w:rPr>
          <w:rFonts w:hint="eastAsia" w:ascii="宋体" w:hAnsi="宋体" w:cs="宋体"/>
          <w:color w:val="auto"/>
          <w:sz w:val="24"/>
          <w:szCs w:val="24"/>
          <w:highlight w:val="none"/>
        </w:rPr>
        <w:t>行业；承接（承接）企业为</w:t>
      </w:r>
      <w:r>
        <w:rPr>
          <w:rFonts w:hint="eastAsia" w:ascii="宋体" w:hAnsi="宋体" w:cs="宋体"/>
          <w:i/>
          <w:iCs/>
          <w:color w:val="auto"/>
          <w:sz w:val="24"/>
          <w:szCs w:val="24"/>
          <w:highlight w:val="none"/>
          <w:u w:val="single"/>
        </w:rPr>
        <w:t>（企业名称）</w:t>
      </w:r>
      <w:r>
        <w:rPr>
          <w:rFonts w:hint="eastAsia" w:ascii="宋体" w:hAnsi="宋体" w:cs="宋体"/>
          <w:color w:val="auto"/>
          <w:sz w:val="24"/>
          <w:szCs w:val="24"/>
          <w:highlight w:val="none"/>
        </w:rPr>
        <w:t>，从业人员</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人，营业收入为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万元，资产总额为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万元，属于</w:t>
      </w:r>
      <w:r>
        <w:rPr>
          <w:rFonts w:hint="eastAsia" w:ascii="宋体" w:hAnsi="宋体" w:cs="宋体"/>
          <w:i/>
          <w:iCs/>
          <w:color w:val="auto"/>
          <w:sz w:val="24"/>
          <w:szCs w:val="24"/>
          <w:highlight w:val="none"/>
          <w:u w:val="single"/>
        </w:rPr>
        <w:t>（中型企业、小型企业、微型企业）</w:t>
      </w:r>
      <w:r>
        <w:rPr>
          <w:rFonts w:hint="eastAsia" w:ascii="宋体" w:hAnsi="宋体" w:cs="宋体"/>
          <w:color w:val="auto"/>
          <w:sz w:val="24"/>
          <w:szCs w:val="24"/>
          <w:highlight w:val="none"/>
        </w:rPr>
        <w:t>；</w:t>
      </w:r>
    </w:p>
    <w:p w14:paraId="6E3B27E6">
      <w:pPr>
        <w:widowControl/>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w:t>
      </w:r>
    </w:p>
    <w:p w14:paraId="7EB4328D">
      <w:pPr>
        <w:widowControl/>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以上企业，不属于大企业的分支机构，不存在控股股东为大企业的情形，也不存在与大企业的负责人为同一人的情形。</w:t>
      </w:r>
    </w:p>
    <w:p w14:paraId="37A1782D">
      <w:pPr>
        <w:widowControl/>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本企业对上述声明内容的真实性负责。如有虚假，将依法承担相应责任。</w:t>
      </w:r>
    </w:p>
    <w:p w14:paraId="0C45011C">
      <w:pPr>
        <w:widowControl/>
        <w:ind w:firstLine="4080"/>
        <w:jc w:val="left"/>
        <w:rPr>
          <w:rFonts w:ascii="宋体" w:hAnsi="宋体" w:cs="宋体"/>
          <w:color w:val="auto"/>
          <w:sz w:val="24"/>
          <w:szCs w:val="24"/>
          <w:highlight w:val="none"/>
        </w:rPr>
      </w:pPr>
      <w:r>
        <w:rPr>
          <w:rFonts w:hint="eastAsia" w:ascii="宋体" w:hAnsi="宋体" w:cs="宋体"/>
          <w:color w:val="auto"/>
          <w:sz w:val="24"/>
          <w:szCs w:val="24"/>
          <w:highlight w:val="none"/>
        </w:rPr>
        <w:t>企业名称（盖章）：</w:t>
      </w:r>
    </w:p>
    <w:p w14:paraId="2A8D3C6F">
      <w:pPr>
        <w:widowControl/>
        <w:ind w:firstLine="4080"/>
        <w:jc w:val="left"/>
        <w:rPr>
          <w:rFonts w:ascii="宋体" w:hAnsi="宋体" w:cs="宋体"/>
          <w:color w:val="auto"/>
          <w:sz w:val="24"/>
          <w:szCs w:val="24"/>
          <w:highlight w:val="none"/>
        </w:rPr>
      </w:pPr>
      <w:r>
        <w:rPr>
          <w:rFonts w:hint="eastAsia" w:ascii="宋体" w:hAnsi="宋体" w:cs="宋体"/>
          <w:color w:val="auto"/>
          <w:sz w:val="24"/>
          <w:szCs w:val="24"/>
          <w:highlight w:val="none"/>
        </w:rPr>
        <w:t>日期：</w:t>
      </w:r>
    </w:p>
    <w:p w14:paraId="2F33C846">
      <w:pPr>
        <w:spacing w:line="560" w:lineRule="exact"/>
        <w:jc w:val="center"/>
        <w:rPr>
          <w:rFonts w:ascii="宋体" w:hAnsi="宋体"/>
          <w:b/>
          <w:bCs/>
          <w:color w:val="auto"/>
          <w:highlight w:val="none"/>
        </w:rPr>
      </w:pPr>
      <w:r>
        <w:rPr>
          <w:rFonts w:hint="eastAsia" w:ascii="宋体" w:hAnsi="宋体"/>
          <w:b/>
          <w:bCs/>
          <w:color w:val="auto"/>
          <w:highlight w:val="none"/>
        </w:rPr>
        <w:t>从业人员、营业收入、资产总额填报上一年度数据，无上一年度数据的新成立企业可不填报。</w:t>
      </w:r>
    </w:p>
    <w:p w14:paraId="7B455AE7">
      <w:pPr>
        <w:jc w:val="center"/>
        <w:rPr>
          <w:rFonts w:ascii="宋体" w:hAnsi="宋体" w:cs="宋体"/>
          <w:b/>
          <w:color w:val="auto"/>
          <w:sz w:val="36"/>
          <w:szCs w:val="36"/>
          <w:highlight w:val="none"/>
        </w:rPr>
      </w:pPr>
    </w:p>
    <w:p w14:paraId="035C7E2C">
      <w:pPr>
        <w:jc w:val="center"/>
        <w:rPr>
          <w:rFonts w:ascii="宋体" w:hAnsi="宋体" w:cs="宋体"/>
          <w:b/>
          <w:color w:val="auto"/>
          <w:sz w:val="36"/>
          <w:szCs w:val="36"/>
          <w:highlight w:val="none"/>
        </w:rPr>
      </w:pPr>
    </w:p>
    <w:p w14:paraId="2AC39EB9">
      <w:pPr>
        <w:jc w:val="center"/>
        <w:rPr>
          <w:rFonts w:ascii="宋体" w:hAnsi="宋体" w:cs="宋体"/>
          <w:b/>
          <w:color w:val="auto"/>
          <w:sz w:val="36"/>
          <w:szCs w:val="36"/>
          <w:highlight w:val="none"/>
        </w:rPr>
      </w:pPr>
    </w:p>
    <w:p w14:paraId="208C11F3">
      <w:pPr>
        <w:jc w:val="center"/>
        <w:rPr>
          <w:rFonts w:ascii="宋体" w:hAnsi="宋体" w:cs="宋体"/>
          <w:b/>
          <w:color w:val="auto"/>
          <w:sz w:val="36"/>
          <w:szCs w:val="36"/>
          <w:highlight w:val="none"/>
        </w:rPr>
      </w:pPr>
    </w:p>
    <w:p w14:paraId="3D3D0C71">
      <w:pPr>
        <w:pStyle w:val="14"/>
        <w:rPr>
          <w:rFonts w:ascii="宋体" w:hAnsi="宋体" w:cs="宋体"/>
          <w:b/>
          <w:color w:val="auto"/>
          <w:sz w:val="36"/>
          <w:szCs w:val="36"/>
          <w:highlight w:val="none"/>
        </w:rPr>
      </w:pPr>
    </w:p>
    <w:p w14:paraId="7ECD7425">
      <w:pPr>
        <w:rPr>
          <w:rFonts w:ascii="宋体" w:hAnsi="宋体" w:cs="宋体"/>
          <w:b/>
          <w:color w:val="auto"/>
          <w:sz w:val="36"/>
          <w:szCs w:val="36"/>
          <w:highlight w:val="none"/>
        </w:rPr>
      </w:pPr>
    </w:p>
    <w:p w14:paraId="52A36762">
      <w:pPr>
        <w:pStyle w:val="14"/>
        <w:rPr>
          <w:rFonts w:ascii="宋体" w:hAnsi="宋体" w:cs="宋体"/>
          <w:b/>
          <w:color w:val="auto"/>
          <w:sz w:val="36"/>
          <w:szCs w:val="36"/>
          <w:highlight w:val="none"/>
        </w:rPr>
      </w:pPr>
    </w:p>
    <w:p w14:paraId="44581E27">
      <w:pPr>
        <w:rPr>
          <w:rFonts w:ascii="宋体" w:hAnsi="宋体" w:cs="宋体"/>
          <w:b/>
          <w:color w:val="auto"/>
          <w:sz w:val="36"/>
          <w:szCs w:val="36"/>
          <w:highlight w:val="none"/>
        </w:rPr>
      </w:pPr>
    </w:p>
    <w:p w14:paraId="1CC1DCC0">
      <w:pPr>
        <w:pStyle w:val="14"/>
        <w:rPr>
          <w:rFonts w:ascii="宋体" w:hAnsi="宋体" w:cs="宋体"/>
          <w:b/>
          <w:color w:val="auto"/>
          <w:sz w:val="36"/>
          <w:szCs w:val="36"/>
          <w:highlight w:val="none"/>
        </w:rPr>
      </w:pPr>
    </w:p>
    <w:p w14:paraId="3C5AA56D">
      <w:pPr>
        <w:rPr>
          <w:rFonts w:ascii="宋体" w:hAnsi="宋体" w:cs="宋体"/>
          <w:b/>
          <w:color w:val="auto"/>
          <w:sz w:val="36"/>
          <w:szCs w:val="36"/>
          <w:highlight w:val="none"/>
        </w:rPr>
      </w:pPr>
    </w:p>
    <w:p w14:paraId="543C2F84">
      <w:pPr>
        <w:pStyle w:val="14"/>
        <w:rPr>
          <w:rFonts w:ascii="宋体" w:hAnsi="宋体" w:cs="宋体"/>
          <w:b/>
          <w:color w:val="auto"/>
          <w:sz w:val="36"/>
          <w:szCs w:val="36"/>
          <w:highlight w:val="none"/>
        </w:rPr>
      </w:pPr>
    </w:p>
    <w:p w14:paraId="5C94584E">
      <w:pPr>
        <w:rPr>
          <w:rFonts w:ascii="宋体" w:hAnsi="宋体" w:cs="宋体"/>
          <w:b/>
          <w:color w:val="auto"/>
          <w:sz w:val="36"/>
          <w:szCs w:val="36"/>
          <w:highlight w:val="none"/>
        </w:rPr>
      </w:pPr>
    </w:p>
    <w:p w14:paraId="54357DD6">
      <w:pPr>
        <w:rPr>
          <w:rFonts w:ascii="宋体" w:hAnsi="宋体" w:cs="宋体"/>
          <w:b/>
          <w:color w:val="auto"/>
          <w:sz w:val="36"/>
          <w:szCs w:val="36"/>
          <w:highlight w:val="none"/>
        </w:rPr>
      </w:pPr>
    </w:p>
    <w:p w14:paraId="6D314AF4">
      <w:pPr>
        <w:rPr>
          <w:rFonts w:ascii="宋体" w:hAnsi="宋体" w:cs="宋体"/>
          <w:b/>
          <w:color w:val="auto"/>
          <w:sz w:val="36"/>
          <w:szCs w:val="36"/>
          <w:highlight w:val="none"/>
        </w:rPr>
      </w:pPr>
    </w:p>
    <w:p w14:paraId="0D1D7689">
      <w:pPr>
        <w:pStyle w:val="14"/>
        <w:rPr>
          <w:color w:val="auto"/>
          <w:highlight w:val="none"/>
        </w:rPr>
      </w:pPr>
    </w:p>
    <w:p w14:paraId="7BE05E16">
      <w:pPr>
        <w:jc w:val="center"/>
        <w:rPr>
          <w:rFonts w:ascii="宋体" w:hAnsi="宋体" w:cs="宋体"/>
          <w:b/>
          <w:color w:val="auto"/>
          <w:sz w:val="36"/>
          <w:szCs w:val="36"/>
          <w:highlight w:val="none"/>
        </w:rPr>
      </w:pPr>
    </w:p>
    <w:p w14:paraId="2F0110FB">
      <w:pPr>
        <w:jc w:val="center"/>
        <w:rPr>
          <w:rFonts w:ascii="宋体" w:hAnsi="宋体" w:cs="宋体"/>
          <w:b/>
          <w:color w:val="auto"/>
          <w:sz w:val="36"/>
          <w:szCs w:val="36"/>
          <w:highlight w:val="none"/>
        </w:rPr>
      </w:pPr>
    </w:p>
    <w:p w14:paraId="7F7A9DEF">
      <w:pPr>
        <w:widowControl/>
        <w:spacing w:line="50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eastAsia="zh-CN"/>
        </w:rPr>
        <w:t>（</w:t>
      </w:r>
      <w:r>
        <w:rPr>
          <w:rFonts w:hint="eastAsia" w:ascii="黑体" w:hAnsi="黑体" w:eastAsia="黑体" w:cs="黑体"/>
          <w:b/>
          <w:color w:val="auto"/>
          <w:sz w:val="36"/>
          <w:szCs w:val="36"/>
          <w:highlight w:val="none"/>
          <w:lang w:val="en-US" w:eastAsia="zh-CN"/>
        </w:rPr>
        <w:t>十一</w:t>
      </w:r>
      <w:r>
        <w:rPr>
          <w:rFonts w:hint="eastAsia" w:ascii="黑体" w:hAnsi="黑体" w:eastAsia="黑体" w:cs="黑体"/>
          <w:b/>
          <w:color w:val="auto"/>
          <w:sz w:val="36"/>
          <w:szCs w:val="36"/>
          <w:highlight w:val="none"/>
          <w:lang w:eastAsia="zh-CN"/>
        </w:rPr>
        <w:t>）</w:t>
      </w:r>
      <w:r>
        <w:rPr>
          <w:rFonts w:hint="eastAsia" w:ascii="黑体" w:hAnsi="黑体" w:eastAsia="黑体" w:cs="黑体"/>
          <w:b/>
          <w:color w:val="auto"/>
          <w:sz w:val="36"/>
          <w:szCs w:val="36"/>
          <w:highlight w:val="none"/>
        </w:rPr>
        <w:t>残疾人福利性单位声明函（如有）</w:t>
      </w:r>
    </w:p>
    <w:p w14:paraId="661DAF8A">
      <w:pPr>
        <w:spacing w:line="588" w:lineRule="exact"/>
        <w:rPr>
          <w:rFonts w:ascii="仿宋_GB2312" w:eastAsia="仿宋_GB2312"/>
          <w:b/>
          <w:color w:val="auto"/>
          <w:spacing w:val="6"/>
          <w:sz w:val="30"/>
          <w:szCs w:val="30"/>
          <w:highlight w:val="none"/>
        </w:rPr>
      </w:pPr>
    </w:p>
    <w:p w14:paraId="1D56F2D6">
      <w:pPr>
        <w:spacing w:line="588" w:lineRule="exact"/>
        <w:ind w:firstLine="504"/>
        <w:rPr>
          <w:rFonts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rPr>
        <w:t>〔2017〕141</w:t>
      </w:r>
      <w:r>
        <w:rPr>
          <w:rFonts w:hint="eastAsia" w:ascii="宋体" w:hAnsi="宋体" w:cs="宋体"/>
          <w:color w:val="auto"/>
          <w:spacing w:val="6"/>
          <w:sz w:val="24"/>
          <w:highlight w:val="none"/>
        </w:rPr>
        <w:t>号）的规定，本单位为符合条件的残疾人福利性单位，且本单位参加</w:t>
      </w:r>
      <w:r>
        <w:rPr>
          <w:rFonts w:hint="eastAsia" w:ascii="宋体" w:hAnsi="宋体" w:cs="宋体"/>
          <w:color w:val="auto"/>
          <w:spacing w:val="6"/>
          <w:sz w:val="24"/>
          <w:highlight w:val="none"/>
          <w:u w:val="single"/>
        </w:rPr>
        <w:t xml:space="preserve"> </w:t>
      </w:r>
      <w:r>
        <w:rPr>
          <w:rFonts w:hint="eastAsia" w:hAnsi="宋体" w:cs="宋体"/>
          <w:b/>
          <w:bCs/>
          <w:color w:val="auto"/>
          <w:sz w:val="24"/>
          <w:highlight w:val="none"/>
          <w:u w:val="single"/>
          <w:lang w:eastAsia="zh-CN"/>
        </w:rPr>
        <w:t>盐城市大丰区南阳镇人民政府</w:t>
      </w:r>
      <w:r>
        <w:rPr>
          <w:rFonts w:hint="eastAsia" w:ascii="宋体" w:hAnsi="宋体" w:cs="宋体"/>
          <w:b/>
          <w:bCs/>
          <w:color w:val="auto"/>
          <w:sz w:val="24"/>
          <w:highlight w:val="none"/>
          <w:u w:val="single"/>
        </w:rPr>
        <w:t xml:space="preserve"> </w:t>
      </w:r>
      <w:r>
        <w:rPr>
          <w:rFonts w:hint="eastAsia" w:ascii="宋体" w:hAnsi="宋体" w:cs="宋体"/>
          <w:color w:val="auto"/>
          <w:spacing w:val="6"/>
          <w:sz w:val="24"/>
          <w:highlight w:val="none"/>
        </w:rPr>
        <w:t>的</w:t>
      </w:r>
      <w:r>
        <w:rPr>
          <w:rFonts w:hint="eastAsia" w:ascii="宋体" w:hAnsi="宋体" w:cs="宋体"/>
          <w:color w:val="auto"/>
          <w:spacing w:val="6"/>
          <w:sz w:val="24"/>
          <w:highlight w:val="none"/>
          <w:u w:val="single"/>
        </w:rPr>
        <w:t xml:space="preserve"> </w:t>
      </w:r>
      <w:r>
        <w:rPr>
          <w:rFonts w:hint="eastAsia" w:ascii="宋体" w:hAnsi="宋体" w:cs="宋体"/>
          <w:b/>
          <w:bCs/>
          <w:color w:val="auto"/>
          <w:sz w:val="24"/>
          <w:highlight w:val="none"/>
          <w:u w:val="single"/>
          <w:lang w:eastAsia="zh-CN"/>
        </w:rPr>
        <w:t>盐城市大丰区2026年王港河水面漂浮物打捞服务项目</w:t>
      </w:r>
      <w:r>
        <w:rPr>
          <w:rFonts w:hint="eastAsia" w:ascii="宋体" w:hAnsi="宋体" w:cs="宋体"/>
          <w:color w:val="auto"/>
          <w:spacing w:val="6"/>
          <w:sz w:val="24"/>
          <w:highlight w:val="none"/>
        </w:rPr>
        <w:t>采购活动提供本单位制造的货物（由本单位承担工程/提供服务），或者提供其他残疾人福利性单位制造的货物（不包括使用非残疾人福利性单位注册商标的货物）。</w:t>
      </w:r>
    </w:p>
    <w:p w14:paraId="01EE2F6F">
      <w:pPr>
        <w:spacing w:line="588" w:lineRule="exact"/>
        <w:ind w:firstLine="504"/>
        <w:rPr>
          <w:rFonts w:ascii="宋体" w:hAnsi="宋体" w:cs="宋体"/>
          <w:color w:val="auto"/>
          <w:spacing w:val="6"/>
          <w:sz w:val="24"/>
          <w:highlight w:val="none"/>
        </w:rPr>
      </w:pPr>
      <w:r>
        <w:rPr>
          <w:rFonts w:hint="eastAsia" w:ascii="宋体" w:hAnsi="宋体" w:cs="宋体"/>
          <w:color w:val="auto"/>
          <w:spacing w:val="6"/>
          <w:sz w:val="24"/>
          <w:highlight w:val="none"/>
        </w:rPr>
        <w:t>本单位在本次政府采购活动中提供的残疾人福利单位产品报价合计为人民币（大写）</w:t>
      </w:r>
      <w:r>
        <w:rPr>
          <w:rFonts w:hint="eastAsia" w:ascii="宋体" w:hAnsi="宋体" w:cs="宋体"/>
          <w:color w:val="auto"/>
          <w:spacing w:val="6"/>
          <w:sz w:val="24"/>
          <w:highlight w:val="none"/>
          <w:u w:val="single"/>
        </w:rPr>
        <w:t>      元整</w:t>
      </w:r>
      <w:r>
        <w:rPr>
          <w:rFonts w:hint="eastAsia" w:ascii="宋体" w:hAnsi="宋体" w:cs="宋体"/>
          <w:color w:val="auto"/>
          <w:spacing w:val="6"/>
          <w:sz w:val="24"/>
          <w:highlight w:val="none"/>
        </w:rPr>
        <w:t>（￥</w:t>
      </w:r>
      <w:r>
        <w:rPr>
          <w:rFonts w:hint="eastAsia" w:ascii="宋体" w:hAnsi="宋体" w:cs="宋体"/>
          <w:color w:val="auto"/>
          <w:spacing w:val="6"/>
          <w:sz w:val="24"/>
          <w:highlight w:val="none"/>
          <w:u w:val="single"/>
        </w:rPr>
        <w:t>：     </w:t>
      </w:r>
      <w:r>
        <w:rPr>
          <w:rFonts w:hint="eastAsia" w:ascii="宋体" w:hAnsi="宋体" w:cs="宋体"/>
          <w:color w:val="auto"/>
          <w:spacing w:val="6"/>
          <w:sz w:val="24"/>
          <w:highlight w:val="none"/>
        </w:rPr>
        <w:t>）。</w:t>
      </w:r>
    </w:p>
    <w:p w14:paraId="51DA9A6D">
      <w:pPr>
        <w:spacing w:line="588" w:lineRule="exact"/>
        <w:ind w:firstLine="504"/>
        <w:rPr>
          <w:rFonts w:ascii="宋体" w:hAnsi="宋体" w:cs="宋体"/>
          <w:color w:val="auto"/>
          <w:spacing w:val="6"/>
          <w:sz w:val="24"/>
          <w:highlight w:val="none"/>
        </w:rPr>
      </w:pPr>
      <w:r>
        <w:rPr>
          <w:rFonts w:hint="eastAsia" w:ascii="宋体" w:hAnsi="宋体" w:cs="宋体"/>
          <w:color w:val="auto"/>
          <w:spacing w:val="6"/>
          <w:sz w:val="24"/>
          <w:highlight w:val="none"/>
        </w:rPr>
        <w:t>本单位对上述声明的真实性负责。如有虚假，将依法承担相应责任。</w:t>
      </w:r>
    </w:p>
    <w:p w14:paraId="102D2F76">
      <w:pPr>
        <w:spacing w:line="588" w:lineRule="exact"/>
        <w:ind w:firstLine="504"/>
        <w:rPr>
          <w:rFonts w:ascii="宋体" w:hAnsi="宋体" w:cs="宋体"/>
          <w:color w:val="auto"/>
          <w:spacing w:val="6"/>
          <w:sz w:val="24"/>
          <w:highlight w:val="none"/>
        </w:rPr>
      </w:pPr>
    </w:p>
    <w:p w14:paraId="510DA246">
      <w:pPr>
        <w:spacing w:line="588" w:lineRule="exact"/>
        <w:ind w:firstLine="504"/>
        <w:rPr>
          <w:rFonts w:ascii="宋体" w:hAnsi="宋体" w:cs="宋体"/>
          <w:color w:val="auto"/>
          <w:spacing w:val="6"/>
          <w:sz w:val="24"/>
          <w:highlight w:val="none"/>
        </w:rPr>
      </w:pPr>
      <w:r>
        <w:rPr>
          <w:rFonts w:hint="eastAsia" w:ascii="宋体" w:hAnsi="宋体" w:cs="宋体"/>
          <w:color w:val="auto"/>
          <w:spacing w:val="6"/>
          <w:sz w:val="24"/>
          <w:highlight w:val="none"/>
        </w:rPr>
        <w:t>（备注：1、投标人如不提供此声明函，价格将不做相应扣除。2、中标投标人为残疾人福利单位的，此声明函将随中标结果同时公告，接受社会监督）</w:t>
      </w:r>
    </w:p>
    <w:p w14:paraId="35D4837B">
      <w:pPr>
        <w:spacing w:line="588" w:lineRule="exact"/>
        <w:ind w:firstLine="504"/>
        <w:rPr>
          <w:rFonts w:ascii="仿宋_GB2312" w:eastAsia="仿宋_GB2312"/>
          <w:color w:val="auto"/>
          <w:spacing w:val="6"/>
          <w:sz w:val="24"/>
          <w:highlight w:val="none"/>
        </w:rPr>
      </w:pPr>
    </w:p>
    <w:p w14:paraId="0438F970">
      <w:pPr>
        <w:spacing w:line="588" w:lineRule="exact"/>
        <w:ind w:firstLine="504"/>
        <w:rPr>
          <w:rFonts w:ascii="仿宋_GB2312" w:eastAsia="仿宋_GB2312"/>
          <w:color w:val="auto"/>
          <w:spacing w:val="6"/>
          <w:sz w:val="24"/>
          <w:highlight w:val="none"/>
        </w:rPr>
      </w:pPr>
    </w:p>
    <w:p w14:paraId="3661B948">
      <w:pPr>
        <w:tabs>
          <w:tab w:val="left" w:pos="4860"/>
        </w:tabs>
        <w:spacing w:line="588" w:lineRule="exact"/>
        <w:ind w:right="1560" w:firstLine="504"/>
        <w:jc w:val="right"/>
        <w:rPr>
          <w:rFonts w:ascii="宋体" w:hAnsi="宋体" w:cs="宋体"/>
          <w:color w:val="auto"/>
          <w:spacing w:val="6"/>
          <w:sz w:val="24"/>
          <w:highlight w:val="none"/>
        </w:rPr>
      </w:pPr>
      <w:r>
        <w:rPr>
          <w:rFonts w:hint="eastAsia" w:ascii="宋体" w:hAnsi="宋体" w:cs="宋体"/>
          <w:color w:val="auto"/>
          <w:spacing w:val="6"/>
          <w:sz w:val="24"/>
          <w:highlight w:val="none"/>
        </w:rPr>
        <w:t>授权代表亲笔签名：</w:t>
      </w:r>
    </w:p>
    <w:p w14:paraId="5B44672F">
      <w:pPr>
        <w:spacing w:line="588" w:lineRule="exact"/>
        <w:ind w:right="286" w:firstLine="504"/>
        <w:jc w:val="right"/>
        <w:rPr>
          <w:rFonts w:ascii="宋体" w:hAnsi="宋体" w:cs="宋体"/>
          <w:color w:val="auto"/>
          <w:spacing w:val="6"/>
          <w:sz w:val="24"/>
          <w:highlight w:val="none"/>
        </w:rPr>
      </w:pPr>
      <w:r>
        <w:rPr>
          <w:rFonts w:hint="eastAsia" w:ascii="宋体" w:hAnsi="宋体" w:cs="宋体"/>
          <w:color w:val="auto"/>
          <w:spacing w:val="6"/>
          <w:sz w:val="24"/>
          <w:highlight w:val="none"/>
        </w:rPr>
        <w:t>日期：________年____月____日</w:t>
      </w:r>
    </w:p>
    <w:p w14:paraId="1FA0D653">
      <w:pPr>
        <w:rPr>
          <w:color w:val="auto"/>
          <w:highlight w:val="none"/>
        </w:rPr>
      </w:pPr>
    </w:p>
    <w:p w14:paraId="26D910D9">
      <w:pPr>
        <w:spacing w:line="480" w:lineRule="exact"/>
        <w:ind w:firstLine="723"/>
        <w:rPr>
          <w:rFonts w:ascii="宋体" w:hAnsi="宋体" w:cs="宋体"/>
          <w:b/>
          <w:color w:val="auto"/>
          <w:sz w:val="36"/>
          <w:szCs w:val="36"/>
          <w:highlight w:val="none"/>
        </w:rPr>
      </w:pPr>
    </w:p>
    <w:p w14:paraId="14477696">
      <w:pPr>
        <w:pStyle w:val="22"/>
        <w:rPr>
          <w:color w:val="auto"/>
          <w:highlight w:val="none"/>
        </w:rPr>
      </w:pPr>
      <w:r>
        <w:rPr>
          <w:rFonts w:hint="eastAsia" w:ascii="宋体" w:hAnsi="宋体" w:cs="宋体"/>
          <w:b/>
          <w:color w:val="auto"/>
          <w:sz w:val="32"/>
          <w:szCs w:val="32"/>
          <w:highlight w:val="none"/>
        </w:rPr>
        <w:br w:type="page" w:clear="all"/>
      </w:r>
    </w:p>
    <w:p w14:paraId="2C27E09E">
      <w:pPr>
        <w:pStyle w:val="32"/>
        <w:spacing w:beforeAutospacing="0" w:afterAutospacing="0"/>
        <w:jc w:val="center"/>
        <w:rPr>
          <w:rFonts w:hint="eastAsia" w:eastAsia="黑体" w:cs="Arial"/>
          <w:b/>
          <w:bCs/>
          <w:color w:val="auto"/>
          <w:sz w:val="36"/>
          <w:szCs w:val="36"/>
          <w:highlight w:val="none"/>
          <w:lang w:val="en-US" w:eastAsia="zh-CN"/>
        </w:rPr>
      </w:pPr>
      <w:r>
        <w:rPr>
          <w:rFonts w:hint="eastAsia" w:eastAsia="黑体" w:cs="Arial"/>
          <w:b/>
          <w:bCs/>
          <w:color w:val="auto"/>
          <w:sz w:val="36"/>
          <w:szCs w:val="36"/>
          <w:highlight w:val="none"/>
          <w:lang w:val="en-US" w:eastAsia="zh-CN"/>
        </w:rPr>
        <w:t>（十二）商务要求响应及偏离表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292C9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4" w:type="dxa"/>
            <w:noWrap w:val="0"/>
            <w:vAlign w:val="center"/>
          </w:tcPr>
          <w:p w14:paraId="350F5CEA">
            <w:pPr>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2852" w:type="dxa"/>
            <w:noWrap w:val="0"/>
            <w:vAlign w:val="center"/>
          </w:tcPr>
          <w:p w14:paraId="24AACA3A">
            <w:pPr>
              <w:jc w:val="center"/>
              <w:rPr>
                <w:rFonts w:ascii="宋体" w:hAnsi="宋体"/>
                <w:color w:val="auto"/>
                <w:sz w:val="24"/>
                <w:szCs w:val="24"/>
                <w:highlight w:val="none"/>
              </w:rPr>
            </w:pPr>
            <w:r>
              <w:rPr>
                <w:rFonts w:hint="eastAsia" w:ascii="宋体" w:hAnsi="宋体"/>
                <w:color w:val="auto"/>
                <w:sz w:val="24"/>
                <w:szCs w:val="24"/>
                <w:highlight w:val="none"/>
              </w:rPr>
              <w:t>招标要求</w:t>
            </w:r>
          </w:p>
        </w:tc>
        <w:tc>
          <w:tcPr>
            <w:tcW w:w="2852" w:type="dxa"/>
            <w:noWrap w:val="0"/>
            <w:vAlign w:val="center"/>
          </w:tcPr>
          <w:p w14:paraId="14F35E53">
            <w:pPr>
              <w:jc w:val="center"/>
              <w:rPr>
                <w:rFonts w:ascii="宋体" w:hAnsi="宋体"/>
                <w:color w:val="auto"/>
                <w:sz w:val="24"/>
                <w:szCs w:val="24"/>
                <w:highlight w:val="none"/>
              </w:rPr>
            </w:pPr>
            <w:r>
              <w:rPr>
                <w:rFonts w:hint="eastAsia" w:ascii="宋体" w:hAnsi="宋体"/>
                <w:color w:val="auto"/>
                <w:sz w:val="24"/>
                <w:szCs w:val="24"/>
                <w:highlight w:val="none"/>
              </w:rPr>
              <w:t>投标响应</w:t>
            </w:r>
          </w:p>
        </w:tc>
        <w:tc>
          <w:tcPr>
            <w:tcW w:w="1308" w:type="dxa"/>
            <w:noWrap w:val="0"/>
            <w:vAlign w:val="center"/>
          </w:tcPr>
          <w:p w14:paraId="1DC72370">
            <w:pPr>
              <w:jc w:val="center"/>
              <w:rPr>
                <w:rFonts w:ascii="宋体" w:hAnsi="宋体"/>
                <w:color w:val="auto"/>
                <w:sz w:val="24"/>
                <w:szCs w:val="24"/>
                <w:highlight w:val="none"/>
              </w:rPr>
            </w:pPr>
            <w:r>
              <w:rPr>
                <w:rFonts w:hint="eastAsia" w:ascii="宋体" w:hAnsi="宋体"/>
                <w:color w:val="auto"/>
                <w:sz w:val="24"/>
                <w:szCs w:val="24"/>
                <w:highlight w:val="none"/>
              </w:rPr>
              <w:t>超出、符合或偏离</w:t>
            </w:r>
          </w:p>
        </w:tc>
        <w:tc>
          <w:tcPr>
            <w:tcW w:w="1173" w:type="dxa"/>
            <w:noWrap w:val="0"/>
            <w:vAlign w:val="center"/>
          </w:tcPr>
          <w:p w14:paraId="56E9BFBC">
            <w:pPr>
              <w:jc w:val="center"/>
              <w:rPr>
                <w:rFonts w:ascii="宋体" w:hAnsi="宋体"/>
                <w:color w:val="auto"/>
                <w:sz w:val="24"/>
                <w:szCs w:val="24"/>
                <w:highlight w:val="none"/>
              </w:rPr>
            </w:pPr>
            <w:r>
              <w:rPr>
                <w:rFonts w:hint="eastAsia" w:ascii="宋体" w:hAnsi="宋体"/>
                <w:color w:val="auto"/>
                <w:sz w:val="24"/>
                <w:szCs w:val="24"/>
                <w:highlight w:val="none"/>
              </w:rPr>
              <w:t>原因</w:t>
            </w:r>
          </w:p>
        </w:tc>
      </w:tr>
      <w:tr w14:paraId="24AFA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7A83BD38">
            <w:pPr>
              <w:jc w:val="center"/>
              <w:rPr>
                <w:rFonts w:ascii="宋体" w:hAnsi="宋体"/>
                <w:color w:val="auto"/>
                <w:sz w:val="24"/>
                <w:szCs w:val="24"/>
                <w:highlight w:val="none"/>
              </w:rPr>
            </w:pPr>
          </w:p>
        </w:tc>
        <w:tc>
          <w:tcPr>
            <w:tcW w:w="2852" w:type="dxa"/>
            <w:noWrap w:val="0"/>
          </w:tcPr>
          <w:p w14:paraId="574B9780">
            <w:pPr>
              <w:jc w:val="center"/>
              <w:rPr>
                <w:rFonts w:ascii="宋体" w:hAnsi="宋体"/>
                <w:color w:val="auto"/>
                <w:sz w:val="24"/>
                <w:szCs w:val="24"/>
                <w:highlight w:val="none"/>
              </w:rPr>
            </w:pPr>
          </w:p>
        </w:tc>
        <w:tc>
          <w:tcPr>
            <w:tcW w:w="2852" w:type="dxa"/>
            <w:noWrap w:val="0"/>
          </w:tcPr>
          <w:p w14:paraId="60153AC0">
            <w:pPr>
              <w:jc w:val="center"/>
              <w:rPr>
                <w:rFonts w:ascii="宋体" w:hAnsi="宋体"/>
                <w:color w:val="auto"/>
                <w:sz w:val="24"/>
                <w:szCs w:val="24"/>
                <w:highlight w:val="none"/>
              </w:rPr>
            </w:pPr>
          </w:p>
        </w:tc>
        <w:tc>
          <w:tcPr>
            <w:tcW w:w="1308" w:type="dxa"/>
            <w:noWrap w:val="0"/>
          </w:tcPr>
          <w:p w14:paraId="77086B91">
            <w:pPr>
              <w:jc w:val="center"/>
              <w:rPr>
                <w:rFonts w:ascii="宋体" w:hAnsi="宋体"/>
                <w:color w:val="auto"/>
                <w:sz w:val="24"/>
                <w:szCs w:val="24"/>
                <w:highlight w:val="none"/>
              </w:rPr>
            </w:pPr>
          </w:p>
        </w:tc>
        <w:tc>
          <w:tcPr>
            <w:tcW w:w="1173" w:type="dxa"/>
            <w:noWrap w:val="0"/>
          </w:tcPr>
          <w:p w14:paraId="3E9EB290">
            <w:pPr>
              <w:jc w:val="center"/>
              <w:rPr>
                <w:rFonts w:ascii="宋体" w:hAnsi="宋体"/>
                <w:color w:val="auto"/>
                <w:sz w:val="24"/>
                <w:szCs w:val="24"/>
                <w:highlight w:val="none"/>
              </w:rPr>
            </w:pPr>
          </w:p>
        </w:tc>
      </w:tr>
      <w:tr w14:paraId="052CF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531BF58C">
            <w:pPr>
              <w:jc w:val="center"/>
              <w:rPr>
                <w:rFonts w:ascii="宋体" w:hAnsi="宋体"/>
                <w:color w:val="auto"/>
                <w:sz w:val="24"/>
                <w:szCs w:val="24"/>
                <w:highlight w:val="none"/>
              </w:rPr>
            </w:pPr>
          </w:p>
        </w:tc>
        <w:tc>
          <w:tcPr>
            <w:tcW w:w="2852" w:type="dxa"/>
            <w:noWrap w:val="0"/>
          </w:tcPr>
          <w:p w14:paraId="4FECFBF0">
            <w:pPr>
              <w:jc w:val="center"/>
              <w:rPr>
                <w:rFonts w:ascii="宋体" w:hAnsi="宋体"/>
                <w:color w:val="auto"/>
                <w:sz w:val="24"/>
                <w:szCs w:val="24"/>
                <w:highlight w:val="none"/>
              </w:rPr>
            </w:pPr>
          </w:p>
        </w:tc>
        <w:tc>
          <w:tcPr>
            <w:tcW w:w="2852" w:type="dxa"/>
            <w:noWrap w:val="0"/>
          </w:tcPr>
          <w:p w14:paraId="6AAA4E55">
            <w:pPr>
              <w:jc w:val="center"/>
              <w:rPr>
                <w:rFonts w:ascii="宋体" w:hAnsi="宋体"/>
                <w:color w:val="auto"/>
                <w:sz w:val="24"/>
                <w:szCs w:val="24"/>
                <w:highlight w:val="none"/>
              </w:rPr>
            </w:pPr>
          </w:p>
        </w:tc>
        <w:tc>
          <w:tcPr>
            <w:tcW w:w="1308" w:type="dxa"/>
            <w:noWrap w:val="0"/>
          </w:tcPr>
          <w:p w14:paraId="3F8C89CD">
            <w:pPr>
              <w:jc w:val="center"/>
              <w:rPr>
                <w:rFonts w:ascii="宋体" w:hAnsi="宋体"/>
                <w:color w:val="auto"/>
                <w:sz w:val="24"/>
                <w:szCs w:val="24"/>
                <w:highlight w:val="none"/>
              </w:rPr>
            </w:pPr>
          </w:p>
        </w:tc>
        <w:tc>
          <w:tcPr>
            <w:tcW w:w="1173" w:type="dxa"/>
            <w:noWrap w:val="0"/>
          </w:tcPr>
          <w:p w14:paraId="47BB9C93">
            <w:pPr>
              <w:jc w:val="center"/>
              <w:rPr>
                <w:rFonts w:ascii="宋体" w:hAnsi="宋体"/>
                <w:color w:val="auto"/>
                <w:sz w:val="24"/>
                <w:szCs w:val="24"/>
                <w:highlight w:val="none"/>
              </w:rPr>
            </w:pPr>
          </w:p>
        </w:tc>
      </w:tr>
      <w:tr w14:paraId="72920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70742C6A">
            <w:pPr>
              <w:jc w:val="center"/>
              <w:rPr>
                <w:rFonts w:ascii="宋体" w:hAnsi="宋体"/>
                <w:color w:val="auto"/>
                <w:sz w:val="24"/>
                <w:szCs w:val="24"/>
                <w:highlight w:val="none"/>
              </w:rPr>
            </w:pPr>
          </w:p>
        </w:tc>
        <w:tc>
          <w:tcPr>
            <w:tcW w:w="2852" w:type="dxa"/>
            <w:noWrap w:val="0"/>
          </w:tcPr>
          <w:p w14:paraId="2627D792">
            <w:pPr>
              <w:jc w:val="center"/>
              <w:rPr>
                <w:rFonts w:ascii="宋体" w:hAnsi="宋体"/>
                <w:color w:val="auto"/>
                <w:sz w:val="24"/>
                <w:szCs w:val="24"/>
                <w:highlight w:val="none"/>
              </w:rPr>
            </w:pPr>
          </w:p>
        </w:tc>
        <w:tc>
          <w:tcPr>
            <w:tcW w:w="2852" w:type="dxa"/>
            <w:noWrap w:val="0"/>
          </w:tcPr>
          <w:p w14:paraId="68FA3E24">
            <w:pPr>
              <w:jc w:val="center"/>
              <w:rPr>
                <w:rFonts w:ascii="宋体" w:hAnsi="宋体"/>
                <w:color w:val="auto"/>
                <w:sz w:val="24"/>
                <w:szCs w:val="24"/>
                <w:highlight w:val="none"/>
              </w:rPr>
            </w:pPr>
          </w:p>
        </w:tc>
        <w:tc>
          <w:tcPr>
            <w:tcW w:w="1308" w:type="dxa"/>
            <w:noWrap w:val="0"/>
          </w:tcPr>
          <w:p w14:paraId="4C6B4FC0">
            <w:pPr>
              <w:jc w:val="center"/>
              <w:rPr>
                <w:rFonts w:ascii="宋体" w:hAnsi="宋体"/>
                <w:color w:val="auto"/>
                <w:sz w:val="24"/>
                <w:szCs w:val="24"/>
                <w:highlight w:val="none"/>
              </w:rPr>
            </w:pPr>
          </w:p>
        </w:tc>
        <w:tc>
          <w:tcPr>
            <w:tcW w:w="1173" w:type="dxa"/>
            <w:noWrap w:val="0"/>
          </w:tcPr>
          <w:p w14:paraId="11CB0082">
            <w:pPr>
              <w:jc w:val="center"/>
              <w:rPr>
                <w:rFonts w:ascii="宋体" w:hAnsi="宋体"/>
                <w:color w:val="auto"/>
                <w:sz w:val="24"/>
                <w:szCs w:val="24"/>
                <w:highlight w:val="none"/>
              </w:rPr>
            </w:pPr>
          </w:p>
        </w:tc>
      </w:tr>
      <w:tr w14:paraId="3309C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40" w:hRule="atLeast"/>
          <w:jc w:val="center"/>
        </w:trPr>
        <w:tc>
          <w:tcPr>
            <w:tcW w:w="984" w:type="dxa"/>
            <w:noWrap w:val="0"/>
          </w:tcPr>
          <w:p w14:paraId="1F862E68">
            <w:pPr>
              <w:jc w:val="center"/>
              <w:rPr>
                <w:rFonts w:ascii="宋体" w:hAnsi="宋体"/>
                <w:color w:val="auto"/>
                <w:sz w:val="24"/>
                <w:szCs w:val="24"/>
                <w:highlight w:val="none"/>
              </w:rPr>
            </w:pPr>
          </w:p>
        </w:tc>
        <w:tc>
          <w:tcPr>
            <w:tcW w:w="2852" w:type="dxa"/>
            <w:noWrap w:val="0"/>
          </w:tcPr>
          <w:p w14:paraId="44DFD3C8">
            <w:pPr>
              <w:jc w:val="center"/>
              <w:rPr>
                <w:rFonts w:ascii="宋体" w:hAnsi="宋体"/>
                <w:color w:val="auto"/>
                <w:sz w:val="24"/>
                <w:szCs w:val="24"/>
                <w:highlight w:val="none"/>
              </w:rPr>
            </w:pPr>
          </w:p>
        </w:tc>
        <w:tc>
          <w:tcPr>
            <w:tcW w:w="2852" w:type="dxa"/>
            <w:noWrap w:val="0"/>
          </w:tcPr>
          <w:p w14:paraId="09BCB853">
            <w:pPr>
              <w:jc w:val="center"/>
              <w:rPr>
                <w:rFonts w:ascii="宋体" w:hAnsi="宋体"/>
                <w:color w:val="auto"/>
                <w:sz w:val="24"/>
                <w:szCs w:val="24"/>
                <w:highlight w:val="none"/>
              </w:rPr>
            </w:pPr>
          </w:p>
        </w:tc>
        <w:tc>
          <w:tcPr>
            <w:tcW w:w="1308" w:type="dxa"/>
            <w:noWrap w:val="0"/>
          </w:tcPr>
          <w:p w14:paraId="4E667B95">
            <w:pPr>
              <w:jc w:val="center"/>
              <w:rPr>
                <w:rFonts w:ascii="宋体" w:hAnsi="宋体"/>
                <w:color w:val="auto"/>
                <w:sz w:val="24"/>
                <w:szCs w:val="24"/>
                <w:highlight w:val="none"/>
              </w:rPr>
            </w:pPr>
          </w:p>
        </w:tc>
        <w:tc>
          <w:tcPr>
            <w:tcW w:w="1173" w:type="dxa"/>
            <w:noWrap w:val="0"/>
          </w:tcPr>
          <w:p w14:paraId="11CF74B0">
            <w:pPr>
              <w:jc w:val="center"/>
              <w:rPr>
                <w:rFonts w:ascii="宋体" w:hAnsi="宋体"/>
                <w:color w:val="auto"/>
                <w:sz w:val="24"/>
                <w:szCs w:val="24"/>
                <w:highlight w:val="none"/>
              </w:rPr>
            </w:pPr>
          </w:p>
        </w:tc>
      </w:tr>
      <w:tr w14:paraId="5BCF1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54557C0A">
            <w:pPr>
              <w:jc w:val="center"/>
              <w:rPr>
                <w:rFonts w:ascii="宋体" w:hAnsi="宋体"/>
                <w:color w:val="auto"/>
                <w:sz w:val="24"/>
                <w:szCs w:val="24"/>
                <w:highlight w:val="none"/>
              </w:rPr>
            </w:pPr>
          </w:p>
        </w:tc>
        <w:tc>
          <w:tcPr>
            <w:tcW w:w="2852" w:type="dxa"/>
            <w:noWrap w:val="0"/>
          </w:tcPr>
          <w:p w14:paraId="54D4ECBA">
            <w:pPr>
              <w:jc w:val="center"/>
              <w:rPr>
                <w:rFonts w:ascii="宋体" w:hAnsi="宋体"/>
                <w:color w:val="auto"/>
                <w:sz w:val="24"/>
                <w:szCs w:val="24"/>
                <w:highlight w:val="none"/>
              </w:rPr>
            </w:pPr>
          </w:p>
        </w:tc>
        <w:tc>
          <w:tcPr>
            <w:tcW w:w="2852" w:type="dxa"/>
            <w:noWrap w:val="0"/>
          </w:tcPr>
          <w:p w14:paraId="5A6D1B17">
            <w:pPr>
              <w:jc w:val="center"/>
              <w:rPr>
                <w:rFonts w:ascii="宋体" w:hAnsi="宋体"/>
                <w:color w:val="auto"/>
                <w:sz w:val="24"/>
                <w:szCs w:val="24"/>
                <w:highlight w:val="none"/>
              </w:rPr>
            </w:pPr>
          </w:p>
        </w:tc>
        <w:tc>
          <w:tcPr>
            <w:tcW w:w="1308" w:type="dxa"/>
            <w:noWrap w:val="0"/>
          </w:tcPr>
          <w:p w14:paraId="53AF7CA9">
            <w:pPr>
              <w:jc w:val="center"/>
              <w:rPr>
                <w:rFonts w:ascii="宋体" w:hAnsi="宋体"/>
                <w:color w:val="auto"/>
                <w:sz w:val="24"/>
                <w:szCs w:val="24"/>
                <w:highlight w:val="none"/>
              </w:rPr>
            </w:pPr>
          </w:p>
        </w:tc>
        <w:tc>
          <w:tcPr>
            <w:tcW w:w="1173" w:type="dxa"/>
            <w:noWrap w:val="0"/>
          </w:tcPr>
          <w:p w14:paraId="09C11D7D">
            <w:pPr>
              <w:jc w:val="center"/>
              <w:rPr>
                <w:rFonts w:ascii="宋体" w:hAnsi="宋体"/>
                <w:color w:val="auto"/>
                <w:sz w:val="24"/>
                <w:szCs w:val="24"/>
                <w:highlight w:val="none"/>
              </w:rPr>
            </w:pPr>
          </w:p>
        </w:tc>
      </w:tr>
      <w:tr w14:paraId="0F94E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40" w:hRule="atLeast"/>
          <w:jc w:val="center"/>
        </w:trPr>
        <w:tc>
          <w:tcPr>
            <w:tcW w:w="984" w:type="dxa"/>
            <w:noWrap w:val="0"/>
          </w:tcPr>
          <w:p w14:paraId="0C3F13E7">
            <w:pPr>
              <w:jc w:val="center"/>
              <w:rPr>
                <w:rFonts w:ascii="宋体" w:hAnsi="宋体"/>
                <w:color w:val="auto"/>
                <w:sz w:val="24"/>
                <w:szCs w:val="24"/>
                <w:highlight w:val="none"/>
              </w:rPr>
            </w:pPr>
          </w:p>
        </w:tc>
        <w:tc>
          <w:tcPr>
            <w:tcW w:w="2852" w:type="dxa"/>
            <w:noWrap w:val="0"/>
          </w:tcPr>
          <w:p w14:paraId="4E70D366">
            <w:pPr>
              <w:jc w:val="center"/>
              <w:rPr>
                <w:rFonts w:ascii="宋体" w:hAnsi="宋体"/>
                <w:color w:val="auto"/>
                <w:sz w:val="24"/>
                <w:szCs w:val="24"/>
                <w:highlight w:val="none"/>
              </w:rPr>
            </w:pPr>
          </w:p>
        </w:tc>
        <w:tc>
          <w:tcPr>
            <w:tcW w:w="2852" w:type="dxa"/>
            <w:noWrap w:val="0"/>
          </w:tcPr>
          <w:p w14:paraId="0F3A301B">
            <w:pPr>
              <w:jc w:val="center"/>
              <w:rPr>
                <w:rFonts w:ascii="宋体" w:hAnsi="宋体"/>
                <w:color w:val="auto"/>
                <w:sz w:val="24"/>
                <w:szCs w:val="24"/>
                <w:highlight w:val="none"/>
              </w:rPr>
            </w:pPr>
          </w:p>
        </w:tc>
        <w:tc>
          <w:tcPr>
            <w:tcW w:w="1308" w:type="dxa"/>
            <w:noWrap w:val="0"/>
          </w:tcPr>
          <w:p w14:paraId="31F79532">
            <w:pPr>
              <w:jc w:val="center"/>
              <w:rPr>
                <w:rFonts w:ascii="宋体" w:hAnsi="宋体"/>
                <w:color w:val="auto"/>
                <w:sz w:val="24"/>
                <w:szCs w:val="24"/>
                <w:highlight w:val="none"/>
              </w:rPr>
            </w:pPr>
          </w:p>
        </w:tc>
        <w:tc>
          <w:tcPr>
            <w:tcW w:w="1173" w:type="dxa"/>
            <w:noWrap w:val="0"/>
          </w:tcPr>
          <w:p w14:paraId="53F4F64B">
            <w:pPr>
              <w:jc w:val="center"/>
              <w:rPr>
                <w:rFonts w:ascii="宋体" w:hAnsi="宋体"/>
                <w:color w:val="auto"/>
                <w:sz w:val="24"/>
                <w:szCs w:val="24"/>
                <w:highlight w:val="none"/>
              </w:rPr>
            </w:pPr>
          </w:p>
        </w:tc>
      </w:tr>
      <w:tr w14:paraId="23FD2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40" w:hRule="atLeast"/>
          <w:jc w:val="center"/>
        </w:trPr>
        <w:tc>
          <w:tcPr>
            <w:tcW w:w="984" w:type="dxa"/>
            <w:noWrap w:val="0"/>
          </w:tcPr>
          <w:p w14:paraId="77C56666">
            <w:pPr>
              <w:jc w:val="center"/>
              <w:rPr>
                <w:rFonts w:ascii="宋体" w:hAnsi="宋体"/>
                <w:color w:val="auto"/>
                <w:sz w:val="24"/>
                <w:szCs w:val="24"/>
                <w:highlight w:val="none"/>
              </w:rPr>
            </w:pPr>
          </w:p>
        </w:tc>
        <w:tc>
          <w:tcPr>
            <w:tcW w:w="2852" w:type="dxa"/>
            <w:noWrap w:val="0"/>
          </w:tcPr>
          <w:p w14:paraId="5B4329DC">
            <w:pPr>
              <w:jc w:val="center"/>
              <w:rPr>
                <w:rFonts w:ascii="宋体" w:hAnsi="宋体"/>
                <w:color w:val="auto"/>
                <w:sz w:val="24"/>
                <w:szCs w:val="24"/>
                <w:highlight w:val="none"/>
              </w:rPr>
            </w:pPr>
          </w:p>
        </w:tc>
        <w:tc>
          <w:tcPr>
            <w:tcW w:w="2852" w:type="dxa"/>
            <w:noWrap w:val="0"/>
          </w:tcPr>
          <w:p w14:paraId="19CC3055">
            <w:pPr>
              <w:jc w:val="center"/>
              <w:rPr>
                <w:rFonts w:ascii="宋体" w:hAnsi="宋体"/>
                <w:color w:val="auto"/>
                <w:sz w:val="24"/>
                <w:szCs w:val="24"/>
                <w:highlight w:val="none"/>
              </w:rPr>
            </w:pPr>
          </w:p>
        </w:tc>
        <w:tc>
          <w:tcPr>
            <w:tcW w:w="1308" w:type="dxa"/>
            <w:noWrap w:val="0"/>
          </w:tcPr>
          <w:p w14:paraId="09960352">
            <w:pPr>
              <w:jc w:val="center"/>
              <w:rPr>
                <w:rFonts w:ascii="宋体" w:hAnsi="宋体"/>
                <w:color w:val="auto"/>
                <w:sz w:val="24"/>
                <w:szCs w:val="24"/>
                <w:highlight w:val="none"/>
              </w:rPr>
            </w:pPr>
          </w:p>
        </w:tc>
        <w:tc>
          <w:tcPr>
            <w:tcW w:w="1173" w:type="dxa"/>
            <w:noWrap w:val="0"/>
          </w:tcPr>
          <w:p w14:paraId="4592C682">
            <w:pPr>
              <w:jc w:val="center"/>
              <w:rPr>
                <w:rFonts w:ascii="宋体" w:hAnsi="宋体"/>
                <w:color w:val="auto"/>
                <w:sz w:val="24"/>
                <w:szCs w:val="24"/>
                <w:highlight w:val="none"/>
              </w:rPr>
            </w:pPr>
          </w:p>
        </w:tc>
      </w:tr>
      <w:tr w14:paraId="2C348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0150A14F">
            <w:pPr>
              <w:jc w:val="center"/>
              <w:rPr>
                <w:rFonts w:ascii="宋体" w:hAnsi="宋体"/>
                <w:color w:val="auto"/>
                <w:sz w:val="24"/>
                <w:szCs w:val="24"/>
                <w:highlight w:val="none"/>
              </w:rPr>
            </w:pPr>
          </w:p>
        </w:tc>
        <w:tc>
          <w:tcPr>
            <w:tcW w:w="2852" w:type="dxa"/>
            <w:noWrap w:val="0"/>
          </w:tcPr>
          <w:p w14:paraId="5F37423E">
            <w:pPr>
              <w:jc w:val="center"/>
              <w:rPr>
                <w:rFonts w:ascii="宋体" w:hAnsi="宋体"/>
                <w:color w:val="auto"/>
                <w:sz w:val="24"/>
                <w:szCs w:val="24"/>
                <w:highlight w:val="none"/>
              </w:rPr>
            </w:pPr>
          </w:p>
        </w:tc>
        <w:tc>
          <w:tcPr>
            <w:tcW w:w="2852" w:type="dxa"/>
            <w:noWrap w:val="0"/>
          </w:tcPr>
          <w:p w14:paraId="79860EF6">
            <w:pPr>
              <w:jc w:val="center"/>
              <w:rPr>
                <w:rFonts w:ascii="宋体" w:hAnsi="宋体"/>
                <w:color w:val="auto"/>
                <w:sz w:val="24"/>
                <w:szCs w:val="24"/>
                <w:highlight w:val="none"/>
              </w:rPr>
            </w:pPr>
          </w:p>
        </w:tc>
        <w:tc>
          <w:tcPr>
            <w:tcW w:w="1308" w:type="dxa"/>
            <w:noWrap w:val="0"/>
          </w:tcPr>
          <w:p w14:paraId="57772275">
            <w:pPr>
              <w:jc w:val="center"/>
              <w:rPr>
                <w:rFonts w:ascii="宋体" w:hAnsi="宋体"/>
                <w:color w:val="auto"/>
                <w:sz w:val="24"/>
                <w:szCs w:val="24"/>
                <w:highlight w:val="none"/>
              </w:rPr>
            </w:pPr>
          </w:p>
        </w:tc>
        <w:tc>
          <w:tcPr>
            <w:tcW w:w="1173" w:type="dxa"/>
            <w:noWrap w:val="0"/>
          </w:tcPr>
          <w:p w14:paraId="649EDF8B">
            <w:pPr>
              <w:jc w:val="center"/>
              <w:rPr>
                <w:rFonts w:ascii="宋体" w:hAnsi="宋体"/>
                <w:color w:val="auto"/>
                <w:sz w:val="24"/>
                <w:szCs w:val="24"/>
                <w:highlight w:val="none"/>
              </w:rPr>
            </w:pPr>
          </w:p>
        </w:tc>
      </w:tr>
    </w:tbl>
    <w:p w14:paraId="0EE79079">
      <w:pPr>
        <w:rPr>
          <w:rFonts w:ascii="宋体" w:hAnsi="宋体"/>
          <w:color w:val="auto"/>
          <w:sz w:val="24"/>
          <w:szCs w:val="24"/>
          <w:highlight w:val="none"/>
        </w:rPr>
      </w:pPr>
    </w:p>
    <w:p w14:paraId="49F6BF91">
      <w:pPr>
        <w:rPr>
          <w:rFonts w:ascii="宋体" w:hAnsi="宋体"/>
          <w:color w:val="auto"/>
          <w:sz w:val="24"/>
          <w:szCs w:val="24"/>
          <w:highlight w:val="none"/>
        </w:rPr>
      </w:pPr>
      <w:r>
        <w:rPr>
          <w:rFonts w:hint="eastAsia" w:ascii="宋体" w:hAnsi="宋体"/>
          <w:color w:val="auto"/>
          <w:sz w:val="24"/>
          <w:szCs w:val="24"/>
          <w:highlight w:val="none"/>
        </w:rPr>
        <w:t>注：1、按照基本技术要求详细填列。</w:t>
      </w:r>
    </w:p>
    <w:p w14:paraId="207E964B">
      <w:pPr>
        <w:numPr>
          <w:ilvl w:val="0"/>
          <w:numId w:val="8"/>
        </w:numPr>
        <w:rPr>
          <w:rFonts w:ascii="宋体" w:hAnsi="宋体"/>
          <w:color w:val="auto"/>
          <w:sz w:val="24"/>
          <w:szCs w:val="24"/>
          <w:highlight w:val="none"/>
        </w:rPr>
      </w:pPr>
      <w:r>
        <w:rPr>
          <w:rFonts w:hint="eastAsia" w:ascii="宋体" w:hAnsi="宋体"/>
          <w:color w:val="auto"/>
          <w:sz w:val="24"/>
          <w:szCs w:val="24"/>
          <w:highlight w:val="none"/>
        </w:rPr>
        <w:t>行数不够，可自行添加。</w:t>
      </w:r>
    </w:p>
    <w:p w14:paraId="1D940AAF">
      <w:pPr>
        <w:spacing w:line="360" w:lineRule="auto"/>
        <w:ind w:firstLine="480"/>
        <w:rPr>
          <w:rFonts w:ascii="宋体" w:hAnsi="宋体"/>
          <w:bCs/>
          <w:color w:val="auto"/>
          <w:sz w:val="24"/>
          <w:highlight w:val="none"/>
        </w:rPr>
      </w:pPr>
      <w:r>
        <w:rPr>
          <w:rFonts w:hint="eastAsia" w:ascii="宋体" w:hAnsi="宋体"/>
          <w:bCs/>
          <w:color w:val="auto"/>
          <w:sz w:val="24"/>
          <w:highlight w:val="none"/>
        </w:rPr>
        <w:t>3、技术偏离表应针对项目需求逐条应答。</w:t>
      </w:r>
    </w:p>
    <w:p w14:paraId="74C99650">
      <w:pPr>
        <w:widowControl/>
        <w:spacing w:line="500" w:lineRule="exact"/>
        <w:ind w:firstLine="120"/>
        <w:jc w:val="left"/>
        <w:rPr>
          <w:color w:val="auto"/>
          <w:sz w:val="24"/>
          <w:highlight w:val="none"/>
        </w:rPr>
      </w:pPr>
    </w:p>
    <w:p w14:paraId="4D52C733">
      <w:pPr>
        <w:pStyle w:val="191"/>
        <w:ind w:firstLine="0"/>
        <w:rPr>
          <w:color w:val="auto"/>
          <w:highlight w:val="none"/>
        </w:rPr>
      </w:pPr>
    </w:p>
    <w:p w14:paraId="3ED7956A">
      <w:pPr>
        <w:widowControl/>
        <w:spacing w:line="460" w:lineRule="exact"/>
        <w:ind w:firstLine="480"/>
        <w:jc w:val="left"/>
        <w:rPr>
          <w:color w:val="auto"/>
          <w:sz w:val="24"/>
          <w:highlight w:val="none"/>
        </w:rPr>
      </w:pPr>
      <w:r>
        <w:rPr>
          <w:rFonts w:hint="eastAsia"/>
          <w:color w:val="auto"/>
          <w:sz w:val="24"/>
          <w:highlight w:val="none"/>
        </w:rPr>
        <w:t>法定代表人或委托代理人</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（盖章或签字）</w:t>
      </w:r>
    </w:p>
    <w:p w14:paraId="4E585531">
      <w:pPr>
        <w:spacing w:before="100" w:beforeAutospacing="1" w:after="100" w:afterAutospacing="1" w:line="460" w:lineRule="exact"/>
        <w:ind w:firstLine="480"/>
        <w:rPr>
          <w:color w:val="auto"/>
          <w:sz w:val="24"/>
          <w:highlight w:val="none"/>
        </w:rPr>
      </w:pPr>
      <w:r>
        <w:rPr>
          <w:rFonts w:hint="eastAsia"/>
          <w:color w:val="auto"/>
          <w:sz w:val="24"/>
          <w:highlight w:val="none"/>
        </w:rPr>
        <w:t xml:space="preserve">投标单位：  </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 （全称并加盖公章）</w:t>
      </w:r>
    </w:p>
    <w:p w14:paraId="7F130B35">
      <w:pPr>
        <w:spacing w:before="100" w:beforeAutospacing="1" w:after="100" w:afterAutospacing="1" w:line="460" w:lineRule="exact"/>
        <w:ind w:firstLine="480"/>
        <w:jc w:val="right"/>
        <w:rPr>
          <w:rFonts w:hint="eastAsia"/>
          <w:color w:val="auto"/>
          <w:sz w:val="24"/>
          <w:highlight w:val="none"/>
        </w:rPr>
        <w:sectPr>
          <w:pgSz w:w="11906" w:h="16838"/>
          <w:pgMar w:top="1440" w:right="1587" w:bottom="1440" w:left="1587" w:header="851" w:footer="907" w:gutter="0"/>
          <w:cols w:space="720" w:num="1"/>
          <w:docGrid w:linePitch="360" w:charSpace="0"/>
        </w:sectPr>
      </w:pPr>
      <w:r>
        <w:rPr>
          <w:rFonts w:hint="eastAsia"/>
          <w:color w:val="auto"/>
          <w:sz w:val="24"/>
          <w:highlight w:val="none"/>
        </w:rPr>
        <w:t>年    月    日</w:t>
      </w:r>
    </w:p>
    <w:p w14:paraId="09B79DFE">
      <w:pPr>
        <w:pStyle w:val="32"/>
        <w:spacing w:beforeAutospacing="0" w:afterAutospacing="0"/>
        <w:jc w:val="center"/>
        <w:rPr>
          <w:rFonts w:hint="eastAsia" w:ascii="黑体" w:eastAsia="黑体" w:cs="黑体"/>
          <w:b/>
          <w:color w:val="auto"/>
          <w:sz w:val="32"/>
          <w:szCs w:val="32"/>
          <w:highlight w:val="none"/>
          <w:lang w:val="en-US" w:eastAsia="zh-CN"/>
        </w:rPr>
      </w:pPr>
      <w:r>
        <w:rPr>
          <w:rFonts w:hint="eastAsia" w:ascii="黑体" w:eastAsia="黑体" w:cs="黑体"/>
          <w:b/>
          <w:color w:val="auto"/>
          <w:sz w:val="32"/>
          <w:szCs w:val="32"/>
          <w:highlight w:val="none"/>
          <w:lang w:val="en-US" w:eastAsia="zh-CN"/>
        </w:rPr>
        <w:t>（十三）开标一览表</w:t>
      </w:r>
    </w:p>
    <w:p w14:paraId="66BB6553">
      <w:pPr>
        <w:spacing w:line="480" w:lineRule="exact"/>
        <w:jc w:val="left"/>
        <w:rPr>
          <w:rFonts w:ascii="宋体" w:hAnsi="宋体" w:cs="Segoe UI"/>
          <w:color w:val="auto"/>
          <w:sz w:val="27"/>
          <w:szCs w:val="27"/>
          <w:highlight w:val="none"/>
        </w:rPr>
      </w:pPr>
    </w:p>
    <w:p w14:paraId="6DB98DAE">
      <w:pPr>
        <w:spacing w:line="480" w:lineRule="exact"/>
        <w:ind w:firstLine="420"/>
        <w:jc w:val="left"/>
        <w:rPr>
          <w:rFonts w:ascii="宋体" w:hAnsi="宋体" w:cs="Segoe UI"/>
          <w:color w:val="auto"/>
          <w:sz w:val="27"/>
          <w:szCs w:val="27"/>
          <w:highlight w:val="none"/>
        </w:rPr>
      </w:pPr>
      <w:r>
        <w:rPr>
          <w:rFonts w:hint="eastAsia" w:ascii="宋体" w:hAnsi="宋体" w:cs="Segoe UI"/>
          <w:color w:val="auto"/>
          <w:sz w:val="27"/>
          <w:szCs w:val="27"/>
          <w:highlight w:val="none"/>
        </w:rPr>
        <w:t>项目编号：</w:t>
      </w:r>
    </w:p>
    <w:p w14:paraId="33EF2917">
      <w:pPr>
        <w:widowControl/>
        <w:spacing w:before="100" w:beforeAutospacing="1" w:after="100" w:afterAutospacing="1"/>
        <w:ind w:firstLine="420"/>
        <w:jc w:val="left"/>
        <w:rPr>
          <w:rFonts w:hint="eastAsia" w:ascii="宋体" w:hAnsi="宋体" w:eastAsia="宋体" w:cs="Segoe UI"/>
          <w:color w:val="auto"/>
          <w:sz w:val="27"/>
          <w:szCs w:val="27"/>
          <w:highlight w:val="none"/>
          <w:lang w:eastAsia="zh-CN"/>
        </w:rPr>
      </w:pPr>
      <w:r>
        <w:rPr>
          <w:rFonts w:ascii="宋体" w:hAnsi="宋体" w:cs="Segoe UI"/>
          <w:color w:val="auto"/>
          <w:sz w:val="27"/>
          <w:szCs w:val="27"/>
          <w:highlight w:val="none"/>
        </w:rPr>
        <w:t>货币单位：</w:t>
      </w:r>
      <w:r>
        <w:rPr>
          <w:rFonts w:hint="eastAsia" w:ascii="宋体" w:hAnsi="宋体" w:cs="Segoe UI"/>
          <w:color w:val="auto"/>
          <w:sz w:val="27"/>
          <w:szCs w:val="27"/>
          <w:highlight w:val="none"/>
          <w:lang w:val="en-US" w:eastAsia="zh-CN"/>
        </w:rPr>
        <w:t>元</w:t>
      </w:r>
    </w:p>
    <w:tbl>
      <w:tblPr>
        <w:tblStyle w:val="36"/>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60"/>
        <w:gridCol w:w="3530"/>
        <w:gridCol w:w="3095"/>
      </w:tblGrid>
      <w:tr w14:paraId="33187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2660" w:type="dxa"/>
            <w:noWrap w:val="0"/>
            <w:vAlign w:val="center"/>
          </w:tcPr>
          <w:p w14:paraId="54CC1704">
            <w:pPr>
              <w:widowControl/>
              <w:spacing w:before="100" w:beforeAutospacing="1" w:after="100" w:afterAutospacing="1"/>
              <w:jc w:val="center"/>
              <w:rPr>
                <w:rFonts w:ascii="宋体" w:hAnsi="宋体" w:cs="Segoe UI"/>
                <w:color w:val="auto"/>
                <w:sz w:val="24"/>
                <w:highlight w:val="none"/>
              </w:rPr>
            </w:pPr>
            <w:r>
              <w:rPr>
                <w:rFonts w:hint="eastAsia" w:ascii="宋体" w:hAnsi="宋体" w:cs="Segoe UI"/>
                <w:color w:val="auto"/>
                <w:sz w:val="24"/>
                <w:highlight w:val="none"/>
              </w:rPr>
              <w:t>分包</w:t>
            </w:r>
            <w:r>
              <w:rPr>
                <w:rFonts w:ascii="宋体" w:hAnsi="宋体" w:cs="Segoe UI"/>
                <w:color w:val="auto"/>
                <w:sz w:val="24"/>
                <w:highlight w:val="none"/>
              </w:rPr>
              <w:t>名称</w:t>
            </w:r>
          </w:p>
        </w:tc>
        <w:tc>
          <w:tcPr>
            <w:tcW w:w="3530" w:type="dxa"/>
            <w:noWrap w:val="0"/>
            <w:vAlign w:val="center"/>
          </w:tcPr>
          <w:p w14:paraId="7BE999EE">
            <w:pPr>
              <w:widowControl/>
              <w:spacing w:before="100" w:beforeAutospacing="1" w:after="100" w:afterAutospacing="1"/>
              <w:jc w:val="center"/>
              <w:rPr>
                <w:rFonts w:ascii="宋体" w:hAnsi="宋体" w:cs="Segoe UI"/>
                <w:color w:val="auto"/>
                <w:sz w:val="24"/>
                <w:highlight w:val="none"/>
              </w:rPr>
            </w:pPr>
            <w:r>
              <w:rPr>
                <w:rFonts w:ascii="宋体" w:hAnsi="宋体" w:cs="Segoe UI"/>
                <w:color w:val="auto"/>
                <w:sz w:val="24"/>
                <w:highlight w:val="none"/>
              </w:rPr>
              <w:t>项目内容</w:t>
            </w:r>
          </w:p>
        </w:tc>
        <w:tc>
          <w:tcPr>
            <w:tcW w:w="3095" w:type="dxa"/>
            <w:noWrap w:val="0"/>
            <w:vAlign w:val="center"/>
          </w:tcPr>
          <w:p w14:paraId="274E1439">
            <w:pPr>
              <w:widowControl/>
              <w:spacing w:before="100" w:beforeAutospacing="1" w:after="100" w:afterAutospacing="1"/>
              <w:jc w:val="center"/>
              <w:rPr>
                <w:rFonts w:ascii="宋体" w:hAnsi="宋体" w:cs="Segoe UI"/>
                <w:color w:val="auto"/>
                <w:sz w:val="24"/>
                <w:highlight w:val="none"/>
              </w:rPr>
            </w:pPr>
            <w:r>
              <w:rPr>
                <w:rFonts w:hint="eastAsia" w:ascii="宋体" w:hAnsi="宋体" w:cs="Segoe UI"/>
                <w:color w:val="auto"/>
                <w:sz w:val="24"/>
                <w:highlight w:val="none"/>
                <w:lang w:val="en-US" w:eastAsia="zh-CN"/>
              </w:rPr>
              <w:t>报价</w:t>
            </w:r>
            <w:r>
              <w:rPr>
                <w:rFonts w:ascii="宋体" w:hAnsi="宋体" w:cs="Segoe UI"/>
                <w:color w:val="auto"/>
                <w:sz w:val="24"/>
                <w:highlight w:val="none"/>
              </w:rPr>
              <w:t>（</w:t>
            </w:r>
            <w:r>
              <w:rPr>
                <w:rFonts w:hint="eastAsia" w:ascii="宋体" w:hAnsi="宋体" w:cs="Segoe UI"/>
                <w:color w:val="auto"/>
                <w:sz w:val="24"/>
                <w:highlight w:val="none"/>
                <w:lang w:val="en-US" w:eastAsia="zh-CN"/>
              </w:rPr>
              <w:t>元</w:t>
            </w:r>
            <w:r>
              <w:rPr>
                <w:rFonts w:ascii="宋体" w:hAnsi="宋体" w:cs="Segoe UI"/>
                <w:color w:val="auto"/>
                <w:sz w:val="24"/>
                <w:highlight w:val="none"/>
              </w:rPr>
              <w:t>）</w:t>
            </w:r>
          </w:p>
        </w:tc>
      </w:tr>
      <w:tr w14:paraId="28816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7" w:hRule="atLeast"/>
          <w:jc w:val="center"/>
        </w:trPr>
        <w:tc>
          <w:tcPr>
            <w:tcW w:w="2660" w:type="dxa"/>
            <w:noWrap w:val="0"/>
            <w:vAlign w:val="center"/>
          </w:tcPr>
          <w:p w14:paraId="64A9B995">
            <w:pPr>
              <w:widowControl/>
              <w:spacing w:before="100" w:beforeAutospacing="1" w:after="100" w:afterAutospacing="1"/>
              <w:jc w:val="center"/>
              <w:rPr>
                <w:rFonts w:ascii="宋体" w:hAnsi="宋体" w:cs="Segoe UI"/>
                <w:color w:val="auto"/>
                <w:sz w:val="24"/>
                <w:highlight w:val="none"/>
              </w:rPr>
            </w:pPr>
          </w:p>
        </w:tc>
        <w:tc>
          <w:tcPr>
            <w:tcW w:w="3530" w:type="dxa"/>
            <w:noWrap w:val="0"/>
            <w:vAlign w:val="center"/>
          </w:tcPr>
          <w:p w14:paraId="70700B9D">
            <w:pPr>
              <w:widowControl/>
              <w:spacing w:before="100" w:beforeAutospacing="1" w:after="100" w:afterAutospacing="1"/>
              <w:jc w:val="center"/>
              <w:rPr>
                <w:rFonts w:ascii="宋体" w:hAnsi="宋体" w:cs="Segoe UI"/>
                <w:color w:val="auto"/>
                <w:sz w:val="24"/>
                <w:highlight w:val="none"/>
              </w:rPr>
            </w:pPr>
            <w:r>
              <w:rPr>
                <w:rFonts w:ascii="宋体" w:hAnsi="宋体" w:cs="Segoe UI"/>
                <w:color w:val="auto"/>
                <w:sz w:val="24"/>
                <w:highlight w:val="none"/>
              </w:rPr>
              <w:t>详见投标文件</w:t>
            </w:r>
          </w:p>
        </w:tc>
        <w:tc>
          <w:tcPr>
            <w:tcW w:w="3095" w:type="dxa"/>
            <w:noWrap w:val="0"/>
            <w:vAlign w:val="center"/>
          </w:tcPr>
          <w:p w14:paraId="6A28BFAE">
            <w:pPr>
              <w:widowControl/>
              <w:spacing w:before="100" w:beforeAutospacing="1" w:after="100" w:afterAutospacing="1"/>
              <w:ind w:right="240"/>
              <w:jc w:val="right"/>
              <w:rPr>
                <w:rFonts w:ascii="宋体" w:hAnsi="宋体" w:cs="Segoe UI"/>
                <w:color w:val="auto"/>
                <w:sz w:val="24"/>
                <w:highlight w:val="none"/>
              </w:rPr>
            </w:pPr>
          </w:p>
        </w:tc>
      </w:tr>
      <w:tr w14:paraId="764E5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jc w:val="center"/>
        </w:trPr>
        <w:tc>
          <w:tcPr>
            <w:tcW w:w="9285" w:type="dxa"/>
            <w:gridSpan w:val="3"/>
            <w:noWrap w:val="0"/>
            <w:vAlign w:val="center"/>
          </w:tcPr>
          <w:p w14:paraId="3BA03ECD">
            <w:pPr>
              <w:widowControl/>
              <w:spacing w:before="100" w:beforeAutospacing="1" w:after="100" w:afterAutospacing="1"/>
              <w:jc w:val="left"/>
              <w:rPr>
                <w:rFonts w:ascii="宋体" w:hAnsi="宋体" w:cs="Segoe UI"/>
                <w:color w:val="auto"/>
                <w:sz w:val="24"/>
                <w:highlight w:val="none"/>
              </w:rPr>
            </w:pPr>
            <w:r>
              <w:rPr>
                <w:rFonts w:ascii="宋体" w:hAnsi="宋体" w:cs="Segoe UI"/>
                <w:color w:val="auto"/>
                <w:sz w:val="24"/>
                <w:highlight w:val="none"/>
              </w:rPr>
              <w:t>大写</w:t>
            </w:r>
            <w:r>
              <w:rPr>
                <w:rFonts w:hint="eastAsia" w:ascii="宋体" w:hAnsi="宋体" w:cs="Segoe UI"/>
                <w:color w:val="auto"/>
                <w:sz w:val="24"/>
                <w:highlight w:val="none"/>
              </w:rPr>
              <w:t>：</w:t>
            </w:r>
          </w:p>
        </w:tc>
      </w:tr>
    </w:tbl>
    <w:p w14:paraId="7775BEF0">
      <w:pPr>
        <w:widowControl/>
        <w:spacing w:before="100" w:beforeAutospacing="1" w:after="100" w:afterAutospacing="1"/>
        <w:jc w:val="left"/>
        <w:rPr>
          <w:rFonts w:ascii="宋体" w:hAnsi="宋体" w:cs="Segoe UI"/>
          <w:color w:val="auto"/>
          <w:sz w:val="27"/>
          <w:szCs w:val="27"/>
          <w:highlight w:val="none"/>
        </w:rPr>
      </w:pPr>
    </w:p>
    <w:p w14:paraId="2047B4D4">
      <w:pPr>
        <w:widowControl/>
        <w:spacing w:before="100" w:beforeAutospacing="1" w:after="100" w:afterAutospacing="1"/>
        <w:ind w:left="840" w:firstLine="420"/>
        <w:jc w:val="left"/>
        <w:rPr>
          <w:rFonts w:ascii="宋体" w:hAnsi="宋体" w:cs="Segoe UI"/>
          <w:color w:val="auto"/>
          <w:sz w:val="27"/>
          <w:szCs w:val="27"/>
          <w:highlight w:val="none"/>
        </w:rPr>
      </w:pPr>
      <w:r>
        <w:rPr>
          <w:rFonts w:ascii="宋体" w:hAnsi="宋体" w:cs="Segoe UI"/>
          <w:color w:val="auto"/>
          <w:sz w:val="27"/>
          <w:szCs w:val="27"/>
          <w:highlight w:val="none"/>
        </w:rPr>
        <w:t>投标人公章：</w:t>
      </w:r>
    </w:p>
    <w:p w14:paraId="060D175F">
      <w:pPr>
        <w:widowControl/>
        <w:spacing w:before="100" w:beforeAutospacing="1" w:after="100" w:afterAutospacing="1"/>
        <w:ind w:left="840" w:firstLine="420"/>
        <w:jc w:val="left"/>
        <w:rPr>
          <w:rFonts w:ascii="宋体" w:hAnsi="宋体" w:cs="Segoe UI"/>
          <w:color w:val="auto"/>
          <w:sz w:val="27"/>
          <w:szCs w:val="27"/>
          <w:highlight w:val="none"/>
        </w:rPr>
      </w:pPr>
      <w:r>
        <w:rPr>
          <w:rFonts w:ascii="宋体" w:hAnsi="宋体" w:cs="Segoe UI"/>
          <w:color w:val="auto"/>
          <w:sz w:val="27"/>
          <w:szCs w:val="27"/>
          <w:highlight w:val="none"/>
        </w:rPr>
        <w:t>（电子签章）</w:t>
      </w:r>
    </w:p>
    <w:p w14:paraId="1EA0B2E9">
      <w:pPr>
        <w:spacing w:before="50" w:after="50"/>
        <w:jc w:val="center"/>
        <w:rPr>
          <w:rFonts w:hint="eastAsia" w:ascii="黑体" w:hAnsi="黑体" w:eastAsia="黑体" w:cs="黑体"/>
          <w:b/>
          <w:color w:val="auto"/>
          <w:sz w:val="36"/>
          <w:szCs w:val="36"/>
          <w:highlight w:val="none"/>
          <w:lang w:val="en-US" w:eastAsia="zh-CN"/>
        </w:rPr>
        <w:sectPr>
          <w:pgSz w:w="11906" w:h="16838"/>
          <w:pgMar w:top="1440" w:right="1587" w:bottom="1440" w:left="1587" w:header="851" w:footer="907" w:gutter="0"/>
          <w:cols w:space="720" w:num="1"/>
          <w:docGrid w:linePitch="360" w:charSpace="0"/>
        </w:sectPr>
      </w:pPr>
    </w:p>
    <w:p w14:paraId="21C69F65">
      <w:pPr>
        <w:spacing w:before="50" w:after="50"/>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t>（十四）</w:t>
      </w:r>
      <w:r>
        <w:rPr>
          <w:rFonts w:hint="eastAsia" w:ascii="黑体" w:hAnsi="黑体" w:eastAsia="黑体" w:cs="黑体"/>
          <w:b/>
          <w:color w:val="auto"/>
          <w:sz w:val="36"/>
          <w:szCs w:val="36"/>
          <w:highlight w:val="none"/>
        </w:rPr>
        <w:t>技术方案、服务承诺</w:t>
      </w:r>
      <w:r>
        <w:rPr>
          <w:rFonts w:hint="eastAsia" w:ascii="黑体" w:hAnsi="黑体" w:eastAsia="黑体" w:cs="黑体"/>
          <w:b/>
          <w:color w:val="auto"/>
          <w:sz w:val="36"/>
          <w:szCs w:val="36"/>
          <w:highlight w:val="none"/>
          <w:lang w:val="en-US" w:eastAsia="zh-CN"/>
        </w:rPr>
        <w:t>、项目管理配备及企业能力等内容等</w:t>
      </w:r>
    </w:p>
    <w:p w14:paraId="5A362DE5">
      <w:pPr>
        <w:pStyle w:val="32"/>
        <w:spacing w:beforeAutospacing="0" w:afterAutospacing="0"/>
        <w:jc w:val="both"/>
        <w:rPr>
          <w:rFonts w:hint="eastAsia" w:ascii="黑体" w:eastAsia="黑体" w:cs="黑体"/>
          <w:b/>
          <w:color w:val="auto"/>
          <w:sz w:val="32"/>
          <w:szCs w:val="32"/>
          <w:highlight w:val="none"/>
          <w:lang w:val="en-US" w:eastAsia="zh-CN"/>
        </w:rPr>
      </w:pPr>
      <w:r>
        <w:rPr>
          <w:rFonts w:hint="eastAsia"/>
          <w:b/>
          <w:bCs/>
          <w:color w:val="auto"/>
          <w:sz w:val="28"/>
          <w:szCs w:val="28"/>
          <w:highlight w:val="none"/>
        </w:rPr>
        <w:t>拟投入</w:t>
      </w:r>
      <w:r>
        <w:rPr>
          <w:rFonts w:hint="eastAsia"/>
          <w:b/>
          <w:bCs/>
          <w:color w:val="auto"/>
          <w:sz w:val="28"/>
          <w:szCs w:val="28"/>
          <w:highlight w:val="none"/>
          <w:lang w:val="en-US" w:eastAsia="zh-CN"/>
        </w:rPr>
        <w:t>本项目服务</w:t>
      </w:r>
      <w:r>
        <w:rPr>
          <w:rFonts w:hint="eastAsia"/>
          <w:b/>
          <w:bCs/>
          <w:color w:val="auto"/>
          <w:sz w:val="28"/>
          <w:szCs w:val="28"/>
          <w:highlight w:val="none"/>
        </w:rPr>
        <w:t>人员</w:t>
      </w:r>
      <w:r>
        <w:rPr>
          <w:rFonts w:hint="eastAsia"/>
          <w:b/>
          <w:bCs/>
          <w:color w:val="auto"/>
          <w:sz w:val="28"/>
          <w:szCs w:val="28"/>
          <w:highlight w:val="none"/>
          <w:lang w:val="en-US" w:eastAsia="zh-CN"/>
        </w:rPr>
        <w:t>配备</w:t>
      </w:r>
      <w:r>
        <w:rPr>
          <w:rFonts w:hint="eastAsia"/>
          <w:b/>
          <w:bCs/>
          <w:color w:val="auto"/>
          <w:sz w:val="28"/>
          <w:szCs w:val="28"/>
          <w:highlight w:val="none"/>
        </w:rPr>
        <w:t>一览表</w:t>
      </w:r>
    </w:p>
    <w:tbl>
      <w:tblPr>
        <w:tblStyle w:val="36"/>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260"/>
        <w:gridCol w:w="1205"/>
        <w:gridCol w:w="906"/>
        <w:gridCol w:w="1117"/>
        <w:gridCol w:w="1494"/>
        <w:gridCol w:w="2236"/>
        <w:gridCol w:w="1131"/>
      </w:tblGrid>
      <w:tr w14:paraId="2792C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000000" w:sz="2" w:space="0"/>
              <w:left w:val="single" w:color="000000" w:sz="2" w:space="0"/>
              <w:bottom w:val="single" w:color="000000" w:sz="2" w:space="0"/>
              <w:right w:val="single" w:color="000000" w:sz="2" w:space="0"/>
            </w:tcBorders>
            <w:noWrap w:val="0"/>
            <w:vAlign w:val="center"/>
          </w:tcPr>
          <w:p w14:paraId="2ECE2A8F">
            <w:pPr>
              <w:jc w:val="center"/>
              <w:rPr>
                <w:rFonts w:hint="eastAsia" w:ascii="宋体" w:hAnsi="宋体"/>
                <w:b/>
                <w:color w:val="auto"/>
                <w:sz w:val="21"/>
                <w:szCs w:val="21"/>
                <w:highlight w:val="none"/>
              </w:rPr>
            </w:pPr>
            <w:r>
              <w:rPr>
                <w:rFonts w:hint="eastAsia" w:ascii="宋体" w:hAnsi="宋体"/>
                <w:b/>
                <w:color w:val="auto"/>
                <w:sz w:val="21"/>
                <w:szCs w:val="21"/>
                <w:highlight w:val="none"/>
              </w:rPr>
              <w:t>序号</w:t>
            </w:r>
          </w:p>
        </w:tc>
        <w:tc>
          <w:tcPr>
            <w:tcW w:w="1260" w:type="dxa"/>
            <w:tcBorders>
              <w:top w:val="single" w:color="000000" w:sz="2" w:space="0"/>
              <w:left w:val="single" w:color="auto" w:sz="4" w:space="0"/>
              <w:bottom w:val="single" w:color="000000" w:sz="2" w:space="0"/>
              <w:right w:val="single" w:color="auto" w:sz="4" w:space="0"/>
            </w:tcBorders>
            <w:noWrap w:val="0"/>
            <w:vAlign w:val="center"/>
          </w:tcPr>
          <w:p w14:paraId="3FBD7611">
            <w:pPr>
              <w:jc w:val="center"/>
              <w:rPr>
                <w:rFonts w:hint="eastAsia" w:ascii="宋体" w:hAnsi="宋体"/>
                <w:b/>
                <w:color w:val="auto"/>
                <w:sz w:val="21"/>
                <w:szCs w:val="21"/>
                <w:highlight w:val="none"/>
              </w:rPr>
            </w:pPr>
            <w:r>
              <w:rPr>
                <w:rFonts w:hint="eastAsia" w:ascii="宋体" w:hAnsi="宋体"/>
                <w:b/>
                <w:color w:val="auto"/>
                <w:sz w:val="21"/>
                <w:szCs w:val="21"/>
                <w:highlight w:val="none"/>
              </w:rPr>
              <w:t>岗位</w:t>
            </w:r>
          </w:p>
        </w:tc>
        <w:tc>
          <w:tcPr>
            <w:tcW w:w="1205" w:type="dxa"/>
            <w:tcBorders>
              <w:top w:val="single" w:color="000000" w:sz="2" w:space="0"/>
              <w:left w:val="single" w:color="auto" w:sz="4" w:space="0"/>
              <w:bottom w:val="single" w:color="000000" w:sz="2" w:space="0"/>
              <w:right w:val="single" w:color="000000" w:sz="2" w:space="0"/>
            </w:tcBorders>
            <w:noWrap w:val="0"/>
            <w:vAlign w:val="center"/>
          </w:tcPr>
          <w:p w14:paraId="51A43262">
            <w:pPr>
              <w:jc w:val="center"/>
              <w:rPr>
                <w:rFonts w:hint="eastAsia" w:ascii="宋体" w:hAnsi="宋体"/>
                <w:b/>
                <w:color w:val="auto"/>
                <w:sz w:val="21"/>
                <w:szCs w:val="21"/>
                <w:highlight w:val="none"/>
              </w:rPr>
            </w:pPr>
            <w:r>
              <w:rPr>
                <w:rFonts w:hint="eastAsia" w:ascii="宋体" w:hAnsi="宋体"/>
                <w:b/>
                <w:color w:val="auto"/>
                <w:sz w:val="21"/>
                <w:szCs w:val="21"/>
                <w:highlight w:val="none"/>
              </w:rPr>
              <w:t>姓名</w:t>
            </w:r>
          </w:p>
        </w:tc>
        <w:tc>
          <w:tcPr>
            <w:tcW w:w="906" w:type="dxa"/>
            <w:tcBorders>
              <w:top w:val="single" w:color="000000" w:sz="2" w:space="0"/>
              <w:left w:val="single" w:color="auto" w:sz="4" w:space="0"/>
              <w:bottom w:val="single" w:color="000000" w:sz="2" w:space="0"/>
              <w:right w:val="single" w:color="auto" w:sz="4" w:space="0"/>
            </w:tcBorders>
            <w:noWrap w:val="0"/>
            <w:vAlign w:val="center"/>
          </w:tcPr>
          <w:p w14:paraId="0FEA86AA">
            <w:pPr>
              <w:jc w:val="center"/>
              <w:rPr>
                <w:rFonts w:hint="eastAsia" w:ascii="宋体" w:hAnsi="宋体"/>
                <w:b/>
                <w:color w:val="auto"/>
                <w:sz w:val="21"/>
                <w:szCs w:val="21"/>
                <w:highlight w:val="none"/>
              </w:rPr>
            </w:pPr>
            <w:r>
              <w:rPr>
                <w:rFonts w:hint="eastAsia" w:ascii="宋体" w:hAnsi="宋体"/>
                <w:b/>
                <w:color w:val="auto"/>
                <w:sz w:val="21"/>
                <w:szCs w:val="21"/>
                <w:highlight w:val="none"/>
              </w:rPr>
              <w:t>性别</w:t>
            </w:r>
          </w:p>
        </w:tc>
        <w:tc>
          <w:tcPr>
            <w:tcW w:w="1117" w:type="dxa"/>
            <w:tcBorders>
              <w:top w:val="single" w:color="000000" w:sz="2" w:space="0"/>
              <w:left w:val="single" w:color="auto" w:sz="4" w:space="0"/>
              <w:bottom w:val="single" w:color="000000" w:sz="2" w:space="0"/>
              <w:right w:val="single" w:color="auto" w:sz="4" w:space="0"/>
            </w:tcBorders>
            <w:noWrap w:val="0"/>
            <w:vAlign w:val="center"/>
          </w:tcPr>
          <w:p w14:paraId="3079B776">
            <w:pPr>
              <w:jc w:val="center"/>
              <w:rPr>
                <w:rFonts w:hint="eastAsia" w:ascii="宋体" w:hAnsi="宋体"/>
                <w:b/>
                <w:color w:val="auto"/>
                <w:sz w:val="21"/>
                <w:szCs w:val="21"/>
                <w:highlight w:val="none"/>
              </w:rPr>
            </w:pPr>
            <w:r>
              <w:rPr>
                <w:rFonts w:hint="eastAsia" w:ascii="宋体" w:hAnsi="宋体"/>
                <w:b/>
                <w:color w:val="auto"/>
                <w:sz w:val="21"/>
                <w:szCs w:val="21"/>
                <w:highlight w:val="none"/>
              </w:rPr>
              <w:t>年龄</w:t>
            </w:r>
          </w:p>
        </w:tc>
        <w:tc>
          <w:tcPr>
            <w:tcW w:w="1494" w:type="dxa"/>
            <w:tcBorders>
              <w:top w:val="single" w:color="000000" w:sz="2" w:space="0"/>
              <w:left w:val="single" w:color="auto" w:sz="4" w:space="0"/>
              <w:bottom w:val="single" w:color="000000" w:sz="2" w:space="0"/>
              <w:right w:val="single" w:color="auto" w:sz="4" w:space="0"/>
            </w:tcBorders>
            <w:noWrap w:val="0"/>
            <w:vAlign w:val="center"/>
          </w:tcPr>
          <w:p w14:paraId="727F595E">
            <w:pPr>
              <w:jc w:val="center"/>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身份证号码</w:t>
            </w:r>
          </w:p>
        </w:tc>
        <w:tc>
          <w:tcPr>
            <w:tcW w:w="2236" w:type="dxa"/>
            <w:tcBorders>
              <w:top w:val="single" w:color="000000" w:sz="2" w:space="0"/>
              <w:left w:val="single" w:color="auto" w:sz="4" w:space="0"/>
              <w:bottom w:val="single" w:color="000000" w:sz="2" w:space="0"/>
              <w:right w:val="single" w:color="000000" w:sz="2" w:space="0"/>
            </w:tcBorders>
            <w:noWrap w:val="0"/>
            <w:vAlign w:val="center"/>
          </w:tcPr>
          <w:p w14:paraId="6B88A985">
            <w:pPr>
              <w:jc w:val="center"/>
              <w:rPr>
                <w:rFonts w:hint="eastAsia" w:ascii="宋体" w:hAnsi="宋体" w:eastAsia="宋体" w:cs="宋体"/>
                <w:b/>
                <w:color w:val="auto"/>
                <w:sz w:val="21"/>
                <w:szCs w:val="21"/>
                <w:highlight w:val="none"/>
                <w:lang w:eastAsia="zh-CN"/>
              </w:rPr>
            </w:pPr>
            <w:r>
              <w:rPr>
                <w:rFonts w:hint="eastAsia" w:ascii="宋体" w:hAnsi="宋体"/>
                <w:b/>
                <w:color w:val="auto"/>
                <w:sz w:val="21"/>
                <w:szCs w:val="21"/>
                <w:highlight w:val="none"/>
                <w:lang w:eastAsia="zh-CN"/>
              </w:rPr>
              <w:t>证书编号</w:t>
            </w:r>
          </w:p>
        </w:tc>
        <w:tc>
          <w:tcPr>
            <w:tcW w:w="1131" w:type="dxa"/>
            <w:tcBorders>
              <w:top w:val="single" w:color="000000" w:sz="2" w:space="0"/>
              <w:left w:val="single" w:color="auto" w:sz="4" w:space="0"/>
              <w:bottom w:val="single" w:color="000000" w:sz="2" w:space="0"/>
              <w:right w:val="single" w:color="000000" w:sz="2" w:space="0"/>
            </w:tcBorders>
            <w:noWrap w:val="0"/>
            <w:vAlign w:val="center"/>
          </w:tcPr>
          <w:p w14:paraId="1EAE3E50">
            <w:pPr>
              <w:jc w:val="center"/>
              <w:rPr>
                <w:rFonts w:hint="eastAsia" w:ascii="宋体" w:hAnsi="宋体"/>
                <w:b/>
                <w:color w:val="auto"/>
                <w:sz w:val="21"/>
                <w:szCs w:val="21"/>
                <w:highlight w:val="none"/>
              </w:rPr>
            </w:pPr>
            <w:r>
              <w:rPr>
                <w:rFonts w:hint="eastAsia" w:ascii="宋体" w:hAnsi="宋体"/>
                <w:b/>
                <w:color w:val="auto"/>
                <w:sz w:val="21"/>
                <w:szCs w:val="21"/>
                <w:highlight w:val="none"/>
              </w:rPr>
              <w:t>备  注</w:t>
            </w:r>
          </w:p>
        </w:tc>
      </w:tr>
      <w:tr w14:paraId="3A28F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62C2180C">
            <w:pPr>
              <w:ind w:firstLine="210"/>
              <w:rPr>
                <w:rFonts w:hint="eastAsia" w:ascii="宋体" w:hAnsi="宋体"/>
                <w:color w:val="auto"/>
                <w:sz w:val="21"/>
                <w:szCs w:val="21"/>
                <w:highlight w:val="none"/>
              </w:rPr>
            </w:pPr>
            <w:r>
              <w:rPr>
                <w:rFonts w:hint="eastAsia" w:ascii="宋体" w:hAnsi="宋体"/>
                <w:color w:val="auto"/>
                <w:sz w:val="21"/>
                <w:szCs w:val="21"/>
                <w:highlight w:val="none"/>
              </w:rPr>
              <w:t>1</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75323CBC">
            <w:pPr>
              <w:jc w:val="center"/>
              <w:rPr>
                <w:rFonts w:hint="eastAsia" w:ascii="宋体" w:hAnsi="宋体"/>
                <w:color w:val="auto"/>
                <w:sz w:val="21"/>
                <w:szCs w:val="21"/>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1ACB26AF">
            <w:pPr>
              <w:ind w:firstLine="480"/>
              <w:jc w:val="center"/>
              <w:rPr>
                <w:rFonts w:hint="eastAsia" w:ascii="宋体" w:hAnsi="宋体"/>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3832F4C0">
            <w:pPr>
              <w:ind w:firstLine="480"/>
              <w:jc w:val="center"/>
              <w:rPr>
                <w:rFonts w:hint="eastAsia" w:ascii="宋体" w:hAnsi="宋体"/>
                <w:color w:val="auto"/>
                <w:sz w:val="21"/>
                <w:szCs w:val="21"/>
                <w:highlight w:val="none"/>
              </w:rPr>
            </w:pPr>
          </w:p>
        </w:tc>
        <w:tc>
          <w:tcPr>
            <w:tcW w:w="1117" w:type="dxa"/>
            <w:tcBorders>
              <w:top w:val="single" w:color="auto" w:sz="4" w:space="0"/>
              <w:left w:val="single" w:color="auto" w:sz="4" w:space="0"/>
              <w:bottom w:val="single" w:color="000000" w:sz="2" w:space="0"/>
              <w:right w:val="single" w:color="auto" w:sz="4" w:space="0"/>
            </w:tcBorders>
            <w:noWrap w:val="0"/>
            <w:vAlign w:val="top"/>
          </w:tcPr>
          <w:p w14:paraId="217C6247">
            <w:pPr>
              <w:ind w:firstLine="480"/>
              <w:jc w:val="center"/>
              <w:rPr>
                <w:rFonts w:hint="eastAsia" w:ascii="宋体" w:hAnsi="宋体"/>
                <w:color w:val="auto"/>
                <w:sz w:val="21"/>
                <w:szCs w:val="21"/>
                <w:highlight w:val="none"/>
              </w:rPr>
            </w:pPr>
          </w:p>
        </w:tc>
        <w:tc>
          <w:tcPr>
            <w:tcW w:w="1494" w:type="dxa"/>
            <w:tcBorders>
              <w:top w:val="single" w:color="auto" w:sz="4" w:space="0"/>
              <w:left w:val="single" w:color="auto" w:sz="4" w:space="0"/>
              <w:bottom w:val="single" w:color="000000" w:sz="2" w:space="0"/>
              <w:right w:val="single" w:color="auto" w:sz="4" w:space="0"/>
            </w:tcBorders>
            <w:noWrap w:val="0"/>
            <w:vAlign w:val="center"/>
          </w:tcPr>
          <w:p w14:paraId="308B9C25">
            <w:pPr>
              <w:ind w:firstLine="480"/>
              <w:jc w:val="center"/>
              <w:rPr>
                <w:rFonts w:hint="eastAsia" w:ascii="宋体" w:hAnsi="宋体"/>
                <w:color w:val="auto"/>
                <w:sz w:val="21"/>
                <w:szCs w:val="21"/>
                <w:highlight w:val="none"/>
              </w:rPr>
            </w:pPr>
          </w:p>
        </w:tc>
        <w:tc>
          <w:tcPr>
            <w:tcW w:w="2236" w:type="dxa"/>
            <w:tcBorders>
              <w:top w:val="single" w:color="auto" w:sz="4" w:space="0"/>
              <w:left w:val="single" w:color="auto" w:sz="4" w:space="0"/>
              <w:bottom w:val="single" w:color="000000" w:sz="2" w:space="0"/>
              <w:right w:val="single" w:color="000000" w:sz="2" w:space="0"/>
            </w:tcBorders>
            <w:noWrap w:val="0"/>
            <w:vAlign w:val="center"/>
          </w:tcPr>
          <w:p w14:paraId="19E23E1F">
            <w:pPr>
              <w:ind w:firstLine="480"/>
              <w:jc w:val="center"/>
              <w:rPr>
                <w:rFonts w:hint="eastAsia" w:ascii="宋体" w:hAnsi="宋体"/>
                <w:color w:val="auto"/>
                <w:sz w:val="21"/>
                <w:szCs w:val="21"/>
                <w:highlight w:val="none"/>
              </w:rPr>
            </w:pPr>
          </w:p>
        </w:tc>
        <w:tc>
          <w:tcPr>
            <w:tcW w:w="1131" w:type="dxa"/>
            <w:tcBorders>
              <w:top w:val="single" w:color="auto" w:sz="4" w:space="0"/>
              <w:left w:val="single" w:color="auto" w:sz="4" w:space="0"/>
              <w:bottom w:val="single" w:color="000000" w:sz="2" w:space="0"/>
              <w:right w:val="single" w:color="000000" w:sz="2" w:space="0"/>
            </w:tcBorders>
            <w:noWrap w:val="0"/>
            <w:vAlign w:val="center"/>
          </w:tcPr>
          <w:p w14:paraId="4477CE51">
            <w:pPr>
              <w:ind w:firstLine="480"/>
              <w:jc w:val="center"/>
              <w:rPr>
                <w:rFonts w:hint="eastAsia" w:ascii="宋体" w:hAnsi="宋体"/>
                <w:color w:val="auto"/>
                <w:sz w:val="21"/>
                <w:szCs w:val="21"/>
                <w:highlight w:val="none"/>
              </w:rPr>
            </w:pPr>
          </w:p>
        </w:tc>
      </w:tr>
      <w:tr w14:paraId="22F9A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611DEE1">
            <w:pPr>
              <w:ind w:firstLine="210"/>
              <w:rPr>
                <w:rFonts w:hint="eastAsia" w:ascii="宋体" w:hAnsi="宋体"/>
                <w:color w:val="auto"/>
                <w:sz w:val="21"/>
                <w:szCs w:val="21"/>
                <w:highlight w:val="none"/>
              </w:rPr>
            </w:pPr>
            <w:r>
              <w:rPr>
                <w:rFonts w:hint="eastAsia" w:ascii="宋体" w:hAnsi="宋体"/>
                <w:color w:val="auto"/>
                <w:sz w:val="21"/>
                <w:szCs w:val="21"/>
                <w:highlight w:val="none"/>
              </w:rPr>
              <w:t>2</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7706DAA0">
            <w:pPr>
              <w:jc w:val="center"/>
              <w:rPr>
                <w:rFonts w:hint="eastAsia" w:ascii="宋体" w:hAnsi="宋体"/>
                <w:color w:val="auto"/>
                <w:sz w:val="21"/>
                <w:szCs w:val="21"/>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41ECC0E9">
            <w:pPr>
              <w:ind w:firstLine="480"/>
              <w:jc w:val="center"/>
              <w:rPr>
                <w:rFonts w:hint="eastAsia" w:ascii="宋体" w:hAnsi="宋体"/>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4182C01E">
            <w:pPr>
              <w:ind w:firstLine="480"/>
              <w:jc w:val="center"/>
              <w:rPr>
                <w:rFonts w:hint="eastAsia" w:ascii="宋体" w:hAnsi="宋体"/>
                <w:color w:val="auto"/>
                <w:sz w:val="21"/>
                <w:szCs w:val="21"/>
                <w:highlight w:val="none"/>
              </w:rPr>
            </w:pPr>
          </w:p>
        </w:tc>
        <w:tc>
          <w:tcPr>
            <w:tcW w:w="1117" w:type="dxa"/>
            <w:tcBorders>
              <w:top w:val="single" w:color="auto" w:sz="4" w:space="0"/>
              <w:left w:val="single" w:color="auto" w:sz="4" w:space="0"/>
              <w:bottom w:val="single" w:color="000000" w:sz="2" w:space="0"/>
              <w:right w:val="single" w:color="auto" w:sz="4" w:space="0"/>
            </w:tcBorders>
            <w:noWrap w:val="0"/>
            <w:vAlign w:val="top"/>
          </w:tcPr>
          <w:p w14:paraId="168D34B3">
            <w:pPr>
              <w:ind w:firstLine="480"/>
              <w:jc w:val="center"/>
              <w:rPr>
                <w:rFonts w:hint="eastAsia" w:ascii="宋体" w:hAnsi="宋体"/>
                <w:color w:val="auto"/>
                <w:sz w:val="21"/>
                <w:szCs w:val="21"/>
                <w:highlight w:val="none"/>
              </w:rPr>
            </w:pPr>
          </w:p>
        </w:tc>
        <w:tc>
          <w:tcPr>
            <w:tcW w:w="1494" w:type="dxa"/>
            <w:tcBorders>
              <w:top w:val="single" w:color="auto" w:sz="4" w:space="0"/>
              <w:left w:val="single" w:color="auto" w:sz="4" w:space="0"/>
              <w:bottom w:val="single" w:color="000000" w:sz="2" w:space="0"/>
              <w:right w:val="single" w:color="auto" w:sz="4" w:space="0"/>
            </w:tcBorders>
            <w:noWrap w:val="0"/>
            <w:vAlign w:val="center"/>
          </w:tcPr>
          <w:p w14:paraId="20894B9D">
            <w:pPr>
              <w:ind w:firstLine="480"/>
              <w:jc w:val="center"/>
              <w:rPr>
                <w:rFonts w:hint="eastAsia" w:ascii="宋体" w:hAnsi="宋体"/>
                <w:color w:val="auto"/>
                <w:sz w:val="21"/>
                <w:szCs w:val="21"/>
                <w:highlight w:val="none"/>
              </w:rPr>
            </w:pPr>
          </w:p>
        </w:tc>
        <w:tc>
          <w:tcPr>
            <w:tcW w:w="2236" w:type="dxa"/>
            <w:tcBorders>
              <w:top w:val="single" w:color="auto" w:sz="4" w:space="0"/>
              <w:left w:val="single" w:color="auto" w:sz="4" w:space="0"/>
              <w:bottom w:val="single" w:color="000000" w:sz="2" w:space="0"/>
              <w:right w:val="single" w:color="000000" w:sz="2" w:space="0"/>
            </w:tcBorders>
            <w:noWrap w:val="0"/>
            <w:vAlign w:val="center"/>
          </w:tcPr>
          <w:p w14:paraId="0276B34E">
            <w:pPr>
              <w:ind w:firstLine="480"/>
              <w:jc w:val="center"/>
              <w:rPr>
                <w:rFonts w:hint="eastAsia" w:ascii="宋体" w:hAnsi="宋体"/>
                <w:color w:val="auto"/>
                <w:sz w:val="21"/>
                <w:szCs w:val="21"/>
                <w:highlight w:val="none"/>
              </w:rPr>
            </w:pPr>
          </w:p>
        </w:tc>
        <w:tc>
          <w:tcPr>
            <w:tcW w:w="1131" w:type="dxa"/>
            <w:tcBorders>
              <w:top w:val="single" w:color="auto" w:sz="4" w:space="0"/>
              <w:left w:val="single" w:color="auto" w:sz="4" w:space="0"/>
              <w:bottom w:val="single" w:color="000000" w:sz="2" w:space="0"/>
              <w:right w:val="single" w:color="000000" w:sz="2" w:space="0"/>
            </w:tcBorders>
            <w:noWrap w:val="0"/>
            <w:vAlign w:val="center"/>
          </w:tcPr>
          <w:p w14:paraId="7A663351">
            <w:pPr>
              <w:ind w:firstLine="480"/>
              <w:jc w:val="center"/>
              <w:rPr>
                <w:rFonts w:hint="eastAsia" w:ascii="宋体" w:hAnsi="宋体"/>
                <w:color w:val="auto"/>
                <w:sz w:val="21"/>
                <w:szCs w:val="21"/>
                <w:highlight w:val="none"/>
              </w:rPr>
            </w:pPr>
          </w:p>
        </w:tc>
      </w:tr>
      <w:tr w14:paraId="77A39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34FEBC3B">
            <w:pPr>
              <w:ind w:firstLine="210"/>
              <w:rPr>
                <w:rFonts w:hint="eastAsia" w:ascii="宋体" w:hAnsi="宋体"/>
                <w:color w:val="auto"/>
                <w:sz w:val="21"/>
                <w:szCs w:val="21"/>
                <w:highlight w:val="none"/>
              </w:rPr>
            </w:pPr>
            <w:r>
              <w:rPr>
                <w:rFonts w:hint="eastAsia" w:ascii="宋体" w:hAnsi="宋体"/>
                <w:color w:val="auto"/>
                <w:sz w:val="21"/>
                <w:szCs w:val="21"/>
                <w:highlight w:val="none"/>
              </w:rPr>
              <w:t>3</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7BAA3CC4">
            <w:pPr>
              <w:jc w:val="center"/>
              <w:rPr>
                <w:rFonts w:hint="eastAsia" w:ascii="宋体" w:hAnsi="宋体"/>
                <w:color w:val="auto"/>
                <w:sz w:val="21"/>
                <w:szCs w:val="21"/>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7CFAC49E">
            <w:pPr>
              <w:ind w:firstLine="480"/>
              <w:jc w:val="center"/>
              <w:rPr>
                <w:rFonts w:hint="eastAsia" w:ascii="宋体" w:hAnsi="宋体"/>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5FBBF694">
            <w:pPr>
              <w:ind w:firstLine="480"/>
              <w:jc w:val="center"/>
              <w:rPr>
                <w:rFonts w:hint="eastAsia" w:ascii="宋体" w:hAnsi="宋体"/>
                <w:color w:val="auto"/>
                <w:sz w:val="21"/>
                <w:szCs w:val="21"/>
                <w:highlight w:val="none"/>
              </w:rPr>
            </w:pPr>
          </w:p>
        </w:tc>
        <w:tc>
          <w:tcPr>
            <w:tcW w:w="1117" w:type="dxa"/>
            <w:tcBorders>
              <w:top w:val="single" w:color="auto" w:sz="4" w:space="0"/>
              <w:left w:val="single" w:color="auto" w:sz="4" w:space="0"/>
              <w:bottom w:val="single" w:color="000000" w:sz="2" w:space="0"/>
              <w:right w:val="single" w:color="auto" w:sz="4" w:space="0"/>
            </w:tcBorders>
            <w:noWrap w:val="0"/>
            <w:vAlign w:val="top"/>
          </w:tcPr>
          <w:p w14:paraId="4C06410C">
            <w:pPr>
              <w:ind w:firstLine="480"/>
              <w:jc w:val="center"/>
              <w:rPr>
                <w:rFonts w:hint="eastAsia" w:ascii="宋体" w:hAnsi="宋体"/>
                <w:color w:val="auto"/>
                <w:sz w:val="21"/>
                <w:szCs w:val="21"/>
                <w:highlight w:val="none"/>
              </w:rPr>
            </w:pPr>
          </w:p>
        </w:tc>
        <w:tc>
          <w:tcPr>
            <w:tcW w:w="1494" w:type="dxa"/>
            <w:tcBorders>
              <w:top w:val="single" w:color="auto" w:sz="4" w:space="0"/>
              <w:left w:val="single" w:color="auto" w:sz="4" w:space="0"/>
              <w:bottom w:val="single" w:color="000000" w:sz="2" w:space="0"/>
              <w:right w:val="single" w:color="auto" w:sz="4" w:space="0"/>
            </w:tcBorders>
            <w:noWrap w:val="0"/>
            <w:vAlign w:val="center"/>
          </w:tcPr>
          <w:p w14:paraId="10A7B6E4">
            <w:pPr>
              <w:ind w:firstLine="480"/>
              <w:jc w:val="center"/>
              <w:rPr>
                <w:rFonts w:hint="eastAsia" w:ascii="宋体" w:hAnsi="宋体"/>
                <w:color w:val="auto"/>
                <w:sz w:val="21"/>
                <w:szCs w:val="21"/>
                <w:highlight w:val="none"/>
              </w:rPr>
            </w:pPr>
          </w:p>
        </w:tc>
        <w:tc>
          <w:tcPr>
            <w:tcW w:w="2236" w:type="dxa"/>
            <w:tcBorders>
              <w:top w:val="single" w:color="auto" w:sz="4" w:space="0"/>
              <w:left w:val="single" w:color="auto" w:sz="4" w:space="0"/>
              <w:bottom w:val="single" w:color="000000" w:sz="2" w:space="0"/>
              <w:right w:val="single" w:color="000000" w:sz="2" w:space="0"/>
            </w:tcBorders>
            <w:noWrap w:val="0"/>
            <w:vAlign w:val="center"/>
          </w:tcPr>
          <w:p w14:paraId="3BECEC7C">
            <w:pPr>
              <w:ind w:firstLine="480"/>
              <w:jc w:val="center"/>
              <w:rPr>
                <w:rFonts w:hint="eastAsia" w:ascii="宋体" w:hAnsi="宋体"/>
                <w:color w:val="auto"/>
                <w:sz w:val="21"/>
                <w:szCs w:val="21"/>
                <w:highlight w:val="none"/>
              </w:rPr>
            </w:pPr>
          </w:p>
        </w:tc>
        <w:tc>
          <w:tcPr>
            <w:tcW w:w="1131" w:type="dxa"/>
            <w:tcBorders>
              <w:top w:val="single" w:color="auto" w:sz="4" w:space="0"/>
              <w:left w:val="single" w:color="auto" w:sz="4" w:space="0"/>
              <w:bottom w:val="single" w:color="000000" w:sz="2" w:space="0"/>
              <w:right w:val="single" w:color="000000" w:sz="2" w:space="0"/>
            </w:tcBorders>
            <w:noWrap w:val="0"/>
            <w:vAlign w:val="center"/>
          </w:tcPr>
          <w:p w14:paraId="516FD523">
            <w:pPr>
              <w:ind w:firstLine="480"/>
              <w:jc w:val="center"/>
              <w:rPr>
                <w:rFonts w:hint="eastAsia" w:ascii="宋体" w:hAnsi="宋体"/>
                <w:color w:val="auto"/>
                <w:sz w:val="21"/>
                <w:szCs w:val="21"/>
                <w:highlight w:val="none"/>
              </w:rPr>
            </w:pPr>
          </w:p>
        </w:tc>
      </w:tr>
      <w:tr w14:paraId="66288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2531C257">
            <w:pPr>
              <w:ind w:firstLine="210"/>
              <w:rPr>
                <w:rFonts w:hint="eastAsia" w:ascii="宋体" w:hAnsi="宋体"/>
                <w:color w:val="auto"/>
                <w:sz w:val="21"/>
                <w:szCs w:val="21"/>
                <w:highlight w:val="none"/>
              </w:rPr>
            </w:pPr>
            <w:r>
              <w:rPr>
                <w:rFonts w:hint="eastAsia" w:ascii="宋体" w:hAnsi="宋体"/>
                <w:color w:val="auto"/>
                <w:sz w:val="21"/>
                <w:szCs w:val="21"/>
                <w:highlight w:val="none"/>
              </w:rPr>
              <w:t>4</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00EFE004">
            <w:pPr>
              <w:ind w:firstLine="480"/>
              <w:rPr>
                <w:rFonts w:hint="eastAsia" w:ascii="宋体" w:hAnsi="宋体"/>
                <w:color w:val="auto"/>
                <w:sz w:val="21"/>
                <w:szCs w:val="21"/>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7237348B">
            <w:pPr>
              <w:ind w:firstLine="480"/>
              <w:jc w:val="center"/>
              <w:rPr>
                <w:rFonts w:hint="eastAsia" w:ascii="宋体" w:hAnsi="宋体"/>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7EEB6AD4">
            <w:pPr>
              <w:ind w:firstLine="480"/>
              <w:jc w:val="center"/>
              <w:rPr>
                <w:rFonts w:hint="eastAsia" w:ascii="宋体" w:hAnsi="宋体"/>
                <w:color w:val="auto"/>
                <w:sz w:val="21"/>
                <w:szCs w:val="21"/>
                <w:highlight w:val="none"/>
              </w:rPr>
            </w:pPr>
          </w:p>
        </w:tc>
        <w:tc>
          <w:tcPr>
            <w:tcW w:w="1117" w:type="dxa"/>
            <w:tcBorders>
              <w:top w:val="single" w:color="auto" w:sz="4" w:space="0"/>
              <w:left w:val="single" w:color="auto" w:sz="4" w:space="0"/>
              <w:bottom w:val="single" w:color="000000" w:sz="2" w:space="0"/>
              <w:right w:val="single" w:color="auto" w:sz="4" w:space="0"/>
            </w:tcBorders>
            <w:noWrap w:val="0"/>
            <w:vAlign w:val="top"/>
          </w:tcPr>
          <w:p w14:paraId="3059CB93">
            <w:pPr>
              <w:ind w:firstLine="480"/>
              <w:jc w:val="center"/>
              <w:rPr>
                <w:rFonts w:hint="eastAsia" w:ascii="宋体" w:hAnsi="宋体"/>
                <w:color w:val="auto"/>
                <w:sz w:val="21"/>
                <w:szCs w:val="21"/>
                <w:highlight w:val="none"/>
              </w:rPr>
            </w:pPr>
          </w:p>
        </w:tc>
        <w:tc>
          <w:tcPr>
            <w:tcW w:w="1494" w:type="dxa"/>
            <w:tcBorders>
              <w:top w:val="single" w:color="auto" w:sz="4" w:space="0"/>
              <w:left w:val="single" w:color="auto" w:sz="4" w:space="0"/>
              <w:bottom w:val="single" w:color="000000" w:sz="2" w:space="0"/>
              <w:right w:val="single" w:color="auto" w:sz="4" w:space="0"/>
            </w:tcBorders>
            <w:noWrap w:val="0"/>
            <w:vAlign w:val="center"/>
          </w:tcPr>
          <w:p w14:paraId="39C11D23">
            <w:pPr>
              <w:ind w:firstLine="480"/>
              <w:jc w:val="center"/>
              <w:rPr>
                <w:rFonts w:hint="eastAsia" w:ascii="宋体" w:hAnsi="宋体"/>
                <w:color w:val="auto"/>
                <w:sz w:val="21"/>
                <w:szCs w:val="21"/>
                <w:highlight w:val="none"/>
              </w:rPr>
            </w:pPr>
          </w:p>
        </w:tc>
        <w:tc>
          <w:tcPr>
            <w:tcW w:w="2236" w:type="dxa"/>
            <w:tcBorders>
              <w:top w:val="single" w:color="auto" w:sz="4" w:space="0"/>
              <w:left w:val="single" w:color="auto" w:sz="4" w:space="0"/>
              <w:bottom w:val="single" w:color="000000" w:sz="2" w:space="0"/>
              <w:right w:val="single" w:color="000000" w:sz="2" w:space="0"/>
            </w:tcBorders>
            <w:noWrap w:val="0"/>
            <w:vAlign w:val="center"/>
          </w:tcPr>
          <w:p w14:paraId="1056B2D3">
            <w:pPr>
              <w:ind w:firstLine="480"/>
              <w:jc w:val="center"/>
              <w:rPr>
                <w:rFonts w:hint="eastAsia" w:ascii="宋体" w:hAnsi="宋体"/>
                <w:color w:val="auto"/>
                <w:sz w:val="21"/>
                <w:szCs w:val="21"/>
                <w:highlight w:val="none"/>
              </w:rPr>
            </w:pPr>
          </w:p>
        </w:tc>
        <w:tc>
          <w:tcPr>
            <w:tcW w:w="1131" w:type="dxa"/>
            <w:tcBorders>
              <w:top w:val="single" w:color="auto" w:sz="4" w:space="0"/>
              <w:left w:val="single" w:color="auto" w:sz="4" w:space="0"/>
              <w:bottom w:val="single" w:color="000000" w:sz="2" w:space="0"/>
              <w:right w:val="single" w:color="000000" w:sz="2" w:space="0"/>
            </w:tcBorders>
            <w:noWrap w:val="0"/>
            <w:vAlign w:val="center"/>
          </w:tcPr>
          <w:p w14:paraId="38E68784">
            <w:pPr>
              <w:ind w:firstLine="480"/>
              <w:jc w:val="center"/>
              <w:rPr>
                <w:rFonts w:hint="eastAsia" w:ascii="宋体" w:hAnsi="宋体"/>
                <w:color w:val="auto"/>
                <w:sz w:val="21"/>
                <w:szCs w:val="21"/>
                <w:highlight w:val="none"/>
              </w:rPr>
            </w:pPr>
          </w:p>
        </w:tc>
      </w:tr>
      <w:tr w14:paraId="0C59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33711561">
            <w:pPr>
              <w:ind w:firstLine="210"/>
              <w:rPr>
                <w:rFonts w:hint="eastAsia" w:ascii="宋体" w:hAnsi="宋体"/>
                <w:color w:val="auto"/>
                <w:sz w:val="21"/>
                <w:szCs w:val="21"/>
                <w:highlight w:val="none"/>
              </w:rPr>
            </w:pPr>
            <w:r>
              <w:rPr>
                <w:rFonts w:hint="eastAsia" w:ascii="宋体" w:hAnsi="宋体"/>
                <w:color w:val="auto"/>
                <w:sz w:val="21"/>
                <w:szCs w:val="21"/>
                <w:highlight w:val="none"/>
              </w:rPr>
              <w:t>5</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15EF6C99">
            <w:pPr>
              <w:ind w:firstLine="480"/>
              <w:jc w:val="center"/>
              <w:rPr>
                <w:rFonts w:hint="eastAsia" w:ascii="宋体" w:hAnsi="宋体"/>
                <w:color w:val="auto"/>
                <w:sz w:val="21"/>
                <w:szCs w:val="21"/>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7FF3363F">
            <w:pPr>
              <w:ind w:firstLine="480"/>
              <w:jc w:val="center"/>
              <w:rPr>
                <w:rFonts w:hint="eastAsia" w:ascii="宋体" w:hAnsi="宋体"/>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26E2B731">
            <w:pPr>
              <w:ind w:firstLine="480"/>
              <w:jc w:val="center"/>
              <w:rPr>
                <w:rFonts w:hint="eastAsia" w:ascii="宋体" w:hAnsi="宋体"/>
                <w:color w:val="auto"/>
                <w:sz w:val="21"/>
                <w:szCs w:val="21"/>
                <w:highlight w:val="none"/>
              </w:rPr>
            </w:pPr>
          </w:p>
        </w:tc>
        <w:tc>
          <w:tcPr>
            <w:tcW w:w="1117" w:type="dxa"/>
            <w:tcBorders>
              <w:top w:val="single" w:color="auto" w:sz="4" w:space="0"/>
              <w:left w:val="single" w:color="auto" w:sz="4" w:space="0"/>
              <w:bottom w:val="single" w:color="000000" w:sz="2" w:space="0"/>
              <w:right w:val="single" w:color="auto" w:sz="4" w:space="0"/>
            </w:tcBorders>
            <w:noWrap w:val="0"/>
            <w:vAlign w:val="top"/>
          </w:tcPr>
          <w:p w14:paraId="52CA8A57">
            <w:pPr>
              <w:ind w:firstLine="480"/>
              <w:jc w:val="center"/>
              <w:rPr>
                <w:rFonts w:hint="eastAsia" w:ascii="宋体" w:hAnsi="宋体"/>
                <w:color w:val="auto"/>
                <w:sz w:val="21"/>
                <w:szCs w:val="21"/>
                <w:highlight w:val="none"/>
              </w:rPr>
            </w:pPr>
          </w:p>
        </w:tc>
        <w:tc>
          <w:tcPr>
            <w:tcW w:w="1494" w:type="dxa"/>
            <w:tcBorders>
              <w:top w:val="single" w:color="auto" w:sz="4" w:space="0"/>
              <w:left w:val="single" w:color="auto" w:sz="4" w:space="0"/>
              <w:bottom w:val="single" w:color="000000" w:sz="2" w:space="0"/>
              <w:right w:val="single" w:color="auto" w:sz="4" w:space="0"/>
            </w:tcBorders>
            <w:noWrap w:val="0"/>
            <w:vAlign w:val="center"/>
          </w:tcPr>
          <w:p w14:paraId="6ECC4B66">
            <w:pPr>
              <w:ind w:firstLine="480"/>
              <w:jc w:val="center"/>
              <w:rPr>
                <w:rFonts w:hint="eastAsia" w:ascii="宋体" w:hAnsi="宋体"/>
                <w:color w:val="auto"/>
                <w:sz w:val="21"/>
                <w:szCs w:val="21"/>
                <w:highlight w:val="none"/>
              </w:rPr>
            </w:pPr>
          </w:p>
        </w:tc>
        <w:tc>
          <w:tcPr>
            <w:tcW w:w="2236" w:type="dxa"/>
            <w:tcBorders>
              <w:top w:val="single" w:color="auto" w:sz="4" w:space="0"/>
              <w:left w:val="single" w:color="auto" w:sz="4" w:space="0"/>
              <w:bottom w:val="single" w:color="000000" w:sz="2" w:space="0"/>
              <w:right w:val="single" w:color="000000" w:sz="2" w:space="0"/>
            </w:tcBorders>
            <w:noWrap w:val="0"/>
            <w:vAlign w:val="center"/>
          </w:tcPr>
          <w:p w14:paraId="26C18728">
            <w:pPr>
              <w:ind w:firstLine="480"/>
              <w:jc w:val="center"/>
              <w:rPr>
                <w:rFonts w:hint="eastAsia" w:ascii="宋体" w:hAnsi="宋体"/>
                <w:color w:val="auto"/>
                <w:sz w:val="21"/>
                <w:szCs w:val="21"/>
                <w:highlight w:val="none"/>
              </w:rPr>
            </w:pPr>
          </w:p>
        </w:tc>
        <w:tc>
          <w:tcPr>
            <w:tcW w:w="1131" w:type="dxa"/>
            <w:tcBorders>
              <w:top w:val="single" w:color="auto" w:sz="4" w:space="0"/>
              <w:left w:val="single" w:color="auto" w:sz="4" w:space="0"/>
              <w:bottom w:val="single" w:color="000000" w:sz="2" w:space="0"/>
              <w:right w:val="single" w:color="000000" w:sz="2" w:space="0"/>
            </w:tcBorders>
            <w:noWrap w:val="0"/>
            <w:vAlign w:val="center"/>
          </w:tcPr>
          <w:p w14:paraId="7E06A1C5">
            <w:pPr>
              <w:ind w:firstLine="480"/>
              <w:jc w:val="center"/>
              <w:rPr>
                <w:rFonts w:hint="eastAsia" w:ascii="宋体" w:hAnsi="宋体"/>
                <w:color w:val="auto"/>
                <w:sz w:val="21"/>
                <w:szCs w:val="21"/>
                <w:highlight w:val="none"/>
              </w:rPr>
            </w:pPr>
          </w:p>
        </w:tc>
      </w:tr>
      <w:tr w14:paraId="3BFF0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28B9169">
            <w:pPr>
              <w:ind w:firstLine="210"/>
              <w:rPr>
                <w:rFonts w:hint="eastAsia" w:ascii="宋体" w:hAnsi="宋体"/>
                <w:color w:val="auto"/>
                <w:sz w:val="21"/>
                <w:szCs w:val="21"/>
                <w:highlight w:val="none"/>
              </w:rPr>
            </w:pPr>
            <w:r>
              <w:rPr>
                <w:rFonts w:hint="eastAsia" w:ascii="宋体" w:hAnsi="宋体"/>
                <w:color w:val="auto"/>
                <w:sz w:val="21"/>
                <w:szCs w:val="21"/>
                <w:highlight w:val="none"/>
              </w:rPr>
              <w:t>6</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082E1C99">
            <w:pPr>
              <w:ind w:firstLine="480"/>
              <w:jc w:val="center"/>
              <w:rPr>
                <w:rFonts w:hint="eastAsia" w:ascii="宋体" w:hAnsi="宋体"/>
                <w:color w:val="auto"/>
                <w:sz w:val="21"/>
                <w:szCs w:val="21"/>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186EA124">
            <w:pPr>
              <w:ind w:firstLine="480"/>
              <w:jc w:val="center"/>
              <w:rPr>
                <w:rFonts w:hint="eastAsia" w:ascii="宋体" w:hAnsi="宋体"/>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4DA5D373">
            <w:pPr>
              <w:ind w:firstLine="480"/>
              <w:jc w:val="center"/>
              <w:rPr>
                <w:rFonts w:hint="eastAsia" w:ascii="宋体" w:hAnsi="宋体"/>
                <w:color w:val="auto"/>
                <w:sz w:val="21"/>
                <w:szCs w:val="21"/>
                <w:highlight w:val="none"/>
              </w:rPr>
            </w:pPr>
          </w:p>
        </w:tc>
        <w:tc>
          <w:tcPr>
            <w:tcW w:w="1117" w:type="dxa"/>
            <w:tcBorders>
              <w:top w:val="single" w:color="auto" w:sz="4" w:space="0"/>
              <w:left w:val="single" w:color="auto" w:sz="4" w:space="0"/>
              <w:bottom w:val="single" w:color="000000" w:sz="2" w:space="0"/>
              <w:right w:val="single" w:color="auto" w:sz="4" w:space="0"/>
            </w:tcBorders>
            <w:noWrap w:val="0"/>
            <w:vAlign w:val="top"/>
          </w:tcPr>
          <w:p w14:paraId="6018D4FD">
            <w:pPr>
              <w:ind w:firstLine="480"/>
              <w:jc w:val="center"/>
              <w:rPr>
                <w:rFonts w:hint="eastAsia" w:ascii="宋体" w:hAnsi="宋体"/>
                <w:color w:val="auto"/>
                <w:sz w:val="21"/>
                <w:szCs w:val="21"/>
                <w:highlight w:val="none"/>
              </w:rPr>
            </w:pPr>
          </w:p>
        </w:tc>
        <w:tc>
          <w:tcPr>
            <w:tcW w:w="1494" w:type="dxa"/>
            <w:tcBorders>
              <w:top w:val="single" w:color="auto" w:sz="4" w:space="0"/>
              <w:left w:val="single" w:color="auto" w:sz="4" w:space="0"/>
              <w:bottom w:val="single" w:color="000000" w:sz="2" w:space="0"/>
              <w:right w:val="single" w:color="auto" w:sz="4" w:space="0"/>
            </w:tcBorders>
            <w:noWrap w:val="0"/>
            <w:vAlign w:val="center"/>
          </w:tcPr>
          <w:p w14:paraId="53C6DD70">
            <w:pPr>
              <w:ind w:firstLine="480"/>
              <w:jc w:val="center"/>
              <w:rPr>
                <w:rFonts w:hint="eastAsia" w:ascii="宋体" w:hAnsi="宋体"/>
                <w:color w:val="auto"/>
                <w:sz w:val="21"/>
                <w:szCs w:val="21"/>
                <w:highlight w:val="none"/>
              </w:rPr>
            </w:pPr>
          </w:p>
        </w:tc>
        <w:tc>
          <w:tcPr>
            <w:tcW w:w="2236" w:type="dxa"/>
            <w:tcBorders>
              <w:top w:val="single" w:color="auto" w:sz="4" w:space="0"/>
              <w:left w:val="single" w:color="auto" w:sz="4" w:space="0"/>
              <w:bottom w:val="single" w:color="000000" w:sz="2" w:space="0"/>
              <w:right w:val="single" w:color="000000" w:sz="2" w:space="0"/>
            </w:tcBorders>
            <w:noWrap w:val="0"/>
            <w:vAlign w:val="center"/>
          </w:tcPr>
          <w:p w14:paraId="6E2B293B">
            <w:pPr>
              <w:ind w:firstLine="480"/>
              <w:jc w:val="center"/>
              <w:rPr>
                <w:rFonts w:hint="eastAsia" w:ascii="宋体" w:hAnsi="宋体"/>
                <w:color w:val="auto"/>
                <w:sz w:val="21"/>
                <w:szCs w:val="21"/>
                <w:highlight w:val="none"/>
              </w:rPr>
            </w:pPr>
          </w:p>
        </w:tc>
        <w:tc>
          <w:tcPr>
            <w:tcW w:w="1131" w:type="dxa"/>
            <w:tcBorders>
              <w:top w:val="single" w:color="auto" w:sz="4" w:space="0"/>
              <w:left w:val="single" w:color="auto" w:sz="4" w:space="0"/>
              <w:bottom w:val="single" w:color="000000" w:sz="2" w:space="0"/>
              <w:right w:val="single" w:color="000000" w:sz="2" w:space="0"/>
            </w:tcBorders>
            <w:noWrap w:val="0"/>
            <w:vAlign w:val="center"/>
          </w:tcPr>
          <w:p w14:paraId="09FC4BBD">
            <w:pPr>
              <w:ind w:firstLine="480"/>
              <w:jc w:val="center"/>
              <w:rPr>
                <w:rFonts w:hint="eastAsia" w:ascii="宋体" w:hAnsi="宋体"/>
                <w:color w:val="auto"/>
                <w:sz w:val="21"/>
                <w:szCs w:val="21"/>
                <w:highlight w:val="none"/>
              </w:rPr>
            </w:pPr>
          </w:p>
        </w:tc>
      </w:tr>
      <w:tr w14:paraId="7B2C5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3F2E95EB">
            <w:pPr>
              <w:ind w:firstLine="210"/>
              <w:rPr>
                <w:rFonts w:hint="eastAsia" w:ascii="宋体" w:hAnsi="宋体"/>
                <w:color w:val="auto"/>
                <w:sz w:val="21"/>
                <w:szCs w:val="21"/>
                <w:highlight w:val="none"/>
              </w:rPr>
            </w:pPr>
            <w:r>
              <w:rPr>
                <w:rFonts w:ascii="宋体" w:hAnsi="宋体"/>
                <w:color w:val="auto"/>
                <w:sz w:val="21"/>
                <w:szCs w:val="21"/>
                <w:highlight w:val="none"/>
              </w:rPr>
              <w:t>…</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34DE41A1">
            <w:pPr>
              <w:ind w:firstLine="480"/>
              <w:jc w:val="center"/>
              <w:rPr>
                <w:rFonts w:hint="eastAsia" w:ascii="宋体" w:hAnsi="宋体"/>
                <w:color w:val="auto"/>
                <w:sz w:val="21"/>
                <w:szCs w:val="21"/>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69CDE1A3">
            <w:pPr>
              <w:ind w:firstLine="480"/>
              <w:jc w:val="center"/>
              <w:rPr>
                <w:rFonts w:hint="eastAsia" w:ascii="宋体" w:hAnsi="宋体"/>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61C74BF8">
            <w:pPr>
              <w:ind w:firstLine="480"/>
              <w:jc w:val="center"/>
              <w:rPr>
                <w:rFonts w:hint="eastAsia" w:ascii="宋体" w:hAnsi="宋体"/>
                <w:color w:val="auto"/>
                <w:sz w:val="21"/>
                <w:szCs w:val="21"/>
                <w:highlight w:val="none"/>
              </w:rPr>
            </w:pPr>
          </w:p>
        </w:tc>
        <w:tc>
          <w:tcPr>
            <w:tcW w:w="1117" w:type="dxa"/>
            <w:tcBorders>
              <w:top w:val="single" w:color="auto" w:sz="4" w:space="0"/>
              <w:left w:val="single" w:color="auto" w:sz="4" w:space="0"/>
              <w:bottom w:val="single" w:color="000000" w:sz="2" w:space="0"/>
              <w:right w:val="single" w:color="auto" w:sz="4" w:space="0"/>
            </w:tcBorders>
            <w:noWrap w:val="0"/>
            <w:vAlign w:val="top"/>
          </w:tcPr>
          <w:p w14:paraId="1FDAFEC7">
            <w:pPr>
              <w:ind w:firstLine="480"/>
              <w:jc w:val="center"/>
              <w:rPr>
                <w:rFonts w:hint="eastAsia" w:ascii="宋体" w:hAnsi="宋体"/>
                <w:color w:val="auto"/>
                <w:sz w:val="21"/>
                <w:szCs w:val="21"/>
                <w:highlight w:val="none"/>
              </w:rPr>
            </w:pPr>
          </w:p>
        </w:tc>
        <w:tc>
          <w:tcPr>
            <w:tcW w:w="1494" w:type="dxa"/>
            <w:tcBorders>
              <w:top w:val="single" w:color="auto" w:sz="4" w:space="0"/>
              <w:left w:val="single" w:color="auto" w:sz="4" w:space="0"/>
              <w:bottom w:val="single" w:color="000000" w:sz="2" w:space="0"/>
              <w:right w:val="single" w:color="auto" w:sz="4" w:space="0"/>
            </w:tcBorders>
            <w:noWrap w:val="0"/>
            <w:vAlign w:val="center"/>
          </w:tcPr>
          <w:p w14:paraId="2DB0A60C">
            <w:pPr>
              <w:ind w:firstLine="480"/>
              <w:jc w:val="center"/>
              <w:rPr>
                <w:rFonts w:hint="eastAsia" w:ascii="宋体" w:hAnsi="宋体"/>
                <w:color w:val="auto"/>
                <w:sz w:val="21"/>
                <w:szCs w:val="21"/>
                <w:highlight w:val="none"/>
              </w:rPr>
            </w:pPr>
          </w:p>
        </w:tc>
        <w:tc>
          <w:tcPr>
            <w:tcW w:w="2236" w:type="dxa"/>
            <w:tcBorders>
              <w:top w:val="single" w:color="auto" w:sz="4" w:space="0"/>
              <w:left w:val="single" w:color="auto" w:sz="4" w:space="0"/>
              <w:bottom w:val="single" w:color="000000" w:sz="2" w:space="0"/>
              <w:right w:val="single" w:color="000000" w:sz="2" w:space="0"/>
            </w:tcBorders>
            <w:noWrap w:val="0"/>
            <w:vAlign w:val="center"/>
          </w:tcPr>
          <w:p w14:paraId="22547BB3">
            <w:pPr>
              <w:ind w:firstLine="480"/>
              <w:jc w:val="center"/>
              <w:rPr>
                <w:rFonts w:hint="eastAsia" w:ascii="宋体" w:hAnsi="宋体"/>
                <w:color w:val="auto"/>
                <w:sz w:val="21"/>
                <w:szCs w:val="21"/>
                <w:highlight w:val="none"/>
              </w:rPr>
            </w:pPr>
          </w:p>
        </w:tc>
        <w:tc>
          <w:tcPr>
            <w:tcW w:w="1131" w:type="dxa"/>
            <w:tcBorders>
              <w:top w:val="single" w:color="auto" w:sz="4" w:space="0"/>
              <w:left w:val="single" w:color="auto" w:sz="4" w:space="0"/>
              <w:bottom w:val="single" w:color="000000" w:sz="2" w:space="0"/>
              <w:right w:val="single" w:color="000000" w:sz="2" w:space="0"/>
            </w:tcBorders>
            <w:noWrap w:val="0"/>
            <w:vAlign w:val="center"/>
          </w:tcPr>
          <w:p w14:paraId="5A83B515">
            <w:pPr>
              <w:ind w:firstLine="480"/>
              <w:jc w:val="center"/>
              <w:rPr>
                <w:rFonts w:hint="eastAsia" w:ascii="宋体" w:hAnsi="宋体"/>
                <w:color w:val="auto"/>
                <w:sz w:val="21"/>
                <w:szCs w:val="21"/>
                <w:highlight w:val="none"/>
              </w:rPr>
            </w:pPr>
          </w:p>
        </w:tc>
      </w:tr>
    </w:tbl>
    <w:p w14:paraId="131098B2">
      <w:pPr>
        <w:spacing w:line="360" w:lineRule="auto"/>
        <w:ind w:firstLine="480"/>
        <w:rPr>
          <w:rFonts w:hint="eastAsia" w:ascii="宋体" w:hAnsi="宋体"/>
          <w:color w:val="auto"/>
          <w:sz w:val="21"/>
          <w:szCs w:val="21"/>
          <w:highlight w:val="none"/>
        </w:rPr>
      </w:pPr>
      <w:r>
        <w:rPr>
          <w:rFonts w:hint="eastAsia" w:ascii="宋体" w:hAnsi="宋体"/>
          <w:color w:val="auto"/>
          <w:sz w:val="21"/>
          <w:szCs w:val="21"/>
          <w:highlight w:val="none"/>
        </w:rPr>
        <w:t>注：1.根据招标文件及评分标准相关要求填写，并提供相关的证明材料；</w:t>
      </w:r>
    </w:p>
    <w:p w14:paraId="53171DCE">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2.以上人员工资、</w:t>
      </w:r>
      <w:r>
        <w:rPr>
          <w:rFonts w:hint="eastAsia" w:ascii="宋体" w:hAnsi="宋体"/>
          <w:color w:val="auto"/>
          <w:sz w:val="21"/>
          <w:szCs w:val="21"/>
          <w:highlight w:val="none"/>
          <w:lang w:val="en-US" w:eastAsia="zh-CN"/>
        </w:rPr>
        <w:t>保险、意外险</w:t>
      </w:r>
      <w:r>
        <w:rPr>
          <w:rFonts w:hint="eastAsia" w:ascii="宋体" w:hAnsi="宋体"/>
          <w:color w:val="auto"/>
          <w:sz w:val="21"/>
          <w:szCs w:val="21"/>
          <w:highlight w:val="none"/>
        </w:rPr>
        <w:t>须根据劳动法和</w:t>
      </w:r>
      <w:r>
        <w:rPr>
          <w:rFonts w:hint="eastAsia" w:ascii="宋体" w:hAnsi="宋体"/>
          <w:color w:val="auto"/>
          <w:sz w:val="21"/>
          <w:szCs w:val="21"/>
          <w:highlight w:val="none"/>
          <w:lang w:val="en-US" w:eastAsia="zh-CN"/>
        </w:rPr>
        <w:t>盐城市</w:t>
      </w:r>
      <w:r>
        <w:rPr>
          <w:rFonts w:hint="eastAsia" w:ascii="宋体" w:hAnsi="宋体"/>
          <w:color w:val="auto"/>
          <w:sz w:val="21"/>
          <w:szCs w:val="21"/>
          <w:highlight w:val="none"/>
        </w:rPr>
        <w:t>相关要求缴纳；</w:t>
      </w:r>
    </w:p>
    <w:p w14:paraId="577D291C">
      <w:pPr>
        <w:spacing w:line="360" w:lineRule="auto"/>
        <w:ind w:firstLine="480"/>
        <w:rPr>
          <w:rFonts w:hint="eastAsia" w:ascii="宋体" w:hAnsi="宋体"/>
          <w:color w:val="auto"/>
          <w:sz w:val="21"/>
          <w:szCs w:val="21"/>
          <w:highlight w:val="none"/>
          <w:lang w:eastAsia="zh-CN"/>
        </w:rPr>
      </w:pPr>
      <w:r>
        <w:rPr>
          <w:rFonts w:hint="eastAsia" w:ascii="宋体" w:hAnsi="宋体"/>
          <w:color w:val="auto"/>
          <w:sz w:val="21"/>
          <w:szCs w:val="21"/>
          <w:highlight w:val="none"/>
        </w:rPr>
        <w:t>3.表格不够填写可添加</w:t>
      </w:r>
      <w:r>
        <w:rPr>
          <w:rFonts w:hint="eastAsia" w:ascii="宋体" w:hAnsi="宋体"/>
          <w:color w:val="auto"/>
          <w:sz w:val="21"/>
          <w:szCs w:val="21"/>
          <w:highlight w:val="none"/>
          <w:lang w:eastAsia="zh-CN"/>
        </w:rPr>
        <w:t>。</w:t>
      </w:r>
    </w:p>
    <w:p w14:paraId="1A4CBE4E">
      <w:pPr>
        <w:spacing w:line="360" w:lineRule="auto"/>
        <w:ind w:firstLine="480"/>
        <w:rPr>
          <w:rFonts w:hint="eastAsia" w:ascii="宋体" w:hAnsi="宋体"/>
          <w:color w:val="auto"/>
          <w:sz w:val="21"/>
          <w:szCs w:val="21"/>
          <w:highlight w:val="none"/>
          <w:lang w:eastAsia="zh-CN"/>
        </w:rPr>
      </w:pPr>
    </w:p>
    <w:p w14:paraId="56F593A4">
      <w:pPr>
        <w:spacing w:line="360" w:lineRule="auto"/>
        <w:ind w:firstLine="480"/>
        <w:rPr>
          <w:rFonts w:hint="eastAsia" w:ascii="宋体" w:hAnsi="宋体"/>
          <w:color w:val="auto"/>
          <w:sz w:val="21"/>
          <w:szCs w:val="21"/>
          <w:highlight w:val="none"/>
          <w:lang w:eastAsia="zh-CN"/>
        </w:rPr>
      </w:pPr>
    </w:p>
    <w:p w14:paraId="1D535D68">
      <w:pPr>
        <w:jc w:val="center"/>
        <w:rPr>
          <w:rFonts w:hint="eastAsia" w:ascii="宋体" w:hAnsi="宋体"/>
          <w:color w:val="auto"/>
          <w:sz w:val="21"/>
          <w:szCs w:val="21"/>
          <w:highlight w:val="none"/>
          <w:lang w:eastAsia="zh-CN"/>
        </w:rPr>
      </w:pPr>
      <w:r>
        <w:rPr>
          <w:rFonts w:hint="eastAsia"/>
          <w:b/>
          <w:bCs/>
          <w:color w:val="auto"/>
          <w:sz w:val="28"/>
          <w:szCs w:val="28"/>
          <w:highlight w:val="none"/>
        </w:rPr>
        <w:t>拟投入的打捞船、</w:t>
      </w:r>
      <w:r>
        <w:rPr>
          <w:rFonts w:hint="eastAsia"/>
          <w:b/>
          <w:bCs/>
          <w:color w:val="auto"/>
          <w:sz w:val="28"/>
          <w:szCs w:val="28"/>
          <w:highlight w:val="none"/>
          <w:lang w:val="en-US" w:eastAsia="zh-CN"/>
        </w:rPr>
        <w:t>挖掘机、拖网设备等</w:t>
      </w:r>
      <w:r>
        <w:rPr>
          <w:rFonts w:hint="eastAsia"/>
          <w:b/>
          <w:bCs/>
          <w:color w:val="auto"/>
          <w:sz w:val="28"/>
          <w:szCs w:val="28"/>
          <w:highlight w:val="none"/>
        </w:rPr>
        <w:t>一览表</w:t>
      </w:r>
    </w:p>
    <w:tbl>
      <w:tblPr>
        <w:tblStyle w:val="36"/>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260"/>
        <w:gridCol w:w="1307"/>
        <w:gridCol w:w="4892"/>
        <w:gridCol w:w="1890"/>
      </w:tblGrid>
      <w:tr w14:paraId="082FA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000000" w:sz="2" w:space="0"/>
              <w:left w:val="single" w:color="000000" w:sz="2" w:space="0"/>
              <w:bottom w:val="single" w:color="000000" w:sz="2" w:space="0"/>
              <w:right w:val="single" w:color="000000" w:sz="2" w:space="0"/>
            </w:tcBorders>
            <w:noWrap w:val="0"/>
            <w:vAlign w:val="center"/>
          </w:tcPr>
          <w:p w14:paraId="405FE68D">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260" w:type="dxa"/>
            <w:tcBorders>
              <w:top w:val="single" w:color="000000" w:sz="2" w:space="0"/>
              <w:left w:val="single" w:color="auto" w:sz="4" w:space="0"/>
              <w:bottom w:val="single" w:color="000000" w:sz="2" w:space="0"/>
              <w:right w:val="single" w:color="auto" w:sz="4" w:space="0"/>
            </w:tcBorders>
            <w:noWrap w:val="0"/>
            <w:vAlign w:val="center"/>
          </w:tcPr>
          <w:p w14:paraId="031A0344">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设备名称</w:t>
            </w:r>
          </w:p>
        </w:tc>
        <w:tc>
          <w:tcPr>
            <w:tcW w:w="1307" w:type="dxa"/>
            <w:tcBorders>
              <w:top w:val="single" w:color="000000" w:sz="2" w:space="0"/>
              <w:left w:val="single" w:color="auto" w:sz="4" w:space="0"/>
              <w:bottom w:val="single" w:color="000000" w:sz="2" w:space="0"/>
              <w:right w:val="single" w:color="auto" w:sz="4" w:space="0"/>
            </w:tcBorders>
            <w:noWrap w:val="0"/>
            <w:vAlign w:val="center"/>
          </w:tcPr>
          <w:p w14:paraId="59FC227A">
            <w:pPr>
              <w:ind w:firstLine="482"/>
              <w:jc w:val="both"/>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数量</w:t>
            </w:r>
          </w:p>
        </w:tc>
        <w:tc>
          <w:tcPr>
            <w:tcW w:w="4892" w:type="dxa"/>
            <w:tcBorders>
              <w:top w:val="single" w:color="000000" w:sz="2" w:space="0"/>
              <w:left w:val="single" w:color="auto" w:sz="4" w:space="0"/>
              <w:bottom w:val="single" w:color="000000" w:sz="2" w:space="0"/>
              <w:right w:val="single" w:color="000000" w:sz="2" w:space="0"/>
            </w:tcBorders>
            <w:noWrap w:val="0"/>
            <w:vAlign w:val="center"/>
          </w:tcPr>
          <w:p w14:paraId="3C2BF765">
            <w:pPr>
              <w:ind w:firstLine="482"/>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发动机编号</w:t>
            </w:r>
          </w:p>
        </w:tc>
        <w:tc>
          <w:tcPr>
            <w:tcW w:w="1890" w:type="dxa"/>
            <w:tcBorders>
              <w:top w:val="single" w:color="000000" w:sz="2" w:space="0"/>
              <w:left w:val="single" w:color="auto" w:sz="4" w:space="0"/>
              <w:bottom w:val="single" w:color="000000" w:sz="2" w:space="0"/>
              <w:right w:val="single" w:color="000000" w:sz="2" w:space="0"/>
            </w:tcBorders>
            <w:noWrap w:val="0"/>
            <w:vAlign w:val="center"/>
          </w:tcPr>
          <w:p w14:paraId="40F76602">
            <w:pPr>
              <w:ind w:firstLine="482"/>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备  注</w:t>
            </w:r>
          </w:p>
        </w:tc>
      </w:tr>
      <w:tr w14:paraId="0FC5A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757AD9B">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257B08E2">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打捞船</w:t>
            </w:r>
          </w:p>
        </w:tc>
        <w:tc>
          <w:tcPr>
            <w:tcW w:w="1307" w:type="dxa"/>
            <w:tcBorders>
              <w:top w:val="single" w:color="auto" w:sz="4" w:space="0"/>
              <w:left w:val="single" w:color="auto" w:sz="4" w:space="0"/>
              <w:bottom w:val="single" w:color="000000" w:sz="2" w:space="0"/>
              <w:right w:val="single" w:color="auto" w:sz="4" w:space="0"/>
            </w:tcBorders>
            <w:noWrap w:val="0"/>
            <w:vAlign w:val="center"/>
          </w:tcPr>
          <w:p w14:paraId="4F4EAD5D">
            <w:pPr>
              <w:ind w:firstLine="480"/>
              <w:jc w:val="center"/>
              <w:rPr>
                <w:rFonts w:hint="eastAsia" w:ascii="宋体" w:hAnsi="宋体" w:eastAsia="宋体" w:cs="宋体"/>
                <w:color w:val="auto"/>
                <w:sz w:val="21"/>
                <w:szCs w:val="21"/>
                <w:highlight w:val="none"/>
              </w:rPr>
            </w:pPr>
          </w:p>
        </w:tc>
        <w:tc>
          <w:tcPr>
            <w:tcW w:w="4892" w:type="dxa"/>
            <w:tcBorders>
              <w:top w:val="single" w:color="auto" w:sz="4" w:space="0"/>
              <w:left w:val="single" w:color="auto" w:sz="4" w:space="0"/>
              <w:bottom w:val="single" w:color="000000" w:sz="2" w:space="0"/>
              <w:right w:val="single" w:color="000000" w:sz="2" w:space="0"/>
            </w:tcBorders>
            <w:noWrap w:val="0"/>
            <w:vAlign w:val="center"/>
          </w:tcPr>
          <w:p w14:paraId="2B23955F">
            <w:pPr>
              <w:ind w:firstLine="480"/>
              <w:jc w:val="center"/>
              <w:rPr>
                <w:rFonts w:hint="eastAsia" w:ascii="宋体" w:hAnsi="宋体" w:eastAsia="宋体" w:cs="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460A6096">
            <w:pPr>
              <w:ind w:firstLine="480"/>
              <w:jc w:val="center"/>
              <w:rPr>
                <w:rFonts w:hint="eastAsia" w:ascii="宋体" w:hAnsi="宋体" w:eastAsia="宋体" w:cs="宋体"/>
                <w:color w:val="auto"/>
                <w:sz w:val="21"/>
                <w:szCs w:val="21"/>
                <w:highlight w:val="none"/>
              </w:rPr>
            </w:pPr>
          </w:p>
        </w:tc>
      </w:tr>
      <w:tr w14:paraId="23CCE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7AE917FD">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1825EDD1">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挖掘机</w:t>
            </w:r>
          </w:p>
        </w:tc>
        <w:tc>
          <w:tcPr>
            <w:tcW w:w="1307" w:type="dxa"/>
            <w:tcBorders>
              <w:top w:val="single" w:color="auto" w:sz="4" w:space="0"/>
              <w:left w:val="single" w:color="auto" w:sz="4" w:space="0"/>
              <w:bottom w:val="single" w:color="000000" w:sz="2" w:space="0"/>
              <w:right w:val="single" w:color="auto" w:sz="4" w:space="0"/>
            </w:tcBorders>
            <w:noWrap w:val="0"/>
            <w:vAlign w:val="center"/>
          </w:tcPr>
          <w:p w14:paraId="7143A462">
            <w:pPr>
              <w:ind w:firstLine="480"/>
              <w:jc w:val="center"/>
              <w:rPr>
                <w:rFonts w:hint="eastAsia" w:ascii="宋体" w:hAnsi="宋体" w:eastAsia="宋体" w:cs="宋体"/>
                <w:color w:val="auto"/>
                <w:sz w:val="21"/>
                <w:szCs w:val="21"/>
                <w:highlight w:val="none"/>
              </w:rPr>
            </w:pPr>
          </w:p>
        </w:tc>
        <w:tc>
          <w:tcPr>
            <w:tcW w:w="4892" w:type="dxa"/>
            <w:tcBorders>
              <w:top w:val="single" w:color="auto" w:sz="4" w:space="0"/>
              <w:left w:val="single" w:color="auto" w:sz="4" w:space="0"/>
              <w:bottom w:val="single" w:color="000000" w:sz="2" w:space="0"/>
              <w:right w:val="single" w:color="000000" w:sz="2" w:space="0"/>
            </w:tcBorders>
            <w:noWrap w:val="0"/>
            <w:vAlign w:val="center"/>
          </w:tcPr>
          <w:p w14:paraId="027D9026">
            <w:pPr>
              <w:ind w:firstLine="480"/>
              <w:jc w:val="center"/>
              <w:rPr>
                <w:rFonts w:hint="eastAsia" w:ascii="宋体" w:hAnsi="宋体" w:eastAsia="宋体" w:cs="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765AACD4">
            <w:pPr>
              <w:ind w:firstLine="480"/>
              <w:jc w:val="center"/>
              <w:rPr>
                <w:rFonts w:hint="eastAsia" w:ascii="宋体" w:hAnsi="宋体" w:eastAsia="宋体" w:cs="宋体"/>
                <w:color w:val="auto"/>
                <w:sz w:val="21"/>
                <w:szCs w:val="21"/>
                <w:highlight w:val="none"/>
              </w:rPr>
            </w:pPr>
          </w:p>
        </w:tc>
      </w:tr>
      <w:tr w14:paraId="37D5D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720F327B">
            <w:pPr>
              <w:ind w:firstLine="21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4B3E1D73">
            <w:pPr>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拖网设备</w:t>
            </w:r>
          </w:p>
        </w:tc>
        <w:tc>
          <w:tcPr>
            <w:tcW w:w="1307" w:type="dxa"/>
            <w:tcBorders>
              <w:top w:val="single" w:color="auto" w:sz="4" w:space="0"/>
              <w:left w:val="single" w:color="auto" w:sz="4" w:space="0"/>
              <w:bottom w:val="single" w:color="000000" w:sz="2" w:space="0"/>
              <w:right w:val="single" w:color="auto" w:sz="4" w:space="0"/>
            </w:tcBorders>
            <w:noWrap w:val="0"/>
            <w:vAlign w:val="center"/>
          </w:tcPr>
          <w:p w14:paraId="520A4DF1">
            <w:pPr>
              <w:ind w:firstLine="480"/>
              <w:jc w:val="center"/>
              <w:rPr>
                <w:rFonts w:hint="eastAsia" w:ascii="宋体" w:hAnsi="宋体" w:eastAsia="宋体" w:cs="宋体"/>
                <w:color w:val="auto"/>
                <w:sz w:val="21"/>
                <w:szCs w:val="21"/>
                <w:highlight w:val="none"/>
              </w:rPr>
            </w:pPr>
          </w:p>
        </w:tc>
        <w:tc>
          <w:tcPr>
            <w:tcW w:w="4892" w:type="dxa"/>
            <w:tcBorders>
              <w:top w:val="single" w:color="auto" w:sz="4" w:space="0"/>
              <w:left w:val="single" w:color="auto" w:sz="4" w:space="0"/>
              <w:bottom w:val="single" w:color="000000" w:sz="2" w:space="0"/>
              <w:right w:val="single" w:color="000000" w:sz="2" w:space="0"/>
            </w:tcBorders>
            <w:noWrap w:val="0"/>
            <w:vAlign w:val="center"/>
          </w:tcPr>
          <w:p w14:paraId="31E70B27">
            <w:pPr>
              <w:ind w:firstLine="480"/>
              <w:jc w:val="center"/>
              <w:rPr>
                <w:rFonts w:hint="eastAsia" w:ascii="宋体" w:hAnsi="宋体" w:eastAsia="宋体" w:cs="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655B03A1">
            <w:pPr>
              <w:ind w:firstLine="480"/>
              <w:jc w:val="center"/>
              <w:rPr>
                <w:rFonts w:hint="eastAsia" w:ascii="宋体" w:hAnsi="宋体" w:eastAsia="宋体" w:cs="宋体"/>
                <w:color w:val="auto"/>
                <w:sz w:val="21"/>
                <w:szCs w:val="21"/>
                <w:highlight w:val="none"/>
              </w:rPr>
            </w:pPr>
          </w:p>
        </w:tc>
      </w:tr>
      <w:tr w14:paraId="6C539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561744BE">
            <w:pPr>
              <w:ind w:firstLine="21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13467DE5">
            <w:pPr>
              <w:jc w:val="center"/>
              <w:rPr>
                <w:rFonts w:hint="eastAsia" w:ascii="宋体" w:hAnsi="宋体" w:eastAsia="宋体" w:cs="宋体"/>
                <w:b/>
                <w:bCs/>
                <w:color w:val="auto"/>
                <w:sz w:val="21"/>
                <w:szCs w:val="21"/>
                <w:highlight w:val="none"/>
                <w:lang w:eastAsia="zh-CN"/>
              </w:rPr>
            </w:pPr>
          </w:p>
        </w:tc>
        <w:tc>
          <w:tcPr>
            <w:tcW w:w="1307" w:type="dxa"/>
            <w:tcBorders>
              <w:top w:val="single" w:color="auto" w:sz="4" w:space="0"/>
              <w:left w:val="single" w:color="auto" w:sz="4" w:space="0"/>
              <w:bottom w:val="single" w:color="000000" w:sz="2" w:space="0"/>
              <w:right w:val="single" w:color="auto" w:sz="4" w:space="0"/>
            </w:tcBorders>
            <w:noWrap w:val="0"/>
            <w:vAlign w:val="center"/>
          </w:tcPr>
          <w:p w14:paraId="2DB7E119">
            <w:pPr>
              <w:jc w:val="center"/>
              <w:rPr>
                <w:rFonts w:hint="eastAsia" w:ascii="宋体" w:hAnsi="宋体" w:eastAsia="宋体" w:cs="宋体"/>
                <w:b/>
                <w:bCs/>
                <w:color w:val="auto"/>
                <w:sz w:val="21"/>
                <w:szCs w:val="21"/>
                <w:highlight w:val="none"/>
                <w:lang w:eastAsia="zh-CN"/>
              </w:rPr>
            </w:pPr>
          </w:p>
        </w:tc>
        <w:tc>
          <w:tcPr>
            <w:tcW w:w="4892" w:type="dxa"/>
            <w:tcBorders>
              <w:top w:val="single" w:color="auto" w:sz="4" w:space="0"/>
              <w:left w:val="single" w:color="auto" w:sz="4" w:space="0"/>
              <w:bottom w:val="single" w:color="000000" w:sz="2" w:space="0"/>
              <w:right w:val="single" w:color="000000" w:sz="2" w:space="0"/>
            </w:tcBorders>
            <w:noWrap w:val="0"/>
            <w:vAlign w:val="center"/>
          </w:tcPr>
          <w:p w14:paraId="76C8F6BB">
            <w:pPr>
              <w:ind w:firstLine="480"/>
              <w:jc w:val="center"/>
              <w:rPr>
                <w:rFonts w:hint="eastAsia" w:ascii="宋体" w:hAnsi="宋体" w:eastAsia="宋体" w:cs="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499E0047">
            <w:pPr>
              <w:ind w:firstLine="480"/>
              <w:jc w:val="center"/>
              <w:rPr>
                <w:rFonts w:hint="eastAsia" w:ascii="宋体" w:hAnsi="宋体" w:eastAsia="宋体" w:cs="宋体"/>
                <w:color w:val="auto"/>
                <w:sz w:val="21"/>
                <w:szCs w:val="21"/>
                <w:highlight w:val="none"/>
              </w:rPr>
            </w:pPr>
          </w:p>
        </w:tc>
      </w:tr>
      <w:tr w14:paraId="5D8DD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545DC2F">
            <w:pPr>
              <w:ind w:firstLine="21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665AEEDF">
            <w:pPr>
              <w:jc w:val="center"/>
              <w:rPr>
                <w:rFonts w:hint="eastAsia" w:ascii="宋体" w:hAnsi="宋体" w:eastAsia="宋体" w:cs="宋体"/>
                <w:b/>
                <w:bCs/>
                <w:color w:val="auto"/>
                <w:sz w:val="21"/>
                <w:szCs w:val="21"/>
                <w:highlight w:val="none"/>
                <w:lang w:eastAsia="zh-CN"/>
              </w:rPr>
            </w:pPr>
          </w:p>
        </w:tc>
        <w:tc>
          <w:tcPr>
            <w:tcW w:w="1307" w:type="dxa"/>
            <w:tcBorders>
              <w:top w:val="single" w:color="auto" w:sz="4" w:space="0"/>
              <w:left w:val="single" w:color="auto" w:sz="4" w:space="0"/>
              <w:bottom w:val="single" w:color="000000" w:sz="2" w:space="0"/>
              <w:right w:val="single" w:color="auto" w:sz="4" w:space="0"/>
            </w:tcBorders>
            <w:noWrap w:val="0"/>
            <w:vAlign w:val="center"/>
          </w:tcPr>
          <w:p w14:paraId="3EEA1DED">
            <w:pPr>
              <w:jc w:val="center"/>
              <w:rPr>
                <w:rFonts w:hint="eastAsia" w:ascii="宋体" w:hAnsi="宋体" w:eastAsia="宋体" w:cs="宋体"/>
                <w:b/>
                <w:bCs/>
                <w:color w:val="auto"/>
                <w:sz w:val="21"/>
                <w:szCs w:val="21"/>
                <w:highlight w:val="none"/>
                <w:lang w:eastAsia="zh-CN"/>
              </w:rPr>
            </w:pPr>
          </w:p>
        </w:tc>
        <w:tc>
          <w:tcPr>
            <w:tcW w:w="4892" w:type="dxa"/>
            <w:tcBorders>
              <w:top w:val="single" w:color="auto" w:sz="4" w:space="0"/>
              <w:left w:val="single" w:color="auto" w:sz="4" w:space="0"/>
              <w:bottom w:val="single" w:color="000000" w:sz="2" w:space="0"/>
              <w:right w:val="single" w:color="000000" w:sz="2" w:space="0"/>
            </w:tcBorders>
            <w:noWrap w:val="0"/>
            <w:vAlign w:val="center"/>
          </w:tcPr>
          <w:p w14:paraId="69D9ECC2">
            <w:pPr>
              <w:ind w:firstLine="480"/>
              <w:jc w:val="center"/>
              <w:rPr>
                <w:rFonts w:hint="eastAsia" w:ascii="宋体" w:hAnsi="宋体" w:eastAsia="宋体" w:cs="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32036AD4">
            <w:pPr>
              <w:ind w:firstLine="480"/>
              <w:jc w:val="center"/>
              <w:rPr>
                <w:rFonts w:hint="eastAsia" w:ascii="宋体" w:hAnsi="宋体" w:eastAsia="宋体" w:cs="宋体"/>
                <w:color w:val="auto"/>
                <w:sz w:val="21"/>
                <w:szCs w:val="21"/>
                <w:highlight w:val="none"/>
              </w:rPr>
            </w:pPr>
          </w:p>
        </w:tc>
      </w:tr>
      <w:tr w14:paraId="1E33E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A3982C9">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19E0D81C">
            <w:pPr>
              <w:ind w:firstLine="480"/>
              <w:jc w:val="center"/>
              <w:rPr>
                <w:rFonts w:hint="eastAsia" w:ascii="宋体" w:hAnsi="宋体" w:eastAsia="宋体" w:cs="宋体"/>
                <w:color w:val="auto"/>
                <w:sz w:val="21"/>
                <w:szCs w:val="21"/>
                <w:highlight w:val="none"/>
              </w:rPr>
            </w:pPr>
          </w:p>
        </w:tc>
        <w:tc>
          <w:tcPr>
            <w:tcW w:w="1307" w:type="dxa"/>
            <w:tcBorders>
              <w:top w:val="single" w:color="auto" w:sz="4" w:space="0"/>
              <w:left w:val="single" w:color="auto" w:sz="4" w:space="0"/>
              <w:bottom w:val="single" w:color="000000" w:sz="2" w:space="0"/>
              <w:right w:val="single" w:color="auto" w:sz="4" w:space="0"/>
            </w:tcBorders>
            <w:noWrap w:val="0"/>
            <w:vAlign w:val="center"/>
          </w:tcPr>
          <w:p w14:paraId="6157521D">
            <w:pPr>
              <w:ind w:firstLine="480"/>
              <w:jc w:val="center"/>
              <w:rPr>
                <w:rFonts w:hint="eastAsia" w:ascii="宋体" w:hAnsi="宋体" w:eastAsia="宋体" w:cs="宋体"/>
                <w:color w:val="auto"/>
                <w:sz w:val="21"/>
                <w:szCs w:val="21"/>
                <w:highlight w:val="none"/>
              </w:rPr>
            </w:pPr>
          </w:p>
        </w:tc>
        <w:tc>
          <w:tcPr>
            <w:tcW w:w="4892" w:type="dxa"/>
            <w:tcBorders>
              <w:top w:val="single" w:color="auto" w:sz="4" w:space="0"/>
              <w:left w:val="single" w:color="auto" w:sz="4" w:space="0"/>
              <w:bottom w:val="single" w:color="000000" w:sz="2" w:space="0"/>
              <w:right w:val="single" w:color="000000" w:sz="2" w:space="0"/>
            </w:tcBorders>
            <w:noWrap w:val="0"/>
            <w:vAlign w:val="center"/>
          </w:tcPr>
          <w:p w14:paraId="0C7FD122">
            <w:pPr>
              <w:ind w:firstLine="480"/>
              <w:jc w:val="center"/>
              <w:rPr>
                <w:rFonts w:hint="eastAsia" w:ascii="宋体" w:hAnsi="宋体" w:eastAsia="宋体" w:cs="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042B5AFD">
            <w:pPr>
              <w:ind w:firstLine="480"/>
              <w:jc w:val="center"/>
              <w:rPr>
                <w:rFonts w:hint="eastAsia" w:ascii="宋体" w:hAnsi="宋体" w:eastAsia="宋体" w:cs="宋体"/>
                <w:color w:val="auto"/>
                <w:sz w:val="21"/>
                <w:szCs w:val="21"/>
                <w:highlight w:val="none"/>
              </w:rPr>
            </w:pPr>
          </w:p>
        </w:tc>
      </w:tr>
    </w:tbl>
    <w:p w14:paraId="66BA7AFA">
      <w:pPr>
        <w:spacing w:line="360" w:lineRule="auto"/>
        <w:ind w:firstLine="480"/>
        <w:jc w:val="left"/>
        <w:rPr>
          <w:rFonts w:hint="eastAsia" w:ascii="黑体" w:eastAsia="黑体" w:cs="黑体"/>
          <w:b/>
          <w:color w:val="auto"/>
          <w:sz w:val="32"/>
          <w:szCs w:val="32"/>
          <w:highlight w:val="none"/>
          <w:lang w:val="en-US" w:eastAsia="zh-CN"/>
        </w:rPr>
      </w:pPr>
      <w:r>
        <w:rPr>
          <w:rFonts w:hint="eastAsia" w:ascii="宋体" w:hAnsi="宋体"/>
          <w:color w:val="auto"/>
          <w:sz w:val="21"/>
          <w:szCs w:val="21"/>
          <w:highlight w:val="none"/>
        </w:rPr>
        <w:t>注：1.根据招标文件及评分标准相关要求填写，并提供相关的证明材料</w:t>
      </w:r>
      <w:r>
        <w:rPr>
          <w:rFonts w:hint="eastAsia" w:ascii="宋体" w:hAnsi="宋体"/>
          <w:b/>
          <w:bCs/>
          <w:color w:val="auto"/>
          <w:sz w:val="21"/>
          <w:szCs w:val="21"/>
          <w:highlight w:val="none"/>
          <w:lang w:eastAsia="zh-CN"/>
        </w:rPr>
        <w:t>（发动机编号清晰照片须提供实物清晰照片）</w:t>
      </w:r>
      <w:r>
        <w:rPr>
          <w:rFonts w:hint="eastAsia" w:ascii="宋体" w:hAnsi="宋体"/>
          <w:color w:val="auto"/>
          <w:sz w:val="21"/>
          <w:szCs w:val="21"/>
          <w:highlight w:val="none"/>
        </w:rPr>
        <w:t>；</w:t>
      </w:r>
    </w:p>
    <w:p w14:paraId="1D1F1DDA">
      <w:pPr>
        <w:jc w:val="both"/>
        <w:rPr>
          <w:rFonts w:hint="eastAsia"/>
          <w:b/>
          <w:bCs/>
          <w:color w:val="auto"/>
          <w:sz w:val="28"/>
          <w:szCs w:val="28"/>
          <w:highlight w:val="none"/>
        </w:rPr>
      </w:pPr>
    </w:p>
    <w:p w14:paraId="1428D6FD">
      <w:pPr>
        <w:jc w:val="center"/>
        <w:rPr>
          <w:rFonts w:hint="eastAsia"/>
          <w:b/>
          <w:bCs/>
          <w:color w:val="auto"/>
          <w:sz w:val="28"/>
          <w:szCs w:val="28"/>
          <w:highlight w:val="none"/>
        </w:rPr>
      </w:pPr>
      <w:r>
        <w:rPr>
          <w:rFonts w:hint="eastAsia"/>
          <w:b/>
          <w:bCs/>
          <w:color w:val="auto"/>
          <w:sz w:val="28"/>
          <w:szCs w:val="28"/>
          <w:highlight w:val="none"/>
        </w:rPr>
        <w:t>拟投入的配备人员一览表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260"/>
        <w:gridCol w:w="1205"/>
        <w:gridCol w:w="906"/>
        <w:gridCol w:w="713"/>
        <w:gridCol w:w="966"/>
        <w:gridCol w:w="2409"/>
        <w:gridCol w:w="1890"/>
      </w:tblGrid>
      <w:tr w14:paraId="07F2B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000000" w:sz="2" w:space="0"/>
              <w:left w:val="single" w:color="000000" w:sz="2" w:space="0"/>
              <w:bottom w:val="single" w:color="000000" w:sz="2" w:space="0"/>
              <w:right w:val="single" w:color="000000" w:sz="2" w:space="0"/>
            </w:tcBorders>
            <w:noWrap w:val="0"/>
            <w:vAlign w:val="center"/>
          </w:tcPr>
          <w:p w14:paraId="17BDBBDB">
            <w:pPr>
              <w:jc w:val="center"/>
              <w:rPr>
                <w:rFonts w:hint="eastAsia" w:ascii="宋体" w:hAnsi="宋体"/>
                <w:b/>
                <w:color w:val="auto"/>
                <w:sz w:val="24"/>
                <w:highlight w:val="none"/>
              </w:rPr>
            </w:pPr>
            <w:r>
              <w:rPr>
                <w:rFonts w:hint="eastAsia" w:ascii="宋体" w:hAnsi="宋体"/>
                <w:b/>
                <w:color w:val="auto"/>
                <w:sz w:val="24"/>
                <w:highlight w:val="none"/>
              </w:rPr>
              <w:t>序号</w:t>
            </w:r>
          </w:p>
        </w:tc>
        <w:tc>
          <w:tcPr>
            <w:tcW w:w="1260" w:type="dxa"/>
            <w:tcBorders>
              <w:top w:val="single" w:color="000000" w:sz="2" w:space="0"/>
              <w:left w:val="single" w:color="auto" w:sz="4" w:space="0"/>
              <w:bottom w:val="single" w:color="000000" w:sz="2" w:space="0"/>
              <w:right w:val="single" w:color="auto" w:sz="4" w:space="0"/>
            </w:tcBorders>
            <w:noWrap w:val="0"/>
            <w:vAlign w:val="center"/>
          </w:tcPr>
          <w:p w14:paraId="7AED711A">
            <w:pPr>
              <w:jc w:val="center"/>
              <w:rPr>
                <w:rFonts w:hint="eastAsia" w:ascii="宋体" w:hAnsi="宋体"/>
                <w:b/>
                <w:color w:val="auto"/>
                <w:sz w:val="24"/>
                <w:highlight w:val="none"/>
              </w:rPr>
            </w:pPr>
            <w:r>
              <w:rPr>
                <w:rFonts w:hint="eastAsia" w:ascii="宋体" w:hAnsi="宋体"/>
                <w:b/>
                <w:color w:val="auto"/>
                <w:sz w:val="24"/>
                <w:highlight w:val="none"/>
              </w:rPr>
              <w:t>岗位</w:t>
            </w:r>
          </w:p>
        </w:tc>
        <w:tc>
          <w:tcPr>
            <w:tcW w:w="1205" w:type="dxa"/>
            <w:tcBorders>
              <w:top w:val="single" w:color="000000" w:sz="2" w:space="0"/>
              <w:left w:val="single" w:color="auto" w:sz="4" w:space="0"/>
              <w:bottom w:val="single" w:color="000000" w:sz="2" w:space="0"/>
              <w:right w:val="single" w:color="000000" w:sz="2" w:space="0"/>
            </w:tcBorders>
            <w:noWrap w:val="0"/>
            <w:vAlign w:val="center"/>
          </w:tcPr>
          <w:p w14:paraId="3EBE26AD">
            <w:pPr>
              <w:jc w:val="center"/>
              <w:rPr>
                <w:rFonts w:hint="eastAsia" w:ascii="宋体" w:hAnsi="宋体"/>
                <w:b/>
                <w:color w:val="auto"/>
                <w:sz w:val="24"/>
                <w:highlight w:val="none"/>
              </w:rPr>
            </w:pPr>
            <w:r>
              <w:rPr>
                <w:rFonts w:hint="eastAsia" w:ascii="宋体" w:hAnsi="宋体"/>
                <w:b/>
                <w:color w:val="auto"/>
                <w:sz w:val="24"/>
                <w:highlight w:val="none"/>
              </w:rPr>
              <w:t>姓名</w:t>
            </w:r>
          </w:p>
        </w:tc>
        <w:tc>
          <w:tcPr>
            <w:tcW w:w="906" w:type="dxa"/>
            <w:tcBorders>
              <w:top w:val="single" w:color="000000" w:sz="2" w:space="0"/>
              <w:left w:val="single" w:color="auto" w:sz="4" w:space="0"/>
              <w:bottom w:val="single" w:color="000000" w:sz="2" w:space="0"/>
              <w:right w:val="single" w:color="auto" w:sz="4" w:space="0"/>
            </w:tcBorders>
            <w:noWrap w:val="0"/>
            <w:vAlign w:val="center"/>
          </w:tcPr>
          <w:p w14:paraId="7D0E3A9C">
            <w:pPr>
              <w:jc w:val="center"/>
              <w:rPr>
                <w:rFonts w:hint="eastAsia" w:ascii="宋体" w:hAnsi="宋体"/>
                <w:b/>
                <w:color w:val="auto"/>
                <w:sz w:val="24"/>
                <w:highlight w:val="none"/>
              </w:rPr>
            </w:pPr>
            <w:r>
              <w:rPr>
                <w:rFonts w:hint="eastAsia" w:ascii="宋体" w:hAnsi="宋体"/>
                <w:b/>
                <w:color w:val="auto"/>
                <w:sz w:val="24"/>
                <w:highlight w:val="none"/>
              </w:rPr>
              <w:t>性别</w:t>
            </w:r>
          </w:p>
        </w:tc>
        <w:tc>
          <w:tcPr>
            <w:tcW w:w="713" w:type="dxa"/>
            <w:tcBorders>
              <w:top w:val="single" w:color="000000" w:sz="2" w:space="0"/>
              <w:left w:val="single" w:color="auto" w:sz="4" w:space="0"/>
              <w:bottom w:val="single" w:color="000000" w:sz="2" w:space="0"/>
              <w:right w:val="single" w:color="auto" w:sz="4" w:space="0"/>
            </w:tcBorders>
            <w:noWrap w:val="0"/>
            <w:vAlign w:val="center"/>
          </w:tcPr>
          <w:p w14:paraId="17ECF079">
            <w:pPr>
              <w:jc w:val="center"/>
              <w:rPr>
                <w:rFonts w:hint="eastAsia" w:ascii="宋体" w:hAnsi="宋体"/>
                <w:b/>
                <w:color w:val="auto"/>
                <w:sz w:val="24"/>
                <w:highlight w:val="none"/>
              </w:rPr>
            </w:pPr>
            <w:r>
              <w:rPr>
                <w:rFonts w:hint="eastAsia" w:ascii="宋体" w:hAnsi="宋体"/>
                <w:b/>
                <w:color w:val="auto"/>
                <w:sz w:val="24"/>
                <w:highlight w:val="none"/>
              </w:rPr>
              <w:t>年龄</w:t>
            </w:r>
          </w:p>
        </w:tc>
        <w:tc>
          <w:tcPr>
            <w:tcW w:w="966" w:type="dxa"/>
            <w:tcBorders>
              <w:top w:val="single" w:color="000000" w:sz="2" w:space="0"/>
              <w:left w:val="single" w:color="auto" w:sz="4" w:space="0"/>
              <w:bottom w:val="single" w:color="000000" w:sz="2" w:space="0"/>
              <w:right w:val="single" w:color="auto" w:sz="4" w:space="0"/>
            </w:tcBorders>
            <w:noWrap w:val="0"/>
            <w:vAlign w:val="center"/>
          </w:tcPr>
          <w:p w14:paraId="4B2D71EC">
            <w:pPr>
              <w:jc w:val="center"/>
              <w:rPr>
                <w:rFonts w:hint="eastAsia" w:ascii="宋体" w:hAnsi="宋体"/>
                <w:b/>
                <w:color w:val="auto"/>
                <w:sz w:val="24"/>
                <w:highlight w:val="none"/>
              </w:rPr>
            </w:pPr>
            <w:r>
              <w:rPr>
                <w:rFonts w:hint="eastAsia" w:ascii="宋体" w:hAnsi="宋体"/>
                <w:b/>
                <w:color w:val="auto"/>
                <w:sz w:val="24"/>
                <w:highlight w:val="none"/>
              </w:rPr>
              <w:t>学历</w:t>
            </w:r>
          </w:p>
        </w:tc>
        <w:tc>
          <w:tcPr>
            <w:tcW w:w="2409" w:type="dxa"/>
            <w:tcBorders>
              <w:top w:val="single" w:color="000000" w:sz="2" w:space="0"/>
              <w:left w:val="single" w:color="auto" w:sz="4" w:space="0"/>
              <w:bottom w:val="single" w:color="000000" w:sz="2" w:space="0"/>
              <w:right w:val="single" w:color="000000" w:sz="2" w:space="0"/>
            </w:tcBorders>
            <w:noWrap w:val="0"/>
            <w:vAlign w:val="center"/>
          </w:tcPr>
          <w:p w14:paraId="6646CBC1">
            <w:pPr>
              <w:ind w:firstLine="482"/>
              <w:jc w:val="center"/>
              <w:rPr>
                <w:rFonts w:hint="eastAsia" w:ascii="宋体" w:hAnsi="宋体" w:eastAsia="宋体" w:cs="宋体"/>
                <w:b/>
                <w:color w:val="auto"/>
                <w:sz w:val="24"/>
                <w:highlight w:val="none"/>
                <w:lang w:eastAsia="zh-CN"/>
              </w:rPr>
            </w:pPr>
            <w:r>
              <w:rPr>
                <w:rFonts w:hint="eastAsia" w:ascii="宋体" w:hAnsi="宋体"/>
                <w:b/>
                <w:color w:val="auto"/>
                <w:sz w:val="24"/>
                <w:highlight w:val="none"/>
                <w:lang w:eastAsia="zh-CN"/>
              </w:rPr>
              <w:t>身份证号码</w:t>
            </w:r>
          </w:p>
        </w:tc>
        <w:tc>
          <w:tcPr>
            <w:tcW w:w="1890" w:type="dxa"/>
            <w:tcBorders>
              <w:top w:val="single" w:color="000000" w:sz="2" w:space="0"/>
              <w:left w:val="single" w:color="auto" w:sz="4" w:space="0"/>
              <w:bottom w:val="single" w:color="000000" w:sz="2" w:space="0"/>
              <w:right w:val="single" w:color="000000" w:sz="2" w:space="0"/>
            </w:tcBorders>
            <w:noWrap w:val="0"/>
            <w:vAlign w:val="center"/>
          </w:tcPr>
          <w:p w14:paraId="5DA61C5B">
            <w:pPr>
              <w:ind w:firstLine="482"/>
              <w:jc w:val="center"/>
              <w:rPr>
                <w:rFonts w:hint="eastAsia" w:ascii="宋体" w:hAnsi="宋体"/>
                <w:b/>
                <w:color w:val="auto"/>
                <w:sz w:val="24"/>
                <w:highlight w:val="none"/>
              </w:rPr>
            </w:pPr>
            <w:r>
              <w:rPr>
                <w:rFonts w:hint="eastAsia" w:ascii="宋体" w:hAnsi="宋体"/>
                <w:b/>
                <w:color w:val="auto"/>
                <w:sz w:val="24"/>
                <w:highlight w:val="none"/>
              </w:rPr>
              <w:t>备  注</w:t>
            </w:r>
          </w:p>
        </w:tc>
      </w:tr>
      <w:tr w14:paraId="5E3D8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5B7A16AA">
            <w:pPr>
              <w:ind w:firstLine="240"/>
              <w:rPr>
                <w:rFonts w:hint="eastAsia" w:ascii="宋体" w:hAnsi="宋体"/>
                <w:color w:val="auto"/>
                <w:sz w:val="24"/>
                <w:highlight w:val="none"/>
              </w:rPr>
            </w:pPr>
            <w:r>
              <w:rPr>
                <w:rFonts w:hint="eastAsia" w:ascii="宋体" w:hAnsi="宋体"/>
                <w:color w:val="auto"/>
                <w:sz w:val="24"/>
                <w:highlight w:val="none"/>
              </w:rPr>
              <w:t>1</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36A8BCBD">
            <w:pPr>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2C57176B">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539C4896">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5E218D43">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6F698867">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5E374EBD">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5D1971AF">
            <w:pPr>
              <w:ind w:firstLine="480"/>
              <w:jc w:val="center"/>
              <w:rPr>
                <w:rFonts w:hint="eastAsia" w:ascii="宋体" w:hAnsi="宋体"/>
                <w:color w:val="auto"/>
                <w:sz w:val="24"/>
                <w:highlight w:val="none"/>
              </w:rPr>
            </w:pPr>
          </w:p>
        </w:tc>
      </w:tr>
      <w:tr w14:paraId="7D964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57B99CF3">
            <w:pPr>
              <w:ind w:firstLine="240"/>
              <w:rPr>
                <w:rFonts w:hint="eastAsia" w:ascii="宋体" w:hAnsi="宋体"/>
                <w:color w:val="auto"/>
                <w:sz w:val="24"/>
                <w:highlight w:val="none"/>
              </w:rPr>
            </w:pPr>
            <w:r>
              <w:rPr>
                <w:rFonts w:hint="eastAsia" w:ascii="宋体" w:hAnsi="宋体"/>
                <w:color w:val="auto"/>
                <w:sz w:val="24"/>
                <w:highlight w:val="none"/>
              </w:rPr>
              <w:t>2</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0198C268">
            <w:pPr>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0D9885D0">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7E7076B6">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33F0E621">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0A6BA4FC">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6E6E3C26">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637BD08B">
            <w:pPr>
              <w:ind w:firstLine="480"/>
              <w:jc w:val="center"/>
              <w:rPr>
                <w:rFonts w:hint="eastAsia" w:ascii="宋体" w:hAnsi="宋体"/>
                <w:color w:val="auto"/>
                <w:sz w:val="24"/>
                <w:highlight w:val="none"/>
              </w:rPr>
            </w:pPr>
          </w:p>
        </w:tc>
      </w:tr>
      <w:tr w14:paraId="4F69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7CDE2A07">
            <w:pPr>
              <w:ind w:firstLine="240"/>
              <w:rPr>
                <w:rFonts w:hint="eastAsia" w:ascii="宋体" w:hAnsi="宋体"/>
                <w:color w:val="auto"/>
                <w:sz w:val="24"/>
                <w:highlight w:val="none"/>
              </w:rPr>
            </w:pPr>
            <w:r>
              <w:rPr>
                <w:rFonts w:hint="eastAsia" w:ascii="宋体" w:hAnsi="宋体"/>
                <w:color w:val="auto"/>
                <w:sz w:val="24"/>
                <w:highlight w:val="none"/>
              </w:rPr>
              <w:t>3</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18EBF825">
            <w:pPr>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0E7A4C87">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5F1D4E47">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36105533">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23DD7140">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793D1F5A">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2F3466BF">
            <w:pPr>
              <w:ind w:firstLine="480"/>
              <w:jc w:val="center"/>
              <w:rPr>
                <w:rFonts w:hint="eastAsia" w:ascii="宋体" w:hAnsi="宋体"/>
                <w:color w:val="auto"/>
                <w:sz w:val="24"/>
                <w:highlight w:val="none"/>
              </w:rPr>
            </w:pPr>
          </w:p>
        </w:tc>
      </w:tr>
      <w:tr w14:paraId="46FD9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5D7EBE1">
            <w:pPr>
              <w:ind w:firstLine="240"/>
              <w:rPr>
                <w:rFonts w:hint="eastAsia" w:ascii="宋体" w:hAnsi="宋体"/>
                <w:color w:val="auto"/>
                <w:sz w:val="24"/>
                <w:highlight w:val="none"/>
              </w:rPr>
            </w:pPr>
            <w:r>
              <w:rPr>
                <w:rFonts w:hint="eastAsia" w:ascii="宋体" w:hAnsi="宋体"/>
                <w:color w:val="auto"/>
                <w:sz w:val="24"/>
                <w:highlight w:val="none"/>
              </w:rPr>
              <w:t>4</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23B3E19B">
            <w:pPr>
              <w:ind w:firstLine="480"/>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5F707125">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6617EBED">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5E846EE8">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3842DE40">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43F690DF">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28B58C48">
            <w:pPr>
              <w:ind w:firstLine="480"/>
              <w:jc w:val="center"/>
              <w:rPr>
                <w:rFonts w:hint="eastAsia" w:ascii="宋体" w:hAnsi="宋体"/>
                <w:color w:val="auto"/>
                <w:sz w:val="24"/>
                <w:highlight w:val="none"/>
              </w:rPr>
            </w:pPr>
          </w:p>
        </w:tc>
      </w:tr>
      <w:tr w14:paraId="0B5C0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245EF81">
            <w:pPr>
              <w:ind w:firstLine="240"/>
              <w:rPr>
                <w:rFonts w:hint="eastAsia" w:ascii="宋体" w:hAnsi="宋体"/>
                <w:color w:val="auto"/>
                <w:sz w:val="24"/>
                <w:highlight w:val="none"/>
              </w:rPr>
            </w:pPr>
            <w:r>
              <w:rPr>
                <w:rFonts w:hint="eastAsia" w:ascii="宋体" w:hAnsi="宋体"/>
                <w:color w:val="auto"/>
                <w:sz w:val="24"/>
                <w:highlight w:val="none"/>
              </w:rPr>
              <w:t>5</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0E5562C4">
            <w:pPr>
              <w:ind w:firstLine="480"/>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3138E824">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18020AA4">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520F2EA4">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19A56D6B">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794B67E4">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69D800AD">
            <w:pPr>
              <w:ind w:firstLine="480"/>
              <w:jc w:val="center"/>
              <w:rPr>
                <w:rFonts w:hint="eastAsia" w:ascii="宋体" w:hAnsi="宋体"/>
                <w:color w:val="auto"/>
                <w:sz w:val="24"/>
                <w:highlight w:val="none"/>
              </w:rPr>
            </w:pPr>
          </w:p>
        </w:tc>
      </w:tr>
      <w:tr w14:paraId="3AECD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6F43743F">
            <w:pPr>
              <w:ind w:firstLine="240"/>
              <w:rPr>
                <w:rFonts w:hint="eastAsia" w:ascii="宋体" w:hAnsi="宋体"/>
                <w:color w:val="auto"/>
                <w:sz w:val="24"/>
                <w:highlight w:val="none"/>
              </w:rPr>
            </w:pPr>
            <w:r>
              <w:rPr>
                <w:rFonts w:hint="eastAsia" w:ascii="宋体" w:hAnsi="宋体"/>
                <w:color w:val="auto"/>
                <w:sz w:val="24"/>
                <w:highlight w:val="none"/>
              </w:rPr>
              <w:t>6</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0DCFC0C2">
            <w:pPr>
              <w:ind w:firstLine="480"/>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6C264EBE">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5193E9D7">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393D0601">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55AA2043">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04166EE4">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3E8034CA">
            <w:pPr>
              <w:ind w:firstLine="480"/>
              <w:jc w:val="center"/>
              <w:rPr>
                <w:rFonts w:hint="eastAsia" w:ascii="宋体" w:hAnsi="宋体"/>
                <w:color w:val="auto"/>
                <w:sz w:val="24"/>
                <w:highlight w:val="none"/>
              </w:rPr>
            </w:pPr>
          </w:p>
        </w:tc>
      </w:tr>
      <w:tr w14:paraId="4A622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39A18DD2">
            <w:pPr>
              <w:ind w:firstLine="240"/>
              <w:rPr>
                <w:rFonts w:hint="eastAsia" w:ascii="宋体" w:hAnsi="宋体"/>
                <w:color w:val="auto"/>
                <w:sz w:val="24"/>
                <w:highlight w:val="none"/>
              </w:rPr>
            </w:pPr>
            <w:r>
              <w:rPr>
                <w:rFonts w:ascii="宋体" w:hAnsi="宋体"/>
                <w:color w:val="auto"/>
                <w:sz w:val="24"/>
                <w:highlight w:val="none"/>
              </w:rPr>
              <w:t>…</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3D1CBC17">
            <w:pPr>
              <w:ind w:firstLine="480"/>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5A3EE248">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414866C2">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62825768">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47016E8B">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7B6A1A19">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3D09D54F">
            <w:pPr>
              <w:ind w:firstLine="480"/>
              <w:jc w:val="center"/>
              <w:rPr>
                <w:rFonts w:hint="eastAsia" w:ascii="宋体" w:hAnsi="宋体"/>
                <w:color w:val="auto"/>
                <w:sz w:val="24"/>
                <w:highlight w:val="none"/>
              </w:rPr>
            </w:pPr>
          </w:p>
        </w:tc>
      </w:tr>
    </w:tbl>
    <w:p w14:paraId="72808E0C">
      <w:pPr>
        <w:spacing w:line="360" w:lineRule="auto"/>
        <w:ind w:firstLine="480"/>
        <w:rPr>
          <w:rFonts w:hint="eastAsia" w:ascii="宋体" w:hAnsi="宋体"/>
          <w:color w:val="auto"/>
          <w:sz w:val="24"/>
          <w:highlight w:val="none"/>
        </w:rPr>
      </w:pPr>
      <w:r>
        <w:rPr>
          <w:rFonts w:hint="eastAsia" w:ascii="宋体" w:hAnsi="宋体"/>
          <w:color w:val="auto"/>
          <w:sz w:val="24"/>
          <w:highlight w:val="none"/>
        </w:rPr>
        <w:t>注：1.根据招标文件及评分标准相关要求填写，并提供相关的证明材料；</w:t>
      </w:r>
    </w:p>
    <w:p w14:paraId="1E59A511">
      <w:pPr>
        <w:spacing w:line="360" w:lineRule="auto"/>
        <w:ind w:firstLine="480"/>
        <w:rPr>
          <w:rFonts w:ascii="宋体" w:hAnsi="宋体"/>
          <w:color w:val="auto"/>
          <w:sz w:val="24"/>
          <w:highlight w:val="none"/>
        </w:rPr>
      </w:pPr>
      <w:r>
        <w:rPr>
          <w:rFonts w:hint="eastAsia" w:ascii="宋体" w:hAnsi="宋体"/>
          <w:color w:val="auto"/>
          <w:sz w:val="24"/>
          <w:highlight w:val="none"/>
        </w:rPr>
        <w:t>2.表格不够填写可添加；</w:t>
      </w:r>
    </w:p>
    <w:p w14:paraId="48E473A8">
      <w:pPr>
        <w:ind w:firstLine="480"/>
        <w:rPr>
          <w:rFonts w:hint="eastAsia"/>
          <w:color w:val="auto"/>
          <w:highlight w:val="none"/>
        </w:rPr>
      </w:pPr>
      <w:r>
        <w:rPr>
          <w:rFonts w:hint="eastAsia" w:ascii="宋体" w:hAnsi="宋体"/>
          <w:color w:val="auto"/>
          <w:sz w:val="24"/>
          <w:highlight w:val="none"/>
        </w:rPr>
        <w:t>3.以上人员工资、</w:t>
      </w:r>
      <w:r>
        <w:rPr>
          <w:rFonts w:hint="eastAsia" w:ascii="宋体" w:hAnsi="宋体"/>
          <w:color w:val="auto"/>
          <w:sz w:val="24"/>
          <w:highlight w:val="none"/>
          <w:lang w:val="en-US" w:eastAsia="zh-CN"/>
        </w:rPr>
        <w:t>保险、意外险</w:t>
      </w:r>
      <w:r>
        <w:rPr>
          <w:rFonts w:hint="eastAsia" w:ascii="宋体" w:hAnsi="宋体"/>
          <w:color w:val="auto"/>
          <w:sz w:val="24"/>
          <w:highlight w:val="none"/>
        </w:rPr>
        <w:t>须根据劳动法和</w:t>
      </w:r>
      <w:r>
        <w:rPr>
          <w:rFonts w:hint="eastAsia" w:ascii="宋体" w:hAnsi="宋体"/>
          <w:color w:val="auto"/>
          <w:sz w:val="24"/>
          <w:highlight w:val="none"/>
          <w:lang w:val="en-US" w:eastAsia="zh-CN"/>
        </w:rPr>
        <w:t>盐城市</w:t>
      </w:r>
      <w:r>
        <w:rPr>
          <w:rFonts w:hint="eastAsia" w:ascii="宋体" w:hAnsi="宋体"/>
          <w:color w:val="auto"/>
          <w:sz w:val="24"/>
          <w:highlight w:val="none"/>
        </w:rPr>
        <w:t>相关要求缴纳；</w:t>
      </w:r>
    </w:p>
    <w:p w14:paraId="5F964D0C">
      <w:pPr>
        <w:pStyle w:val="32"/>
        <w:spacing w:beforeAutospacing="0" w:afterAutospacing="0"/>
        <w:jc w:val="center"/>
        <w:rPr>
          <w:rFonts w:hint="eastAsia" w:ascii="黑体" w:eastAsia="黑体" w:cs="黑体"/>
          <w:b/>
          <w:color w:val="auto"/>
          <w:sz w:val="32"/>
          <w:szCs w:val="32"/>
          <w:highlight w:val="none"/>
          <w:lang w:val="en-US" w:eastAsia="zh-CN"/>
        </w:rPr>
        <w:sectPr>
          <w:pgSz w:w="11906" w:h="16838"/>
          <w:pgMar w:top="1440" w:right="1587" w:bottom="1440" w:left="1587" w:header="851" w:footer="907" w:gutter="0"/>
          <w:cols w:space="720" w:num="1"/>
          <w:docGrid w:linePitch="360" w:charSpace="0"/>
        </w:sectPr>
      </w:pPr>
    </w:p>
    <w:p w14:paraId="6398D231">
      <w:pPr>
        <w:spacing w:before="50" w:after="50"/>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t>（十五）盐城市政府采购事前信用承诺书</w:t>
      </w:r>
    </w:p>
    <w:p w14:paraId="2E46431D">
      <w:pPr>
        <w:widowControl/>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为营造我市公开、公平、公正、诚实守信的政府采购交易环境，树立诚信守法的投标人形象，本人代表本单位作出以下承诺：</w:t>
      </w:r>
    </w:p>
    <w:p w14:paraId="7A4FDBAA">
      <w:pPr>
        <w:widowControl/>
        <w:spacing w:line="500" w:lineRule="exact"/>
        <w:jc w:val="left"/>
        <w:rPr>
          <w:rFonts w:ascii="宋体" w:hAnsi="宋体"/>
          <w:color w:val="auto"/>
          <w:sz w:val="24"/>
          <w:szCs w:val="24"/>
          <w:highlight w:val="none"/>
        </w:rPr>
      </w:pPr>
      <w:r>
        <w:rPr>
          <w:rFonts w:hint="eastAsia" w:ascii="宋体" w:hAnsi="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89C933F">
      <w:pPr>
        <w:widowControl/>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61B9EBF">
      <w:pPr>
        <w:widowControl/>
        <w:spacing w:line="500" w:lineRule="exact"/>
        <w:jc w:val="left"/>
        <w:rPr>
          <w:rFonts w:ascii="宋体" w:hAnsi="宋体"/>
          <w:color w:val="auto"/>
          <w:sz w:val="24"/>
          <w:szCs w:val="24"/>
          <w:highlight w:val="none"/>
        </w:rPr>
      </w:pPr>
      <w:r>
        <w:rPr>
          <w:rFonts w:hint="eastAsia" w:ascii="宋体" w:hAnsi="宋体"/>
          <w:color w:val="auto"/>
          <w:sz w:val="24"/>
          <w:szCs w:val="24"/>
          <w:highlight w:val="none"/>
        </w:rPr>
        <w:t xml:space="preserve">   （三）严格依照国家和省、市关于政府采购的法律、法规、规章、规范性文件，参加政府采购投标活动；积极履行社会责任，促进廉政建设； </w:t>
      </w:r>
    </w:p>
    <w:p w14:paraId="13B8A58A">
      <w:pPr>
        <w:widowControl/>
        <w:spacing w:line="500" w:lineRule="exact"/>
        <w:jc w:val="left"/>
        <w:rPr>
          <w:rFonts w:ascii="宋体" w:hAnsi="宋体"/>
          <w:color w:val="auto"/>
          <w:sz w:val="24"/>
          <w:szCs w:val="24"/>
          <w:highlight w:val="none"/>
        </w:rPr>
      </w:pPr>
      <w:r>
        <w:rPr>
          <w:rFonts w:hint="eastAsia" w:ascii="宋体" w:hAnsi="宋体"/>
          <w:color w:val="auto"/>
          <w:sz w:val="24"/>
          <w:szCs w:val="24"/>
          <w:highlight w:val="none"/>
        </w:rPr>
        <w:t>   （四）严格遵守即时信息公示规定，及时维护和更新维护和更新盐城市政府采购网中与本单位相关的信息；</w:t>
      </w:r>
    </w:p>
    <w:p w14:paraId="4813D8AC">
      <w:pPr>
        <w:widowControl/>
        <w:spacing w:line="500" w:lineRule="exact"/>
        <w:jc w:val="left"/>
        <w:rPr>
          <w:rFonts w:ascii="宋体" w:hAnsi="宋体"/>
          <w:color w:val="auto"/>
          <w:sz w:val="24"/>
          <w:szCs w:val="24"/>
          <w:highlight w:val="none"/>
        </w:rPr>
      </w:pPr>
      <w:r>
        <w:rPr>
          <w:rFonts w:hint="eastAsia" w:ascii="宋体" w:hAnsi="宋体"/>
          <w:color w:val="auto"/>
          <w:sz w:val="24"/>
          <w:szCs w:val="24"/>
          <w:highlight w:val="none"/>
        </w:rPr>
        <w:t>   （五）自我约束、自我管理，守合同、重信用，自觉维护政府采购交易的良好秩序，与参与本次政府采购活动的其他投标人不存在直接控股或管理关系，不参与围标串标、弄虚作假、骗取中标、干扰评标、违约毁约等行为；</w:t>
      </w:r>
    </w:p>
    <w:p w14:paraId="2CC566F6">
      <w:pPr>
        <w:widowControl/>
        <w:spacing w:line="500" w:lineRule="exact"/>
        <w:jc w:val="left"/>
        <w:rPr>
          <w:rFonts w:ascii="宋体" w:hAnsi="宋体"/>
          <w:color w:val="auto"/>
          <w:sz w:val="24"/>
          <w:szCs w:val="24"/>
          <w:highlight w:val="none"/>
        </w:rPr>
      </w:pPr>
      <w:r>
        <w:rPr>
          <w:rFonts w:hint="eastAsia" w:ascii="宋体" w:hAnsi="宋体"/>
          <w:color w:val="auto"/>
          <w:sz w:val="24"/>
          <w:szCs w:val="24"/>
          <w:highlight w:val="none"/>
        </w:rPr>
        <w:t>   （六）自觉接受政府、行业组织、社会公众、新闻舆论的监督；</w:t>
      </w:r>
    </w:p>
    <w:p w14:paraId="62C415F1">
      <w:pPr>
        <w:widowControl/>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D160364">
      <w:pPr>
        <w:widowControl/>
        <w:spacing w:line="500" w:lineRule="exact"/>
        <w:jc w:val="left"/>
        <w:rPr>
          <w:rFonts w:ascii="宋体" w:hAnsi="宋体"/>
          <w:color w:val="auto"/>
          <w:sz w:val="24"/>
          <w:szCs w:val="24"/>
          <w:highlight w:val="none"/>
        </w:rPr>
      </w:pPr>
      <w:r>
        <w:rPr>
          <w:rFonts w:hint="eastAsia" w:ascii="宋体" w:hAnsi="宋体"/>
          <w:color w:val="auto"/>
          <w:sz w:val="24"/>
          <w:szCs w:val="24"/>
          <w:highlight w:val="none"/>
        </w:rPr>
        <w:t>   （八）本人已认真阅读了上述承诺，并向本单位员工作了宣传教育。</w:t>
      </w:r>
    </w:p>
    <w:p w14:paraId="769B788E">
      <w:pPr>
        <w:widowControl/>
        <w:spacing w:line="500" w:lineRule="exact"/>
        <w:jc w:val="left"/>
        <w:rPr>
          <w:rFonts w:ascii="宋体" w:hAnsi="宋体"/>
          <w:color w:val="auto"/>
          <w:sz w:val="24"/>
          <w:szCs w:val="24"/>
          <w:highlight w:val="none"/>
        </w:rPr>
      </w:pPr>
    </w:p>
    <w:p w14:paraId="31B94987">
      <w:pPr>
        <w:widowControl/>
        <w:spacing w:line="500" w:lineRule="exact"/>
        <w:jc w:val="center"/>
        <w:rPr>
          <w:rFonts w:ascii="宋体" w:hAnsi="宋体"/>
          <w:color w:val="auto"/>
          <w:sz w:val="24"/>
          <w:szCs w:val="24"/>
          <w:highlight w:val="none"/>
        </w:rPr>
      </w:pPr>
      <w:r>
        <w:rPr>
          <w:rFonts w:hint="eastAsia" w:ascii="宋体" w:hAnsi="宋体"/>
          <w:color w:val="auto"/>
          <w:sz w:val="24"/>
          <w:szCs w:val="24"/>
          <w:highlight w:val="none"/>
        </w:rPr>
        <w:t xml:space="preserve">                 法定代表人签名：</w:t>
      </w:r>
    </w:p>
    <w:p w14:paraId="12A3720C">
      <w:pPr>
        <w:widowControl/>
        <w:spacing w:line="500" w:lineRule="exact"/>
        <w:jc w:val="center"/>
        <w:rPr>
          <w:rFonts w:ascii="宋体" w:hAnsi="宋体"/>
          <w:color w:val="auto"/>
          <w:sz w:val="24"/>
          <w:szCs w:val="24"/>
          <w:highlight w:val="none"/>
        </w:rPr>
      </w:pPr>
      <w:r>
        <w:rPr>
          <w:rFonts w:hint="eastAsia" w:ascii="宋体" w:hAnsi="宋体"/>
          <w:color w:val="auto"/>
          <w:sz w:val="24"/>
          <w:szCs w:val="24"/>
          <w:highlight w:val="none"/>
        </w:rPr>
        <w:t xml:space="preserve">                   单位名称（盖章）：</w:t>
      </w:r>
    </w:p>
    <w:p w14:paraId="162E2D04">
      <w:pPr>
        <w:widowControl/>
        <w:spacing w:line="500" w:lineRule="exact"/>
        <w:jc w:val="right"/>
        <w:rPr>
          <w:rFonts w:hint="eastAsia" w:eastAsia="宋体"/>
          <w:color w:val="auto"/>
          <w:highlight w:val="none"/>
          <w:lang w:val="en-US" w:eastAsia="zh-CN"/>
        </w:rPr>
      </w:pPr>
      <w:r>
        <w:rPr>
          <w:rFonts w:hint="eastAsia" w:ascii="宋体" w:hAnsi="宋体"/>
          <w:color w:val="auto"/>
          <w:sz w:val="24"/>
          <w:szCs w:val="24"/>
          <w:highlight w:val="none"/>
        </w:rPr>
        <w:t xml:space="preserve">                      年    月    </w:t>
      </w:r>
      <w:r>
        <w:rPr>
          <w:rFonts w:hint="eastAsia" w:ascii="宋体" w:hAnsi="宋体"/>
          <w:color w:val="auto"/>
          <w:sz w:val="24"/>
          <w:szCs w:val="24"/>
          <w:highlight w:val="none"/>
          <w:lang w:val="en-US" w:eastAsia="zh-CN"/>
        </w:rPr>
        <w:t>日</w:t>
      </w:r>
    </w:p>
    <w:p w14:paraId="74231364">
      <w:pPr>
        <w:rPr>
          <w:color w:val="auto"/>
          <w:highlight w:val="none"/>
        </w:rPr>
      </w:pPr>
    </w:p>
    <w:p w14:paraId="33713680">
      <w:pPr>
        <w:rPr>
          <w:color w:val="auto"/>
          <w:highlight w:val="none"/>
        </w:rPr>
      </w:pPr>
    </w:p>
    <w:p w14:paraId="2D26C7EC">
      <w:pPr>
        <w:rPr>
          <w:color w:val="auto"/>
          <w:highlight w:val="none"/>
        </w:rPr>
      </w:pPr>
    </w:p>
    <w:p w14:paraId="3A1B4E97">
      <w:pPr>
        <w:pageBreakBefore w:val="0"/>
        <w:widowControl/>
        <w:spacing w:line="360" w:lineRule="auto"/>
        <w:jc w:val="center"/>
        <w:rPr>
          <w:rStyle w:val="195"/>
          <w:rFonts w:ascii="宋体" w:hAnsi="宋体" w:cs="宋体"/>
          <w:b/>
          <w:bCs/>
          <w:color w:val="auto"/>
          <w:sz w:val="32"/>
          <w:szCs w:val="32"/>
          <w:highlight w:val="none"/>
        </w:rPr>
      </w:pPr>
      <w:r>
        <w:rPr>
          <w:rStyle w:val="195"/>
          <w:rFonts w:ascii="宋体" w:hAnsi="宋体" w:cs="宋体"/>
          <w:b/>
          <w:bCs/>
          <w:color w:val="auto"/>
          <w:sz w:val="32"/>
          <w:szCs w:val="32"/>
          <w:highlight w:val="none"/>
        </w:rPr>
        <w:t>盐城市大丰区政府招标采购供应商承诺书</w:t>
      </w:r>
    </w:p>
    <w:p w14:paraId="06E24734">
      <w:pPr>
        <w:spacing w:line="400" w:lineRule="exact"/>
        <w:ind w:firstLine="720"/>
        <w:rPr>
          <w:rStyle w:val="195"/>
          <w:rFonts w:hint="eastAsia" w:ascii="宋体" w:hAnsi="宋体" w:eastAsia="宋体"/>
          <w:color w:val="auto"/>
          <w:sz w:val="36"/>
          <w:szCs w:val="36"/>
          <w:highlight w:val="none"/>
          <w:lang w:eastAsia="zh-CN"/>
        </w:rPr>
      </w:pPr>
    </w:p>
    <w:p w14:paraId="7A1CE7DC">
      <w:pPr>
        <w:spacing w:line="340" w:lineRule="exact"/>
        <w:ind w:firstLine="480"/>
        <w:rPr>
          <w:rStyle w:val="195"/>
          <w:rFonts w:ascii="宋体" w:hAnsi="宋体"/>
          <w:color w:val="auto"/>
          <w:sz w:val="24"/>
          <w:szCs w:val="24"/>
          <w:highlight w:val="none"/>
          <w:u w:val="single"/>
        </w:rPr>
      </w:pPr>
      <w:r>
        <w:rPr>
          <w:rStyle w:val="195"/>
          <w:rFonts w:ascii="宋体" w:hAnsi="宋体"/>
          <w:color w:val="auto"/>
          <w:sz w:val="24"/>
          <w:szCs w:val="24"/>
          <w:highlight w:val="none"/>
        </w:rPr>
        <w:t>为营造公开、公平、公正、诚实守信的政府招标采购交易环境，树立诚信守法的投标人形象，本单位参加政府招标采购项目</w:t>
      </w:r>
      <w:r>
        <w:rPr>
          <w:rStyle w:val="195"/>
          <w:rFonts w:ascii="宋体" w:hAnsi="宋体"/>
          <w:color w:val="auto"/>
          <w:sz w:val="24"/>
          <w:szCs w:val="24"/>
          <w:highlight w:val="none"/>
          <w:u w:val="single"/>
        </w:rPr>
        <w:t xml:space="preserve">：                                       </w:t>
      </w:r>
    </w:p>
    <w:p w14:paraId="0DF99CB5">
      <w:pPr>
        <w:spacing w:line="340" w:lineRule="exact"/>
        <w:rPr>
          <w:rStyle w:val="195"/>
          <w:rFonts w:ascii="宋体" w:hAnsi="宋体"/>
          <w:color w:val="auto"/>
          <w:sz w:val="24"/>
          <w:szCs w:val="24"/>
          <w:highlight w:val="none"/>
        </w:rPr>
      </w:pPr>
      <w:r>
        <w:rPr>
          <w:rStyle w:val="195"/>
          <w:rFonts w:ascii="宋体" w:hAnsi="宋体"/>
          <w:color w:val="auto"/>
          <w:sz w:val="24"/>
          <w:szCs w:val="24"/>
          <w:highlight w:val="none"/>
        </w:rPr>
        <w:t>的招标采购活动，本人代表本单位作出以下承诺：</w:t>
      </w:r>
    </w:p>
    <w:p w14:paraId="2E55DDC9">
      <w:pPr>
        <w:spacing w:line="340" w:lineRule="exact"/>
        <w:ind w:firstLine="480"/>
        <w:rPr>
          <w:rStyle w:val="195"/>
          <w:rFonts w:ascii="宋体" w:hAnsi="宋体"/>
          <w:color w:val="auto"/>
          <w:sz w:val="24"/>
          <w:szCs w:val="24"/>
          <w:highlight w:val="none"/>
        </w:rPr>
      </w:pPr>
      <w:r>
        <w:rPr>
          <w:rStyle w:val="195"/>
          <w:rFonts w:ascii="宋体" w:hAnsi="宋体"/>
          <w:color w:val="auto"/>
          <w:sz w:val="24"/>
          <w:szCs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A70AA31">
      <w:pPr>
        <w:spacing w:line="340" w:lineRule="exact"/>
        <w:ind w:firstLine="480"/>
        <w:rPr>
          <w:rStyle w:val="195"/>
          <w:rFonts w:ascii="宋体" w:hAnsi="宋体"/>
          <w:color w:val="auto"/>
          <w:sz w:val="24"/>
          <w:szCs w:val="24"/>
          <w:highlight w:val="none"/>
        </w:rPr>
      </w:pPr>
      <w:r>
        <w:rPr>
          <w:rStyle w:val="195"/>
          <w:rFonts w:ascii="宋体" w:hAnsi="宋体"/>
          <w:color w:val="auto"/>
          <w:sz w:val="24"/>
          <w:szCs w:val="24"/>
          <w:highlight w:val="none"/>
        </w:rPr>
        <w:t>（二）本单位无涉及政府招标采购活动的违法、违规不良记录，我公司及相关负责人无因存在重大隐患整改不力、发生有重大社会影响生产安全事故或其他严重违法违规行为而被列入失信联合惩戒的不良记录；</w:t>
      </w:r>
    </w:p>
    <w:p w14:paraId="6E6FF9F3">
      <w:pPr>
        <w:spacing w:line="340" w:lineRule="exact"/>
        <w:ind w:firstLine="480"/>
        <w:rPr>
          <w:rStyle w:val="195"/>
          <w:rFonts w:ascii="宋体" w:hAnsi="宋体"/>
          <w:color w:val="auto"/>
          <w:sz w:val="24"/>
          <w:szCs w:val="24"/>
          <w:highlight w:val="none"/>
        </w:rPr>
      </w:pPr>
      <w:r>
        <w:rPr>
          <w:rStyle w:val="195"/>
          <w:rFonts w:ascii="宋体" w:hAnsi="宋体"/>
          <w:color w:val="auto"/>
          <w:sz w:val="24"/>
          <w:szCs w:val="24"/>
          <w:highlight w:val="none"/>
        </w:rPr>
        <w:t xml:space="preserve">（三）严格依照国家和省、市关于政府招标采购的法律、法规、规章、规范性文件，参加政府招标采购的投标活动；积极履行社会责任，促进廉政建设； </w:t>
      </w:r>
    </w:p>
    <w:p w14:paraId="388A62D3">
      <w:pPr>
        <w:spacing w:line="340" w:lineRule="exact"/>
        <w:rPr>
          <w:rStyle w:val="195"/>
          <w:rFonts w:ascii="宋体" w:hAnsi="宋体"/>
          <w:color w:val="auto"/>
          <w:sz w:val="24"/>
          <w:szCs w:val="24"/>
          <w:highlight w:val="none"/>
        </w:rPr>
      </w:pPr>
      <w:r>
        <w:rPr>
          <w:rStyle w:val="195"/>
          <w:rFonts w:ascii="宋体" w:hAnsi="宋体"/>
          <w:color w:val="auto"/>
          <w:sz w:val="24"/>
          <w:szCs w:val="24"/>
          <w:highlight w:val="none"/>
        </w:rPr>
        <w:t>   （四）严格遵守即时信息公示规定，及时维护和更新盐城市政府采购网、公共资源交易平台中与本单位相关的信息；</w:t>
      </w:r>
    </w:p>
    <w:p w14:paraId="46F42855">
      <w:pPr>
        <w:spacing w:line="340" w:lineRule="exact"/>
        <w:ind w:firstLine="367"/>
        <w:rPr>
          <w:rStyle w:val="195"/>
          <w:rFonts w:ascii="宋体" w:hAnsi="宋体"/>
          <w:color w:val="auto"/>
          <w:sz w:val="24"/>
          <w:szCs w:val="24"/>
          <w:highlight w:val="none"/>
        </w:rPr>
      </w:pPr>
      <w:r>
        <w:rPr>
          <w:rStyle w:val="195"/>
          <w:rFonts w:ascii="宋体" w:hAnsi="宋体"/>
          <w:color w:val="auto"/>
          <w:sz w:val="24"/>
          <w:szCs w:val="24"/>
          <w:highlight w:val="none"/>
        </w:rPr>
        <w:t>（五）自我约束、自我管理，守合同、重信用，自觉维护政府招标采购交易的良好秩序，与参与本次政府招标采购活动的其他供应商不存在直接控股或管理关系，不参与围标串标、弄虚作假、骗取中标、干扰评标、违约毁约等行为；</w:t>
      </w:r>
    </w:p>
    <w:p w14:paraId="44B06D1E">
      <w:pPr>
        <w:spacing w:line="340" w:lineRule="exact"/>
        <w:ind w:firstLine="367"/>
        <w:rPr>
          <w:rStyle w:val="195"/>
          <w:rFonts w:ascii="宋体" w:hAnsi="宋体"/>
          <w:color w:val="auto"/>
          <w:sz w:val="24"/>
          <w:szCs w:val="24"/>
          <w:highlight w:val="none"/>
        </w:rPr>
      </w:pPr>
      <w:r>
        <w:rPr>
          <w:rStyle w:val="195"/>
          <w:rFonts w:ascii="宋体" w:hAnsi="宋体"/>
          <w:color w:val="auto"/>
          <w:sz w:val="24"/>
          <w:szCs w:val="24"/>
          <w:highlight w:val="none"/>
        </w:rPr>
        <w:t>（六）自觉接受政府、行业组织、社会公众、新闻舆论的监督；</w:t>
      </w:r>
    </w:p>
    <w:p w14:paraId="62507D5C">
      <w:pPr>
        <w:spacing w:line="340" w:lineRule="exact"/>
        <w:ind w:firstLine="367"/>
        <w:rPr>
          <w:rStyle w:val="195"/>
          <w:rFonts w:ascii="宋体" w:hAnsi="宋体"/>
          <w:color w:val="auto"/>
          <w:sz w:val="24"/>
          <w:szCs w:val="24"/>
          <w:highlight w:val="none"/>
        </w:rPr>
      </w:pPr>
      <w:r>
        <w:rPr>
          <w:rStyle w:val="195"/>
          <w:rFonts w:ascii="宋体" w:hAnsi="宋体"/>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C4F31EF">
      <w:pPr>
        <w:spacing w:line="340" w:lineRule="exact"/>
        <w:ind w:firstLine="367"/>
        <w:rPr>
          <w:rStyle w:val="195"/>
          <w:rFonts w:ascii="宋体" w:hAnsi="宋体"/>
          <w:color w:val="auto"/>
          <w:sz w:val="24"/>
          <w:szCs w:val="24"/>
          <w:highlight w:val="none"/>
        </w:rPr>
      </w:pPr>
      <w:r>
        <w:rPr>
          <w:rStyle w:val="195"/>
          <w:rFonts w:ascii="宋体" w:hAnsi="宋体"/>
          <w:color w:val="auto"/>
          <w:sz w:val="24"/>
          <w:szCs w:val="24"/>
          <w:highlight w:val="none"/>
        </w:rPr>
        <w:t>（八）本人已认真阅读了上述承诺，并向本单位员工作了宣传教育。</w:t>
      </w:r>
    </w:p>
    <w:p w14:paraId="4ED00167">
      <w:pPr>
        <w:spacing w:line="340" w:lineRule="exact"/>
        <w:ind w:firstLine="480"/>
        <w:rPr>
          <w:rStyle w:val="195"/>
          <w:rFonts w:ascii="宋体" w:hAnsi="宋体"/>
          <w:color w:val="auto"/>
          <w:sz w:val="24"/>
          <w:szCs w:val="24"/>
          <w:highlight w:val="none"/>
        </w:rPr>
      </w:pPr>
    </w:p>
    <w:p w14:paraId="641744FA">
      <w:pPr>
        <w:spacing w:line="340" w:lineRule="exact"/>
        <w:ind w:firstLine="480"/>
        <w:rPr>
          <w:rStyle w:val="195"/>
          <w:rFonts w:ascii="宋体" w:hAnsi="宋体"/>
          <w:color w:val="auto"/>
          <w:sz w:val="24"/>
          <w:szCs w:val="24"/>
          <w:highlight w:val="none"/>
        </w:rPr>
      </w:pPr>
    </w:p>
    <w:p w14:paraId="61C2D490">
      <w:pPr>
        <w:spacing w:line="340" w:lineRule="exact"/>
        <w:ind w:firstLine="480"/>
        <w:rPr>
          <w:rStyle w:val="195"/>
          <w:rFonts w:ascii="宋体" w:hAnsi="宋体"/>
          <w:color w:val="auto"/>
          <w:sz w:val="24"/>
          <w:szCs w:val="24"/>
          <w:highlight w:val="none"/>
        </w:rPr>
      </w:pPr>
      <w:r>
        <w:rPr>
          <w:rStyle w:val="195"/>
          <w:rFonts w:ascii="宋体" w:hAnsi="宋体"/>
          <w:color w:val="auto"/>
          <w:sz w:val="24"/>
          <w:szCs w:val="24"/>
          <w:highlight w:val="none"/>
        </w:rPr>
        <w:t xml:space="preserve">法定代表人签名：        </w:t>
      </w:r>
      <w:r>
        <w:rPr>
          <w:rStyle w:val="195"/>
          <w:rFonts w:hint="eastAsia" w:ascii="宋体" w:hAnsi="宋体"/>
          <w:color w:val="auto"/>
          <w:sz w:val="24"/>
          <w:szCs w:val="24"/>
          <w:highlight w:val="none"/>
          <w:lang w:val="en-US" w:eastAsia="zh-CN"/>
        </w:rPr>
        <w:t xml:space="preserve">             </w:t>
      </w:r>
      <w:r>
        <w:rPr>
          <w:rStyle w:val="195"/>
          <w:rFonts w:ascii="宋体" w:hAnsi="宋体"/>
          <w:color w:val="auto"/>
          <w:sz w:val="24"/>
          <w:szCs w:val="24"/>
          <w:highlight w:val="none"/>
        </w:rPr>
        <w:t xml:space="preserve">   单位名称（盖章）：</w:t>
      </w:r>
    </w:p>
    <w:p w14:paraId="28F520BD">
      <w:pPr>
        <w:spacing w:line="340" w:lineRule="exact"/>
        <w:rPr>
          <w:rStyle w:val="195"/>
          <w:rFonts w:ascii="宋体" w:hAnsi="宋体"/>
          <w:color w:val="auto"/>
          <w:sz w:val="24"/>
          <w:szCs w:val="24"/>
          <w:highlight w:val="none"/>
        </w:rPr>
      </w:pPr>
    </w:p>
    <w:p w14:paraId="10EBF287">
      <w:pPr>
        <w:spacing w:line="340" w:lineRule="exact"/>
        <w:ind w:firstLine="4320"/>
        <w:jc w:val="right"/>
        <w:rPr>
          <w:rStyle w:val="195"/>
          <w:rFonts w:ascii="宋体" w:hAnsi="宋体"/>
          <w:color w:val="auto"/>
          <w:sz w:val="24"/>
          <w:szCs w:val="24"/>
          <w:highlight w:val="none"/>
        </w:rPr>
      </w:pPr>
    </w:p>
    <w:p w14:paraId="42565757">
      <w:pPr>
        <w:spacing w:line="340" w:lineRule="exact"/>
        <w:ind w:firstLine="4320"/>
        <w:jc w:val="right"/>
        <w:rPr>
          <w:rStyle w:val="195"/>
          <w:rFonts w:ascii="宋体" w:hAnsi="宋体"/>
          <w:color w:val="auto"/>
          <w:sz w:val="24"/>
          <w:szCs w:val="24"/>
          <w:highlight w:val="none"/>
        </w:rPr>
      </w:pPr>
    </w:p>
    <w:p w14:paraId="4E253E51">
      <w:pPr>
        <w:spacing w:line="340" w:lineRule="exact"/>
        <w:ind w:firstLine="4320"/>
        <w:jc w:val="right"/>
        <w:rPr>
          <w:rStyle w:val="195"/>
          <w:rFonts w:ascii="宋体" w:hAnsi="宋体"/>
          <w:color w:val="auto"/>
          <w:sz w:val="24"/>
          <w:szCs w:val="24"/>
          <w:highlight w:val="none"/>
        </w:rPr>
      </w:pPr>
      <w:r>
        <w:rPr>
          <w:rStyle w:val="195"/>
          <w:rFonts w:ascii="宋体" w:hAnsi="宋体"/>
          <w:color w:val="auto"/>
          <w:sz w:val="24"/>
          <w:szCs w:val="24"/>
          <w:highlight w:val="none"/>
        </w:rPr>
        <w:t>年    月    日</w:t>
      </w:r>
    </w:p>
    <w:p w14:paraId="623B7A37">
      <w:pPr>
        <w:rPr>
          <w:color w:val="auto"/>
          <w:highlight w:val="none"/>
        </w:rPr>
      </w:pPr>
    </w:p>
    <w:p w14:paraId="65CD2875">
      <w:pPr>
        <w:pStyle w:val="14"/>
        <w:rPr>
          <w:color w:val="auto"/>
          <w:highlight w:val="none"/>
        </w:rPr>
      </w:pPr>
    </w:p>
    <w:p w14:paraId="271E2FF2">
      <w:pPr>
        <w:rPr>
          <w:color w:val="auto"/>
          <w:highlight w:val="none"/>
        </w:rPr>
      </w:pPr>
    </w:p>
    <w:p w14:paraId="19E96CD3">
      <w:pPr>
        <w:pStyle w:val="14"/>
        <w:rPr>
          <w:color w:val="auto"/>
          <w:highlight w:val="none"/>
        </w:rPr>
      </w:pPr>
    </w:p>
    <w:p w14:paraId="4B1FCE05">
      <w:pPr>
        <w:rPr>
          <w:color w:val="auto"/>
          <w:highlight w:val="none"/>
        </w:rPr>
      </w:pPr>
    </w:p>
    <w:p w14:paraId="48DD5E46">
      <w:pPr>
        <w:pStyle w:val="14"/>
        <w:rPr>
          <w:color w:val="auto"/>
          <w:highlight w:val="none"/>
        </w:rPr>
      </w:pPr>
    </w:p>
    <w:p w14:paraId="7737DBF4">
      <w:pPr>
        <w:rPr>
          <w:color w:val="auto"/>
          <w:highlight w:val="none"/>
        </w:rPr>
      </w:pPr>
    </w:p>
    <w:p w14:paraId="2FF729A8">
      <w:pPr>
        <w:pStyle w:val="14"/>
        <w:rPr>
          <w:color w:val="auto"/>
          <w:highlight w:val="none"/>
        </w:rPr>
      </w:pPr>
    </w:p>
    <w:p w14:paraId="55BBB6FA">
      <w:pPr>
        <w:rPr>
          <w:color w:val="auto"/>
          <w:highlight w:val="none"/>
        </w:rPr>
      </w:pPr>
    </w:p>
    <w:p w14:paraId="6E98766C">
      <w:pPr>
        <w:pStyle w:val="14"/>
        <w:rPr>
          <w:color w:val="auto"/>
          <w:highlight w:val="none"/>
        </w:rPr>
      </w:pPr>
    </w:p>
    <w:sectPr>
      <w:pgSz w:w="11906" w:h="16838"/>
      <w:pgMar w:top="1440" w:right="1587" w:bottom="1440" w:left="1587" w:header="851"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ˎ̥">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A6ECF">
    <w:pPr>
      <w:pStyle w:val="22"/>
      <w:jc w:val="center"/>
      <w:rPr>
        <w:rFonts w:hint="eastAsia"/>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A89254">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T5U+I8AgAAbwQAAA4AAABkcnMvZTJvRG9jLnhtbK1UzW7UMBC+I/EO&#10;lu8021ZU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T5U+I8AgAAbwQAAA4AAAAAAAAAAQAgAAAAHwEAAGRycy9lMm9E&#10;b2MueG1sUEsFBgAAAAAGAAYAWQEAAM0FAAAAAA==&#10;">
              <v:fill on="f" focussize="0,0"/>
              <v:stroke on="f" weight="0.5pt"/>
              <v:imagedata o:title=""/>
              <o:lock v:ext="edit" aspectratio="f"/>
              <v:textbox inset="0mm,0mm,0mm,0mm" style="mso-fit-shape-to-text:t;">
                <w:txbxContent>
                  <w:p w14:paraId="0CA89254">
                    <w:pPr>
                      <w:pStyle w:val="22"/>
                    </w:pPr>
                    <w:r>
                      <w:fldChar w:fldCharType="begin"/>
                    </w:r>
                    <w:r>
                      <w:instrText xml:space="preserve"> PAGE  \* MERGEFORMAT </w:instrText>
                    </w:r>
                    <w:r>
                      <w:fldChar w:fldCharType="separate"/>
                    </w:r>
                    <w:r>
                      <w:t>1</w:t>
                    </w:r>
                    <w:r>
                      <w:fldChar w:fldCharType="end"/>
                    </w: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7E1AE">
    <w:pPr>
      <w:pStyle w:val="22"/>
      <w:framePr w:wrap="around" w:vAnchor="text" w:hAnchor="margin" w:xAlign="center" w:y="1"/>
      <w:rPr>
        <w:rStyle w:val="41"/>
      </w:rPr>
    </w:pPr>
    <w:r>
      <w:fldChar w:fldCharType="begin"/>
    </w:r>
    <w:r>
      <w:rPr>
        <w:rStyle w:val="41"/>
      </w:rPr>
      <w:instrText xml:space="preserve">PAGE  </w:instrText>
    </w:r>
    <w:r>
      <w:fldChar w:fldCharType="separate"/>
    </w:r>
    <w:r>
      <w:rPr>
        <w:rStyle w:val="41"/>
        <w:lang w:val="en-US" w:eastAsia="zh-CN"/>
      </w:rPr>
      <w:t>1</w:t>
    </w:r>
    <w:r>
      <w:fldChar w:fldCharType="end"/>
    </w:r>
  </w:p>
  <w:p w14:paraId="0B7E712C">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7B821">
    <w:pPr>
      <w:pStyle w:val="2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663FE303">
                          <w:pPr>
                            <w:pStyle w:val="22"/>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J3ZuA8AgAAcQQAAA4AAAAAAAAAAQAgAAAAHwEAAGRycy9lMm9E&#10;b2MueG1sUEsFBgAAAAAGAAYAWQEAAM0FAAAAAA==&#10;">
              <v:fill on="f" focussize="0,0"/>
              <v:stroke on="f" weight="0.5pt"/>
              <v:imagedata o:title=""/>
              <o:lock v:ext="edit" aspectratio="f"/>
              <v:textbox inset="0mm,0mm,0mm,0mm" style="mso-fit-shape-to-text:t;">
                <w:txbxContent>
                  <w:p w14:paraId="663FE303">
                    <w:pPr>
                      <w:pStyle w:val="22"/>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49EA0">
    <w:pPr>
      <w:pStyle w:val="23"/>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8"/>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EF7887F1"/>
    <w:multiLevelType w:val="singleLevel"/>
    <w:tmpl w:val="EF7887F1"/>
    <w:lvl w:ilvl="0" w:tentative="0">
      <w:start w:val="6"/>
      <w:numFmt w:val="chineseCounting"/>
      <w:suff w:val="nothing"/>
      <w:lvlText w:val="（%1）"/>
      <w:lvlJc w:val="left"/>
      <w:rPr>
        <w:rFonts w:hint="eastAsia"/>
      </w:rPr>
    </w:lvl>
  </w:abstractNum>
  <w:abstractNum w:abstractNumId="3">
    <w:nsid w:val="0053208E"/>
    <w:multiLevelType w:val="multilevel"/>
    <w:tmpl w:val="0053208E"/>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2"/>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5">
    <w:nsid w:val="1E9BD5EC"/>
    <w:multiLevelType w:val="singleLevel"/>
    <w:tmpl w:val="1E9BD5EC"/>
    <w:lvl w:ilvl="0" w:tentative="0">
      <w:start w:val="32"/>
      <w:numFmt w:val="decimal"/>
      <w:suff w:val="nothing"/>
      <w:lvlText w:val="%1、"/>
      <w:lvlJc w:val="left"/>
    </w:lvl>
  </w:abstractNum>
  <w:abstractNum w:abstractNumId="6">
    <w:nsid w:val="2C2BDE82"/>
    <w:multiLevelType w:val="singleLevel"/>
    <w:tmpl w:val="2C2BDE82"/>
    <w:lvl w:ilvl="0" w:tentative="0">
      <w:start w:val="1"/>
      <w:numFmt w:val="chineseCounting"/>
      <w:suff w:val="nothing"/>
      <w:lvlText w:val="第%1条　"/>
      <w:lvlJc w:val="left"/>
      <w:pPr>
        <w:ind w:left="420" w:leftChars="0" w:firstLine="0" w:firstLineChars="0"/>
      </w:pPr>
      <w:rPr>
        <w:rFonts w:hint="eastAsia"/>
      </w:rPr>
    </w:lvl>
  </w:abstractNum>
  <w:abstractNum w:abstractNumId="7">
    <w:nsid w:val="59ADCABA"/>
    <w:multiLevelType w:val="multilevel"/>
    <w:tmpl w:val="59ADCABA"/>
    <w:lvl w:ilvl="0" w:tentative="0">
      <w:start w:val="2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7"/>
  </w:num>
  <w:num w:numId="4">
    <w:abstractNumId w:val="5"/>
  </w:num>
  <w:num w:numId="5">
    <w:abstractNumId w:val="6"/>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F23CE"/>
    <w:rsid w:val="00D42B17"/>
    <w:rsid w:val="00D64AE1"/>
    <w:rsid w:val="00F74A57"/>
    <w:rsid w:val="011E0236"/>
    <w:rsid w:val="01435B86"/>
    <w:rsid w:val="015679D0"/>
    <w:rsid w:val="015C2B0C"/>
    <w:rsid w:val="01993D60"/>
    <w:rsid w:val="01A73D87"/>
    <w:rsid w:val="01EA0118"/>
    <w:rsid w:val="020531A4"/>
    <w:rsid w:val="020F7B7E"/>
    <w:rsid w:val="02390DF0"/>
    <w:rsid w:val="02D955E5"/>
    <w:rsid w:val="02DE7C7D"/>
    <w:rsid w:val="0317318F"/>
    <w:rsid w:val="03E77005"/>
    <w:rsid w:val="04082AD7"/>
    <w:rsid w:val="040A2CF3"/>
    <w:rsid w:val="041D6583"/>
    <w:rsid w:val="049C1B9D"/>
    <w:rsid w:val="050E236F"/>
    <w:rsid w:val="051F457C"/>
    <w:rsid w:val="054A6864"/>
    <w:rsid w:val="05721EA5"/>
    <w:rsid w:val="059A7E4B"/>
    <w:rsid w:val="05D67331"/>
    <w:rsid w:val="066761DB"/>
    <w:rsid w:val="06E65352"/>
    <w:rsid w:val="07293490"/>
    <w:rsid w:val="073B743D"/>
    <w:rsid w:val="0788465B"/>
    <w:rsid w:val="078D3A1F"/>
    <w:rsid w:val="079E3E7E"/>
    <w:rsid w:val="07AA324A"/>
    <w:rsid w:val="07BF4985"/>
    <w:rsid w:val="0895702F"/>
    <w:rsid w:val="089B216C"/>
    <w:rsid w:val="08D77648"/>
    <w:rsid w:val="08ED6E6B"/>
    <w:rsid w:val="09CF031F"/>
    <w:rsid w:val="09D354AA"/>
    <w:rsid w:val="0A735B07"/>
    <w:rsid w:val="0B0A40AA"/>
    <w:rsid w:val="0B27418B"/>
    <w:rsid w:val="0B835865"/>
    <w:rsid w:val="0BD7795F"/>
    <w:rsid w:val="0C1E733C"/>
    <w:rsid w:val="0C7B29E0"/>
    <w:rsid w:val="0C7E0683"/>
    <w:rsid w:val="0D2E4782"/>
    <w:rsid w:val="0D690A8B"/>
    <w:rsid w:val="0D9E6986"/>
    <w:rsid w:val="0DC9777B"/>
    <w:rsid w:val="0DF77E44"/>
    <w:rsid w:val="0E7771D7"/>
    <w:rsid w:val="0EC00B7E"/>
    <w:rsid w:val="0F000F7B"/>
    <w:rsid w:val="0F087E2F"/>
    <w:rsid w:val="0FFA1E6E"/>
    <w:rsid w:val="10414F02"/>
    <w:rsid w:val="11026E77"/>
    <w:rsid w:val="111D4066"/>
    <w:rsid w:val="11380DED"/>
    <w:rsid w:val="11401B02"/>
    <w:rsid w:val="11433F8B"/>
    <w:rsid w:val="114A4608"/>
    <w:rsid w:val="11567578"/>
    <w:rsid w:val="11785740"/>
    <w:rsid w:val="11CB5358"/>
    <w:rsid w:val="122356AC"/>
    <w:rsid w:val="128B3251"/>
    <w:rsid w:val="12F928B1"/>
    <w:rsid w:val="13053004"/>
    <w:rsid w:val="13833F28"/>
    <w:rsid w:val="13CA4491"/>
    <w:rsid w:val="13D03611"/>
    <w:rsid w:val="13DA7FEC"/>
    <w:rsid w:val="14795A57"/>
    <w:rsid w:val="14B60A59"/>
    <w:rsid w:val="14EA0703"/>
    <w:rsid w:val="14F7697C"/>
    <w:rsid w:val="152439DA"/>
    <w:rsid w:val="15F31839"/>
    <w:rsid w:val="15F86959"/>
    <w:rsid w:val="1666025D"/>
    <w:rsid w:val="16873D30"/>
    <w:rsid w:val="17C369CC"/>
    <w:rsid w:val="17DE3128"/>
    <w:rsid w:val="17F13B56"/>
    <w:rsid w:val="18290DFA"/>
    <w:rsid w:val="18567E5D"/>
    <w:rsid w:val="18EE62E8"/>
    <w:rsid w:val="190E33B2"/>
    <w:rsid w:val="1998697F"/>
    <w:rsid w:val="199E1ABC"/>
    <w:rsid w:val="1A732F49"/>
    <w:rsid w:val="1ADF05DE"/>
    <w:rsid w:val="1AE14356"/>
    <w:rsid w:val="1B102545"/>
    <w:rsid w:val="1B707488"/>
    <w:rsid w:val="1BCE7E5F"/>
    <w:rsid w:val="1BED0AD9"/>
    <w:rsid w:val="1CA613B3"/>
    <w:rsid w:val="1D063C00"/>
    <w:rsid w:val="1D1E17AC"/>
    <w:rsid w:val="1D2B18B9"/>
    <w:rsid w:val="1D3249F5"/>
    <w:rsid w:val="1D686669"/>
    <w:rsid w:val="1D857FC1"/>
    <w:rsid w:val="1D934A44"/>
    <w:rsid w:val="1E3D5D47"/>
    <w:rsid w:val="1E5A233A"/>
    <w:rsid w:val="1E6E5F01"/>
    <w:rsid w:val="1F021BB0"/>
    <w:rsid w:val="1F72557D"/>
    <w:rsid w:val="1F7A795E"/>
    <w:rsid w:val="203211B0"/>
    <w:rsid w:val="20D01727"/>
    <w:rsid w:val="212E1977"/>
    <w:rsid w:val="216D06F2"/>
    <w:rsid w:val="217B247E"/>
    <w:rsid w:val="21EA7265"/>
    <w:rsid w:val="21F030D1"/>
    <w:rsid w:val="226F628F"/>
    <w:rsid w:val="227A5977"/>
    <w:rsid w:val="22E449E3"/>
    <w:rsid w:val="235558E1"/>
    <w:rsid w:val="2375131B"/>
    <w:rsid w:val="237D0994"/>
    <w:rsid w:val="23DA5DE6"/>
    <w:rsid w:val="23FF13A9"/>
    <w:rsid w:val="24042E63"/>
    <w:rsid w:val="24264B88"/>
    <w:rsid w:val="24635DDC"/>
    <w:rsid w:val="247B4ED4"/>
    <w:rsid w:val="24857B00"/>
    <w:rsid w:val="249E5066"/>
    <w:rsid w:val="250D643C"/>
    <w:rsid w:val="25140E84"/>
    <w:rsid w:val="2546703C"/>
    <w:rsid w:val="254860DA"/>
    <w:rsid w:val="25E46DF7"/>
    <w:rsid w:val="26063061"/>
    <w:rsid w:val="261E645E"/>
    <w:rsid w:val="26AD77E2"/>
    <w:rsid w:val="26BC17D3"/>
    <w:rsid w:val="26D20FF7"/>
    <w:rsid w:val="26E76D98"/>
    <w:rsid w:val="26EF1BA9"/>
    <w:rsid w:val="27165388"/>
    <w:rsid w:val="27242053"/>
    <w:rsid w:val="276E6F72"/>
    <w:rsid w:val="28186EDD"/>
    <w:rsid w:val="28441A80"/>
    <w:rsid w:val="28A54C15"/>
    <w:rsid w:val="29183639"/>
    <w:rsid w:val="2967305A"/>
    <w:rsid w:val="29B13146"/>
    <w:rsid w:val="29FE2875"/>
    <w:rsid w:val="2B746B21"/>
    <w:rsid w:val="2BE47802"/>
    <w:rsid w:val="2BEA0B91"/>
    <w:rsid w:val="2BF80ED5"/>
    <w:rsid w:val="2BFC2E48"/>
    <w:rsid w:val="2C003531"/>
    <w:rsid w:val="2C2B5431"/>
    <w:rsid w:val="2CA451E4"/>
    <w:rsid w:val="2CAA2A2D"/>
    <w:rsid w:val="2D574004"/>
    <w:rsid w:val="2D8868B3"/>
    <w:rsid w:val="2DDF2977"/>
    <w:rsid w:val="2E0B376C"/>
    <w:rsid w:val="2E277E7A"/>
    <w:rsid w:val="2E344345"/>
    <w:rsid w:val="2E385BE3"/>
    <w:rsid w:val="2E67471B"/>
    <w:rsid w:val="2EA17C2D"/>
    <w:rsid w:val="2F3E36CD"/>
    <w:rsid w:val="2F911A4F"/>
    <w:rsid w:val="2F923A19"/>
    <w:rsid w:val="3071362F"/>
    <w:rsid w:val="30A92DC8"/>
    <w:rsid w:val="30B654E5"/>
    <w:rsid w:val="310E5321"/>
    <w:rsid w:val="31462D0D"/>
    <w:rsid w:val="31B1032C"/>
    <w:rsid w:val="31D961B3"/>
    <w:rsid w:val="31F2254D"/>
    <w:rsid w:val="32384404"/>
    <w:rsid w:val="32843AED"/>
    <w:rsid w:val="329C2BEC"/>
    <w:rsid w:val="33174961"/>
    <w:rsid w:val="33716D16"/>
    <w:rsid w:val="33866FA8"/>
    <w:rsid w:val="33D2699B"/>
    <w:rsid w:val="33DE0FDB"/>
    <w:rsid w:val="33ED56C2"/>
    <w:rsid w:val="34060532"/>
    <w:rsid w:val="342A4220"/>
    <w:rsid w:val="34657B39"/>
    <w:rsid w:val="34833930"/>
    <w:rsid w:val="34C75F13"/>
    <w:rsid w:val="35447564"/>
    <w:rsid w:val="358E6A31"/>
    <w:rsid w:val="35C02138"/>
    <w:rsid w:val="367B6FB5"/>
    <w:rsid w:val="36DC1667"/>
    <w:rsid w:val="36E27034"/>
    <w:rsid w:val="37217B5C"/>
    <w:rsid w:val="375D66BB"/>
    <w:rsid w:val="37F51C38"/>
    <w:rsid w:val="37F54B45"/>
    <w:rsid w:val="384A4E91"/>
    <w:rsid w:val="38800020"/>
    <w:rsid w:val="3891454D"/>
    <w:rsid w:val="38AA1DD4"/>
    <w:rsid w:val="38C22C79"/>
    <w:rsid w:val="39317DFF"/>
    <w:rsid w:val="393618B9"/>
    <w:rsid w:val="39D74D64"/>
    <w:rsid w:val="39DC1028"/>
    <w:rsid w:val="39F23A32"/>
    <w:rsid w:val="3B497682"/>
    <w:rsid w:val="3B534325"/>
    <w:rsid w:val="3BDC22A4"/>
    <w:rsid w:val="3BFD221A"/>
    <w:rsid w:val="3C157564"/>
    <w:rsid w:val="3C320282"/>
    <w:rsid w:val="3C425AB9"/>
    <w:rsid w:val="3C664263"/>
    <w:rsid w:val="3CE04016"/>
    <w:rsid w:val="3CE33B06"/>
    <w:rsid w:val="3D1E4B3E"/>
    <w:rsid w:val="3D3103CE"/>
    <w:rsid w:val="3D4C5207"/>
    <w:rsid w:val="3D4D0ABF"/>
    <w:rsid w:val="3D5440BC"/>
    <w:rsid w:val="3DB17760"/>
    <w:rsid w:val="3DE13FAF"/>
    <w:rsid w:val="3E9F580B"/>
    <w:rsid w:val="3EE555A6"/>
    <w:rsid w:val="3F0264C5"/>
    <w:rsid w:val="3F0D4E6A"/>
    <w:rsid w:val="3FEC0F24"/>
    <w:rsid w:val="403D352D"/>
    <w:rsid w:val="40624D42"/>
    <w:rsid w:val="406A3E50"/>
    <w:rsid w:val="40FF07E3"/>
    <w:rsid w:val="414C3A28"/>
    <w:rsid w:val="41530FD9"/>
    <w:rsid w:val="41866A28"/>
    <w:rsid w:val="418A4550"/>
    <w:rsid w:val="419740CD"/>
    <w:rsid w:val="41990C37"/>
    <w:rsid w:val="41A96410"/>
    <w:rsid w:val="42D71A17"/>
    <w:rsid w:val="42F73E67"/>
    <w:rsid w:val="43016BED"/>
    <w:rsid w:val="43413334"/>
    <w:rsid w:val="435C6144"/>
    <w:rsid w:val="43655275"/>
    <w:rsid w:val="43A0005B"/>
    <w:rsid w:val="441A605F"/>
    <w:rsid w:val="443D58AA"/>
    <w:rsid w:val="44637801"/>
    <w:rsid w:val="44EA2395"/>
    <w:rsid w:val="45372C41"/>
    <w:rsid w:val="45837C34"/>
    <w:rsid w:val="46081EE8"/>
    <w:rsid w:val="465869CB"/>
    <w:rsid w:val="467632F5"/>
    <w:rsid w:val="46804174"/>
    <w:rsid w:val="46843C64"/>
    <w:rsid w:val="468A0B4E"/>
    <w:rsid w:val="47040901"/>
    <w:rsid w:val="47665118"/>
    <w:rsid w:val="479779C7"/>
    <w:rsid w:val="47A22AD5"/>
    <w:rsid w:val="48BC5937"/>
    <w:rsid w:val="48BC66EE"/>
    <w:rsid w:val="491214D5"/>
    <w:rsid w:val="492C389B"/>
    <w:rsid w:val="495B7047"/>
    <w:rsid w:val="49641B2B"/>
    <w:rsid w:val="49AB1508"/>
    <w:rsid w:val="49D61BFB"/>
    <w:rsid w:val="4A353E64"/>
    <w:rsid w:val="4A527BD5"/>
    <w:rsid w:val="4AB67801"/>
    <w:rsid w:val="4AB97C54"/>
    <w:rsid w:val="4B14769A"/>
    <w:rsid w:val="4B3A6FE7"/>
    <w:rsid w:val="4BC9785A"/>
    <w:rsid w:val="4C0D0258"/>
    <w:rsid w:val="4C3B3017"/>
    <w:rsid w:val="4C4719BC"/>
    <w:rsid w:val="4CA50490"/>
    <w:rsid w:val="4CB44B77"/>
    <w:rsid w:val="4CCF0CFC"/>
    <w:rsid w:val="4D1F6B46"/>
    <w:rsid w:val="4D706CF0"/>
    <w:rsid w:val="4E3A10AC"/>
    <w:rsid w:val="4E5C3732"/>
    <w:rsid w:val="4E6F0D56"/>
    <w:rsid w:val="4F043B94"/>
    <w:rsid w:val="4F395AB8"/>
    <w:rsid w:val="4F3D4899"/>
    <w:rsid w:val="4F8265E1"/>
    <w:rsid w:val="502C341E"/>
    <w:rsid w:val="50566671"/>
    <w:rsid w:val="516F0D03"/>
    <w:rsid w:val="51886E33"/>
    <w:rsid w:val="51E7154B"/>
    <w:rsid w:val="52D03D8D"/>
    <w:rsid w:val="52F061DD"/>
    <w:rsid w:val="53004672"/>
    <w:rsid w:val="53143E53"/>
    <w:rsid w:val="53B61BA3"/>
    <w:rsid w:val="53FB308C"/>
    <w:rsid w:val="53FD4338"/>
    <w:rsid w:val="541F37B3"/>
    <w:rsid w:val="543A021F"/>
    <w:rsid w:val="543F11CA"/>
    <w:rsid w:val="5479292E"/>
    <w:rsid w:val="54C81DD7"/>
    <w:rsid w:val="54E104D3"/>
    <w:rsid w:val="54E47ED0"/>
    <w:rsid w:val="557C1FAA"/>
    <w:rsid w:val="559E63C4"/>
    <w:rsid w:val="55B17EA6"/>
    <w:rsid w:val="560C77D2"/>
    <w:rsid w:val="5621327D"/>
    <w:rsid w:val="567710EF"/>
    <w:rsid w:val="56BC2FA6"/>
    <w:rsid w:val="56D46032"/>
    <w:rsid w:val="571406EC"/>
    <w:rsid w:val="571B7CCD"/>
    <w:rsid w:val="571C1C97"/>
    <w:rsid w:val="57723665"/>
    <w:rsid w:val="579A0561"/>
    <w:rsid w:val="57CF0AB7"/>
    <w:rsid w:val="57F86260"/>
    <w:rsid w:val="581806B0"/>
    <w:rsid w:val="583B74B9"/>
    <w:rsid w:val="58E67F16"/>
    <w:rsid w:val="59A321FB"/>
    <w:rsid w:val="5B3475AF"/>
    <w:rsid w:val="5BEA5EBF"/>
    <w:rsid w:val="5C05719D"/>
    <w:rsid w:val="5C471564"/>
    <w:rsid w:val="5C514191"/>
    <w:rsid w:val="5C86208C"/>
    <w:rsid w:val="5C91458D"/>
    <w:rsid w:val="5CE45005"/>
    <w:rsid w:val="5DA30A1C"/>
    <w:rsid w:val="5E47584B"/>
    <w:rsid w:val="5E5D5321"/>
    <w:rsid w:val="5E895E64"/>
    <w:rsid w:val="5EF37576"/>
    <w:rsid w:val="5F32191D"/>
    <w:rsid w:val="5F3D09FC"/>
    <w:rsid w:val="5F4A11A3"/>
    <w:rsid w:val="5FD96977"/>
    <w:rsid w:val="5FDA624B"/>
    <w:rsid w:val="5FEF590D"/>
    <w:rsid w:val="60587AF4"/>
    <w:rsid w:val="608368E3"/>
    <w:rsid w:val="60A76A75"/>
    <w:rsid w:val="60AF1486"/>
    <w:rsid w:val="60CF38D6"/>
    <w:rsid w:val="60D07D7A"/>
    <w:rsid w:val="61077514"/>
    <w:rsid w:val="61270B15"/>
    <w:rsid w:val="6131633F"/>
    <w:rsid w:val="613B346D"/>
    <w:rsid w:val="615175E9"/>
    <w:rsid w:val="6152499D"/>
    <w:rsid w:val="616E7593"/>
    <w:rsid w:val="61776447"/>
    <w:rsid w:val="62015D11"/>
    <w:rsid w:val="62546789"/>
    <w:rsid w:val="62DF21C4"/>
    <w:rsid w:val="63353DE0"/>
    <w:rsid w:val="635F53E5"/>
    <w:rsid w:val="63BC6393"/>
    <w:rsid w:val="643407A7"/>
    <w:rsid w:val="643A7BD6"/>
    <w:rsid w:val="64432611"/>
    <w:rsid w:val="645962D8"/>
    <w:rsid w:val="64D911C7"/>
    <w:rsid w:val="64DD5792"/>
    <w:rsid w:val="66216982"/>
    <w:rsid w:val="66583DDD"/>
    <w:rsid w:val="66860EDB"/>
    <w:rsid w:val="66A05988"/>
    <w:rsid w:val="66B9305E"/>
    <w:rsid w:val="66CA36E1"/>
    <w:rsid w:val="66E5373F"/>
    <w:rsid w:val="66F61BBC"/>
    <w:rsid w:val="67513297"/>
    <w:rsid w:val="67694A84"/>
    <w:rsid w:val="6779459B"/>
    <w:rsid w:val="67C9107F"/>
    <w:rsid w:val="68040309"/>
    <w:rsid w:val="6868654D"/>
    <w:rsid w:val="68880F3A"/>
    <w:rsid w:val="68C378C8"/>
    <w:rsid w:val="68C8106D"/>
    <w:rsid w:val="68ED3855"/>
    <w:rsid w:val="69154B20"/>
    <w:rsid w:val="697B284D"/>
    <w:rsid w:val="698536CB"/>
    <w:rsid w:val="6994390F"/>
    <w:rsid w:val="6A484E25"/>
    <w:rsid w:val="6A701C86"/>
    <w:rsid w:val="6AA33E09"/>
    <w:rsid w:val="6AA81420"/>
    <w:rsid w:val="6ACB3360"/>
    <w:rsid w:val="6B6F63E1"/>
    <w:rsid w:val="6B767770"/>
    <w:rsid w:val="6BF3491C"/>
    <w:rsid w:val="6C0F54CE"/>
    <w:rsid w:val="6C7517D5"/>
    <w:rsid w:val="6C77379F"/>
    <w:rsid w:val="6D2415C1"/>
    <w:rsid w:val="6D325918"/>
    <w:rsid w:val="6D4C4C2C"/>
    <w:rsid w:val="6D57712D"/>
    <w:rsid w:val="6D5B09CB"/>
    <w:rsid w:val="6D657A9C"/>
    <w:rsid w:val="6DCF760B"/>
    <w:rsid w:val="6DEC2A36"/>
    <w:rsid w:val="6E6715F2"/>
    <w:rsid w:val="6E891568"/>
    <w:rsid w:val="6F190B3E"/>
    <w:rsid w:val="6F2D6397"/>
    <w:rsid w:val="6FAD74D8"/>
    <w:rsid w:val="6FAF25F8"/>
    <w:rsid w:val="6FD9207B"/>
    <w:rsid w:val="6FE7407B"/>
    <w:rsid w:val="7003534A"/>
    <w:rsid w:val="70451B0E"/>
    <w:rsid w:val="70D2369A"/>
    <w:rsid w:val="70DC0075"/>
    <w:rsid w:val="70DF36C1"/>
    <w:rsid w:val="718A7AD1"/>
    <w:rsid w:val="722C6DDA"/>
    <w:rsid w:val="725334B3"/>
    <w:rsid w:val="725956F5"/>
    <w:rsid w:val="72701EDF"/>
    <w:rsid w:val="72952BD1"/>
    <w:rsid w:val="72AB5F51"/>
    <w:rsid w:val="731F249B"/>
    <w:rsid w:val="734C3368"/>
    <w:rsid w:val="7407365B"/>
    <w:rsid w:val="744877CF"/>
    <w:rsid w:val="746E2181"/>
    <w:rsid w:val="74836A59"/>
    <w:rsid w:val="749A61FE"/>
    <w:rsid w:val="75101C2F"/>
    <w:rsid w:val="75267B11"/>
    <w:rsid w:val="75A153E9"/>
    <w:rsid w:val="75A35605"/>
    <w:rsid w:val="75EB0D5A"/>
    <w:rsid w:val="76036776"/>
    <w:rsid w:val="7625426C"/>
    <w:rsid w:val="76A258BD"/>
    <w:rsid w:val="76D53184"/>
    <w:rsid w:val="76F952CF"/>
    <w:rsid w:val="7791148D"/>
    <w:rsid w:val="77E3618D"/>
    <w:rsid w:val="78760DAF"/>
    <w:rsid w:val="788D2388"/>
    <w:rsid w:val="7892370F"/>
    <w:rsid w:val="791800B8"/>
    <w:rsid w:val="79733540"/>
    <w:rsid w:val="79A25BD4"/>
    <w:rsid w:val="79AE4579"/>
    <w:rsid w:val="79E65AC0"/>
    <w:rsid w:val="7A3A1A31"/>
    <w:rsid w:val="7B0417A6"/>
    <w:rsid w:val="7B560A24"/>
    <w:rsid w:val="7B5C23FD"/>
    <w:rsid w:val="7BC410D9"/>
    <w:rsid w:val="7CFC55FB"/>
    <w:rsid w:val="7D0D15B6"/>
    <w:rsid w:val="7D0E21AB"/>
    <w:rsid w:val="7D4F7E21"/>
    <w:rsid w:val="7D8F4AC9"/>
    <w:rsid w:val="7DCE51E9"/>
    <w:rsid w:val="7DE14F1D"/>
    <w:rsid w:val="7DE93DD1"/>
    <w:rsid w:val="7DEA3972"/>
    <w:rsid w:val="7E01111B"/>
    <w:rsid w:val="7E1075B0"/>
    <w:rsid w:val="7E152284"/>
    <w:rsid w:val="7E153B4B"/>
    <w:rsid w:val="7E221E58"/>
    <w:rsid w:val="7E517314"/>
    <w:rsid w:val="7EA45F4A"/>
    <w:rsid w:val="7EA67F14"/>
    <w:rsid w:val="7EC363D0"/>
    <w:rsid w:val="7FF520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qFormat/>
    <w:uiPriority w:val="0"/>
    <w:pPr>
      <w:keepNext/>
      <w:jc w:val="center"/>
      <w:outlineLvl w:val="0"/>
    </w:pPr>
    <w:rPr>
      <w:rFonts w:ascii="楷体_GB2312" w:eastAsia="楷体_GB2312"/>
      <w:sz w:val="28"/>
      <w:szCs w:val="28"/>
    </w:rPr>
  </w:style>
  <w:style w:type="paragraph" w:styleId="3">
    <w:name w:val="heading 2"/>
    <w:basedOn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qFormat/>
    <w:uiPriority w:val="0"/>
  </w:style>
  <w:style w:type="table" w:default="1" w:styleId="36">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Body Text"/>
    <w:basedOn w:val="1"/>
    <w:next w:val="1"/>
    <w:qFormat/>
    <w:uiPriority w:val="0"/>
    <w:rPr>
      <w:rFonts w:ascii="楷体_GB2312" w:hAnsi="Arial" w:eastAsia="楷体_GB2312"/>
      <w:sz w:val="28"/>
      <w:szCs w:val="28"/>
    </w:rPr>
  </w:style>
  <w:style w:type="paragraph" w:styleId="15">
    <w:name w:val="Body Text Indent"/>
    <w:basedOn w:val="1"/>
    <w:next w:val="16"/>
    <w:qFormat/>
    <w:uiPriority w:val="0"/>
    <w:pPr>
      <w:ind w:firstLine="645"/>
    </w:pPr>
    <w:rPr>
      <w:rFonts w:ascii="楷体_GB2312" w:eastAsia="楷体_GB2312"/>
      <w:sz w:val="32"/>
      <w:szCs w:val="32"/>
    </w:rPr>
  </w:style>
  <w:style w:type="paragraph" w:styleId="16">
    <w:name w:val="envelope return"/>
    <w:basedOn w:val="1"/>
    <w:qFormat/>
    <w:uiPriority w:val="0"/>
    <w:rPr>
      <w:rFonts w:ascii="Arial" w:hAnsi="Arial"/>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99"/>
    <w:rPr>
      <w:rFonts w:ascii="宋体" w:hAnsi="Courier New"/>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9"/>
    <w:semiHidden/>
    <w:unhideWhenUsed/>
    <w:qFormat/>
    <w:uiPriority w:val="99"/>
    <w:pPr>
      <w:spacing w:after="0" w:line="240" w:lineRule="auto"/>
    </w:pPr>
    <w:rPr>
      <w:sz w:val="20"/>
    </w:rPr>
  </w:style>
  <w:style w:type="paragraph" w:styleId="22">
    <w:name w:val="footer"/>
    <w:basedOn w:val="1"/>
    <w:qFormat/>
    <w:uiPriority w:val="0"/>
    <w:pPr>
      <w:tabs>
        <w:tab w:val="center" w:pos="4153"/>
        <w:tab w:val="right" w:pos="8306"/>
      </w:tabs>
      <w:jc w:val="left"/>
    </w:pPr>
    <w:rPr>
      <w:sz w:val="18"/>
      <w:szCs w:val="18"/>
    </w:rPr>
  </w:style>
  <w:style w:type="paragraph" w:styleId="23">
    <w:name w:val="header"/>
    <w:basedOn w:val="1"/>
    <w:qFormat/>
    <w:uiPriority w:val="0"/>
    <w:pPr>
      <w:pBdr>
        <w:bottom w:val="single" w:color="auto" w:sz="6" w:space="1"/>
      </w:pBdr>
      <w:tabs>
        <w:tab w:val="center" w:pos="4153"/>
        <w:tab w:val="right" w:pos="8306"/>
      </w:tabs>
      <w:jc w:val="center"/>
    </w:pPr>
    <w:rPr>
      <w:sz w:val="18"/>
      <w:szCs w:val="18"/>
    </w:rPr>
  </w:style>
  <w:style w:type="paragraph" w:styleId="24">
    <w:name w:val="toc 1"/>
    <w:basedOn w:val="1"/>
    <w:next w:val="1"/>
    <w:semiHidden/>
    <w:qFormat/>
    <w:uiPriority w:val="0"/>
    <w:pPr>
      <w:tabs>
        <w:tab w:val="right" w:leader="dot" w:pos="8720"/>
      </w:tabs>
      <w:spacing w:before="120" w:after="120" w:line="400" w:lineRule="exact"/>
      <w:jc w:val="left"/>
    </w:pPr>
    <w:rPr>
      <w:rFonts w:ascii="宋体" w:hAnsi="宋体"/>
      <w:caps/>
      <w:sz w:val="24"/>
      <w:szCs w:val="24"/>
      <w:lang w:val="en-US" w:eastAsia="zh-CN"/>
    </w:r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5"/>
    <w:qFormat/>
    <w:uiPriority w:val="11"/>
    <w:pPr>
      <w:spacing w:before="200" w:after="200"/>
    </w:pPr>
    <w:rPr>
      <w:sz w:val="24"/>
      <w:szCs w:val="24"/>
    </w:rPr>
  </w:style>
  <w:style w:type="paragraph" w:styleId="27">
    <w:name w:val="footnote text"/>
    <w:basedOn w:val="1"/>
    <w:link w:val="188"/>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33">
    <w:name w:val="Title"/>
    <w:basedOn w:val="1"/>
    <w:next w:val="1"/>
    <w:link w:val="54"/>
    <w:qFormat/>
    <w:uiPriority w:val="10"/>
    <w:pPr>
      <w:spacing w:before="300" w:after="200"/>
      <w:contextualSpacing/>
    </w:pPr>
    <w:rPr>
      <w:sz w:val="48"/>
      <w:szCs w:val="48"/>
    </w:rPr>
  </w:style>
  <w:style w:type="paragraph" w:styleId="34">
    <w:name w:val="Body Text First Indent"/>
    <w:basedOn w:val="1"/>
    <w:qFormat/>
    <w:uiPriority w:val="0"/>
    <w:pPr>
      <w:spacing w:line="360" w:lineRule="auto"/>
      <w:ind w:firstLine="200"/>
    </w:pPr>
    <w:rPr>
      <w:rFonts w:ascii="仿宋_GB2312" w:eastAsia="仿宋_GB2312"/>
      <w:sz w:val="30"/>
      <w:szCs w:val="30"/>
    </w:rPr>
  </w:style>
  <w:style w:type="paragraph" w:styleId="35">
    <w:name w:val="Body Text First Indent 2"/>
    <w:basedOn w:val="15"/>
    <w:next w:val="12"/>
    <w:qFormat/>
    <w:uiPriority w:val="0"/>
    <w:pPr>
      <w:spacing w:line="360" w:lineRule="auto"/>
      <w:ind w:firstLine="420"/>
    </w:pPr>
    <w:rPr>
      <w:rFonts w:ascii="宋体" w:hAnsi="宋体" w:eastAsia="宋体"/>
      <w:sz w:val="21"/>
      <w:szCs w:val="20"/>
    </w:rPr>
  </w:style>
  <w:style w:type="table" w:styleId="37">
    <w:name w:val="Table Grid"/>
    <w:basedOn w:val="36"/>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basedOn w:val="38"/>
    <w:semiHidden/>
    <w:unhideWhenUsed/>
    <w:qFormat/>
    <w:uiPriority w:val="99"/>
    <w:rPr>
      <w:vertAlign w:val="superscript"/>
    </w:rPr>
  </w:style>
  <w:style w:type="character" w:styleId="41">
    <w:name w:val="page number"/>
    <w:qFormat/>
    <w:uiPriority w:val="0"/>
  </w:style>
  <w:style w:type="character" w:styleId="42">
    <w:name w:val="Hyperlink"/>
    <w:unhideWhenUsed/>
    <w:qFormat/>
    <w:uiPriority w:val="99"/>
    <w:rPr>
      <w:color w:val="0026E5" w:themeColor="hyperlink"/>
      <w:u w:val="single"/>
      <w14:textFill>
        <w14:solidFill>
          <w14:schemeClr w14:val="hlink"/>
        </w14:solidFill>
      </w14:textFill>
    </w:rPr>
  </w:style>
  <w:style w:type="character" w:styleId="43">
    <w:name w:val="footnote reference"/>
    <w:basedOn w:val="38"/>
    <w:unhideWhenUsed/>
    <w:qFormat/>
    <w:uiPriority w:val="99"/>
    <w:rPr>
      <w:vertAlign w:val="superscript"/>
    </w:rPr>
  </w:style>
  <w:style w:type="character" w:customStyle="1" w:styleId="44">
    <w:name w:val="Heading 1 Char"/>
    <w:basedOn w:val="38"/>
    <w:qFormat/>
    <w:uiPriority w:val="9"/>
    <w:rPr>
      <w:rFonts w:ascii="Arial" w:hAnsi="Arial" w:eastAsia="Arial" w:cs="Arial"/>
      <w:sz w:val="40"/>
      <w:szCs w:val="40"/>
    </w:rPr>
  </w:style>
  <w:style w:type="character" w:customStyle="1" w:styleId="45">
    <w:name w:val="Heading 2 Char"/>
    <w:basedOn w:val="38"/>
    <w:qFormat/>
    <w:uiPriority w:val="9"/>
    <w:rPr>
      <w:rFonts w:ascii="Arial" w:hAnsi="Arial" w:eastAsia="Arial" w:cs="Arial"/>
      <w:sz w:val="34"/>
    </w:rPr>
  </w:style>
  <w:style w:type="character" w:customStyle="1" w:styleId="46">
    <w:name w:val="Heading 3 Char"/>
    <w:basedOn w:val="38"/>
    <w:qFormat/>
    <w:uiPriority w:val="9"/>
    <w:rPr>
      <w:rFonts w:ascii="Arial" w:hAnsi="Arial" w:eastAsia="Arial" w:cs="Arial"/>
      <w:sz w:val="30"/>
      <w:szCs w:val="30"/>
    </w:rPr>
  </w:style>
  <w:style w:type="character" w:customStyle="1" w:styleId="47">
    <w:name w:val="Heading 4 Char"/>
    <w:basedOn w:val="38"/>
    <w:link w:val="5"/>
    <w:qFormat/>
    <w:uiPriority w:val="9"/>
    <w:rPr>
      <w:rFonts w:ascii="Arial" w:hAnsi="Arial" w:eastAsia="Arial" w:cs="Arial"/>
      <w:b/>
      <w:bCs/>
      <w:sz w:val="26"/>
      <w:szCs w:val="26"/>
    </w:rPr>
  </w:style>
  <w:style w:type="character" w:customStyle="1" w:styleId="48">
    <w:name w:val="Heading 5 Char"/>
    <w:basedOn w:val="38"/>
    <w:link w:val="6"/>
    <w:qFormat/>
    <w:uiPriority w:val="9"/>
    <w:rPr>
      <w:rFonts w:ascii="Arial" w:hAnsi="Arial" w:eastAsia="Arial" w:cs="Arial"/>
      <w:b/>
      <w:bCs/>
      <w:sz w:val="24"/>
      <w:szCs w:val="24"/>
    </w:rPr>
  </w:style>
  <w:style w:type="character" w:customStyle="1" w:styleId="49">
    <w:name w:val="Heading 6 Char"/>
    <w:basedOn w:val="38"/>
    <w:link w:val="7"/>
    <w:qFormat/>
    <w:uiPriority w:val="9"/>
    <w:rPr>
      <w:rFonts w:ascii="Arial" w:hAnsi="Arial" w:eastAsia="Arial" w:cs="Arial"/>
      <w:b/>
      <w:bCs/>
      <w:sz w:val="22"/>
      <w:szCs w:val="22"/>
    </w:rPr>
  </w:style>
  <w:style w:type="character" w:customStyle="1" w:styleId="50">
    <w:name w:val="Heading 7 Char"/>
    <w:basedOn w:val="38"/>
    <w:link w:val="8"/>
    <w:qFormat/>
    <w:uiPriority w:val="9"/>
    <w:rPr>
      <w:rFonts w:ascii="Arial" w:hAnsi="Arial" w:eastAsia="Arial" w:cs="Arial"/>
      <w:b/>
      <w:bCs/>
      <w:i/>
      <w:iCs/>
      <w:sz w:val="22"/>
      <w:szCs w:val="22"/>
    </w:rPr>
  </w:style>
  <w:style w:type="character" w:customStyle="1" w:styleId="51">
    <w:name w:val="Heading 8 Char"/>
    <w:basedOn w:val="38"/>
    <w:link w:val="9"/>
    <w:qFormat/>
    <w:uiPriority w:val="9"/>
    <w:rPr>
      <w:rFonts w:ascii="Arial" w:hAnsi="Arial" w:eastAsia="Arial" w:cs="Arial"/>
      <w:i/>
      <w:iCs/>
      <w:sz w:val="22"/>
      <w:szCs w:val="22"/>
    </w:rPr>
  </w:style>
  <w:style w:type="character" w:customStyle="1" w:styleId="52">
    <w:name w:val="Heading 9 Char"/>
    <w:basedOn w:val="38"/>
    <w:link w:val="10"/>
    <w:qFormat/>
    <w:uiPriority w:val="9"/>
    <w:rPr>
      <w:rFonts w:ascii="Arial" w:hAnsi="Arial" w:eastAsia="Arial" w:cs="Arial"/>
      <w:i/>
      <w:iCs/>
      <w:sz w:val="21"/>
      <w:szCs w:val="21"/>
    </w:r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basedOn w:val="38"/>
    <w:link w:val="33"/>
    <w:qFormat/>
    <w:uiPriority w:val="10"/>
    <w:rPr>
      <w:sz w:val="48"/>
      <w:szCs w:val="48"/>
    </w:rPr>
  </w:style>
  <w:style w:type="character" w:customStyle="1" w:styleId="55">
    <w:name w:val="Subtitle Char"/>
    <w:basedOn w:val="38"/>
    <w:link w:val="26"/>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basedOn w:val="38"/>
    <w:qFormat/>
    <w:uiPriority w:val="99"/>
  </w:style>
  <w:style w:type="character" w:customStyle="1" w:styleId="61">
    <w:name w:val="Footer Char"/>
    <w:basedOn w:val="38"/>
    <w:qFormat/>
    <w:uiPriority w:val="99"/>
  </w:style>
  <w:style w:type="character" w:customStyle="1" w:styleId="62">
    <w:name w:val="Caption Char"/>
    <w:qFormat/>
    <w:uiPriority w:val="99"/>
  </w:style>
  <w:style w:type="table" w:customStyle="1" w:styleId="63">
    <w:name w:val="Table Grid Light"/>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basedOn w:val="36"/>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1">
    <w:name w:val="Grid Table 1 Light - Accent 2"/>
    <w:basedOn w:val="36"/>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2">
    <w:name w:val="Grid Table 1 Light - Accent 3"/>
    <w:basedOn w:val="36"/>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3">
    <w:name w:val="Grid Table 1 Light - Accent 4"/>
    <w:basedOn w:val="36"/>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4">
    <w:name w:val="Grid Table 1 Light - Accent 5"/>
    <w:basedOn w:val="36"/>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5">
    <w:name w:val="Grid Table 1 Light - Accent 6"/>
    <w:basedOn w:val="36"/>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6">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basedOn w:val="36"/>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8">
    <w:name w:val="Grid Table 2 - Accent 2"/>
    <w:basedOn w:val="36"/>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9">
    <w:name w:val="Grid Table 2 - Accent 3"/>
    <w:basedOn w:val="36"/>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0">
    <w:name w:val="Grid Table 2 - Accent 4"/>
    <w:basedOn w:val="36"/>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1">
    <w:name w:val="Grid Table 2 - Accent 5"/>
    <w:basedOn w:val="36"/>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2">
    <w:name w:val="Grid Table 2 - Accent 6"/>
    <w:basedOn w:val="36"/>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3">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basedOn w:val="36"/>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5">
    <w:name w:val="Grid Table 3 - Accent 2"/>
    <w:basedOn w:val="36"/>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6">
    <w:name w:val="Grid Table 3 - Accent 3"/>
    <w:basedOn w:val="36"/>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7">
    <w:name w:val="Grid Table 3 - Accent 4"/>
    <w:basedOn w:val="36"/>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8">
    <w:name w:val="Grid Table 3 - Accent 5"/>
    <w:basedOn w:val="36"/>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9">
    <w:name w:val="Grid Table 3 - Accent 6"/>
    <w:basedOn w:val="36"/>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0">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basedOn w:val="36"/>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2">
    <w:name w:val="Grid Table 4 - Accent 2"/>
    <w:basedOn w:val="36"/>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3">
    <w:name w:val="Grid Table 4 - Accent 3"/>
    <w:basedOn w:val="36"/>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4">
    <w:name w:val="Grid Table 4 - Accent 4"/>
    <w:basedOn w:val="36"/>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5">
    <w:name w:val="Grid Table 4 - Accent 5"/>
    <w:basedOn w:val="36"/>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6">
    <w:name w:val="Grid Table 4 - Accent 6"/>
    <w:basedOn w:val="36"/>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7">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9">
    <w:name w:val="Grid Table 5 Dark - Accent 2"/>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0">
    <w:name w:val="Grid Table 5 Dark - Accent 3"/>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1">
    <w:name w:val="Grid Table 5 Dark- Accent 4"/>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2">
    <w:name w:val="Grid Table 5 Dark - Accent 5"/>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3">
    <w:name w:val="Grid Table 5 Dark - Accent 6"/>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4">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basedOn w:val="36"/>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basedOn w:val="36"/>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basedOn w:val="36"/>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basedOn w:val="36"/>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basedOn w:val="36"/>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0">
    <w:name w:val="Grid Table 6 Colorful - Accent 6"/>
    <w:basedOn w:val="36"/>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1">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basedOn w:val="36"/>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basedOn w:val="36"/>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basedOn w:val="36"/>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basedOn w:val="36"/>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basedOn w:val="36"/>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7">
    <w:name w:val="Grid Table 7 Colorful - Accent 6"/>
    <w:basedOn w:val="36"/>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8">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basedOn w:val="36"/>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0">
    <w:name w:val="List Table 1 Light - Accent 2"/>
    <w:basedOn w:val="36"/>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1">
    <w:name w:val="List Table 1 Light - Accent 3"/>
    <w:basedOn w:val="36"/>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2">
    <w:name w:val="List Table 1 Light - Accent 4"/>
    <w:basedOn w:val="36"/>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3">
    <w:name w:val="List Table 1 Light - Accent 5"/>
    <w:basedOn w:val="36"/>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4">
    <w:name w:val="List Table 1 Light - Accent 6"/>
    <w:basedOn w:val="36"/>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5">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basedOn w:val="36"/>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7">
    <w:name w:val="List Table 2 - Accent 2"/>
    <w:basedOn w:val="36"/>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8">
    <w:name w:val="List Table 2 - Accent 3"/>
    <w:basedOn w:val="36"/>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9">
    <w:name w:val="List Table 2 - Accent 4"/>
    <w:basedOn w:val="36"/>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0">
    <w:name w:val="List Table 2 - Accent 5"/>
    <w:basedOn w:val="36"/>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1">
    <w:name w:val="List Table 2 - Accent 6"/>
    <w:basedOn w:val="36"/>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2">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basedOn w:val="36"/>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4">
    <w:name w:val="List Table 3 - Accent 2"/>
    <w:basedOn w:val="36"/>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5">
    <w:name w:val="List Table 3 - Accent 3"/>
    <w:basedOn w:val="36"/>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6">
    <w:name w:val="List Table 3 - Accent 4"/>
    <w:basedOn w:val="36"/>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7">
    <w:name w:val="List Table 3 - Accent 5"/>
    <w:basedOn w:val="36"/>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8">
    <w:name w:val="List Table 3 - Accent 6"/>
    <w:basedOn w:val="36"/>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9">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basedOn w:val="36"/>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1">
    <w:name w:val="List Table 4 - Accent 2"/>
    <w:basedOn w:val="36"/>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2">
    <w:name w:val="List Table 4 - Accent 3"/>
    <w:basedOn w:val="36"/>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3">
    <w:name w:val="List Table 4 - Accent 4"/>
    <w:basedOn w:val="36"/>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4">
    <w:name w:val="List Table 4 - Accent 5"/>
    <w:basedOn w:val="36"/>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5">
    <w:name w:val="List Table 4 - Accent 6"/>
    <w:basedOn w:val="36"/>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6">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basedOn w:val="36"/>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8">
    <w:name w:val="List Table 5 Dark - Accent 2"/>
    <w:basedOn w:val="36"/>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9">
    <w:name w:val="List Table 5 Dark - Accent 3"/>
    <w:basedOn w:val="36"/>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0">
    <w:name w:val="List Table 5 Dark - Accent 4"/>
    <w:basedOn w:val="36"/>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1">
    <w:name w:val="List Table 5 Dark - Accent 5"/>
    <w:basedOn w:val="36"/>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2">
    <w:name w:val="List Table 5 Dark - Accent 6"/>
    <w:basedOn w:val="36"/>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3">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basedOn w:val="36"/>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5">
    <w:name w:val="List Table 6 Colorful - Accent 2"/>
    <w:basedOn w:val="36"/>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basedOn w:val="36"/>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basedOn w:val="36"/>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basedOn w:val="36"/>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basedOn w:val="36"/>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0">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basedOn w:val="36"/>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2">
    <w:name w:val="List Table 7 Colorful - Accent 2"/>
    <w:basedOn w:val="36"/>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basedOn w:val="36"/>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basedOn w:val="36"/>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basedOn w:val="36"/>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basedOn w:val="36"/>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7">
    <w:name w:val="Lined - Accent"/>
    <w:basedOn w:val="3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basedOn w:val="36"/>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9">
    <w:name w:val="Lined - Accent 2"/>
    <w:basedOn w:val="36"/>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0">
    <w:name w:val="Lined - Accent 3"/>
    <w:basedOn w:val="36"/>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1">
    <w:name w:val="Lined - Accent 4"/>
    <w:basedOn w:val="36"/>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2">
    <w:name w:val="Lined - Accent 5"/>
    <w:basedOn w:val="36"/>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3">
    <w:name w:val="Lined - Accent 6"/>
    <w:basedOn w:val="36"/>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4">
    <w:name w:val="Bordered &amp; Lined - Accent"/>
    <w:basedOn w:val="3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basedOn w:val="36"/>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6">
    <w:name w:val="Bordered &amp; Lined - Accent 2"/>
    <w:basedOn w:val="36"/>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7">
    <w:name w:val="Bordered &amp; Lined - Accent 3"/>
    <w:basedOn w:val="36"/>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8">
    <w:name w:val="Bordered &amp; Lined - Accent 4"/>
    <w:basedOn w:val="36"/>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9">
    <w:name w:val="Bordered &amp; Lined - Accent 5"/>
    <w:basedOn w:val="36"/>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0">
    <w:name w:val="Bordered &amp; Lined - Accent 6"/>
    <w:basedOn w:val="36"/>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1">
    <w:name w:val="Bordered"/>
    <w:basedOn w:val="3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basedOn w:val="36"/>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3">
    <w:name w:val="Bordered - Accent 2"/>
    <w:basedOn w:val="36"/>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4">
    <w:name w:val="Bordered - Accent 3"/>
    <w:basedOn w:val="36"/>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5">
    <w:name w:val="Bordered - Accent 4"/>
    <w:basedOn w:val="36"/>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6">
    <w:name w:val="Bordered - Accent 5"/>
    <w:basedOn w:val="36"/>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7">
    <w:name w:val="Bordered - Accent 6"/>
    <w:basedOn w:val="36"/>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8">
    <w:name w:val="Footnote Text Char"/>
    <w:link w:val="27"/>
    <w:qFormat/>
    <w:uiPriority w:val="99"/>
    <w:rPr>
      <w:sz w:val="18"/>
    </w:rPr>
  </w:style>
  <w:style w:type="character" w:customStyle="1" w:styleId="189">
    <w:name w:val="Endnote Text Char"/>
    <w:link w:val="21"/>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paragraph" w:customStyle="1" w:styleId="191">
    <w:name w:val="普通正文"/>
    <w:basedOn w:val="1"/>
    <w:qFormat/>
    <w:uiPriority w:val="0"/>
    <w:pPr>
      <w:spacing w:before="120" w:after="120" w:line="360" w:lineRule="auto"/>
      <w:ind w:firstLine="480"/>
      <w:jc w:val="left"/>
    </w:pPr>
    <w:rPr>
      <w:rFonts w:ascii="Arial" w:hAnsi="Arial"/>
      <w:sz w:val="24"/>
      <w:szCs w:val="24"/>
    </w:rPr>
  </w:style>
  <w:style w:type="paragraph" w:customStyle="1" w:styleId="192">
    <w:name w:val="TOC 71"/>
    <w:next w:val="1"/>
    <w:qFormat/>
    <w:uiPriority w:val="0"/>
    <w:pPr>
      <w:ind w:left="2550"/>
      <w:jc w:val="both"/>
    </w:pPr>
    <w:rPr>
      <w:rFonts w:hint="default" w:ascii="Times New Roman" w:hAnsi="Times New Roman" w:eastAsia="宋体" w:cs="Times New Roman"/>
      <w:sz w:val="21"/>
      <w:szCs w:val="22"/>
      <w:lang w:val="en-US" w:eastAsia="zh-CN" w:bidi="ar-SA"/>
    </w:rPr>
  </w:style>
  <w:style w:type="paragraph" w:customStyle="1" w:styleId="193">
    <w:name w:val="Default"/>
    <w:basedOn w:val="1"/>
    <w:next w:val="192"/>
    <w:qFormat/>
    <w:uiPriority w:val="0"/>
    <w:pPr>
      <w:jc w:val="left"/>
    </w:pPr>
    <w:rPr>
      <w:rFonts w:ascii="宋体" w:hAnsi="Calibri" w:cs="宋体"/>
      <w:color w:val="000000"/>
      <w:sz w:val="24"/>
    </w:rPr>
  </w:style>
  <w:style w:type="paragraph" w:styleId="194">
    <w:name w:val="List Paragraph"/>
    <w:basedOn w:val="1"/>
    <w:qFormat/>
    <w:uiPriority w:val="34"/>
    <w:pPr>
      <w:widowControl/>
      <w:ind w:left="720"/>
      <w:contextualSpacing/>
      <w:jc w:val="left"/>
    </w:pPr>
    <w:rPr>
      <w:rFonts w:ascii="Calibri" w:hAnsi="Calibri"/>
      <w:sz w:val="24"/>
      <w:szCs w:val="24"/>
      <w:lang w:eastAsia="en-US" w:bidi="en-US"/>
    </w:rPr>
  </w:style>
  <w:style w:type="character" w:customStyle="1" w:styleId="195">
    <w:name w:val="NormalCharacter"/>
    <w:qFormat/>
    <w:uiPriority w:val="0"/>
    <w:rPr>
      <w:rFonts w:ascii="Times New Roman" w:hAnsi="Times New Roman" w:eastAsia="宋体"/>
    </w:rPr>
  </w:style>
  <w:style w:type="paragraph" w:customStyle="1" w:styleId="196">
    <w:name w:val="列出段落1"/>
    <w:basedOn w:val="1"/>
    <w:qFormat/>
    <w:uiPriority w:val="0"/>
    <w:pPr>
      <w:widowControl/>
      <w:ind w:left="720"/>
      <w:contextualSpacing/>
      <w:jc w:val="left"/>
    </w:pPr>
    <w:rPr>
      <w:rFonts w:ascii="Calibri" w:hAnsi="Calibri"/>
      <w:sz w:val="24"/>
      <w:szCs w:val="24"/>
      <w:lang w:eastAsia="en-US" w:bidi="en-US"/>
    </w:rPr>
  </w:style>
  <w:style w:type="character" w:customStyle="1" w:styleId="197">
    <w:name w:val="font51"/>
    <w:basedOn w:val="38"/>
    <w:qFormat/>
    <w:uiPriority w:val="0"/>
    <w:rPr>
      <w:rFonts w:hint="eastAsia" w:ascii="宋体" w:hAnsi="宋体" w:eastAsia="宋体" w:cs="宋体"/>
      <w:color w:val="000000"/>
      <w:sz w:val="21"/>
      <w:szCs w:val="21"/>
      <w:u w:val="single"/>
    </w:rPr>
  </w:style>
  <w:style w:type="character" w:customStyle="1" w:styleId="198">
    <w:name w:val="font31"/>
    <w:basedOn w:val="38"/>
    <w:qFormat/>
    <w:uiPriority w:val="0"/>
    <w:rPr>
      <w:rFonts w:hint="eastAsia" w:ascii="宋体" w:hAnsi="宋体" w:eastAsia="宋体" w:cs="宋体"/>
      <w:color w:val="000000"/>
      <w:sz w:val="21"/>
      <w:szCs w:val="21"/>
      <w:u w:val="none"/>
    </w:rPr>
  </w:style>
  <w:style w:type="character" w:customStyle="1" w:styleId="199">
    <w:name w:val="font61"/>
    <w:basedOn w:val="38"/>
    <w:qFormat/>
    <w:uiPriority w:val="0"/>
    <w:rPr>
      <w:rFonts w:hint="eastAsia" w:ascii="宋体" w:hAnsi="宋体" w:eastAsia="宋体" w:cs="宋体"/>
      <w:color w:val="FF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8772</Words>
  <Characters>9517</Characters>
  <TotalTime>12</TotalTime>
  <ScaleCrop>false</ScaleCrop>
  <LinksUpToDate>false</LinksUpToDate>
  <CharactersWithSpaces>9662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2024-12-24T01:17:00Z</dcterms:created>
  <dc:creator>馨</dc:creator>
  <cp:lastModifiedBy>东月℃</cp:lastModifiedBy>
  <cp:lastPrinted>2026-04-02T02:27:00Z</cp:lastPrinted>
  <dcterms:modified xsi:type="dcterms:W3CDTF">2026-04-15T09:01:22Z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5C35A31828894C6BB8C2DBF1F16414ED_13</vt:lpwstr>
  </property>
  <property fmtid="{D5CDD505-2E9C-101B-9397-08002B2CF9AE}" pid="4" name="KSOTemplateDocerSaveRecord">
    <vt:lpwstr>eyJoZGlkIjoiZjcxYTlmMzU4YmNkZTFhNzJhNzMzNGNlNWU5ZDczNzkiLCJ1c2VySWQiOiIyOTQyNTU5NzgifQ==</vt:lpwstr>
  </property>
</Properties>
</file>