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spacing w:before="120" w:beforeAutospacing="0" w:after="120" w:afterAutospacing="0" w:line="360" w:lineRule="auto"/>
        <w:rPr>
          <w:color w:val="auto"/>
          <w:highlight w:val="none"/>
        </w:rPr>
      </w:pPr>
      <w:r>
        <w:rPr>
          <w:color w:val="auto"/>
          <w:highlight w:val="none"/>
        </w:rPr>
        <w:t xml:space="preserve"> </w:t>
      </w:r>
      <w:r/>
    </w:p>
    <w:p>
      <w:pPr>
        <w:pStyle w:val="648"/>
        <w:spacing w:before="120" w:beforeAutospacing="0" w:after="120" w:afterAutospacing="0" w:line="360" w:lineRule="auto"/>
        <w:rPr>
          <w:color w:val="auto"/>
          <w:highlight w:val="none"/>
        </w:rPr>
      </w:pPr>
      <w:r>
        <w:rPr>
          <w:color w:val="auto"/>
          <w:highlight w:val="none"/>
        </w:rPr>
      </w:r>
      <w:r/>
    </w:p>
    <w:p>
      <w:pPr>
        <w:pStyle w:val="648"/>
        <w:spacing w:before="120" w:beforeAutospacing="0" w:after="120" w:afterAutospacing="0" w:line="360" w:lineRule="auto"/>
        <w:rPr>
          <w:color w:val="auto"/>
          <w:highlight w:val="none"/>
        </w:rPr>
      </w:pPr>
      <w:r>
        <w:rPr>
          <w:color w:val="auto"/>
          <w:highlight w:val="none"/>
        </w:rPr>
      </w:r>
      <w:r/>
    </w:p>
    <w:p>
      <w:pPr>
        <w:pStyle w:val="64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48"/>
        <w:jc w:val="left"/>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8"/>
        <w:jc w:val="left"/>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8"/>
        <w:jc w:val="left"/>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8"/>
        <w:jc w:val="left"/>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8"/>
        <w:jc w:val="left"/>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rPr>
        <w:t xml:space="preserve">东台市东台镇</w:t>
      </w:r>
      <w:r>
        <w:rPr>
          <w:rFonts w:hint="eastAsia" w:ascii="Arial" w:hAnsi="Arial" w:cs="Arial"/>
          <w:b/>
          <w:color w:val="auto"/>
          <w:sz w:val="32"/>
          <w:szCs w:val="32"/>
          <w:highlight w:val="none"/>
          <w:lang w:eastAsia="zh-CN"/>
        </w:rPr>
        <w:t xml:space="preserve">新东、金海、启平</w:t>
      </w:r>
      <w:r>
        <w:rPr>
          <w:rFonts w:hint="eastAsia" w:ascii="Arial" w:hAnsi="Arial" w:cs="Arial"/>
          <w:b/>
          <w:color w:val="auto"/>
          <w:sz w:val="32"/>
          <w:szCs w:val="32"/>
          <w:highlight w:val="none"/>
        </w:rPr>
        <w:t xml:space="preserve">街道无物业社区物业管理服务项目</w:t>
      </w:r>
      <w:r/>
    </w:p>
    <w:p>
      <w:pPr>
        <w:pStyle w:val="648"/>
        <w:jc w:val="left"/>
        <w:spacing w:beforeAutospacing="0" w:afterAutospacing="0"/>
        <w:rPr>
          <w:rFonts w:hint="default" w:eastAsiaTheme="minorEastAsia"/>
          <w:color w:val="auto"/>
          <w:highlight w:val="none"/>
          <w:lang w:val="en-US" w:eastAsia="zh-CN"/>
        </w:rPr>
      </w:pPr>
      <w:r>
        <w:rPr>
          <w:rFonts w:ascii="Times New Roman" w:hAnsi="Times New Roman"/>
          <w:b/>
          <w:color w:val="auto"/>
          <w:sz w:val="32"/>
          <w:szCs w:val="32"/>
          <w:highlight w:val="none"/>
        </w:rPr>
        <w:t xml:space="preserve">项目编号：JSZC-320981-JZCG-G2026-0009</w:t>
      </w:r>
      <w:r/>
    </w:p>
    <w:p>
      <w:pPr>
        <w:pStyle w:val="648"/>
        <w:spacing w:beforeAutospacing="0" w:afterAutospacing="0" w:line="360" w:lineRule="auto"/>
        <w:rPr>
          <w:color w:val="auto"/>
          <w:highlight w:val="none"/>
        </w:rPr>
      </w:pPr>
      <w:r>
        <w:rPr>
          <w:color w:val="auto"/>
          <w:highlight w:val="none"/>
        </w:rPr>
        <w:t xml:space="preserve"> </w:t>
      </w:r>
      <w:r/>
    </w:p>
    <w:p>
      <w:pPr>
        <w:pStyle w:val="648"/>
        <w:spacing w:beforeAutospacing="0" w:afterAutospacing="0" w:line="360" w:lineRule="auto"/>
        <w:rPr>
          <w:color w:val="auto"/>
          <w:highlight w:val="none"/>
        </w:rPr>
      </w:pPr>
      <w:r>
        <w:rPr>
          <w:color w:val="auto"/>
          <w:highlight w:val="none"/>
        </w:rPr>
        <w:t xml:space="preserve"> </w:t>
      </w:r>
      <w:r/>
    </w:p>
    <w:p>
      <w:pPr>
        <w:pStyle w:val="648"/>
        <w:spacing w:beforeAutospacing="0" w:afterAutospacing="0" w:line="360" w:lineRule="auto"/>
        <w:rPr>
          <w:color w:val="auto"/>
          <w:highlight w:val="none"/>
        </w:rPr>
      </w:pPr>
      <w:r>
        <w:rPr>
          <w:color w:val="auto"/>
          <w:highlight w:val="none"/>
        </w:rPr>
        <w:t xml:space="preserve"> </w:t>
      </w:r>
      <w:r/>
    </w:p>
    <w:p>
      <w:pPr>
        <w:pStyle w:val="648"/>
        <w:spacing w:beforeAutospacing="0" w:afterAutospacing="0" w:line="360" w:lineRule="auto"/>
        <w:rPr>
          <w:color w:val="auto"/>
          <w:highlight w:val="none"/>
        </w:rPr>
      </w:pPr>
      <w:r>
        <w:rPr>
          <w:color w:val="auto"/>
          <w:highlight w:val="none"/>
        </w:rPr>
        <w:t xml:space="preserve"> </w:t>
      </w:r>
      <w:r/>
    </w:p>
    <w:p>
      <w:pPr>
        <w:pStyle w:val="648"/>
        <w:spacing w:beforeAutospacing="0" w:afterAutospacing="0" w:line="360" w:lineRule="auto"/>
        <w:rPr>
          <w:color w:val="auto"/>
          <w:highlight w:val="none"/>
        </w:rPr>
      </w:pPr>
      <w:r>
        <w:rPr>
          <w:color w:val="auto"/>
          <w:highlight w:val="none"/>
        </w:rPr>
        <w:t xml:space="preserve"> </w:t>
      </w:r>
      <w:r/>
    </w:p>
    <w:p>
      <w:pPr>
        <w:pStyle w:val="648"/>
        <w:spacing w:beforeAutospacing="0" w:afterAutospacing="0" w:line="360" w:lineRule="auto"/>
        <w:rPr>
          <w:color w:val="auto"/>
          <w:highlight w:val="none"/>
        </w:rPr>
      </w:pPr>
      <w:r>
        <w:rPr>
          <w:color w:val="auto"/>
          <w:highlight w:val="none"/>
        </w:rPr>
        <w:t xml:space="preserve"> </w:t>
      </w:r>
      <w:r/>
    </w:p>
    <w:p>
      <w:pPr>
        <w:pStyle w:val="648"/>
        <w:spacing w:beforeAutospacing="0" w:afterAutospacing="0" w:line="360" w:lineRule="auto"/>
        <w:rPr>
          <w:color w:val="auto"/>
          <w:highlight w:val="none"/>
        </w:rPr>
      </w:pPr>
      <w:r>
        <w:rPr>
          <w:color w:val="auto"/>
          <w:highlight w:val="none"/>
        </w:rPr>
        <w:t xml:space="preserve"> </w:t>
      </w:r>
      <w:r/>
    </w:p>
    <w:p>
      <w:pPr>
        <w:pStyle w:val="648"/>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：东台市东台镇人民政府</w:t>
      </w:r>
      <w:r/>
    </w:p>
    <w:p>
      <w:pPr>
        <w:pStyle w:val="648"/>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8</w:t>
      </w:r>
      <w:r>
        <w:rPr>
          <w:rFonts w:ascii="Arial" w:hAnsi="Arial" w:cs="Arial"/>
          <w:b/>
          <w:color w:val="auto"/>
          <w:sz w:val="32"/>
          <w:szCs w:val="32"/>
          <w:highlight w:val="none"/>
        </w:rPr>
        <w:t xml:space="preserve">月</w:t>
      </w:r>
      <w:r/>
    </w:p>
    <w:p>
      <w:pPr>
        <w:pStyle w:val="648"/>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48"/>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20614210"/>
      <w:r/>
      <w:bookmarkStart w:id="1" w:name="_Toc523127445"/>
      <w:r/>
      <w:bookmarkStart w:id="2" w:name="_Toc479757206"/>
      <w:r/>
      <w:bookmarkStart w:id="3" w:name="_Toc16938516"/>
      <w:r/>
      <w:bookmarkStart w:id="4" w:name="_Toc513029200"/>
      <w:r/>
      <w:bookmarkStart w:id="5" w:name="_Toc20823272"/>
      <w:r>
        <w:rPr>
          <w:rFonts w:ascii="Times New Roman" w:hAnsi="Times New Roman"/>
          <w:color w:val="auto"/>
          <w:sz w:val="21"/>
          <w:szCs w:val="21"/>
          <w:highlight w:val="none"/>
        </w:rPr>
        <w:t xml:space="preserve"> </w:t>
      </w:r>
      <w:r/>
    </w:p>
    <w:p>
      <w:pPr>
        <w:pStyle w:val="648"/>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48"/>
        <w:jc w:val="both"/>
        <w:spacing w:beforeAutospacing="0" w:afterAutospacing="0" w:line="480" w:lineRule="auto"/>
        <w:rPr>
          <w:color w:val="auto"/>
          <w:highlight w:val="none"/>
        </w:rPr>
      </w:pPr>
      <w:r>
        <w:rPr>
          <w:color w:val="auto"/>
          <w:highlight w:val="none"/>
        </w:rPr>
        <w:t xml:space="preserve"> </w:t>
      </w:r>
      <w:r/>
    </w:p>
    <w:p>
      <w:pPr>
        <w:pStyle w:val="648"/>
        <w:ind w:left="0" w:firstLine="0"/>
        <w:jc w:val="center"/>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p>
    <w:p>
      <w:pPr>
        <w:pStyle w:val="648"/>
        <w:ind w:left="0" w:firstLine="0"/>
        <w:jc w:val="center"/>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p>
    <w:p>
      <w:pPr>
        <w:pStyle w:val="648"/>
        <w:ind w:left="0" w:firstLine="0"/>
        <w:jc w:val="center"/>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648"/>
        <w:ind w:left="0" w:firstLine="0"/>
        <w:jc w:val="center"/>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48"/>
        <w:ind w:left="0" w:firstLine="0"/>
        <w:jc w:val="center"/>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648"/>
        <w:ind w:left="0" w:firstLine="0"/>
        <w:jc w:val="center"/>
        <w:keepLines w:val="0"/>
        <w:keepNext w:val="0"/>
        <w:pageBreakBefore w:val="0"/>
        <w:spacing w:beforeAutospacing="0" w:afterAutospacing="0" w:line="480" w:lineRule="auto"/>
        <w:widowControl w:val="off"/>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center"/>
        <w:keepLines w:val="0"/>
        <w:keepNext w:val="0"/>
        <w:pageBreakBefore w:val="0"/>
        <w:spacing w:beforeAutospacing="0" w:after="157" w:afterAutospacing="0"/>
        <w:widowControl w:val="off"/>
        <w:rPr>
          <w:rFonts w:hint="default" w:eastAsia="黑体"/>
          <w:color w:val="auto"/>
          <w:highlight w:val="none"/>
          <w:lang w:val="en-US" w:eastAsia="zh-CN"/>
        </w:rPr>
      </w:pPr>
      <w:r/>
      <w:bookmarkStart w:id="6" w:name="_Toc28359009"/>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648"/>
        <w:ind w:firstLine="480"/>
        <w:jc w:val="both"/>
        <w:pageBreakBefore w:val="0"/>
        <w:spacing w:beforeAutospacing="0" w:afterAutospacing="0" w:line="24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48"/>
        <w:ind w:firstLine="480"/>
        <w:jc w:val="both"/>
        <w:pageBreakBefore w:val="0"/>
        <w:spacing w:beforeAutospacing="0" w:afterAutospacing="0" w:line="24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东台市东台镇</w:t>
      </w:r>
      <w:r>
        <w:rPr>
          <w:rFonts w:hint="eastAsia" w:ascii="宋体" w:hAnsi="宋体" w:eastAsia="宋体" w:cs="宋体"/>
          <w:color w:val="auto"/>
          <w:sz w:val="24"/>
          <w:szCs w:val="24"/>
          <w:highlight w:val="none"/>
          <w:u w:val="single"/>
          <w:lang w:eastAsia="zh-CN"/>
        </w:rPr>
        <w:t xml:space="preserve">新东、金海、启平</w:t>
      </w:r>
      <w:r>
        <w:rPr>
          <w:rFonts w:hint="eastAsia" w:ascii="宋体" w:hAnsi="宋体" w:eastAsia="宋体" w:cs="宋体"/>
          <w:color w:val="auto"/>
          <w:sz w:val="24"/>
          <w:szCs w:val="24"/>
          <w:highlight w:val="none"/>
          <w:u w:val="single"/>
        </w:rPr>
        <w:t xml:space="preserve">街道无物业社区物业管理服务项目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p>
    <w:p>
      <w:pPr>
        <w:pStyle w:val="64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7" w:name="_Toc28359002"/>
      <w:r/>
      <w:bookmarkStart w:id="8" w:name="_Toc38985263"/>
      <w:r/>
      <w:bookmarkStart w:id="9" w:name="_Toc35393790"/>
      <w:r/>
      <w:bookmarkStart w:id="10" w:name="_Toc28359079"/>
      <w:r/>
      <w:bookmarkStart w:id="11" w:name="_Toc35393621"/>
      <w:r/>
      <w:bookmarkStart w:id="12" w:name="_Hlk24379207"/>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1.项目编号：JSZC-320981-JZCG-G2026-0009</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2.项目名称：东台市东台镇</w:t>
      </w:r>
      <w:r>
        <w:rPr>
          <w:rFonts w:hint="eastAsia" w:ascii="宋体" w:hAnsi="宋体" w:eastAsia="宋体" w:cs="宋体"/>
          <w:color w:val="auto"/>
          <w:sz w:val="24"/>
          <w:szCs w:val="24"/>
          <w:highlight w:val="none"/>
          <w:lang w:eastAsia="zh-CN"/>
        </w:rPr>
        <w:t xml:space="preserve">新东、金海、启平</w:t>
      </w:r>
      <w:r>
        <w:rPr>
          <w:rFonts w:hint="eastAsia" w:ascii="宋体" w:hAnsi="宋体" w:eastAsia="宋体" w:cs="宋体"/>
          <w:color w:val="auto"/>
          <w:sz w:val="24"/>
          <w:szCs w:val="24"/>
          <w:highlight w:val="none"/>
        </w:rPr>
        <w:t xml:space="preserve">街道无物业社区物业管理服务项目</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.预算金额：1000万元</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（采购包1：</w:t>
      </w:r>
      <w:r>
        <w:rPr>
          <w:rFonts w:hint="eastAsia" w:ascii="宋体" w:hAnsi="宋体" w:eastAsia="宋体" w:cs="宋体"/>
          <w:color w:val="auto"/>
          <w:sz w:val="24"/>
          <w:szCs w:val="24"/>
          <w:highlight w:val="none"/>
          <w:lang w:val="en-US" w:eastAsia="zh-CN"/>
        </w:rPr>
        <w:t xml:space="preserve">415.14</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；采购包2：30</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；采购包3：284.6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最高限价：采购包1</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ff0000"/>
          <w:spacing w:val="0"/>
          <w:sz w:val="24"/>
          <w:szCs w:val="24"/>
          <w:highlight w:val="none"/>
          <w:shd w:val="clear" w:color="auto" w:fill="ffffff"/>
        </w:rPr>
        <w:t xml:space="preserve">41</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ff0000"/>
          <w:spacing w:val="0"/>
          <w:sz w:val="24"/>
          <w:szCs w:val="24"/>
          <w:highlight w:val="none"/>
          <w:shd w:val="clear" w:color="auto" w:fill="ffffff"/>
        </w:rPr>
        <w:t xml:space="preserve">.</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14</w:t>
      </w:r>
      <w:r>
        <w:rPr>
          <w:rFonts w:hint="eastAsia" w:ascii="宋体" w:hAnsi="宋体" w:eastAsia="宋体" w:cs="宋体"/>
          <w:i w:val="0"/>
          <w:iCs w:val="0"/>
          <w:caps w:val="0"/>
          <w:color w:val="auto"/>
          <w:spacing w:val="0"/>
          <w:sz w:val="24"/>
          <w:szCs w:val="24"/>
          <w:highlight w:val="none"/>
          <w:shd w:val="clear" w:color="auto" w:fill="ffffff"/>
        </w:rPr>
        <w:t xml:space="preserve">万元</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i w:val="0"/>
          <w:iCs w:val="0"/>
          <w:caps w:val="0"/>
          <w:color w:val="auto"/>
          <w:spacing w:val="0"/>
          <w:sz w:val="24"/>
          <w:szCs w:val="24"/>
          <w:highlight w:val="none"/>
          <w:shd w:val="clear" w:color="auto" w:fill="ffffff"/>
        </w:rPr>
        <w:t xml:space="preserve">；采购包2：</w:t>
      </w:r>
      <w:r>
        <w:rPr>
          <w:rFonts w:hint="eastAsia" w:ascii="宋体" w:hAnsi="宋体" w:eastAsia="宋体" w:cs="宋体"/>
          <w:i w:val="0"/>
          <w:iCs w:val="0"/>
          <w:caps w:val="0"/>
          <w:color w:val="ff0000"/>
          <w:spacing w:val="0"/>
          <w:sz w:val="24"/>
          <w:szCs w:val="24"/>
          <w:highlight w:val="none"/>
          <w:shd w:val="clear" w:color="auto" w:fill="ffffff"/>
        </w:rPr>
        <w:t xml:space="preserve">30</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0</w:t>
      </w:r>
      <w:r>
        <w:rPr>
          <w:rFonts w:hint="eastAsia" w:ascii="宋体" w:hAnsi="宋体" w:eastAsia="宋体" w:cs="宋体"/>
          <w:i w:val="0"/>
          <w:iCs w:val="0"/>
          <w:caps w:val="0"/>
          <w:color w:val="ff0000"/>
          <w:spacing w:val="0"/>
          <w:sz w:val="24"/>
          <w:szCs w:val="24"/>
          <w:highlight w:val="none"/>
          <w:shd w:val="clear" w:color="auto" w:fill="ffffff"/>
        </w:rPr>
        <w:t xml:space="preserve">.2</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万元</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i w:val="0"/>
          <w:iCs w:val="0"/>
          <w:caps w:val="0"/>
          <w:color w:val="auto"/>
          <w:spacing w:val="0"/>
          <w:sz w:val="24"/>
          <w:szCs w:val="24"/>
          <w:highlight w:val="none"/>
          <w:shd w:val="clear" w:color="auto" w:fill="ffffff"/>
        </w:rPr>
        <w:t xml:space="preserve">；采购包3：</w:t>
      </w:r>
      <w:r>
        <w:rPr>
          <w:rFonts w:hint="eastAsia" w:ascii="宋体" w:hAnsi="宋体" w:eastAsia="宋体" w:cs="宋体"/>
          <w:i w:val="0"/>
          <w:iCs w:val="0"/>
          <w:caps w:val="0"/>
          <w:color w:val="ff0000"/>
          <w:spacing w:val="0"/>
          <w:sz w:val="24"/>
          <w:szCs w:val="24"/>
          <w:highlight w:val="none"/>
          <w:shd w:val="clear" w:color="auto" w:fill="ffffff"/>
        </w:rPr>
        <w:t xml:space="preserve">284.</w:t>
      </w:r>
      <w:r>
        <w:rPr>
          <w:rFonts w:hint="eastAsia" w:ascii="宋体" w:hAnsi="宋体" w:eastAsia="宋体" w:cs="宋体"/>
          <w:i w:val="0"/>
          <w:iCs w:val="0"/>
          <w:caps w:val="0"/>
          <w:color w:val="ff0000"/>
          <w:spacing w:val="0"/>
          <w:sz w:val="24"/>
          <w:szCs w:val="24"/>
          <w:highlight w:val="none"/>
          <w:shd w:val="clear" w:color="auto" w:fill="ffffff"/>
          <w:lang w:val="en-US" w:eastAsia="zh-CN"/>
        </w:rPr>
        <w:t xml:space="preserve">63</w:t>
      </w:r>
      <w:r>
        <w:rPr>
          <w:rFonts w:hint="eastAsia" w:ascii="宋体" w:hAnsi="宋体" w:eastAsia="宋体" w:cs="宋体"/>
          <w:i w:val="0"/>
          <w:iCs w:val="0"/>
          <w:caps w:val="0"/>
          <w:color w:val="auto"/>
          <w:spacing w:val="0"/>
          <w:sz w:val="24"/>
          <w:szCs w:val="24"/>
          <w:highlight w:val="none"/>
          <w:shd w:val="clear" w:color="auto" w:fill="ffffff"/>
        </w:rPr>
        <w:t xml:space="preserve">万元</w:t>
      </w:r>
      <w:r>
        <w:rPr>
          <w:rFonts w:hint="eastAsia" w:ascii="宋体" w:hAnsi="宋体" w:eastAsia="宋体" w:cs="宋体"/>
          <w:color w:val="auto"/>
          <w:sz w:val="24"/>
          <w:szCs w:val="24"/>
          <w:highlight w:val="none"/>
          <w:lang w:val="en-US" w:eastAsia="zh-CN"/>
        </w:rPr>
        <w:t xml:space="preserve">/年</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.采购需求（简介）：东台镇</w:t>
      </w:r>
      <w:r>
        <w:rPr>
          <w:rFonts w:hint="eastAsia" w:ascii="宋体" w:hAnsi="宋体" w:eastAsia="宋体" w:cs="宋体"/>
          <w:color w:val="auto"/>
          <w:sz w:val="24"/>
          <w:szCs w:val="24"/>
          <w:highlight w:val="none"/>
          <w:lang w:eastAsia="zh-CN"/>
        </w:rPr>
        <w:t xml:space="preserve">新东、金海、启平</w:t>
      </w:r>
      <w:r>
        <w:rPr>
          <w:rFonts w:hint="eastAsia" w:ascii="宋体" w:hAnsi="宋体" w:eastAsia="宋体" w:cs="宋体"/>
          <w:color w:val="auto"/>
          <w:sz w:val="24"/>
          <w:szCs w:val="24"/>
          <w:highlight w:val="none"/>
        </w:rPr>
        <w:t xml:space="preserve">街道无物业社区物业管理服务项目，本次采购共分三个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w:t>
      </w:r>
      <w:r/>
    </w:p>
    <w:p>
      <w:pPr>
        <w:pStyle w:val="648"/>
        <w:ind w:firstLine="482"/>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包一</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东台镇</w:t>
      </w:r>
      <w:r>
        <w:rPr>
          <w:rFonts w:hint="eastAsia" w:ascii="宋体" w:hAnsi="宋体" w:eastAsia="宋体" w:cs="宋体"/>
          <w:b/>
          <w:bCs/>
          <w:color w:val="auto"/>
          <w:sz w:val="24"/>
          <w:szCs w:val="24"/>
          <w:highlight w:val="none"/>
        </w:rPr>
        <w:t xml:space="preserve">新东街道</w:t>
      </w:r>
      <w:r>
        <w:rPr>
          <w:rFonts w:hint="eastAsia" w:ascii="宋体" w:hAnsi="宋体" w:eastAsia="宋体" w:cs="宋体"/>
          <w:color w:val="auto"/>
          <w:sz w:val="24"/>
          <w:szCs w:val="24"/>
          <w:highlight w:val="none"/>
        </w:rPr>
        <w:t xml:space="preserve">无物业社区及物业管理服务项目,作业</w:t>
      </w:r>
      <w:r>
        <w:rPr>
          <w:rFonts w:hint="eastAsia" w:ascii="宋体" w:hAnsi="宋体" w:eastAsia="宋体" w:cs="宋体"/>
          <w:color w:val="auto"/>
          <w:sz w:val="24"/>
          <w:szCs w:val="24"/>
          <w:highlight w:val="none"/>
          <w:lang w:eastAsia="zh-CN"/>
        </w:rPr>
        <w:t xml:space="preserve">面积</w:t>
      </w:r>
      <w:r>
        <w:rPr>
          <w:rFonts w:hint="eastAsia" w:ascii="宋体" w:hAnsi="宋体" w:eastAsia="宋体" w:cs="宋体"/>
          <w:color w:val="auto"/>
          <w:sz w:val="24"/>
          <w:szCs w:val="24"/>
          <w:highlight w:val="none"/>
        </w:rPr>
        <w:t xml:space="preserve">约</w:t>
      </w:r>
      <w:r>
        <w:rPr>
          <w:rFonts w:hint="eastAsia" w:ascii="宋体" w:hAnsi="宋体" w:eastAsia="宋体" w:cs="宋体"/>
          <w:color w:val="ff0000"/>
          <w:sz w:val="24"/>
          <w:szCs w:val="24"/>
          <w:highlight w:val="none"/>
          <w:lang w:val="en-US" w:eastAsia="zh-CN"/>
        </w:rPr>
        <w:t xml:space="preserve">588470.52</w:t>
      </w:r>
      <w:r>
        <w:rPr>
          <w:rFonts w:hint="eastAsia" w:ascii="宋体" w:hAnsi="宋体" w:eastAsia="宋体" w:cs="宋体"/>
          <w:color w:val="auto"/>
          <w:sz w:val="24"/>
          <w:szCs w:val="24"/>
          <w:highlight w:val="none"/>
        </w:rPr>
        <w:t xml:space="preserve">平方米，包含何垛桥社区、二女桥社区、东关社区、东坝社区、东园社区、长青社区（详细内容见本招标文件第四章）；</w:t>
      </w:r>
      <w:r/>
    </w:p>
    <w:p>
      <w:pPr>
        <w:pStyle w:val="648"/>
        <w:ind w:firstLine="482"/>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包二</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东台镇</w:t>
      </w:r>
      <w:r>
        <w:rPr>
          <w:rFonts w:hint="eastAsia" w:ascii="宋体" w:hAnsi="宋体" w:eastAsia="宋体" w:cs="宋体"/>
          <w:b/>
          <w:bCs/>
          <w:color w:val="auto"/>
          <w:sz w:val="24"/>
          <w:szCs w:val="24"/>
          <w:highlight w:val="none"/>
        </w:rPr>
        <w:t xml:space="preserve">金海街道</w:t>
      </w:r>
      <w:r>
        <w:rPr>
          <w:rFonts w:hint="eastAsia" w:ascii="宋体" w:hAnsi="宋体" w:eastAsia="宋体" w:cs="宋体"/>
          <w:color w:val="auto"/>
          <w:sz w:val="24"/>
          <w:szCs w:val="24"/>
          <w:highlight w:val="none"/>
        </w:rPr>
        <w:t xml:space="preserve">无物业社区及物业管理服务项目,作业面积约</w:t>
      </w:r>
      <w:r>
        <w:rPr>
          <w:rFonts w:hint="eastAsia" w:ascii="宋体" w:hAnsi="宋体" w:eastAsia="宋体" w:cs="宋体"/>
          <w:color w:val="ff0000"/>
          <w:sz w:val="24"/>
          <w:szCs w:val="24"/>
          <w:highlight w:val="none"/>
          <w:lang w:val="en-US" w:eastAsia="zh-CN"/>
        </w:rPr>
        <w:t xml:space="preserve">480712.85</w:t>
      </w:r>
      <w:r>
        <w:rPr>
          <w:rFonts w:hint="eastAsia" w:ascii="宋体" w:hAnsi="宋体" w:eastAsia="宋体" w:cs="宋体"/>
          <w:color w:val="auto"/>
          <w:sz w:val="24"/>
          <w:szCs w:val="24"/>
          <w:highlight w:val="none"/>
        </w:rPr>
        <w:t xml:space="preserve">平方米,包含新海社区、新兴社区、金陈社区、北灶社区、新坝社区、北海社区（详细内容见本招标文件第四章）；</w:t>
      </w:r>
      <w:r/>
    </w:p>
    <w:p>
      <w:pPr>
        <w:pStyle w:val="648"/>
        <w:ind w:firstLine="482"/>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包三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东台镇</w:t>
      </w:r>
      <w:r>
        <w:rPr>
          <w:rFonts w:hint="eastAsia" w:ascii="宋体" w:hAnsi="宋体" w:eastAsia="宋体" w:cs="宋体"/>
          <w:b/>
          <w:bCs/>
          <w:color w:val="auto"/>
          <w:sz w:val="24"/>
          <w:szCs w:val="24"/>
          <w:highlight w:val="none"/>
        </w:rPr>
        <w:t xml:space="preserve">启平街道</w:t>
      </w:r>
      <w:r>
        <w:rPr>
          <w:rFonts w:hint="eastAsia" w:ascii="宋体" w:hAnsi="宋体" w:eastAsia="宋体" w:cs="宋体"/>
          <w:color w:val="auto"/>
          <w:sz w:val="24"/>
          <w:szCs w:val="24"/>
          <w:highlight w:val="none"/>
        </w:rPr>
        <w:t xml:space="preserve">无物业社区及物业管理服务项目,作业</w:t>
      </w:r>
      <w:r>
        <w:rPr>
          <w:rFonts w:hint="eastAsia" w:ascii="宋体" w:hAnsi="宋体" w:eastAsia="宋体" w:cs="宋体"/>
          <w:color w:val="auto"/>
          <w:sz w:val="24"/>
          <w:szCs w:val="24"/>
          <w:highlight w:val="none"/>
          <w:lang w:eastAsia="zh-CN"/>
        </w:rPr>
        <w:t xml:space="preserve">面积</w:t>
      </w:r>
      <w:r>
        <w:rPr>
          <w:rFonts w:hint="eastAsia" w:ascii="宋体" w:hAnsi="宋体" w:eastAsia="宋体" w:cs="宋体"/>
          <w:color w:val="auto"/>
          <w:sz w:val="24"/>
          <w:szCs w:val="24"/>
          <w:highlight w:val="none"/>
        </w:rPr>
        <w:t xml:space="preserve">约</w:t>
      </w:r>
      <w:r>
        <w:rPr>
          <w:rFonts w:hint="eastAsia" w:ascii="宋体" w:hAnsi="宋体" w:eastAsia="宋体" w:cs="宋体"/>
          <w:color w:val="ff0000"/>
          <w:sz w:val="24"/>
          <w:szCs w:val="24"/>
          <w:highlight w:val="none"/>
          <w:lang w:val="en-US" w:eastAsia="zh-CN"/>
        </w:rPr>
        <w:t xml:space="preserve">468323.74</w:t>
      </w:r>
      <w:r>
        <w:rPr>
          <w:rFonts w:hint="eastAsia" w:ascii="宋体" w:hAnsi="宋体" w:eastAsia="宋体" w:cs="宋体"/>
          <w:color w:val="auto"/>
          <w:sz w:val="24"/>
          <w:szCs w:val="24"/>
          <w:highlight w:val="none"/>
        </w:rPr>
        <w:t xml:space="preserve">平方米，包含望海社区、公园社区、汤泊社区、玉带桥社区、金墩社区、八林社区、丁新</w:t>
      </w:r>
      <w:r>
        <w:rPr>
          <w:rFonts w:hint="eastAsia" w:ascii="宋体" w:hAnsi="宋体" w:eastAsia="宋体" w:cs="宋体"/>
          <w:color w:val="auto"/>
          <w:sz w:val="24"/>
          <w:szCs w:val="24"/>
          <w:highlight w:val="none"/>
          <w:lang w:val="en-US" w:eastAsia="zh-CN"/>
        </w:rPr>
        <w:t xml:space="preserve">村城市规划</w:t>
      </w:r>
      <w:r>
        <w:rPr>
          <w:rFonts w:hint="eastAsia" w:ascii="宋体" w:hAnsi="宋体" w:eastAsia="宋体" w:cs="宋体"/>
          <w:color w:val="auto"/>
          <w:sz w:val="24"/>
          <w:szCs w:val="24"/>
          <w:highlight w:val="none"/>
        </w:rPr>
        <w:t xml:space="preserve">区（详细内容见本招标文件第四章）；</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注：本次招标项目共分3个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，各投标人可对本项目所有</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进行投标，但最多只能中一个</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。各</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评审及</w:t>
      </w:r>
      <w:bookmarkStart w:id="208" w:name="_GoBack"/>
      <w:r/>
      <w:bookmarkEnd w:id="208"/>
      <w:r>
        <w:rPr>
          <w:rFonts w:hint="eastAsia" w:ascii="宋体" w:hAnsi="宋体" w:eastAsia="宋体" w:cs="宋体"/>
          <w:color w:val="auto"/>
          <w:sz w:val="24"/>
          <w:szCs w:val="24"/>
          <w:highlight w:val="none"/>
        </w:rPr>
        <w:t xml:space="preserve">定标顺序如下：</w:t>
      </w:r>
      <w:r>
        <w:rPr>
          <w:rFonts w:hint="eastAsia" w:ascii="宋体" w:hAnsi="宋体" w:eastAsia="宋体" w:cs="宋体"/>
          <w:color w:val="auto"/>
          <w:sz w:val="24"/>
          <w:szCs w:val="24"/>
          <w:highlight w:val="none"/>
          <w:lang w:val="en-US" w:eastAsia="zh-CN"/>
        </w:rPr>
        <w:t xml:space="preserve">包</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包二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包三</w:t>
      </w:r>
      <w:r>
        <w:rPr>
          <w:rFonts w:hint="eastAsia" w:ascii="宋体" w:hAnsi="宋体" w:eastAsia="宋体" w:cs="宋体"/>
          <w:color w:val="auto"/>
          <w:sz w:val="24"/>
          <w:szCs w:val="24"/>
          <w:highlight w:val="none"/>
        </w:rPr>
        <w:t xml:space="preserve">。当投标人在前面标段中已确定为中标供应商时，其投标文件仍参与下面标段的评审，但不作为中标供应商进行排序，以此类推。</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b/>
          <w:bCs/>
          <w:color w:val="auto"/>
          <w:sz w:val="24"/>
          <w:szCs w:val="24"/>
          <w:highlight w:val="none"/>
          <w:lang w:val="en-US" w:eastAsia="zh-CN"/>
        </w:rPr>
        <w:t xml:space="preserve">二年</w:t>
      </w:r>
      <w:r>
        <w:rPr>
          <w:rFonts w:hint="eastAsia" w:ascii="宋体" w:hAnsi="宋体" w:eastAsia="宋体" w:cs="宋体"/>
          <w:color w:val="auto"/>
          <w:sz w:val="24"/>
          <w:szCs w:val="24"/>
          <w:highlight w:val="none"/>
          <w:lang w:val="en-US" w:eastAsia="zh-CN"/>
        </w:rPr>
        <w:t xml:space="preserve">，自签订合同之日起开始计算。中标供应商在签订服务合同后5日内报送全体服务人员履历，审核通过并接到甲方书面通知后5日内接手进驻，进入正常服务工作。</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p>
    <w:p>
      <w:pPr>
        <w:pStyle w:val="64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13" w:name="_Toc35393791"/>
      <w:r/>
      <w:bookmarkStart w:id="14" w:name="_Toc28359080"/>
      <w:r/>
      <w:bookmarkStart w:id="15" w:name="_Toc28359003"/>
      <w:r/>
      <w:bookmarkStart w:id="16" w:name="_Toc38985264"/>
      <w:r/>
      <w:bookmarkStart w:id="17" w:name="_Toc35393622"/>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文件中无需提供证明材料）</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项目为专门面向中小企业采购的项目,投标人必须为中小微企业（或监狱企业或残疾人福利性单位），不接受非中小微型企业（或监狱企业或残疾人福利性单位）参与本项目投标。</w:t>
      </w:r>
      <w:r/>
    </w:p>
    <w:p>
      <w:pPr>
        <w:pStyle w:val="64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无</w:t>
      </w:r>
      <w:r>
        <w:rPr>
          <w:rFonts w:hint="eastAsia" w:ascii="宋体" w:hAnsi="宋体" w:eastAsia="宋体" w:cs="宋体"/>
          <w:i w:val="0"/>
          <w:iCs w:val="0"/>
          <w:caps w:val="0"/>
          <w:color w:val="auto"/>
          <w:spacing w:val="0"/>
          <w:sz w:val="24"/>
          <w:szCs w:val="24"/>
          <w:highlight w:val="none"/>
          <w:u w:val="none"/>
          <w:shd w:val="clear" w:color="auto" w:fill="ffffff"/>
          <w:lang w:eastAsia="zh-CN"/>
        </w:rPr>
        <w:t xml:space="preserve">。</w:t>
      </w:r>
      <w:r/>
    </w:p>
    <w:p>
      <w:pPr>
        <w:pStyle w:val="64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480"/>
        <w:jc w:val="both"/>
        <w:pageBreakBefore w:val="0"/>
        <w:spacing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35393624"/>
      <w:r/>
      <w:bookmarkStart w:id="19" w:name="_Toc28359082"/>
      <w:r/>
      <w:bookmarkStart w:id="20" w:name="_Toc35393793"/>
      <w:r/>
      <w:bookmarkStart w:id="21" w:name="_Toc38985266"/>
      <w:r/>
      <w:bookmarkStart w:id="22" w:name="_Toc28359005"/>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64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4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u w:val="single"/>
          <w:shd w:val="clear" w:color="auto" w:fill="ffffff"/>
        </w:rPr>
        <w:t xml:space="preserve">月4</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8时30分</w:t>
      </w:r>
      <w:r>
        <w:rPr>
          <w:rFonts w:hint="eastAsia" w:ascii="宋体" w:hAnsi="宋体" w:eastAsia="宋体" w:cs="宋体"/>
          <w:color w:val="auto"/>
          <w:sz w:val="24"/>
          <w:szCs w:val="24"/>
          <w:highlight w:val="none"/>
        </w:rPr>
        <w:t xml:space="preserve">（北京时间）</w:t>
      </w:r>
      <w:r/>
    </w:p>
    <w:p>
      <w:pPr>
        <w:pStyle w:val="648"/>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64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bookmarkStart w:id="23" w:name="_Toc35393794"/>
      <w:r/>
      <w:bookmarkStart w:id="24" w:name="_Toc28359007"/>
      <w:r/>
      <w:bookmarkStart w:id="25" w:name="_Toc38985267"/>
      <w:r/>
      <w:bookmarkStart w:id="26" w:name="_Toc35393625"/>
      <w:r/>
      <w:bookmarkStart w:id="27" w:name="_Toc2835908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64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48"/>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4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pageBreakBefore w:val="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648"/>
        <w:ind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648"/>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1.采购人信息</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称：东台市东台镇人民政府</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址：东台镇宁树路199号  </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w:t>
      </w:r>
      <w:r>
        <w:rPr>
          <w:rFonts w:hint="eastAsia" w:cs="宋体"/>
          <w:b w:val="0"/>
          <w:bCs w:val="0"/>
          <w:i w:val="0"/>
          <w:iCs w:val="0"/>
          <w:caps w:val="0"/>
          <w:color w:val="auto"/>
          <w:spacing w:val="0"/>
          <w:sz w:val="24"/>
          <w:szCs w:val="24"/>
          <w:highlight w:val="none"/>
          <w:u w:val="none"/>
          <w:shd w:val="clear" w:color="auto" w:fill="ffffff"/>
          <w:lang w:val="en-US" w:eastAsia="zh-CN"/>
        </w:rPr>
        <w:t xml:space="preserve">焦</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先生               </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w:t>
      </w:r>
      <w:r>
        <w:rPr>
          <w:rFonts w:hint="eastAsia" w:cs="宋体"/>
          <w:b w:val="0"/>
          <w:bCs w:val="0"/>
          <w:i w:val="0"/>
          <w:iCs w:val="0"/>
          <w:caps w:val="0"/>
          <w:color w:val="auto"/>
          <w:spacing w:val="0"/>
          <w:sz w:val="24"/>
          <w:szCs w:val="24"/>
          <w:highlight w:val="none"/>
          <w:u w:val="none"/>
          <w:shd w:val="clear" w:color="auto" w:fill="ffffff"/>
          <w:lang w:val="en-US" w:eastAsia="zh-CN"/>
        </w:rPr>
        <w:t xml:space="preserve">18252900656</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             </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2.采购代理机构信息</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称：东台市公共资源交易中心</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址：东台市北海西路8号</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联系人：李先生                   </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17551636798        </w:t>
      </w:r>
      <w:bookmarkEnd w:id="32"/>
      <w:r/>
      <w:bookmarkEnd w:id="33"/>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3.</w:t>
      </w:r>
      <w:bookmarkEnd w:id="34"/>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项目联系方式</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项目联系人：</w:t>
      </w:r>
      <w:r>
        <w:rPr>
          <w:rFonts w:hint="eastAsia" w:cs="宋体"/>
          <w:b w:val="0"/>
          <w:bCs w:val="0"/>
          <w:i w:val="0"/>
          <w:iCs w:val="0"/>
          <w:caps w:val="0"/>
          <w:color w:val="auto"/>
          <w:spacing w:val="0"/>
          <w:sz w:val="24"/>
          <w:szCs w:val="24"/>
          <w:highlight w:val="none"/>
          <w:u w:val="none"/>
          <w:shd w:val="clear" w:color="auto" w:fill="ffffff"/>
          <w:lang w:val="en-US" w:eastAsia="zh-CN"/>
        </w:rPr>
        <w:t xml:space="preserve">焦</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先生</w:t>
      </w:r>
      <w:r/>
    </w:p>
    <w:p>
      <w:pPr>
        <w:pStyle w:val="640"/>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w:t>
      </w:r>
      <w:r>
        <w:rPr>
          <w:rFonts w:hint="eastAsia" w:cs="宋体"/>
          <w:b w:val="0"/>
          <w:bCs w:val="0"/>
          <w:i w:val="0"/>
          <w:iCs w:val="0"/>
          <w:caps w:val="0"/>
          <w:color w:val="auto"/>
          <w:spacing w:val="0"/>
          <w:sz w:val="24"/>
          <w:szCs w:val="24"/>
          <w:highlight w:val="none"/>
          <w:u w:val="none"/>
          <w:shd w:val="clear" w:color="auto" w:fill="ffffff"/>
          <w:lang w:val="en-US" w:eastAsia="zh-CN"/>
        </w:rPr>
        <w:t xml:space="preserve">18252900656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bookmarkStart w:id="35" w:name="_Toc120614211"/>
      <w:r>
        <w:rPr>
          <w:rFonts w:hint="eastAsia" w:ascii="宋体" w:hAnsi="宋体" w:eastAsia="宋体" w:cs="宋体"/>
          <w:b/>
          <w:color w:val="auto"/>
          <w:sz w:val="24"/>
          <w:szCs w:val="24"/>
          <w:highlight w:val="none"/>
        </w:rPr>
        <w:br w:type="page" w:clear="all"/>
      </w:r>
      <w:r/>
    </w:p>
    <w:p>
      <w:pPr>
        <w:pStyle w:val="648"/>
        <w:jc w:val="center"/>
        <w:keepLines/>
        <w:keepNext/>
        <w:spacing w:before="260" w:beforeAutospacing="0" w:after="260" w:afterAutospacing="0" w:line="415" w:lineRule="auto"/>
        <w:rPr>
          <w:color w:val="auto"/>
          <w:sz w:val="22"/>
          <w:szCs w:val="22"/>
          <w:highlight w:val="none"/>
        </w:rPr>
      </w:pPr>
      <w:r>
        <w:rPr>
          <w:rFonts w:hint="eastAsia" w:ascii="黑体" w:hAnsi="宋体" w:eastAsia="黑体" w:cs="黑体"/>
          <w:b/>
          <w:color w:val="auto"/>
          <w:sz w:val="40"/>
          <w:szCs w:val="40"/>
          <w:highlight w:val="none"/>
        </w:rPr>
        <w:t xml:space="preserve">第二章  </w:t>
      </w:r>
      <w:bookmarkEnd w:id="35"/>
      <w:r/>
      <w:bookmarkStart w:id="36" w:name="_Toc20823274"/>
      <w:r/>
      <w:bookmarkStart w:id="37" w:name="_Toc16938518"/>
      <w:r/>
      <w:bookmarkStart w:id="38" w:name="_Toc513029202"/>
      <w:r/>
      <w:bookmarkStart w:id="39" w:name="_Toc120614213"/>
      <w:r>
        <w:rPr>
          <w:rFonts w:hint="eastAsia" w:ascii="黑体" w:hAnsi="宋体" w:eastAsia="黑体" w:cs="黑体"/>
          <w:b/>
          <w:color w:val="auto"/>
          <w:sz w:val="40"/>
          <w:szCs w:val="40"/>
          <w:highlight w:val="none"/>
        </w:rPr>
        <w:t xml:space="preserve">投标人须知</w:t>
      </w:r>
      <w:bookmarkEnd w:id="36"/>
      <w:r/>
      <w:bookmarkEnd w:id="37"/>
      <w:r/>
      <w:bookmarkEnd w:id="38"/>
      <w:r/>
      <w:bookmarkEnd w:id="39"/>
      <w:r/>
      <w:r/>
    </w:p>
    <w:p>
      <w:pPr>
        <w:pStyle w:val="648"/>
        <w:ind w:left="0" w:firstLine="482"/>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40" w:name="_Toc513029203"/>
      <w:r/>
      <w:bookmarkStart w:id="41" w:name="_Toc16938519"/>
      <w:r/>
      <w:bookmarkStart w:id="42" w:name="_Toc120614214"/>
      <w:r/>
      <w:bookmarkStart w:id="43" w:name="_Toc20823275"/>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44" w:name="_Toc16938520"/>
      <w:r/>
      <w:bookmarkStart w:id="45" w:name="_Toc458694821"/>
      <w:r/>
      <w:bookmarkStart w:id="46" w:name="_Toc20823276"/>
      <w:r/>
      <w:bookmarkStart w:id="47" w:name="_Toc513029204"/>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49" w:name="_Toc16938521"/>
      <w:r/>
      <w:bookmarkStart w:id="50" w:name="_Toc20823277"/>
      <w:r/>
      <w:bookmarkStart w:id="51" w:name="_Toc513029205"/>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left="0" w:firstLine="480"/>
        <w:pageBreakBefore w:val="0"/>
        <w:spacing w:line="312" w:lineRule="auto"/>
        <w:widowControl w:val="off"/>
        <w:rPr>
          <w:rFonts w:hint="eastAsia" w:ascii="方正魏碑_GBK" w:hAnsi="方正魏碑_GBK" w:eastAsia="方正魏碑_GBK" w:cs="方正魏碑_GBK"/>
          <w:color w:val="auto"/>
          <w:sz w:val="24"/>
          <w:szCs w:val="21"/>
        </w:rPr>
      </w:pPr>
      <w:r/>
      <w:bookmarkStart w:id="52" w:name="_Toc16938522"/>
      <w:r/>
      <w:bookmarkStart w:id="53" w:name="_Toc513029206"/>
      <w:r/>
      <w:bookmarkStart w:id="54" w:name="_Toc20823278"/>
      <w:r/>
      <w:bookmarkStart w:id="55" w:name="_Toc462564067"/>
      <w:r/>
      <w:bookmarkStart w:id="56" w:name="_Toc513029207"/>
      <w:r/>
      <w:bookmarkStart w:id="57" w:name="_Toc16938523"/>
      <w:r/>
      <w:bookmarkStart w:id="58" w:name="_Toc20823279"/>
      <w:r>
        <w:rPr>
          <w:rFonts w:hint="eastAsia" w:ascii="方正魏碑_GBK" w:hAnsi="方正魏碑_GBK" w:eastAsia="方正魏碑_GBK" w:cs="方正魏碑_GBK"/>
          <w:color w:val="auto"/>
          <w:sz w:val="24"/>
          <w:szCs w:val="21"/>
        </w:rPr>
        <w:t xml:space="preserve">3、适用法律</w:t>
      </w:r>
      <w:bookmarkEnd w:id="52"/>
      <w:r/>
      <w:bookmarkEnd w:id="53"/>
      <w:r/>
      <w:bookmarkEnd w:id="54"/>
      <w:r>
        <w:rPr>
          <w:rFonts w:hint="eastAsia" w:ascii="方正魏碑_GBK" w:hAnsi="方正魏碑_GBK" w:eastAsia="方正魏碑_GBK" w:cs="方正魏碑_GBK"/>
          <w:color w:val="auto"/>
          <w:sz w:val="24"/>
          <w:szCs w:val="21"/>
        </w:rPr>
        <w:t xml:space="preserve">和标准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312"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在任何情况下均无义务和责任承担这些费用。</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648"/>
        <w:ind w:left="0" w:firstLine="482"/>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48"/>
        <w:ind w:left="0" w:firstLine="482"/>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59" w:name="_Toc20823281"/>
      <w:r/>
      <w:bookmarkStart w:id="60" w:name="_Toc16938525"/>
      <w:r/>
      <w:bookmarkStart w:id="61" w:name="_Toc120614215"/>
      <w:r/>
      <w:bookmarkStart w:id="62" w:name="_Toc513029209"/>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63" w:name="_Toc513029210"/>
      <w:r/>
      <w:bookmarkStart w:id="64" w:name="_Toc16938526"/>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联系解决。</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66" w:name="_Toc20823283"/>
      <w:r/>
      <w:bookmarkStart w:id="67" w:name="_Toc513029211"/>
      <w:r/>
      <w:bookmarkStart w:id="68" w:name="_Toc16938527"/>
      <w:r/>
      <w:bookmarkStart w:id="69" w:name="_Toc462564070"/>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70" w:name="_Toc513029212"/>
      <w:r/>
      <w:bookmarkStart w:id="71" w:name="_Toc462564071"/>
      <w:r/>
      <w:bookmarkStart w:id="72" w:name="_Toc16938528"/>
      <w:r/>
      <w:bookmarkStart w:id="73" w:name="_Toc20823284"/>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648"/>
        <w:ind w:left="0" w:firstLine="482"/>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74" w:name="_Toc462564072"/>
      <w:r/>
      <w:bookmarkStart w:id="75" w:name="_Toc16938529"/>
      <w:r/>
      <w:bookmarkStart w:id="76" w:name="_Toc513029213"/>
      <w:r/>
      <w:bookmarkStart w:id="77" w:name="_Toc20823285"/>
      <w:r/>
      <w:bookmarkStart w:id="78" w:name="_Toc120614216"/>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79" w:name="_Toc462564073"/>
      <w:r/>
      <w:bookmarkStart w:id="80" w:name="_Toc513029214"/>
      <w:r/>
      <w:bookmarkStart w:id="81" w:name="_Toc16938530"/>
      <w:r/>
      <w:bookmarkStart w:id="82" w:name="_Toc20823286"/>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83" w:name="_Toc20823287"/>
      <w:r/>
      <w:bookmarkStart w:id="84" w:name="_Toc16938531"/>
      <w:r/>
      <w:bookmarkStart w:id="85" w:name="_Toc462564074"/>
      <w:r/>
      <w:bookmarkStart w:id="86" w:name="_Toc513029215"/>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87" w:name="_Toc513029219"/>
      <w:r/>
      <w:bookmarkStart w:id="88" w:name="_Toc513029216"/>
      <w:r/>
      <w:bookmarkStart w:id="89" w:name="_Toc14577357"/>
      <w:r/>
      <w:bookmarkStart w:id="90" w:name="_Toc49090507"/>
      <w:r/>
      <w:bookmarkStart w:id="91" w:name="_Toc49090509"/>
      <w:r/>
      <w:bookmarkStart w:id="92" w:name="_Toc14577354"/>
      <w:r/>
      <w:bookmarkStart w:id="93" w:name="_Hlt26670360"/>
      <w:r/>
      <w:bookmarkStart w:id="94" w:name="_Hlt26668975"/>
      <w:r/>
      <w:bookmarkStart w:id="95" w:name="_Hlt26954838"/>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96" w:name="_Toc49090508"/>
      <w:r/>
      <w:bookmarkStart w:id="97" w:name="_Toc14577355"/>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96"/>
      <w:r/>
      <w:bookmarkEnd w:id="97"/>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312" w:lineRule="auto"/>
        <w:widowControl w:val="off"/>
        <w:rPr>
          <w:rFonts w:hint="eastAsia" w:ascii="宋体" w:hAnsi="宋体" w:eastAsia="宋体" w:cs="宋体"/>
          <w:color w:val="auto"/>
          <w:sz w:val="24"/>
          <w:szCs w:val="24"/>
          <w:highlight w:val="none"/>
        </w:rPr>
      </w:pPr>
      <w:r/>
      <w:bookmarkStart w:id="101" w:name="_Hlt26954731"/>
      <w:r/>
      <w:bookmarkStart w:id="102" w:name="_Hlt26670486"/>
      <w:r/>
      <w:bookmarkStart w:id="103" w:name="_Hlt26954844"/>
      <w:r/>
      <w:bookmarkStart w:id="104" w:name="_Hlt26954842"/>
      <w:r/>
      <w:bookmarkStart w:id="105" w:name="_Hlt26668983"/>
      <w:r/>
      <w:bookmarkStart w:id="106" w:name="_Hlt26954848"/>
      <w:r/>
      <w:bookmarkStart w:id="107" w:name="_Hlt26670482"/>
      <w:r/>
      <w:bookmarkStart w:id="108" w:name="_Hlt26670425"/>
      <w:r/>
      <w:bookmarkStart w:id="109" w:name="_Hlt26954846"/>
      <w:r/>
      <w:bookmarkStart w:id="110" w:name="_Hlt26670403"/>
      <w:r>
        <w:rPr>
          <w:rFonts w:hint="eastAsia" w:ascii="宋体" w:hAnsi="宋体" w:eastAsia="宋体" w:cs="宋体"/>
          <w:color w:val="auto"/>
          <w:sz w:val="24"/>
          <w:szCs w:val="24"/>
          <w:highlight w:val="none"/>
        </w:rPr>
        <w:t xml:space="preserve">12.3投标配置和分项明细报价，不仅应包括所有人员的工资、社保、公积金、福利费，还应包括：管理、劳务、培训、风险、税金、合理利润及政策性文件规定等各项应有费用，以及为完成招标文件规定的物业服务工作所涉及到的一切相关费用。</w:t>
      </w:r>
      <w:r/>
    </w:p>
    <w:p>
      <w:pPr>
        <w:ind w:left="0" w:firstLine="480"/>
        <w:pageBreakBefore w:val="0"/>
        <w:spacing w:line="312" w:lineRule="auto"/>
        <w:widowControl w:val="off"/>
        <w:rPr>
          <w:rFonts w:hint="eastAsia" w:ascii="宋体" w:hAnsi="宋体" w:eastAsia="宋体" w:cs="宋体"/>
          <w:b/>
          <w:bCs/>
          <w:color w:val="2e75b6" w:themeColor="accent1" w:themeShade="BF"/>
          <w:sz w:val="24"/>
          <w:szCs w:val="24"/>
          <w:highlight w:val="none"/>
          <w:lang w:val="zh-CN"/>
        </w:rPr>
      </w:pPr>
      <w:r>
        <w:rPr>
          <w:rFonts w:hint="eastAsia" w:ascii="宋体" w:hAnsi="宋体" w:eastAsia="宋体" w:cs="宋体"/>
          <w:color w:val="2e75b6" w:themeColor="accent1" w:themeShade="BF"/>
          <w:sz w:val="24"/>
          <w:szCs w:val="24"/>
          <w:highlight w:val="none"/>
        </w:rPr>
        <w:t xml:space="preserve">12.4</w:t>
      </w:r>
      <w:r>
        <w:rPr>
          <w:rFonts w:hint="eastAsia" w:ascii="宋体" w:hAnsi="宋体" w:eastAsia="宋体" w:cs="宋体"/>
          <w:color w:val="2e75b6" w:themeColor="accent1" w:themeShade="BF"/>
          <w:sz w:val="24"/>
          <w:szCs w:val="24"/>
          <w:highlight w:val="none"/>
          <w:lang w:val="en-US" w:eastAsia="zh-CN"/>
        </w:rPr>
        <w:t xml:space="preserve"> </w:t>
      </w:r>
      <w:r>
        <w:rPr>
          <w:rFonts w:hint="eastAsia" w:ascii="宋体" w:hAnsi="宋体" w:eastAsia="宋体" w:cs="宋体"/>
          <w:b/>
          <w:bCs/>
          <w:color w:val="2e75b6" w:themeColor="accent1" w:themeShade="BF"/>
          <w:sz w:val="24"/>
          <w:szCs w:val="24"/>
          <w:highlight w:val="none"/>
          <w:lang w:val="zh-CN"/>
        </w:rPr>
        <w:t xml:space="preserve">所有人员工资不低于本市最低工资标准</w:t>
      </w:r>
      <w:r>
        <w:rPr>
          <w:rFonts w:hint="eastAsia" w:ascii="宋体" w:hAnsi="宋体" w:eastAsia="宋体" w:cs="宋体"/>
          <w:b/>
          <w:bCs/>
          <w:color w:val="2e75b6" w:themeColor="accent1" w:themeShade="BF"/>
          <w:sz w:val="24"/>
          <w:szCs w:val="24"/>
          <w:highlight w:val="none"/>
          <w:u w:val="single"/>
          <w:lang w:val="en-US" w:eastAsia="zh-CN"/>
        </w:rPr>
        <w:t xml:space="preserve">2430</w:t>
      </w:r>
      <w:r>
        <w:rPr>
          <w:rFonts w:hint="eastAsia" w:ascii="宋体" w:hAnsi="宋体" w:eastAsia="宋体" w:cs="宋体"/>
          <w:b/>
          <w:bCs/>
          <w:color w:val="2e75b6" w:themeColor="accent1" w:themeShade="BF"/>
          <w:sz w:val="24"/>
          <w:szCs w:val="24"/>
          <w:highlight w:val="none"/>
          <w:lang w:val="zh-CN"/>
        </w:rPr>
        <w:t xml:space="preserve">元/人每月，所有人员必须足额缴纳社保费用，社保（企业部分）不得低于</w:t>
      </w:r>
      <w:r>
        <w:rPr>
          <w:rFonts w:hint="eastAsia" w:ascii="宋体" w:hAnsi="宋体" w:eastAsia="宋体" w:cs="宋体"/>
          <w:b/>
          <w:bCs/>
          <w:color w:val="2e75b6" w:themeColor="accent1" w:themeShade="BF"/>
          <w:sz w:val="24"/>
          <w:szCs w:val="24"/>
          <w:highlight w:val="none"/>
          <w:u w:val="single"/>
          <w:lang w:val="en-US" w:eastAsia="zh-CN"/>
        </w:rPr>
        <w:t xml:space="preserve">1286.01</w:t>
      </w:r>
      <w:r>
        <w:rPr>
          <w:rFonts w:hint="eastAsia" w:ascii="宋体" w:hAnsi="宋体" w:eastAsia="宋体" w:cs="宋体"/>
          <w:b/>
          <w:bCs/>
          <w:color w:val="2e75b6" w:themeColor="accent1" w:themeShade="BF"/>
          <w:sz w:val="24"/>
          <w:szCs w:val="24"/>
          <w:highlight w:val="none"/>
          <w:lang w:val="zh-CN"/>
        </w:rPr>
        <w:t xml:space="preserve">元/人/每月，住房公积金不得低于</w:t>
      </w:r>
      <w:r>
        <w:rPr>
          <w:rFonts w:hint="eastAsia" w:ascii="宋体" w:hAnsi="宋体" w:eastAsia="宋体" w:cs="宋体"/>
          <w:b/>
          <w:bCs/>
          <w:color w:val="2e75b6" w:themeColor="accent1" w:themeShade="BF"/>
          <w:sz w:val="24"/>
          <w:szCs w:val="24"/>
          <w:highlight w:val="none"/>
          <w:u w:val="single"/>
          <w:lang w:val="en-US" w:eastAsia="zh-CN"/>
        </w:rPr>
        <w:t xml:space="preserve">226</w:t>
      </w:r>
      <w:r>
        <w:rPr>
          <w:rFonts w:hint="eastAsia" w:ascii="宋体" w:hAnsi="宋体" w:eastAsia="宋体" w:cs="宋体"/>
          <w:b/>
          <w:bCs/>
          <w:color w:val="2e75b6" w:themeColor="accent1" w:themeShade="BF"/>
          <w:sz w:val="24"/>
          <w:szCs w:val="24"/>
          <w:highlight w:val="none"/>
          <w:lang w:val="zh-CN"/>
        </w:rPr>
        <w:t xml:space="preserve">元人/每月，法定节假日加班费不得低于</w:t>
      </w:r>
      <w:r>
        <w:rPr>
          <w:rFonts w:hint="eastAsia" w:ascii="宋体" w:hAnsi="宋体" w:eastAsia="宋体" w:cs="宋体"/>
          <w:b/>
          <w:bCs/>
          <w:color w:val="2e75b6" w:themeColor="accent1" w:themeShade="BF"/>
          <w:sz w:val="24"/>
          <w:szCs w:val="24"/>
          <w:highlight w:val="none"/>
          <w:u w:val="single"/>
          <w:lang w:val="zh-CN"/>
        </w:rPr>
        <w:t xml:space="preserve">  </w:t>
      </w:r>
      <w:r>
        <w:rPr>
          <w:rFonts w:hint="eastAsia" w:ascii="宋体" w:hAnsi="宋体" w:eastAsia="宋体" w:cs="宋体"/>
          <w:b/>
          <w:bCs/>
          <w:color w:val="2e75b6" w:themeColor="accent1" w:themeShade="BF"/>
          <w:sz w:val="24"/>
          <w:szCs w:val="24"/>
          <w:highlight w:val="none"/>
          <w:u w:val="single"/>
          <w:lang w:val="en-US" w:eastAsia="zh-CN"/>
        </w:rPr>
        <w:t xml:space="preserve"> / </w:t>
      </w:r>
      <w:r>
        <w:rPr>
          <w:rFonts w:hint="eastAsia" w:ascii="宋体" w:hAnsi="宋体" w:eastAsia="宋体" w:cs="宋体"/>
          <w:b/>
          <w:bCs/>
          <w:color w:val="2e75b6" w:themeColor="accent1" w:themeShade="BF"/>
          <w:sz w:val="24"/>
          <w:szCs w:val="24"/>
          <w:highlight w:val="none"/>
          <w:u w:val="single"/>
          <w:lang w:val="zh-CN"/>
        </w:rPr>
        <w:t xml:space="preserve"> </w:t>
      </w:r>
      <w:r>
        <w:rPr>
          <w:rFonts w:hint="eastAsia" w:ascii="宋体" w:hAnsi="宋体" w:eastAsia="宋体" w:cs="宋体"/>
          <w:b/>
          <w:bCs/>
          <w:color w:val="2e75b6" w:themeColor="accent1" w:themeShade="BF"/>
          <w:sz w:val="24"/>
          <w:szCs w:val="24"/>
          <w:highlight w:val="none"/>
          <w:lang w:val="zh-CN"/>
        </w:rPr>
        <w:t xml:space="preserve">元人/每年，</w:t>
      </w:r>
      <w:r>
        <w:rPr>
          <w:rFonts w:hint="eastAsia" w:ascii="宋体" w:hAnsi="宋体" w:eastAsia="宋体" w:cs="宋体"/>
          <w:b/>
          <w:bCs/>
          <w:color w:val="2e75b6" w:themeColor="accent1" w:themeShade="BF"/>
          <w:sz w:val="24"/>
          <w:szCs w:val="24"/>
          <w:highlight w:val="yellow"/>
          <w:lang w:val="en-US" w:eastAsia="zh-CN"/>
        </w:rPr>
        <w:t xml:space="preserve">税金费率不得低于</w:t>
      </w:r>
      <w:r>
        <w:rPr>
          <w:rFonts w:hint="eastAsia" w:ascii="宋体" w:hAnsi="宋体" w:eastAsia="宋体" w:cs="宋体"/>
          <w:b/>
          <w:bCs/>
          <w:color w:val="2e75b6" w:themeColor="accent1" w:themeShade="BF"/>
          <w:sz w:val="24"/>
          <w:szCs w:val="24"/>
          <w:highlight w:val="yellow"/>
          <w:u w:val="single"/>
          <w:lang w:val="en-US" w:eastAsia="zh-CN"/>
        </w:rPr>
        <w:t xml:space="preserve">  6  </w:t>
      </w:r>
      <w:r>
        <w:rPr>
          <w:rFonts w:hint="eastAsia" w:ascii="宋体" w:hAnsi="宋体" w:eastAsia="宋体" w:cs="宋体"/>
          <w:b/>
          <w:bCs/>
          <w:color w:val="2e75b6" w:themeColor="accent1" w:themeShade="BF"/>
          <w:sz w:val="24"/>
          <w:szCs w:val="24"/>
          <w:highlight w:val="yellow"/>
          <w:lang w:val="en-US" w:eastAsia="zh-CN"/>
        </w:rPr>
        <w:t xml:space="preserve">%</w:t>
      </w:r>
      <w:r>
        <w:rPr>
          <w:rFonts w:hint="eastAsia" w:ascii="宋体" w:hAnsi="宋体" w:eastAsia="宋体" w:cs="宋体"/>
          <w:b/>
          <w:bCs/>
          <w:color w:val="2e75b6" w:themeColor="accent1" w:themeShade="BF"/>
          <w:sz w:val="24"/>
          <w:szCs w:val="24"/>
          <w:highlight w:val="none"/>
          <w:lang w:val="zh-CN"/>
        </w:rPr>
        <w:t xml:space="preserve">。</w:t>
      </w:r>
      <w:r/>
    </w:p>
    <w:p>
      <w:pPr>
        <w:ind w:left="0" w:firstLine="482"/>
        <w:pageBreakBefore w:val="0"/>
        <w:spacing w:line="312" w:lineRule="auto"/>
        <w:widowControl w:val="off"/>
        <w:rPr>
          <w:rFonts w:hint="eastAsia" w:ascii="宋体" w:hAnsi="宋体" w:eastAsia="宋体" w:cs="宋体"/>
          <w:b/>
          <w:color w:val="2e75b6" w:themeColor="accent1" w:themeShade="BF"/>
          <w:sz w:val="24"/>
          <w:szCs w:val="24"/>
          <w:highlight w:val="none"/>
        </w:rPr>
      </w:pPr>
      <w:r>
        <w:rPr>
          <w:rFonts w:hint="eastAsia" w:ascii="宋体" w:hAnsi="宋体" w:eastAsia="宋体" w:cs="宋体"/>
          <w:b/>
          <w:bCs/>
          <w:color w:val="2e75b6" w:themeColor="accent1" w:themeShade="BF"/>
          <w:sz w:val="24"/>
          <w:szCs w:val="24"/>
          <w:highlight w:val="none"/>
          <w:lang w:val="zh-CN"/>
        </w:rPr>
        <w:t xml:space="preserve">投标人所提供人员的费用不得低于上述标准进行测算，否则视为未实质性响应招标文件要求。如果招标公告发布之后</w:t>
      </w:r>
      <w:r>
        <w:rPr>
          <w:rFonts w:hint="eastAsia" w:ascii="宋体" w:hAnsi="宋体" w:eastAsia="宋体" w:cs="宋体"/>
          <w:b/>
          <w:bCs/>
          <w:color w:val="2e75b6" w:themeColor="accent1" w:themeShade="BF"/>
          <w:sz w:val="24"/>
          <w:szCs w:val="24"/>
          <w:highlight w:val="none"/>
          <w:lang w:val="zh-CN" w:eastAsia="zh-CN"/>
        </w:rPr>
        <w:t xml:space="preserve">开标前</w:t>
      </w:r>
      <w:r>
        <w:rPr>
          <w:rFonts w:hint="eastAsia" w:ascii="宋体" w:hAnsi="宋体" w:eastAsia="宋体" w:cs="宋体"/>
          <w:b/>
          <w:bCs/>
          <w:color w:val="2e75b6" w:themeColor="accent1" w:themeShade="BF"/>
          <w:sz w:val="24"/>
          <w:szCs w:val="24"/>
          <w:highlight w:val="none"/>
          <w:lang w:val="zh-CN"/>
        </w:rPr>
        <w:t xml:space="preserve">遇政府调整职工最低工资标准或社会保险缴纳基数，</w:t>
      </w:r>
      <w:r>
        <w:rPr>
          <w:rFonts w:hint="eastAsia" w:ascii="宋体" w:hAnsi="宋体" w:eastAsia="宋体" w:cs="宋体"/>
          <w:b/>
          <w:bCs/>
          <w:color w:val="2e75b6" w:themeColor="accent1" w:themeShade="BF"/>
          <w:sz w:val="24"/>
          <w:szCs w:val="24"/>
          <w:highlight w:val="none"/>
          <w:lang w:val="zh-CN" w:eastAsia="zh-CN"/>
        </w:rPr>
        <w:t xml:space="preserve">评标委员会进行符合性审查时</w:t>
      </w:r>
      <w:r>
        <w:rPr>
          <w:rFonts w:hint="eastAsia" w:ascii="宋体" w:hAnsi="宋体" w:eastAsia="宋体" w:cs="宋体"/>
          <w:b/>
          <w:bCs/>
          <w:color w:val="2e75b6" w:themeColor="accent1" w:themeShade="BF"/>
          <w:sz w:val="24"/>
          <w:szCs w:val="24"/>
          <w:highlight w:val="none"/>
          <w:lang w:val="zh-CN"/>
        </w:rPr>
        <w:t xml:space="preserve">可仍按上述标准</w:t>
      </w:r>
      <w:r>
        <w:rPr>
          <w:rFonts w:hint="eastAsia" w:ascii="宋体" w:hAnsi="宋体" w:eastAsia="宋体" w:cs="宋体"/>
          <w:b/>
          <w:bCs/>
          <w:color w:val="2e75b6" w:themeColor="accent1" w:themeShade="BF"/>
          <w:sz w:val="24"/>
          <w:szCs w:val="24"/>
          <w:highlight w:val="none"/>
          <w:lang w:val="zh-CN" w:eastAsia="zh-CN"/>
        </w:rPr>
        <w:t xml:space="preserve">审查</w:t>
      </w:r>
      <w:r>
        <w:rPr>
          <w:rFonts w:hint="eastAsia" w:ascii="宋体" w:hAnsi="宋体" w:eastAsia="宋体" w:cs="宋体"/>
          <w:b/>
          <w:bCs/>
          <w:color w:val="2e75b6" w:themeColor="accent1" w:themeShade="BF"/>
          <w:sz w:val="24"/>
          <w:szCs w:val="24"/>
          <w:highlight w:val="none"/>
          <w:lang w:val="zh-CN"/>
        </w:rPr>
        <w:t xml:space="preserve">，中标后，</w:t>
      </w:r>
      <w:r>
        <w:rPr>
          <w:rFonts w:hint="eastAsia" w:ascii="宋体" w:hAnsi="宋体" w:eastAsia="宋体" w:cs="宋体"/>
          <w:b/>
          <w:bCs/>
          <w:color w:val="2e75b6" w:themeColor="accent1" w:themeShade="BF"/>
          <w:sz w:val="24"/>
          <w:szCs w:val="24"/>
          <w:highlight w:val="none"/>
          <w:lang w:val="zh-CN" w:eastAsia="zh-CN"/>
        </w:rPr>
        <w:t xml:space="preserve">中标人应按照最新政策文件规定执行</w:t>
      </w:r>
      <w:r>
        <w:rPr>
          <w:rFonts w:hint="eastAsia" w:ascii="宋体" w:hAnsi="宋体" w:eastAsia="宋体" w:cs="宋体"/>
          <w:b/>
          <w:bCs/>
          <w:color w:val="2e75b6" w:themeColor="accent1" w:themeShade="BF"/>
          <w:sz w:val="24"/>
          <w:szCs w:val="24"/>
          <w:highlight w:val="none"/>
          <w:lang w:val="zh-CN"/>
        </w:rPr>
        <w:t xml:space="preserve">。</w:t>
      </w:r>
      <w:r/>
    </w:p>
    <w:p>
      <w:pPr>
        <w:ind w:left="0" w:firstLine="48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投标人根据招标内容的要求准确报价，一经报出，不得更改。</w:t>
      </w:r>
      <w:r/>
    </w:p>
    <w:p>
      <w:pPr>
        <w:ind w:left="0" w:firstLine="48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48"/>
        <w:ind w:left="0" w:firstLine="480"/>
        <w:jc w:val="both"/>
        <w:pageBreakBefore w:val="0"/>
        <w:spacing w:beforeAutospacing="0" w:afterAutospacing="0" w:line="312" w:lineRule="auto"/>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11" w:name="_Toc14577359"/>
      <w:r/>
      <w:bookmarkStart w:id="112" w:name="_Toc49090510"/>
      <w:r>
        <w:rPr>
          <w:rFonts w:hint="eastAsia" w:ascii="宋体" w:hAnsi="宋体" w:eastAsia="宋体" w:cs="宋体"/>
          <w:color w:val="auto"/>
          <w:sz w:val="24"/>
          <w:szCs w:val="24"/>
          <w:highlight w:val="none"/>
        </w:rPr>
        <w:t xml:space="preserve">14、投标函和开标一览表</w:t>
      </w:r>
      <w:bookmarkEnd w:id="111"/>
      <w:r/>
      <w:bookmarkEnd w:id="112"/>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48"/>
        <w:ind w:left="0" w:firstLine="480"/>
        <w:jc w:val="both"/>
        <w:pageBreakBefore w:val="0"/>
        <w:spacing w:beforeAutospacing="0" w:afterAutospacing="0"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80"/>
        <w:pageBreakBefore w:val="0"/>
        <w:spacing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13" w:name="_Toc14577360"/>
      <w:r/>
      <w:bookmarkStart w:id="114" w:name="_Toc49090511"/>
      <w:r/>
      <w:bookmarkStart w:id="115" w:name="_Hlt26670489"/>
      <w:r/>
      <w:bookmarkStart w:id="116" w:name="_Hlt26954850"/>
      <w:r/>
      <w:bookmarkStart w:id="117" w:name="_Hlt26954734"/>
      <w:r>
        <w:rPr>
          <w:rFonts w:hint="eastAsia" w:ascii="宋体" w:hAnsi="宋体" w:eastAsia="宋体" w:cs="宋体"/>
          <w:color w:val="auto"/>
          <w:sz w:val="24"/>
          <w:szCs w:val="24"/>
          <w:highlight w:val="none"/>
        </w:rPr>
        <w:t xml:space="preserve">15、投标有效期</w:t>
      </w:r>
      <w:bookmarkEnd w:id="113"/>
      <w:r/>
      <w:bookmarkEnd w:id="114"/>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48"/>
        <w:ind w:left="0" w:firstLine="482"/>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18" w:name="_Toc513029224"/>
      <w:r/>
      <w:bookmarkStart w:id="119" w:name="_Toc16938540"/>
      <w:r/>
      <w:bookmarkStart w:id="120" w:name="_Toc120614217"/>
      <w:r/>
      <w:bookmarkStart w:id="121" w:name="_Toc20823296"/>
      <w:r/>
      <w:bookmarkStart w:id="122" w:name="_Hlt26954852"/>
      <w:r/>
      <w:bookmarkStart w:id="123" w:name="_Hlt26954739"/>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24" w:name="_Toc513029225"/>
      <w:r/>
      <w:bookmarkStart w:id="125" w:name="_Toc20823297"/>
      <w:r/>
      <w:bookmarkStart w:id="126" w:name="_Toc16938541"/>
      <w:r/>
      <w:bookmarkStart w:id="127" w:name="_Toc462564084"/>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31" w:name="_Toc16938543"/>
      <w:r/>
      <w:bookmarkStart w:id="132" w:name="_Toc513029227"/>
      <w:r/>
      <w:bookmarkStart w:id="133" w:name="_Toc20823299"/>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34" w:name="_Toc513029228"/>
      <w:r/>
      <w:bookmarkStart w:id="135" w:name="_Toc16938544"/>
      <w:r/>
      <w:bookmarkStart w:id="136" w:name="_Toc20823300"/>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48"/>
        <w:ind w:left="0" w:firstLine="482"/>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37" w:name="_Toc16938545"/>
      <w:r/>
      <w:bookmarkStart w:id="138" w:name="_Toc513029229"/>
      <w:r/>
      <w:bookmarkStart w:id="139" w:name="_Toc120614218"/>
      <w:r/>
      <w:bookmarkStart w:id="140" w:name="_Toc20823301"/>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41" w:name="_Toc16938546"/>
      <w:r/>
      <w:bookmarkStart w:id="142" w:name="_Toc513029230"/>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44" w:name="_Toc20823303"/>
      <w:r/>
      <w:bookmarkStart w:id="145" w:name="_Toc513029231"/>
      <w:r/>
      <w:bookmarkStart w:id="146" w:name="_Toc16938547"/>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47" w:name="_Toc20823304"/>
      <w:r/>
      <w:bookmarkStart w:id="148" w:name="_Toc513029232"/>
      <w:r/>
      <w:bookmarkStart w:id="149" w:name="_Toc16938548"/>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50" w:name="_Toc20823305"/>
      <w:r/>
      <w:bookmarkStart w:id="151" w:name="_Toc513029233"/>
      <w:r/>
      <w:bookmarkStart w:id="152" w:name="_Toc16938549"/>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将在苏采云系统中告知未通过资格审查或符合性审查的原因，评标结束后，采购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将不再告知未通过资格审查和符合性审查的原因。</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bookmarkEnd w:id="153"/>
      <w:r/>
      <w:bookmarkEnd w:id="154"/>
      <w:r/>
      <w:bookmarkEnd w:id="155"/>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56" w:name="_Toc20823307"/>
      <w:r/>
      <w:bookmarkStart w:id="157" w:name="_Toc513029235"/>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48"/>
        <w:ind w:left="0" w:right="0" w:firstLine="480"/>
        <w:jc w:val="both"/>
        <w:pageBreakBefore w:val="0"/>
        <w:spacing w:beforeAutospacing="0" w:afterAutospacing="0" w:line="312"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48"/>
        <w:ind w:left="0" w:right="0" w:firstLine="480"/>
        <w:jc w:val="both"/>
        <w:pageBreakBefore w:val="0"/>
        <w:spacing w:beforeAutospacing="0" w:afterAutospacing="0" w:line="312"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48"/>
        <w:ind w:left="0" w:right="0" w:firstLine="480"/>
        <w:jc w:val="both"/>
        <w:pageBreakBefore w:val="0"/>
        <w:spacing w:beforeAutospacing="0" w:afterAutospacing="0" w:line="312"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648"/>
        <w:ind w:left="0" w:right="0" w:firstLine="480"/>
        <w:jc w:val="both"/>
        <w:pageBreakBefore w:val="0"/>
        <w:spacing w:beforeAutospacing="0" w:afterAutospacing="0" w:line="312"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48"/>
        <w:ind w:left="0" w:right="0" w:firstLine="480"/>
        <w:jc w:val="both"/>
        <w:pageBreakBefore w:val="0"/>
        <w:spacing w:beforeAutospacing="0" w:afterAutospacing="0" w:line="312"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648"/>
        <w:ind w:left="0" w:right="0" w:firstLine="480"/>
        <w:jc w:val="both"/>
        <w:pageBreakBefore w:val="0"/>
        <w:spacing w:beforeAutospacing="0" w:afterAutospacing="0" w:line="312"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48"/>
        <w:ind w:left="0" w:right="0" w:firstLine="480"/>
        <w:jc w:val="both"/>
        <w:pageBreakBefore w:val="0"/>
        <w:spacing w:beforeAutospacing="0" w:afterAutospacing="0" w:line="312"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8"/>
        <w:ind w:left="0" w:right="0" w:firstLine="480"/>
        <w:jc w:val="both"/>
        <w:pageBreakBefore w:val="0"/>
        <w:spacing w:beforeAutospacing="0" w:afterAutospacing="0" w:line="312"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48"/>
        <w:ind w:left="0" w:right="0" w:firstLine="480"/>
        <w:jc w:val="both"/>
        <w:pageBreakBefore w:val="0"/>
        <w:spacing w:beforeAutospacing="0" w:afterAutospacing="0" w:line="312"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48"/>
        <w:ind w:left="0" w:firstLine="482"/>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 有下列情形之一的，视为投标人串通投标，投标无效：</w:t>
      </w:r>
      <w:bookmarkEnd w:id="163"/>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312" w:lineRule="auto"/>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ind w:left="0" w:firstLine="480"/>
        <w:jc w:val="left"/>
        <w:pageBreakBefore w:val="0"/>
        <w:spacing w:line="312" w:lineRule="auto"/>
        <w:widowControl w:val="off"/>
        <w:tabs>
          <w:tab w:val="left" w:pos="1331" w:leader="none"/>
        </w:tabs>
        <w:rPr>
          <w:rFonts w:hint="eastAsia" w:ascii="宋体" w:hAnsi="宋体" w:eastAsia="宋体" w:cs="宋体"/>
          <w:color w:val="5b9bd5" w:themeColor="accent1"/>
          <w:sz w:val="24"/>
          <w:szCs w:val="24"/>
          <w:highlight w:val="none"/>
          <w:lang w:val="en-US" w:eastAsia="zh-CN" w:bidi="ar-SA"/>
          <w14:textFill>
            <w14:solidFill>
              <w14:schemeClr w14:val="accent1"/>
            </w14:solidFill>
          </w14:textFill>
        </w:rPr>
      </w:pPr>
      <w:r>
        <w:rPr>
          <w:rFonts w:hint="eastAsia" w:ascii="宋体" w:hAnsi="宋体" w:eastAsia="宋体" w:cs="宋体"/>
          <w:color w:val="5b9bd5" w:themeColor="accent1"/>
          <w:sz w:val="24"/>
          <w:szCs w:val="24"/>
          <w:highlight w:val="none"/>
          <w:lang w:val="en-US" w:eastAsia="zh-CN" w:bidi="ar-SA"/>
          <w14:textFill>
            <w14:solidFill>
              <w14:schemeClr w14:val="accent1"/>
            </w14:solidFill>
          </w14:textFill>
        </w:rPr>
        <w:t xml:space="preserve">质疑接收部门为：</w:t>
      </w:r>
      <w:r>
        <w:rPr>
          <w:rFonts w:hint="eastAsia" w:ascii="宋体" w:hAnsi="宋体" w:eastAsia="宋体" w:cs="宋体"/>
          <w:b w:val="0"/>
          <w:bCs w:val="0"/>
          <w:i w:val="0"/>
          <w:iCs w:val="0"/>
          <w:caps w:val="0"/>
          <w:color w:val="5b9bd5" w:themeColor="accent1"/>
          <w:spacing w:val="0"/>
          <w:sz w:val="24"/>
          <w:szCs w:val="24"/>
          <w:highlight w:val="none"/>
          <w:u w:val="none"/>
          <w:shd w:val="clear" w:color="auto" w:fill="ffffff"/>
          <w:lang w:val="en-US" w:eastAsia="zh-CN" w:bidi="ar"/>
          <w14:textFill>
            <w14:solidFill>
              <w14:schemeClr w14:val="accent1"/>
            </w14:solidFill>
          </w14:textFill>
        </w:rPr>
        <w:t xml:space="preserve">东台市东台镇人民政府</w:t>
      </w:r>
      <w:r/>
    </w:p>
    <w:p>
      <w:pPr>
        <w:ind w:left="0" w:firstLine="480"/>
        <w:jc w:val="left"/>
        <w:pageBreakBefore w:val="0"/>
        <w:spacing w:line="312" w:lineRule="auto"/>
        <w:widowControl w:val="off"/>
        <w:tabs>
          <w:tab w:val="left" w:pos="1331" w:leader="none"/>
        </w:tabs>
        <w:rPr>
          <w:rFonts w:hint="eastAsia" w:ascii="宋体" w:hAnsi="宋体" w:eastAsia="宋体" w:cs="宋体"/>
          <w:color w:val="5b9bd5" w:themeColor="accent1"/>
          <w:sz w:val="24"/>
          <w:szCs w:val="24"/>
          <w:highlight w:val="none"/>
          <w:lang w:val="en-US" w:eastAsia="zh-CN" w:bidi="ar-SA"/>
          <w14:textFill>
            <w14:solidFill>
              <w14:schemeClr w14:val="accent1"/>
            </w14:solidFill>
          </w14:textFill>
        </w:rPr>
      </w:pPr>
      <w:r>
        <w:rPr>
          <w:rFonts w:hint="eastAsia" w:ascii="宋体" w:hAnsi="宋体" w:eastAsia="宋体" w:cs="宋体"/>
          <w:color w:val="5b9bd5" w:themeColor="accent1"/>
          <w:sz w:val="24"/>
          <w:szCs w:val="24"/>
          <w:highlight w:val="none"/>
          <w:lang w:val="en-US" w:eastAsia="zh-CN" w:bidi="ar-SA"/>
          <w14:textFill>
            <w14:solidFill>
              <w14:schemeClr w14:val="accent1"/>
            </w14:solidFill>
          </w14:textFill>
        </w:rPr>
        <w:t xml:space="preserve">联系地址：</w:t>
      </w:r>
      <w:r>
        <w:rPr>
          <w:rFonts w:hint="eastAsia" w:ascii="宋体" w:hAnsi="宋体" w:eastAsia="宋体" w:cs="宋体"/>
          <w:b w:val="0"/>
          <w:bCs w:val="0"/>
          <w:i w:val="0"/>
          <w:iCs w:val="0"/>
          <w:caps w:val="0"/>
          <w:color w:val="5b9bd5" w:themeColor="accent1"/>
          <w:spacing w:val="0"/>
          <w:sz w:val="24"/>
          <w:szCs w:val="24"/>
          <w:highlight w:val="none"/>
          <w:u w:val="none"/>
          <w:shd w:val="clear" w:color="auto" w:fill="ffffff"/>
          <w:lang w:val="en-US" w:eastAsia="zh-CN" w:bidi="ar"/>
          <w14:textFill>
            <w14:solidFill>
              <w14:schemeClr w14:val="accent1"/>
            </w14:solidFill>
          </w14:textFill>
        </w:rPr>
        <w:t xml:space="preserve">东台镇宁树路199号</w:t>
      </w:r>
      <w:r/>
    </w:p>
    <w:p>
      <w:pPr>
        <w:ind w:left="0" w:firstLine="480"/>
        <w:jc w:val="left"/>
        <w:pageBreakBefore w:val="0"/>
        <w:spacing w:line="312" w:lineRule="auto"/>
        <w:widowControl w:val="off"/>
        <w:tabs>
          <w:tab w:val="left" w:pos="1331" w:leader="none"/>
        </w:tabs>
        <w:rPr>
          <w:rFonts w:hint="eastAsia" w:ascii="宋体" w:hAnsi="宋体" w:eastAsia="宋体" w:cs="宋体"/>
          <w:color w:val="5b9bd5" w:themeColor="accent1"/>
          <w:sz w:val="24"/>
          <w:szCs w:val="24"/>
          <w:highlight w:val="none"/>
          <w:lang w:val="en-US" w:eastAsia="zh-CN" w:bidi="ar-SA"/>
          <w14:textFill>
            <w14:solidFill>
              <w14:schemeClr w14:val="accent1"/>
            </w14:solidFill>
          </w14:textFill>
        </w:rPr>
      </w:pPr>
      <w:r>
        <w:rPr>
          <w:rFonts w:hint="eastAsia" w:ascii="宋体" w:hAnsi="宋体" w:eastAsia="宋体" w:cs="宋体"/>
          <w:color w:val="5b9bd5" w:themeColor="accent1"/>
          <w:sz w:val="24"/>
          <w:szCs w:val="24"/>
          <w:highlight w:val="none"/>
          <w:lang w:val="en-US" w:eastAsia="zh-CN" w:bidi="ar-SA"/>
          <w14:textFill>
            <w14:solidFill>
              <w14:schemeClr w14:val="accent1"/>
            </w14:solidFill>
          </w14:textFill>
        </w:rPr>
        <w:t xml:space="preserve">联系电话：</w:t>
      </w:r>
      <w:r>
        <w:rPr>
          <w:rFonts w:hint="eastAsia" w:ascii="宋体" w:hAnsi="宋体" w:eastAsia="宋体" w:cs="宋体"/>
          <w:b w:val="0"/>
          <w:bCs w:val="0"/>
          <w:i w:val="0"/>
          <w:iCs w:val="0"/>
          <w:caps w:val="0"/>
          <w:color w:val="5b9bd5" w:themeColor="accent1"/>
          <w:spacing w:val="0"/>
          <w:sz w:val="24"/>
          <w:szCs w:val="24"/>
          <w:highlight w:val="none"/>
          <w:u w:val="none"/>
          <w:shd w:val="clear" w:color="auto" w:fill="ffffff"/>
          <w:lang w:val="en-US" w:eastAsia="zh-CN" w:bidi="ar"/>
          <w14:textFill>
            <w14:solidFill>
              <w14:schemeClr w14:val="accent1"/>
            </w14:solidFill>
          </w14:textFill>
        </w:rPr>
        <w:t xml:space="preserve">焦先生 18252900656</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48"/>
        <w:ind w:left="0" w:firstLine="482"/>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64" w:name="_Toc513029236"/>
      <w:r/>
      <w:bookmarkStart w:id="165" w:name="_Toc16938552"/>
      <w:r/>
      <w:bookmarkStart w:id="166" w:name="_Toc120614220"/>
      <w:r/>
      <w:bookmarkStart w:id="167" w:name="_Toc20823308"/>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bookmarkStart w:id="168" w:name="_Toc20823309"/>
      <w:r/>
      <w:bookmarkStart w:id="169" w:name="_Toc513029237"/>
      <w:r/>
      <w:bookmarkStart w:id="170" w:name="_Toc16938553"/>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（备注：项目经办人在发标前应与采购人商定是否允许中标人分包履行合同，确定后该备注删除）</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p>
    <w:p>
      <w:pPr>
        <w:pStyle w:val="648"/>
        <w:numPr>
          <w:ilvl w:val="0"/>
          <w:numId w:val="0"/>
        </w:numPr>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48"/>
        <w:ind w:left="0" w:firstLine="480"/>
        <w:jc w:val="both"/>
        <w:keepLines/>
        <w:keepNext/>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府采购网“政采贷”栏目）申请贷款，相关金融机构按照双方自愿的原则提供便捷、优惠的贷款服务；具体操作流程请参考苏采云系统中操作手册。 </w:t>
      </w:r>
      <w:r/>
    </w:p>
    <w:p>
      <w:pPr>
        <w:ind w:left="0" w:firstLine="480"/>
        <w:pageBreakBefore w:val="0"/>
        <w:spacing w:line="312"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312"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48"/>
        <w:ind w:left="0" w:firstLine="480"/>
        <w:jc w:val="both"/>
        <w:pageBreakBefore w:val="0"/>
        <w:spacing w:beforeAutospacing="0" w:afterAutospacing="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line="312"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312"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312"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80"/>
        <w:jc w:val="both"/>
        <w:pageBreakBefore w:val="0"/>
        <w:spacing w:line="312"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pageBreakBefore w:val="0"/>
        <w:spacing w:line="312"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312"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656"/>
        <w:ind w:left="0" w:firstLine="480"/>
        <w:pageBreakBefore w:val="0"/>
        <w:spacing w:after="0"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pageBreakBefore w:val="0"/>
        <w:spacing w:line="312"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预付款制度</w:t>
      </w:r>
      <w:r/>
    </w:p>
    <w:p>
      <w:pPr>
        <w:ind w:left="0" w:firstLine="48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656"/>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48"/>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8"/>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8"/>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8"/>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8"/>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8"/>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ascii="黑体" w:hAnsi="宋体" w:eastAsia="黑体" w:cs="黑体"/>
          <w:color w:val="auto"/>
          <w:sz w:val="44"/>
          <w:szCs w:val="44"/>
          <w:highlight w:val="none"/>
        </w:rPr>
      </w:pPr>
      <w:r>
        <w:rPr>
          <w:rFonts w:hint="eastAsia" w:ascii="宋体" w:hAnsi="宋体" w:eastAsia="宋体" w:cs="宋体"/>
          <w:color w:val="auto"/>
          <w:sz w:val="24"/>
          <w:szCs w:val="24"/>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48"/>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pStyle w:val="648"/>
        <w:ind w:firstLine="480"/>
        <w:jc w:val="both"/>
        <w:spacing w:beforeAutospacing="0" w:afterAutospacing="0" w:line="0" w:lineRule="atLeast"/>
        <w:rPr>
          <w:color w:val="auto"/>
          <w:highlight w:val="none"/>
        </w:rPr>
      </w:pPr>
      <w:r/>
      <w:bookmarkStart w:id="171" w:name="_Toc16938559"/>
      <w:r/>
      <w:bookmarkStart w:id="172" w:name="_Toc513029243"/>
      <w:r/>
      <w:bookmarkStart w:id="173" w:name="_Toc20823315"/>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1"/>
      <w:r/>
      <w:bookmarkEnd w:id="172"/>
      <w:r/>
      <w:bookmarkEnd w:id="173"/>
      <w:r/>
      <w:r/>
    </w:p>
    <w:p>
      <w:pPr>
        <w:pStyle w:val="648"/>
        <w:jc w:val="center"/>
        <w:spacing w:before="145" w:beforeAutospacing="0" w:after="145" w:afterAutospacing="0"/>
        <w:rPr>
          <w:color w:val="auto"/>
          <w:highlight w:val="none"/>
        </w:rPr>
      </w:pPr>
      <w:r>
        <w:rPr>
          <w:color w:val="auto"/>
          <w:highlight w:val="none"/>
        </w:rPr>
      </w:r>
      <w:r/>
    </w:p>
    <w:p>
      <w:pPr>
        <w:pStyle w:val="648"/>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政府采购合同（服务）（合同编号）</w:t>
      </w:r>
      <w:r/>
    </w:p>
    <w:p>
      <w:pPr>
        <w:ind w:firstLine="480"/>
        <w:jc w:val="left"/>
        <w:spacing w:line="520" w:lineRule="exact"/>
        <w:widowControl/>
        <w:rPr>
          <w:rFonts w:hint="default" w:ascii="宋体" w:hAnsi="宋体" w:eastAsia="宋体" w:cs="宋体"/>
          <w:color w:val="000000"/>
          <w:sz w:val="24"/>
          <w:lang w:val="en-US" w:eastAsia="zh-CN"/>
        </w:rPr>
      </w:pPr>
      <w:r/>
      <w:bookmarkStart w:id="174" w:name="_Toc479757211"/>
      <w:r/>
      <w:bookmarkStart w:id="175" w:name="_Toc20823346"/>
      <w:r/>
      <w:bookmarkStart w:id="176" w:name="_Toc120614244"/>
      <w:r/>
      <w:bookmarkStart w:id="177" w:name="_Toc16938590"/>
      <w:r/>
      <w:bookmarkStart w:id="178" w:name="_Toc462564139"/>
      <w:r/>
      <w:bookmarkStart w:id="179" w:name="_Hlt16619350"/>
      <w:r/>
      <w:bookmarkStart w:id="180" w:name="_Hlt16619369"/>
      <w:r>
        <w:rPr>
          <w:rFonts w:hint="eastAsia" w:ascii="宋体" w:hAnsi="宋体" w:eastAsia="宋体" w:cs="宋体"/>
          <w:color w:val="000000"/>
          <w:sz w:val="24"/>
          <w:lang w:val="zh-CN"/>
        </w:rPr>
        <w:t xml:space="preserve">项目编号：</w:t>
      </w:r>
      <w:r>
        <w:rPr>
          <w:rFonts w:hint="default" w:ascii="宋体" w:hAnsi="宋体" w:eastAsia="宋体" w:cs="宋体"/>
          <w:color w:val="000000"/>
          <w:sz w:val="24"/>
          <w:u w:val="single"/>
          <w:lang w:val="zh-CN"/>
        </w:rPr>
        <w:t xml:space="preserve">JSZC-320981-JZCG-G202</w:t>
      </w:r>
      <w:r>
        <w:rPr>
          <w:rFonts w:hint="eastAsia" w:ascii="宋体" w:hAnsi="宋体" w:eastAsia="宋体" w:cs="宋体"/>
          <w:color w:val="000000"/>
          <w:sz w:val="24"/>
          <w:u w:val="single"/>
          <w:lang w:val="en-US" w:eastAsia="zh-CN"/>
        </w:rPr>
        <w:t xml:space="preserve">6</w:t>
      </w:r>
      <w:r>
        <w:rPr>
          <w:rFonts w:hint="default" w:ascii="宋体" w:hAnsi="宋体" w:eastAsia="宋体" w:cs="宋体"/>
          <w:color w:val="000000"/>
          <w:sz w:val="24"/>
          <w:u w:val="single"/>
          <w:lang w:val="zh-CN"/>
        </w:rPr>
        <w:t xml:space="preserve">-00</w:t>
      </w:r>
      <w:r>
        <w:rPr>
          <w:rFonts w:hint="eastAsia" w:ascii="宋体" w:hAnsi="宋体" w:eastAsia="宋体" w:cs="宋体"/>
          <w:color w:val="000000"/>
          <w:sz w:val="24"/>
          <w:u w:val="single"/>
          <w:lang w:val="en-US" w:eastAsia="zh-CN"/>
        </w:rPr>
        <w:t xml:space="preserve">    </w:t>
      </w:r>
      <w:r/>
    </w:p>
    <w:p>
      <w:pPr>
        <w:ind w:firstLine="480"/>
        <w:jc w:val="left"/>
        <w:spacing w:line="520" w:lineRule="exact"/>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项目名称：</w:t>
      </w:r>
      <w:r/>
    </w:p>
    <w:p>
      <w:pPr>
        <w:ind w:firstLine="480"/>
        <w:jc w:val="left"/>
        <w:spacing w:line="520" w:lineRule="exact"/>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招标人名称（简称甲方）：</w:t>
      </w:r>
      <w:r>
        <w:rPr>
          <w:rFonts w:hint="eastAsia" w:ascii="宋体" w:hAnsi="宋体" w:eastAsia="宋体" w:cs="宋体"/>
          <w:color w:val="000000"/>
          <w:sz w:val="24"/>
          <w:u w:val="single"/>
          <w:lang w:val="zh-CN"/>
        </w:rPr>
        <w:t xml:space="preserve">东台市东台镇人民政府</w:t>
      </w:r>
      <w:r/>
    </w:p>
    <w:p>
      <w:pPr>
        <w:ind w:firstLine="480"/>
        <w:jc w:val="left"/>
        <w:spacing w:line="520" w:lineRule="exact"/>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中供应商名称（简称乙方）：</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val="zh-CN"/>
        </w:rPr>
        <w:t xml:space="preserve">      </w:t>
      </w:r>
      <w:r/>
    </w:p>
    <w:p>
      <w:pPr>
        <w:ind w:firstLine="480"/>
        <w:jc w:val="left"/>
        <w:spacing w:line="520" w:lineRule="exact"/>
        <w:widowControl/>
        <w:rPr>
          <w:rFonts w:hint="default" w:ascii="宋体" w:hAnsi="宋体" w:eastAsia="宋体" w:cs="宋体"/>
          <w:sz w:val="24"/>
          <w:lang w:val="zh-CN"/>
        </w:rPr>
      </w:pPr>
      <w:r>
        <w:rPr>
          <w:rFonts w:hint="eastAsia" w:ascii="宋体" w:hAnsi="宋体" w:eastAsia="宋体" w:cs="宋体"/>
          <w:sz w:val="24"/>
          <w:lang w:val="zh-CN"/>
        </w:rPr>
        <w:t xml:space="preserve">各社区管理（简称丙方）：</w:t>
      </w:r>
      <w:r>
        <w:rPr>
          <w:rFonts w:hint="eastAsia" w:ascii="宋体" w:hAnsi="宋体" w:eastAsia="宋体" w:cs="宋体"/>
          <w:sz w:val="24"/>
          <w:u w:val="single"/>
          <w:lang w:val="zh-CN"/>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val="zh-CN"/>
        </w:rPr>
        <w:t xml:space="preserve">     </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甲、乙双方根据《中华人民共和国政府采购法》、《中华人民共和国民法典》等有关法律法规的规定，甲方通过</w:t>
      </w:r>
      <w:r>
        <w:rPr>
          <w:rFonts w:hint="eastAsia" w:ascii="宋体" w:hAnsi="宋体" w:eastAsia="宋体" w:cs="宋体"/>
          <w:color w:val="000000"/>
          <w:sz w:val="24"/>
          <w:u w:val="single"/>
          <w:lang w:val="zh-CN"/>
        </w:rPr>
        <w:t xml:space="preserve">               项目</w:t>
      </w:r>
      <w:r>
        <w:rPr>
          <w:rFonts w:hint="eastAsia" w:ascii="宋体" w:hAnsi="宋体" w:eastAsia="宋体" w:cs="宋体"/>
          <w:color w:val="000000"/>
          <w:sz w:val="24"/>
          <w:lang w:val="zh-CN"/>
        </w:rPr>
        <w:t xml:space="preserve">公开招标的结果，签署本合同。</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一、合同内容</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1.1 标的名称：</w:t>
      </w:r>
      <w:r/>
    </w:p>
    <w:p>
      <w:pPr>
        <w:ind w:firstLine="480"/>
        <w:jc w:val="left"/>
        <w:keepLines w:val="0"/>
        <w:keepNext w:val="0"/>
        <w:pageBreakBefore w:val="0"/>
        <w:spacing w:line="360" w:lineRule="auto"/>
        <w:widowControl/>
        <w:rPr>
          <w:rFonts w:hint="eastAsia" w:ascii="宋体" w:hAnsi="宋体" w:eastAsia="宋体" w:cs="宋体"/>
          <w:sz w:val="24"/>
          <w:lang w:val="zh-CN"/>
        </w:rPr>
      </w:pPr>
      <w:r>
        <w:rPr>
          <w:rFonts w:hint="eastAsia" w:ascii="宋体" w:hAnsi="宋体" w:eastAsia="宋体" w:cs="宋体"/>
          <w:sz w:val="24"/>
          <w:lang w:val="zh-CN"/>
        </w:rPr>
        <w:t xml:space="preserve">1.2服务管理及内容：</w:t>
      </w:r>
      <w:r>
        <w:rPr>
          <w:rFonts w:hint="eastAsia" w:ascii="宋体" w:hAnsi="宋体" w:eastAsia="宋体" w:cs="宋体"/>
          <w:color w:val="000000" w:themeColor="text1"/>
          <w:sz w:val="24"/>
          <w:lang w:val="en-US" w:eastAsia="zh-CN"/>
          <w14:textFill>
            <w14:solidFill>
              <w14:schemeClr w14:val="tx1"/>
            </w14:solidFill>
          </w14:textFill>
        </w:rPr>
        <w:t xml:space="preserve">包一</w:t>
      </w:r>
      <w:r>
        <w:rPr>
          <w:rFonts w:hint="eastAsia" w:ascii="宋体" w:hAnsi="宋体" w:eastAsia="宋体" w:cs="宋体"/>
          <w:color w:val="000000" w:themeColor="text1"/>
          <w:sz w:val="24"/>
          <w:lang w:val="zh-CN" w:eastAsia="zh-CN"/>
          <w14:textFill>
            <w14:solidFill>
              <w14:schemeClr w14:val="tx1"/>
            </w14:solidFill>
          </w14:textFill>
        </w:rPr>
        <w:t xml:space="preserve">：东台镇新东街道无物业社区整治及物业管理服务项目,作业面积约</w:t>
      </w:r>
      <w:r>
        <w:rPr>
          <w:rFonts w:hint="eastAsia" w:ascii="宋体" w:hAnsi="宋体" w:eastAsia="宋体" w:cs="宋体"/>
          <w:color w:val="000000" w:themeColor="text1"/>
          <w:sz w:val="24"/>
          <w:lang w:val="en-US" w:eastAsia="zh-CN"/>
          <w14:textFill>
            <w14:solidFill>
              <w14:schemeClr w14:val="tx1"/>
            </w14:solidFill>
          </w14:textFill>
        </w:rPr>
        <w:t xml:space="preserve">588470.52</w:t>
      </w:r>
      <w:r>
        <w:rPr>
          <w:rFonts w:hint="eastAsia" w:ascii="宋体" w:hAnsi="宋体" w:eastAsia="宋体" w:cs="宋体"/>
          <w:color w:val="000000" w:themeColor="text1"/>
          <w:sz w:val="24"/>
          <w:lang w:val="zh-CN" w:eastAsia="zh-CN"/>
          <w14:textFill>
            <w14:solidFill>
              <w14:schemeClr w14:val="tx1"/>
            </w14:solidFill>
          </w14:textFill>
        </w:rPr>
        <w:t xml:space="preserve">平方米，包含何垛桥社区、二女桥社区、东关社区、东坝社区、东园社区、长青社区。服务期内负责该区域内道路（环卫处管理范围以外的主次干道及背街后巷）、室内外公共区域及设施设备的卫生保洁、沟塘、</w:t>
      </w:r>
      <w:r>
        <w:rPr>
          <w:rFonts w:hint="eastAsia" w:ascii="宋体" w:hAnsi="宋体" w:eastAsia="宋体" w:cs="宋体"/>
          <w:color w:val="ff0000"/>
          <w:sz w:val="24"/>
          <w:lang w:val="zh-CN" w:eastAsia="zh-CN"/>
        </w:rPr>
        <w:t xml:space="preserve">河道</w:t>
      </w:r>
      <w:r>
        <w:rPr>
          <w:rFonts w:hint="eastAsia" w:ascii="宋体" w:hAnsi="宋体" w:eastAsia="宋体" w:cs="宋体"/>
          <w:color w:val="ff0000"/>
          <w:sz w:val="24"/>
          <w:lang w:val="en-US" w:eastAsia="zh-CN"/>
        </w:rPr>
        <w:t xml:space="preserve">斜坡</w:t>
      </w:r>
      <w:r>
        <w:rPr>
          <w:rFonts w:hint="eastAsia" w:ascii="宋体" w:hAnsi="宋体" w:eastAsia="宋体" w:cs="宋体"/>
          <w:color w:val="ff0000"/>
          <w:sz w:val="24"/>
          <w:lang w:val="zh-CN" w:eastAsia="zh-CN"/>
        </w:rPr>
        <w:t xml:space="preserve">保洁（</w:t>
      </w:r>
      <w:r>
        <w:rPr>
          <w:rFonts w:hint="eastAsia" w:ascii="宋体" w:hAnsi="宋体" w:eastAsia="宋体" w:cs="宋体"/>
          <w:color w:val="ff0000"/>
          <w:sz w:val="24"/>
          <w:lang w:val="en-US" w:eastAsia="zh-CN"/>
        </w:rPr>
        <w:t xml:space="preserve">水面以上</w:t>
      </w:r>
      <w:r>
        <w:rPr>
          <w:rFonts w:hint="eastAsia" w:ascii="宋体" w:hAnsi="宋体" w:eastAsia="宋体" w:cs="宋体"/>
          <w:color w:val="ff0000"/>
          <w:sz w:val="24"/>
          <w:lang w:val="zh-CN" w:eastAsia="zh-CN"/>
        </w:rPr>
        <w:t xml:space="preserve">）</w:t>
      </w:r>
      <w:r>
        <w:rPr>
          <w:rFonts w:hint="eastAsia" w:ascii="宋体" w:hAnsi="宋体" w:eastAsia="宋体" w:cs="宋体"/>
          <w:color w:val="c00000"/>
          <w:sz w:val="24"/>
          <w:lang w:val="zh-CN" w:eastAsia="zh-CN"/>
        </w:rPr>
        <w:t xml:space="preserve">、</w:t>
      </w:r>
      <w:r>
        <w:rPr>
          <w:rFonts w:hint="eastAsia" w:ascii="宋体" w:hAnsi="宋体" w:eastAsia="宋体" w:cs="宋体"/>
          <w:color w:val="000000" w:themeColor="text1"/>
          <w:sz w:val="24"/>
          <w:lang w:val="zh-CN" w:eastAsia="zh-CN"/>
          <w14:textFill>
            <w14:solidFill>
              <w14:schemeClr w14:val="tx1"/>
            </w14:solidFill>
          </w14:textFill>
        </w:rPr>
        <w:t xml:space="preserve">公厕保洁</w:t>
      </w:r>
      <w:r>
        <w:rPr>
          <w:rFonts w:hint="eastAsia" w:ascii="宋体" w:hAnsi="宋体" w:eastAsia="宋体" w:cs="宋体"/>
          <w:color w:val="c00000"/>
          <w:sz w:val="24"/>
          <w:lang w:val="zh-CN" w:eastAsia="zh-CN"/>
        </w:rPr>
        <w:t xml:space="preserve">、</w:t>
      </w:r>
      <w:r>
        <w:rPr>
          <w:rFonts w:hint="eastAsia" w:ascii="宋体" w:hAnsi="宋体" w:eastAsia="宋体" w:cs="宋体"/>
          <w:color w:val="ff0000"/>
          <w:sz w:val="24"/>
          <w:lang w:val="en-US" w:eastAsia="zh-CN"/>
        </w:rPr>
        <w:t xml:space="preserve">老旧小区屋顶落叶灰尘保洁（每年汛期前完成）</w:t>
      </w:r>
      <w:r>
        <w:rPr>
          <w:rFonts w:hint="eastAsia" w:ascii="宋体" w:hAnsi="宋体" w:eastAsia="宋体" w:cs="宋体"/>
          <w:color w:val="c00000"/>
          <w:sz w:val="24"/>
          <w:lang w:val="en-US" w:eastAsia="zh-CN"/>
        </w:rPr>
        <w:t xml:space="preserve">、</w:t>
      </w:r>
      <w:r>
        <w:rPr>
          <w:rFonts w:hint="eastAsia" w:ascii="宋体" w:hAnsi="宋体" w:eastAsia="宋体" w:cs="宋体"/>
          <w:color w:val="000000" w:themeColor="text1"/>
          <w:sz w:val="24"/>
          <w:lang w:val="zh-CN" w:eastAsia="zh-CN"/>
          <w14:textFill>
            <w14:solidFill>
              <w14:schemeClr w14:val="tx1"/>
            </w14:solidFill>
          </w14:textFill>
        </w:rPr>
        <w:t xml:space="preserve">垃圾（生活垃圾、生产垃圾）分类收集及运输、</w:t>
      </w:r>
      <w:r>
        <w:rPr>
          <w:rFonts w:hint="eastAsia" w:ascii="宋体" w:hAnsi="宋体" w:eastAsia="宋体" w:cs="宋体"/>
          <w:color w:val="000000" w:themeColor="text1"/>
          <w:sz w:val="24"/>
          <w:lang w:val="en-US" w:eastAsia="zh-CN"/>
          <w14:textFill>
            <w14:solidFill>
              <w14:schemeClr w14:val="tx1"/>
            </w14:solidFill>
          </w14:textFill>
        </w:rPr>
        <w:t xml:space="preserve">管道疏通清淤、</w:t>
      </w:r>
      <w:r>
        <w:rPr>
          <w:rFonts w:hint="eastAsia" w:ascii="宋体" w:hAnsi="宋体" w:eastAsia="宋体" w:cs="宋体"/>
          <w:color w:val="ff0000"/>
          <w:sz w:val="24"/>
          <w:lang w:val="en-US" w:eastAsia="zh-CN"/>
        </w:rPr>
        <w:t xml:space="preserve">化粪池疏通、</w:t>
      </w:r>
      <w:r>
        <w:rPr>
          <w:rFonts w:hint="eastAsia" w:ascii="宋体" w:hAnsi="宋体" w:eastAsia="宋体" w:cs="宋体"/>
          <w:color w:val="000000" w:themeColor="text1"/>
          <w:sz w:val="24"/>
          <w:lang w:val="en-US" w:eastAsia="zh-CN"/>
          <w14:textFill>
            <w14:solidFill>
              <w14:schemeClr w14:val="tx1"/>
            </w14:solidFill>
          </w14:textFill>
        </w:rPr>
        <w:t xml:space="preserve">公共设施维修</w:t>
      </w:r>
      <w:r>
        <w:rPr>
          <w:rFonts w:hint="eastAsia" w:ascii="宋体" w:hAnsi="宋体" w:eastAsia="宋体" w:cs="宋体"/>
          <w:color w:val="ff0000"/>
          <w:sz w:val="24"/>
          <w:lang w:val="en-US" w:eastAsia="zh-CN"/>
        </w:rPr>
        <w:t xml:space="preserve">（包含灯具、水龙头、路面等，</w:t>
      </w:r>
      <w:r>
        <w:rPr>
          <w:rFonts w:hint="eastAsia" w:ascii="宋体" w:hAnsi="宋体" w:eastAsia="宋体" w:cs="宋体"/>
          <w:color w:val="000000" w:themeColor="text1"/>
          <w:sz w:val="24"/>
          <w:lang w:val="en-US" w:eastAsia="zh-CN"/>
          <w14:textFill>
            <w14:solidFill>
              <w14:schemeClr w14:val="tx1"/>
            </w14:solidFill>
          </w14:textFill>
        </w:rPr>
        <w:t xml:space="preserve">单次300元以内）</w:t>
      </w:r>
      <w:r>
        <w:rPr>
          <w:rFonts w:hint="eastAsia" w:ascii="宋体" w:hAnsi="宋体" w:eastAsia="宋体" w:cs="宋体"/>
          <w:color w:val="c00000"/>
          <w:sz w:val="24"/>
          <w:lang w:val="en-US" w:eastAsia="zh-CN"/>
        </w:rPr>
        <w:t xml:space="preserve">、</w:t>
      </w:r>
      <w:r>
        <w:rPr>
          <w:rFonts w:hint="eastAsia" w:ascii="宋体" w:hAnsi="宋体" w:eastAsia="宋体" w:cs="宋体"/>
          <w:color w:val="000000" w:themeColor="text1"/>
          <w:sz w:val="24"/>
          <w:lang w:val="zh-CN" w:eastAsia="zh-CN"/>
          <w14:textFill>
            <w14:solidFill>
              <w14:schemeClr w14:val="tx1"/>
            </w14:solidFill>
          </w14:textFill>
        </w:rPr>
        <w:t xml:space="preserve">小广告清理、街道秩序维护与安全保障、配套景观绿化管护、清理乱堆乱放和乱建乱搭、公共区域和公共设施的水电维保、消防设备协调管理、公共房屋的维护管理，</w:t>
      </w:r>
      <w:r>
        <w:rPr>
          <w:rFonts w:hint="eastAsia" w:ascii="宋体" w:hAnsi="宋体" w:eastAsia="宋体" w:cs="宋体"/>
          <w:color w:val="ff0000"/>
          <w:sz w:val="24"/>
          <w:lang w:val="en-US" w:eastAsia="zh-CN"/>
        </w:rPr>
        <w:t xml:space="preserve">辖区内拆迁区域的日常巡查及维护</w:t>
      </w:r>
      <w:r>
        <w:rPr>
          <w:rFonts w:hint="eastAsia" w:ascii="宋体" w:hAnsi="宋体" w:eastAsia="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lang w:val="zh-CN" w:eastAsia="zh-CN"/>
          <w14:textFill>
            <w14:solidFill>
              <w14:schemeClr w14:val="tx1"/>
            </w14:solidFill>
          </w14:textFill>
        </w:rPr>
        <w:t xml:space="preserve">同时完成招标人要求的临时性工作</w:t>
      </w:r>
      <w:r>
        <w:rPr>
          <w:rFonts w:hint="eastAsia" w:ascii="宋体" w:hAnsi="宋体" w:eastAsia="宋体" w:cs="宋体"/>
          <w:color w:val="c00000"/>
          <w:sz w:val="24"/>
          <w:lang w:val="zh-CN"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包二</w:t>
      </w:r>
      <w:r>
        <w:rPr>
          <w:rFonts w:hint="eastAsia" w:ascii="宋体" w:hAnsi="宋体" w:eastAsia="宋体" w:cs="宋体"/>
          <w:color w:val="000000" w:themeColor="text1"/>
          <w:sz w:val="24"/>
          <w:lang w:val="zh-CN"/>
          <w14:textFill>
            <w14:solidFill>
              <w14:schemeClr w14:val="tx1"/>
            </w14:solidFill>
          </w14:textFill>
        </w:rPr>
        <w:t xml:space="preserve">：东台镇金海街道无物业社区整治及物业管理服务项目,作业面积约</w:t>
      </w:r>
      <w:r>
        <w:rPr>
          <w:rFonts w:hint="eastAsia" w:ascii="宋体" w:hAnsi="宋体" w:eastAsia="宋体" w:cs="宋体"/>
          <w:color w:val="000000" w:themeColor="text1"/>
          <w:sz w:val="24"/>
          <w:lang w:val="en-US" w:eastAsia="zh-CN"/>
          <w14:textFill>
            <w14:solidFill>
              <w14:schemeClr w14:val="tx1"/>
            </w14:solidFill>
          </w14:textFill>
        </w:rPr>
        <w:t xml:space="preserve">480712.85</w:t>
      </w:r>
      <w:r>
        <w:rPr>
          <w:rFonts w:hint="eastAsia" w:ascii="宋体" w:hAnsi="宋体" w:eastAsia="宋体" w:cs="宋体"/>
          <w:color w:val="000000" w:themeColor="text1"/>
          <w:sz w:val="24"/>
          <w:lang w:val="zh-CN"/>
          <w14:textFill>
            <w14:solidFill>
              <w14:schemeClr w14:val="tx1"/>
            </w14:solidFill>
          </w14:textFill>
        </w:rPr>
        <w:t xml:space="preserve">平方米,包含新海社区、新兴社区、金陈社区、北灶社区、新坝社区、北海社区。</w:t>
      </w:r>
      <w:r>
        <w:rPr>
          <w:rFonts w:hint="eastAsia" w:ascii="宋体" w:hAnsi="宋体" w:eastAsia="宋体" w:cs="宋体"/>
          <w:color w:val="000000" w:themeColor="text1"/>
          <w:sz w:val="24"/>
          <w:lang w:val="zh-CN" w:eastAsia="zh-CN"/>
          <w14:textFill>
            <w14:solidFill>
              <w14:schemeClr w14:val="tx1"/>
            </w14:solidFill>
          </w14:textFill>
        </w:rPr>
        <w:t xml:space="preserve">服务期内负责该区域内道路（环卫处管理范围以外的主次干道及背街后巷）、室内外公共区域及设施设备的卫生保洁、沟塘、河道</w:t>
      </w:r>
      <w:r>
        <w:rPr>
          <w:rFonts w:hint="eastAsia" w:ascii="宋体" w:hAnsi="宋体" w:eastAsia="宋体" w:cs="宋体"/>
          <w:color w:val="000000" w:themeColor="text1"/>
          <w:sz w:val="24"/>
          <w:lang w:val="en-US" w:eastAsia="zh-CN"/>
          <w14:textFill>
            <w14:solidFill>
              <w14:schemeClr w14:val="tx1"/>
            </w14:solidFill>
          </w14:textFill>
        </w:rPr>
        <w:t xml:space="preserve">斜坡</w:t>
      </w:r>
      <w:r>
        <w:rPr>
          <w:rFonts w:hint="eastAsia" w:ascii="宋体" w:hAnsi="宋体" w:eastAsia="宋体" w:cs="宋体"/>
          <w:color w:val="000000" w:themeColor="text1"/>
          <w:sz w:val="24"/>
          <w:lang w:val="zh-CN" w:eastAsia="zh-CN"/>
          <w14:textFill>
            <w14:solidFill>
              <w14:schemeClr w14:val="tx1"/>
            </w14:solidFill>
          </w14:textFill>
        </w:rPr>
        <w:t xml:space="preserve">保洁（</w:t>
      </w:r>
      <w:r>
        <w:rPr>
          <w:rFonts w:hint="eastAsia" w:ascii="宋体" w:hAnsi="宋体" w:eastAsia="宋体" w:cs="宋体"/>
          <w:color w:val="000000" w:themeColor="text1"/>
          <w:sz w:val="24"/>
          <w:lang w:val="en-US" w:eastAsia="zh-CN"/>
          <w14:textFill>
            <w14:solidFill>
              <w14:schemeClr w14:val="tx1"/>
            </w14:solidFill>
          </w14:textFill>
        </w:rPr>
        <w:t xml:space="preserve">水面以上</w:t>
      </w:r>
      <w:r>
        <w:rPr>
          <w:rFonts w:hint="eastAsia" w:ascii="宋体" w:hAnsi="宋体" w:eastAsia="宋体" w:cs="宋体"/>
          <w:color w:val="000000" w:themeColor="text1"/>
          <w:sz w:val="24"/>
          <w:lang w:val="zh-CN" w:eastAsia="zh-CN"/>
          <w14:textFill>
            <w14:solidFill>
              <w14:schemeClr w14:val="tx1"/>
            </w14:solidFill>
          </w14:textFill>
        </w:rPr>
        <w:t xml:space="preserve">）、公厕保洁、</w:t>
      </w:r>
      <w:r>
        <w:rPr>
          <w:rFonts w:hint="eastAsia" w:ascii="宋体" w:hAnsi="宋体" w:eastAsia="宋体" w:cs="宋体"/>
          <w:color w:val="000000" w:themeColor="text1"/>
          <w:sz w:val="24"/>
          <w:lang w:val="en-US" w:eastAsia="zh-CN"/>
          <w14:textFill>
            <w14:solidFill>
              <w14:schemeClr w14:val="tx1"/>
            </w14:solidFill>
          </w14:textFill>
        </w:rPr>
        <w:t xml:space="preserve">老旧小区屋顶落叶灰尘保洁（每年汛期前完成）、</w:t>
      </w:r>
      <w:r>
        <w:rPr>
          <w:rFonts w:hint="eastAsia" w:ascii="宋体" w:hAnsi="宋体" w:eastAsia="宋体" w:cs="宋体"/>
          <w:color w:val="000000" w:themeColor="text1"/>
          <w:sz w:val="24"/>
          <w:lang w:val="zh-CN" w:eastAsia="zh-CN"/>
          <w14:textFill>
            <w14:solidFill>
              <w14:schemeClr w14:val="tx1"/>
            </w14:solidFill>
          </w14:textFill>
        </w:rPr>
        <w:t xml:space="preserve">垃圾（生活垃圾、生产垃圾）分类收集及运输、</w:t>
      </w:r>
      <w:r>
        <w:rPr>
          <w:rFonts w:hint="eastAsia" w:ascii="宋体" w:hAnsi="宋体" w:eastAsia="宋体" w:cs="宋体"/>
          <w:color w:val="000000" w:themeColor="text1"/>
          <w:sz w:val="24"/>
          <w:lang w:val="en-US" w:eastAsia="zh-CN"/>
          <w14:textFill>
            <w14:solidFill>
              <w14:schemeClr w14:val="tx1"/>
            </w14:solidFill>
          </w14:textFill>
        </w:rPr>
        <w:t xml:space="preserve">管道疏通清淤、化粪池疏通、公共设施维修（包含灯具、水龙头、路面等，单次300元以内）、</w:t>
      </w:r>
      <w:r>
        <w:rPr>
          <w:rFonts w:hint="eastAsia" w:ascii="宋体" w:hAnsi="宋体" w:eastAsia="宋体" w:cs="宋体"/>
          <w:color w:val="000000" w:themeColor="text1"/>
          <w:sz w:val="24"/>
          <w:lang w:val="zh-CN" w:eastAsia="zh-CN"/>
          <w14:textFill>
            <w14:solidFill>
              <w14:schemeClr w14:val="tx1"/>
            </w14:solidFill>
          </w14:textFill>
        </w:rPr>
        <w:t xml:space="preserve">小广告清理、街道秩序维护与安全保障、配套景观绿化管护、清理乱堆乱放和乱建乱搭、公共区域和公共设施的水电维保、消防设备协调管理、公共房屋的维护管理，</w:t>
      </w:r>
      <w:r>
        <w:rPr>
          <w:rFonts w:hint="eastAsia" w:ascii="宋体" w:hAnsi="宋体" w:eastAsia="宋体" w:cs="宋体"/>
          <w:color w:val="000000" w:themeColor="text1"/>
          <w:sz w:val="24"/>
          <w:lang w:val="en-US" w:eastAsia="zh-CN"/>
          <w14:textFill>
            <w14:solidFill>
              <w14:schemeClr w14:val="tx1"/>
            </w14:solidFill>
          </w14:textFill>
        </w:rPr>
        <w:t xml:space="preserve">辖区内拆迁区域的日常巡查及维护，</w:t>
      </w:r>
      <w:r>
        <w:rPr>
          <w:rFonts w:hint="eastAsia" w:ascii="宋体" w:hAnsi="宋体" w:eastAsia="宋体" w:cs="宋体"/>
          <w:color w:val="000000" w:themeColor="text1"/>
          <w:sz w:val="24"/>
          <w:lang w:val="zh-CN" w:eastAsia="zh-CN"/>
          <w14:textFill>
            <w14:solidFill>
              <w14:schemeClr w14:val="tx1"/>
            </w14:solidFill>
          </w14:textFill>
        </w:rPr>
        <w:t xml:space="preserve">同时完成招标人要求的临时性工作</w:t>
      </w:r>
      <w:r>
        <w:rPr>
          <w:rFonts w:hint="eastAsia" w:ascii="宋体" w:hAnsi="宋体" w:eastAsia="宋体" w:cs="宋体"/>
          <w:color w:val="000000" w:themeColor="text1"/>
          <w:sz w:val="24"/>
          <w:lang w:val="zh-CN"/>
          <w14:textFill>
            <w14:solidFill>
              <w14:schemeClr w14:val="tx1"/>
            </w14:solidFill>
          </w14:textFill>
        </w:rPr>
        <w:t xml:space="preserve">。</w:t>
      </w:r>
      <w:r/>
    </w:p>
    <w:p>
      <w:pPr>
        <w:ind w:firstLine="480"/>
        <w:jc w:val="left"/>
        <w:keepLines w:val="0"/>
        <w:keepNext w:val="0"/>
        <w:pageBreakBefore w:val="0"/>
        <w:spacing w:line="360" w:lineRule="auto"/>
        <w:widowControl/>
        <w:rPr>
          <w:rFonts w:hint="default" w:ascii="宋体" w:hAnsi="宋体" w:eastAsia="宋体" w:cs="宋体"/>
          <w:color w:val="000000" w:themeColor="text1"/>
          <w:sz w:val="24"/>
          <w:lang w:val="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 包三</w:t>
      </w:r>
      <w:r>
        <w:rPr>
          <w:rFonts w:hint="eastAsia" w:ascii="宋体" w:hAnsi="宋体" w:eastAsia="宋体" w:cs="宋体"/>
          <w:color w:val="000000" w:themeColor="text1"/>
          <w:sz w:val="24"/>
          <w:lang w:val="zh-CN"/>
          <w14:textFill>
            <w14:solidFill>
              <w14:schemeClr w14:val="tx1"/>
            </w14:solidFill>
          </w14:textFill>
        </w:rPr>
        <w:t xml:space="preserve">：东台镇启平街道无物业社区整治及物业管理服务项目,作业面积约</w:t>
      </w:r>
      <w:r>
        <w:rPr>
          <w:rFonts w:hint="eastAsia" w:ascii="宋体" w:hAnsi="宋体" w:eastAsia="宋体" w:cs="宋体"/>
          <w:color w:val="000000" w:themeColor="text1"/>
          <w:sz w:val="24"/>
          <w:lang w:val="en-US" w:eastAsia="zh-CN"/>
          <w14:textFill>
            <w14:solidFill>
              <w14:schemeClr w14:val="tx1"/>
            </w14:solidFill>
          </w14:textFill>
        </w:rPr>
        <w:t xml:space="preserve">468323.74</w:t>
      </w:r>
      <w:r>
        <w:rPr>
          <w:rFonts w:hint="eastAsia" w:ascii="宋体" w:hAnsi="宋体" w:eastAsia="宋体" w:cs="宋体"/>
          <w:color w:val="000000" w:themeColor="text1"/>
          <w:sz w:val="24"/>
          <w:lang w:val="zh-CN"/>
          <w14:textFill>
            <w14:solidFill>
              <w14:schemeClr w14:val="tx1"/>
            </w14:solidFill>
          </w14:textFill>
        </w:rPr>
        <w:t xml:space="preserve">平方米，包含望海社区、公园社区、汤泊社区、玉带桥社区、金墩社区、八林社区、丁新</w:t>
      </w:r>
      <w:r>
        <w:rPr>
          <w:rFonts w:hint="eastAsia" w:ascii="宋体" w:hAnsi="宋体" w:eastAsia="宋体" w:cs="宋体"/>
          <w:color w:val="000000" w:themeColor="text1"/>
          <w:sz w:val="24"/>
          <w:lang w:val="en-US" w:eastAsia="zh-CN"/>
          <w14:textFill>
            <w14:solidFill>
              <w14:schemeClr w14:val="tx1"/>
            </w14:solidFill>
          </w14:textFill>
        </w:rPr>
        <w:t xml:space="preserve">村城市规划区</w:t>
      </w:r>
      <w:r>
        <w:rPr>
          <w:rFonts w:hint="eastAsia" w:ascii="宋体" w:hAnsi="宋体" w:eastAsia="宋体" w:cs="宋体"/>
          <w:color w:val="000000" w:themeColor="text1"/>
          <w:sz w:val="24"/>
          <w:lang w:val="zh-CN"/>
          <w14:textFill>
            <w14:solidFill>
              <w14:schemeClr w14:val="tx1"/>
            </w14:solidFill>
          </w14:textFill>
        </w:rPr>
        <w:t xml:space="preserve">。</w:t>
      </w:r>
      <w:r>
        <w:rPr>
          <w:rFonts w:hint="eastAsia" w:ascii="宋体" w:hAnsi="宋体" w:eastAsia="宋体" w:cs="宋体"/>
          <w:color w:val="000000" w:themeColor="text1"/>
          <w:sz w:val="24"/>
          <w:lang w:val="zh-CN" w:eastAsia="zh-CN"/>
          <w14:textFill>
            <w14:solidFill>
              <w14:schemeClr w14:val="tx1"/>
            </w14:solidFill>
          </w14:textFill>
        </w:rPr>
        <w:t xml:space="preserve">服务期内负责该区域内道路（环卫处管理范围以外的主次干道及背街后巷）、室内外公共区域及设施设备的卫生保洁、沟塘、河道</w:t>
      </w:r>
      <w:r>
        <w:rPr>
          <w:rFonts w:hint="eastAsia" w:ascii="宋体" w:hAnsi="宋体" w:eastAsia="宋体" w:cs="宋体"/>
          <w:color w:val="000000" w:themeColor="text1"/>
          <w:sz w:val="24"/>
          <w:lang w:val="en-US" w:eastAsia="zh-CN"/>
          <w14:textFill>
            <w14:solidFill>
              <w14:schemeClr w14:val="tx1"/>
            </w14:solidFill>
          </w14:textFill>
        </w:rPr>
        <w:t xml:space="preserve">斜坡</w:t>
      </w:r>
      <w:r>
        <w:rPr>
          <w:rFonts w:hint="eastAsia" w:ascii="宋体" w:hAnsi="宋体" w:eastAsia="宋体" w:cs="宋体"/>
          <w:color w:val="000000" w:themeColor="text1"/>
          <w:sz w:val="24"/>
          <w:lang w:val="zh-CN" w:eastAsia="zh-CN"/>
          <w14:textFill>
            <w14:solidFill>
              <w14:schemeClr w14:val="tx1"/>
            </w14:solidFill>
          </w14:textFill>
        </w:rPr>
        <w:t xml:space="preserve">保洁（</w:t>
      </w:r>
      <w:r>
        <w:rPr>
          <w:rFonts w:hint="eastAsia" w:ascii="宋体" w:hAnsi="宋体" w:eastAsia="宋体" w:cs="宋体"/>
          <w:color w:val="000000" w:themeColor="text1"/>
          <w:sz w:val="24"/>
          <w:lang w:val="en-US" w:eastAsia="zh-CN"/>
          <w14:textFill>
            <w14:solidFill>
              <w14:schemeClr w14:val="tx1"/>
            </w14:solidFill>
          </w14:textFill>
        </w:rPr>
        <w:t xml:space="preserve">水面以上</w:t>
      </w:r>
      <w:r>
        <w:rPr>
          <w:rFonts w:hint="eastAsia" w:ascii="宋体" w:hAnsi="宋体" w:eastAsia="宋体" w:cs="宋体"/>
          <w:color w:val="000000" w:themeColor="text1"/>
          <w:sz w:val="24"/>
          <w:lang w:val="zh-CN" w:eastAsia="zh-CN"/>
          <w14:textFill>
            <w14:solidFill>
              <w14:schemeClr w14:val="tx1"/>
            </w14:solidFill>
          </w14:textFill>
        </w:rPr>
        <w:t xml:space="preserve">）、公厕保洁、</w:t>
      </w:r>
      <w:r>
        <w:rPr>
          <w:rFonts w:hint="eastAsia" w:ascii="宋体" w:hAnsi="宋体" w:eastAsia="宋体" w:cs="宋体"/>
          <w:color w:val="000000" w:themeColor="text1"/>
          <w:sz w:val="24"/>
          <w:lang w:val="en-US" w:eastAsia="zh-CN"/>
          <w14:textFill>
            <w14:solidFill>
              <w14:schemeClr w14:val="tx1"/>
            </w14:solidFill>
          </w14:textFill>
        </w:rPr>
        <w:t xml:space="preserve">老旧小区屋顶落叶灰尘保洁（每年汛期前完成）、</w:t>
      </w:r>
      <w:r>
        <w:rPr>
          <w:rFonts w:hint="eastAsia" w:ascii="宋体" w:hAnsi="宋体" w:eastAsia="宋体" w:cs="宋体"/>
          <w:color w:val="000000" w:themeColor="text1"/>
          <w:sz w:val="24"/>
          <w:lang w:val="zh-CN" w:eastAsia="zh-CN"/>
          <w14:textFill>
            <w14:solidFill>
              <w14:schemeClr w14:val="tx1"/>
            </w14:solidFill>
          </w14:textFill>
        </w:rPr>
        <w:t xml:space="preserve">垃圾（生活垃圾、生产垃圾）分类收集及运输、</w:t>
      </w:r>
      <w:r>
        <w:rPr>
          <w:rFonts w:hint="eastAsia" w:ascii="宋体" w:hAnsi="宋体" w:eastAsia="宋体" w:cs="宋体"/>
          <w:color w:val="000000" w:themeColor="text1"/>
          <w:sz w:val="24"/>
          <w:lang w:val="en-US" w:eastAsia="zh-CN"/>
          <w14:textFill>
            <w14:solidFill>
              <w14:schemeClr w14:val="tx1"/>
            </w14:solidFill>
          </w14:textFill>
        </w:rPr>
        <w:t xml:space="preserve">管道疏通清淤、化粪池疏通、公共设施维修（包含灯具、水龙头、路面等，单次300元以内）、</w:t>
      </w:r>
      <w:r>
        <w:rPr>
          <w:rFonts w:hint="eastAsia" w:ascii="宋体" w:hAnsi="宋体" w:eastAsia="宋体" w:cs="宋体"/>
          <w:color w:val="000000" w:themeColor="text1"/>
          <w:sz w:val="24"/>
          <w:lang w:val="zh-CN" w:eastAsia="zh-CN"/>
          <w14:textFill>
            <w14:solidFill>
              <w14:schemeClr w14:val="tx1"/>
            </w14:solidFill>
          </w14:textFill>
        </w:rPr>
        <w:t xml:space="preserve">小广告清理、街道秩序维护与安全保障、配套景观绿化管护、清理乱堆乱放和乱建乱搭、公共区域和公共设施的水电维保、消防设备协调管理、公共房屋的维护管理，</w:t>
      </w:r>
      <w:r>
        <w:rPr>
          <w:rFonts w:hint="eastAsia" w:ascii="宋体" w:hAnsi="宋体" w:eastAsia="宋体" w:cs="宋体"/>
          <w:color w:val="000000" w:themeColor="text1"/>
          <w:sz w:val="24"/>
          <w:lang w:val="en-US" w:eastAsia="zh-CN"/>
          <w14:textFill>
            <w14:solidFill>
              <w14:schemeClr w14:val="tx1"/>
            </w14:solidFill>
          </w14:textFill>
        </w:rPr>
        <w:t xml:space="preserve">辖区内拆迁区域的日常巡查及维护，</w:t>
      </w:r>
      <w:r>
        <w:rPr>
          <w:rFonts w:hint="eastAsia" w:ascii="宋体" w:hAnsi="宋体" w:eastAsia="宋体" w:cs="宋体"/>
          <w:color w:val="000000" w:themeColor="text1"/>
          <w:sz w:val="24"/>
          <w:lang w:val="zh-CN" w:eastAsia="zh-CN"/>
          <w14:textFill>
            <w14:solidFill>
              <w14:schemeClr w14:val="tx1"/>
            </w14:solidFill>
          </w14:textFill>
        </w:rPr>
        <w:t xml:space="preserve">同时完成招标人要求的临时性工作</w:t>
      </w:r>
      <w:r>
        <w:rPr>
          <w:rFonts w:hint="eastAsia" w:ascii="宋体" w:hAnsi="宋体" w:eastAsia="宋体" w:cs="宋体"/>
          <w:color w:val="000000" w:themeColor="text1"/>
          <w:sz w:val="24"/>
          <w:lang w:val="zh-CN"/>
          <w14:textFill>
            <w14:solidFill>
              <w14:schemeClr w14:val="tx1"/>
            </w14:solidFill>
          </w14:textFill>
        </w:rPr>
        <w:t xml:space="preserve">。</w:t>
      </w:r>
      <w:r>
        <w:rPr>
          <w:rFonts w:hint="default" w:ascii="宋体" w:hAnsi="宋体" w:eastAsia="宋体" w:cs="宋体"/>
          <w:color w:val="000000" w:themeColor="text1"/>
          <w:sz w:val="24"/>
          <w:lang w:val="zh-CN"/>
          <w14:textFill>
            <w14:solidFill>
              <w14:schemeClr w14:val="tx1"/>
            </w14:solidFill>
          </w14:textFill>
        </w:rPr>
        <w:t xml:space="preserve"> </w:t>
      </w:r>
      <w:r/>
    </w:p>
    <w:p>
      <w:pPr>
        <w:ind w:firstLine="480"/>
        <w:jc w:val="left"/>
        <w:keepLines w:val="0"/>
        <w:keepNext w:val="0"/>
        <w:pageBreakBefore w:val="0"/>
        <w:spacing w:line="360" w:lineRule="auto"/>
        <w:widowControl/>
        <w:rPr>
          <w:rFonts w:hint="default" w:ascii="宋体" w:hAnsi="宋体" w:eastAsia="宋体" w:cs="宋体"/>
          <w:sz w:val="24"/>
          <w:lang w:val="zh-CN"/>
        </w:rPr>
      </w:pPr>
      <w:r>
        <w:rPr>
          <w:rFonts w:hint="eastAsia" w:ascii="宋体" w:hAnsi="宋体" w:eastAsia="宋体" w:cs="宋体"/>
          <w:sz w:val="24"/>
          <w:lang w:val="zh-CN"/>
        </w:rPr>
        <w:t xml:space="preserve">本项目所述的面积为占地面积+楼道作业面积，实际物管面积请投标人自行勘探现场，以实际接管面积为准。</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1.3服务要求：</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1）定期于每月5日前向业主书面汇报上月物管总体情况。</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2）不得擅自占用和改变公用设施的使用功能，如确有需要，须与甲方协商，经甲方同意后方可实施。</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3、完成甲方安排的相关临时工作</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1）遇重要接待、重大活动、节假日期间和灾害性天气等情形，需要特殊或应急作业的，乙方须无条件服从甲方和丙方安排的突击性任务，按甲方或丙方规定的时间、范围和保洁标准完成工作任务。有针对性地调整道路保洁车辆、垃圾清运车辆等机械化设备的作业范围和频率；按合同调配保洁员加强巡回保洁，调高作业标准，按需调整工作时间。</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2）乙方加强节假日值班，排定值班表，保证联络畅通，配置好环卫作业设施设备、保洁工具和劳保用品。一旦启动应急处置方案，迅速赶赴现场，积极参与涉及生活垃圾、偶发性堆积污染等特殊事项的现场协调和应急处置，确保各项保洁、突击任务顺利完成。</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3）乙方须组建自然灾害天气应急人员队伍、应急物资车辆、应急警示牌、警示灯等，制定自然灾害天气应急预案。</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1.4履行时间（期限）：</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年（</w:t>
      </w:r>
      <w:r>
        <w:rPr>
          <w:rFonts w:hint="eastAsia" w:ascii="宋体" w:hAnsi="宋体" w:eastAsia="宋体" w:cs="宋体"/>
          <w:color w:val="000000"/>
          <w:sz w:val="24"/>
          <w:u w:val="single"/>
          <w:lang w:val="zh-CN"/>
        </w:rPr>
        <w:t xml:space="preserve">202</w:t>
      </w:r>
      <w:r>
        <w:rPr>
          <w:rFonts w:hint="eastAsia" w:ascii="宋体" w:hAnsi="宋体" w:eastAsia="宋体" w:cs="宋体"/>
          <w:color w:val="000000"/>
          <w:sz w:val="24"/>
          <w:u w:val="single"/>
          <w:lang w:val="en-US" w:eastAsia="zh-CN"/>
        </w:rPr>
        <w:t xml:space="preserve">6</w:t>
      </w:r>
      <w:r>
        <w:rPr>
          <w:rFonts w:hint="eastAsia" w:ascii="宋体" w:hAnsi="宋体" w:eastAsia="宋体" w:cs="宋体"/>
          <w:color w:val="000000"/>
          <w:sz w:val="24"/>
          <w:u w:val="single"/>
          <w:lang w:val="zh-CN"/>
        </w:rPr>
        <w:t xml:space="preserve">年    月   日至202</w:t>
      </w:r>
      <w:r>
        <w:rPr>
          <w:rFonts w:hint="eastAsia" w:ascii="宋体" w:hAnsi="宋体" w:eastAsia="宋体" w:cs="宋体"/>
          <w:color w:val="000000"/>
          <w:sz w:val="24"/>
          <w:u w:val="single"/>
          <w:lang w:val="en-US" w:eastAsia="zh-CN"/>
        </w:rPr>
        <w:t xml:space="preserve">8</w:t>
      </w:r>
      <w:r>
        <w:rPr>
          <w:rFonts w:hint="eastAsia" w:ascii="宋体" w:hAnsi="宋体" w:eastAsia="宋体" w:cs="宋体"/>
          <w:color w:val="000000"/>
          <w:sz w:val="24"/>
          <w:u w:val="single"/>
          <w:lang w:val="zh-CN"/>
        </w:rPr>
        <w:t xml:space="preserve">年   月   日</w:t>
      </w:r>
      <w:r>
        <w:rPr>
          <w:rFonts w:hint="eastAsia" w:ascii="宋体" w:hAnsi="宋体" w:eastAsia="宋体" w:cs="宋体"/>
          <w:color w:val="000000"/>
          <w:sz w:val="24"/>
          <w:lang w:val="zh-CN"/>
        </w:rPr>
        <w:t xml:space="preserve">）</w:t>
      </w:r>
      <w:r>
        <w:rPr>
          <w:rFonts w:hint="eastAsia" w:ascii="宋体" w:hAnsi="宋体" w:eastAsia="宋体" w:cs="宋体"/>
          <w:sz w:val="24"/>
        </w:rPr>
        <w:t xml:space="preserve">乙方在签订服务合同后5日内报送全体服务人员履历，审核通过并接到甲方书面通知后5日内接手进驻，进入正常服务工作。</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1.5履行地点：</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二、合同金额</w:t>
      </w:r>
      <w:r/>
    </w:p>
    <w:p>
      <w:pPr>
        <w:ind w:firstLine="480"/>
        <w:jc w:val="left"/>
        <w:keepLines w:val="0"/>
        <w:keepNext w:val="0"/>
        <w:pageBreakBefore w:val="0"/>
        <w:spacing w:line="360" w:lineRule="auto"/>
        <w:widowControl/>
        <w:rPr>
          <w:rFonts w:hint="default" w:ascii="宋体" w:hAnsi="宋体" w:eastAsia="宋体" w:cs="宋体"/>
          <w:color w:val="ff0000"/>
          <w:sz w:val="24"/>
        </w:rPr>
      </w:pPr>
      <w:r>
        <w:rPr>
          <w:rFonts w:hint="eastAsia" w:ascii="宋体" w:hAnsi="宋体" w:eastAsia="宋体" w:cs="宋体"/>
          <w:color w:val="000000"/>
          <w:sz w:val="24"/>
          <w:lang w:val="zh-CN"/>
        </w:rPr>
        <w:t xml:space="preserve">2.1本合同金额为（大写）：______________________________</w:t>
      </w:r>
      <w:r>
        <w:rPr>
          <w:rFonts w:hint="eastAsia" w:ascii="宋体" w:hAnsi="宋体" w:eastAsia="宋体" w:cs="宋体"/>
          <w:color w:val="000000"/>
          <w:sz w:val="24"/>
          <w:lang w:val="en-US" w:eastAsia="zh-CN"/>
        </w:rPr>
        <w:t xml:space="preserve">元/年</w:t>
      </w:r>
      <w:r>
        <w:rPr>
          <w:rFonts w:hint="eastAsia" w:ascii="宋体" w:hAnsi="宋体" w:eastAsia="宋体" w:cs="宋体"/>
          <w:color w:val="000000"/>
          <w:sz w:val="24"/>
          <w:lang w:val="zh-CN"/>
        </w:rPr>
        <w:t xml:space="preserve">（_______________元</w:t>
      </w:r>
      <w:r>
        <w:rPr>
          <w:rFonts w:hint="eastAsia" w:ascii="宋体" w:hAnsi="宋体" w:eastAsia="宋体" w:cs="宋体"/>
          <w:color w:val="000000"/>
          <w:sz w:val="24"/>
          <w:lang w:val="en-US" w:eastAsia="zh-CN"/>
        </w:rPr>
        <w:t xml:space="preserve">/年</w:t>
      </w:r>
      <w:r>
        <w:rPr>
          <w:rFonts w:hint="eastAsia" w:ascii="宋体" w:hAnsi="宋体" w:eastAsia="宋体" w:cs="宋体"/>
          <w:color w:val="000000"/>
          <w:sz w:val="24"/>
          <w:lang w:val="zh-CN"/>
        </w:rPr>
        <w:t xml:space="preserve">），合同期间如有政策性调整，乙方按相关政策文件执行，但结算价格不变，该价格包括（但不限于）服务需求所必须的保洁用品、耗材及材料费、</w:t>
      </w:r>
      <w:r>
        <w:rPr>
          <w:rFonts w:hint="eastAsia" w:ascii="宋体" w:hAnsi="宋体" w:eastAsia="宋体" w:cs="宋体"/>
          <w:color w:val="000000"/>
          <w:sz w:val="24"/>
        </w:rPr>
        <w:t xml:space="preserve">所有人员的工资、</w:t>
      </w:r>
      <w:r>
        <w:rPr>
          <w:rFonts w:hint="eastAsia" w:ascii="宋体" w:hAnsi="宋体" w:eastAsia="宋体" w:cs="宋体"/>
          <w:color w:val="000000"/>
          <w:sz w:val="24"/>
          <w:lang w:val="zh-CN"/>
        </w:rPr>
        <w:t xml:space="preserve">机械设备使用费、安全措施费，</w:t>
      </w:r>
      <w:r>
        <w:rPr>
          <w:rFonts w:hint="eastAsia" w:ascii="宋体" w:hAnsi="宋体" w:eastAsia="宋体" w:cs="宋体"/>
          <w:color w:val="000000"/>
          <w:sz w:val="24"/>
        </w:rPr>
        <w:t xml:space="preserve">社保、福利费，还应包括：管理、劳务、培训、</w:t>
      </w:r>
      <w:r>
        <w:rPr>
          <w:rFonts w:hint="eastAsia" w:ascii="宋体" w:hAnsi="宋体" w:eastAsia="宋体" w:cs="宋体"/>
          <w:color w:val="000000"/>
          <w:sz w:val="24"/>
          <w:lang w:val="zh-CN"/>
        </w:rPr>
        <w:t xml:space="preserve">不可预见性</w:t>
      </w:r>
      <w:r>
        <w:rPr>
          <w:rFonts w:hint="eastAsia" w:ascii="宋体" w:hAnsi="宋体" w:eastAsia="宋体" w:cs="宋体"/>
          <w:color w:val="000000"/>
          <w:sz w:val="24"/>
        </w:rPr>
        <w:t xml:space="preserve">风险、税金、合理利润及政策性文件规定等各项应有费用。</w:t>
      </w:r>
      <w:r>
        <w:rPr>
          <w:rFonts w:hint="eastAsia" w:ascii="宋体" w:hAnsi="宋体" w:eastAsia="宋体" w:cs="宋体"/>
          <w:color w:val="ff0000"/>
          <w:sz w:val="24"/>
          <w:lang w:val="en-US" w:eastAsia="zh-CN"/>
        </w:rPr>
        <w:t xml:space="preserve">如遇临时情况或甲方安排乙方完成合同约定以外的工作内容，双方协商，甲方适当给予乙方加班补偿，除此以外</w:t>
      </w:r>
      <w:r>
        <w:rPr>
          <w:rFonts w:hint="eastAsia" w:ascii="宋体" w:hAnsi="宋体" w:eastAsia="宋体" w:cs="宋体"/>
          <w:color w:val="ff0000"/>
          <w:sz w:val="24"/>
          <w:lang w:val="zh-CN"/>
        </w:rPr>
        <w:t xml:space="preserve">服务期间甲方不再额外支付其他费用。</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三、履约保证金</w:t>
      </w:r>
      <w:r/>
    </w:p>
    <w:p>
      <w:pPr>
        <w:ind w:firstLine="480"/>
        <w:jc w:val="left"/>
        <w:keepLines w:val="0"/>
        <w:keepNext w:val="0"/>
        <w:pageBreakBefore w:val="0"/>
        <w:spacing w:line="360" w:lineRule="auto"/>
        <w:widowControl/>
        <w:rPr>
          <w:rFonts w:hint="default" w:ascii="宋体" w:hAnsi="宋体" w:eastAsia="宋体" w:cs="宋体"/>
          <w:color w:val="000000"/>
          <w:sz w:val="24"/>
          <w:u w:val="single"/>
          <w:lang w:val="zh-CN"/>
        </w:rPr>
      </w:pPr>
      <w:r>
        <w:rPr>
          <w:rFonts w:hint="eastAsia" w:ascii="宋体" w:hAnsi="宋体" w:eastAsia="宋体" w:cs="宋体"/>
          <w:color w:val="000000"/>
          <w:sz w:val="24"/>
          <w:lang w:val="zh-CN"/>
        </w:rPr>
        <w:t xml:space="preserve">3.1乙方交纳合同金额的10%作为本合同的履约保证金。对AA评级及以上政府采购供应商（需提供信用管理部门备案的第三方信用报告）降低履约保证金缴纳比例</w:t>
      </w:r>
      <w:r>
        <w:rPr>
          <w:rFonts w:hint="eastAsia" w:ascii="宋体" w:hAnsi="宋体" w:eastAsia="宋体" w:cs="宋体"/>
          <w:color w:val="000000"/>
          <w:sz w:val="24"/>
          <w:u w:val="single"/>
          <w:lang w:val="zh-CN"/>
        </w:rPr>
        <w:t xml:space="preserve">50%</w:t>
      </w:r>
      <w:r>
        <w:rPr>
          <w:rFonts w:hint="eastAsia" w:ascii="宋体" w:hAnsi="宋体" w:eastAsia="宋体" w:cs="宋体"/>
          <w:color w:val="000000"/>
          <w:sz w:val="24"/>
          <w:lang w:val="zh-CN"/>
        </w:rPr>
        <w:t xml:space="preserve">。</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3.2履约保证金的缴纳形式：</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3.2.2 如以履约保函（保险）形式缴纳履约保证金，供应商可通过政府采购电子履约保函（保险）平台（www.jsdzbh.com）在线申请履约保函（保险）。</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3.3合同履行结束后，甲方应及时退还交纳的履约保证金。</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3.4履约保证金的退还：</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3.4.1方式：无息退还至投标人缴纳履约保证金的账户。如为保函，在到期时自行失效。</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3.4.2时间：验收合格且采购人收到发票后30日内。</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3.4.3条件：按合同要求全部履约完成并经采购人验收合格，且采购人收到中标人出具的发票。</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3.4.4不予退还情形：</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（1）中标人无正当理由拒绝签订合同的，或者在签订合同时向采购人提出附加条件或者更改合同实质性内容要求的；</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（2）中标人不履行与采购人订立的合同的；</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（3）中标人所供货物或服务不符合招标文件规定要求的；</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（4）中标人采取欺骗、弄虚作假方式投标的或与其它投标人串通投标的；</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（5）中标人将合同内容转包、违法分包的；</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（6）中标人故意捏造事实或伪造证明材料，进行虚假恶意投诉或反映的。</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3.4.5逾期退还的违约责任：采购人逾期无故未退还履约保证金的，按中国人民银行同期贷款基准利率上浮20%后的利率支付超期资金占用费，但因供应商自身原因导致无法及时退还的除外。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四、合同转包或分包</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4.1乙方不得将合同标的转包给他人履行。</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4.2乙方如有转包或未经甲方同意的分包行为，甲方有权解除合同。</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五、合同款项支付</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5.1合同款项的支付方式及进度安排</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5.1.1 预付款支付时间：合同签订后，采购人收到发票后10个工作日内，预付款支付比例：合同金额的</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0%。</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5.1.2 年物业服务费：每季度根据服务质量考核结果付清上季度服务费（扣除该季度内发生的罚款和东台镇物管考核中列入黑榜的处罚金）。</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年物业服务费付款说明：</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1）服务质量考核方式：甲方每季度根据服务及服务质量，依据服务要求和考核细则进行考核，</w:t>
      </w:r>
      <w:r>
        <w:rPr>
          <w:rFonts w:hint="eastAsia" w:ascii="宋体" w:hAnsi="宋体" w:eastAsia="宋体" w:cs="宋体"/>
          <w:color w:val="ff0000"/>
          <w:sz w:val="24"/>
          <w:lang w:val="en-US" w:eastAsia="zh-CN"/>
        </w:rPr>
        <w:t xml:space="preserve">根据综合得分结果，</w:t>
      </w:r>
      <w:r>
        <w:rPr>
          <w:rFonts w:hint="eastAsia" w:ascii="宋体" w:hAnsi="宋体" w:eastAsia="宋体" w:cs="宋体"/>
          <w:color w:val="000000"/>
          <w:sz w:val="24"/>
          <w:lang w:val="zh-CN"/>
        </w:rPr>
        <w:t xml:space="preserve">考核得分80分及以上时全额支付服务费，考核得分低于80分时，每低1分扣</w:t>
      </w:r>
      <w:r>
        <w:rPr>
          <w:rFonts w:hint="eastAsia" w:ascii="宋体" w:hAnsi="宋体" w:eastAsia="宋体" w:cs="宋体"/>
          <w:color w:val="ff0000"/>
          <w:sz w:val="24"/>
          <w:highlight w:val="none"/>
          <w:lang w:val="en-US" w:eastAsia="zh-CN"/>
        </w:rPr>
        <w:t xml:space="preserve">该季度费用</w:t>
      </w:r>
      <w:r>
        <w:rPr>
          <w:rFonts w:hint="eastAsia" w:ascii="宋体" w:hAnsi="宋体" w:eastAsia="宋体" w:cs="宋体"/>
          <w:color w:val="000000"/>
          <w:sz w:val="24"/>
          <w:lang w:val="zh-CN"/>
        </w:rPr>
        <w:t xml:space="preserve">的1%。</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2）考核过程中发现的不合格项，甲方有权书面要求乙方在规定期限内整改，整改不到位的，甲方有权不支付上季度服务费直至整改到位，</w:t>
      </w:r>
      <w:r>
        <w:rPr>
          <w:rFonts w:hint="eastAsia" w:ascii="宋体" w:hAnsi="宋体" w:eastAsia="宋体" w:cs="宋体"/>
          <w:color w:val="000000"/>
          <w:sz w:val="24"/>
          <w:lang w:val="en-US" w:eastAsia="zh-CN"/>
        </w:rPr>
        <w:t xml:space="preserve">因乙方</w:t>
      </w:r>
      <w:r>
        <w:rPr>
          <w:rFonts w:hint="eastAsia" w:ascii="宋体" w:hAnsi="宋体" w:eastAsia="宋体" w:cs="宋体"/>
          <w:color w:val="ff0000"/>
          <w:sz w:val="24"/>
          <w:lang w:val="en-US" w:eastAsia="zh-CN"/>
        </w:rPr>
        <w:t xml:space="preserve">不履行义务</w:t>
      </w:r>
      <w:r>
        <w:rPr>
          <w:rFonts w:hint="eastAsia" w:ascii="宋体" w:hAnsi="宋体" w:eastAsia="宋体" w:cs="宋体"/>
          <w:color w:val="000000"/>
          <w:sz w:val="24"/>
          <w:lang w:val="zh-CN"/>
        </w:rPr>
        <w:t xml:space="preserve">逾期未整改或无正当理由拒绝整改</w:t>
      </w:r>
      <w:r>
        <w:rPr>
          <w:rFonts w:hint="eastAsia" w:ascii="宋体" w:hAnsi="宋体" w:eastAsia="宋体" w:cs="宋体"/>
          <w:color w:val="ff0000"/>
          <w:sz w:val="24"/>
          <w:lang w:val="en-US" w:eastAsia="zh-CN"/>
        </w:rPr>
        <w:t xml:space="preserve">超过3次</w:t>
      </w:r>
      <w:r>
        <w:rPr>
          <w:rFonts w:hint="eastAsia" w:ascii="宋体" w:hAnsi="宋体" w:eastAsia="宋体" w:cs="宋体"/>
          <w:color w:val="000000"/>
          <w:sz w:val="24"/>
          <w:lang w:val="zh-CN"/>
        </w:rPr>
        <w:t xml:space="preserve">，甲方有权单方终止合同。</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3）当期服务费由甲方按考核条款扣除罚款和处罚金后支付剩余部分。服务期间乙方可在甲方允许的经营范围内</w:t>
      </w:r>
      <w:r>
        <w:rPr>
          <w:rFonts w:hint="eastAsia" w:ascii="宋体" w:hAnsi="宋体" w:eastAsia="宋体" w:cs="宋体"/>
          <w:sz w:val="24"/>
          <w:lang w:val="zh-CN"/>
        </w:rPr>
        <w:t xml:space="preserve">自主创收开展延伸服务</w:t>
      </w:r>
      <w:r>
        <w:rPr>
          <w:rFonts w:hint="eastAsia" w:ascii="宋体" w:hAnsi="宋体" w:eastAsia="宋体" w:cs="宋体"/>
          <w:color w:val="000000"/>
          <w:sz w:val="24"/>
          <w:lang w:val="zh-CN"/>
        </w:rPr>
        <w:t xml:space="preserve">，乙方须自负盈亏，做好安全防范工作，相关法律、安全及经济责任与甲方无涉。</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注：①各街道内居民业主支付部分由各街道社区办事处收取后交予甲方。</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②乙方须将自主创收项目及价格报甲方审批通过后方可实施。</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六、甲方权利义务</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6.1审议乙方提交的服务方案及管理制度。</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6.2审议乙方提出的服务年度计划。</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6.3监督并配合乙方管理服务工作的实施及制度的执行。</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6.4合同签订之后，乙方所需的办公用房可由乙方在管理范围内就近自行安排，也可由相关社区提供协调安置，所需房屋的租赁、使用费由</w:t>
      </w:r>
      <w:r>
        <w:rPr>
          <w:rFonts w:hint="eastAsia" w:ascii="宋体" w:hAnsi="宋体" w:eastAsia="宋体" w:cs="宋体"/>
          <w:sz w:val="24"/>
          <w:lang w:val="en-US" w:eastAsia="zh-CN"/>
        </w:rPr>
        <w:t xml:space="preserve">乙方</w:t>
      </w:r>
      <w:r>
        <w:rPr>
          <w:rFonts w:hint="eastAsia" w:ascii="宋体" w:hAnsi="宋体" w:eastAsia="宋体" w:cs="宋体"/>
          <w:sz w:val="24"/>
        </w:rPr>
        <w:t xml:space="preserve">自行支付。如为社区提供协调安置，乙方仅有使用权，且不能用于与服务无关的用途。室内需装潢及增设设施设备的由乙方自行处理，到期可移动物品搬走，并将房屋恢复原状交还社区。</w:t>
      </w:r>
      <w:r/>
    </w:p>
    <w:p>
      <w:pPr>
        <w:ind w:firstLine="480"/>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6.5按需要配备、更新必要的设施，如垃圾桶、地垫、茶水服务推车、烟筒等供乙方使用，并负责配套设施设备的维护，承担相应费用</w:t>
      </w:r>
      <w:r>
        <w:rPr>
          <w:rFonts w:hint="eastAsia" w:ascii="宋体" w:hAnsi="宋体" w:eastAsia="宋体" w:cs="宋体"/>
          <w:sz w:val="24"/>
          <w:lang w:eastAsia="zh-CN"/>
        </w:rPr>
        <w:t xml:space="preserve">。</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6.6按合同规定支付乙方本合同所指服务费。</w:t>
      </w:r>
      <w:r/>
    </w:p>
    <w:p>
      <w:pPr>
        <w:ind w:firstLine="480"/>
        <w:keepLines w:val="0"/>
        <w:keepNext w:val="0"/>
        <w:pageBreakBefore w:val="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6.7 因履职不到位、服务不达标、不服从甲方管理等原因，甲方三次正式书面向乙方提出要求更换项目经理，乙方需进行更换。</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七、 乙方权利义务</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7.1乙方在接到甲方书面通知后2日内按要求接手进入并全面接管，进入正常服务管理工作。</w:t>
      </w:r>
      <w:r/>
    </w:p>
    <w:p>
      <w:pPr>
        <w:ind w:firstLine="480"/>
        <w:keepLines w:val="0"/>
        <w:keepNext w:val="0"/>
        <w:pageBreakBefore w:val="0"/>
        <w:spacing w:line="360" w:lineRule="auto"/>
        <w:rPr>
          <w:rFonts w:hint="default" w:ascii="宋体" w:hAnsi="宋体" w:eastAsia="宋体" w:cs="宋体"/>
          <w:sz w:val="24"/>
        </w:rPr>
      </w:pPr>
      <w:r/>
      <w:bookmarkStart w:id="181" w:name="page20"/>
      <w:r/>
      <w:bookmarkEnd w:id="181"/>
      <w:r>
        <w:rPr>
          <w:rFonts w:hint="eastAsia" w:ascii="宋体" w:hAnsi="宋体" w:eastAsia="宋体" w:cs="宋体"/>
          <w:sz w:val="24"/>
        </w:rPr>
        <w:t xml:space="preserve">7.2依照有关规定和本合同约定，制定服务服务制度，对服务及其环境、秩序进行管理。</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7.3依照本合同约定向甲方收取服务服务费。</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7.4建立服务项目的管理档案。</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7.5按照服务情况及要求进行养护、服务与管理。</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7.6不得将服务项目整体转让给其他服务服务企业管理，若将专项服务（如高空保洁）委托有资质专业公司承担，需报甲方批准。</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7.7负责编制服务的年度日常维修养护计划，经双方议定后，由乙方组织实施。</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7.8负责编制服务年度计划。</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7.9本合同终止时，乙方必须向甲方移交全部借用的物品、管理用房（如为社区协调安置）及服务的全部档案资料。</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7.10在本服务区域内发生治安案件或者各类灾害事故时，应当及时向甲方或公安和有关部门报告，并协助做好调查和救助工作。</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7.11因乙方未能履行本服务合同的约定，导致甲方人身、财产安全受到损害的，乙方应当依法承担相应的法律责任及经济赔偿。</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7.12乙方管理人员在服务工程中进行如下活动时，对甲方造成的财产损失可不承担民事赔偿责任；</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⑴为救助他人生命而造成的必要财产损失；</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⑵为避免甲方财产受损或可能受损而造成的必要财产损失；</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⑶为抓捕违法犯罪分子、制止不法侵害行为而造成的必要财产损失；</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7.13本项目在服务期内乙方不得</w:t>
      </w:r>
      <w:r>
        <w:rPr>
          <w:rFonts w:hint="eastAsia" w:ascii="宋体" w:hAnsi="宋体" w:eastAsia="宋体" w:cs="宋体"/>
          <w:sz w:val="24"/>
          <w:lang w:val="en-US" w:eastAsia="zh-CN"/>
        </w:rPr>
        <w:t xml:space="preserve">无故</w:t>
      </w:r>
      <w:r>
        <w:rPr>
          <w:rFonts w:hint="eastAsia" w:ascii="宋体" w:hAnsi="宋体" w:eastAsia="宋体" w:cs="宋体"/>
          <w:sz w:val="24"/>
        </w:rPr>
        <w:t xml:space="preserve">变更项目负责人和已备案审查的服务人员，</w:t>
      </w:r>
      <w:r>
        <w:rPr>
          <w:rFonts w:hint="eastAsia" w:ascii="宋体" w:hAnsi="宋体" w:eastAsia="宋体" w:cs="宋体"/>
          <w:color w:val="ff0000"/>
          <w:sz w:val="24"/>
        </w:rPr>
        <w:t xml:space="preserve">如确因特殊情况需要变更，</w:t>
      </w:r>
      <w:r>
        <w:rPr>
          <w:rFonts w:hint="eastAsia" w:ascii="宋体" w:hAnsi="宋体" w:eastAsia="宋体" w:cs="宋体"/>
          <w:color w:val="ff0000"/>
          <w:sz w:val="24"/>
          <w:lang w:val="en-US" w:eastAsia="zh-CN"/>
        </w:rPr>
        <w:t xml:space="preserve">需书面报甲方同意，否则</w:t>
      </w:r>
      <w:r>
        <w:rPr>
          <w:rFonts w:hint="eastAsia" w:ascii="宋体" w:hAnsi="宋体" w:eastAsia="宋体" w:cs="宋体"/>
          <w:sz w:val="24"/>
        </w:rPr>
        <w:t xml:space="preserve">需交纳违约金壹万元/人，且其更换人员资格条件不得降低并通过甲方审核。</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7.14乙方需自行配备完成本项目所需的人员车辆及机械、设施设备、耗材、管理资源等，或按甲方或丙方的管理要求增加所需要的车辆及机械、设施设备、耗材、管理资源等。</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7.15接受甲方的监督，按要求配齐工作人员。</w:t>
      </w:r>
      <w:r/>
    </w:p>
    <w:p>
      <w:pPr>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7.16接受物业管理行政主管部门的监督指导。</w:t>
      </w:r>
      <w:r/>
    </w:p>
    <w:p>
      <w:pPr>
        <w:pStyle w:val="643"/>
        <w:ind w:firstLine="480"/>
        <w:rPr>
          <w:rFonts w:hint="default" w:eastAsia="宋体"/>
          <w:color w:val="ff0000"/>
          <w:lang w:val="en-US" w:eastAsia="zh-CN"/>
        </w:rPr>
      </w:pPr>
      <w:r>
        <w:rPr>
          <w:rFonts w:hint="eastAsia" w:hAnsi="宋体" w:eastAsia="宋体" w:cs="宋体"/>
          <w:color w:val="ff0000"/>
          <w:sz w:val="24"/>
          <w:lang w:val="en-US" w:eastAsia="zh-CN"/>
        </w:rPr>
        <w:t xml:space="preserve">7.17 乙方需遵守劳动法按时发放劳务人员工资，不得以甲方服务费未到位延期发放。</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八、服务目标</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以东台创建文明卫生城市为标准，达到相关法律法规及规范要求，满足业主及使用人的实际需求，为招标人和使用人创造整洁、文明、安全、舒适的环境</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九、 违约责任</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9.1如因甲方的原因，造成乙方未完成规定管理目标，乙方有权书面要求甲方在一定期限内解决，逾期未解决的，乙方不承担因此造成的一切后果，甲方不按合同规定付清服务费，将按银行同期利率加倍罚息</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9.2甲方每季度对乙方进行一次服务考评，考评结果达不到合格标准的，甲方有权书面要求乙方在规定期限内整改，整改不到位的，甲方有权不支付上季度服务费直至整改到位，逾期未整改或无正当理由拒绝整改</w:t>
      </w:r>
      <w:r>
        <w:rPr>
          <w:rFonts w:hint="eastAsia" w:ascii="宋体" w:hAnsi="宋体" w:eastAsia="宋体" w:cs="宋体"/>
          <w:color w:val="ff0000"/>
          <w:sz w:val="24"/>
          <w:lang w:val="en-US" w:eastAsia="zh-CN"/>
        </w:rPr>
        <w:t xml:space="preserve">超过3次</w:t>
      </w:r>
      <w:r>
        <w:rPr>
          <w:rFonts w:hint="eastAsia" w:ascii="宋体" w:hAnsi="宋体" w:eastAsia="宋体" w:cs="宋体"/>
          <w:sz w:val="24"/>
        </w:rPr>
        <w:t xml:space="preserve">，甲方有权单方终止合同。</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9.3服务期间，甲方将不定期对乙方的人员落实情况进行抽查，</w:t>
      </w:r>
      <w:r>
        <w:rPr>
          <w:rFonts w:hint="eastAsia" w:ascii="宋体" w:hAnsi="宋体" w:eastAsia="宋体" w:cs="宋体"/>
          <w:sz w:val="24"/>
          <w:lang w:bidi="ar"/>
        </w:rPr>
        <w:t xml:space="preserve">发现</w:t>
      </w:r>
      <w:r>
        <w:rPr>
          <w:rFonts w:hint="default" w:ascii="宋体" w:hAnsi="宋体" w:eastAsia="宋体" w:cs="宋体"/>
          <w:sz w:val="24"/>
          <w:lang w:bidi="ar"/>
        </w:rPr>
        <w:t xml:space="preserve">问题立即向中标方反馈，</w:t>
      </w:r>
      <w:r>
        <w:rPr>
          <w:rFonts w:hint="eastAsia" w:ascii="宋体" w:hAnsi="宋体" w:eastAsia="宋体" w:cs="宋体"/>
          <w:sz w:val="24"/>
          <w:lang w:bidi="ar"/>
        </w:rPr>
        <w:t xml:space="preserve">保洁类问题</w:t>
      </w:r>
      <w:r>
        <w:rPr>
          <w:rFonts w:hint="default" w:ascii="宋体" w:hAnsi="宋体" w:eastAsia="宋体" w:cs="宋体"/>
          <w:sz w:val="24"/>
          <w:lang w:bidi="ar"/>
        </w:rPr>
        <w:t xml:space="preserve">中标方(物业单位)需在</w:t>
      </w:r>
      <w:r>
        <w:rPr>
          <w:rFonts w:hint="eastAsia" w:ascii="宋体" w:hAnsi="宋体" w:eastAsia="宋体" w:cs="宋体"/>
          <w:sz w:val="24"/>
          <w:lang w:bidi="ar"/>
        </w:rPr>
        <w:t xml:space="preserve">半天内</w:t>
      </w:r>
      <w:r>
        <w:rPr>
          <w:rFonts w:hint="default" w:ascii="宋体" w:hAnsi="宋体" w:eastAsia="宋体" w:cs="宋体"/>
          <w:sz w:val="24"/>
          <w:lang w:bidi="ar"/>
        </w:rPr>
        <w:t xml:space="preserve">处理完毕，并上报图片或音像资料</w:t>
      </w:r>
      <w:r>
        <w:rPr>
          <w:rFonts w:hint="eastAsia" w:ascii="宋体" w:hAnsi="宋体" w:eastAsia="宋体" w:cs="宋体"/>
          <w:sz w:val="24"/>
          <w:lang w:bidi="ar"/>
        </w:rPr>
        <w:t xml:space="preserve">，维修类问题需在半天内落实处理方案、一周内到位</w:t>
      </w:r>
      <w:r>
        <w:rPr>
          <w:rFonts w:hint="default" w:ascii="宋体" w:hAnsi="宋体" w:eastAsia="宋体" w:cs="宋体"/>
          <w:sz w:val="24"/>
          <w:lang w:bidi="ar"/>
        </w:rPr>
        <w:t xml:space="preserve">。发现不达标一次(处)，扣取</w:t>
      </w:r>
      <w:r>
        <w:rPr>
          <w:rFonts w:hint="eastAsia" w:ascii="宋体" w:hAnsi="宋体" w:eastAsia="宋体" w:cs="宋体"/>
          <w:sz w:val="24"/>
          <w:lang w:val="en-US" w:eastAsia="zh-CN" w:bidi="ar"/>
        </w:rPr>
        <w:t xml:space="preserve">服务费</w:t>
      </w:r>
      <w:r>
        <w:rPr>
          <w:rFonts w:hint="default" w:ascii="宋体" w:hAnsi="宋体" w:eastAsia="宋体" w:cs="宋体"/>
          <w:sz w:val="24"/>
          <w:lang w:bidi="ar"/>
        </w:rPr>
        <w:t xml:space="preserve">200元/次</w:t>
      </w:r>
      <w:r>
        <w:rPr>
          <w:rFonts w:hint="eastAsia" w:ascii="宋体" w:hAnsi="宋体" w:eastAsia="宋体" w:cs="宋体"/>
          <w:sz w:val="24"/>
          <w:lang w:eastAsia="zh-CN" w:bidi="ar"/>
        </w:rPr>
        <w:t xml:space="preserve">；</w:t>
      </w:r>
      <w:r>
        <w:rPr>
          <w:rFonts w:hint="default" w:ascii="宋体" w:hAnsi="宋体" w:eastAsia="宋体" w:cs="宋体"/>
          <w:sz w:val="24"/>
          <w:lang w:bidi="ar"/>
        </w:rPr>
        <w:t xml:space="preserve">上级主管部门督查，发现间题及通报有一次(处)扣款500元</w:t>
      </w:r>
      <w:r>
        <w:rPr>
          <w:rFonts w:hint="eastAsia" w:ascii="宋体" w:hAnsi="宋体" w:eastAsia="宋体" w:cs="宋体"/>
          <w:sz w:val="24"/>
          <w:lang w:eastAsia="zh-CN" w:bidi="ar"/>
        </w:rPr>
        <w:t xml:space="preserve">；</w:t>
      </w:r>
      <w:r>
        <w:rPr>
          <w:rFonts w:hint="eastAsia" w:ascii="宋体" w:hAnsi="宋体" w:eastAsia="宋体" w:cs="宋体"/>
          <w:sz w:val="24"/>
        </w:rPr>
        <w:t xml:space="preserve">如发现项目负责人脱岗处以5000元/人/次，其他服务人员脱岗处以500元/人/次罚款</w:t>
      </w:r>
      <w:r>
        <w:rPr>
          <w:rFonts w:hint="eastAsia" w:ascii="宋体" w:hAnsi="宋体" w:eastAsia="宋体" w:cs="宋体"/>
          <w:sz w:val="24"/>
          <w:lang w:eastAsia="zh-CN"/>
        </w:rPr>
        <w:t xml:space="preserve">，</w:t>
      </w:r>
      <w:r>
        <w:rPr>
          <w:rFonts w:hint="eastAsia" w:ascii="宋体" w:hAnsi="宋体" w:eastAsia="宋体" w:cs="宋体"/>
          <w:sz w:val="24"/>
        </w:rPr>
        <w:t xml:space="preserve">从当季度服务费中扣除；设备未按要求使用，处以3000元/次罚款</w:t>
      </w:r>
      <w:r>
        <w:rPr>
          <w:rFonts w:hint="eastAsia" w:ascii="宋体" w:hAnsi="宋体" w:eastAsia="宋体" w:cs="宋体"/>
          <w:sz w:val="24"/>
          <w:lang w:eastAsia="zh-CN"/>
        </w:rPr>
        <w:t xml:space="preserve">，</w:t>
      </w:r>
      <w:r>
        <w:rPr>
          <w:rFonts w:hint="eastAsia" w:ascii="宋体" w:hAnsi="宋体" w:eastAsia="宋体" w:cs="宋体"/>
          <w:sz w:val="24"/>
        </w:rPr>
        <w:t xml:space="preserve">从当季度服务费中扣除</w:t>
      </w:r>
      <w:r>
        <w:rPr>
          <w:rFonts w:hint="eastAsia" w:ascii="宋体" w:hAnsi="宋体" w:eastAsia="宋体" w:cs="宋体"/>
          <w:sz w:val="24"/>
          <w:lang w:eastAsia="zh-CN"/>
        </w:rPr>
        <w:t xml:space="preserve">；</w:t>
      </w:r>
      <w:r>
        <w:rPr>
          <w:rFonts w:hint="eastAsia" w:ascii="宋体" w:hAnsi="宋体" w:eastAsia="宋体" w:cs="宋体"/>
          <w:sz w:val="24"/>
        </w:rPr>
        <w:t xml:space="preserve">因乙方原因在上级各类创建中被通报的扣3000元/次扣除当季度服务费，</w:t>
      </w:r>
      <w:r>
        <w:rPr>
          <w:rFonts w:hint="eastAsia" w:ascii="宋体" w:hAnsi="宋体" w:eastAsia="宋体" w:cs="宋体"/>
          <w:sz w:val="24"/>
          <w:lang w:val="en-US" w:eastAsia="zh-CN"/>
        </w:rPr>
        <w:t xml:space="preserve">若</w:t>
      </w:r>
      <w:r>
        <w:rPr>
          <w:rFonts w:hint="eastAsia" w:ascii="宋体" w:hAnsi="宋体" w:eastAsia="宋体" w:cs="宋体"/>
          <w:sz w:val="24"/>
        </w:rPr>
        <w:t xml:space="preserve">被扣分扣2000元/分扣除当季度服务费。</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9.4 服务期间，乙方必须无条件服务甲方</w:t>
      </w:r>
      <w:r>
        <w:rPr>
          <w:rFonts w:hint="eastAsia" w:ascii="宋体" w:hAnsi="宋体" w:eastAsia="宋体" w:cs="宋体"/>
          <w:color w:val="ff0000"/>
          <w:sz w:val="24"/>
          <w:lang w:val="en-US" w:eastAsia="zh-CN"/>
        </w:rPr>
        <w:t xml:space="preserve">合理的</w:t>
      </w:r>
      <w:r>
        <w:rPr>
          <w:rFonts w:hint="eastAsia" w:ascii="宋体" w:hAnsi="宋体" w:eastAsia="宋体" w:cs="宋体"/>
          <w:sz w:val="24"/>
        </w:rPr>
        <w:t xml:space="preserve">临时性工作安排，如</w:t>
      </w:r>
      <w:r>
        <w:rPr>
          <w:rFonts w:hint="eastAsia" w:ascii="宋体" w:hAnsi="宋体" w:eastAsia="宋体" w:cs="宋体"/>
          <w:sz w:val="24"/>
          <w:lang w:val="en-US" w:eastAsia="zh-CN"/>
        </w:rPr>
        <w:t xml:space="preserve">防汛防冻、管道堵塞排水不畅、化粪池漫溢等抢险排险工作。如</w:t>
      </w:r>
      <w:r>
        <w:rPr>
          <w:rFonts w:hint="eastAsia" w:ascii="宋体" w:hAnsi="宋体" w:eastAsia="宋体" w:cs="宋体"/>
          <w:sz w:val="24"/>
        </w:rPr>
        <w:t xml:space="preserve">汛期</w:t>
      </w:r>
      <w:r>
        <w:rPr>
          <w:rFonts w:hint="eastAsia" w:ascii="宋体" w:hAnsi="宋体" w:eastAsia="宋体" w:cs="宋体"/>
          <w:sz w:val="24"/>
          <w:lang w:eastAsia="zh-CN"/>
        </w:rPr>
        <w:t xml:space="preserve">，</w:t>
      </w:r>
      <w:r>
        <w:rPr>
          <w:rFonts w:hint="eastAsia" w:ascii="宋体" w:hAnsi="宋体" w:eastAsia="宋体" w:cs="宋体"/>
          <w:sz w:val="24"/>
        </w:rPr>
        <w:t xml:space="preserve">每10万平方米至少</w:t>
      </w:r>
      <w:r>
        <w:rPr>
          <w:rFonts w:hint="eastAsia" w:ascii="宋体" w:hAnsi="宋体" w:eastAsia="宋体" w:cs="宋体"/>
          <w:sz w:val="24"/>
          <w:lang w:val="en-US" w:eastAsia="zh-CN"/>
        </w:rPr>
        <w:t xml:space="preserve">配置</w:t>
      </w:r>
      <w:r>
        <w:rPr>
          <w:rFonts w:hint="eastAsia" w:ascii="宋体" w:hAnsi="宋体" w:eastAsia="宋体" w:cs="宋体"/>
          <w:sz w:val="24"/>
        </w:rPr>
        <w:t xml:space="preserve">一台</w:t>
      </w:r>
      <w:r>
        <w:rPr>
          <w:rFonts w:hint="eastAsia" w:ascii="宋体" w:hAnsi="宋体" w:eastAsia="宋体" w:cs="宋体"/>
          <w:color w:val="ff0000"/>
          <w:sz w:val="24"/>
          <w:lang w:val="en-US" w:eastAsia="zh-CN"/>
        </w:rPr>
        <w:t xml:space="preserve">抽</w:t>
      </w:r>
      <w:r>
        <w:rPr>
          <w:rFonts w:hint="eastAsia" w:ascii="宋体" w:hAnsi="宋体" w:eastAsia="宋体" w:cs="宋体"/>
          <w:color w:val="ff0000"/>
          <w:sz w:val="24"/>
        </w:rPr>
        <w:t xml:space="preserve">水</w:t>
      </w:r>
      <w:r>
        <w:rPr>
          <w:rFonts w:hint="eastAsia" w:ascii="宋体" w:hAnsi="宋体" w:eastAsia="宋体" w:cs="宋体"/>
          <w:color w:val="ff0000"/>
          <w:sz w:val="24"/>
          <w:lang w:val="en-US" w:eastAsia="zh-CN"/>
        </w:rPr>
        <w:t xml:space="preserve">泵等排水设施</w:t>
      </w:r>
      <w:r>
        <w:rPr>
          <w:rFonts w:hint="eastAsia" w:ascii="宋体" w:hAnsi="宋体" w:eastAsia="宋体" w:cs="宋体"/>
          <w:sz w:val="24"/>
        </w:rPr>
        <w:t xml:space="preserve">，如不能及时处理</w:t>
      </w:r>
      <w:r>
        <w:rPr>
          <w:rFonts w:hint="eastAsia" w:ascii="宋体" w:hAnsi="宋体" w:eastAsia="宋体" w:cs="宋体"/>
          <w:sz w:val="24"/>
          <w:lang w:val="en-US" w:eastAsia="zh-CN"/>
        </w:rPr>
        <w:t xml:space="preserve">险情</w:t>
      </w:r>
      <w:r>
        <w:rPr>
          <w:rFonts w:hint="eastAsia" w:ascii="宋体" w:hAnsi="宋体" w:eastAsia="宋体" w:cs="宋体"/>
          <w:sz w:val="24"/>
        </w:rPr>
        <w:t xml:space="preserve">，甲方有权另行调集其他机械完成乙方未完成的工作，其费用在乙方合同价款中扣除。</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十、 不可抗拒的约定</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10.1本合同执行期间如因政策性</w:t>
      </w:r>
      <w:r>
        <w:rPr>
          <w:rFonts w:hint="eastAsia" w:ascii="宋体" w:hAnsi="宋体" w:eastAsia="宋体" w:cs="宋体"/>
          <w:sz w:val="24"/>
          <w:lang w:val="en-US" w:eastAsia="zh-CN"/>
        </w:rPr>
        <w:t xml:space="preserve">调整</w:t>
      </w:r>
      <w:r>
        <w:rPr>
          <w:rFonts w:hint="eastAsia" w:ascii="宋体" w:hAnsi="宋体" w:eastAsia="宋体" w:cs="宋体"/>
          <w:sz w:val="24"/>
        </w:rPr>
        <w:t xml:space="preserve">，本合同自动全部或部分终止，相关遗留事项双方应按有关法律规定及本合同条款协商处理。</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10.2本合同执行期间，如遇不可抗力，致使合同无法履行时，双方应按有关法律规定及时协商处理。</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十一、争议处理本合同在履行中如发生争议，双方应协商解决或报请物业管理行政主管部门进行协调，协商或协调不成的，向服务项目所在地的人民法院提起诉讼。</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十二、合同附件</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双方可对本合同的条款及未尽事宜进行补充，以书面形式签订补充合同或会议纪要、备忘录，补充合同、会议纪要、备忘录与本合同具有同等效力。</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本合同及其附件和补充合同中未规定的事宜，均遵照国标和本市有关法律、法规和规章执行。</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十三、其他条款：</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13.1服务期间，乙方不得私自将本项目进行转包或分包，否则甲方有权立即中止合同，并不退还乙方履约保证金。</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13.2</w:t>
      </w:r>
      <w:r>
        <w:rPr>
          <w:rFonts w:hint="eastAsia" w:ascii="宋体" w:hAnsi="宋体" w:eastAsia="宋体" w:cs="宋体"/>
          <w:sz w:val="24"/>
          <w:lang w:val="en-US" w:eastAsia="zh-CN"/>
        </w:rPr>
        <w:t xml:space="preserve">贰年</w:t>
      </w:r>
      <w:r>
        <w:rPr>
          <w:rFonts w:hint="eastAsia" w:ascii="宋体" w:hAnsi="宋体" w:eastAsia="宋体" w:cs="宋体"/>
          <w:sz w:val="24"/>
        </w:rPr>
        <w:t xml:space="preserve">服务期满后，</w:t>
      </w:r>
      <w:r>
        <w:rPr>
          <w:rFonts w:hint="eastAsia" w:ascii="宋体" w:hAnsi="宋体" w:eastAsia="宋体" w:cs="宋体"/>
          <w:color w:val="ff0000"/>
          <w:sz w:val="24"/>
          <w:lang w:val="en-US" w:eastAsia="zh-CN"/>
        </w:rPr>
        <w:t xml:space="preserve">需重新招标</w:t>
      </w:r>
      <w:r>
        <w:rPr>
          <w:rFonts w:hint="eastAsia" w:ascii="宋体" w:hAnsi="宋体" w:eastAsia="宋体" w:cs="宋体"/>
          <w:sz w:val="24"/>
        </w:rPr>
        <w:t xml:space="preserve">。</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13.3本合同签订之日起十五日内，乙方持本合同到其他相关部门（物管办等）办理备案（含项目负责人备案）。</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十四、合同责任及生效</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14.1 本合同自签定盖章之日起生效。</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14.2合同期满本合同自然终止。</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14.3 自本合同生效、乙方正式进场之日起三十天内，根据甲方委托管理事项，办完交接验收手续。</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14.4 双方可对本合同的条款进行补充，以书面形式签订补充协议，补充协议与本合同具有同等效力。</w:t>
      </w:r>
      <w:r/>
    </w:p>
    <w:p>
      <w:pPr>
        <w:ind w:firstLine="480"/>
        <w:keepLines w:val="0"/>
        <w:keepNext w:val="0"/>
        <w:pageBreakBefore w:val="0"/>
        <w:spacing w:line="360" w:lineRule="auto"/>
        <w:rPr>
          <w:rFonts w:hint="default" w:ascii="宋体" w:hAnsi="宋体" w:eastAsia="宋体" w:cs="宋体"/>
          <w:sz w:val="24"/>
        </w:rPr>
      </w:pPr>
      <w:r>
        <w:rPr>
          <w:rFonts w:hint="eastAsia" w:ascii="宋体" w:hAnsi="宋体" w:eastAsia="宋体" w:cs="宋体"/>
          <w:sz w:val="24"/>
        </w:rPr>
        <w:t xml:space="preserve">十五、 本合同一式</w:t>
      </w:r>
      <w:r>
        <w:rPr>
          <w:rFonts w:hint="eastAsia" w:ascii="宋体" w:hAnsi="宋体" w:eastAsia="宋体" w:cs="宋体"/>
          <w:sz w:val="24"/>
          <w:u w:val="single"/>
        </w:rPr>
        <w:t xml:space="preserve"> 捌 </w:t>
      </w:r>
      <w:r>
        <w:rPr>
          <w:rFonts w:hint="eastAsia" w:ascii="宋体" w:hAnsi="宋体" w:eastAsia="宋体" w:cs="宋体"/>
          <w:sz w:val="24"/>
        </w:rPr>
        <w:t xml:space="preserve">份，甲、乙、丙三方各执两份，剩余交予各主管部门备案。</w:t>
      </w:r>
      <w:r/>
    </w:p>
    <w:p>
      <w:pPr>
        <w:ind w:firstLine="0"/>
        <w:jc w:val="left"/>
        <w:keepLines w:val="0"/>
        <w:keepNext w:val="0"/>
        <w:pageBreakBefore w:val="0"/>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ind w:firstLine="0"/>
        <w:jc w:val="left"/>
        <w:keepLines w:val="0"/>
        <w:keepNext w:val="0"/>
        <w:pageBreakBefore w:val="0"/>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r>
      <w:r/>
    </w:p>
    <w:p>
      <w:pPr>
        <w:ind w:firstLine="24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甲方：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   乙方： </w:t>
      </w:r>
      <w:r/>
    </w:p>
    <w:p>
      <w:pPr>
        <w:ind w:firstLine="24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   地址： </w:t>
      </w:r>
      <w:r/>
    </w:p>
    <w:p>
      <w:pPr>
        <w:ind w:firstLine="24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法定代表人或授权代表：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 法定代表人或授权代表：</w:t>
      </w:r>
      <w:r/>
    </w:p>
    <w:p>
      <w:pPr>
        <w:ind w:firstLine="24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联系电话：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   联系电话：          </w:t>
      </w:r>
      <w:r/>
    </w:p>
    <w:p>
      <w:pPr>
        <w:ind w:firstLine="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                                   </w:t>
      </w:r>
      <w:r/>
    </w:p>
    <w:p>
      <w:pPr>
        <w:ind w:firstLine="0"/>
        <w:jc w:val="left"/>
        <w:keepLines w:val="0"/>
        <w:keepNext w:val="0"/>
        <w:pageBreakBefore w:val="0"/>
        <w:spacing w:line="360" w:lineRule="auto"/>
        <w:widowControl/>
        <w:rPr>
          <w:rFonts w:hint="default" w:ascii="宋体" w:hAnsi="宋体" w:eastAsia="宋体" w:cs="宋体"/>
          <w:color w:val="000000"/>
          <w:sz w:val="24"/>
          <w:lang w:val="zh-CN"/>
        </w:rPr>
      </w:pPr>
      <w:r>
        <w:rPr>
          <w:rFonts w:hint="default" w:ascii="宋体" w:hAnsi="宋体" w:eastAsia="宋体" w:cs="宋体"/>
          <w:color w:val="000000"/>
          <w:sz w:val="24"/>
          <w:lang w:val="zh-CN"/>
        </w:rPr>
      </w:r>
      <w:r/>
    </w:p>
    <w:p>
      <w:pPr>
        <w:ind w:firstLine="24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丙方：</w:t>
      </w:r>
      <w:r/>
    </w:p>
    <w:p>
      <w:pPr>
        <w:ind w:firstLine="24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地址：</w:t>
      </w:r>
      <w:r/>
    </w:p>
    <w:p>
      <w:pPr>
        <w:ind w:firstLine="24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法定代表人或授权代表：</w:t>
      </w:r>
      <w:r/>
    </w:p>
    <w:p>
      <w:pPr>
        <w:ind w:firstLine="240"/>
        <w:jc w:val="lef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联系电话：</w:t>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default" w:ascii="宋体" w:hAnsi="宋体" w:eastAsia="宋体" w:cs="宋体"/>
          <w:color w:val="000000"/>
          <w:sz w:val="24"/>
          <w:lang w:val="zh-CN"/>
        </w:rPr>
      </w:r>
      <w:r/>
    </w:p>
    <w:p>
      <w:pPr>
        <w:ind w:firstLine="480"/>
        <w:jc w:val="left"/>
        <w:keepLines w:val="0"/>
        <w:keepNext w:val="0"/>
        <w:pageBreakBefore w:val="0"/>
        <w:spacing w:line="360" w:lineRule="auto"/>
        <w:widowControl/>
        <w:rPr>
          <w:rFonts w:hint="default" w:ascii="宋体" w:hAnsi="宋体" w:eastAsia="宋体" w:cs="宋体"/>
          <w:color w:val="000000"/>
          <w:sz w:val="24"/>
          <w:lang w:val="zh-CN"/>
        </w:rPr>
      </w:pPr>
      <w:r>
        <w:rPr>
          <w:rFonts w:hint="default" w:ascii="宋体" w:hAnsi="宋体" w:eastAsia="宋体" w:cs="宋体"/>
          <w:color w:val="000000"/>
          <w:sz w:val="24"/>
          <w:lang w:val="zh-CN"/>
        </w:rPr>
      </w:r>
      <w:r/>
    </w:p>
    <w:p>
      <w:pPr>
        <w:ind w:firstLine="480"/>
        <w:jc w:val="right"/>
        <w:keepLines w:val="0"/>
        <w:keepNext w:val="0"/>
        <w:pageBreakBefore w:val="0"/>
        <w:spacing w:line="360" w:lineRule="auto"/>
        <w:widowControl/>
        <w:rPr>
          <w:rFonts w:hint="default" w:ascii="宋体" w:hAnsi="宋体" w:eastAsia="宋体" w:cs="宋体"/>
          <w:color w:val="000000"/>
          <w:sz w:val="24"/>
          <w:lang w:val="zh-CN"/>
        </w:rPr>
      </w:pPr>
      <w:r>
        <w:rPr>
          <w:rFonts w:hint="eastAsia" w:ascii="宋体" w:hAnsi="宋体" w:eastAsia="宋体" w:cs="宋体"/>
          <w:color w:val="000000"/>
          <w:sz w:val="24"/>
          <w:lang w:val="zh-CN"/>
        </w:rPr>
        <w:t xml:space="preserve"> 签订日期：      年    月   日</w:t>
      </w:r>
      <w:r/>
    </w:p>
    <w:p>
      <w:pPr>
        <w:pStyle w:val="659"/>
        <w:rPr>
          <w:lang w:val="zh-CN"/>
        </w:rPr>
      </w:pPr>
      <w:r>
        <w:rPr>
          <w:lang w:val="zh-CN"/>
        </w:rPr>
      </w:r>
      <w:r/>
    </w:p>
    <w:p>
      <w:pPr>
        <w:pStyle w:val="659"/>
        <w:rPr>
          <w:lang w:val="zh-CN"/>
        </w:rPr>
      </w:pPr>
      <w:r>
        <w:rPr>
          <w:lang w:val="zh-CN"/>
        </w:rPr>
      </w:r>
      <w:r/>
    </w:p>
    <w:p>
      <w:pPr>
        <w:pStyle w:val="659"/>
        <w:rPr>
          <w:lang w:val="zh-CN"/>
        </w:rPr>
      </w:pPr>
      <w:r>
        <w:rPr>
          <w:lang w:val="zh-CN"/>
        </w:rPr>
      </w:r>
      <w:r/>
    </w:p>
    <w:p>
      <w:pPr>
        <w:rPr>
          <w:rFonts w:hint="eastAsia" w:ascii="宋体" w:hAnsi="宋体" w:eastAsia="宋体" w:cs="宋体"/>
          <w:b/>
          <w:bCs/>
          <w:sz w:val="24"/>
        </w:rPr>
      </w:pPr>
      <w:r>
        <w:rPr>
          <w:rFonts w:hint="eastAsia" w:ascii="宋体" w:hAnsi="宋体" w:eastAsia="宋体" w:cs="宋体"/>
          <w:b/>
          <w:bCs/>
          <w:sz w:val="24"/>
        </w:rPr>
        <w:br w:type="page" w:clear="all"/>
      </w:r>
      <w:r/>
    </w:p>
    <w:p>
      <w:pPr>
        <w:jc w:val="left"/>
        <w:spacing w:line="520" w:lineRule="exact"/>
        <w:widowControl/>
        <w:rPr>
          <w:rFonts w:hint="eastAsia" w:ascii="宋体" w:hAnsi="宋体" w:eastAsia="仿宋_GB2312" w:cs="宋体"/>
          <w:color w:val="0000ff"/>
          <w:lang w:eastAsia="zh-CN" w:bidi="ar"/>
        </w:rPr>
      </w:pPr>
      <w:r>
        <w:rPr>
          <w:rFonts w:hint="eastAsia" w:ascii="宋体" w:hAnsi="宋体" w:eastAsia="宋体" w:cs="宋体"/>
          <w:b/>
          <w:bCs/>
          <w:sz w:val="24"/>
        </w:rPr>
        <w:t xml:space="preserve">附件1：</w:t>
      </w:r>
      <w:r>
        <w:rPr>
          <w:rFonts w:hint="eastAsia" w:ascii="仿宋_GB2312" w:hAnsi="Calibri" w:eastAsia="仿宋_GB2312" w:cs="Times New Roman"/>
          <w:b/>
          <w:bCs/>
          <w:sz w:val="24"/>
        </w:rPr>
        <w:t xml:space="preserve">东台镇物业服务工作考核实施细则</w:t>
      </w:r>
      <w:r>
        <w:rPr>
          <w:rFonts w:hint="eastAsia" w:ascii="仿宋_GB2312" w:hAnsi="Calibri" w:eastAsia="仿宋_GB2312" w:cs="Times New Roman"/>
          <w:b/>
          <w:bCs/>
          <w:color w:val="ff0000"/>
          <w:sz w:val="24"/>
          <w:lang w:eastAsia="zh-CN"/>
        </w:rPr>
        <w:t xml:space="preserve">（</w:t>
      </w:r>
      <w:r>
        <w:rPr>
          <w:rFonts w:hint="eastAsia" w:ascii="仿宋_GB2312" w:hAnsi="Calibri" w:eastAsia="仿宋_GB2312" w:cs="Times New Roman"/>
          <w:b/>
          <w:bCs/>
          <w:color w:val="ff0000"/>
          <w:sz w:val="24"/>
          <w:lang w:val="en-US" w:eastAsia="zh-CN"/>
        </w:rPr>
        <w:t xml:space="preserve">实际以最新的表为准</w:t>
      </w:r>
      <w:r>
        <w:rPr>
          <w:rFonts w:hint="eastAsia" w:ascii="仿宋_GB2312" w:hAnsi="Calibri" w:eastAsia="仿宋_GB2312" w:cs="Times New Roman"/>
          <w:b/>
          <w:bCs/>
          <w:color w:val="ff0000"/>
          <w:sz w:val="24"/>
          <w:lang w:eastAsia="zh-CN"/>
        </w:rPr>
        <w:t xml:space="preserve">）</w:t>
      </w:r>
      <w:r/>
    </w:p>
    <w:tbl>
      <w:tblPr>
        <w:tblStyle w:val="642"/>
        <w:tblpPr w:horzAnchor="margin" w:tblpXSpec="center" w:vertAnchor="text" w:tblpY="840" w:leftFromText="180" w:topFromText="0" w:rightFromText="180" w:bottomFromText="0"/>
        <w:tblW w:w="8978" w:type="dxa"/>
        <w:tblInd w:w="0" w:type="dxa"/>
        <w:tblLayout w:type="autofit"/>
        <w:tblCellMar>
          <w:left w:w="108" w:type="dxa"/>
          <w:top w:w="0" w:type="dxa"/>
          <w:right w:w="108" w:type="dxa"/>
          <w:bottom w:w="0" w:type="dxa"/>
        </w:tblCellMar>
        <w:tblLook w:val="04A0" w:firstRow="1" w:lastRow="0" w:firstColumn="1" w:lastColumn="0" w:noHBand="0" w:noVBand="1"/>
      </w:tblPr>
      <w:tblGrid>
        <w:gridCol w:w="515"/>
        <w:gridCol w:w="1031"/>
        <w:gridCol w:w="674"/>
        <w:gridCol w:w="1150"/>
        <w:gridCol w:w="3915"/>
        <w:gridCol w:w="1693"/>
      </w:tblGrid>
      <w:tr>
        <w:trPr>
          <w:trHeight w:val="704"/>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考核</w:t>
            </w:r>
            <w:r/>
          </w:p>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事项</w:t>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考核内容</w:t>
            </w:r>
            <w:r/>
          </w:p>
        </w:tc>
        <w:tc>
          <w:tcPr>
            <w:gridSpan w:val="2"/>
            <w:tcBorders>
              <w:top w:val="single" w:color="000000" w:sz="4" w:space="0"/>
              <w:left w:val="single" w:color="000000" w:sz="4" w:space="0"/>
              <w:bottom w:val="single" w:color="000000" w:sz="4" w:space="0"/>
              <w:right w:val="single" w:color="000000" w:sz="4" w:space="0"/>
            </w:tcBorders>
            <w:tcW w:w="5608" w:type="dxa"/>
            <w:vAlign w:val="center"/>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扣分标准</w:t>
            </w:r>
            <w:r/>
          </w:p>
        </w:tc>
      </w:tr>
      <w:tr>
        <w:trPr>
          <w:trHeight w:val="3132"/>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宣传氛围</w:t>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公益广告</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有社会主义核心价值观、中国梦主题公益广告；有倡导绿色生活、孝老爱亲、邻里和谐、节俭养德、移风易俗、文明礼仪、关爱未成年人等“讲文明，树新风”公益广告；显著位置有善行义举榜（好人榜）；有市民公约和社区居民公约；文明城市、文明社区、文明家庭等精神文明创建内容；15分钟便民生活圈；公益宣传栏有破旧损坏的，要及时报告主管部门</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缺失一处扣1分</w:t>
            </w:r>
            <w:r/>
          </w:p>
        </w:tc>
      </w:tr>
      <w:tr>
        <w:trPr>
          <w:cantSplit/>
          <w:trHeight w:val="1051"/>
        </w:trPr>
        <w:tc>
          <w:tcPr>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公共设施</w:t>
            </w:r>
            <w:r/>
          </w:p>
        </w:tc>
        <w:tc>
          <w:tcPr>
            <w:tcBorders>
              <w:top w:val="single" w:color="000000" w:sz="4" w:space="0"/>
              <w:left w:val="single" w:color="000000" w:sz="4" w:space="0"/>
              <w:bottom w:val="single" w:color="000000" w:sz="4" w:space="0"/>
              <w:right w:val="single" w:color="000000" w:sz="4" w:space="0"/>
            </w:tcBorders>
            <w:tcW w:w="674" w:type="dxa"/>
            <w:vAlign w:val="center"/>
            <w:vMerge w:val="restart"/>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路面</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路面硬化、平整，无明显破损（面积大于0.5平方米），无明显坑洼积水，无露天排水沟渠，无受压飚水的面砖</w:t>
            </w:r>
            <w:r/>
          </w:p>
        </w:tc>
        <w:tc>
          <w:tcPr>
            <w:tcBorders>
              <w:top w:val="single" w:color="000000" w:sz="4" w:space="0"/>
              <w:left w:val="single" w:color="000000" w:sz="4" w:space="0"/>
              <w:bottom w:val="single" w:color="000000" w:sz="4" w:space="0"/>
              <w:right w:val="single" w:color="000000" w:sz="4" w:space="0"/>
            </w:tcBorders>
            <w:tcW w:w="1693" w:type="dxa"/>
            <w:vAlign w:val="center"/>
            <w:vMerge w:val="restart"/>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一处不符要求扣1分（已上报的不扣分）</w:t>
            </w:r>
            <w:r/>
          </w:p>
        </w:tc>
      </w:tr>
      <w:tr>
        <w:trPr>
          <w:cantSplit/>
          <w:trHeight w:val="704"/>
        </w:trPr>
        <w:tc>
          <w:tcPr>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674" w:type="dxa"/>
            <w:vAlign w:val="center"/>
            <w:vMerge w:val="continue"/>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公共设施</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小区公共座椅、健身器材等公共设施完好，无损坏公共设施现象</w:t>
            </w:r>
            <w:r/>
          </w:p>
        </w:tc>
        <w:tc>
          <w:tcPr>
            <w:tcBorders>
              <w:top w:val="single" w:color="000000" w:sz="4" w:space="0"/>
              <w:left w:val="single" w:color="000000" w:sz="4" w:space="0"/>
              <w:bottom w:val="single" w:color="000000" w:sz="4" w:space="0"/>
              <w:right w:val="single" w:color="000000" w:sz="4" w:space="0"/>
            </w:tcBorders>
            <w:tcW w:w="1693" w:type="dxa"/>
            <w:vAlign w:val="center"/>
            <w:vMerge w:val="continue"/>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674" w:type="dxa"/>
            <w:vAlign w:val="center"/>
            <w:vMerge w:val="continue"/>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内外墙体状况</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内外墙无明显斑驳、脱落；外墙无餐馆烟道形成的油污</w:t>
            </w:r>
            <w:r/>
          </w:p>
        </w:tc>
        <w:tc>
          <w:tcPr>
            <w:tcBorders>
              <w:top w:val="single" w:color="000000" w:sz="4" w:space="0"/>
              <w:left w:val="single" w:color="000000" w:sz="4" w:space="0"/>
              <w:bottom w:val="single" w:color="000000" w:sz="4" w:space="0"/>
              <w:right w:val="single" w:color="000000" w:sz="4" w:space="0"/>
            </w:tcBorders>
            <w:tcW w:w="1693" w:type="dxa"/>
            <w:vAlign w:val="center"/>
            <w:vMerge w:val="continue"/>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r>
      <w:tr>
        <w:trPr>
          <w:cantSplit/>
          <w:trHeight w:val="3826"/>
        </w:trPr>
        <w:tc>
          <w:tcPr>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卫生保洁</w:t>
            </w:r>
            <w:r/>
          </w:p>
        </w:tc>
        <w:tc>
          <w:tcPr>
            <w:tcBorders>
              <w:top w:val="single" w:color="000000" w:sz="4" w:space="0"/>
              <w:left w:val="single" w:color="000000" w:sz="4" w:space="0"/>
              <w:bottom w:val="single" w:color="000000" w:sz="4" w:space="0"/>
              <w:right w:val="single" w:color="000000" w:sz="4" w:space="0"/>
            </w:tcBorders>
            <w:tcW w:w="674" w:type="dxa"/>
            <w:vAlign w:val="center"/>
            <w:vMerge w:val="restart"/>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内外环境</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环境绿化美化，卫生状况良好，地面无烟蒂、无纸屑、无痰迹；无乱扔垃圾、随地吐痰现象；楼门内干净整洁，楼道无乱堆放、无堵塞、无乱贴小广告现象；楼道各类表箱无锈蚀、无关不上现象，无报废表箱；楼梯扶手、楼层拐角无灰尘、无蛛网；楼层平台无垃圾；照明灯完好；墙面、玻璃无污秽破损；绿化完好且修剪整齐，中间无隐藏垃圾（建筑垃圾、烟蒂、塑料袋等），无破坏绿化现象，保洁人员在岗在位</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一处不符要求扣0.5分</w:t>
            </w:r>
            <w:r/>
          </w:p>
        </w:tc>
      </w:tr>
      <w:tr>
        <w:trPr>
          <w:cantSplit/>
          <w:trHeight w:val="1745"/>
        </w:trPr>
        <w:tc>
          <w:tcPr>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674" w:type="dxa"/>
            <w:vAlign w:val="center"/>
            <w:vMerge w:val="continue"/>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垃圾收集</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垃圾分类容器、标识齐全，垃圾实现分类投放和驳运；垃圾箱（桶）完好、整洁、密闭，垃圾箱房周围无垃圾散落、外溢现象；装修垃圾、大件垃圾、绿化垃圾规范管理，及时清理，无混入生活垃圾现象</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一处不符要求扣1分</w:t>
            </w:r>
            <w:r/>
          </w:p>
        </w:tc>
      </w:tr>
      <w:tr>
        <w:trPr>
          <w:cantSplit/>
          <w:trHeight w:val="704"/>
        </w:trPr>
        <w:tc>
          <w:tcPr>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674" w:type="dxa"/>
            <w:vAlign w:val="center"/>
            <w:vMerge w:val="continue"/>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公厕</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公共厕所清洁卫生，无积垢、无异味，室内外清洁，无乱堆放</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一处不符要求扣1分</w:t>
            </w:r>
            <w:r/>
          </w:p>
        </w:tc>
      </w:tr>
      <w:tr>
        <w:trPr>
          <w:cantSplit/>
          <w:trHeight w:val="1745"/>
        </w:trPr>
        <w:tc>
          <w:tcPr>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674" w:type="dxa"/>
            <w:vAlign w:val="center"/>
            <w:vMerge w:val="continue"/>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城乡结合部、拆迁区域</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视线范围内道路、河沟、农田生活垃圾、生产垃圾、建筑垃圾，畜禽养殖场粪便、小作坊生活污水等污染物直排沟河的，道路两侧绿化倾斜、倒伏、有牵藤植物、影响交通等</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一处不符要求扣1分</w:t>
            </w:r>
            <w:r/>
          </w:p>
        </w:tc>
      </w:tr>
      <w:tr>
        <w:trPr>
          <w:trHeight w:val="1398"/>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环境整治</w:t>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环境整治</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无乱搭乱建、乱堆杂物现象；无乱张贴、乱涂写现象；无乱披挂、乱晾晒现象；机动车、非机动车无乱停乱放现象；楼道内无乱充电现象</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一处不符要求扣1分</w:t>
            </w:r>
            <w:r/>
          </w:p>
        </w:tc>
      </w:tr>
      <w:tr>
        <w:trPr>
          <w:trHeight w:val="704"/>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文明养犬</w:t>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遛狗牵绳</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遛狗牵绳，小区路面无宠物粪便</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一处不符要求扣1分</w:t>
            </w:r>
            <w:r/>
          </w:p>
        </w:tc>
      </w:tr>
      <w:tr>
        <w:trPr>
          <w:cantSplit/>
          <w:trHeight w:val="704"/>
        </w:trPr>
        <w:tc>
          <w:tcPr>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消防设施</w:t>
            </w:r>
            <w:r/>
          </w:p>
        </w:tc>
        <w:tc>
          <w:tcPr>
            <w:tcBorders>
              <w:top w:val="single" w:color="000000" w:sz="4" w:space="0"/>
              <w:left w:val="single" w:color="000000" w:sz="4" w:space="0"/>
              <w:bottom w:val="single" w:color="000000" w:sz="4" w:space="0"/>
              <w:right w:val="single" w:color="000000" w:sz="4" w:space="0"/>
            </w:tcBorders>
            <w:tcW w:w="674" w:type="dxa"/>
            <w:vAlign w:val="center"/>
            <w:vMerge w:val="restart"/>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业务培训演练</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对场所消防安全管理人员组织安全业务培训、警示教育和应急演练。</w:t>
            </w:r>
            <w:r/>
          </w:p>
        </w:tc>
        <w:tc>
          <w:tcPr>
            <w:tcBorders>
              <w:top w:val="single" w:color="000000" w:sz="4" w:space="0"/>
              <w:left w:val="single" w:color="000000" w:sz="4" w:space="0"/>
              <w:bottom w:val="single" w:color="000000" w:sz="4" w:space="0"/>
              <w:right w:val="single" w:color="000000" w:sz="4" w:space="0"/>
            </w:tcBorders>
            <w:tcW w:w="1693" w:type="dxa"/>
            <w:vAlign w:val="center"/>
            <w:vMerge w:val="restart"/>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一处不符要求扣1分</w:t>
            </w:r>
            <w:r/>
          </w:p>
        </w:tc>
      </w:tr>
      <w:tr>
        <w:trPr>
          <w:cantSplit/>
          <w:trHeight w:val="1745"/>
        </w:trPr>
        <w:tc>
          <w:tcPr>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674" w:type="dxa"/>
            <w:vAlign w:val="center"/>
            <w:vMerge w:val="continue"/>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四防设施</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有符合标准的物防、技防、人防、消防设施，设施完好（消防栓、软管卷盘、灭火器等设施设备齐全，在有效期内）；有视频监控设施和监控标识；消防设施在有效期内，有检查卡</w:t>
            </w:r>
            <w:r/>
          </w:p>
        </w:tc>
        <w:tc>
          <w:tcPr>
            <w:tcBorders>
              <w:top w:val="single" w:color="000000" w:sz="4" w:space="0"/>
              <w:left w:val="single" w:color="000000" w:sz="4" w:space="0"/>
              <w:bottom w:val="single" w:color="000000" w:sz="4" w:space="0"/>
              <w:right w:val="single" w:color="000000" w:sz="4" w:space="0"/>
            </w:tcBorders>
            <w:tcW w:w="1693" w:type="dxa"/>
            <w:vAlign w:val="center"/>
            <w:vMerge w:val="continue"/>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r>
      <w:tr>
        <w:trPr>
          <w:cantSplit/>
          <w:trHeight w:val="357"/>
        </w:trPr>
        <w:tc>
          <w:tcPr>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674" w:type="dxa"/>
            <w:vAlign w:val="center"/>
            <w:vMerge w:val="continue"/>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消防通道</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无占用、堵塞、封闭消防车通道现象</w:t>
            </w:r>
            <w:r/>
          </w:p>
        </w:tc>
        <w:tc>
          <w:tcPr>
            <w:tcBorders>
              <w:top w:val="single" w:color="000000" w:sz="4" w:space="0"/>
              <w:left w:val="single" w:color="000000" w:sz="4" w:space="0"/>
              <w:bottom w:val="single" w:color="000000" w:sz="4" w:space="0"/>
              <w:right w:val="single" w:color="000000" w:sz="4" w:space="0"/>
            </w:tcBorders>
            <w:tcW w:w="1693" w:type="dxa"/>
            <w:vAlign w:val="center"/>
            <w:vMerge w:val="continue"/>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r>
      <w:tr>
        <w:trPr>
          <w:cantSplit/>
          <w:trHeight w:val="1745"/>
        </w:trPr>
        <w:tc>
          <w:tcPr>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674" w:type="dxa"/>
            <w:vAlign w:val="center"/>
            <w:vMerge w:val="continue"/>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值班巡查在岗</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场所物业企业（管理单位）落实消防安全主体责任，制定灭火和应急疏散预案，组织防火检查、消防宣传，落实 24 小时值班值守制度，值班人员熟练掌握应急处置要求。</w:t>
            </w:r>
            <w:r/>
          </w:p>
        </w:tc>
        <w:tc>
          <w:tcPr>
            <w:tcBorders>
              <w:top w:val="single" w:color="000000" w:sz="4" w:space="0"/>
              <w:left w:val="single" w:color="000000" w:sz="4" w:space="0"/>
              <w:bottom w:val="single" w:color="000000" w:sz="4" w:space="0"/>
              <w:right w:val="single" w:color="000000" w:sz="4" w:space="0"/>
            </w:tcBorders>
            <w:tcW w:w="1693" w:type="dxa"/>
            <w:vAlign w:val="center"/>
            <w:vMerge w:val="continue"/>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r>
      <w:tr>
        <w:trPr>
          <w:trHeight w:val="1051"/>
        </w:trPr>
        <w:tc>
          <w:tcPr>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交办事项</w:t>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交办等事项</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市、镇交办单等事项按照要求落实到位（“12345”政府热线、数字化城管、创文平台）</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一件不符要求扣1分</w:t>
            </w:r>
            <w:r/>
          </w:p>
        </w:tc>
      </w:tr>
      <w:tr>
        <w:trPr>
          <w:cantSplit/>
          <w:trHeight w:val="704"/>
        </w:trPr>
        <w:tc>
          <w:tcPr>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日常管理</w:t>
            </w:r>
            <w:r/>
          </w:p>
        </w:tc>
        <w:tc>
          <w:tcPr>
            <w:tcBorders>
              <w:top w:val="single" w:color="000000" w:sz="4" w:space="0"/>
              <w:left w:val="single" w:color="000000" w:sz="4" w:space="0"/>
              <w:bottom w:val="single" w:color="000000" w:sz="4" w:space="0"/>
              <w:right w:val="single" w:color="000000" w:sz="4" w:space="0"/>
            </w:tcBorders>
            <w:tcW w:w="674" w:type="dxa"/>
            <w:vAlign w:val="center"/>
            <w:vMerge w:val="restart"/>
            <w:textDirection w:val="lrTb"/>
            <w:noWrap/>
          </w:tcPr>
          <w:p>
            <w:pPr>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人员在岗</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项目经理正常在岗，保安、保洁人员按合同要求配合并在岗</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未在岗一人次扣1分</w:t>
            </w:r>
            <w:r/>
          </w:p>
        </w:tc>
      </w:tr>
      <w:tr>
        <w:trPr>
          <w:cantSplit/>
          <w:trHeight w:val="1409"/>
        </w:trPr>
        <w:tc>
          <w:tcPr>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674" w:type="dxa"/>
            <w:vAlign w:val="center"/>
            <w:vMerge w:val="continue"/>
            <w:textDirection w:val="lrTb"/>
            <w:noWrap/>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制度公开</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依据江苏省物业管理条例和物业管理合同，对物业服务内容、服务标准、收费事项、收费标准以及物业服务费用、经营设施收益收支情况等公示</w:t>
            </w: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val="false"/>
          </w:tcPr>
          <w:p>
            <w:pP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未公开一项扣1分</w:t>
            </w:r>
            <w:r/>
          </w:p>
        </w:tc>
      </w:tr>
    </w:tbl>
    <w:p>
      <w:pPr>
        <w:pStyle w:val="648"/>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br w:type="page" w:clear="all"/>
      </w:r>
      <w:r>
        <w:rPr>
          <w:rFonts w:hint="eastAsia" w:ascii="黑体" w:hAnsi="宋体" w:eastAsia="黑体" w:cs="黑体"/>
          <w:color w:val="auto"/>
          <w:sz w:val="44"/>
          <w:szCs w:val="44"/>
          <w:highlight w:val="none"/>
        </w:rPr>
        <w:t xml:space="preserve"> 第</w:t>
      </w:r>
      <w:bookmarkEnd w:id="174"/>
      <w:r>
        <w:rPr>
          <w:rFonts w:hint="eastAsia" w:ascii="黑体" w:hAnsi="宋体" w:eastAsia="黑体" w:cs="黑体"/>
          <w:color w:val="auto"/>
          <w:sz w:val="44"/>
          <w:szCs w:val="44"/>
          <w:highlight w:val="none"/>
        </w:rPr>
        <w:t xml:space="preserve">四章 采购需求</w:t>
      </w:r>
      <w:bookmarkEnd w:id="175"/>
      <w:r/>
      <w:bookmarkEnd w:id="176"/>
      <w:r/>
      <w:bookmarkEnd w:id="177"/>
      <w:r/>
      <w:bookmarkEnd w:id="178"/>
      <w:r/>
      <w:bookmarkEnd w:id="179"/>
      <w:r/>
      <w:r/>
    </w:p>
    <w:p>
      <w:pPr>
        <w:pStyle w:val="648"/>
        <w:jc w:val="both"/>
        <w:spacing w:beforeAutospacing="0" w:afterAutospacing="0" w:line="0" w:lineRule="atLeast"/>
        <w:rPr>
          <w:rFonts w:hint="eastAsia" w:ascii="宋体" w:hAnsi="宋体" w:eastAsia="宋体" w:cs="宋体"/>
          <w:b/>
          <w:bCs/>
          <w:color w:val="auto"/>
          <w:sz w:val="24"/>
          <w:szCs w:val="24"/>
          <w:highlight w:val="none"/>
        </w:rPr>
      </w:pPr>
      <w:r/>
      <w:bookmarkStart w:id="182" w:name="_Toc49090575"/>
      <w:r/>
      <w:bookmarkStart w:id="183" w:name="_Toc26554093"/>
      <w:r>
        <w:rPr>
          <w:rFonts w:hint="eastAsia" w:ascii="宋体" w:hAnsi="宋体" w:eastAsia="宋体" w:cs="宋体"/>
          <w:b/>
          <w:bCs/>
          <w:color w:val="auto"/>
          <w:sz w:val="24"/>
          <w:szCs w:val="24"/>
          <w:highlight w:val="none"/>
        </w:rPr>
        <w:t xml:space="preserve">项目属性:服务类项目。</w:t>
      </w:r>
      <w:bookmarkEnd w:id="182"/>
      <w:r/>
      <w:bookmarkEnd w:id="183"/>
      <w:r/>
      <w:r/>
    </w:p>
    <w:p>
      <w:pPr>
        <w:pStyle w:val="648"/>
        <w:ind w:firstLine="480"/>
        <w:jc w:val="both"/>
        <w:keepLines w:val="0"/>
        <w:keepNext w:val="0"/>
        <w:pageBreakBefore w:val="0"/>
        <w:spacing w:beforeAutospacing="0" w:afterAutospacing="0" w:line="0" w:lineRule="atLeast"/>
        <w:rPr>
          <w:rFonts w:hint="eastAsia" w:ascii="宋体" w:hAnsi="宋体" w:eastAsia="宋体" w:cs="宋体"/>
          <w:b/>
          <w:bCs/>
          <w:sz w:val="36"/>
        </w:rPr>
      </w:pPr>
      <w:r>
        <w:rPr>
          <w:rFonts w:hint="eastAsia" w:ascii="宋体" w:hAnsi="宋体" w:eastAsia="宋体" w:cs="宋体"/>
          <w:color w:val="auto"/>
          <w:sz w:val="24"/>
          <w:szCs w:val="24"/>
          <w:highlight w:val="none"/>
        </w:rPr>
        <w:t xml:space="preserve"> </w:t>
      </w:r>
      <w:r>
        <w:rPr>
          <w:rFonts w:hint="eastAsia" w:ascii="宋体" w:hAnsi="宋体" w:eastAsia="宋体" w:cs="宋体"/>
          <w:b/>
          <w:bCs/>
          <w:sz w:val="24"/>
        </w:rPr>
        <w:t xml:space="preserve">一、需求及标准</w:t>
      </w:r>
      <w:r/>
    </w:p>
    <w:p>
      <w:pPr>
        <w:ind w:right="0" w:firstLine="482"/>
        <w:jc w:val="left"/>
        <w:keepLines w:val="0"/>
        <w:keepNext w:val="0"/>
        <w:pageBreakBefore w:val="0"/>
        <w:spacing w:line="300" w:lineRule="auto"/>
        <w:widowControl/>
        <w:rPr>
          <w:rFonts w:hint="eastAsia" w:ascii="宋体" w:hAnsi="宋体" w:eastAsia="宋体" w:cs="宋体"/>
          <w:b/>
          <w:bCs/>
          <w:sz w:val="24"/>
        </w:rPr>
      </w:pPr>
      <w:r>
        <w:rPr>
          <w:rFonts w:hint="eastAsia" w:ascii="宋体" w:hAnsi="宋体" w:eastAsia="宋体" w:cs="宋体"/>
          <w:b/>
          <w:bCs/>
          <w:sz w:val="24"/>
        </w:rPr>
        <w:t xml:space="preserve">（一）卫生保洁</w:t>
      </w:r>
      <w:r/>
    </w:p>
    <w:p>
      <w:pPr>
        <w:ind w:right="0" w:firstLine="480"/>
        <w:jc w:val="left"/>
        <w:keepLines w:val="0"/>
        <w:keepNext w:val="0"/>
        <w:pageBreakBefore w:val="0"/>
        <w:spacing w:line="30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1、保洁范围：</w:t>
      </w:r>
      <w:r/>
    </w:p>
    <w:p>
      <w:pPr>
        <w:ind w:right="0" w:firstLine="480"/>
        <w:jc w:val="left"/>
        <w:keepLines w:val="0"/>
        <w:keepNext w:val="0"/>
        <w:pageBreakBefore w:val="0"/>
        <w:spacing w:line="300" w:lineRule="auto"/>
        <w:widowControl/>
        <w:rPr>
          <w:rFonts w:hint="eastAsia" w:ascii="宋体" w:hAnsi="宋体" w:eastAsia="宋体" w:cs="宋体"/>
          <w:sz w:val="24"/>
          <w:lang w:val="zh-CN"/>
        </w:rPr>
      </w:pPr>
      <w:r>
        <w:rPr>
          <w:rFonts w:hint="eastAsia" w:ascii="宋体" w:hAnsi="宋体" w:eastAsia="宋体" w:cs="宋体"/>
          <w:color w:val="000000"/>
          <w:sz w:val="24"/>
          <w:szCs w:val="22"/>
        </w:rPr>
        <w:t xml:space="preserve">在</w:t>
      </w:r>
      <w:r>
        <w:rPr>
          <w:rFonts w:hint="eastAsia" w:ascii="宋体" w:hAnsi="宋体" w:eastAsia="宋体" w:cs="宋体"/>
          <w:color w:val="000000"/>
          <w:sz w:val="24"/>
          <w:lang w:val="zh-CN"/>
        </w:rPr>
        <w:t xml:space="preserve">服务期内负责该区域内道路（环卫处管理范围以外的主次干道及背街后巷）、室内外公共区域及设施设备的卫生保洁、沟塘、河道保洁（市政河长制范围以外的镇级、村级）、公厕保洁、垃圾（生活垃圾、生产垃圾）分类、收集及运输、小广告清理、街道秩序维护与安全保障、配套景观绿化管护、清理乱堆乱放和乱建乱搭、公共区域和公共设施的水电维保、消防设备协调管理、公共房屋的维护管理，同时完成招标人要求的临时性工作</w:t>
      </w:r>
      <w:r>
        <w:rPr>
          <w:rFonts w:hint="eastAsia" w:ascii="宋体" w:hAnsi="宋体" w:eastAsia="宋体" w:cs="宋体"/>
          <w:sz w:val="24"/>
          <w:lang w:val="zh-CN" w:bidi="ar"/>
        </w:rPr>
        <w:t xml:space="preserve">（如汛期</w:t>
      </w:r>
      <w:r>
        <w:rPr>
          <w:rFonts w:hint="eastAsia" w:ascii="宋体" w:hAnsi="宋体" w:eastAsia="宋体" w:cs="宋体"/>
          <w:sz w:val="24"/>
          <w:lang w:bidi="ar"/>
        </w:rPr>
        <w:t xml:space="preserve">需及时安排排水设施，每10万平方至少一台排水设施</w:t>
      </w:r>
      <w:r>
        <w:rPr>
          <w:rFonts w:hint="eastAsia" w:ascii="宋体" w:hAnsi="宋体" w:eastAsia="宋体" w:cs="宋体"/>
          <w:sz w:val="24"/>
          <w:lang w:val="zh-CN" w:bidi="ar"/>
        </w:rPr>
        <w:t xml:space="preserve">等）</w:t>
      </w:r>
      <w:r>
        <w:rPr>
          <w:rFonts w:hint="eastAsia" w:ascii="宋体" w:hAnsi="宋体" w:eastAsia="宋体" w:cs="宋体"/>
          <w:sz w:val="24"/>
          <w:lang w:val="zh-CN"/>
        </w:rPr>
        <w:t xml:space="preserve">。</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2、保洁要求</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（１）室外区域</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①每天清扫道路、停车场、绿化带的地面不少于两次，每小时巡视一次，发现脏物、落叶、废品应及时处理。对区域内各种设施进行抹尘和清洗，保持外围干净、整洁。</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②根据各种地面脏的程度要随时进行清洗。局部地面每月用机器彻底清洗一次。</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③绿化带重点巡查，及时清扫果皮、废纸、杂物等垃圾。</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④及时收集各类垃圾，堆放在指定地点。清运时密封装置，确保无飘洒和漏水现象。及时清洗垃圾筒筒身，更换垃圾袋，保持干净、无异味、无满溢，每周使用消毒剂进行彻底消毒，使蚊蝇鼠虫无滋生源。</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⑤保持路牌、标识、消防箱、电表箱、水表箱、外围灯柱、音箱等物体表面上的清洁，及时处理违章乱贴、乱画的海报、小广告及污迹。</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⑥每周清除一次卫生死角，公共灯具、宣传栏、水管处、下水道口、排水沟、水池、雨水槽内阴沟、污水井等地方，要确保其内无杂物。</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⑦保持指示牌、标识、室外公共设施设备及景观部分设施（含景石）的清洁，及时处理各种污迹。</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⑧室内、外公共区域管道及化粪池抽吸外运、疏通、清洗（一次/年）。</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⑨遇冰雪恶劣天气需保持场地及道路清畅。</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⑩公共建筑物外墙3米以下随时保洁，保持无污渍。</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（2）室内公共区域的门庭、大厅、走廊、电梯、楼梯等</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① 每日循环清扫地面垃圾，清除台面、地面的污迹，每周彻底清洗一次，平时发现污渍及时处理。</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② 每日抹净门厅玻璃，每周彻底清洗一次，保持玻璃干净明亮，无手印、无水印、擦净门框、柱子等灰尘。公共部位窗户玻璃随时卫生保洁，平时发现手印、污渍及时擦净。</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③ 每日抹净大厅内指示牌、告示牌、显示屏、接待台等，抹净各处灯罩、金属框、绿植架，使其无积尘，每周彻底清除沙发、茶几等各处卫生死。</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④ 大厅各处金属包边、告示牌支架等，用金属清洁保养剂擦亮，保持无手印、无氧化痕迹、无锈蚀，每日擦一次。</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⑤ 每日擦抹风口、灭火器，使其光亮照人。</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⑥ 用推尘布抹净块料地面，保持地面无脚印、无灰尘，视地面磨损情况进行晶面处理的保养维护，使其光亮照人。</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⑦ 抹净墙面的灰尘，抹净公用电话，不可留有指印或污迹，并定期用消毒水抹洗。垃圾不能满过筒身之际的1/2。每日清倒垃圾两次，及时更换垃圾袋，及时处理垃圾筒上面的痰迹，使其外表干净、光亮、无满溢垃圾现象。</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⑧ 对大厅、门厅、电梯厅通道及楼道落灰，每天清理一次，使其干净，看不到灰尘。</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⑨ 每日清扫拖净电梯间地面，抹净内外壁，保持无手印、污渍、无灰尘。定期用金属清洁剂进行保养，减少氧化、锈蚀的程度，保持电梯干净光亮、整洁。</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⑩ 每日擦净大堂块料面墙壁，使其光亮，保持录像眼、风口、天花板及扬声器洁净，定期清除灯罩上面的灰尘和消防器材的灰尘，保持无积尘、干净。</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eq \o\ac(○,</w:instrText>
      </w:r>
      <w:r>
        <w:rPr>
          <w:rFonts w:hint="eastAsia" w:ascii="宋体" w:hAnsi="宋体" w:eastAsia="宋体" w:cs="宋体"/>
          <w:position w:val="3"/>
          <w:sz w:val="16"/>
        </w:rPr>
        <w:instrText xml:space="preserve">11</w:instrText>
      </w:r>
      <w:r>
        <w:rPr>
          <w:rFonts w:hint="eastAsia" w:ascii="宋体" w:hAnsi="宋体" w:eastAsia="宋体" w:cs="宋体"/>
          <w:sz w:val="24"/>
        </w:rPr>
        <w:instrText xml:space="preserve">)</w:instrText>
      </w:r>
      <w:r>
        <w:rPr>
          <w:rFonts w:hint="eastAsia" w:ascii="宋体" w:hAnsi="宋体" w:eastAsia="宋体" w:cs="宋体"/>
          <w:sz w:val="24"/>
        </w:rPr>
        <w:fldChar w:fldCharType="end"/>
      </w:r>
      <w:r>
        <w:rPr>
          <w:rFonts w:hint="eastAsia" w:ascii="宋体" w:hAnsi="宋体" w:eastAsia="宋体" w:cs="宋体"/>
          <w:sz w:val="24"/>
        </w:rPr>
        <w:t xml:space="preserve">每天至少擦抹检查一次大厅的盆栽植物、绿植槽，保持盆栽无黄叶、烟头纸屑等杂物，使其无尘、无垃圾。</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eq \o\ac(○,</w:instrText>
      </w:r>
      <w:r>
        <w:rPr>
          <w:rFonts w:hint="eastAsia" w:ascii="宋体" w:hAnsi="宋体" w:eastAsia="宋体" w:cs="宋体"/>
          <w:position w:val="2"/>
          <w:sz w:val="16"/>
        </w:rPr>
        <w:instrText xml:space="preserve">12</w:instrText>
      </w:r>
      <w:r>
        <w:rPr>
          <w:rFonts w:hint="eastAsia" w:ascii="宋体" w:hAnsi="宋体" w:eastAsia="宋体" w:cs="宋体"/>
          <w:sz w:val="24"/>
        </w:rPr>
        <w:instrText xml:space="preserve">)</w:instrText>
      </w:r>
      <w:r>
        <w:rPr>
          <w:rFonts w:hint="eastAsia" w:ascii="宋体" w:hAnsi="宋体" w:eastAsia="宋体" w:cs="宋体"/>
          <w:sz w:val="24"/>
        </w:rPr>
        <w:fldChar w:fldCharType="end"/>
      </w:r>
      <w:r>
        <w:rPr>
          <w:rFonts w:hint="eastAsia" w:ascii="宋体" w:hAnsi="宋体" w:eastAsia="宋体" w:cs="宋体"/>
          <w:sz w:val="24"/>
        </w:rPr>
        <w:t xml:space="preserve">楼梯间墙面每周除尘一次；楼梯间、休闲区无灰尘，无乱贴乱画，无擅自占用现象。</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eq \o\ac(○,</w:instrText>
      </w:r>
      <w:r>
        <w:rPr>
          <w:rFonts w:hint="eastAsia" w:ascii="宋体" w:hAnsi="宋体" w:eastAsia="宋体" w:cs="宋体"/>
          <w:position w:val="3"/>
          <w:sz w:val="16"/>
        </w:rPr>
        <w:instrText xml:space="preserve">13</w:instrText>
      </w:r>
      <w:r>
        <w:rPr>
          <w:rFonts w:hint="eastAsia" w:ascii="宋体" w:hAnsi="宋体" w:eastAsia="宋体" w:cs="宋体"/>
          <w:sz w:val="24"/>
        </w:rPr>
        <w:instrText xml:space="preserve">)</w:instrText>
      </w:r>
      <w:r>
        <w:rPr>
          <w:rFonts w:hint="eastAsia" w:ascii="宋体" w:hAnsi="宋体" w:eastAsia="宋体" w:cs="宋体"/>
          <w:sz w:val="24"/>
        </w:rPr>
        <w:fldChar w:fldCharType="end"/>
      </w:r>
      <w:r>
        <w:rPr>
          <w:rFonts w:hint="eastAsia" w:ascii="宋体" w:hAnsi="宋体" w:eastAsia="宋体" w:cs="宋体"/>
          <w:sz w:val="24"/>
        </w:rPr>
        <w:t xml:space="preserve">用鸡毛掸扫去墙面灰尘，彻底清理室内墙壁、墙角、天花、风口等蜘蛛网，每周一次。平时随见随时清理，局部灰尘、污渍随时处理。</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eq \o\ac(○,</w:instrText>
      </w:r>
      <w:r>
        <w:rPr>
          <w:rFonts w:hint="eastAsia" w:ascii="宋体" w:hAnsi="宋体" w:eastAsia="宋体" w:cs="宋体"/>
          <w:position w:val="3"/>
          <w:sz w:val="16"/>
        </w:rPr>
        <w:instrText xml:space="preserve">14</w:instrText>
      </w:r>
      <w:r>
        <w:rPr>
          <w:rFonts w:hint="eastAsia" w:ascii="宋体" w:hAnsi="宋体" w:eastAsia="宋体" w:cs="宋体"/>
          <w:sz w:val="24"/>
        </w:rPr>
        <w:instrText xml:space="preserve">)</w:instrText>
      </w:r>
      <w:r>
        <w:rPr>
          <w:rFonts w:hint="eastAsia" w:ascii="宋体" w:hAnsi="宋体" w:eastAsia="宋体" w:cs="宋体"/>
          <w:sz w:val="24"/>
        </w:rPr>
        <w:fldChar w:fldCharType="end"/>
      </w:r>
      <w:r>
        <w:rPr>
          <w:rFonts w:hint="eastAsia" w:ascii="宋体" w:hAnsi="宋体" w:eastAsia="宋体" w:cs="宋体"/>
          <w:sz w:val="24"/>
        </w:rPr>
        <w:t xml:space="preserve">每天清理电源开关、插座，抹净上面污渍和灰尘。</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eq \o\ac(○,</w:instrText>
      </w:r>
      <w:r>
        <w:rPr>
          <w:rFonts w:hint="eastAsia" w:ascii="宋体" w:hAnsi="宋体" w:eastAsia="宋体" w:cs="宋体"/>
          <w:position w:val="3"/>
          <w:sz w:val="16"/>
        </w:rPr>
        <w:instrText xml:space="preserve">15</w:instrText>
      </w:r>
      <w:r>
        <w:rPr>
          <w:rFonts w:hint="eastAsia" w:ascii="宋体" w:hAnsi="宋体" w:eastAsia="宋体" w:cs="宋体"/>
          <w:sz w:val="24"/>
        </w:rPr>
        <w:instrText xml:space="preserve">)</w:instrText>
      </w:r>
      <w:r>
        <w:rPr>
          <w:rFonts w:hint="eastAsia" w:ascii="宋体" w:hAnsi="宋体" w:eastAsia="宋体" w:cs="宋体"/>
          <w:sz w:val="24"/>
        </w:rPr>
        <w:fldChar w:fldCharType="end"/>
      </w:r>
      <w:r>
        <w:rPr>
          <w:rFonts w:hint="eastAsia" w:ascii="宋体" w:hAnsi="宋体" w:eastAsia="宋体" w:cs="宋体"/>
          <w:sz w:val="24"/>
        </w:rPr>
        <w:t xml:space="preserve">平时对地面痰迹、口香糖等及时进行清除，每月机器清洗地面一次，拖洗地面后及时抹净地角线、墙角上的污迹、水迹、清理卫生死角。</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eq \o\ac(○,</w:instrText>
      </w:r>
      <w:r>
        <w:rPr>
          <w:rFonts w:hint="eastAsia" w:ascii="宋体" w:hAnsi="宋体" w:eastAsia="宋体" w:cs="宋体"/>
          <w:position w:val="3"/>
          <w:sz w:val="16"/>
        </w:rPr>
        <w:instrText xml:space="preserve">16</w:instrText>
      </w:r>
      <w:r>
        <w:rPr>
          <w:rFonts w:hint="eastAsia" w:ascii="宋体" w:hAnsi="宋体" w:eastAsia="宋体" w:cs="宋体"/>
          <w:sz w:val="24"/>
        </w:rPr>
        <w:instrText xml:space="preserve">)</w:instrText>
      </w:r>
      <w:r>
        <w:rPr>
          <w:rFonts w:hint="eastAsia" w:ascii="宋体" w:hAnsi="宋体" w:eastAsia="宋体" w:cs="宋体"/>
          <w:sz w:val="24"/>
        </w:rPr>
        <w:fldChar w:fldCharType="end"/>
      </w:r>
      <w:r>
        <w:rPr>
          <w:rFonts w:hint="eastAsia" w:ascii="宋体" w:hAnsi="宋体" w:eastAsia="宋体" w:cs="宋体"/>
          <w:sz w:val="24"/>
        </w:rPr>
        <w:t xml:space="preserve">擦净楼梯扶手，拖净楼梯，各眼见手及之处，经常抹尘，保持清洁。</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（3）公厕、公共洗手间</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① 拖洗所有卫生间地面，抹净洁具、门框、墙身，每天循环多次，保持无灰尘、无垃圾、无异味，无手脚印、无污渍等。</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② 洗手间隔板、烘手机、纸盒每天擦抹一次。小便池、厕位、水池不少于每日2次，每天用洗液清洗一次。洁具每周用消毒剂消毒两次，整体卫生间全面消毒，每月一次。洗手台每月抛光保养一次，镜面、台面、洗手盆每天清洁4次。上班时间每半小时巡视1次，发现污迹、水迹、积水、头发、手印、便迹、异味、报纸等及时清理。</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③ 每周一次全面清洗墙面瓷砖，地面用清洁剂刷洗，天花擦净，灯具、风口抹尘，保持干净，无污渍。卫生间、茶水间的地面每天拖地至少4次以上，每天冲洗一次，保持地面干燥。</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（4）地下车库、露天停车场</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①每日清扫地面垃圾杂物，特别注意车上抛出的垃圾物。保持地面无垃圾杂物、无积水、无明显泥土、整洁，每月用清水冲洗一次地面。</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②雨天增加清扫力度，发现泥土及时清理，晴天用清水将地面清洗干净，雨天注意清理通道口集水沟、井内的杂物。</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③用鸡毛掸清除库顶的蜘蛛网，各种管道上面的灰尘。</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④每日打扫抹净消火栓、防撞标志、天花、垃圾桶、风口、警铃等设施的灰尘，保持干净无污迹、无泥沙、无尘</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⑤清洁地下车库、各功能室（场）的地面，抹净台面、椅子、窗台和各种设备和设施的灰尘，擦净玻璃及各种告示和标牌。</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⑥及时清倒垃圾，将垃圾运到指定地点</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⑦每月彻底清除地下车库以及露天停车场的死角（包括通道口集水沟、井），对油污较多的车位地面进行特别处理。</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⑧清洁中如发现车门或车窗、车灯没有关好，应及时通告车库值班人员，以便得到妥善处理，并将此事汇报主管。</w:t>
      </w:r>
      <w:r/>
    </w:p>
    <w:p>
      <w:pPr>
        <w:ind w:right="0" w:firstLine="480"/>
        <w:jc w:val="left"/>
        <w:keepLines w:val="0"/>
        <w:keepNext w:val="0"/>
        <w:pageBreakBefore w:val="0"/>
        <w:spacing w:line="300" w:lineRule="auto"/>
        <w:tabs>
          <w:tab w:val="left" w:pos="5034" w:leader="none"/>
        </w:tabs>
        <w:rPr>
          <w:rFonts w:hint="eastAsia" w:ascii="宋体" w:hAnsi="宋体" w:eastAsia="宋体" w:cs="宋体"/>
          <w:sz w:val="24"/>
        </w:rPr>
      </w:pPr>
      <w:r>
        <w:rPr>
          <w:rFonts w:hint="eastAsia" w:ascii="宋体" w:hAnsi="宋体" w:eastAsia="宋体" w:cs="宋体"/>
          <w:sz w:val="24"/>
          <w:szCs w:val="21"/>
        </w:rPr>
        <w:t xml:space="preserve">（5）</w:t>
      </w:r>
      <w:r>
        <w:rPr>
          <w:rFonts w:hint="eastAsia" w:ascii="宋体" w:hAnsi="宋体" w:eastAsia="宋体" w:cs="宋体"/>
          <w:sz w:val="24"/>
        </w:rPr>
        <w:t xml:space="preserve">特殊地点：护栏、标示牌、广场</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①广场进行日常清理垃圾杂物，擦净各处设施表面灰尘，定期清洗广场地面。</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②每天擦净护栏，标示牌等表面灰尘，清洁各种设施外表。</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③保持景观标志牌清洁，保持景观的清洁，定期实施维护，每半年保养一次，台阶不得有青苔等杂物。</w:t>
      </w:r>
      <w:r/>
    </w:p>
    <w:p>
      <w:pPr>
        <w:ind w:right="0" w:firstLine="480"/>
        <w:jc w:val="left"/>
        <w:keepLines w:val="0"/>
        <w:keepNext w:val="0"/>
        <w:pageBreakBefore w:val="0"/>
        <w:spacing w:line="300" w:lineRule="auto"/>
        <w:widowControl/>
        <w:rPr>
          <w:rFonts w:hint="eastAsia" w:ascii="宋体" w:hAnsi="宋体" w:eastAsia="宋体" w:cs="宋体"/>
          <w:iCs/>
          <w:sz w:val="24"/>
        </w:rPr>
      </w:pPr>
      <w:r>
        <w:rPr>
          <w:rFonts w:hint="eastAsia" w:ascii="宋体" w:hAnsi="宋体" w:eastAsia="宋体" w:cs="宋体"/>
          <w:sz w:val="24"/>
        </w:rPr>
        <w:t xml:space="preserve">（6）及时清理街道范围内的</w:t>
      </w:r>
      <w:r>
        <w:rPr>
          <w:rFonts w:hint="eastAsia" w:ascii="宋体" w:hAnsi="宋体" w:eastAsia="宋体" w:cs="宋体"/>
          <w:iCs/>
          <w:sz w:val="24"/>
        </w:rPr>
        <w:t xml:space="preserve">沟塘、河道（市政河长制范围以外的镇级、村级），保持其干净、卫生无杂物。</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iCs/>
          <w:sz w:val="24"/>
        </w:rPr>
        <w:t xml:space="preserve">（7）完成街道范围内的垃圾（生活垃圾、生产垃圾）分类“三定一撤”工作，垃圾的收集并清运至指定位置。</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（8）其它公共区域</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①外墙清洗：石材每年1次、玻璃幕墙每年至少一次，必要时可增加一次。清洗时要保持原建材的特色，有光泽、无水痕、污迹、水锈、腐蚀等损伤。清洗剂符合环保要求。</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②大厅墙面块料面层每月清洗1次，办公楼楼层走廊、楼梯每月1次。要防滑、防水性强、耐磨、光亮。</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③雨蓬玻璃清洗每月至少一次。</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④屋面范围的保洁由中标人负责，加强屋面监护管理一旦发现渗漏及时报告招标人。</w:t>
      </w:r>
      <w:r/>
    </w:p>
    <w:p>
      <w:pPr>
        <w:ind w:right="0" w:firstLine="480"/>
        <w:jc w:val="left"/>
        <w:keepLines w:val="0"/>
        <w:keepNext w:val="0"/>
        <w:pageBreakBefore w:val="0"/>
        <w:spacing w:line="300" w:lineRule="auto"/>
        <w:widowControl/>
        <w:rPr>
          <w:rFonts w:hint="eastAsia" w:ascii="宋体" w:hAnsi="宋体" w:eastAsia="宋体" w:cs="宋体"/>
          <w:sz w:val="24"/>
        </w:rPr>
      </w:pPr>
      <w:r>
        <w:rPr>
          <w:rFonts w:hint="eastAsia" w:ascii="宋体" w:hAnsi="宋体" w:eastAsia="宋体" w:cs="宋体"/>
          <w:sz w:val="24"/>
        </w:rPr>
        <w:t xml:space="preserve">⑤招标人有权根据需要要求中标人增加一定部位一定实现范围内的保洁次数（包括屋面及顶层等），不再增加任何费用。</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（9）材质清洁要求</w:t>
      </w:r>
      <w:r/>
    </w:p>
    <w:tbl>
      <w:tblPr>
        <w:tblStyle w:val="642"/>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109"/>
        <w:gridCol w:w="5568"/>
      </w:tblGrid>
      <w:tr>
        <w:trPr>
          <w:jc w:val="center"/>
          <w:trHeight w:val="23"/>
          <w:tblHeader/>
        </w:trPr>
        <w:tc>
          <w:tcPr>
            <w:tcW w:w="1043"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大类</w:t>
            </w:r>
            <w:r/>
          </w:p>
        </w:tc>
        <w:tc>
          <w:tcPr>
            <w:tcW w:w="210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材质</w:t>
            </w:r>
            <w:r/>
          </w:p>
        </w:tc>
        <w:tc>
          <w:tcPr>
            <w:tcW w:w="5568"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清洁质量要求</w:t>
            </w:r>
            <w:r/>
          </w:p>
        </w:tc>
      </w:tr>
      <w:tr>
        <w:trPr>
          <w:cantSplit/>
          <w:jc w:val="center"/>
          <w:trHeight w:val="23"/>
        </w:trPr>
        <w:tc>
          <w:tcPr>
            <w:tcW w:w="1043" w:type="dxa"/>
            <w:vAlign w:val="center"/>
            <w:vMerge w:val="restart"/>
            <w:textDirection w:val="lrTb"/>
            <w:noWrap w:val="false"/>
          </w:tcPr>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硬</w:t>
            </w:r>
            <w:r/>
          </w:p>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地</w:t>
            </w:r>
            <w:r/>
          </w:p>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面</w:t>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大理石</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表面光亮、洁净、接缝四周边角无污垢。</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花岗岩</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表面光亮、无污迹、接缝四周边角无污垢。</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木制地板</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表面光亮、四周边角无积灰、无污渍。</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PVC板</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光亮、无污迹。</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瓷砖</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光洁、明亮、无污渍、无水迹。</w:t>
            </w:r>
            <w:r/>
          </w:p>
        </w:tc>
      </w:tr>
      <w:tr>
        <w:trPr>
          <w:cantSplit/>
          <w:jc w:val="center"/>
          <w:trHeight w:val="23"/>
        </w:trPr>
        <w:tc>
          <w:tcPr>
            <w:tcW w:w="1043" w:type="dxa"/>
            <w:vAlign w:val="center"/>
            <w:vMerge w:val="restart"/>
            <w:textDirection w:val="lrTb"/>
            <w:noWrap w:val="false"/>
          </w:tcPr>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软地面</w:t>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地毯</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色泽均一、无褪色、无毛边、柔软、纤维成同一方向。</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塑胶地垫</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表面平整、色泽均一、无残留物、无污渍、无板结。</w:t>
            </w:r>
            <w:r/>
          </w:p>
        </w:tc>
      </w:tr>
      <w:tr>
        <w:trPr>
          <w:cantSplit/>
          <w:jc w:val="center"/>
          <w:trHeight w:val="23"/>
        </w:trPr>
        <w:tc>
          <w:tcPr>
            <w:tcW w:w="1043" w:type="dxa"/>
            <w:vAlign w:val="center"/>
            <w:vMerge w:val="restart"/>
            <w:textDirection w:val="lrTb"/>
            <w:noWrap w:val="false"/>
          </w:tcPr>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金属</w:t>
            </w:r>
            <w:r/>
          </w:p>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r>
            <w:r/>
          </w:p>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材质</w:t>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亚光丝纹不锈钢</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表面色泽均一、无斑点、无擦痕、无污迹。</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抛光镜面不锈钢</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明亮、无擦痕、无印迹。</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亚光轧花不锈钢</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色泽均一、无斑点、无擦痕、无污迹。</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铝合金</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表面光滑、洁净、无斑点、无灰尘、无污迹。</w:t>
            </w:r>
            <w:r/>
          </w:p>
        </w:tc>
      </w:tr>
      <w:tr>
        <w:trPr>
          <w:cantSplit/>
          <w:jc w:val="center"/>
          <w:trHeight w:val="23"/>
        </w:trPr>
        <w:tc>
          <w:tcPr>
            <w:tcW w:w="1043" w:type="dxa"/>
            <w:vAlign w:val="center"/>
            <w:vMerge w:val="restart"/>
            <w:textDirection w:val="lrTb"/>
            <w:noWrap w:val="false"/>
          </w:tcPr>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其他</w:t>
            </w:r>
            <w:r/>
          </w:p>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r>
            <w:r/>
          </w:p>
          <w:p>
            <w:pPr>
              <w:ind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材质</w:t>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玻璃</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洁净明亮、通透性强、无划痕、无水迹。</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墙纸</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无斑点、无污渍。</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高密度板(复合板)</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色泽均一、无擦痕、无积灰、无污渍。</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涂料</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无灰尘、无污渍</w:t>
            </w:r>
            <w:r/>
          </w:p>
        </w:tc>
      </w:tr>
      <w:tr>
        <w:trPr>
          <w:cantSplit/>
          <w:jc w:val="center"/>
          <w:trHeight w:val="23"/>
        </w:trPr>
        <w:tc>
          <w:tcPr>
            <w:tcW w:w="1043" w:type="dxa"/>
            <w:vAlign w:val="center"/>
            <w:vMerge w:val="continue"/>
            <w:textDirection w:val="lrTb"/>
            <w:noWrap w:val="false"/>
          </w:tcPr>
          <w:p>
            <w:pPr>
              <w:ind w:right="0" w:firstLine="0"/>
              <w:jc w:val="left"/>
              <w:keepLines w:val="0"/>
              <w:keepNext w:val="0"/>
              <w:pageBreakBefore w:val="0"/>
              <w:spacing w:line="30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109"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金箔面</w:t>
            </w:r>
            <w:r/>
          </w:p>
        </w:tc>
        <w:tc>
          <w:tcPr>
            <w:tcW w:w="5568" w:type="dxa"/>
            <w:vAlign w:val="center"/>
            <w:textDirection w:val="lrTb"/>
            <w:noWrap w:val="false"/>
          </w:tcPr>
          <w:p>
            <w:pPr>
              <w:ind w:right="0" w:firstLine="0"/>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光亮、无灰尘、无污渍。</w:t>
            </w:r>
            <w:r/>
          </w:p>
        </w:tc>
      </w:tr>
    </w:tbl>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（10）部位清洁要求：</w:t>
      </w:r>
      <w:r/>
    </w:p>
    <w:tbl>
      <w:tblPr>
        <w:tblStyle w:val="6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816"/>
        <w:gridCol w:w="6280"/>
      </w:tblGrid>
      <w:tr>
        <w:trPr>
          <w:jc w:val="center"/>
          <w:trHeight w:val="23"/>
          <w:tblHeader/>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b/>
                <w:sz w:val="21"/>
                <w:szCs w:val="21"/>
              </w:rPr>
            </w:pPr>
            <w:r>
              <w:rPr>
                <w:rFonts w:hint="eastAsia" w:ascii="宋体" w:hAnsi="宋体" w:eastAsia="宋体" w:cs="宋体"/>
                <w:b/>
                <w:spacing w:val="-20"/>
                <w:sz w:val="21"/>
                <w:szCs w:val="21"/>
              </w:rPr>
              <w:t xml:space="preserve">序号</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W w:w="6280"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服务要求</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走廊、门厅、大堂、电梯厅、楼梯或消防梯地面</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表面、接缝、角落、边线等处洁净，地面干净有光泽，无垃圾、杂物、灰尘、污迹、划痕等现象，保持地面材质原貌。门框、窗框、窗台、金属件表面光亮、无灰尘、无污渍、无絮状物。旋转门、门中轴、门框、门边缝部位光亮、无痕迹、无灰尘。旋转门空调出风口无灰尘、无污迹。门把手干净、无痕迹、定时消毒。</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楼梯扶手、栏杆、窗台、指示牌</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保持干净、无灰尘、光亮。窗框、窗台、金属件表面光亮、无灰尘、无污渍、无絮状物。指示牌、广告牌无灰尘、无污迹、无痕迹，金属件表面光亮，无痕迹。</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消防栓、消防箱、公共设施</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保持表面干净，无灰尘、无污渍。报警器、火警通讯电话插座、灭火器表面光亮、无灰尘、无污迹。喷淋盖、烟感器、喇叭无灰尘、无污渍。监控摄像头、门警器表面光亮、无灰尘、无斑点、无絮状物。消防栓外表面光亮、无痕迹、无灰尘，内侧无灰尘、无污迹。</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天花板、风口、公共灯具</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目视无灰尘、无污迹、无蜘蛛网，表面、接缝、角落、边线等处无污渍、无灰尘、无斑点。</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走廊、楼梯、大堂门厅、电梯厅玻璃</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保持洁净、光亮、无灰尘、无污迹、无水迹。</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平台、屋顶</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无垃圾堆积。</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服务功能性用房（如会议室、接待室、活动室、开水间等）</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保持干净、整洁、无垃圾。热水炉外壳应无污迹、水渍。</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不锈钢台面</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无水迹、无污渍、无擦痕。不锈钢水槽干净、无斑点、无污迹无杂物、水垢，落水口无污垢。冷、热水笼头表面光亮、无污渍、无水垢。下水道无异味、定期滴入消毒液。</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公共卫生间</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水冲式公厕做到“六无四净”，“六无”：无痰涕纸屑，无屎尿溢塞，无积尘、蛛网，无污泥、积水，无蝇、蛆，无明显臭味；“四净”：地面、蹲位、挡墙净，粪槽、尿池、池斗净，门窗设备净，周围环境净。</w:t>
            </w:r>
            <w:r/>
          </w:p>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2、旱厕做到“六无三净”，“六无”：无烟头、无纸屑、无痰迹、池外无便溺、无灰网、墙体无乱贴乱画；“三净”：蹲位干净不允许有粪便、小便池干净不允许有烟头杂物粪便、地面干净不允许有垃圾；</w:t>
            </w:r>
            <w:r/>
          </w:p>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3、公厕保洁服务员应经培训合格，着装规范、佩带胸卡、持证上岗，应做到文明作业，礼貌待人，主动照顾老弱病残孕等人员。</w:t>
            </w:r>
            <w:r/>
          </w:p>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4、公厕保洁服务员熟悉公厕的日常维护及保养，及时报修。</w:t>
            </w:r>
            <w:r/>
          </w:p>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5、工作期间，不得从事与保洁服务无关的工作。</w:t>
            </w:r>
            <w:r/>
          </w:p>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6、蝇蚊孳生季节，应定时喷洒灭蚊蝇药物，有效控制蝇蛆孳生。</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垃圾收集</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垃圾收集点周围地面无散落垃圾、无污水、无污迹、无异味、干净整洁。</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电梯轿厢</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轿厢壁无浮灰；不锈钢表面光亮、无污迹。垂直升降电梯轿厢四壁光洁明亮,操作面板无污迹、无灰尘、无擦痕,保持空气清新、无异味。自动扶梯踏步、阶梯干净、无灰尘、无污迹橡胶扶手保持色泽均一,无灰尘、无污渍、定时消毒，玻璃、不锈钢外壳按表2相关条款的规定。</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设备机房、管道井、风井</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无卫生死角、无垃圾堆积，无灰尘、目视无蜘蛛网、无污渍、无水渍。</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广场、停车场、绿地、绿植台、明沟</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保持干净、整洁、无垃圾，按表3相关条款的规定。</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外墙</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目视洁净、光亮、无污垢。表面、接缝、角落、边线等处洁净，无污迹、无灰尘、无划痕。</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垃圾箱房</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箱房封闭式专人管理，箱房循环保洁；整洁、干净、无异味，灭害措施完善。废弃物收集箱外侧表面光洁、无灰尘。废弃物收集箱内侧干净、无残留物、无异味、定时消毒。废弃物及时收集，不满溢。</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烟灰缸、垃圾桶</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桶无满溢、无异味、无污迹、烟缸内烟蒂不多于三支。</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消杀灭害</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对通风口、明沟、垃圾房喷洒药水，安排灭蟑螂、老鼠。</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电器设施</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灯泡、灯管无灰尘。灯罩无灰尘、无污迹。其它装饰件无灰尘、光亮、无污迹。开关、插座、配电箱无灰尘、无污迹。</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地下车库</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保持地面无垃圾、无污垢；空气流畅，无异味。车库管道无积灰、无污垢。灯泡、灯管、指示灯明亮、无积灰。灯罩无积灰、无污迹。地面无积灰、无积水。定位杆、减速条无积灰、无污垢。反光镜干净、明亮、无污迹、水渍。消防通道无灰尘、无污渍、无杂物。</w:t>
            </w:r>
            <w:r>
              <w:rPr>
                <w:rFonts w:hint="eastAsia" w:ascii="宋体" w:hAnsi="宋体" w:eastAsia="宋体" w:cs="宋体"/>
                <w:bCs/>
                <w:sz w:val="21"/>
                <w:szCs w:val="21"/>
              </w:rPr>
              <w:t xml:space="preserve">确保无积水，如有时应及时抽水</w:t>
            </w:r>
            <w:r>
              <w:rPr>
                <w:rFonts w:hint="eastAsia" w:ascii="宋体" w:hAnsi="宋体" w:eastAsia="宋体" w:cs="宋体"/>
                <w:b/>
                <w:sz w:val="21"/>
                <w:szCs w:val="21"/>
              </w:rPr>
              <w:t xml:space="preserve">。</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外幕墙</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按上表相关要求。</w:t>
            </w:r>
            <w:r/>
          </w:p>
        </w:tc>
      </w:tr>
      <w:tr>
        <w:trPr>
          <w:jc w:val="center"/>
          <w:trHeight w:val="23"/>
        </w:trPr>
        <w:tc>
          <w:tcPr>
            <w:tcW w:w="664"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w:t>
            </w:r>
            <w:r/>
          </w:p>
        </w:tc>
        <w:tc>
          <w:tcPr>
            <w:tcW w:w="1816" w:type="dxa"/>
            <w:vAlign w:val="center"/>
            <w:textDirection w:val="lrTb"/>
            <w:noWrap w:val="false"/>
          </w:tcPr>
          <w:p>
            <w:pPr>
              <w:ind w:righ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沟渠、河道</w:t>
            </w:r>
            <w:r/>
          </w:p>
        </w:tc>
        <w:tc>
          <w:tcPr>
            <w:tcW w:w="6280" w:type="dxa"/>
            <w:vAlign w:val="center"/>
            <w:textDirection w:val="lrTb"/>
            <w:noWrap w:val="false"/>
          </w:tcPr>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1.河坡（沟塘）整洁无垃圾（生产、生活、建筑）废弃物、乱堆乱放。</w:t>
            </w:r>
            <w:r/>
          </w:p>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2.村级河道（沟塘）实行生态保洁“以河养河”，协议齐全且有实际效果；河内无笼网、套网、地网、沉船、漂浮物、水生植物、动物尸体等。</w:t>
            </w:r>
            <w:r/>
          </w:p>
          <w:p>
            <w:pPr>
              <w:ind w:right="0" w:firstLine="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3.巩固以河养河工程，推进沟塘生态保洁。</w:t>
            </w:r>
            <w:r/>
          </w:p>
        </w:tc>
      </w:tr>
    </w:tbl>
    <w:p>
      <w:pPr>
        <w:ind w:right="0" w:firstLine="482"/>
        <w:jc w:val="left"/>
        <w:keepLines w:val="0"/>
        <w:keepNext w:val="0"/>
        <w:pageBreakBefore w:val="0"/>
        <w:spacing w:line="300" w:lineRule="auto"/>
        <w:widowControl/>
        <w:rPr>
          <w:rFonts w:hint="eastAsia" w:ascii="宋体" w:hAnsi="宋体" w:eastAsia="宋体" w:cs="宋体"/>
          <w:b/>
          <w:bCs/>
          <w:sz w:val="24"/>
        </w:rPr>
      </w:pPr>
      <w:r>
        <w:rPr>
          <w:rFonts w:hint="eastAsia" w:ascii="宋体" w:hAnsi="宋体" w:eastAsia="宋体" w:cs="宋体"/>
          <w:b/>
          <w:bCs/>
          <w:sz w:val="24"/>
        </w:rPr>
        <w:t xml:space="preserve">（二）</w:t>
      </w:r>
      <w:r>
        <w:rPr>
          <w:rFonts w:hint="eastAsia" w:ascii="宋体" w:hAnsi="宋体" w:eastAsia="宋体" w:cs="宋体"/>
          <w:b/>
          <w:bCs/>
          <w:iCs/>
          <w:sz w:val="24"/>
        </w:rPr>
        <w:t xml:space="preserve">街道秩序维护与安全保障</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1、做好辖区守护工作。</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2、执行各楼层巡查，做好防火防盗安全防范工作及巡查时协助记录维修事项，如：照明、漏水、空调运行等。</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3、及时处理各突发事件，必要时疏散人员，及时汇报相关部门并做好记录。</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4、检查管辖区域设施是否完好。</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5、负责停车场区域的巡查、保证车道畅通。</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6、负责监控室、消控室消防安全监控工作。监控室、消控室的工作人员必须24小时担任值守，不得缺岗，遇到紧急情况及时处理。</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7、检查进出设备、工具及非开放时段进出人员的凭证，人员的登记工作。</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8、上岗应保持仪表、仪容的端庄整洁，精神饱满，在岗时不允许手插入口袋。</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9、保安人员管理制度：</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1）上岗要保持制服干净，衣服纽扣全部扣上，大沿帽佩戴端正，穿黑色皮鞋，保持光亮，领带系好后，领带下口与皮带下沿相齐；</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2）不在公众场所大声喧嚷；</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3）值岗态度认真，做好相关记录；</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4）巡岗服务：</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5）管理区内实行全天候保安巡视服务，确保每4小时巡遍全部公共区域。</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6）巡视内容：走道清洁，电梯、照明、灭火器、消火栓、弱电间、空调机房、烟感、喷淋、门、窗、防火门等。</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7）按指定的巡视路线巡逻，巡视记录中应记载发现情况及时间。</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8）发现可疑的人和异常的事、物，通过对讲机及时报告，并迅速查明情况，严密监视。</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9）发现违规情况，立即向客户指出，及时阻止，并报告办公室作出相应处理。</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10）巡视时看到小垃圾及时拾捡，投入就近的果壳箱内；发现水管及阀漏水，及时通知设备人员修复。</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10、物业管理区域内车辆（机动车和非机动车）行驶、停放秩序及场所管理；</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11、物业管理区域公共区间公共秩序维护和日常安全巡查服务，包括安全监控、巡视、门岗执勤；</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12、对进出的外来车辆进行管理和疏导，保持出入口环境整洁、有序、道路畅通。</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13、门卫24小时值班看守、按规定时间立岗，并有详细交接班记录和外来人员及车辆的登记记录。</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14、区域内保持24小时巡视，巡回间隔时间不超过1小时。</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15、接到火警、警情后5分钟内到达现场，并报告招标人与警方，协助采取有关措施；在遇到异常情况时，5分钟内赶到现场，采取相应措施。</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16、严禁闲杂人员进入物业管理区域范围内。</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17、24小时负责消防管理与治安防范。</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18、重大节日等前后时间服从公安部门要求。</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19、巡逻时发现问题应及时果断处置，并迅速汇报相关领导。巡逻后要有记录，建立台帐。</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20、为应对突发事件，按指定的应急预案作业，平时应定期进行演练。</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21、拆迁区域要加强巡查管理，保证安全，清理现场垃圾。</w:t>
      </w:r>
      <w:r/>
    </w:p>
    <w:p>
      <w:pPr>
        <w:ind w:right="0" w:firstLine="482"/>
        <w:jc w:val="left"/>
        <w:keepLines w:val="0"/>
        <w:keepNext w:val="0"/>
        <w:pageBreakBefore w:val="0"/>
        <w:spacing w:line="300" w:lineRule="auto"/>
        <w:widowControl/>
        <w:rPr>
          <w:rFonts w:hint="eastAsia" w:ascii="宋体" w:hAnsi="宋体" w:eastAsia="宋体" w:cs="宋体"/>
          <w:b/>
          <w:sz w:val="24"/>
          <w:szCs w:val="21"/>
        </w:rPr>
      </w:pPr>
      <w:r>
        <w:rPr>
          <w:rFonts w:hint="eastAsia" w:ascii="宋体" w:hAnsi="宋体" w:eastAsia="宋体" w:cs="宋体"/>
          <w:b/>
          <w:sz w:val="24"/>
          <w:szCs w:val="21"/>
        </w:rPr>
        <w:t xml:space="preserve">（三）配套景观绿化管护</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1、绿化要求:</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参照绿化二级养护质量标准，中标人必须做好绿化带内的保洁工作，因养护及保洁工作不到位，招标人将以书面形式发出整改令，如中标人在规定限期内不能整改到位或出现重大失误，招标人有权选择终止合同，没收履约保证金，所造成的一切损失由中标人承担。</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（2）发生自然灾害或缺株、泛碱造成苗木死亡、倒伏等情况，死亡苗木不需中标人赔偿，需补栽的由招标人提供苗木，其余用工、肥料等一切善后工作均由中标人实施，费用自理；</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（3）局部草坪生长时间较长或因土质问题草坪效果较差的，中标人必须及时清理或重新籽播草坪，确保绿化景观效果，费用由中标人自理；</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4）养护区域包含道路、广场、球场、操场、庭院、河塘等；养护管理的内容包括模纹色块、常绿乔灌木、落叶乔灌木、绿篱、竹类攀缘植物、草本花卉、草坪、行道树等，日常养护管理能依据各类植物特征和长势，适时进行浇水、追肥、杀虫灭菌、清除杂草（含一枝黄花）、修剪、整形、去除枯枝残叶、加固补植、树穴切边、保洁、清枯枝及死膀、枯死树处理、加土扶正、截顶回缩、环境清理等工作，确保校园绿化整齐美观。</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（5）施肥必须在招标人的监督下实施，全年分四次施肥，年施肥量不低于50斤/亩，中标人每次施肥前需提前申报，招标人现场登记，实际施肥量低于施肥量要求的，结算时对未施足的部分予以扣除；</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6）对区域范围内死亡或密度达不到招标文件要求的色带灌木按原品种进行补植，一切费用由中标人承担，投标人需自行踏勘现场，综合报价时，充分考虑报价区域范围内的实际工程量。未按要求及时补植的，实际结算时按实际未补植面积扣减相应费用。</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（7）因中标人不及时、无作为、不当养护造成的苗木损失及人员伤害由中标人承担全部财产及人员赔偿责任。</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（8）修剪：</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①树木（不含绿篱）修剪，须在冬季前结束。</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②绿篱修剪，根据其长势及时修剪，保证每三个月至少修剪一次。</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③草坪修剪，根据长势及时修剪，保证每三个月至少修剪一次，冬季来临前须修剪一次。</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（9）追肥：</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①草坪追肥不少于两次，其中秋冬期间需施人畜粪混合豆饼类有机肥料。</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②乔灌木春季追施一遍复合肥，秋冬期间追施一遍人畜粪混合豆饼类有机肥料。</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③各类花卉适时追肥，保证良好的长势。</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10）中标人必须服从学校常规。中标人及所有参与养护管理人员必须自觉维护东中形象，遵守学校安全保卫制度、校园检查制度等各项规章制度，爱护学校公物。如中标人及其相关工作人员不服从正常管理,出现吵架、殴打现象，学校可视情节轻重予以200元至1000元的处罚。</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2、绿化养护细则：</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（1）绿地无白色垃圾,卫生死角,水面漂浮物,树挂,浮土等。</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（2）绿地内无堆积物,生产垃圾堆(树枝,树叶,草屑,砖块等)。</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（3）绿地及时除草，保持美观，清下的杂草当天及时清运。</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（4）树穴、地被土壤及时松土，保持土壤疏松。</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（5）使用除草剂须先向市政办报告，且须保证园林植物安全。</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（6）景点标志物、栏杆、假山、景石、广场、坐凳等设施无小广告、无污渍，绿地内土建等设施完好，维护及时。</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（7）养护沟穴及时开挖，达标，美观，树穴整修，草坪内树穴与绿篱及时切边，草坪与树木、绿篱、草花应有分隔沟。</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（8）树木修剪规范整齐，高大乔木树冠完美，定枝、整枝合理均匀，无枯枝死杈；花灌木及时修剪到位；色块、绿篱适期修剪，曲线润畅，轮廓明显，不脱脚，不缺损；球类修剪圆整，造型优雅。</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（9）按招标人要求进行修剪，要根据树木习性及时修剪剥芽，修剪符合要求，树木通风透光良好。</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10）草坪按照1/3原则适时修剪，保持一定高度，修剪面平整，边角无遗留，草屑及时扫尽运出。草坪自然高度：冷季型为5-7CM，暖季型为3-5CM。（1/3原则：每次修剪时，减掉的部分不能超出草坪草自然高度及未修剪前高度的1/3）。</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（11）绿地、草坪、植物按要求施肥及时，每年休眠期施基肥，生长期2-3次追肥（可根据作物长势增加追肥次数），规范操作。</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（12）发现病虫害应主动汇报，积极防治，使用农药严格按病虫情报要求配比、用量正确、无药害产生。</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（13）冬季对某些树木涂白，及时清理消灭越冬虫蛹、虫茧及有关病原体。</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（14）绿地及道路内树木球类无死株、断枝及明显枯枝，树木无大片秃落叶，已脱落的树绳及时清理。</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（15）绿地内及绿化岛、行道树乔灌木有缺株、草花有空缺应及时补缺（达到规划设计要求），少数树种因季节不能及时补种除外。</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（16）绿地内树木生长健壮，无倾斜、倒歪现象。高大乔木在大风来临时应采取防倒有效措施，因台风、大雪等灾害天气造成树木倒伏时，应及时扶正支撑倒伏树木。</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（17）草坪无空缺，如有空缺应及时补铺。</w:t>
      </w:r>
      <w:r/>
    </w:p>
    <w:p>
      <w:pPr>
        <w:ind w:right="0" w:firstLine="480"/>
        <w:keepLines w:val="0"/>
        <w:keepNext w:val="0"/>
        <w:pageBreakBefore w:val="0"/>
        <w:spacing w:line="300" w:lineRule="auto"/>
        <w:rPr>
          <w:rFonts w:hint="eastAsia" w:ascii="宋体" w:hAnsi="宋体" w:eastAsia="宋体" w:cs="宋体"/>
          <w:sz w:val="24"/>
        </w:rPr>
      </w:pPr>
      <w:r>
        <w:rPr>
          <w:rFonts w:hint="eastAsia" w:ascii="宋体" w:hAnsi="宋体" w:eastAsia="宋体" w:cs="宋体"/>
          <w:sz w:val="24"/>
        </w:rPr>
        <w:t xml:space="preserve">（18）施工、养护场地工完场清。</w:t>
      </w:r>
      <w:r/>
    </w:p>
    <w:p>
      <w:pPr>
        <w:ind w:right="0" w:firstLine="482"/>
        <w:keepLines w:val="0"/>
        <w:keepNext w:val="0"/>
        <w:pageBreakBefore w:val="0"/>
        <w:spacing w:line="300" w:lineRule="auto"/>
        <w:rPr>
          <w:rFonts w:hint="eastAsia" w:ascii="宋体" w:hAnsi="宋体" w:eastAsia="宋体" w:cs="宋体"/>
          <w:b/>
          <w:bCs/>
          <w:sz w:val="24"/>
        </w:rPr>
      </w:pPr>
      <w:r>
        <w:rPr>
          <w:rFonts w:hint="eastAsia" w:ascii="宋体" w:hAnsi="宋体" w:eastAsia="宋体" w:cs="宋体"/>
          <w:b/>
          <w:color w:val="000000"/>
          <w:sz w:val="24"/>
          <w:szCs w:val="21"/>
        </w:rPr>
        <w:t xml:space="preserve">（</w:t>
      </w:r>
      <w:r>
        <w:rPr>
          <w:rFonts w:hint="eastAsia" w:ascii="宋体" w:hAnsi="宋体" w:eastAsia="宋体" w:cs="宋体"/>
          <w:b/>
          <w:color w:val="000000"/>
          <w:sz w:val="24"/>
          <w:szCs w:val="21"/>
          <w:lang w:val="en-US" w:eastAsia="zh-CN"/>
        </w:rPr>
        <w:t xml:space="preserve">四</w:t>
      </w:r>
      <w:r>
        <w:rPr>
          <w:rFonts w:hint="eastAsia" w:ascii="宋体" w:hAnsi="宋体" w:eastAsia="宋体" w:cs="宋体"/>
          <w:b/>
          <w:color w:val="000000"/>
          <w:sz w:val="24"/>
          <w:szCs w:val="21"/>
        </w:rPr>
        <w:t xml:space="preserve">）消防设备协调管理</w:t>
      </w:r>
      <w:r/>
    </w:p>
    <w:p>
      <w:pPr>
        <w:ind w:right="0" w:firstLine="482"/>
        <w:jc w:val="left"/>
        <w:keepLines w:val="0"/>
        <w:keepNext w:val="0"/>
        <w:pageBreakBefore w:val="0"/>
        <w:spacing w:line="300" w:lineRule="auto"/>
        <w:rPr>
          <w:rFonts w:hint="eastAsia" w:ascii="宋体" w:hAnsi="宋体" w:eastAsia="宋体" w:cs="宋体"/>
          <w:b/>
          <w:color w:val="000000"/>
          <w:sz w:val="24"/>
          <w:szCs w:val="21"/>
        </w:rPr>
      </w:pPr>
      <w:r>
        <w:rPr>
          <w:rFonts w:hint="eastAsia" w:ascii="宋体" w:hAnsi="宋体" w:eastAsia="宋体" w:cs="宋体"/>
          <w:b/>
          <w:bCs/>
          <w:sz w:val="24"/>
        </w:rPr>
        <w:t xml:space="preserve">1、</w:t>
      </w:r>
      <w:r>
        <w:rPr>
          <w:rFonts w:hint="eastAsia" w:ascii="宋体" w:hAnsi="宋体" w:eastAsia="宋体" w:cs="宋体"/>
          <w:b/>
          <w:color w:val="000000"/>
          <w:sz w:val="24"/>
          <w:szCs w:val="21"/>
        </w:rPr>
        <w:t xml:space="preserve">消防安全检查</w:t>
      </w:r>
      <w:r/>
    </w:p>
    <w:p>
      <w:pPr>
        <w:ind w:right="0" w:firstLine="480"/>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按照相关消防条例进行定期检查，发现故障及时通知招标人，包含但不限于以下内容：</w:t>
      </w:r>
      <w:r/>
    </w:p>
    <w:p>
      <w:pPr>
        <w:ind w:right="0" w:firstLine="480"/>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a、安保巡逻员每天必须对巡逻区域内灭火器材安放位置是否正确、铁箱是否牢固，喷嘴是否清洁、畅通等进行检查，如发现问题，应及时报告工程设备部修复或更换；</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b、对消防栓箱门的开启、箱内水枪、水带接口、供水阀门和排水阀门等，每月进行一次放水检查；</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经常检查消防报警、探测器（温感、烟感）等消防设施，发现问题，应及时报工程设备部进行维修；</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c、定期检查灭火器；</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d、检查安全门的完好状态，检查安全消防通道是否畅通；</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f、消防通道安全疏散标志是否完好；</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消防设施包括自动火灾报警装置、消防水池、消火栓系统、消防水泵及气体灭火系统等是否正常运行；</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检查报警器、集中报警器的电源是否正常，各按钮是否在接收状态；</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检查报警器的内部接线端子是否松动，主干线路、信号线路有无破损，并对20%的烟感探测器进行抽查试验</w:t>
      </w:r>
      <w:r/>
    </w:p>
    <w:p>
      <w:pPr>
        <w:ind w:right="0" w:firstLine="482"/>
        <w:jc w:val="left"/>
        <w:keepLines w:val="0"/>
        <w:keepNext w:val="0"/>
        <w:pageBreakBefore w:val="0"/>
        <w:spacing w:line="300" w:lineRule="auto"/>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w:t>
      </w:r>
      <w:r>
        <w:rPr>
          <w:rFonts w:hint="eastAsia" w:ascii="宋体" w:hAnsi="宋体" w:eastAsia="宋体" w:cs="宋体"/>
          <w:b/>
          <w:color w:val="000000"/>
          <w:sz w:val="24"/>
          <w:szCs w:val="21"/>
          <w:lang w:val="en-US" w:eastAsia="zh-CN"/>
        </w:rPr>
        <w:t xml:space="preserve">五</w:t>
      </w:r>
      <w:r>
        <w:rPr>
          <w:rFonts w:hint="eastAsia" w:ascii="宋体" w:hAnsi="宋体" w:eastAsia="宋体" w:cs="宋体"/>
          <w:b/>
          <w:color w:val="000000"/>
          <w:sz w:val="24"/>
          <w:szCs w:val="21"/>
        </w:rPr>
        <w:t xml:space="preserve">）水电维保（含配件、耗材、人工及工器具使用费）</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维保范围包含：公共区域内水电设施、设备的维修、养护、运行和管理，包括：供电、供水、排水、排污，照明、背景音乐、供配电系统。</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（1）给排水系统</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a、应定期对给排水系统进行维护、润滑；</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b、定期检查一次污水泵、提升泵、排水泵、阀门等，曝气风机、排水系统通畅，各种管道阀门完好，仪表显示正确，无跑、冒、滴、漏；定期对污水处理系统全面维护保养,作业人员应有相应的职业资格；</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（2）公共照明系统</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a、定期巡检路灯、大堂、电梯厅、楼道等公共部位应保持 98%以上的亮灯率，如有缺损，应及时更换；</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b、每月一次对泛光照明灯具、景观灯具外观（含楼宇亮化灯具）进行检查，保持清洁完好，并保持 98%以上的亮灯率；</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c、定期巡检公共电器柜电器设备，遇有故障，应及时处置，保证运行安全、正常。</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4.3.2维保期限：在维保保证期内，为用户提供7*24小时免费服务，需维修时到达现场时间不超过4小时，到达现场后2小时内修复；无法修复时24小时内免费更换配件，维修至正常工作，超过24小时不能完全修复的，招标人有权自行维修或更换配件，其费用在中标人合同余款中扣除。</w:t>
      </w:r>
      <w:r/>
    </w:p>
    <w:p>
      <w:pPr>
        <w:ind w:right="0" w:firstLine="482"/>
        <w:jc w:val="left"/>
        <w:keepLines w:val="0"/>
        <w:keepNext w:val="0"/>
        <w:pageBreakBefore w:val="0"/>
        <w:spacing w:line="300" w:lineRule="auto"/>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w:t>
      </w:r>
      <w:r>
        <w:rPr>
          <w:rFonts w:hint="eastAsia" w:ascii="宋体" w:hAnsi="宋体" w:eastAsia="宋体" w:cs="宋体"/>
          <w:b/>
          <w:bCs/>
          <w:color w:val="000000"/>
          <w:sz w:val="24"/>
          <w:szCs w:val="21"/>
          <w:lang w:val="en-US" w:eastAsia="zh-CN"/>
        </w:rPr>
        <w:t xml:space="preserve">六</w:t>
      </w:r>
      <w:r>
        <w:rPr>
          <w:rFonts w:hint="eastAsia" w:ascii="宋体" w:hAnsi="宋体" w:eastAsia="宋体" w:cs="宋体"/>
          <w:b/>
          <w:bCs/>
          <w:color w:val="000000"/>
          <w:sz w:val="24"/>
          <w:szCs w:val="21"/>
        </w:rPr>
        <w:t xml:space="preserve">）房屋维护管理</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1、房屋维护管理</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（1）房屋的维修养护遵循的基本原则：</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color w:val="000000"/>
          <w:sz w:val="24"/>
          <w:szCs w:val="21"/>
        </w:rPr>
        <w:t xml:space="preserve">a、建立健全房屋档案，检查、督促使用者正确使用房屋，遵守房屋安全使用的规范</w:t>
      </w:r>
      <w:r>
        <w:rPr>
          <w:rFonts w:hint="eastAsia" w:ascii="宋体" w:hAnsi="宋体" w:eastAsia="宋体" w:cs="宋体"/>
          <w:sz w:val="24"/>
          <w:szCs w:val="21"/>
        </w:rPr>
        <w:t xml:space="preserve">、政策、法规；</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b、对房屋共用部位进行日常管理和维修养护，检修记录和保养记录应齐全；</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c、根据房屋实际使用年限，定期检查房屋重要部位的使用状况；</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d、需要维修，向业主提出报告与建议，根据业主的决定，组织维修。在相关项目的工程保修时效内的维修，一经巡查发现，应立即作必要的安全处置，并向业主方报告，由业主方负责通知相关责任单位维修。备品备件及设备设施维护费（单件更换设备、材料、耗材费用金额在人民币 300 元以内的由承包人承担，超过300元的报告甲方或丙方）。</w:t>
      </w:r>
      <w:r/>
    </w:p>
    <w:p>
      <w:pPr>
        <w:ind w:right="0" w:firstLine="480"/>
        <w:jc w:val="left"/>
        <w:keepLines w:val="0"/>
        <w:keepNext w:val="0"/>
        <w:pageBreakBefore w:val="0"/>
        <w:spacing w:line="300" w:lineRule="auto"/>
        <w:rPr>
          <w:rFonts w:hint="eastAsia" w:ascii="宋体" w:hAnsi="宋体" w:eastAsia="宋体" w:cs="宋体"/>
          <w:sz w:val="24"/>
          <w:szCs w:val="21"/>
        </w:rPr>
      </w:pPr>
      <w:r>
        <w:rPr>
          <w:rFonts w:hint="eastAsia" w:ascii="宋体" w:hAnsi="宋体" w:eastAsia="宋体" w:cs="宋体"/>
          <w:sz w:val="24"/>
          <w:szCs w:val="21"/>
        </w:rPr>
        <w:t xml:space="preserve">（2）巡检：每年应定期对房屋进行依次全面检查。建立巡检记录，发现问题及时向业主报告，根据业主的委托，安排专项修理。遇紧急情况时，宜采取必要的紧急处理措施。</w:t>
      </w:r>
      <w:r/>
    </w:p>
    <w:p>
      <w:pPr>
        <w:ind w:right="0" w:firstLine="560"/>
        <w:jc w:val="left"/>
        <w:keepLines w:val="0"/>
        <w:keepNext w:val="0"/>
        <w:pageBreakBefore w:val="0"/>
        <w:spacing w:line="300" w:lineRule="auto"/>
        <w:rPr>
          <w:rFonts w:hint="eastAsia" w:ascii="宋体" w:hAnsi="宋体" w:eastAsia="宋体" w:cs="宋体"/>
          <w:bCs/>
          <w:color w:val="000000"/>
          <w:sz w:val="28"/>
          <w:szCs w:val="21"/>
        </w:rPr>
      </w:pPr>
      <w:r>
        <w:rPr>
          <w:rFonts w:hint="eastAsia" w:ascii="宋体" w:hAnsi="宋体" w:eastAsia="宋体" w:cs="宋体"/>
          <w:bCs/>
          <w:color w:val="000000"/>
          <w:sz w:val="28"/>
          <w:szCs w:val="21"/>
        </w:rPr>
        <w:t xml:space="preserve">二、管理服务人员最低配置及要求：</w:t>
      </w:r>
      <w:r/>
    </w:p>
    <w:p>
      <w:pPr>
        <w:ind w:right="0" w:firstLine="482"/>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b/>
          <w:bCs/>
          <w:color w:val="000000"/>
          <w:sz w:val="24"/>
          <w:szCs w:val="21"/>
        </w:rPr>
        <w:t xml:space="preserve">（一）原则：</w:t>
      </w:r>
      <w:r>
        <w:rPr>
          <w:rFonts w:hint="eastAsia" w:ascii="宋体" w:hAnsi="宋体" w:eastAsia="宋体" w:cs="宋体"/>
          <w:color w:val="000000"/>
          <w:sz w:val="24"/>
          <w:szCs w:val="21"/>
        </w:rPr>
        <w:t xml:space="preserve">精干 高效 专业 敬业 健康。</w:t>
      </w:r>
      <w:r/>
    </w:p>
    <w:p>
      <w:pPr>
        <w:ind w:right="0" w:firstLine="482"/>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b/>
          <w:bCs/>
          <w:color w:val="000000"/>
          <w:sz w:val="24"/>
          <w:szCs w:val="21"/>
        </w:rPr>
        <w:t xml:space="preserve">（二）各类管理服务人员的要求：</w:t>
      </w:r>
      <w:r/>
    </w:p>
    <w:p>
      <w:pPr>
        <w:ind w:right="0" w:firstLine="480"/>
        <w:jc w:val="left"/>
        <w:keepLines w:val="0"/>
        <w:keepNext w:val="0"/>
        <w:pageBreakBefore w:val="0"/>
        <w:spacing w:line="300" w:lineRule="auto"/>
        <w:rPr>
          <w:rFonts w:hint="eastAsia" w:ascii="宋体" w:hAnsi="宋体" w:eastAsia="宋体" w:cs="宋体"/>
          <w:sz w:val="24"/>
          <w:szCs w:val="20"/>
        </w:rPr>
      </w:pPr>
      <w:r>
        <w:rPr>
          <w:rFonts w:hint="eastAsia" w:ascii="宋体" w:hAnsi="宋体" w:eastAsia="宋体" w:cs="宋体"/>
          <w:color w:val="000000"/>
          <w:sz w:val="24"/>
          <w:szCs w:val="21"/>
        </w:rPr>
        <w:t xml:space="preserve">1、项目经理：</w:t>
      </w:r>
      <w:r>
        <w:rPr>
          <w:rFonts w:hint="eastAsia" w:ascii="宋体" w:hAnsi="宋体" w:eastAsia="宋体" w:cs="宋体"/>
          <w:sz w:val="24"/>
          <w:szCs w:val="20"/>
          <w:highlight w:val="yellow"/>
        </w:rPr>
        <w:t xml:space="preserve">拟派本项目的项目经理具有</w:t>
      </w:r>
      <w:r>
        <w:rPr>
          <w:rFonts w:hint="eastAsia" w:ascii="宋体" w:hAnsi="宋体" w:eastAsia="宋体" w:cs="宋体"/>
          <w:sz w:val="24"/>
          <w:szCs w:val="20"/>
          <w:highlight w:val="yellow"/>
          <w:lang w:val="en-US" w:eastAsia="zh-CN"/>
        </w:rPr>
        <w:t xml:space="preserve">行政主管部门（包括</w:t>
      </w:r>
      <w:r>
        <w:rPr>
          <w:rFonts w:hint="eastAsia" w:ascii="宋体" w:hAnsi="宋体" w:eastAsia="宋体" w:cs="宋体"/>
          <w:sz w:val="24"/>
          <w:szCs w:val="20"/>
          <w:highlight w:val="yellow"/>
        </w:rPr>
        <w:t xml:space="preserve">全国城建培训中心</w:t>
      </w:r>
      <w:r>
        <w:rPr>
          <w:rFonts w:hint="eastAsia" w:ascii="宋体" w:hAnsi="宋体" w:eastAsia="宋体" w:cs="宋体"/>
          <w:sz w:val="24"/>
          <w:szCs w:val="20"/>
          <w:highlight w:val="yellow"/>
          <w:lang w:val="en-US" w:eastAsia="zh-CN"/>
        </w:rPr>
        <w:t xml:space="preserve">）</w:t>
      </w:r>
      <w:r>
        <w:rPr>
          <w:rFonts w:hint="eastAsia" w:ascii="宋体" w:hAnsi="宋体" w:eastAsia="宋体" w:cs="宋体"/>
          <w:sz w:val="24"/>
          <w:szCs w:val="20"/>
          <w:highlight w:val="yellow"/>
        </w:rPr>
        <w:t xml:space="preserve">颁发的物业管理经理证书</w:t>
      </w:r>
      <w:r>
        <w:rPr>
          <w:rFonts w:hint="eastAsia" w:ascii="宋体" w:hAnsi="宋体" w:eastAsia="宋体" w:cs="宋体"/>
          <w:sz w:val="24"/>
          <w:szCs w:val="20"/>
          <w:highlight w:val="yellow"/>
          <w:lang w:val="en-US" w:eastAsia="zh-CN"/>
        </w:rPr>
        <w:t xml:space="preserve">或行政主管部门颁发的</w:t>
      </w:r>
      <w:r>
        <w:rPr>
          <w:rFonts w:hint="eastAsia" w:ascii="宋体" w:hAnsi="宋体" w:eastAsia="宋体" w:cs="宋体"/>
          <w:sz w:val="24"/>
          <w:szCs w:val="20"/>
          <w:highlight w:val="yellow"/>
        </w:rPr>
        <w:t xml:space="preserve">环境类中级及以上职称证书</w:t>
      </w:r>
      <w:r>
        <w:rPr>
          <w:rFonts w:hint="eastAsia" w:ascii="宋体" w:hAnsi="宋体" w:eastAsia="宋体" w:cs="宋体"/>
          <w:sz w:val="24"/>
          <w:szCs w:val="20"/>
          <w:highlight w:val="yellow"/>
          <w:lang w:eastAsia="zh-CN"/>
        </w:rPr>
        <w:t xml:space="preserve">。</w:t>
      </w:r>
      <w:r>
        <w:rPr>
          <w:rFonts w:hint="eastAsia" w:ascii="宋体" w:hAnsi="宋体" w:eastAsia="宋体" w:cs="宋体"/>
          <w:sz w:val="24"/>
        </w:rPr>
        <w:t xml:space="preserve">须为招标人提供专职驻场服务，在服务期间不兼职其他项目，未经招标人同意不随意更换项目负责人。否则将</w:t>
      </w:r>
      <w:r>
        <w:rPr>
          <w:rFonts w:hint="eastAsia" w:ascii="宋体" w:hAnsi="宋体" w:eastAsia="宋体" w:cs="宋体"/>
          <w:sz w:val="24"/>
          <w:szCs w:val="20"/>
        </w:rPr>
        <w:t xml:space="preserve">没收中标人全部履约保证金，不支付服务费；同时有权单方面中止合同，中标人需24小时内，无条件撤出所有人员和设备。</w:t>
      </w:r>
      <w:r/>
    </w:p>
    <w:p>
      <w:pPr>
        <w:ind w:right="0" w:firstLine="480"/>
        <w:jc w:val="left"/>
        <w:keepLines w:val="0"/>
        <w:keepNext w:val="0"/>
        <w:pageBreakBefore w:val="0"/>
        <w:spacing w:line="300" w:lineRule="auto"/>
        <w:rPr>
          <w:rFonts w:hint="eastAsia" w:ascii="宋体" w:hAnsi="宋体" w:eastAsia="宋体" w:cs="宋体"/>
          <w:sz w:val="24"/>
          <w:szCs w:val="20"/>
          <w:highlight w:val="yellow"/>
          <w:lang w:eastAsia="zh-CN"/>
        </w:rPr>
      </w:pPr>
      <w:r>
        <w:rPr>
          <w:rFonts w:hint="eastAsia" w:ascii="宋体" w:hAnsi="宋体" w:eastAsia="宋体" w:cs="宋体"/>
          <w:sz w:val="24"/>
          <w:szCs w:val="20"/>
          <w:highlight w:val="yellow"/>
        </w:rPr>
        <w:t xml:space="preserve">2</w:t>
      </w:r>
      <w:r>
        <w:rPr>
          <w:rFonts w:hint="eastAsia" w:ascii="宋体" w:hAnsi="宋体" w:eastAsia="宋体" w:cs="宋体"/>
          <w:sz w:val="24"/>
          <w:szCs w:val="20"/>
          <w:highlight w:val="yellow"/>
          <w:lang w:eastAsia="zh-CN"/>
        </w:rPr>
        <w:t xml:space="preserve">、</w:t>
      </w:r>
      <w:r>
        <w:rPr>
          <w:rFonts w:hint="eastAsia" w:ascii="宋体" w:hAnsi="宋体" w:eastAsia="宋体" w:cs="宋体"/>
          <w:sz w:val="24"/>
          <w:szCs w:val="20"/>
          <w:highlight w:val="yellow"/>
          <w:lang w:val="en-US" w:eastAsia="zh-CN"/>
        </w:rPr>
        <w:t xml:space="preserve">保安员：</w:t>
      </w:r>
      <w:r>
        <w:rPr>
          <w:rFonts w:hint="eastAsia" w:ascii="宋体" w:hAnsi="宋体" w:eastAsia="宋体" w:cs="宋体"/>
          <w:sz w:val="24"/>
          <w:szCs w:val="20"/>
          <w:highlight w:val="yellow"/>
        </w:rPr>
        <w:t xml:space="preserve">具有</w:t>
      </w:r>
      <w:r>
        <w:rPr>
          <w:rFonts w:hint="eastAsia" w:ascii="宋体" w:hAnsi="宋体" w:eastAsia="宋体" w:cs="宋体"/>
          <w:sz w:val="24"/>
          <w:szCs w:val="20"/>
          <w:highlight w:val="yellow"/>
          <w:lang w:val="en-US" w:eastAsia="zh-CN"/>
        </w:rPr>
        <w:t xml:space="preserve">行政</w:t>
      </w:r>
      <w:r>
        <w:rPr>
          <w:rFonts w:hint="eastAsia" w:ascii="宋体" w:hAnsi="宋体" w:eastAsia="宋体" w:cs="宋体"/>
          <w:sz w:val="24"/>
          <w:szCs w:val="20"/>
          <w:highlight w:val="yellow"/>
        </w:rPr>
        <w:t xml:space="preserve">主管部门核发保安员证</w:t>
      </w:r>
      <w:r>
        <w:rPr>
          <w:rFonts w:hint="eastAsia" w:ascii="宋体" w:hAnsi="宋体" w:eastAsia="宋体" w:cs="宋体"/>
          <w:sz w:val="24"/>
          <w:szCs w:val="20"/>
          <w:highlight w:val="yellow"/>
          <w:lang w:eastAsia="zh-CN"/>
        </w:rPr>
        <w:t xml:space="preserve">。</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3</w:t>
      </w:r>
      <w:r>
        <w:rPr>
          <w:rFonts w:hint="eastAsia" w:ascii="宋体" w:hAnsi="宋体" w:eastAsia="宋体" w:cs="宋体"/>
          <w:color w:val="000000"/>
          <w:sz w:val="24"/>
          <w:szCs w:val="21"/>
        </w:rPr>
        <w:t xml:space="preserve">、保洁管理员：两年以上清洁管理工作经历。人品端正，身体健康，无违法犯罪记录，无不良嗜好。</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4</w:t>
      </w:r>
      <w:r>
        <w:rPr>
          <w:rFonts w:hint="eastAsia" w:ascii="宋体" w:hAnsi="宋体" w:eastAsia="宋体" w:cs="宋体"/>
          <w:color w:val="000000"/>
          <w:sz w:val="24"/>
          <w:szCs w:val="21"/>
        </w:rPr>
        <w:t xml:space="preserve">、保洁员：65周岁以下，相貌端正，有吃苦耐劳精神，责任心强。人品端正，身体健康，无违法犯罪记录，无不良嗜好。</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5</w:t>
      </w:r>
      <w:r>
        <w:rPr>
          <w:rFonts w:hint="eastAsia" w:ascii="宋体" w:hAnsi="宋体" w:eastAsia="宋体" w:cs="宋体"/>
          <w:color w:val="000000"/>
          <w:sz w:val="24"/>
          <w:szCs w:val="21"/>
        </w:rPr>
        <w:t xml:space="preserve">、水电维修工：</w:t>
      </w:r>
      <w:r>
        <w:rPr>
          <w:rFonts w:hint="eastAsia" w:ascii="宋体" w:hAnsi="宋体" w:eastAsia="宋体" w:cs="宋体"/>
          <w:color w:val="000000"/>
          <w:sz w:val="24"/>
          <w:szCs w:val="21"/>
          <w:highlight w:val="yellow"/>
        </w:rPr>
        <w:t xml:space="preserve">持有具有</w:t>
      </w:r>
      <w:r>
        <w:rPr>
          <w:rFonts w:hint="eastAsia" w:ascii="宋体" w:hAnsi="宋体" w:eastAsia="宋体" w:cs="宋体"/>
          <w:color w:val="000000"/>
          <w:sz w:val="24"/>
          <w:szCs w:val="21"/>
          <w:highlight w:val="yellow"/>
          <w:lang w:val="en-US" w:eastAsia="zh-CN"/>
        </w:rPr>
        <w:t xml:space="preserve">行政主管部门</w:t>
      </w:r>
      <w:r>
        <w:rPr>
          <w:rFonts w:hint="eastAsia" w:ascii="宋体" w:hAnsi="宋体" w:eastAsia="宋体" w:cs="宋体"/>
          <w:color w:val="000000"/>
          <w:sz w:val="24"/>
          <w:szCs w:val="21"/>
          <w:highlight w:val="yellow"/>
        </w:rPr>
        <w:t xml:space="preserve">颁发的电工作业证书</w:t>
      </w:r>
      <w:r>
        <w:rPr>
          <w:rFonts w:hint="eastAsia" w:ascii="宋体" w:hAnsi="宋体" w:eastAsia="宋体" w:cs="宋体"/>
          <w:color w:val="000000"/>
          <w:sz w:val="24"/>
          <w:szCs w:val="21"/>
        </w:rPr>
        <w:t xml:space="preserve">，具有一定的工作经验，能够快速反应，满足招标人的抢修和维修需求。</w:t>
      </w:r>
      <w:r/>
    </w:p>
    <w:p>
      <w:pPr>
        <w:ind w:right="0" w:firstLine="482"/>
        <w:jc w:val="left"/>
        <w:keepLines w:val="0"/>
        <w:keepNext w:val="0"/>
        <w:pageBreakBefore w:val="0"/>
        <w:spacing w:line="300" w:lineRule="auto"/>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（三）管理服务人员的最低配置：</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投入本项目的人员配置和数量须满足管理和服务需要，</w:t>
      </w:r>
      <w:r>
        <w:rPr>
          <w:rFonts w:hint="eastAsia" w:ascii="宋体" w:hAnsi="宋体" w:eastAsia="宋体" w:cs="宋体"/>
          <w:b/>
          <w:i/>
          <w:color w:val="000000"/>
          <w:sz w:val="24"/>
          <w:szCs w:val="21"/>
        </w:rPr>
        <w:t xml:space="preserve">岗位及人员数量配备如下，人员数量配置不得低于最低配置，否则视为不响应招标文件</w:t>
      </w:r>
      <w:r>
        <w:rPr>
          <w:rFonts w:hint="eastAsia" w:ascii="宋体" w:hAnsi="宋体" w:eastAsia="宋体" w:cs="宋体"/>
          <w:color w:val="000000"/>
          <w:sz w:val="24"/>
          <w:szCs w:val="21"/>
        </w:rPr>
        <w:t xml:space="preserve">：</w:t>
      </w:r>
      <w:r/>
    </w:p>
    <w:p>
      <w:pPr>
        <w:pStyle w:val="659"/>
        <w:ind w:left="0" w:right="0" w:firstLine="422"/>
        <w:keepLines w:val="0"/>
        <w:keepNext w:val="0"/>
        <w:pageBreakBefore w:val="0"/>
        <w:spacing w:after="0" w:line="300" w:lineRule="auto"/>
        <w:rPr>
          <w:rFonts w:hint="eastAsia" w:ascii="宋体" w:hAnsi="宋体" w:eastAsia="宋体" w:cs="宋体"/>
          <w:b/>
        </w:rPr>
      </w:pPr>
      <w:r>
        <w:rPr>
          <w:rFonts w:hint="eastAsia" w:ascii="宋体" w:hAnsi="宋体" w:eastAsia="宋体" w:cs="宋体"/>
          <w:b/>
        </w:rPr>
        <w:t xml:space="preserve">一标段（新东）：</w:t>
      </w:r>
      <w:r/>
    </w:p>
    <w:tbl>
      <w:tblPr>
        <w:tblStyle w:val="642"/>
        <w:tblW w:w="76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969"/>
        <w:gridCol w:w="2552"/>
      </w:tblGrid>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W w:w="3969"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项目</w:t>
            </w:r>
            <w:r/>
          </w:p>
        </w:tc>
        <w:tc>
          <w:tcPr>
            <w:tcW w:w="2552"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szCs w:val="21"/>
              </w:rPr>
            </w:pPr>
            <w:r>
              <w:rPr>
                <w:rFonts w:hint="eastAsia" w:ascii="宋体" w:hAnsi="宋体" w:eastAsia="宋体" w:cs="宋体"/>
                <w:color w:val="000000"/>
                <w:szCs w:val="21"/>
              </w:rPr>
              <w:t xml:space="preserve">人员数量（人）</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szCs w:val="21"/>
              </w:rPr>
            </w:pPr>
            <w:r>
              <w:rPr>
                <w:rFonts w:hint="eastAsia" w:ascii="宋体" w:hAnsi="宋体" w:eastAsia="宋体" w:cs="宋体"/>
                <w:szCs w:val="21"/>
              </w:rPr>
              <w:t xml:space="preserve">项目经理</w:t>
            </w:r>
            <w:r/>
          </w:p>
        </w:tc>
        <w:tc>
          <w:tcPr>
            <w:tcW w:w="2552"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szCs w:val="21"/>
              </w:rPr>
            </w:pPr>
            <w:r>
              <w:rPr>
                <w:rFonts w:hint="eastAsia" w:ascii="宋体" w:hAnsi="宋体" w:eastAsia="宋体" w:cs="宋体"/>
                <w:szCs w:val="21"/>
                <w:lang w:bidi="ar"/>
              </w:rPr>
              <w:t xml:space="preserve">1</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3969" w:type="dxa"/>
            <w:vAlign w:val="center"/>
            <w:textDirection w:val="lrTb"/>
            <w:noWrap w:val="false"/>
          </w:tcPr>
          <w:p>
            <w:pPr>
              <w:ind w:right="0" w:firstLine="0"/>
              <w:jc w:val="center"/>
              <w:keepLines w:val="0"/>
              <w:keepNext w:val="0"/>
              <w:pageBreakBefore w:val="0"/>
              <w:spacing w:line="30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社区负责人</w:t>
            </w:r>
            <w:r/>
          </w:p>
        </w:tc>
        <w:tc>
          <w:tcPr>
            <w:tcW w:w="2552"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bidi="ar"/>
                <w14:textFill>
                  <w14:solidFill>
                    <w14:schemeClr w14:val="tx1"/>
                  </w14:solidFill>
                </w14:textFill>
              </w:rPr>
              <w:t xml:space="preserve">6</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3</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保洁员</w:t>
            </w:r>
            <w:r/>
          </w:p>
        </w:tc>
        <w:tc>
          <w:tcPr>
            <w:tcW w:w="2552" w:type="dxa"/>
            <w:vAlign w:val="center"/>
            <w:textDirection w:val="lrTb"/>
            <w:noWrap w:val="false"/>
          </w:tcPr>
          <w:p>
            <w:pPr>
              <w:ind w:right="0" w:firstLine="0"/>
              <w:jc w:val="center"/>
              <w:keepLines w:val="0"/>
              <w:keepNext w:val="0"/>
              <w:pageBreakBefore w:val="0"/>
              <w:spacing w:line="30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46</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4</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安保人员</w:t>
            </w:r>
            <w:r/>
          </w:p>
        </w:tc>
        <w:tc>
          <w:tcPr>
            <w:tcW w:w="2552" w:type="dxa"/>
            <w:vAlign w:val="center"/>
            <w:textDirection w:val="lrTb"/>
            <w:noWrap w:val="false"/>
          </w:tcPr>
          <w:p>
            <w:pPr>
              <w:ind w:right="0" w:firstLine="0"/>
              <w:jc w:val="center"/>
              <w:keepLines w:val="0"/>
              <w:keepNext w:val="0"/>
              <w:pageBreakBefore w:val="0"/>
              <w:spacing w:line="30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22</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5</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水电维修工</w:t>
            </w:r>
            <w:r/>
          </w:p>
        </w:tc>
        <w:tc>
          <w:tcPr>
            <w:tcW w:w="2552"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3</w:t>
            </w:r>
            <w:r/>
          </w:p>
        </w:tc>
      </w:tr>
    </w:tbl>
    <w:p>
      <w:pPr>
        <w:pStyle w:val="659"/>
        <w:ind w:left="0" w:right="0" w:firstLine="422"/>
        <w:keepLines w:val="0"/>
        <w:keepNext w:val="0"/>
        <w:pageBreakBefore w:val="0"/>
        <w:spacing w:after="0" w:line="30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二标段（金海）：</w:t>
      </w:r>
      <w:r/>
    </w:p>
    <w:tbl>
      <w:tblPr>
        <w:tblStyle w:val="642"/>
        <w:tblW w:w="76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969"/>
        <w:gridCol w:w="2552"/>
      </w:tblGrid>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w:t>
            </w:r>
            <w:r/>
          </w:p>
        </w:tc>
        <w:tc>
          <w:tcPr>
            <w:tcW w:w="3969"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w:t>
            </w:r>
            <w:r/>
          </w:p>
        </w:tc>
        <w:tc>
          <w:tcPr>
            <w:tcW w:w="2552"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人员数量（人）</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项目经理</w:t>
            </w:r>
            <w:r/>
          </w:p>
        </w:tc>
        <w:tc>
          <w:tcPr>
            <w:tcW w:w="2552"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社区</w:t>
            </w:r>
            <w:r>
              <w:rPr>
                <w:rFonts w:hint="eastAsia" w:ascii="宋体" w:hAnsi="宋体" w:eastAsia="宋体" w:cs="宋体"/>
                <w:color w:val="000000" w:themeColor="text1"/>
                <w:szCs w:val="21"/>
                <w14:textFill>
                  <w14:solidFill>
                    <w14:schemeClr w14:val="tx1"/>
                  </w14:solidFill>
                </w14:textFill>
              </w:rPr>
              <w:t xml:space="preserve">负责人</w:t>
            </w:r>
            <w:r/>
          </w:p>
        </w:tc>
        <w:tc>
          <w:tcPr>
            <w:tcW w:w="2552"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bidi="ar"/>
                <w14:textFill>
                  <w14:solidFill>
                    <w14:schemeClr w14:val="tx1"/>
                  </w14:solidFill>
                </w14:textFill>
              </w:rPr>
              <w:t xml:space="preserve">6</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3</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保洁员</w:t>
            </w:r>
            <w:r/>
          </w:p>
        </w:tc>
        <w:tc>
          <w:tcPr>
            <w:tcW w:w="2552" w:type="dxa"/>
            <w:vAlign w:val="center"/>
            <w:textDirection w:val="lrTb"/>
            <w:noWrap w:val="false"/>
          </w:tcPr>
          <w:p>
            <w:pPr>
              <w:ind w:right="0" w:firstLine="0"/>
              <w:jc w:val="center"/>
              <w:keepLines w:val="0"/>
              <w:keepNext w:val="0"/>
              <w:pageBreakBefore w:val="0"/>
              <w:spacing w:line="30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31</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4</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安保人员</w:t>
            </w:r>
            <w:r/>
          </w:p>
        </w:tc>
        <w:tc>
          <w:tcPr>
            <w:tcW w:w="2552" w:type="dxa"/>
            <w:vAlign w:val="center"/>
            <w:textDirection w:val="lrTb"/>
            <w:noWrap w:val="false"/>
          </w:tcPr>
          <w:p>
            <w:pPr>
              <w:ind w:right="0" w:firstLine="0"/>
              <w:jc w:val="center"/>
              <w:keepLines w:val="0"/>
              <w:keepNext w:val="0"/>
              <w:pageBreakBefore w:val="0"/>
              <w:spacing w:line="30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16</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5</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水电维修工</w:t>
            </w:r>
            <w:r/>
          </w:p>
        </w:tc>
        <w:tc>
          <w:tcPr>
            <w:tcW w:w="2552"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2</w:t>
            </w:r>
            <w:r/>
          </w:p>
        </w:tc>
      </w:tr>
    </w:tbl>
    <w:p>
      <w:pPr>
        <w:pStyle w:val="659"/>
        <w:ind w:left="0" w:right="0" w:firstLine="422"/>
        <w:keepLines w:val="0"/>
        <w:keepNext w:val="0"/>
        <w:pageBreakBefore w:val="0"/>
        <w:spacing w:after="0" w:line="30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三标段（启平）：</w:t>
      </w:r>
      <w:r/>
    </w:p>
    <w:tbl>
      <w:tblPr>
        <w:tblStyle w:val="642"/>
        <w:tblW w:w="76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969"/>
        <w:gridCol w:w="2552"/>
      </w:tblGrid>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w:t>
            </w:r>
            <w:r/>
          </w:p>
        </w:tc>
        <w:tc>
          <w:tcPr>
            <w:tcW w:w="3969"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w:t>
            </w:r>
            <w:r/>
          </w:p>
        </w:tc>
        <w:tc>
          <w:tcPr>
            <w:tcW w:w="2552"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人员数量（人）</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项目经理</w:t>
            </w:r>
            <w:r/>
          </w:p>
        </w:tc>
        <w:tc>
          <w:tcPr>
            <w:tcW w:w="2552"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W w:w="3969" w:type="dxa"/>
            <w:vAlign w:val="center"/>
            <w:textDirection w:val="lrTb"/>
            <w:noWrap w:val="false"/>
          </w:tcPr>
          <w:p>
            <w:pPr>
              <w:ind w:right="0" w:firstLine="0"/>
              <w:jc w:val="center"/>
              <w:keepLines w:val="0"/>
              <w:keepNext w:val="0"/>
              <w:pageBreakBefore w:val="0"/>
              <w:spacing w:line="30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社区负责人</w:t>
            </w:r>
            <w:r/>
          </w:p>
        </w:tc>
        <w:tc>
          <w:tcPr>
            <w:tcW w:w="2552"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6</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保洁员</w:t>
            </w:r>
            <w:r/>
          </w:p>
        </w:tc>
        <w:tc>
          <w:tcPr>
            <w:tcW w:w="2552" w:type="dxa"/>
            <w:vAlign w:val="center"/>
            <w:textDirection w:val="lrTb"/>
            <w:noWrap w:val="false"/>
          </w:tcPr>
          <w:p>
            <w:pPr>
              <w:ind w:right="0" w:firstLine="0"/>
              <w:jc w:val="center"/>
              <w:keepLines w:val="0"/>
              <w:keepNext w:val="0"/>
              <w:pageBreakBefore w:val="0"/>
              <w:spacing w:line="300" w:lineRule="auto"/>
              <w:rPr>
                <w:rFonts w:hint="default"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lang w:val="en-US" w:eastAsia="zh-CN"/>
                <w14:textFill>
                  <w14:solidFill>
                    <w14:schemeClr w14:val="tx1"/>
                  </w14:solidFill>
                </w14:textFill>
              </w:rPr>
              <w:t xml:space="preserve">29</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安保人员</w:t>
            </w:r>
            <w:r/>
          </w:p>
        </w:tc>
        <w:tc>
          <w:tcPr>
            <w:tcW w:w="2552"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 w:val="18"/>
                <w:szCs w:val="18"/>
                <w:lang w:val="en-US" w:eastAsia="zh-CN"/>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1</w:t>
            </w:r>
            <w:r>
              <w:rPr>
                <w:rFonts w:hint="eastAsia" w:ascii="宋体" w:hAnsi="宋体" w:eastAsia="宋体" w:cs="宋体"/>
                <w:color w:val="000000" w:themeColor="text1"/>
                <w:sz w:val="18"/>
                <w:szCs w:val="18"/>
                <w:lang w:val="en-US" w:eastAsia="zh-CN"/>
                <w14:textFill>
                  <w14:solidFill>
                    <w14:schemeClr w14:val="tx1"/>
                  </w14:solidFill>
                </w14:textFill>
              </w:rPr>
              <w:t xml:space="preserve">5</w:t>
            </w:r>
            <w:r/>
          </w:p>
        </w:tc>
      </w:tr>
      <w:tr>
        <w:trPr>
          <w:jc w:val="center"/>
          <w:trHeight w:val="23"/>
        </w:trPr>
        <w:tc>
          <w:tcPr>
            <w:tcW w:w="1134"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W w:w="3969" w:type="dxa"/>
            <w:vAlign w:val="center"/>
            <w:textDirection w:val="lrTb"/>
            <w:noWrap w:val="false"/>
          </w:tcPr>
          <w:p>
            <w:pPr>
              <w:ind w:right="0" w:firstLine="0"/>
              <w:jc w:val="center"/>
              <w:keepLines w:val="0"/>
              <w:keepNext w:val="0"/>
              <w:pageBreakBefore w:val="0"/>
              <w:spacing w:line="30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水电维修工</w:t>
            </w:r>
            <w:r/>
          </w:p>
        </w:tc>
        <w:tc>
          <w:tcPr>
            <w:tcW w:w="2552" w:type="dxa"/>
            <w:vAlign w:val="center"/>
            <w:textDirection w:val="lrTb"/>
            <w:noWrap w:val="false"/>
          </w:tcPr>
          <w:p>
            <w:pPr>
              <w:ind w:right="0" w:firstLine="0"/>
              <w:jc w:val="center"/>
              <w:keepLines w:val="0"/>
              <w:keepNext w:val="0"/>
              <w:pageBreakBefore w:val="0"/>
              <w:spacing w:line="300" w:lineRule="auto"/>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2</w:t>
            </w:r>
            <w:r/>
          </w:p>
        </w:tc>
      </w:tr>
    </w:tbl>
    <w:p>
      <w:pPr>
        <w:ind w:right="0" w:firstLine="482"/>
        <w:jc w:val="left"/>
        <w:keepLines w:val="0"/>
        <w:keepNext w:val="0"/>
        <w:pageBreakBefore w:val="0"/>
        <w:spacing w:line="300" w:lineRule="auto"/>
        <w:rPr>
          <w:rFonts w:hint="default"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中标人必需按国家规定为每位从业人员缴纳各种必缴的社会保险。</w:t>
      </w:r>
      <w:r>
        <w:rPr>
          <w:rFonts w:hint="eastAsia" w:ascii="宋体" w:hAnsi="宋体" w:eastAsia="宋体" w:cs="宋体"/>
          <w:b/>
          <w:color w:val="ff0000"/>
          <w:sz w:val="24"/>
          <w:szCs w:val="21"/>
          <w:lang w:val="en-US" w:eastAsia="zh-CN"/>
        </w:rPr>
        <w:t xml:space="preserve">如遇特殊情况需安排人员加班，加班补助标准由双方另行协商。</w:t>
      </w:r>
      <w:r>
        <w:rPr>
          <w:rFonts w:hint="eastAsia" w:ascii="宋体" w:hAnsi="宋体" w:eastAsia="宋体" w:cs="宋体"/>
          <w:b/>
          <w:color w:val="000000"/>
          <w:sz w:val="24"/>
          <w:szCs w:val="21"/>
        </w:rPr>
        <w:t xml:space="preserve">如不足额按时缴纳人员保险，发生一切法律、安全责任事故，均由中标人自行承担，与招标人无涉。</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三、其他要求：</w:t>
      </w:r>
      <w:r/>
    </w:p>
    <w:p>
      <w:pPr>
        <w:ind w:right="0" w:firstLine="482"/>
        <w:jc w:val="left"/>
        <w:keepLines w:val="0"/>
        <w:keepNext w:val="0"/>
        <w:pageBreakBefore w:val="0"/>
        <w:spacing w:line="300" w:lineRule="auto"/>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（一）服务工作标准</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1、应树立“招标人至上，服务第一”的思想，创造一个安全、宁静、整洁、优雅的生活环境；</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2、应为提供礼貌、热情、周到的服务，最大限度地满足招标人的服务要求；</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3、应主动、积极地加强与招标人的联系，多途径、多渠道征询和听取意见，不断改进工作；</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4、应加强保密教育，严格遵守保密规定；</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5、应积极完成招标人交办的与本项目有关的其他各项的工作。</w:t>
      </w:r>
      <w:r/>
    </w:p>
    <w:p>
      <w:pPr>
        <w:ind w:right="0" w:firstLine="482"/>
        <w:jc w:val="left"/>
        <w:keepLines w:val="0"/>
        <w:keepNext w:val="0"/>
        <w:pageBreakBefore w:val="0"/>
        <w:spacing w:line="300" w:lineRule="auto"/>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（二）档案、资料管理</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加强有关服务的档案和资料的管理。档案和资料的管理包括：招标人投诉和意见档案、安全管理记录档案、清洁卫生管理档案、环境绿化管理档案、设施设备运行和维护档案、人事管理及人员培训档案等，以及具体的管理方案。中标人必须运用计算机管理，所有档案要求做到保存完整，管理完善，交接手续完备，检索方便准确。</w:t>
      </w:r>
      <w:r/>
    </w:p>
    <w:p>
      <w:pPr>
        <w:ind w:right="0" w:firstLine="482"/>
        <w:jc w:val="left"/>
        <w:keepLines w:val="0"/>
        <w:keepNext w:val="0"/>
        <w:pageBreakBefore w:val="0"/>
        <w:spacing w:line="300" w:lineRule="auto"/>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（三）建立健全服务管理制度</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根据本项目的具体情况，中标人应制定企业详细的内部管理制度、日常服务的运作管理制度等相关制度。</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1、管理员工行为规范；</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2、项目经理及管理人员岗位职责；</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3、保洁人员工作职责；</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4、安保人员工作职责</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5、水电工工作职责；</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6、消防巡查员工作职责</w:t>
      </w:r>
      <w:r/>
    </w:p>
    <w:p>
      <w:pPr>
        <w:ind w:right="0" w:firstLine="480"/>
        <w:jc w:val="left"/>
        <w:keepLines w:val="0"/>
        <w:keepNext w:val="0"/>
        <w:pageBreakBefore w:val="0"/>
        <w:spacing w:line="300" w:lineRule="auto"/>
        <w:rPr>
          <w:rFonts w:hint="eastAsia" w:ascii="宋体" w:hAnsi="宋体" w:eastAsia="宋体" w:cs="宋体"/>
          <w:color w:val="000000"/>
          <w:sz w:val="24"/>
          <w:szCs w:val="21"/>
          <w:u w:val="single"/>
        </w:rPr>
      </w:pPr>
      <w:r>
        <w:rPr>
          <w:rFonts w:hint="eastAsia" w:ascii="宋体" w:hAnsi="宋体" w:eastAsia="宋体" w:cs="宋体"/>
          <w:color w:val="000000"/>
          <w:sz w:val="24"/>
          <w:szCs w:val="21"/>
        </w:rPr>
        <w:t xml:space="preserve">7、各类人员的考核奖惩制度；</w:t>
      </w:r>
      <w:r/>
    </w:p>
    <w:p>
      <w:pPr>
        <w:ind w:right="0" w:firstLine="482"/>
        <w:jc w:val="left"/>
        <w:keepLines w:val="0"/>
        <w:keepNext w:val="0"/>
        <w:pageBreakBefore w:val="0"/>
        <w:spacing w:line="300" w:lineRule="auto"/>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（四）服务用房</w:t>
      </w:r>
      <w:r/>
    </w:p>
    <w:p>
      <w:pPr>
        <w:ind w:right="0" w:firstLine="480"/>
        <w:jc w:val="left"/>
        <w:keepLines w:val="0"/>
        <w:keepNext w:val="0"/>
        <w:pageBreakBefore w:val="0"/>
        <w:spacing w:line="30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物管单位服务期间所需的办公用房可由物管单位在管理范围内就近自行安排，也可由相关社区提供协调安置，所需房屋的租赁、使用费由物管单位自行支付。</w:t>
      </w:r>
      <w:r/>
    </w:p>
    <w:p>
      <w:pPr>
        <w:ind w:right="0" w:firstLine="482"/>
        <w:keepLines w:val="0"/>
        <w:keepNext w:val="0"/>
        <w:pageBreakBefore w:val="0"/>
        <w:spacing w:line="300" w:lineRule="auto"/>
        <w:rPr>
          <w:rFonts w:hint="eastAsia" w:ascii="宋体" w:hAnsi="宋体" w:eastAsia="宋体" w:cs="宋体"/>
          <w:b/>
          <w:bCs/>
          <w:sz w:val="24"/>
          <w:szCs w:val="22"/>
        </w:rPr>
      </w:pPr>
      <w:r>
        <w:rPr>
          <w:rFonts w:hint="eastAsia" w:ascii="宋体" w:hAnsi="宋体" w:eastAsia="宋体" w:cs="宋体"/>
          <w:b/>
          <w:bCs/>
          <w:sz w:val="24"/>
          <w:szCs w:val="22"/>
        </w:rPr>
        <w:t xml:space="preserve">注：</w:t>
      </w:r>
      <w:r/>
    </w:p>
    <w:p>
      <w:pPr>
        <w:ind w:right="0" w:firstLine="482"/>
        <w:keepLines w:val="0"/>
        <w:keepNext w:val="0"/>
        <w:pageBreakBefore w:val="0"/>
        <w:spacing w:line="300" w:lineRule="auto"/>
        <w:rPr>
          <w:rFonts w:hint="eastAsia" w:ascii="宋体" w:hAnsi="宋体" w:eastAsia="宋体" w:cs="宋体"/>
          <w:b/>
          <w:bCs/>
          <w:sz w:val="24"/>
          <w:szCs w:val="22"/>
        </w:rPr>
      </w:pPr>
      <w:r>
        <w:rPr>
          <w:rFonts w:hint="eastAsia" w:ascii="宋体" w:hAnsi="宋体" w:eastAsia="宋体" w:cs="宋体"/>
          <w:b/>
          <w:bCs/>
          <w:sz w:val="24"/>
          <w:szCs w:val="22"/>
        </w:rPr>
        <w:t xml:space="preserve">（1）以上所有人员均须具有健康证，无重大疾病和传染病。</w:t>
      </w:r>
      <w:r/>
    </w:p>
    <w:p>
      <w:pPr>
        <w:ind w:right="0" w:firstLine="482"/>
        <w:keepLines w:val="0"/>
        <w:keepNext w:val="0"/>
        <w:pageBreakBefore w:val="0"/>
        <w:spacing w:line="300" w:lineRule="auto"/>
        <w:rPr>
          <w:rFonts w:hint="eastAsia" w:ascii="宋体" w:hAnsi="宋体" w:eastAsia="宋体" w:cs="宋体"/>
          <w:b/>
          <w:bCs/>
          <w:sz w:val="24"/>
          <w:szCs w:val="22"/>
        </w:rPr>
      </w:pPr>
      <w:r>
        <w:rPr>
          <w:rFonts w:hint="eastAsia" w:ascii="宋体" w:hAnsi="宋体" w:eastAsia="宋体" w:cs="宋体"/>
          <w:b/>
          <w:bCs/>
          <w:sz w:val="24"/>
          <w:szCs w:val="22"/>
        </w:rPr>
        <w:t xml:space="preserve">（2）所有服务人员须遵守保密原则，如服务期间对招标人产生了不良影响，中标人须承担全部经济赔偿及法律责任。</w:t>
      </w:r>
      <w:r/>
    </w:p>
    <w:p>
      <w:pPr>
        <w:ind w:right="0" w:firstLine="482"/>
        <w:keepLines w:val="0"/>
        <w:keepNext w:val="0"/>
        <w:pageBreakBefore w:val="0"/>
        <w:spacing w:line="300" w:lineRule="auto"/>
        <w:rPr>
          <w:rFonts w:hint="eastAsia" w:ascii="宋体" w:hAnsi="宋体" w:eastAsia="宋体" w:cs="宋体"/>
          <w:b/>
          <w:bCs/>
          <w:sz w:val="24"/>
          <w:szCs w:val="22"/>
        </w:rPr>
      </w:pPr>
      <w:r>
        <w:rPr>
          <w:rFonts w:hint="eastAsia" w:ascii="宋体" w:hAnsi="宋体" w:eastAsia="宋体" w:cs="宋体"/>
          <w:b/>
          <w:bCs/>
          <w:sz w:val="24"/>
          <w:szCs w:val="22"/>
        </w:rPr>
        <w:t xml:space="preserve">（3）中标人须在交接入场前将所有服务人员的履历情况报招标人审核，并按招标文件及招标人要求更换不合格人员。审核确认后服务人员未经招标人同意不得随意更换。</w:t>
      </w:r>
      <w:r/>
    </w:p>
    <w:p>
      <w:pPr>
        <w:ind w:right="0" w:firstLine="482"/>
        <w:keepLines w:val="0"/>
        <w:keepNext w:val="0"/>
        <w:pageBreakBefore w:val="0"/>
        <w:spacing w:line="300" w:lineRule="auto"/>
        <w:rPr>
          <w:rFonts w:hint="eastAsia" w:ascii="宋体" w:hAnsi="宋体" w:eastAsia="宋体" w:cs="宋体"/>
          <w:b/>
          <w:bCs/>
          <w:sz w:val="24"/>
          <w:szCs w:val="22"/>
        </w:rPr>
      </w:pPr>
      <w:r>
        <w:rPr>
          <w:rFonts w:hint="eastAsia" w:ascii="宋体" w:hAnsi="宋体" w:eastAsia="宋体" w:cs="宋体"/>
          <w:b/>
          <w:bCs/>
          <w:sz w:val="24"/>
          <w:szCs w:val="22"/>
        </w:rPr>
        <w:t xml:space="preserve">（4）</w:t>
      </w:r>
      <w:r>
        <w:rPr>
          <w:rFonts w:hint="eastAsia" w:ascii="宋体" w:hAnsi="宋体" w:eastAsia="宋体" w:cs="宋体"/>
          <w:b/>
          <w:bCs/>
          <w:sz w:val="24"/>
          <w:szCs w:val="20"/>
        </w:rPr>
        <w:t xml:space="preserve">本项目所有人员工资不得低于当前</w:t>
      </w:r>
      <w:r>
        <w:rPr>
          <w:rFonts w:hint="eastAsia" w:ascii="宋体" w:hAnsi="宋体" w:eastAsia="宋体" w:cs="宋体"/>
          <w:b/>
          <w:bCs/>
          <w:color w:val="000000"/>
          <w:sz w:val="24"/>
          <w:szCs w:val="20"/>
        </w:rPr>
        <w:t xml:space="preserve">盐城市劳动用人规定</w:t>
      </w:r>
      <w:r>
        <w:rPr>
          <w:rFonts w:hint="eastAsia" w:ascii="宋体" w:hAnsi="宋体" w:eastAsia="宋体" w:cs="宋体"/>
          <w:b/>
          <w:bCs/>
          <w:sz w:val="24"/>
          <w:szCs w:val="20"/>
        </w:rPr>
        <w:t xml:space="preserve">最低标准，并按国家规定交纳五险 ，如中标人未按标准发放缴纳所造成的一切经济与法律责任均由中标人自行承担，与招标人无涉。</w:t>
      </w:r>
      <w:r/>
    </w:p>
    <w:p>
      <w:pPr>
        <w:ind w:right="0" w:firstLine="482"/>
        <w:keepLines w:val="0"/>
        <w:keepNext w:val="0"/>
        <w:pageBreakBefore w:val="0"/>
        <w:spacing w:line="300" w:lineRule="auto"/>
        <w:rPr>
          <w:rFonts w:hint="eastAsia" w:ascii="宋体" w:hAnsi="宋体" w:eastAsia="宋体" w:cs="宋体"/>
          <w:b/>
          <w:bCs/>
          <w:sz w:val="24"/>
        </w:rPr>
      </w:pPr>
      <w:r>
        <w:rPr>
          <w:rFonts w:hint="eastAsia" w:ascii="宋体" w:hAnsi="宋体" w:eastAsia="宋体" w:cs="宋体"/>
          <w:b/>
          <w:bCs/>
          <w:sz w:val="24"/>
        </w:rPr>
        <w:t xml:space="preserve">★ 特别提醒：</w:t>
      </w:r>
      <w:r/>
    </w:p>
    <w:p>
      <w:pPr>
        <w:numPr>
          <w:ilvl w:val="0"/>
          <w:numId w:val="1"/>
        </w:numPr>
        <w:ind w:right="0" w:firstLine="482"/>
        <w:jc w:val="left"/>
        <w:keepLines w:val="0"/>
        <w:keepNext w:val="0"/>
        <w:pageBreakBefore w:val="0"/>
        <w:spacing w:line="300" w:lineRule="auto"/>
        <w:widowControl/>
        <w:rPr>
          <w:rFonts w:hint="eastAsia" w:ascii="宋体" w:hAnsi="宋体" w:eastAsia="宋体" w:cs="宋体"/>
          <w:b/>
          <w:bCs/>
          <w:sz w:val="24"/>
        </w:rPr>
      </w:pPr>
      <w:r>
        <w:rPr>
          <w:rFonts w:hint="eastAsia" w:ascii="宋体" w:hAnsi="宋体" w:eastAsia="宋体" w:cs="宋体"/>
          <w:b/>
          <w:bCs/>
          <w:sz w:val="24"/>
        </w:rPr>
        <w:t xml:space="preserve">各中标人投标前必须进行现场勘查。</w:t>
      </w:r>
      <w:r/>
    </w:p>
    <w:p>
      <w:pPr>
        <w:numPr>
          <w:ilvl w:val="0"/>
          <w:numId w:val="1"/>
        </w:numPr>
        <w:ind w:right="0" w:firstLine="482"/>
        <w:jc w:val="left"/>
        <w:keepLines w:val="0"/>
        <w:keepNext w:val="0"/>
        <w:pageBreakBefore w:val="0"/>
        <w:spacing w:line="300" w:lineRule="auto"/>
        <w:widowControl/>
        <w:rPr>
          <w:rFonts w:hint="eastAsia" w:ascii="宋体" w:hAnsi="宋体" w:eastAsia="宋体" w:cs="宋体"/>
          <w:b/>
          <w:sz w:val="22"/>
          <w:szCs w:val="22"/>
        </w:rPr>
      </w:pPr>
      <w:r>
        <w:rPr>
          <w:rFonts w:hint="eastAsia" w:ascii="宋体" w:hAnsi="宋体" w:eastAsia="宋体" w:cs="宋体"/>
          <w:b/>
          <w:bCs/>
          <w:sz w:val="24"/>
        </w:rPr>
        <w:t xml:space="preserve">中标人在成交后或履行合同过程中，招标人如发现中标人系借用他人资质中标，将立即没收履约保证金并终止合同。</w:t>
      </w:r>
      <w:r/>
    </w:p>
    <w:p>
      <w:pPr>
        <w:pStyle w:val="648"/>
        <w:ind w:right="0" w:firstLine="482"/>
        <w:jc w:val="both"/>
        <w:keepLines w:val="0"/>
        <w:keepNext w:val="0"/>
        <w:pageBreakBefore w:val="0"/>
        <w:spacing w:beforeAutospacing="0" w:afterAutospacing="0" w:line="300" w:lineRule="auto"/>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四、服务明细附表</w:t>
      </w:r>
      <w:r/>
    </w:p>
    <w:p>
      <w:pPr>
        <w:jc w:val="center"/>
        <w:keepLines w:val="0"/>
        <w:keepNext w:val="0"/>
        <w:pageBreakBefore w:val="0"/>
        <w:spacing w:before="157" w:after="157"/>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东台镇主城区巷道管护清单</w:t>
      </w:r>
      <w:r/>
    </w:p>
    <w:tbl>
      <w:tblPr>
        <w:tblStyle w:val="642"/>
        <w:tblW w:w="84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7"/>
        <w:gridCol w:w="768"/>
        <w:gridCol w:w="1477"/>
        <w:gridCol w:w="3553"/>
        <w:gridCol w:w="1922"/>
      </w:tblGrid>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社区（村）</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vMerge w:val="restart"/>
            <w:textDirection w:val="lrTb"/>
            <w:noWrap/>
          </w:tcPr>
          <w:p>
            <w:pPr>
              <w:jc w:val="center"/>
              <w:keepLines w:val="0"/>
              <w:keepNext w:val="0"/>
              <w:pageBreakBefore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地点名称</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原种场主干道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原种场（曹军南北方向）</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原种场（刘进生南北方向）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五组（中心村东西方向）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定向河、吴九路、六组内（3条南北方向）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五组（吴九路段南北）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七组（施井元东西方向）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七组（朱汉杰东西方向）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七组（茅风康东西方向）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七组（茅风德东西方向）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六组（顾跃忠向北）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六组（薛文彬向东）</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六组（葛粉林向东）</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六组（薛文根东西方向）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五组（张金根东西）</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五组（杨得林东西）</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五组（冯连根东西）</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五组（中心村向南北方向）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五组（张根祥东西方向）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北海路南盲人道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北海路北盲人道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八组（水泵房至姜仁根）</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八组（花如发至董存根）</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八组（季红生至茅风康）</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八组（董桂生至茅凤祥）</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原种场小区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巨家沟路两侧</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北海东路，五里沟东侧，原北海四组</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北海五组新建反诈公园</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振兴大桥下面，拆迁区域</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北灶</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海新小区社道路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社道路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北灶</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聚龙双苑西侧通金路至北海西路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童心幼儿园东侧至东亭北路，北至四塘路，南至黄海路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北灶</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金北二村</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通金路小区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北灶</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海新新村</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金发巷居民区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仕南巷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富腾学校路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小猪行路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北关商城绿化路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北海中巷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二村中路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夏家沟河路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海定路（东起东亭路）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双宝路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天赐良缘后路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银海巷东路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金谷巷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金谷西巷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金山南巷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银海巷路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金海西苑后路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稻香巷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金马别墅西路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串场河风光带河道东侧河坡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仕南巷居民区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金北三组厂房</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金北二组居民区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金北三组居民区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原经纬学校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金谷西巷居民区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北海西巷居民区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关北一村居民区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关北二村居民区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关北三村居民区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石油大队宿舍区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金海路一线南北两侧店面门口路道（无物业的）（周周扫）</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新世纪商住楼北巷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兴东花园AB楼东巷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兴东花园AB楼北巷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兴东花园AB楼北三角区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化工厂宿舍东巷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汇龙市场南巷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文化楼东巷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城北中学南巷1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城北中学南巷2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城北中学南巷3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城北中学南巷4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城北中学南巷5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城北中学南巷6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城北中学南巷7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城北中学南巷8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城管局北巷1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城管局北巷2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灶东中巷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新宁商城北巷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灶东东巷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皮革厂宿舍西巷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金海路一线南北两侧店面门口路道（无物业的）（周周扫）</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建华东巷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建华西巷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一组支巷（22条）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泰和路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一中沟南路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祥和路（二组）</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一二组中心巷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二组支巷（22条）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新德路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一中沟南路（五组）</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文华东巷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文华巷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育新巷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老居委会北巷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文荣巷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永胜南路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育新巷（南）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四五组界巷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王家场巷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王家场东巷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王家场西巷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新华书店北巷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新华书店巷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燕京东巷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王家场支巷（2条）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种子公司后巷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交警五支巷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交警一支巷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交警二支巷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交警三支巷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交警西巷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交警支巷分支（5条）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永胜南路（南）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永安巷（3条）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永康巷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永安巷支巷（4条）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永康巷支巷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永昌东巷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永昌西巷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永昌南巷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永兴巷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永兴西巷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龙华巷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龙华巷支巷（3条）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文辉巷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文富巷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文富支巷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文富支巷（3条）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吉庆路入口</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康城后巷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朝阳路南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朝阳路北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朝阳路支巷（13条）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一中沟南（六组）</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文林新村南门与东铭雅居交界处</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范公北路东侧（新德路东）众誉汽车服务中心北侧</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康城西侧朝阳路南靠河边绿化带（已种菜）</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新光小区南沿街商铺金海东路南侧绿化带北侧</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联运公司宿舍楼在四通停车场内</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江苏银行北商住楼（魔方公寓）北侧巷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永胜南路西侧沿街店铺绿化带北侧</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泰和路和祥和路交叉路向南</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龙华巷支巷1</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龙华巷支巷2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龙华巷支巷3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朝阳路支巷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交警西巷（康城东侧）</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朝阳路支巷2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金海路一线南北两侧店面门口路道（无物业的）（周周扫）</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五小市场南侧</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同兴路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同旺巷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工商局宿舍西侧路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房产公司南大院南侧路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海新小区南北路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海新小区7区和8区间东西路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二中沟南路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金水西路东侧</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永定北路支巷（红灯笼前）</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永定北路支巷（农工部前）</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永贵桥北（朱存祥）</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一中沟北支巷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永定路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明海路东路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永贵路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明海东路支巷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明海路支路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明海西路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永乐巷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同心路支巷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同心路南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纺机厂宿舍路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吉安巷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红兰北路西沿东沿</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德润南路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三中沟南路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七号公馆北边、西边道路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中瑞华府西侧道路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一中沟、二中沟河坡绿化带区域</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海新小区5-13区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永贵巷及支巷居民区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明海路及支巷居民区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吉祥巷居民区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吉庆巷居民区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吉安巷居民区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永乐巷居民区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金水西路居民区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蓓蕾1-7巷居民区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新兴三组居民区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工业新村居民区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金海</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新兴</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金海路一线南北两侧店面门口路道（无物业的）（周周扫）</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望海</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步行街巷道（怡和花园南）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长金路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连心路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丽苑路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国富实业北侧道路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八林二期前丹桂路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明星家具城北路西水产场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国福实业北老气站的一条路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八林三期前东园路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国富实业东侧与金圣驾校衔接处</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八林二组居民区</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八林十六组居民区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八林新村周边道路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丁新主干道（台南公路）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丁新六组支巷1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丁新六组支巷2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丁新六组支巷3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丁新六组支巷4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丁新七组支巷1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丁新七组支巷2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丁新七组支巷3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丁新七组支巷4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丁新七组支巷5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丁新八组支巷1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丁新八组支巷2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丁新八组支巷3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丁新八组支巷4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丁新九组支巷1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台先河西路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水厂东路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丁新</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七、八、九组南北路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龙晶北门河边小路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水产场北居民区东巷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水产场北居民区中巷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水产场北居民区西巷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水产场南区主干道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西窑南区自建房支巷1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西窑南区自建房支巷2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西窑南区自建房支巷3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西窑南区自建房支巷4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西窑南区集资楼北边小路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西窑南区集资楼南边小路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玲珑湾南侧和台南公路中间小路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西窑北区宿舍楼围墙外巷道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老南台公路两侧</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公园社区北侧</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西窑北区1号宿舍楼（南）</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vMerge w:val="restart"/>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西窑北区2号3号宿舍楼（南）</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西窑北区2号3号宿舍楼（北）</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西窑北区1号2号宿舍楼（东）</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vMerge w:val="continue"/>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城南大桥南边下去小路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金墩</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何垛湾南侧游园</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金墩</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何垛湾东侧（景范小区西侧围墙外）及南侧装修工地</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金墩</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西湖花园西侧往河边走那一片</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金墩</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鼓楼西路口袋公园西侧商铺门口道路（左二早茶周边）</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九龙北路至龙城路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城南中沟路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华丰南路至华丰路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政府路至高桥河南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地毯厂区域路段</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汤泊河西段</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政府围墙南段</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高桥河南西</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粮库生活区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东台镇镇政府往西的河坡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华丰路及华丰南路居民区</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地毯厂平房区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龙城新村居民区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汤泊新村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汤泊</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龙城路居民区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林城花园北侧巷道一</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林城花园北侧巷道二</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茶城花园北侧巷道一</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茶城花园北侧巷道二</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茶城花园北侧巷道三</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南城花园东区围墙外北巷道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南城花园东区围墙外东巷道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南城花园东区围墙外西巷道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农科大楼宿舍楼门口巷道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海春别墅区与清真寺巷道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海龙王浴室北巷道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海龙王浴室南巷道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明清街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烧烤店、明清街宠物医院前</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澎湖湾足艺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龙门飞鱼至丰润门前</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戈公楼门前</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戈公楼门南侧路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明清街南正门</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明清街公厕前</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居士林东西路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居士林前南北路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周巍峙王昆纪念馆前东西路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周巍峙王昆纪念馆南侧空地</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丁公桥南河边</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明清街后南北路至石桥中巷14号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石桥中巷14号向南的南北路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石桥中巷15号门前南北路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明清街南侧空场地</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长青家东小路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石桥东巷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石桥西巷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顾家巷东侧小巷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顾家巷东侧空地</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百姓酒家南侧东西路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丁公馆巷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丁公馆巷中支路东西</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顾家巷西河边77号东巷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顾家巷西河边77号巷道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顾家巷西河边77号西巷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顾家巷西河边27号东巷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顾家巷西河边27号西巷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南园西路28号东巷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南园西路10号东巷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南园西路10号西巷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南园西路12号西巷（刘申华）</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夏家院</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南园西路60号前巷（周东喜）</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南园西路60号西巷（周东喜）</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曹冬慧东巷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曹俊生东巷</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九龙东路31号东巷</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九龙东路30号东巷</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公厕东巷</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九龙南路67号前</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九龙南路30号前</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九龙南路28号西巷</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九龙南路14号南</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南园西路54号东巷</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龙泉浴室北巷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南园西路25号西巷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南园西路25号东巷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市供销联社宿舍前</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南园西路钱国阳屋西空地</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顾家巷西河边（陈宝香东路）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顾家巷西河边18号至丁公桥南侧(南北向)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丁公桥南河边西南侧（东西向）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顾家巷3号小巷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徐家塘39号小巷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九龙港西河边西路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九龙港西河边路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徐家塘26号道路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徐家塘23号与22号中间道路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徐家塘23号向北至徐家塘26号向南道路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徐家塘17号至顾家巷4号路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顾家巷22号至顾家巷西河边4号巷道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实小西巷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海春大厦及周边</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银座大厦西车库周边</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状元楼茶城花园24号楼</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奥凯大门口至农科大楼商铺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启平</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玉带桥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三里桥派出所路对面有一处卫生死角</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东窑支路巷道</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建银商住楼北侧、西侧巷道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朝阳大酒店南侧巷道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吉祥路南到朝阳大酒店北侧，宁静巷东侧到范公中路西侧巷道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东方爱诺幼儿园北侧巷道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长青连家店巷道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邮电新村西侧的巷道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邮电新村北门东西向和南北向的巷道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鼓楼雅苑南侧巷道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鼓楼菜场和城管停车场之间的巷道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东关综合楼西侧、南侧巷道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农干校宿舍到范公中路之间的巷道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龙光建筑大楼南侧巷道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边防大队西侧巷道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东关小区居民区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朱家园周边居民区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泰安巷周边居民区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祥瑞巷周边居民区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宁静巷周边居民区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悦达巷周边居民区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三晖巷和三晖东巷周边居民区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致远巷周边居民区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光明巷周边居民区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魁星楼水巷周边居民区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东坝</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陆家滩居民区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东关新村各条支巷1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东关新村各条支巷2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东关新村各条支巷3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东关新村各条支巷4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东关新村各条支巷5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东关新村各条支巷6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16口袋公园（南北路）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17口袋公园（东西路）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25天竹巷北巷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29乐天北巷（达荣苑东侧）</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36天竹巷南巷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41师范北巷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43乐天巷支巷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44乐天东巷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48乐天巷各支巷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58学府东路南北支巷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70安康路（南北向）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75健康西巷（南北向）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76安康路西边（南北向）</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80金东广场东侧巷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安康中路各支巷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安康中路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九九巷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乐民巷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老社区大楼东侧巷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天竹巷西侧支巷</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五金公司宿舍西侧巷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百货公司宿舍西侧巷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安康东路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安康东路各支巷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老车站北巷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财政局宿舍东侧、饮服公司宿舍南侧巷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八达城西侧路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永康路停车场东侧围墙与栅栏的封闭区域</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裕丰桥-东区东支巷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浴室-小岗桥</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裕丰桥-42#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东园新村东区北大巷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东园新村东区东大巷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上海丽苑北门-东区南巷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东园新村东区东支巷*8巷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东窑片区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东窑3条支巷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范公南路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鼓楼东路9号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鼓楼东路13号</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鼓楼东路25号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利民堂药店西边巷口</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万昌眼镜店西巷口</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裕丰巷东路口</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裕丰巷东</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裕丰巷大路口</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裕丰巷支巷3个</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裕文巷东巷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裕文巷支巷4个</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裕文巷西巷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裕昌巷东支巷4个</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裕昌巷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裕昌巷西支巷6个</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裕民巷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裕民巷西支巷4个</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裕德巷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裕德巷西支巷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裕仁巷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裕仁巷西支巷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裕荣巷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裕荣巷南巷口</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裕华巷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裕华巷支西巷2个</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鼓楼东路113-2旁</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河北路边</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东门路77号巷子</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东门路南西支巷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东门路南西</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东门路南西163号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东门路南西支巷子</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东门路南</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东窑居民区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东门路南居民区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棠浦巷支巷5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纱厂中巷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进东城景苑主路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阳光大厦旁支路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东城景苑北第一支路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东城景苑北第二支路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东城景苑南第一支路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东城景苑北第三支路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东城景苑北第四支路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东城景苑南第二支路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东城景苑北第五支路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东城景苑南第三支路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东城景苑北第六支路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东城景苑北第七支路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东城景苑南第四支路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东城景苑北第八支路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东城景苑北第九支路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东城景苑南北主路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东城景苑东西主路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东城景苑南北支路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兰溪巷路南第一支路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兰溪巷路南第二支路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兰溪巷路南第三支路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兰溪巷路南第四支路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兰溪巷路南第五支路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兰溪巷路南第六支路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兰溪巷路南第七支路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棠浦东巷第一支路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棠浦巷南北主路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棠浦东巷第二支路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棠浦东巷第三支路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棠浦东巷东西主路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棠浦东巷南北第一支路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棠浦东巷南北第二支路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棠浦巷37号门口东西支路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枣阳巷南北主路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枣阳巷东西支路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枣阳巷南北第一支路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枣阳巷南北第二支路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枣阳东巷温馨花园支路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新民东路小区北支巷1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新民东路小区北支巷2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新民东路小区北支巷3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新民东路小区北支巷4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新民东路小区北支巷5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小广场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新民东路小区北支巷6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新民东路小区北支巷7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新民东路小区北支巷8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新民东路小区北支巷9</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盛水路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毛纺厂宿舍中小巷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新民东路南支巷9</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新民东路南支巷10</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新民东路南支巷11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新民东路南支巷12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新民东路南支巷13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新民东路南支巷14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丁香巷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装饰城东区东朝西路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滨河区间路南侧段</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富腾路华联幼儿园南面绿化</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蓝天宾馆支巷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纺织品原料公司</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兰溪巷支巷6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兰溪巷支巷7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兰溪巷支巷8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兰溪巷支巷9</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银杏巷支巷1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银杏巷支巷2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银杏巷支巷3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银杏巷支巷4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银杏巷支巷5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银杏巷支巷6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银杏巷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银杏东巷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棠浦巷支巷1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棠浦巷支巷2</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棠浦巷支巷3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棠浦巷支巷4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棠浦巷支巷5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纱厂平房区支巷1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纱厂平房区支巷2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纱厂平房区支巷3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纱厂平房区支巷4</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纱厂平房区支巷5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纱厂平房区支巷6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纱厂平房区支巷7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新民别墅区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新东街道东巷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中行西侧巷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金茂北侧巷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曙东巷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华联路支巷3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华联路支巷4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食品东巷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食品东巷支巷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食品中巷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食品西巷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超越神话西巷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环保局南侧巷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四井巷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四悦东中西巷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新城路支巷3条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新月巷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半家户1支巷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半家户2支巷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半家户3支巷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新民西路1支巷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新民西路2支巷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新民西路3支巷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新民西路4支巷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新民西路5支巷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新民西路6支巷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新民西路7支巷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新民西路8支巷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新民西路9支巷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新民西路10支巷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新民西路11支巷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新民西路12支巷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疾控中心南侧巷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煤炭公司北侧巷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锁金城1支巷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锁金城2支巷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锁金城3支巷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世纪大厦背后巷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世纪大厦西侧巷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国土西侧巷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新车站巷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九天北路支巷1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九天北路支巷2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双源巷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双源巷支巷1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双源巷支巷2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打井队东巷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打井队西巷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宝石巷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双松巷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双竹巷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双梅巷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华联路支巷5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华联路支巷6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华联路支巷7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华联路支巷8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华联路支巷9</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新宁东方西侧巷道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新宁东方东侧巷道</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月亮湾巷南侧（停车场的北侧）</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德驰华府南侧（手机卖场背后巷道）</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德驰华府北侧（2号楼北侧靠原帝豪浴室南侧围墙）</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新宁东方东侧绿化带卫生死角</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原劳动局现东台镇便民服务中心</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商业新村南门小公园东侧道路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何垛路东延（二女桥社区往北）</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海盐路国贸喵先生超市东西2侧道路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海盐路百合巷南路口往东</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二女桥社区背后</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华联路西头九九广告公司东南侧角落</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新城路东侧扩路后遗留路面</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外贸公司宿舍1号楼南侧</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朝阳巷居民区</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月亮湾巷居民区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石榴巷居民区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新月巷居民区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新民小区南北区居民区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双源巷北区居民区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双松巷居民区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丽晶花园居民区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新城路西侧支巷（3条）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金海路一线南北两侧店面门口路道（无物业的）（周周扫）</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长青九组东西路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长青十组南北路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长青三组东西路1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长青三组东西路2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三组支路1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三组支路2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双于路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长青八组南北路1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长青八组南北路2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八组东西路1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八组东西路2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兆丰路东</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兆丰路西</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兆丰路支路1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金都花苑西侧</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磊达路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纱厂宿舍支路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磊达路支路1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磊达路支路2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磊达路支路3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长青小区支路9</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长青小区支路10</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如意路支路9</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如意路支路10</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如意路支路18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印染厂宿舍南北路1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印染厂宿舍南北路2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印染厂宿舍南北路3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印染厂宿舍南北路4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印染厂宿舍南北路5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印染厂宿舍南北路6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玉白路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长青六组南北路1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长青六组南北路2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长青六组支路1</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长青六组支路2</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长青六组支路3</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长青六组支路6</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长青六组支路7</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长青六组支路8</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长青六组支路9</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长青六组支路10</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青北路东西路</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青北路南北支路1</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青北路南北支路2</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青北路南北支路3</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青北路南北支路4</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青北路南北支路5</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青北路南北支路6</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青北路南北支路7</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青北路南北支路8</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734</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青北路南北支路9</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735</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青北路南北支路10</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736</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青北路南北支路11</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737</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长青五组南北路1</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738</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长青五组南北路2</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长青五组南北路3</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长青五组南北路4</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741</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长青五组南北路5</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八舍小区河边路（范公路路西）</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八舍小区两排居民东西路1 附带支巷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八舍小区两排居民东西路2  附带支巷</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丽苑路东侧</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明星家居西区北区居民区道路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跃进河沿线河坡</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家居路周边（田坡、巷道等市政道路以外的）</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749</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长青周转房周边区域（农田沟渠与居民区交汇）</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人武部门前路西至范公南路</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长青三组于小根门前南北路（北至惠阳路南至长青周转房）即道路两侧</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四季酒店旁丽苑路南侧五组居民区</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ffffff"/>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ffffff"/>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长青六组居民区及范公路路东连家店</w:t>
            </w:r>
            <w:r/>
          </w:p>
        </w:tc>
        <w:tc>
          <w:tcPr>
            <w:shd w:val="clear" w:color="auto" w:fill="ffffff"/>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印染别墅区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东郊别墅区</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tcPr>
          <w:p>
            <w:pPr>
              <w:jc w:val="left"/>
              <w:keepLines w:val="0"/>
              <w:keepNext w:val="0"/>
              <w:pageBreakBefore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君开路（东关公寓南）及东侧停车场与东关公寓围墙路道 </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jc w:val="left"/>
              <w:keepLines w:val="0"/>
              <w:keepNext w:val="0"/>
              <w:pageBreakBefore w:val="0"/>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keepLines w:val="0"/>
        <w:keepNext w:val="0"/>
        <w:pageBreakBefore w:val="0"/>
        <w:spacing w:before="157" w:after="157"/>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东台镇主城区252个老旧小区清单</w:t>
      </w:r>
      <w:r/>
    </w:p>
    <w:tbl>
      <w:tblPr>
        <w:tblStyle w:val="642"/>
        <w:tblW w:w="8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1413"/>
        <w:gridCol w:w="1243"/>
        <w:gridCol w:w="4341"/>
      </w:tblGrid>
      <w:tr>
        <w:trPr>
          <w:jc w:val="center"/>
          <w:trHeight w:val="0"/>
        </w:trPr>
        <w:tc>
          <w:tcPr>
            <w:shd w:val="clear" w:color="auto" w:fill="auto"/>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东园新村</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国土局宿舍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法院宿舍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原皮防院宿舍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农行宿舍楼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农商行宿舍楼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水文站宿舍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疾控中心宿舍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一招宿舍楼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金都商住楼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信息部宿舍楼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原种场生活小区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新华书店宿舍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燕京宿舍北楼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燕京宿舍南楼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新光小区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联运公司宿舍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港监宿舍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气象局宿舍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交警大队宿舍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建管处宿舍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煤二贸宿舍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审计局宿舍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种子公司宿舍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江苏银行后宿舍（魔方公寓内）</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永定巷1号楼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永定巷3号楼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永定巷4号楼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永定巷5号楼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永定巷7号楼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永定巷9号楼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永定巷11号楼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永定巷15号楼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永定巷17号楼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工商局宿舍1号楼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建行宿舍2号楼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煤炭公司宿舍1号楼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人行宿舍1号楼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房产公司1号楼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工行宿舍4号楼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农工部宿舍1号楼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棉麻公司宿舍1号楼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供销商场宿舍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日杂公司宿舍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标牌厂宿舍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怡和花园（金还中路26号）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纺机厂宿舍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房产公司宿舍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刺绣厂宿舍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开发公司宿舍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建行宿舍1号楼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海新新村5-13区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商业大厦宿舍（华联路1号）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食品公司宿舍（望海东路18号）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塑料厂宿舍（食品东巷6号）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公安局宿舍（食品东巷2号）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粮食局宿舍（望海东路16号）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煤炭公司宿舍（海盐路8号）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一建公司宿舍（范公中路247号）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机电公司宿舍（海盐路11号）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台城供销社宿舍（海盐路11号）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伊泰大厦（金海东路13号）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新宁东方（何垛路36号）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水利运输队宿舍（双源巷27号）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农垦宿舍（华联路72号）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打井队宿舍（华联路84号）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水利局宿舍（何垛路31、32号）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粮食局职工宿舍楼（油脂公司宿舍）（何垛路29号）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九天北路公厕东侧楼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供销联社宿舍楼（九天北路7号）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九天北路1号宿舍（九天宾馆朝北 外贸公司宿舍东侧）</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九天北路3号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水利研究所宿舍楼（九天北路5号）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车站宿舍（华联路东首）</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外贸公司宿舍楼（望海东路46号）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船厂宿舍（双松巷12号）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豆制品厂商住楼（华联路70号）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石油公司宿舍楼（望海东路40号）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化建公司（望海东路44号）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八林</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国富实业</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北灶</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海新新村1-4区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北灶</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金北二村</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北灶</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通金路小区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纱厂宿舍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帽厂宿舍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人民商场宿舍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储运公司宿舍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东都商住楼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邮电新村</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东关小区北门</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朝阳新村A区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朝阳新村B区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边防大队宿舍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计经委宿舍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工商局宿舍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化建厂宿舍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建银商住楼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自来水厂宿舍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印刷厂宿舍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农干校宿舍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东关综合楼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造纸厂宿舍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朝阳新村C、D、G区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朝阳新村F区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红兰别墅早餐店楼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陶瓷厂宿舍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朝阳新村F区7号楼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鼓楼东路2号（长青农行楼上）</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工行宿舍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化工厂宿舍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轻工局宿舍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机械厂开发楼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新世纪商住楼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皮革厂宿舍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百货公司</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航道站</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纺机厂宿舍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钨酸厂商住楼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水利公寓</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西窑南区集资楼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水产场北集资楼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西窑北区宿舍楼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西窑南二层宿舍楼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政府宿舍楼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农科大楼宿舍楼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航运公司宿舍楼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海春大厦</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华泰大厦（及周边平房）</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步行街楼上</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银座商厦</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茶城24号楼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燃料公司宿舍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万邦商都</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棉麻公司宿舍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无线电厂宿舍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邮电局宿舍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和平小区42号楼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广电局宿舍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妇幼宿舍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教育局宿舍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望海</w:t>
            </w:r>
            <w:r/>
          </w:p>
        </w:tc>
        <w:tc>
          <w:tcPr>
            <w:shd w:val="clear" w:color="auto" w:fill="ffffff"/>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消防大队宿舍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化轻公司宿舍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金属机电公司宿舍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木材公司宿舍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总工会宿舍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气门厂宿舍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轧花厂宿舍南</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繅丝厂西宿舍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繅丝厂东宿舍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金马别墅区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金马综合楼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富贵家园</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供电局西宿舍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供电局东宿舍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轮船码头宿舍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公安局宿舍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京西大厦AB楼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龙汇大厦</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华丰路及华丰南路</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地毯厂平房区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龙城新村区域</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汤泊新村</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龙城路区域</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航运公司宿舍楼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地毯厂宿舍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四组、七组农迁农小区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印染别墅区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东方医院宿舍楼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金墩</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永泰大厦</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金墩</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广济大厦</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金墩</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银苑公寓</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原种场宿舍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农业局宿舍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化建宿舍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报社宿舍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环保局宿舍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财政局宿舍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民政局宿舍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滩涂局宿舍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税务局宿舍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兽医站宿舍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纺织品原料公司宿舍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检察院宿舍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东台镇纱厂宿舍小区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生富大厦</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阳光大厦</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印染小区</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二女桥</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邮政局宿舍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天竹巷77号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新民大楼5号楼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百货公司宿舍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五金公司宿舍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烟草公司宿舍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糕点厂宿舍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粮食局宿舍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房产公司宿舍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物资局宿舍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老法院宿舍-乐天巷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汽修厂宿舍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三中宿舍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纺工局宿舍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党校宿舍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老东关社区大楼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滩涂局宿舍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扬声器厂宿舍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天竹巷79号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天竹巷81号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新民南路5号楼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新民大楼6-10号楼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工商局宿舍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税务局宿舍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设计院宿舍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新民南路25号</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新民大楼1-4号楼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老师范宿舍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刺绣厂宿舍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老市政府宿舍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多管局宿舍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水泥制品厂宿舍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安康路6号楼</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医学公司宿舍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老法院宿舍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血防办宿舍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老车站宿舍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防疫站宿舍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财政局宿舍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饮服公司宿舍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军干所宿舍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建设局宿舍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国税局宿舍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计量局宿舍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化建公司宿舍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机械局宿舍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计生委宿舍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电影公司宿舍</w:t>
            </w:r>
            <w:r/>
          </w:p>
        </w:tc>
      </w:tr>
      <w:tr>
        <w:trPr>
          <w:jc w:val="center"/>
          <w:trHeight w:val="0"/>
        </w:trPr>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W w:w="141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W w:w="12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w:t>
            </w:r>
            <w:r/>
          </w:p>
        </w:tc>
        <w:tc>
          <w:tcPr>
            <w:shd w:val="clear" w:color="auto" w:fill="auto"/>
            <w:tcW w:w="43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统计局宿舍</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keepLines w:val="0"/>
        <w:keepNext w:val="0"/>
        <w:pageBreakBefore w:val="0"/>
        <w:spacing w:before="157" w:after="157"/>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东台镇城区征收区域</w:t>
      </w:r>
      <w:r/>
    </w:p>
    <w:tbl>
      <w:tblPr>
        <w:tblStyle w:val="642"/>
        <w:tblW w:w="80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0"/>
        <w:gridCol w:w="1017"/>
        <w:gridCol w:w="1285"/>
        <w:gridCol w:w="3870"/>
        <w:gridCol w:w="113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征收项目名称</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北灶</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黄海路区域（金星巷）</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北灶</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嘉和名城西北角（北灶社区东侧）</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串场河-富腾学校南侧</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神龙药业北侧地块</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明星家具城周边</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惠阳路小学东侧</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惠阳路幼儿园东侧</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惠阳路南串场河西</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八林</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电大（南区）</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东亭南路砖瓦厂及周边</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电大北侧</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电大（南区）</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老政府宿舍楼及周边</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城南菜场</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张骞纪念馆东侧</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红兰路西延</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玉带桥</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张骞纪念馆周边（西侧）</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何垛南路东延</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东门路口</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643"/>
        <w:rPr>
          <w:rFonts w:hint="eastAsia"/>
        </w:rPr>
      </w:pPr>
      <w:r>
        <w:rPr>
          <w:rFonts w:hint="eastAsia"/>
        </w:rPr>
      </w:r>
      <w:r/>
    </w:p>
    <w:p>
      <w:pPr>
        <w:jc w:val="center"/>
        <w:keepLines w:val="0"/>
        <w:keepNext w:val="0"/>
        <w:pageBreakBefore w:val="0"/>
        <w:spacing w:before="157" w:after="157"/>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东台镇主城区管理公厕清单</w:t>
      </w:r>
      <w:r/>
    </w:p>
    <w:tbl>
      <w:tblPr>
        <w:tblStyle w:val="642"/>
        <w:tblW w:w="82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1"/>
        <w:gridCol w:w="2003"/>
        <w:gridCol w:w="910"/>
        <w:gridCol w:w="1368"/>
        <w:gridCol w:w="3222"/>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公厕名称</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所属社区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具体地址</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汇龙菜场公厕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汇龙菜场南侧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永定路公厕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永定路新兴社区南侧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龙华巷公厕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朝阳巷跨一中沟桥东侧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永康巷西公厕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吉庆路西、国宾府河南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育新巷北公厕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永胜路北头东侧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金水东路公厕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金水东路文林新村南门西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文华巷公厕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新海社区东北方向文华巷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新民南路公厕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东关社区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新民南路圆融东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湖畔花苑东巷东窑185号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瓜果市场外公厕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范公中路142号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新民西路公厕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新民西路312号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水产场南区公厕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水产场南区西北角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地毯厂桥公厕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宁树路345号地毯厂桥南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十五亩南公厕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龙城路146号西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十五亩北公厕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龙城新村7号南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南苑水厂公厕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丁新</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南苑水厂北门</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银海巷公厕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峰峰路支巷银海巷小天鹅对面</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金谷西巷公厕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峰峰路支巷金谷西巷玉林浴室</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东缫丝厂公厕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北关路支巷金山南南巷98号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冷冻厂公厕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北关路支巷金山南南巷96号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金山北巷公厕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北关路支巷金山北巷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西缫丝厂公厕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北关北路65号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轮船码头公厕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北关北路盛世王朝酒店南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机电公司公厕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东达路支巷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建筑公司公厕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东达路29号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木材公司公厕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东达路28号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包装厂公厕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金陈社区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峰峰路金陈社区西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吉安巷公厕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吉安巷8号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永定桥公厕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永定桥南路东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二中沟公厕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二中沟南路31号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装璜厂公厕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永定路建行宿舍东</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金水西路公厕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新兴社区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金水西路42号前</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翰林路公厕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北灶社区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翰林路与峰峰路交叉口北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社道河公厕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北灶社区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峰峰路东头</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原种场南公厕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北海大桥东原种场区域</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原种场北公厕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北海大桥东原种场区域</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北海公园公厕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北海大桥东原种场区域</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王家场公厕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金海康城北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育新巷南公厕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新海一组公厕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新海社区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港汇北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东园西区公厕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东园路79号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瓜果市场内公厕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范公中路142号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如意路公厕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如意路路北西侧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东郊别墅公厕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长青六组110号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九天北路公厕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九天北路华联路交叉口西侧</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海盐路公厕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曙东巷</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农垦宿舍公厕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农垦仓库里</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水利局船队宿舍公厕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何垛桥社区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水利局船队宿舍二楼</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八林二组公厕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八林社区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长金路八林二组27号路南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水产场北区公厕1</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水产场北区东北角8号后</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水产场北区公厕2</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水产场北区西北角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水产场北区公厕3</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水产场北区南梦西路边</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九龙桥西公厕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九龙桥西河南</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绣花厂公厕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龙城新村23号西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龙城新村90号后</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汤泊二桥公厕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龙城新村154号路西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汤泊三桥公厕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汤泊新村172-1桥西</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地毯厂宿舍楼公厕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地毯厂宿舍楼东北角</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地毯厂平房区公厕</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auto"/>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高桥河南西23号17幢</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汤泊七组公厕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汤泊社区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华丰路46号后</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灶东东巷公厕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新坝社区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灶东巷（拆迁区域）</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金北三组公厕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北灶社区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嘉禾名城西金鹿路（拆迁区域）</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长青社区公厕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长青社区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昌东路老长青社区院内（待拆迁）</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砖瓦厂宿舍公厕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公园社区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南门西路玲珑湾前（已拆除）</w:t>
            </w:r>
            <w:r/>
          </w:p>
        </w:tc>
      </w:tr>
      <w:tr>
        <w:trPr>
          <w:jc w:val="center"/>
          <w:trHeight w:val="23"/>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城南菜场西公厕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启平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玉带桥社区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22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城南菜场西200米（拆迁区域）</w:t>
            </w:r>
            <w:r/>
          </w:p>
        </w:tc>
      </w:tr>
    </w:tbl>
    <w:p>
      <w:pPr>
        <w:jc w:val="center"/>
        <w:keepLines w:val="0"/>
        <w:keepNext w:val="0"/>
        <w:pageBreakBefore w:val="0"/>
        <w:spacing w:before="157" w:after="157"/>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48"/>
        <w:ind w:right="0" w:firstLine="480"/>
        <w:jc w:val="both"/>
        <w:keepLines w:val="0"/>
        <w:keepNext w:val="0"/>
        <w:pageBreakBefore w:val="0"/>
        <w:spacing w:beforeAutospacing="0" w:afterAutospacing="0"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采购标的对应的中小企业划分标准所属行业一览表</w:t>
      </w:r>
      <w:r/>
    </w:p>
    <w:tbl>
      <w:tblPr>
        <w:tblStyle w:val="642"/>
        <w:tblW w:w="7925" w:type="dxa"/>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11"/>
        <w:gridCol w:w="3535"/>
        <w:gridCol w:w="3379"/>
      </w:tblGrid>
      <w:tr>
        <w:trPr>
          <w:jc w:val="center"/>
          <w:tblCellSpacing w:w="0" w:type="dxa"/>
        </w:trPr>
        <w:tc>
          <w:tcPr>
            <w:shd w:val="clear" w:color="auto" w:fill="auto"/>
            <w:tcW w:w="1011" w:type="dxa"/>
            <w:vAlign w:val="center"/>
            <w:textDirection w:val="lrTb"/>
            <w:noWrap w:val="false"/>
          </w:tcPr>
          <w:p>
            <w:pPr>
              <w:pStyle w:val="660"/>
              <w:ind w:firstLine="0"/>
              <w:rPr>
                <w:rFonts w:hint="eastAsia" w:ascii="宋体" w:hAnsi="宋体" w:eastAsia="宋体" w:cs="宋体"/>
                <w:color w:val="auto"/>
                <w:sz w:val="24"/>
                <w:szCs w:val="24"/>
                <w:highlight w:val="none"/>
              </w:rPr>
            </w:pPr>
            <w:r>
              <w:rPr>
                <w:rFonts w:hint="eastAsia"/>
              </w:rPr>
              <w:t xml:space="preserve">序号</w:t>
            </w:r>
            <w:r/>
          </w:p>
        </w:tc>
        <w:tc>
          <w:tcPr>
            <w:shd w:val="clear" w:color="auto" w:fill="auto"/>
            <w:tcW w:w="3535" w:type="dxa"/>
            <w:vAlign w:val="center"/>
            <w:textDirection w:val="lrTb"/>
            <w:noWrap w:val="false"/>
          </w:tcPr>
          <w:p>
            <w:pPr>
              <w:pStyle w:val="660"/>
              <w:ind w:firstLine="0"/>
              <w:rPr>
                <w:rFonts w:hint="eastAsia" w:ascii="宋体" w:hAnsi="宋体" w:eastAsia="宋体" w:cs="宋体"/>
                <w:color w:val="auto"/>
                <w:sz w:val="24"/>
                <w:szCs w:val="24"/>
                <w:highlight w:val="none"/>
              </w:rPr>
            </w:pPr>
            <w:r>
              <w:rPr>
                <w:rFonts w:hint="eastAsia"/>
              </w:rPr>
              <w:t xml:space="preserve">采购标的</w:t>
            </w:r>
            <w:r/>
          </w:p>
        </w:tc>
        <w:tc>
          <w:tcPr>
            <w:shd w:val="clear" w:color="auto" w:fill="auto"/>
            <w:tcW w:w="3379" w:type="dxa"/>
            <w:vAlign w:val="center"/>
            <w:textDirection w:val="lrTb"/>
            <w:noWrap w:val="false"/>
          </w:tcPr>
          <w:p>
            <w:pPr>
              <w:pStyle w:val="660"/>
              <w:ind w:firstLine="0"/>
              <w:rPr>
                <w:rFonts w:hint="eastAsia"/>
              </w:rPr>
            </w:pPr>
            <w:r>
              <w:rPr>
                <w:rFonts w:hint="eastAsia"/>
              </w:rPr>
              <w:t xml:space="preserve">对应中小企业划分标准</w:t>
            </w:r>
            <w:r/>
          </w:p>
          <w:p>
            <w:pPr>
              <w:pStyle w:val="660"/>
              <w:ind w:firstLine="0"/>
              <w:rPr>
                <w:rFonts w:hint="eastAsia" w:ascii="宋体" w:hAnsi="宋体" w:eastAsia="宋体" w:cs="宋体"/>
                <w:color w:val="auto"/>
                <w:sz w:val="24"/>
                <w:szCs w:val="24"/>
                <w:highlight w:val="none"/>
              </w:rPr>
            </w:pPr>
            <w:r>
              <w:rPr>
                <w:rFonts w:hint="eastAsia"/>
              </w:rPr>
              <w:t xml:space="preserve">所属行业</w:t>
            </w:r>
            <w:r/>
          </w:p>
        </w:tc>
      </w:tr>
      <w:tr>
        <w:trPr>
          <w:jc w:val="center"/>
          <w:tblCellSpacing w:w="0" w:type="dxa"/>
          <w:trHeight w:val="291"/>
        </w:trPr>
        <w:tc>
          <w:tcPr>
            <w:shd w:val="clear" w:color="auto" w:fill="auto"/>
            <w:tcW w:w="1011" w:type="dxa"/>
            <w:vAlign w:val="center"/>
            <w:textDirection w:val="lrTb"/>
            <w:noWrap w:val="false"/>
          </w:tcPr>
          <w:p>
            <w:pPr>
              <w:pStyle w:val="660"/>
              <w:ind w:firstLine="0"/>
              <w:rPr>
                <w:rFonts w:hint="eastAsia" w:ascii="宋体" w:hAnsi="宋体" w:eastAsia="宋体" w:cs="宋体"/>
                <w:color w:val="auto"/>
                <w:sz w:val="24"/>
                <w:szCs w:val="24"/>
                <w:highlight w:val="none"/>
              </w:rPr>
            </w:pPr>
            <w:r>
              <w:rPr>
                <w:rFonts w:hint="eastAsia"/>
              </w:rPr>
              <w:t xml:space="preserve">1</w:t>
            </w:r>
            <w:r/>
          </w:p>
        </w:tc>
        <w:tc>
          <w:tcPr>
            <w:shd w:val="clear" w:color="auto" w:fill="auto"/>
            <w:tcW w:w="3535" w:type="dxa"/>
            <w:vAlign w:val="center"/>
            <w:textDirection w:val="lrTb"/>
            <w:noWrap w:val="false"/>
          </w:tcPr>
          <w:p>
            <w:pPr>
              <w:pStyle w:val="660"/>
              <w:ind w:firstLine="0"/>
              <w:rPr>
                <w:rFonts w:hint="eastAsia" w:ascii="宋体" w:hAnsi="宋体" w:eastAsia="宋体" w:cs="宋体"/>
                <w:color w:val="auto"/>
                <w:sz w:val="24"/>
                <w:szCs w:val="24"/>
                <w:highlight w:val="none"/>
              </w:rPr>
            </w:pPr>
            <w:r>
              <w:rPr>
                <w:rFonts w:hint="eastAsia"/>
              </w:rPr>
              <w:t xml:space="preserve">东台市东台镇</w:t>
            </w:r>
            <w:r>
              <w:rPr>
                <w:rFonts w:hint="eastAsia"/>
                <w:lang w:eastAsia="zh-CN"/>
              </w:rPr>
              <w:t xml:space="preserve">新东、金海、启平</w:t>
            </w:r>
            <w:r>
              <w:rPr>
                <w:rFonts w:hint="eastAsia"/>
              </w:rPr>
              <w:t xml:space="preserve">街道无物业社区物业管理服务项目</w:t>
            </w:r>
            <w:r/>
          </w:p>
        </w:tc>
        <w:tc>
          <w:tcPr>
            <w:shd w:val="clear" w:color="auto" w:fill="auto"/>
            <w:tcW w:w="3379" w:type="dxa"/>
            <w:vAlign w:val="center"/>
            <w:textDirection w:val="lrTb"/>
            <w:noWrap w:val="false"/>
          </w:tcPr>
          <w:p>
            <w:pPr>
              <w:pStyle w:val="660"/>
              <w:ind w:firstLine="0"/>
              <w:rPr>
                <w:rFonts w:hint="eastAsia" w:ascii="宋体" w:hAnsi="宋体" w:eastAsia="宋体" w:cs="宋体"/>
                <w:color w:val="auto"/>
                <w:sz w:val="24"/>
                <w:szCs w:val="24"/>
                <w:highlight w:val="none"/>
              </w:rPr>
            </w:pPr>
            <w:r>
              <w:rPr>
                <w:rFonts w:hint="eastAsia"/>
              </w:rPr>
              <w:t xml:space="preserve">物业管理</w:t>
            </w:r>
            <w:r/>
          </w:p>
        </w:tc>
      </w:tr>
    </w:tbl>
    <w:p>
      <w:pPr>
        <w:pStyle w:val="648"/>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8"/>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8"/>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8"/>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8"/>
        <w:jc w:val="both"/>
        <w:spacing w:beforeAutospacing="0" w:afterAutospacing="0"/>
        <w:tabs>
          <w:tab w:val="left" w:pos="6205" w:leader="none"/>
        </w:tabs>
        <w:rPr>
          <w:color w:val="auto"/>
          <w:highlight w:val="none"/>
        </w:rPr>
      </w:pPr>
      <w:r>
        <w:rPr>
          <w:color w:val="auto"/>
          <w:highlight w:val="none"/>
        </w:rPr>
        <w:t xml:space="preserve"> </w:t>
      </w:r>
      <w:r/>
    </w:p>
    <w:p>
      <w:pPr>
        <w:pStyle w:val="648"/>
        <w:jc w:val="center"/>
        <w:keepNext/>
        <w:spacing w:beforeAutospacing="0" w:afterAutospacing="0"/>
        <w:rPr>
          <w:color w:val="auto"/>
          <w:highlight w:val="none"/>
        </w:rPr>
      </w:pPr>
      <w:r/>
      <w:bookmarkStart w:id="184" w:name="_Toc120614281"/>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t xml:space="preserve"> </w:t>
      </w:r>
      <w:r/>
    </w:p>
    <w:p>
      <w:pPr>
        <w:pStyle w:val="648"/>
        <w:jc w:val="center"/>
        <w:keepNext/>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48"/>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48"/>
        <w:jc w:val="both"/>
        <w:spacing w:beforeAutospacing="0" w:afterAutospacing="0"/>
        <w:rPr>
          <w:color w:val="auto"/>
          <w:highlight w:val="none"/>
        </w:rPr>
      </w:pPr>
      <w:r>
        <w:rPr>
          <w:color w:val="auto"/>
          <w:highlight w:val="none"/>
        </w:rPr>
        <w:t xml:space="preserve"> </w:t>
      </w:r>
      <w:r/>
    </w:p>
    <w:p>
      <w:pPr>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48"/>
        <w:ind w:firstLine="441"/>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48"/>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655"/>
        <w:ind w:firstLine="36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648"/>
        <w:ind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648"/>
        <w:ind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648"/>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648"/>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pStyle w:val="648"/>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648"/>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648"/>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648"/>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pStyle w:val="648"/>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8"/>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648"/>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648"/>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648"/>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ind w:firstLine="48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48"/>
        <w:ind w:firstLine="482"/>
        <w:keepLines w:val="0"/>
        <w:keepNext w:val="0"/>
        <w:pageBreakBefore w:val="0"/>
        <w:spacing w:before="120" w:beforeAutospacing="0" w:after="12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48"/>
        <w:ind w:firstLine="482"/>
        <w:keepLines w:val="0"/>
        <w:keepNext w:val="0"/>
        <w:pageBreakBefore w:val="0"/>
        <w:spacing w:before="120" w:beforeAutospacing="0" w:after="12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48"/>
        <w:ind w:firstLine="482"/>
        <w:keepLines w:val="0"/>
        <w:keepNext w:val="0"/>
        <w:pageBreakBefore w:val="0"/>
        <w:spacing w:before="120" w:beforeAutospacing="0" w:after="12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48"/>
        <w:ind w:firstLine="482"/>
        <w:keepLines w:val="0"/>
        <w:keepNext w:val="0"/>
        <w:pageBreakBefore w:val="0"/>
        <w:spacing w:before="120" w:beforeAutospacing="0" w:after="12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48"/>
        <w:keepLines w:val="0"/>
        <w:keepNext w:val="0"/>
        <w:pageBreakBefore w:val="0"/>
        <w:spacing w:before="120" w:beforeAutospacing="0" w:after="12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48"/>
        <w:keepLines w:val="0"/>
        <w:keepNext w:val="0"/>
        <w:pageBreakBefore w:val="0"/>
        <w:spacing w:before="120" w:beforeAutospacing="0" w:after="12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48"/>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42"/>
        <w:tblW w:w="9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6"/>
        <w:gridCol w:w="6581"/>
        <w:gridCol w:w="815"/>
      </w:tblGrid>
      <w:tr>
        <w:trPr>
          <w:jc w:val="center"/>
          <w:trHeight w:val="514"/>
        </w:trPr>
        <w:tc>
          <w:tcPr>
            <w:tcW w:w="1606" w:type="dxa"/>
            <w:vAlign w:val="center"/>
            <w:textDirection w:val="lrTb"/>
            <w:noWrap w:val="false"/>
          </w:tcPr>
          <w:p>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评审项目</w:t>
            </w:r>
            <w:r/>
          </w:p>
        </w:tc>
        <w:tc>
          <w:tcPr>
            <w:tcW w:w="6581" w:type="dxa"/>
            <w:vAlign w:val="center"/>
            <w:textDirection w:val="lrTb"/>
            <w:noWrap w:val="false"/>
          </w:tcPr>
          <w:p>
            <w:pPr>
              <w:ind w:firstLine="48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评审标准</w:t>
            </w:r>
            <w:r/>
          </w:p>
        </w:tc>
        <w:tc>
          <w:tcPr>
            <w:tcW w:w="815" w:type="dxa"/>
            <w:vAlign w:val="center"/>
            <w:textDirection w:val="lrTb"/>
            <w:noWrap w:val="false"/>
          </w:tcPr>
          <w:p>
            <w:pPr>
              <w:ind w:firstLine="0"/>
              <w:jc w:val="center"/>
              <w:keepLines w:val="0"/>
              <w:keepNext w:val="0"/>
              <w:pageBreakBefore w:val="0"/>
              <w:widowControl w:val="off"/>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分值</w:t>
            </w:r>
            <w:r/>
          </w:p>
        </w:tc>
      </w:tr>
      <w:tr>
        <w:trPr>
          <w:jc w:val="center"/>
          <w:trHeight w:val="1234"/>
        </w:trPr>
        <w:tc>
          <w:tcPr>
            <w:tcW w:w="1606" w:type="dxa"/>
            <w:vAlign w:val="center"/>
            <w:textDirection w:val="lrTb"/>
            <w:noWrap w:val="false"/>
          </w:tcPr>
          <w:p>
            <w:pPr>
              <w:jc w:val="center"/>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投标报价</w:t>
            </w:r>
            <w:r/>
          </w:p>
        </w:tc>
        <w:tc>
          <w:tcPr>
            <w:tcW w:w="6581" w:type="dxa"/>
            <w:vAlign w:val="center"/>
            <w:textDirection w:val="lrTb"/>
            <w:noWrap w:val="false"/>
          </w:tcPr>
          <w:p>
            <w:pPr>
              <w:ind w:firstLine="480"/>
              <w:jc w:val="left"/>
              <w:spacing w:line="27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 xml:space="preserve">采用低价优先法，即满足招标文件要求且投标价格最低的投标报价为评标基准价，其价格分为满分。其他投标人的价格分统一按下列公式计算：投标报价得分＝（评标基准价/投标报价）×10。</w:t>
            </w:r>
            <w:r/>
          </w:p>
        </w:tc>
        <w:tc>
          <w:tcPr>
            <w:tcW w:w="815" w:type="dxa"/>
            <w:vAlign w:val="center"/>
            <w:textDirection w:val="lrTb"/>
            <w:noWrap w:val="false"/>
          </w:tcPr>
          <w:p>
            <w:pPr>
              <w:ind w:firstLine="0"/>
              <w:jc w:val="center"/>
              <w:keepLines w:val="0"/>
              <w:keepNext w:val="0"/>
              <w:pageBreakBefore w:val="0"/>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10</w:t>
            </w:r>
            <w:r/>
          </w:p>
        </w:tc>
      </w:tr>
      <w:tr>
        <w:trPr>
          <w:jc w:val="center"/>
          <w:trHeight w:val="1769"/>
        </w:trPr>
        <w:tc>
          <w:tcPr>
            <w:tcW w:w="1606" w:type="dxa"/>
            <w:vAlign w:val="center"/>
            <w:textDirection w:val="lrTb"/>
            <w:noWrap w:val="false"/>
          </w:tcPr>
          <w:p>
            <w:pPr>
              <w:jc w:val="center"/>
              <w:spacing w:line="27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服务水平</w:t>
            </w:r>
            <w:r/>
          </w:p>
        </w:tc>
        <w:tc>
          <w:tcPr>
            <w:tcW w:w="6581" w:type="dxa"/>
            <w:vAlign w:val="center"/>
            <w:textDirection w:val="lrTb"/>
            <w:noWrap w:val="false"/>
          </w:tcPr>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投标人具有在有效期内的环境管理休系认证、质量体系认证、职业健康安全管理体系认证、</w:t>
            </w:r>
            <w:r>
              <w:rPr>
                <w:rFonts w:hint="eastAsia" w:ascii="仿宋_GB2312" w:hAnsi="仿宋_GB2312" w:eastAsia="仿宋_GB2312" w:cs="仿宋_GB2312"/>
                <w:color w:val="000000" w:themeColor="text1"/>
                <w:sz w:val="24"/>
                <w:szCs w:val="24"/>
                <w14:textFill>
                  <w14:solidFill>
                    <w14:schemeClr w14:val="tx1"/>
                  </w14:solidFill>
                </w14:textFill>
              </w:rPr>
              <w:t xml:space="preserve">社会责任管理体系认证证书</w:t>
            </w:r>
            <w:r>
              <w:rPr>
                <w:rFonts w:hint="eastAsia" w:ascii="仿宋_GB2312" w:hAnsi="仿宋_GB2312" w:eastAsia="仿宋_GB2312" w:cs="仿宋_GB2312"/>
                <w:color w:val="000000" w:themeColor="text1"/>
                <w:sz w:val="24"/>
                <w:szCs w:val="24"/>
                <w:lang w:eastAsia="zh-CN"/>
                <w14:textFill>
                  <w14:solidFill>
                    <w14:schemeClr w14:val="tx1"/>
                  </w14:solidFill>
                </w14:textFill>
              </w:rPr>
              <w:t xml:space="preserve">，</w:t>
            </w:r>
            <w:r>
              <w:rPr>
                <w:rFonts w:hint="eastAsia" w:ascii="仿宋_GB2312" w:hAnsi="仿宋_GB2312" w:eastAsia="仿宋_GB2312" w:cs="仿宋_GB2312"/>
                <w:color w:val="000000" w:themeColor="text1"/>
                <w:sz w:val="24"/>
                <w:szCs w:val="24"/>
                <w14:textFill>
                  <w14:solidFill>
                    <w14:schemeClr w14:val="tx1"/>
                  </w14:solidFill>
                </w14:textFill>
              </w:rPr>
              <w:t xml:space="preserve">每项证书中的认证范围包含物业管理或道路保洁等与物业管理相关内容),</w:t>
            </w:r>
            <w:r>
              <w:rPr>
                <w:rFonts w:hint="eastAsia" w:ascii="仿宋_GB2312" w:hAnsi="仿宋_GB2312" w:eastAsia="仿宋_GB2312" w:cs="仿宋_GB2312"/>
                <w:sz w:val="24"/>
                <w:szCs w:val="24"/>
              </w:rPr>
              <w:t xml:space="preserve">每提供一项认证得</w:t>
            </w:r>
            <w:r>
              <w:rPr>
                <w:rFonts w:hint="eastAsia" w:ascii="仿宋_GB2312" w:hAnsi="仿宋_GB2312" w:eastAsia="仿宋_GB2312" w:cs="仿宋_GB2312"/>
                <w:sz w:val="24"/>
                <w:szCs w:val="24"/>
                <w:lang w:val="en-US" w:eastAsia="zh-CN"/>
              </w:rPr>
              <w:t xml:space="preserve">2</w:t>
            </w:r>
            <w:r>
              <w:rPr>
                <w:rFonts w:hint="eastAsia" w:ascii="仿宋_GB2312" w:hAnsi="仿宋_GB2312" w:eastAsia="仿宋_GB2312" w:cs="仿宋_GB2312"/>
                <w:sz w:val="24"/>
                <w:szCs w:val="24"/>
              </w:rPr>
              <w:t xml:space="preserve">分，本项最高得</w:t>
            </w:r>
            <w:r>
              <w:rPr>
                <w:rFonts w:hint="eastAsia" w:ascii="仿宋_GB2312" w:hAnsi="仿宋_GB2312" w:eastAsia="仿宋_GB2312" w:cs="仿宋_GB2312"/>
                <w:sz w:val="24"/>
                <w:szCs w:val="24"/>
                <w:lang w:val="en-US" w:eastAsia="zh-CN"/>
              </w:rPr>
              <w:t xml:space="preserve">8</w:t>
            </w:r>
            <w:r>
              <w:rPr>
                <w:rFonts w:hint="eastAsia" w:ascii="仿宋_GB2312" w:hAnsi="仿宋_GB2312" w:eastAsia="仿宋_GB2312" w:cs="仿宋_GB2312"/>
                <w:sz w:val="24"/>
                <w:szCs w:val="24"/>
              </w:rPr>
              <w:t xml:space="preserve">分。(投标文件中须提供证书复印件和认证机构官网平台查询有效期截 图，否则不得分。)</w:t>
            </w:r>
            <w:r/>
          </w:p>
        </w:tc>
        <w:tc>
          <w:tcPr>
            <w:tcW w:w="815" w:type="dxa"/>
            <w:vAlign w:val="center"/>
            <w:textDirection w:val="lrTb"/>
            <w:noWrap w:val="false"/>
          </w:tcPr>
          <w:p>
            <w:pPr>
              <w:ind w:firstLine="0"/>
              <w:jc w:val="center"/>
              <w:keepLines w:val="0"/>
              <w:keepNext w:val="0"/>
              <w:pageBreakBefore w:val="0"/>
              <w:widowControl w:val="off"/>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8</w:t>
            </w:r>
            <w:r/>
          </w:p>
        </w:tc>
      </w:tr>
      <w:tr>
        <w:trPr>
          <w:jc w:val="center"/>
          <w:trHeight w:val="1750"/>
        </w:trPr>
        <w:tc>
          <w:tcPr>
            <w:tcW w:w="1606" w:type="dxa"/>
            <w:vAlign w:val="center"/>
            <w:textDirection w:val="lrTb"/>
            <w:noWrap w:val="false"/>
          </w:tcPr>
          <w:p>
            <w:pPr>
              <w:jc w:val="center"/>
              <w:spacing w:line="27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 xml:space="preserve">业绩</w:t>
            </w:r>
            <w:r/>
          </w:p>
        </w:tc>
        <w:tc>
          <w:tcPr>
            <w:tcW w:w="6581" w:type="dxa"/>
            <w:vAlign w:val="center"/>
            <w:textDirection w:val="lrTb"/>
            <w:noWrap w:val="false"/>
          </w:tcPr>
          <w:p>
            <w:pPr>
              <w:ind w:firstLine="480"/>
              <w:jc w:val="left"/>
              <w:spacing w:line="270" w:lineRule="exac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投标人自2023年1月1日以来(以合同签订时间为准)物业管理业绩或环卫服务类似项目的(单项合同作业内容需包含道路清扫保洁、生活垃圾收运、公厕保洁),每有1个得3分，本项最多得9分。(须提供合同扫描件(如合同不能体现作业内容，需提供业主证明加盖公章),并加盖公章，未按要求提供不计分，同一项目续签不重复计分)</w:t>
            </w:r>
            <w:r/>
          </w:p>
        </w:tc>
        <w:tc>
          <w:tcPr>
            <w:tcW w:w="815" w:type="dxa"/>
            <w:vAlign w:val="center"/>
            <w:textDirection w:val="lrTb"/>
            <w:noWrap w:val="false"/>
          </w:tcPr>
          <w:p>
            <w:pPr>
              <w:ind w:firstLine="0"/>
              <w:jc w:val="center"/>
              <w:keepLines w:val="0"/>
              <w:keepNext w:val="0"/>
              <w:pageBreakBefore w:val="0"/>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 xml:space="preserve">9</w:t>
            </w:r>
            <w:r/>
          </w:p>
        </w:tc>
      </w:tr>
      <w:tr>
        <w:trPr>
          <w:jc w:val="center"/>
          <w:trHeight w:val="513"/>
        </w:trPr>
        <w:tc>
          <w:tcPr>
            <w:tcW w:w="1606" w:type="dxa"/>
            <w:vAlign w:val="center"/>
            <w:textDirection w:val="lrTb"/>
            <w:noWrap w:val="false"/>
          </w:tcPr>
          <w:p>
            <w:pPr>
              <w:jc w:val="center"/>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设备</w:t>
            </w:r>
            <w:r/>
          </w:p>
        </w:tc>
        <w:tc>
          <w:tcPr>
            <w:tcW w:w="6581" w:type="dxa"/>
            <w:vAlign w:val="center"/>
            <w:textDirection w:val="lrTb"/>
            <w:noWrap w:val="false"/>
          </w:tcPr>
          <w:p>
            <w:pPr>
              <w:ind w:firstLine="480"/>
              <w:jc w:val="left"/>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1、投标人投入本项目的设备中具有总质量8t及以上的洗扫车，每投入1台加2分，本项最多得分2分。</w:t>
            </w:r>
            <w:r/>
          </w:p>
          <w:p>
            <w:pPr>
              <w:ind w:firstLine="480"/>
              <w:jc w:val="left"/>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2、投标人投入本项目的设备中具备总质量8t及以上的高压冲洗车，每投入1台加2分，本项目最多得2分。</w:t>
            </w:r>
            <w:r/>
          </w:p>
          <w:p>
            <w:pPr>
              <w:ind w:firstLine="480"/>
              <w:jc w:val="left"/>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3、投标人投入本项目的设备中具有 5 座及以上督查车的，每投入1台加2分，本项目最多得2分。</w:t>
            </w:r>
            <w:r/>
          </w:p>
          <w:p>
            <w:pPr>
              <w:ind w:firstLine="480"/>
              <w:jc w:val="left"/>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4、投标人投入本项目的设备中具有总质量7</w:t>
            </w:r>
            <w:r>
              <w:rPr>
                <w:rFonts w:hint="eastAsia" w:ascii="仿宋_GB2312" w:hAnsi="仿宋_GB2312" w:eastAsia="仿宋_GB2312" w:cs="仿宋_GB2312"/>
                <w:sz w:val="24"/>
                <w:szCs w:val="24"/>
                <w:lang w:val="en-US" w:eastAsia="zh-CN"/>
              </w:rPr>
              <w:t xml:space="preserve">t</w:t>
            </w:r>
            <w:r>
              <w:rPr>
                <w:rFonts w:hint="eastAsia" w:ascii="仿宋_GB2312" w:hAnsi="仿宋_GB2312" w:eastAsia="仿宋_GB2312" w:cs="仿宋_GB2312"/>
                <w:sz w:val="24"/>
                <w:szCs w:val="24"/>
              </w:rPr>
              <w:t xml:space="preserve">及以上有吸粪功能的污水处理车的，每投入1台加2分，本项目最多得2分。</w:t>
            </w:r>
            <w:r/>
          </w:p>
          <w:p>
            <w:pPr>
              <w:ind w:firstLine="480"/>
              <w:jc w:val="left"/>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5、投标人投入本项目的非人力驱动管道疏通设备，每投入1台加0.5分，本项目最多得1分。</w:t>
            </w:r>
            <w:r/>
          </w:p>
          <w:p>
            <w:pPr>
              <w:ind w:firstLine="480"/>
              <w:jc w:val="left"/>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6、投标人投入本项目的设备中具有总质量1t及以上的小型洗扫车，每投入</w:t>
            </w:r>
            <w:r>
              <w:rPr>
                <w:rFonts w:hint="eastAsia" w:ascii="仿宋_GB2312" w:hAnsi="仿宋_GB2312" w:eastAsia="仿宋_GB2312" w:cs="仿宋_GB2312"/>
                <w:sz w:val="24"/>
                <w:szCs w:val="24"/>
                <w:lang w:val="en-US" w:eastAsia="zh-CN"/>
              </w:rPr>
              <w:t xml:space="preserve">1</w:t>
            </w:r>
            <w:r>
              <w:rPr>
                <w:rFonts w:hint="eastAsia" w:ascii="仿宋_GB2312" w:hAnsi="仿宋_GB2312" w:eastAsia="仿宋_GB2312" w:cs="仿宋_GB2312"/>
                <w:sz w:val="24"/>
                <w:szCs w:val="24"/>
              </w:rPr>
              <w:t xml:space="preserve">台加1分，本项最多得分</w:t>
            </w:r>
            <w:r>
              <w:rPr>
                <w:rFonts w:hint="eastAsia" w:ascii="仿宋_GB2312" w:hAnsi="仿宋_GB2312" w:eastAsia="仿宋_GB2312" w:cs="仿宋_GB2312"/>
                <w:sz w:val="24"/>
                <w:szCs w:val="24"/>
                <w:lang w:val="en-US" w:eastAsia="zh-CN"/>
              </w:rPr>
              <w:t xml:space="preserve">2</w:t>
            </w:r>
            <w:r>
              <w:rPr>
                <w:rFonts w:hint="eastAsia" w:ascii="仿宋_GB2312" w:hAnsi="仿宋_GB2312" w:eastAsia="仿宋_GB2312" w:cs="仿宋_GB2312"/>
                <w:sz w:val="24"/>
                <w:szCs w:val="24"/>
              </w:rPr>
              <w:t xml:space="preserve">分。</w:t>
            </w:r>
            <w:r/>
          </w:p>
          <w:p>
            <w:pPr>
              <w:ind w:firstLine="480"/>
              <w:jc w:val="left"/>
              <w:spacing w:line="27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 xml:space="preserve">注：(1)投标人所投设备如自有则提供：机动车辆提供合格的行驶证及购置发票[如为非机动车辆(设备)提供购置发票];(2)投标人所投设备如租赁则提供：机动车车辆合格的行驶证及购置发票 [如为非机动车辆(设备)提供购置发票]及租赁合同(</w:t>
            </w:r>
            <w:r>
              <w:rPr>
                <w:rFonts w:hint="eastAsia" w:ascii="仿宋_GB2312" w:hAnsi="仿宋_GB2312" w:eastAsia="仿宋_GB2312" w:cs="仿宋_GB2312"/>
                <w:sz w:val="24"/>
                <w:szCs w:val="24"/>
                <w:highlight w:val="yellow"/>
                <w:lang w:val="en-US" w:eastAsia="zh-CN"/>
              </w:rPr>
              <w:t xml:space="preserve">提供有效期内的</w:t>
            </w:r>
            <w:r>
              <w:rPr>
                <w:rFonts w:hint="eastAsia" w:ascii="仿宋_GB2312" w:hAnsi="仿宋_GB2312" w:eastAsia="仿宋_GB2312" w:cs="仿宋_GB2312"/>
                <w:sz w:val="24"/>
                <w:szCs w:val="24"/>
                <w:highlight w:val="yellow"/>
              </w:rPr>
              <w:t xml:space="preserve">租赁合同</w:t>
            </w:r>
            <w:r>
              <w:rPr>
                <w:rFonts w:hint="eastAsia" w:ascii="仿宋_GB2312" w:hAnsi="仿宋_GB2312" w:eastAsia="仿宋_GB2312" w:cs="仿宋_GB2312"/>
                <w:sz w:val="24"/>
                <w:szCs w:val="24"/>
                <w:highlight w:val="yellow"/>
                <w:lang w:val="en-US" w:eastAsia="zh-CN"/>
              </w:rPr>
              <w:t xml:space="preserve">或提供以上设备的承诺函</w:t>
            </w:r>
            <w:r>
              <w:rPr>
                <w:rFonts w:hint="eastAsia" w:ascii="仿宋_GB2312" w:hAnsi="仿宋_GB2312" w:eastAsia="仿宋_GB2312" w:cs="仿宋_GB2312"/>
                <w:sz w:val="24"/>
                <w:szCs w:val="24"/>
              </w:rPr>
              <w:t xml:space="preserve">):(3)所有评分项的设备不可重复；注：中标后以上设备需投投入到本项目的实际管理中，否则按招标文件及合同处罚条款处相应罚金</w:t>
            </w:r>
            <w:r>
              <w:rPr>
                <w:rFonts w:hint="eastAsia" w:ascii="仿宋_GB2312" w:hAnsi="仿宋_GB2312" w:eastAsia="仿宋_GB2312" w:cs="仿宋_GB2312"/>
                <w:sz w:val="24"/>
                <w:szCs w:val="24"/>
                <w:lang w:eastAsia="zh-CN"/>
              </w:rPr>
              <w:t xml:space="preserve">。</w:t>
            </w:r>
            <w:r/>
          </w:p>
        </w:tc>
        <w:tc>
          <w:tcPr>
            <w:tcW w:w="815" w:type="dxa"/>
            <w:vAlign w:val="center"/>
            <w:textDirection w:val="lrTb"/>
            <w:noWrap w:val="false"/>
          </w:tcPr>
          <w:p>
            <w:pPr>
              <w:ind w:firstLine="0"/>
              <w:jc w:val="center"/>
              <w:keepLines w:val="0"/>
              <w:keepNext w:val="0"/>
              <w:pageBreakBefore w:val="0"/>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 xml:space="preserve">1</w:t>
            </w:r>
            <w:r>
              <w:rPr>
                <w:rFonts w:hint="eastAsia" w:ascii="仿宋_GB2312" w:hAnsi="仿宋_GB2312" w:eastAsia="仿宋_GB2312" w:cs="仿宋_GB2312"/>
                <w:color w:val="000000"/>
                <w:sz w:val="24"/>
                <w:szCs w:val="24"/>
                <w:lang w:val="en-US" w:eastAsia="zh-CN"/>
              </w:rPr>
              <w:t xml:space="preserve">1</w:t>
            </w:r>
            <w:r/>
          </w:p>
        </w:tc>
      </w:tr>
      <w:tr>
        <w:trPr>
          <w:cantSplit/>
          <w:jc w:val="center"/>
          <w:trHeight w:val="3365"/>
        </w:trPr>
        <w:tc>
          <w:tcPr>
            <w:tcW w:w="1606" w:type="dxa"/>
            <w:vAlign w:val="center"/>
            <w:vMerge w:val="restart"/>
            <w:textDirection w:val="lrTb"/>
            <w:noWrap w:val="false"/>
          </w:tcPr>
          <w:p>
            <w:pPr>
              <w:jc w:val="center"/>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服务方案</w:t>
            </w:r>
            <w:r/>
          </w:p>
        </w:tc>
        <w:tc>
          <w:tcPr>
            <w:tcW w:w="6581" w:type="dxa"/>
            <w:vAlign w:val="center"/>
            <w:textDirection w:val="lrTb"/>
            <w:noWrap w:val="false"/>
          </w:tcPr>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1、整体作业方案：根据投标人针对本项目提供的整体服务方案（服务内容包括清扫保洁服务、垃圾（生活垃圾、生产垃圾）分类收集及运输方案、</w:t>
            </w:r>
            <w:r>
              <w:rPr>
                <w:rFonts w:hint="eastAsia" w:ascii="仿宋_GB2312" w:hAnsi="仿宋_GB2312" w:eastAsia="仿宋_GB2312" w:cs="仿宋_GB2312"/>
                <w:sz w:val="24"/>
                <w:szCs w:val="24"/>
                <w:lang w:val="en-US" w:eastAsia="zh-CN"/>
              </w:rPr>
              <w:t xml:space="preserve">管道疏通、化粪池疏通、小额设施维修、</w:t>
            </w:r>
            <w:r>
              <w:rPr>
                <w:rFonts w:hint="eastAsia" w:ascii="仿宋_GB2312" w:hAnsi="仿宋_GB2312" w:eastAsia="仿宋_GB2312" w:cs="仿宋_GB2312"/>
                <w:sz w:val="24"/>
                <w:szCs w:val="24"/>
              </w:rPr>
              <w:t xml:space="preserve">公厕管理方案、小广告清理、街道秩序维护与安全保障、配套景观绿化管护、清理乱堆乱放和乱建乱搭、公共区域和公共设施的水电维保、消防设备协调管理、公共房屋的维护管理</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lang w:val="en-US" w:eastAsia="zh-CN"/>
              </w:rPr>
              <w:t xml:space="preserve">辖区内拆迁区域日常巡查和维护</w:t>
            </w:r>
            <w:r>
              <w:rPr>
                <w:rFonts w:hint="eastAsia" w:ascii="仿宋_GB2312" w:hAnsi="仿宋_GB2312" w:eastAsia="仿宋_GB2312" w:cs="仿宋_GB2312"/>
                <w:sz w:val="24"/>
                <w:szCs w:val="24"/>
              </w:rPr>
              <w:t xml:space="preserve">等）进行评审，满分</w:t>
            </w:r>
            <w:r>
              <w:rPr>
                <w:rFonts w:hint="eastAsia" w:ascii="仿宋_GB2312" w:hAnsi="仿宋_GB2312" w:eastAsia="仿宋_GB2312" w:cs="仿宋_GB2312"/>
                <w:sz w:val="24"/>
                <w:szCs w:val="24"/>
                <w:lang w:val="en-US" w:eastAsia="zh-CN"/>
              </w:rPr>
              <w:t xml:space="preserve">15</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（1）内容完整、合理具体、针对性强、可行性高、切合项目实际需求、可操作性强的得</w:t>
            </w:r>
            <w:r>
              <w:rPr>
                <w:rFonts w:hint="eastAsia" w:ascii="仿宋_GB2312" w:hAnsi="仿宋_GB2312" w:eastAsia="仿宋_GB2312" w:cs="仿宋_GB2312"/>
                <w:sz w:val="24"/>
                <w:szCs w:val="24"/>
                <w:lang w:val="en-US" w:eastAsia="zh-CN"/>
              </w:rPr>
              <w:t xml:space="preserve">15</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（2）内容较完整、针对性较强、可行性较高、较切合项目实际需求、可操作性较强的得</w:t>
            </w:r>
            <w:r>
              <w:rPr>
                <w:rFonts w:hint="eastAsia" w:ascii="仿宋_GB2312" w:hAnsi="仿宋_GB2312" w:eastAsia="仿宋_GB2312" w:cs="仿宋_GB2312"/>
                <w:sz w:val="24"/>
                <w:szCs w:val="24"/>
                <w:lang w:val="en-US" w:eastAsia="zh-CN"/>
              </w:rPr>
              <w:t xml:space="preserve">12</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（3）内容欠完整、针对性、可行性、可操作性一般的得</w:t>
            </w:r>
            <w:r>
              <w:rPr>
                <w:rFonts w:hint="eastAsia" w:ascii="仿宋_GB2312" w:hAnsi="仿宋_GB2312" w:eastAsia="仿宋_GB2312" w:cs="仿宋_GB2312"/>
                <w:sz w:val="24"/>
                <w:szCs w:val="24"/>
                <w:lang w:val="en-US" w:eastAsia="zh-CN"/>
              </w:rPr>
              <w:t xml:space="preserve">8</w:t>
            </w:r>
            <w:r>
              <w:rPr>
                <w:rFonts w:hint="eastAsia" w:ascii="仿宋_GB2312" w:hAnsi="仿宋_GB2312" w:eastAsia="仿宋_GB2312" w:cs="仿宋_GB2312"/>
                <w:sz w:val="24"/>
                <w:szCs w:val="24"/>
              </w:rPr>
              <w:t xml:space="preserve">分。</w:t>
            </w:r>
            <w:r/>
          </w:p>
          <w:p>
            <w:pPr>
              <w:ind w:firstLine="480"/>
              <w:spacing w:line="270" w:lineRule="exac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未提供不得分。</w:t>
            </w:r>
            <w:r/>
          </w:p>
        </w:tc>
        <w:tc>
          <w:tcPr>
            <w:tcW w:w="815" w:type="dxa"/>
            <w:vAlign w:val="center"/>
            <w:vMerge w:val="restart"/>
            <w:textDirection w:val="lrTb"/>
            <w:noWrap w:val="false"/>
          </w:tcPr>
          <w:p>
            <w:pPr>
              <w:ind w:firstLine="0"/>
              <w:jc w:val="center"/>
              <w:keepLines w:val="0"/>
              <w:keepNext w:val="0"/>
              <w:pageBreakBefore w:val="0"/>
              <w:spacing w:line="360" w:lineRule="auto"/>
              <w:widowControl w:val="off"/>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62</w:t>
            </w:r>
            <w:r/>
          </w:p>
        </w:tc>
      </w:tr>
      <w:tr>
        <w:trPr>
          <w:cantSplit/>
          <w:jc w:val="center"/>
          <w:trHeight w:val="1317"/>
        </w:trPr>
        <w:tc>
          <w:tcPr>
            <w:tcW w:w="1606" w:type="dxa"/>
            <w:vAlign w:val="center"/>
            <w:vMerge w:val="continue"/>
            <w:textDirection w:val="lrTb"/>
            <w:noWrap w:val="false"/>
          </w:tcPr>
          <w:p>
            <w:pPr>
              <w:jc w:val="center"/>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6581" w:type="dxa"/>
            <w:vAlign w:val="center"/>
            <w:textDirection w:val="lrTb"/>
            <w:noWrap w:val="false"/>
          </w:tcPr>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2、服务质量管理：根据投标人针对本项目提供的服务质量管理方案（包括但不限于质量目标、质量保障措施、作业操作规范、管理运作流程等）进行评审，满分</w:t>
            </w:r>
            <w:r>
              <w:rPr>
                <w:rFonts w:hint="eastAsia" w:ascii="仿宋_GB2312" w:hAnsi="仿宋_GB2312" w:eastAsia="仿宋_GB2312" w:cs="仿宋_GB2312"/>
                <w:sz w:val="24"/>
                <w:szCs w:val="24"/>
                <w:lang w:val="en-US" w:eastAsia="zh-CN"/>
              </w:rPr>
              <w:t xml:space="preserve">15</w:t>
            </w:r>
            <w:r>
              <w:rPr>
                <w:rFonts w:hint="eastAsia" w:ascii="仿宋_GB2312" w:hAnsi="仿宋_GB2312" w:eastAsia="仿宋_GB2312" w:cs="仿宋_GB2312"/>
                <w:sz w:val="24"/>
                <w:szCs w:val="24"/>
              </w:rPr>
              <w:t xml:space="preserve">分。 </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（1）内容完整、合理具体、针对性强、可行性高、切合项目实际需求、可操作性强的得</w:t>
            </w:r>
            <w:r>
              <w:rPr>
                <w:rFonts w:hint="eastAsia" w:ascii="仿宋_GB2312" w:hAnsi="仿宋_GB2312" w:eastAsia="仿宋_GB2312" w:cs="仿宋_GB2312"/>
                <w:sz w:val="24"/>
                <w:szCs w:val="24"/>
                <w:lang w:val="en-US" w:eastAsia="zh-CN"/>
              </w:rPr>
              <w:t xml:space="preserve">15</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（2）内容较完整、针对性较强、可行性较高、较切合项目实际需求、可操作性较强的得</w:t>
            </w:r>
            <w:r>
              <w:rPr>
                <w:rFonts w:hint="eastAsia" w:ascii="仿宋_GB2312" w:hAnsi="仿宋_GB2312" w:eastAsia="仿宋_GB2312" w:cs="仿宋_GB2312"/>
                <w:sz w:val="24"/>
                <w:szCs w:val="24"/>
                <w:lang w:val="en-US" w:eastAsia="zh-CN"/>
              </w:rPr>
              <w:t xml:space="preserve">12</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（3）内容欠完整、针对性、可行性、可操作性一般的得分</w:t>
            </w:r>
            <w:r>
              <w:rPr>
                <w:rFonts w:hint="eastAsia" w:ascii="仿宋_GB2312" w:hAnsi="仿宋_GB2312" w:eastAsia="仿宋_GB2312" w:cs="仿宋_GB2312"/>
                <w:sz w:val="24"/>
                <w:szCs w:val="24"/>
                <w:lang w:val="en-US" w:eastAsia="zh-CN"/>
              </w:rPr>
              <w:t xml:space="preserve">8</w:t>
            </w:r>
            <w:r>
              <w:rPr>
                <w:rFonts w:hint="eastAsia" w:ascii="仿宋_GB2312" w:hAnsi="仿宋_GB2312" w:eastAsia="仿宋_GB2312" w:cs="仿宋_GB2312"/>
                <w:sz w:val="24"/>
                <w:szCs w:val="24"/>
              </w:rPr>
              <w:t xml:space="preserve">分。</w:t>
            </w:r>
            <w:r/>
          </w:p>
          <w:p>
            <w:pPr>
              <w:pStyle w:val="643"/>
              <w:ind w:firstLine="480"/>
              <w:rPr>
                <w:rFonts w:hint="eastAsia"/>
              </w:rPr>
            </w:pPr>
            <w:r>
              <w:rPr>
                <w:rFonts w:hint="eastAsia" w:ascii="仿宋_GB2312" w:hAnsi="仿宋_GB2312" w:eastAsia="仿宋_GB2312" w:cs="仿宋_GB2312"/>
                <w:sz w:val="24"/>
                <w:szCs w:val="24"/>
                <w:lang w:val="en-US" w:eastAsia="zh-CN"/>
              </w:rPr>
              <w:t xml:space="preserve">未提供不得分。</w:t>
            </w:r>
            <w:r/>
          </w:p>
        </w:tc>
        <w:tc>
          <w:tcPr>
            <w:tcW w:w="815" w:type="dxa"/>
            <w:vAlign w:val="center"/>
            <w:vMerge w:val="continue"/>
            <w:textDirection w:val="lrTb"/>
            <w:noWrap w:val="false"/>
          </w:tcPr>
          <w:p>
            <w:pPr>
              <w:ind w:firstLin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cantSplit/>
          <w:jc w:val="center"/>
          <w:trHeight w:val="1317"/>
        </w:trPr>
        <w:tc>
          <w:tcPr>
            <w:tcW w:w="1606" w:type="dxa"/>
            <w:vAlign w:val="center"/>
            <w:vMerge w:val="continue"/>
            <w:textDirection w:val="lrTb"/>
            <w:noWrap w:val="false"/>
          </w:tcPr>
          <w:p>
            <w:pPr>
              <w:jc w:val="center"/>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6581" w:type="dxa"/>
            <w:vAlign w:val="center"/>
            <w:textDirection w:val="lrTb"/>
            <w:noWrap w:val="false"/>
          </w:tcPr>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3、组织管理方案：根据投标人针对本项目提供的组织管理方案（包括但不限于内部管理机制、管理机构设立方案、管理运作流程、信息及时反馈及处理方案等）进行评审，满分</w:t>
            </w:r>
            <w:r>
              <w:rPr>
                <w:rFonts w:hint="eastAsia" w:ascii="仿宋_GB2312" w:hAnsi="仿宋_GB2312" w:eastAsia="仿宋_GB2312" w:cs="仿宋_GB2312"/>
                <w:sz w:val="24"/>
                <w:szCs w:val="24"/>
                <w:lang w:val="en-US" w:eastAsia="zh-CN"/>
              </w:rPr>
              <w:t xml:space="preserve">10</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（1）内容完整、合理具体、针对性强、可行性高、切合项目实际需求、可操作性强的得</w:t>
            </w:r>
            <w:r>
              <w:rPr>
                <w:rFonts w:hint="eastAsia" w:ascii="仿宋_GB2312" w:hAnsi="仿宋_GB2312" w:eastAsia="仿宋_GB2312" w:cs="仿宋_GB2312"/>
                <w:sz w:val="24"/>
                <w:szCs w:val="24"/>
                <w:lang w:val="en-US" w:eastAsia="zh-CN"/>
              </w:rPr>
              <w:t xml:space="preserve">10</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（2）内容较完整、针对性较强、可行性较高、较切合项目实际需求、可操作性较强的得</w:t>
            </w:r>
            <w:r>
              <w:rPr>
                <w:rFonts w:hint="eastAsia" w:ascii="仿宋_GB2312" w:hAnsi="仿宋_GB2312" w:eastAsia="仿宋_GB2312" w:cs="仿宋_GB2312"/>
                <w:sz w:val="24"/>
                <w:szCs w:val="24"/>
                <w:lang w:val="en-US" w:eastAsia="zh-CN"/>
              </w:rPr>
              <w:t xml:space="preserve">7</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（3）内容欠完整、针对性、可行性、可操作性一般的得分</w:t>
            </w:r>
            <w:r>
              <w:rPr>
                <w:rFonts w:hint="eastAsia" w:ascii="仿宋_GB2312" w:hAnsi="仿宋_GB2312" w:eastAsia="仿宋_GB2312" w:cs="仿宋_GB2312"/>
                <w:sz w:val="24"/>
                <w:szCs w:val="24"/>
                <w:lang w:val="en-US" w:eastAsia="zh-CN"/>
              </w:rPr>
              <w:t xml:space="preserve">4</w:t>
            </w:r>
            <w:r>
              <w:rPr>
                <w:rFonts w:hint="eastAsia" w:ascii="仿宋_GB2312" w:hAnsi="仿宋_GB2312" w:eastAsia="仿宋_GB2312" w:cs="仿宋_GB2312"/>
                <w:sz w:val="24"/>
                <w:szCs w:val="24"/>
              </w:rPr>
              <w:t xml:space="preserve">分。</w:t>
            </w:r>
            <w:r/>
          </w:p>
          <w:p>
            <w:pPr>
              <w:pStyle w:val="643"/>
              <w:ind w:firstLine="480"/>
              <w:rPr>
                <w:rFonts w:hint="eastAsia"/>
              </w:rPr>
            </w:pPr>
            <w:r>
              <w:rPr>
                <w:rFonts w:hint="eastAsia" w:ascii="仿宋_GB2312" w:hAnsi="仿宋_GB2312" w:eastAsia="仿宋_GB2312" w:cs="仿宋_GB2312"/>
                <w:sz w:val="24"/>
                <w:szCs w:val="24"/>
                <w:lang w:val="en-US" w:eastAsia="zh-CN"/>
              </w:rPr>
              <w:t xml:space="preserve">未提供不得分。</w:t>
            </w:r>
            <w:r/>
          </w:p>
        </w:tc>
        <w:tc>
          <w:tcPr>
            <w:tcW w:w="815" w:type="dxa"/>
            <w:vAlign w:val="center"/>
            <w:vMerge w:val="continue"/>
            <w:textDirection w:val="lrTb"/>
            <w:noWrap w:val="false"/>
          </w:tcPr>
          <w:p>
            <w:pPr>
              <w:ind w:firstLin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cantSplit/>
          <w:jc w:val="center"/>
          <w:trHeight w:val="1317"/>
        </w:trPr>
        <w:tc>
          <w:tcPr>
            <w:tcW w:w="1606" w:type="dxa"/>
            <w:vAlign w:val="center"/>
            <w:vMerge w:val="continue"/>
            <w:textDirection w:val="lrTb"/>
            <w:noWrap w:val="false"/>
          </w:tcPr>
          <w:p>
            <w:pPr>
              <w:jc w:val="center"/>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6581" w:type="dxa"/>
            <w:vAlign w:val="center"/>
            <w:textDirection w:val="lrTb"/>
            <w:noWrap w:val="false"/>
          </w:tcPr>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4、应急保障方案：根据投标人针对本项目提供的应急保障方案（含节假日保障方案、重大接待活动迎检方案、极端天气应急预案、道路遗撒应急预案、交通事故应急预案等）进行评审，满分10分。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（1）内容完整、合理具体、针对性强、可行性高、切合项目实际需求、可操作性强的得</w:t>
            </w:r>
            <w:r>
              <w:rPr>
                <w:rFonts w:hint="eastAsia" w:ascii="仿宋_GB2312" w:hAnsi="仿宋_GB2312" w:eastAsia="仿宋_GB2312" w:cs="仿宋_GB2312"/>
                <w:sz w:val="24"/>
                <w:szCs w:val="24"/>
                <w:lang w:val="en-US" w:eastAsia="zh-CN"/>
              </w:rPr>
              <w:t xml:space="preserve">10</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（2）内容较完整、针对性较强、可行性较高、较切合项目实际需求、可操作性较强的得</w:t>
            </w:r>
            <w:r>
              <w:rPr>
                <w:rFonts w:hint="eastAsia" w:ascii="仿宋_GB2312" w:hAnsi="仿宋_GB2312" w:eastAsia="仿宋_GB2312" w:cs="仿宋_GB2312"/>
                <w:sz w:val="24"/>
                <w:szCs w:val="24"/>
                <w:lang w:val="en-US" w:eastAsia="zh-CN"/>
              </w:rPr>
              <w:t xml:space="preserve">7</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（3）内容欠完整、针对性、可行性、可操作性一般的得</w:t>
            </w:r>
            <w:r>
              <w:rPr>
                <w:rFonts w:hint="eastAsia" w:ascii="仿宋_GB2312" w:hAnsi="仿宋_GB2312" w:eastAsia="仿宋_GB2312" w:cs="仿宋_GB2312"/>
                <w:sz w:val="24"/>
                <w:szCs w:val="24"/>
                <w:lang w:val="en-US" w:eastAsia="zh-CN"/>
              </w:rPr>
              <w:t xml:space="preserve">4</w:t>
            </w:r>
            <w:r>
              <w:rPr>
                <w:rFonts w:hint="eastAsia" w:ascii="仿宋_GB2312" w:hAnsi="仿宋_GB2312" w:eastAsia="仿宋_GB2312" w:cs="仿宋_GB2312"/>
                <w:sz w:val="24"/>
                <w:szCs w:val="24"/>
              </w:rPr>
              <w:t xml:space="preserve">分。</w:t>
            </w:r>
            <w:r/>
          </w:p>
          <w:p>
            <w:pPr>
              <w:pStyle w:val="643"/>
              <w:rPr>
                <w:rFonts w:hint="default" w:eastAsia="仿宋_GB2312"/>
                <w:lang w:val="en-US" w:eastAsia="zh-CN"/>
              </w:rPr>
            </w:pPr>
            <w:r>
              <w:rPr>
                <w:rFonts w:hint="eastAsia" w:ascii="仿宋_GB2312" w:hAnsi="仿宋_GB2312" w:eastAsia="仿宋_GB2312" w:cs="仿宋_GB2312"/>
                <w:sz w:val="24"/>
                <w:szCs w:val="24"/>
                <w:lang w:val="en-US" w:eastAsia="zh-CN"/>
              </w:rPr>
              <w:t xml:space="preserve">  未提供不得分。</w:t>
            </w:r>
            <w:r/>
          </w:p>
        </w:tc>
        <w:tc>
          <w:tcPr>
            <w:tcW w:w="815" w:type="dxa"/>
            <w:vAlign w:val="center"/>
            <w:vMerge w:val="continue"/>
            <w:textDirection w:val="lrTb"/>
            <w:noWrap w:val="false"/>
          </w:tcPr>
          <w:p>
            <w:pPr>
              <w:ind w:firstLin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cantSplit/>
          <w:jc w:val="center"/>
          <w:trHeight w:val="1317"/>
        </w:trPr>
        <w:tc>
          <w:tcPr>
            <w:tcW w:w="1606" w:type="dxa"/>
            <w:vAlign w:val="center"/>
            <w:vMerge w:val="continue"/>
            <w:textDirection w:val="lrTb"/>
            <w:noWrap w:val="false"/>
          </w:tcPr>
          <w:p>
            <w:pPr>
              <w:jc w:val="center"/>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6581" w:type="dxa"/>
            <w:vAlign w:val="center"/>
            <w:textDirection w:val="lrTb"/>
            <w:noWrap w:val="false"/>
          </w:tcPr>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5、安全生产与文明作作业方案：根据投标人针对本项目提供的安全生产与文明作业方案进行评审，满分</w:t>
            </w:r>
            <w:r>
              <w:rPr>
                <w:rFonts w:hint="eastAsia" w:ascii="仿宋_GB2312" w:hAnsi="仿宋_GB2312" w:eastAsia="仿宋_GB2312" w:cs="仿宋_GB2312"/>
                <w:sz w:val="24"/>
                <w:szCs w:val="24"/>
                <w:lang w:val="en-US" w:eastAsia="zh-CN"/>
              </w:rPr>
              <w:t xml:space="preserve">12</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（1）内容完整、合理具体、针对性强、可行性高、切合项目实际需求、可操作性强的得</w:t>
            </w:r>
            <w:r>
              <w:rPr>
                <w:rFonts w:hint="eastAsia" w:ascii="仿宋_GB2312" w:hAnsi="仿宋_GB2312" w:eastAsia="仿宋_GB2312" w:cs="仿宋_GB2312"/>
                <w:sz w:val="24"/>
                <w:szCs w:val="24"/>
                <w:lang w:val="en-US" w:eastAsia="zh-CN"/>
              </w:rPr>
              <w:t xml:space="preserve">12</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（2）内容较完整、针对性较强、可行性较高、较切合项目实际需求、可操作性较强的得</w:t>
            </w:r>
            <w:r>
              <w:rPr>
                <w:rFonts w:hint="eastAsia" w:ascii="仿宋_GB2312" w:hAnsi="仿宋_GB2312" w:eastAsia="仿宋_GB2312" w:cs="仿宋_GB2312"/>
                <w:sz w:val="24"/>
                <w:szCs w:val="24"/>
                <w:lang w:val="en-US" w:eastAsia="zh-CN"/>
              </w:rPr>
              <w:t xml:space="preserve">8</w:t>
            </w:r>
            <w:r>
              <w:rPr>
                <w:rFonts w:hint="eastAsia" w:ascii="仿宋_GB2312" w:hAnsi="仿宋_GB2312" w:eastAsia="仿宋_GB2312" w:cs="仿宋_GB2312"/>
                <w:sz w:val="24"/>
                <w:szCs w:val="24"/>
              </w:rPr>
              <w:t xml:space="preserve">分；</w:t>
            </w:r>
            <w:r/>
          </w:p>
          <w:p>
            <w:pPr>
              <w:ind w:firstLine="480"/>
              <w:spacing w:line="27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（3）内容欠完整、针对性、可行性、可操作性一般的得</w:t>
            </w:r>
            <w:r>
              <w:rPr>
                <w:rFonts w:hint="eastAsia" w:ascii="仿宋_GB2312" w:hAnsi="仿宋_GB2312" w:eastAsia="仿宋_GB2312" w:cs="仿宋_GB2312"/>
                <w:sz w:val="24"/>
                <w:szCs w:val="24"/>
                <w:lang w:val="en-US" w:eastAsia="zh-CN"/>
              </w:rPr>
              <w:t xml:space="preserve">4</w:t>
            </w:r>
            <w:r>
              <w:rPr>
                <w:rFonts w:hint="eastAsia" w:ascii="仿宋_GB2312" w:hAnsi="仿宋_GB2312" w:eastAsia="仿宋_GB2312" w:cs="仿宋_GB2312"/>
                <w:sz w:val="24"/>
                <w:szCs w:val="24"/>
              </w:rPr>
              <w:t xml:space="preserve">分。</w:t>
            </w:r>
            <w:r/>
          </w:p>
          <w:p>
            <w:pPr>
              <w:pStyle w:val="643"/>
              <w:rPr>
                <w:rFonts w:hint="eastAsia"/>
              </w:rPr>
            </w:pPr>
            <w:r>
              <w:rPr>
                <w:rFonts w:hint="eastAsia" w:ascii="仿宋_GB2312" w:hAnsi="仿宋_GB2312" w:eastAsia="仿宋_GB2312" w:cs="仿宋_GB2312"/>
                <w:sz w:val="24"/>
                <w:szCs w:val="24"/>
                <w:lang w:val="en-US" w:eastAsia="zh-CN"/>
              </w:rPr>
              <w:t xml:space="preserve">   未提供不得分。</w:t>
            </w:r>
            <w:r/>
          </w:p>
        </w:tc>
        <w:tc>
          <w:tcPr>
            <w:tcW w:w="815" w:type="dxa"/>
            <w:vAlign w:val="center"/>
            <w:vMerge w:val="continue"/>
            <w:textDirection w:val="lrTb"/>
            <w:noWrap w:val="false"/>
          </w:tcPr>
          <w:p>
            <w:pPr>
              <w:ind w:firstLin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bl>
    <w:p>
      <w:pPr>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648"/>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4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4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48"/>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48"/>
        <w:jc w:val="center"/>
        <w:spacing w:beforeAutospacing="0" w:afterAutospacing="0"/>
        <w:rPr>
          <w:rFonts w:hint="eastAsia" w:ascii="宋体" w:hAnsi="宋体" w:eastAsia="宋体" w:cs="宋体"/>
          <w:b/>
          <w:color w:val="auto"/>
          <w:sz w:val="72"/>
          <w:szCs w:val="72"/>
          <w:highlight w:val="none"/>
        </w:rPr>
      </w:pPr>
      <w:r/>
      <w:bookmarkStart w:id="185" w:name="_Toc26554094"/>
      <w:r/>
      <w:bookmarkEnd w:id="185"/>
      <w:r/>
      <w:bookmarkStart w:id="186" w:name="_Hlt26671244"/>
      <w:r/>
      <w:bookmarkEnd w:id="186"/>
      <w:r/>
      <w:bookmarkStart w:id="187" w:name="_Hlt26955039"/>
      <w:r/>
      <w:bookmarkEnd w:id="187"/>
      <w:r/>
      <w:bookmarkStart w:id="188" w:name="_Toc120614282"/>
      <w:r/>
      <w:bookmarkStart w:id="189" w:name="_Toc49090576"/>
      <w:r/>
      <w:r/>
    </w:p>
    <w:p>
      <w:pPr>
        <w:pStyle w:val="648"/>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48"/>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648"/>
        <w:jc w:val="center"/>
        <w:spacing w:beforeAutospacing="0" w:afterAutospacing="0"/>
        <w:rPr>
          <w:color w:val="auto"/>
          <w:highlight w:val="none"/>
        </w:rPr>
      </w:pPr>
      <w:r>
        <w:rPr>
          <w:color w:val="auto"/>
          <w:highlight w:val="none"/>
        </w:rPr>
        <w:t xml:space="preserve"> </w:t>
      </w:r>
      <w:r/>
    </w:p>
    <w:p>
      <w:pPr>
        <w:pStyle w:val="648"/>
        <w:jc w:val="center"/>
        <w:spacing w:beforeAutospacing="0" w:afterAutospacing="0"/>
        <w:rPr>
          <w:color w:val="auto"/>
          <w:highlight w:val="none"/>
        </w:rPr>
      </w:pPr>
      <w:r>
        <w:rPr>
          <w:color w:val="auto"/>
          <w:highlight w:val="none"/>
        </w:rPr>
        <w:t xml:space="preserve"> </w:t>
      </w:r>
      <w:r/>
    </w:p>
    <w:p>
      <w:pPr>
        <w:pStyle w:val="648"/>
        <w:jc w:val="center"/>
        <w:spacing w:beforeAutospacing="0" w:afterAutospacing="0"/>
        <w:rPr>
          <w:color w:val="auto"/>
          <w:highlight w:val="none"/>
        </w:rPr>
      </w:pPr>
      <w:r>
        <w:rPr>
          <w:color w:val="auto"/>
          <w:highlight w:val="none"/>
        </w:rPr>
        <w:t xml:space="preserve"> </w:t>
      </w:r>
      <w:r/>
    </w:p>
    <w:p>
      <w:pPr>
        <w:pStyle w:val="648"/>
        <w:jc w:val="center"/>
        <w:spacing w:beforeAutospacing="0" w:afterAutospacing="0"/>
        <w:rPr>
          <w:color w:val="auto"/>
          <w:highlight w:val="none"/>
        </w:rPr>
      </w:pPr>
      <w:r>
        <w:rPr>
          <w:color w:val="auto"/>
          <w:highlight w:val="none"/>
        </w:rPr>
        <w:t xml:space="preserve"> </w:t>
      </w:r>
      <w:r/>
    </w:p>
    <w:p>
      <w:pPr>
        <w:pStyle w:val="648"/>
        <w:jc w:val="center"/>
        <w:spacing w:beforeAutospacing="0" w:afterAutospacing="0"/>
        <w:rPr>
          <w:color w:val="auto"/>
          <w:highlight w:val="none"/>
        </w:rPr>
      </w:pPr>
      <w:r>
        <w:rPr>
          <w:color w:val="auto"/>
          <w:highlight w:val="none"/>
        </w:rPr>
        <w:t xml:space="preserve"> </w:t>
      </w:r>
      <w:r/>
    </w:p>
    <w:p>
      <w:pPr>
        <w:pStyle w:val="64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4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4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4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both"/>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4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4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4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4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4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4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4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648"/>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48"/>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648"/>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48"/>
        <w:ind w:firstLine="480"/>
        <w:jc w:val="both"/>
        <w:spacing w:beforeAutospacing="0" w:afterAutospacing="0" w:line="0" w:lineRule="atLeas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、联合体协议</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如需要</w:t>
      </w:r>
      <w:r>
        <w:rPr>
          <w:rFonts w:hint="eastAsia" w:ascii="宋体" w:hAnsi="宋体" w:eastAsia="宋体" w:cs="宋体"/>
          <w:i w:val="0"/>
          <w:iCs/>
          <w:color w:val="auto"/>
          <w:highlight w:val="none"/>
          <w:u w:val="none"/>
          <w:lang w:eastAsia="zh-CN"/>
        </w:rPr>
        <w:t xml:space="preserve">）</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、投标分项报价表</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648"/>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648"/>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六</w:t>
      </w:r>
      <w:r>
        <w:rPr>
          <w:rFonts w:hint="eastAsia" w:ascii="宋体" w:hAnsi="宋体" w:eastAsia="宋体" w:cs="宋体"/>
          <w:i w:val="0"/>
          <w:iCs/>
          <w:color w:val="auto"/>
          <w:sz w:val="24"/>
          <w:highlight w:val="none"/>
          <w:u w:val="none"/>
        </w:rPr>
        <w:t xml:space="preserve">、技术方案、服务承诺、培训承诺等</w:t>
      </w:r>
      <w:r/>
    </w:p>
    <w:p>
      <w:pPr>
        <w:pStyle w:val="648"/>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64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48"/>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648"/>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48"/>
        <w:ind w:firstLine="480"/>
        <w:jc w:val="both"/>
        <w:spacing w:beforeAutospacing="0" w:afterAutospacing="0" w:line="0" w:lineRule="atLeast"/>
        <w:rPr>
          <w:color w:val="auto"/>
          <w:highlight w:val="none"/>
        </w:rPr>
      </w:pPr>
      <w:r>
        <w:rPr>
          <w:color w:val="auto"/>
          <w:highlight w:val="none"/>
        </w:rPr>
      </w:r>
      <w:r/>
    </w:p>
    <w:p>
      <w:pPr>
        <w:pStyle w:val="648"/>
        <w:ind w:firstLine="480"/>
        <w:jc w:val="both"/>
        <w:spacing w:beforeAutospacing="0" w:afterAutospacing="0" w:line="0" w:lineRule="atLeast"/>
        <w:rPr>
          <w:color w:val="auto"/>
          <w:highlight w:val="none"/>
        </w:rPr>
      </w:pPr>
      <w:r>
        <w:rPr>
          <w:color w:val="auto"/>
          <w:highlight w:val="none"/>
        </w:rPr>
        <w:t xml:space="preserve"> </w:t>
      </w:r>
      <w:r/>
    </w:p>
    <w:p>
      <w:pPr>
        <w:pStyle w:val="648"/>
        <w:ind w:firstLine="480"/>
        <w:jc w:val="both"/>
        <w:spacing w:beforeAutospacing="0" w:afterAutospacing="0" w:line="0" w:lineRule="atLeast"/>
        <w:rPr>
          <w:color w:val="auto"/>
          <w:highlight w:val="none"/>
        </w:rPr>
      </w:pPr>
      <w:r>
        <w:rPr>
          <w:color w:val="auto"/>
          <w:highlight w:val="none"/>
        </w:rPr>
        <w:t xml:space="preserve"> </w:t>
      </w:r>
      <w:r/>
    </w:p>
    <w:p>
      <w:pPr>
        <w:pStyle w:val="64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48"/>
        <w:ind w:firstLine="480"/>
        <w:jc w:val="both"/>
        <w:spacing w:beforeAutospacing="0" w:afterAutospacing="0" w:line="0" w:lineRule="atLeast"/>
        <w:rPr>
          <w:color w:val="auto"/>
          <w:highlight w:val="none"/>
        </w:rPr>
      </w:pPr>
      <w:r>
        <w:rPr>
          <w:color w:val="auto"/>
          <w:highlight w:val="none"/>
        </w:rPr>
        <w:t xml:space="preserve"> </w:t>
      </w:r>
      <w:r/>
    </w:p>
    <w:p>
      <w:pPr>
        <w:pStyle w:val="648"/>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48"/>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48"/>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8"/>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48"/>
        <w:ind w:firstLine="480"/>
        <w:jc w:val="both"/>
        <w:spacing w:beforeAutospacing="0" w:afterAutospacing="0"/>
        <w:rPr>
          <w:color w:val="auto"/>
          <w:highlight w:val="none"/>
        </w:rPr>
      </w:pPr>
      <w:r/>
      <w:bookmarkStart w:id="190"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64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48"/>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48"/>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4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48"/>
        <w:jc w:val="both"/>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8"/>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8"/>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8"/>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8"/>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48"/>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48"/>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48"/>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48"/>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48"/>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48"/>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48"/>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91" w:name="_Hlt26671380"/>
      <w:r/>
      <w:bookmarkStart w:id="192" w:name="_格式3__银行出具的资信证明"/>
      <w:r/>
      <w:bookmarkStart w:id="193" w:name="_Hlt26955070"/>
      <w:r>
        <w:rPr>
          <w:rFonts w:ascii="Times New Roman" w:hAnsi="Times New Roman"/>
          <w:color w:val="auto"/>
          <w:highlight w:val="none"/>
          <w:u w:val="single"/>
        </w:rPr>
        <w:t xml:space="preserve">                                         </w:t>
      </w:r>
      <w:r/>
    </w:p>
    <w:p>
      <w:pPr>
        <w:pStyle w:val="648"/>
        <w:ind w:firstLine="420"/>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line="0" w:lineRule="atLeast"/>
        <w:rPr>
          <w:color w:val="auto"/>
          <w:highlight w:val="none"/>
        </w:rPr>
      </w:pPr>
      <w:r>
        <w:rPr>
          <w:color w:val="auto"/>
          <w:highlight w:val="none"/>
        </w:rPr>
        <w:t xml:space="preserve"> </w:t>
      </w:r>
      <w:r/>
    </w:p>
    <w:p>
      <w:pPr>
        <w:pStyle w:val="648"/>
        <w:jc w:val="both"/>
        <w:spacing w:beforeAutospacing="0" w:afterAutospacing="0" w:line="0" w:lineRule="atLeast"/>
        <w:rPr>
          <w:color w:val="auto"/>
          <w:highlight w:val="none"/>
        </w:rPr>
      </w:pPr>
      <w:r>
        <w:rPr>
          <w:color w:val="auto"/>
          <w:highlight w:val="none"/>
        </w:rPr>
        <w:t xml:space="preserve"> </w:t>
      </w:r>
      <w:r/>
    </w:p>
    <w:p>
      <w:pPr>
        <w:pStyle w:val="648"/>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648"/>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64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根据贵方的JSZC-320000-***号招标文件，正式授权下述签字人______(姓名)代表我方______________（投标人的名称），全权处理本次项目投标的有关事宜。</w:t>
      </w:r>
      <w:r/>
    </w:p>
    <w:p>
      <w:pPr>
        <w:pStyle w:val="64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4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4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4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4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4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4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48"/>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4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4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4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4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4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64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48"/>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48"/>
        <w:ind w:firstLine="240"/>
        <w:jc w:val="center"/>
        <w:spacing w:beforeAutospacing="0" w:afterAutospacing="0" w:line="0" w:lineRule="atLeast"/>
        <w:rPr>
          <w:color w:val="auto"/>
          <w:highlight w:val="none"/>
        </w:rPr>
      </w:pPr>
      <w:r>
        <w:rPr>
          <w:color w:val="auto"/>
          <w:highlight w:val="none"/>
        </w:rPr>
        <w:t xml:space="preserve"> </w:t>
      </w:r>
      <w:r/>
    </w:p>
    <w:p>
      <w:pPr>
        <w:pStyle w:val="648"/>
        <w:ind w:firstLine="240"/>
        <w:jc w:val="center"/>
        <w:spacing w:beforeAutospacing="0" w:afterAutospacing="0" w:line="0" w:lineRule="atLeast"/>
        <w:rPr>
          <w:color w:val="auto"/>
          <w:highlight w:val="none"/>
        </w:rPr>
      </w:pPr>
      <w:r>
        <w:rPr>
          <w:color w:val="auto"/>
          <w:highlight w:val="none"/>
        </w:rPr>
        <w:t xml:space="preserve"> </w:t>
      </w:r>
      <w:r/>
    </w:p>
    <w:p>
      <w:pPr>
        <w:pStyle w:val="648"/>
        <w:ind w:firstLine="240"/>
        <w:jc w:val="center"/>
        <w:spacing w:beforeAutospacing="0" w:afterAutospacing="0" w:line="0" w:lineRule="atLeast"/>
        <w:rPr>
          <w:color w:val="auto"/>
          <w:highlight w:val="none"/>
        </w:rPr>
      </w:pPr>
      <w:r>
        <w:rPr>
          <w:color w:val="auto"/>
          <w:highlight w:val="none"/>
        </w:rPr>
        <w:t xml:space="preserve"> </w:t>
      </w:r>
      <w:r/>
    </w:p>
    <w:p>
      <w:pPr>
        <w:pStyle w:val="648"/>
        <w:ind w:firstLine="240"/>
        <w:jc w:val="center"/>
        <w:spacing w:beforeAutospacing="0" w:afterAutospacing="0" w:line="0" w:lineRule="atLeast"/>
        <w:rPr>
          <w:color w:val="auto"/>
          <w:highlight w:val="none"/>
        </w:rPr>
      </w:pPr>
      <w:r>
        <w:rPr>
          <w:color w:val="auto"/>
          <w:highlight w:val="none"/>
        </w:rPr>
        <w:t xml:space="preserve"> </w:t>
      </w:r>
      <w:r/>
    </w:p>
    <w:p>
      <w:pPr>
        <w:pStyle w:val="648"/>
        <w:ind w:firstLine="240"/>
        <w:jc w:val="center"/>
        <w:spacing w:beforeAutospacing="0" w:afterAutospacing="0" w:line="0" w:lineRule="atLeast"/>
        <w:rPr>
          <w:color w:val="auto"/>
          <w:highlight w:val="none"/>
        </w:rPr>
      </w:pPr>
      <w:r>
        <w:rPr>
          <w:color w:val="auto"/>
          <w:highlight w:val="none"/>
        </w:rPr>
        <w:t xml:space="preserve"> </w:t>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ind w:firstLine="240"/>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48"/>
        <w:ind w:right="720"/>
        <w:jc w:val="both"/>
        <w:spacing w:beforeAutospacing="0" w:afterAutospacing="0" w:line="0" w:lineRule="atLeast"/>
        <w:rPr>
          <w:color w:val="auto"/>
          <w:highlight w:val="none"/>
        </w:rPr>
      </w:pPr>
      <w:r>
        <w:rPr>
          <w:color w:val="auto"/>
          <w:highlight w:val="none"/>
        </w:rPr>
        <w:t xml:space="preserve"> </w:t>
      </w:r>
      <w:r/>
    </w:p>
    <w:p>
      <w:pPr>
        <w:pStyle w:val="648"/>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48"/>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48"/>
        <w:ind w:firstLine="240"/>
        <w:jc w:val="both"/>
        <w:spacing w:beforeAutospacing="0" w:afterAutospacing="0" w:line="0" w:lineRule="atLeast"/>
        <w:rPr>
          <w:color w:val="auto"/>
          <w:highlight w:val="none"/>
        </w:rPr>
      </w:pPr>
      <w:r>
        <w:rPr>
          <w:color w:val="auto"/>
          <w:highlight w:val="none"/>
        </w:rPr>
        <w:t xml:space="preserve"> </w:t>
      </w:r>
      <w:r/>
    </w:p>
    <w:p>
      <w:pPr>
        <w:pStyle w:val="64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4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64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4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48"/>
        <w:ind w:firstLine="480"/>
        <w:jc w:val="both"/>
        <w:spacing w:beforeAutospacing="0" w:afterAutospacing="0" w:line="0" w:lineRule="atLeast"/>
        <w:rPr>
          <w:color w:val="auto"/>
          <w:highlight w:val="none"/>
        </w:rPr>
      </w:pPr>
      <w:r>
        <w:rPr>
          <w:color w:val="auto"/>
          <w:highlight w:val="none"/>
        </w:rPr>
        <w:t xml:space="preserve"> </w:t>
      </w:r>
      <w:r/>
    </w:p>
    <w:p>
      <w:pPr>
        <w:pStyle w:val="64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p>
    <w:p>
      <w:pPr>
        <w:pStyle w:val="648"/>
        <w:ind w:firstLine="624"/>
        <w:jc w:val="both"/>
        <w:spacing w:beforeAutospacing="0" w:afterAutospacing="0" w:line="0" w:lineRule="atLeast"/>
        <w:rPr>
          <w:color w:val="auto"/>
          <w:highlight w:val="none"/>
        </w:rPr>
      </w:pPr>
      <w:r>
        <w:rPr>
          <w:color w:val="auto"/>
          <w:highlight w:val="none"/>
        </w:rPr>
        <w:t xml:space="preserve"> </w:t>
      </w:r>
      <w:r/>
    </w:p>
    <w:p>
      <w:pPr>
        <w:pStyle w:val="648"/>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48"/>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line="0" w:lineRule="atLeast"/>
        <w:rPr>
          <w:color w:val="auto"/>
          <w:highlight w:val="none"/>
        </w:rPr>
      </w:pPr>
      <w:r>
        <w:rPr>
          <w:color w:val="auto"/>
          <w:highlight w:val="none"/>
        </w:rPr>
        <w:t xml:space="preserve"> </w:t>
      </w:r>
      <w:r/>
    </w:p>
    <w:p>
      <w:pPr>
        <w:pStyle w:val="648"/>
        <w:jc w:val="center"/>
        <w:spacing w:beforeAutospacing="0" w:afterAutospacing="0"/>
        <w:rPr>
          <w:rFonts w:hint="default" w:ascii="Times New Roman" w:hAnsi="Times New Roman" w:eastAsia="宋体" w:cs="Times New Roman"/>
          <w:sz w:val="21"/>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w:t>
      </w:r>
      <w:r>
        <w:rPr>
          <w:rFonts w:hint="eastAsia" w:ascii="黑体" w:hAnsi="宋体" w:eastAsia="黑体" w:cs="黑体"/>
          <w:b/>
          <w:color w:val="000000"/>
          <w:sz w:val="32"/>
          <w:szCs w:val="32"/>
          <w:highlight w:val="none"/>
        </w:rPr>
        <w:t xml:space="preserve">投标分项报价表（分包号：**）</w:t>
      </w:r>
      <w:r/>
    </w:p>
    <w:p>
      <w:pPr>
        <w:jc w:val="both"/>
        <w:spacing w:line="360" w:lineRule="auto"/>
        <w:widowControl w:val="off"/>
        <w:rPr>
          <w:rFonts w:hint="default" w:ascii="Times New Roman" w:hAnsi="Times New Roman" w:eastAsia="宋体" w:cs="Times New Roman"/>
          <w:sz w:val="21"/>
          <w:szCs w:val="20"/>
          <w:highlight w:val="none"/>
          <w:lang w:val="en-US" w:eastAsia="zh-CN" w:bidi="ar-SA"/>
        </w:rPr>
      </w:pPr>
      <w:r>
        <w:rPr>
          <w:rFonts w:hint="eastAsia" w:ascii="Times New Roman" w:hAnsi="宋体" w:eastAsia="宋体" w:cs="Times New Roman"/>
          <w:sz w:val="21"/>
          <w:szCs w:val="20"/>
          <w:highlight w:val="none"/>
          <w:lang w:val="en-US" w:eastAsia="zh-CN" w:bidi="ar-SA"/>
        </w:rPr>
        <w:t xml:space="preserve">项目名称：</w:t>
      </w:r>
      <w:r/>
    </w:p>
    <w:p>
      <w:pPr>
        <w:jc w:val="both"/>
        <w:spacing w:line="360" w:lineRule="auto"/>
        <w:widowControl w:val="off"/>
        <w:rPr>
          <w:rFonts w:hint="default"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投标人名称（公章）：</w:t>
      </w:r>
      <w:r/>
    </w:p>
    <w:tbl>
      <w:tblPr>
        <w:tblStyle w:val="642"/>
        <w:tblW w:w="8657"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3295"/>
        <w:gridCol w:w="966"/>
        <w:gridCol w:w="6"/>
        <w:gridCol w:w="810"/>
        <w:gridCol w:w="10"/>
        <w:gridCol w:w="941"/>
        <w:gridCol w:w="1632"/>
      </w:tblGrid>
      <w:tr>
        <w:trPr>
          <w:trHeight w:val="474"/>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eastAsia" w:ascii="宋体" w:hAnsi="宋体" w:eastAsia="宋体" w:cs="Times New Roman"/>
                <w:highlight w:val="none"/>
              </w:rPr>
              <w:t xml:space="preserve">序号</w:t>
            </w:r>
            <w:r/>
          </w:p>
        </w:tc>
        <w:tc>
          <w:tcPr>
            <w:tcW w:w="3295"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eastAsia" w:ascii="宋体" w:hAnsi="宋体" w:eastAsia="宋体" w:cs="Times New Roman"/>
                <w:highlight w:val="none"/>
              </w:rPr>
              <w:t xml:space="preserve">标的物名称</w:t>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eastAsia" w:ascii="宋体" w:hAnsi="宋体" w:eastAsia="宋体" w:cs="Times New Roman"/>
                <w:highlight w:val="none"/>
              </w:rPr>
              <w:t xml:space="preserve">单位</w:t>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eastAsia" w:ascii="宋体" w:hAnsi="宋体" w:eastAsia="宋体" w:cs="Times New Roman"/>
                <w:highlight w:val="none"/>
              </w:rPr>
              <w:t xml:space="preserve">数量</w:t>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eastAsia" w:ascii="宋体" w:hAnsi="宋体" w:eastAsia="宋体" w:cs="Times New Roman"/>
                <w:highlight w:val="none"/>
              </w:rPr>
              <w:t xml:space="preserve">单价</w:t>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eastAsia" w:ascii="宋体" w:hAnsi="宋体" w:eastAsia="宋体" w:cs="Times New Roman"/>
                <w:highlight w:val="none"/>
              </w:rPr>
              <w:t xml:space="preserve"> 总价 </w:t>
            </w:r>
            <w:r/>
          </w:p>
        </w:tc>
      </w:tr>
      <w:tr>
        <w:trPr>
          <w:trHeight w:val="5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eastAsia" w:ascii="宋体" w:hAnsi="宋体" w:eastAsia="宋体" w:cs="Times New Roman"/>
                <w:b/>
                <w:highlight w:val="none"/>
              </w:rPr>
              <w:t xml:space="preserve">1</w:t>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b/>
                <w:highlight w:val="none"/>
              </w:rPr>
            </w:pPr>
            <w:r>
              <w:rPr>
                <w:rFonts w:hint="eastAsia" w:ascii="宋体" w:hAnsi="宋体" w:eastAsia="宋体" w:cs="Times New Roman"/>
                <w:b/>
                <w:highlight w:val="none"/>
              </w:rPr>
              <w:t xml:space="preserve">物业管理服务人员工资、社保等费用</w:t>
            </w:r>
            <w:r/>
          </w:p>
        </w:tc>
        <w:tc>
          <w:tcPr>
            <w:gridSpan w:val="5"/>
            <w:tcW w:w="2733"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eastAsia" w:ascii="宋体" w:hAnsi="宋体" w:eastAsia="宋体" w:cs="Times New Roman"/>
                <w:b/>
                <w:highlight w:val="none"/>
              </w:rPr>
              <w:t xml:space="preserve"> </w:t>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eastAsia" w:ascii="宋体" w:hAnsi="宋体" w:eastAsia="宋体" w:cs="Times New Roman"/>
                <w:highlight w:val="none"/>
              </w:rPr>
              <w:t xml:space="preserve">1.1　</w:t>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t xml:space="preserve">基本工资</w:t>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t xml:space="preserve">项目负责人（项目经理）</w:t>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highlight w:val="none"/>
              </w:rPr>
            </w:pPr>
            <w:r>
              <w:rPr>
                <w:rFonts w:hint="eastAsia" w:ascii="宋体" w:hAnsi="宋体" w:eastAsia="宋体" w:cs="Times New Roman"/>
                <w:highlight w:val="none"/>
                <w:lang w:val="en-US" w:eastAsia="zh-CN"/>
              </w:rPr>
              <w:t xml:space="preserve">社区</w:t>
            </w:r>
            <w:r>
              <w:rPr>
                <w:rFonts w:hint="default" w:ascii="宋体" w:hAnsi="宋体" w:eastAsia="宋体" w:cs="Times New Roman"/>
                <w:highlight w:val="none"/>
              </w:rPr>
              <w:t xml:space="preserve">负责人</w:t>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t xml:space="preserve">保洁员</w:t>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t xml:space="preserve">安保人员</w:t>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t xml:space="preserve">水电维修工</w:t>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shd w:val="clear" w:color="auto" w:fill="auto"/>
            <w:tcW w:w="997" w:type="dxa"/>
            <w:vAlign w:val="center"/>
            <w:textDirection w:val="lrTb"/>
            <w:noWrap w:val="false"/>
          </w:tcPr>
          <w:p>
            <w:pPr>
              <w:jc w:val="center"/>
              <w:keepLines w:val="0"/>
              <w:keepNext w:val="0"/>
              <w:pageBreakBefore w:val="0"/>
              <w:spacing w:line="240" w:lineRule="auto"/>
              <w:widowControl/>
              <w:rPr>
                <w:rFonts w:hint="eastAsia" w:ascii="宋体" w:hAnsi="宋体" w:eastAsia="宋体" w:cs="Times New Roman"/>
                <w:sz w:val="21"/>
                <w:szCs w:val="24"/>
                <w:highlight w:val="none"/>
                <w:lang w:val="en-US" w:eastAsia="zh-CN" w:bidi="ar-SA"/>
              </w:rPr>
            </w:pPr>
            <w:r>
              <w:rPr>
                <w:rFonts w:hint="eastAsia" w:ascii="宋体" w:hAnsi="宋体" w:eastAsia="宋体" w:cs="Times New Roman"/>
                <w:highlight w:val="none"/>
              </w:rPr>
              <w:t xml:space="preserve">1.</w:t>
            </w:r>
            <w:r>
              <w:rPr>
                <w:rFonts w:hint="eastAsia" w:ascii="宋体" w:hAnsi="宋体" w:eastAsia="宋体" w:cs="Times New Roman"/>
                <w:highlight w:val="none"/>
                <w:lang w:val="en-US" w:eastAsia="zh-CN"/>
              </w:rPr>
              <w:t xml:space="preserve">2</w:t>
            </w:r>
            <w:r/>
          </w:p>
        </w:tc>
        <w:tc>
          <w:tcPr>
            <w:shd w:val="clear" w:color="auto" w:fill="auto"/>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sz w:val="21"/>
                <w:szCs w:val="24"/>
                <w:highlight w:val="none"/>
                <w:lang w:val="en-US" w:eastAsia="zh-CN" w:bidi="ar-SA"/>
              </w:rPr>
            </w:pPr>
            <w:r>
              <w:rPr>
                <w:rFonts w:hint="default" w:ascii="宋体" w:hAnsi="宋体" w:eastAsia="宋体" w:cs="Times New Roman"/>
                <w:highlight w:val="none"/>
              </w:rPr>
              <w:t xml:space="preserve">社保</w:t>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eastAsia" w:ascii="宋体" w:hAnsi="宋体" w:eastAsia="宋体" w:cs="Times New Roman"/>
                <w:b/>
                <w:highlight w:val="none"/>
              </w:rPr>
              <w:t xml:space="preserve">2</w:t>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b/>
                <w:highlight w:val="none"/>
              </w:rPr>
            </w:pPr>
            <w:r>
              <w:rPr>
                <w:rFonts w:hint="eastAsia" w:ascii="宋体" w:hAnsi="宋体" w:eastAsia="宋体" w:cs="Times New Roman"/>
                <w:b/>
                <w:highlight w:val="none"/>
              </w:rPr>
              <w:t xml:space="preserve">综合管理杂费</w:t>
            </w:r>
            <w:r/>
          </w:p>
        </w:tc>
        <w:tc>
          <w:tcPr>
            <w:gridSpan w:val="5"/>
            <w:tcW w:w="2733"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3295" w:type="dxa"/>
            <w:vAlign w:val="center"/>
            <w:textDirection w:val="lrTb"/>
            <w:noWrap w:val="false"/>
          </w:tcPr>
          <w:p>
            <w:pPr>
              <w:jc w:val="left"/>
              <w:keepLines w:val="0"/>
              <w:keepNext w:val="0"/>
              <w:pageBreakBefore w:val="0"/>
              <w:spacing w:line="240" w:lineRule="auto"/>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7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gridSpan w:val="2"/>
            <w:tcW w:w="820"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94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3295" w:type="dxa"/>
            <w:vAlign w:val="center"/>
            <w:textDirection w:val="lrTb"/>
            <w:noWrap w:val="false"/>
          </w:tcPr>
          <w:p>
            <w:pPr>
              <w:jc w:val="left"/>
              <w:keepLines w:val="0"/>
              <w:keepNext w:val="0"/>
              <w:pageBreakBefore w:val="0"/>
              <w:spacing w:line="240" w:lineRule="auto"/>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7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gridSpan w:val="2"/>
            <w:tcW w:w="820"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94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r>
      <w:tr>
        <w:trPr>
          <w:trHeight w:val="28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3295" w:type="dxa"/>
            <w:vAlign w:val="center"/>
            <w:textDirection w:val="lrTb"/>
            <w:noWrap w:val="false"/>
          </w:tcPr>
          <w:p>
            <w:pPr>
              <w:jc w:val="left"/>
              <w:keepLines w:val="0"/>
              <w:keepNext w:val="0"/>
              <w:pageBreakBefore w:val="0"/>
              <w:spacing w:line="240" w:lineRule="auto"/>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7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gridSpan w:val="2"/>
            <w:tcW w:w="820"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94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r>
      <w:tr>
        <w:trPr>
          <w:trHeight w:val="305"/>
        </w:trPr>
        <w:tc>
          <w:tcPr>
            <w:tcW w:w="997" w:type="dxa"/>
            <w:vAlign w:val="center"/>
            <w:textDirection w:val="lrTb"/>
            <w:noWrap w:val="false"/>
          </w:tcPr>
          <w:p>
            <w:pPr>
              <w:jc w:val="center"/>
              <w:keepLines w:val="0"/>
              <w:keepNext w:val="0"/>
              <w:pageBreakBefore w:val="0"/>
              <w:spacing w:line="240" w:lineRule="auto"/>
              <w:rPr>
                <w:rFonts w:hint="default" w:ascii="宋体" w:hAnsi="宋体" w:eastAsia="宋体" w:cs="Times New Roman"/>
                <w:b/>
                <w:highlight w:val="none"/>
              </w:rPr>
            </w:pPr>
            <w:r>
              <w:rPr>
                <w:rFonts w:hint="eastAsia" w:ascii="宋体" w:hAnsi="宋体" w:eastAsia="宋体" w:cs="Times New Roman"/>
                <w:b/>
                <w:highlight w:val="none"/>
              </w:rPr>
              <w:t xml:space="preserve">3</w:t>
            </w:r>
            <w:r/>
          </w:p>
        </w:tc>
        <w:tc>
          <w:tcPr>
            <w:tcW w:w="3295" w:type="dxa"/>
            <w:vAlign w:val="center"/>
            <w:textDirection w:val="lrTb"/>
            <w:noWrap w:val="false"/>
          </w:tcPr>
          <w:p>
            <w:pPr>
              <w:jc w:val="left"/>
              <w:keepLines w:val="0"/>
              <w:keepNext w:val="0"/>
              <w:pageBreakBefore w:val="0"/>
              <w:spacing w:line="240" w:lineRule="auto"/>
              <w:rPr>
                <w:rFonts w:hint="default" w:ascii="宋体" w:hAnsi="宋体" w:eastAsia="宋体" w:cs="Times New Roman"/>
                <w:b/>
                <w:highlight w:val="none"/>
              </w:rPr>
            </w:pPr>
            <w:r>
              <w:rPr>
                <w:rFonts w:hint="eastAsia" w:ascii="宋体" w:hAnsi="宋体" w:eastAsia="宋体" w:cs="Times New Roman"/>
                <w:b/>
                <w:highlight w:val="none"/>
              </w:rPr>
              <w:t xml:space="preserve">其他费用</w:t>
            </w:r>
            <w:r/>
          </w:p>
        </w:tc>
        <w:tc>
          <w:tcPr>
            <w:tcW w:w="966" w:type="dxa"/>
            <w:vAlign w:val="center"/>
            <w:textDirection w:val="lrTb"/>
            <w:noWrap w:val="false"/>
          </w:tcPr>
          <w:p>
            <w:pPr>
              <w:jc w:val="center"/>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c>
          <w:tcPr>
            <w:gridSpan w:val="2"/>
            <w:tcW w:w="816" w:type="dxa"/>
            <w:vAlign w:val="center"/>
            <w:textDirection w:val="lrTb"/>
            <w:noWrap w:val="false"/>
          </w:tcPr>
          <w:p>
            <w:pPr>
              <w:jc w:val="center"/>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c>
          <w:tcPr>
            <w:gridSpan w:val="2"/>
            <w:tcW w:w="951" w:type="dxa"/>
            <w:vAlign w:val="center"/>
            <w:textDirection w:val="lrTb"/>
            <w:noWrap w:val="false"/>
          </w:tcPr>
          <w:p>
            <w:pPr>
              <w:jc w:val="left"/>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c>
          <w:tcPr>
            <w:tcW w:w="1632" w:type="dxa"/>
            <w:vAlign w:val="center"/>
            <w:textDirection w:val="lrTb"/>
            <w:noWrap w:val="false"/>
          </w:tcPr>
          <w:p>
            <w:pPr>
              <w:jc w:val="left"/>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r>
      <w:tr>
        <w:trPr>
          <w:trHeight w:val="305"/>
        </w:trPr>
        <w:tc>
          <w:tcPr>
            <w:tcW w:w="997" w:type="dxa"/>
            <w:vAlign w:val="center"/>
            <w:textDirection w:val="lrTb"/>
            <w:noWrap w:val="false"/>
          </w:tcPr>
          <w:p>
            <w:pPr>
              <w:jc w:val="center"/>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c>
          <w:tcPr>
            <w:tcW w:w="3295" w:type="dxa"/>
            <w:vAlign w:val="center"/>
            <w:textDirection w:val="lrTb"/>
            <w:noWrap w:val="false"/>
          </w:tcPr>
          <w:p>
            <w:pPr>
              <w:jc w:val="left"/>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c>
          <w:tcPr>
            <w:tcW w:w="966" w:type="dxa"/>
            <w:vAlign w:val="center"/>
            <w:textDirection w:val="lrTb"/>
            <w:noWrap w:val="false"/>
          </w:tcPr>
          <w:p>
            <w:pPr>
              <w:jc w:val="center"/>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c>
          <w:tcPr>
            <w:gridSpan w:val="2"/>
            <w:tcW w:w="816" w:type="dxa"/>
            <w:vAlign w:val="center"/>
            <w:textDirection w:val="lrTb"/>
            <w:noWrap w:val="false"/>
          </w:tcPr>
          <w:p>
            <w:pPr>
              <w:jc w:val="center"/>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c>
          <w:tcPr>
            <w:gridSpan w:val="2"/>
            <w:tcW w:w="951" w:type="dxa"/>
            <w:vAlign w:val="center"/>
            <w:textDirection w:val="lrTb"/>
            <w:noWrap w:val="false"/>
          </w:tcPr>
          <w:p>
            <w:pPr>
              <w:jc w:val="left"/>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c>
          <w:tcPr>
            <w:tcW w:w="1632" w:type="dxa"/>
            <w:vAlign w:val="center"/>
            <w:textDirection w:val="lrTb"/>
            <w:noWrap w:val="false"/>
          </w:tcPr>
          <w:p>
            <w:pPr>
              <w:jc w:val="left"/>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r>
      <w:tr>
        <w:trPr>
          <w:trHeight w:val="305"/>
        </w:trPr>
        <w:tc>
          <w:tcPr>
            <w:tcW w:w="997"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eastAsia" w:ascii="宋体" w:hAnsi="宋体" w:eastAsia="宋体" w:cs="Times New Roman"/>
                <w:b/>
                <w:highlight w:val="none"/>
              </w:rPr>
              <w:t xml:space="preserve">4</w:t>
            </w:r>
            <w:r/>
          </w:p>
        </w:tc>
        <w:tc>
          <w:tcPr>
            <w:tcW w:w="3295" w:type="dxa"/>
            <w:vAlign w:val="center"/>
            <w:textDirection w:val="lrTb"/>
            <w:noWrap w:val="false"/>
          </w:tcPr>
          <w:p>
            <w:pPr>
              <w:jc w:val="left"/>
              <w:keepLines w:val="0"/>
              <w:keepNext w:val="0"/>
              <w:pageBreakBefore w:val="0"/>
              <w:spacing w:line="240" w:lineRule="auto"/>
              <w:widowControl/>
              <w:rPr>
                <w:rFonts w:hint="default" w:ascii="宋体" w:hAnsi="宋体" w:eastAsia="宋体" w:cs="Times New Roman"/>
                <w:b/>
                <w:highlight w:val="none"/>
              </w:rPr>
            </w:pPr>
            <w:r>
              <w:rPr>
                <w:rFonts w:hint="eastAsia" w:ascii="宋体" w:hAnsi="宋体" w:eastAsia="宋体" w:cs="Times New Roman"/>
                <w:b/>
                <w:highlight w:val="none"/>
              </w:rPr>
              <w:t xml:space="preserve">法定税费</w:t>
            </w:r>
            <w:r/>
          </w:p>
        </w:tc>
        <w:tc>
          <w:tcPr>
            <w:tcW w:w="96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gridSpan w:val="2"/>
            <w:tcW w:w="951" w:type="dxa"/>
            <w:vAlign w:val="center"/>
            <w:textDirection w:val="lrTb"/>
            <w:noWrap w:val="false"/>
          </w:tcPr>
          <w:p>
            <w:pPr>
              <w:jc w:val="center"/>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c>
          <w:tcPr>
            <w:tcW w:w="1632" w:type="dxa"/>
            <w:vAlign w:val="center"/>
            <w:textDirection w:val="lrTb"/>
            <w:noWrap w:val="false"/>
          </w:tcPr>
          <w:p>
            <w:pPr>
              <w:jc w:val="left"/>
              <w:keepLines w:val="0"/>
              <w:keepNext w:val="0"/>
              <w:pageBreakBefore w:val="0"/>
              <w:spacing w:line="240" w:lineRule="auto"/>
              <w:rPr>
                <w:rFonts w:hint="default" w:ascii="宋体" w:hAnsi="宋体" w:eastAsia="宋体" w:cs="Times New Roman"/>
                <w:b/>
                <w:highlight w:val="none"/>
              </w:rPr>
            </w:pPr>
            <w:r>
              <w:rPr>
                <w:rFonts w:hint="default" w:ascii="宋体" w:hAnsi="宋体" w:eastAsia="宋体" w:cs="Times New Roman"/>
                <w:b/>
                <w:highlight w:val="none"/>
              </w:rPr>
            </w:r>
            <w:r/>
          </w:p>
        </w:tc>
      </w:tr>
      <w:tr>
        <w:trPr>
          <w:trHeight w:val="305"/>
        </w:trPr>
        <w:tc>
          <w:tcPr>
            <w:gridSpan w:val="2"/>
            <w:tcW w:w="429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lang w:val="en-US" w:eastAsia="zh-CN"/>
              </w:rPr>
            </w:pPr>
            <w:r>
              <w:rPr>
                <w:rFonts w:hint="eastAsia" w:ascii="宋体" w:hAnsi="宋体" w:eastAsia="宋体" w:cs="Times New Roman"/>
                <w:b/>
                <w:highlight w:val="none"/>
              </w:rPr>
              <w:t xml:space="preserve">投标总报价（1+2+3+4）</w:t>
            </w:r>
            <w:r>
              <w:rPr>
                <w:rFonts w:hint="eastAsia" w:ascii="宋体" w:hAnsi="宋体" w:eastAsia="宋体" w:cs="Times New Roman"/>
                <w:b/>
                <w:highlight w:val="yellow"/>
                <w:lang w:val="en-US" w:eastAsia="zh-CN"/>
              </w:rPr>
              <w:t xml:space="preserve">*2年</w:t>
            </w:r>
            <w:r/>
          </w:p>
        </w:tc>
        <w:tc>
          <w:tcPr>
            <w:tcW w:w="966" w:type="dxa"/>
            <w:vAlign w:val="top"/>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816"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c>
          <w:tcPr>
            <w:gridSpan w:val="2"/>
            <w:tcW w:w="951"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b/>
                <w:highlight w:val="none"/>
              </w:rPr>
            </w:pPr>
            <w:r>
              <w:rPr>
                <w:rFonts w:hint="default" w:ascii="宋体" w:hAnsi="宋体" w:eastAsia="宋体" w:cs="Times New Roman"/>
                <w:b/>
                <w:highlight w:val="none"/>
              </w:rPr>
            </w:r>
            <w:r/>
          </w:p>
        </w:tc>
        <w:tc>
          <w:tcPr>
            <w:tcW w:w="1632" w:type="dxa"/>
            <w:vAlign w:val="center"/>
            <w:textDirection w:val="lrTb"/>
            <w:noWrap w:val="false"/>
          </w:tcPr>
          <w:p>
            <w:pPr>
              <w:jc w:val="center"/>
              <w:keepLines w:val="0"/>
              <w:keepNext w:val="0"/>
              <w:pageBreakBefore w:val="0"/>
              <w:spacing w:line="240" w:lineRule="auto"/>
              <w:widowControl/>
              <w:rPr>
                <w:rFonts w:hint="default" w:ascii="宋体" w:hAnsi="宋体" w:eastAsia="宋体" w:cs="Times New Roman"/>
                <w:highlight w:val="none"/>
              </w:rPr>
            </w:pPr>
            <w:r>
              <w:rPr>
                <w:rFonts w:hint="default" w:ascii="宋体" w:hAnsi="宋体" w:eastAsia="宋体" w:cs="Times New Roman"/>
                <w:highlight w:val="none"/>
              </w:rPr>
            </w:r>
            <w:r/>
          </w:p>
        </w:tc>
      </w:tr>
    </w:tbl>
    <w:p>
      <w:pPr>
        <w:ind w:firstLine="470"/>
        <w:spacing w:line="360" w:lineRule="auto"/>
        <w:rPr>
          <w:rFonts w:hint="default" w:ascii="Calibri" w:hAnsi="Calibri" w:eastAsia="宋体" w:cs="Times New Roman"/>
        </w:rPr>
      </w:pPr>
      <w:r>
        <w:rPr>
          <w:rFonts w:hint="eastAsia" w:ascii="宋体" w:hAnsi="宋体" w:eastAsia="宋体" w:cs="Times New Roman"/>
          <w:b/>
          <w:sz w:val="24"/>
        </w:rPr>
        <w:t xml:space="preserve">投标人</w:t>
      </w:r>
      <w:r>
        <w:rPr>
          <w:rFonts w:hint="eastAsia" w:ascii="宋体" w:hAnsi="Arial" w:eastAsia="宋体" w:cs="宋体"/>
          <w:b/>
          <w:bCs/>
          <w:sz w:val="24"/>
          <w:lang w:val="zh-CN"/>
        </w:rPr>
        <w:t xml:space="preserve">所提供人员的费用不得低于上述标准进行测算，</w:t>
      </w:r>
      <w:r>
        <w:rPr>
          <w:rFonts w:hint="eastAsia" w:ascii="宋体" w:hAnsi="宋体" w:eastAsia="宋体" w:cs="Times New Roman"/>
          <w:b/>
          <w:sz w:val="24"/>
        </w:rPr>
        <w:t xml:space="preserve">否则</w:t>
      </w:r>
      <w:r>
        <w:rPr>
          <w:rFonts w:hint="eastAsia" w:ascii="宋体" w:hAnsi="Arial" w:eastAsia="宋体" w:cs="宋体"/>
          <w:b/>
          <w:bCs/>
          <w:sz w:val="24"/>
          <w:lang w:val="zh-CN"/>
        </w:rPr>
        <w:t xml:space="preserve">视为未实质性响应招标文件要求</w:t>
      </w:r>
      <w:r>
        <w:rPr>
          <w:rFonts w:hint="eastAsia" w:ascii="宋体" w:hAnsi="宋体" w:eastAsia="宋体" w:cs="Times New Roman"/>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360" w:lineRule="auto"/>
        <w:rPr>
          <w:rFonts w:ascii="宋体" w:hAnsi="宋体"/>
          <w:b/>
          <w:color w:val="auto"/>
          <w:sz w:val="24"/>
          <w:highlight w:val="none"/>
        </w:rPr>
      </w:pPr>
      <w:r>
        <w:rPr>
          <w:rFonts w:ascii="宋体" w:hAnsi="宋体"/>
          <w:b/>
          <w:color w:val="auto"/>
          <w:sz w:val="24"/>
          <w:highlight w:val="none"/>
        </w:rPr>
      </w:r>
      <w:r/>
    </w:p>
    <w:p>
      <w:pPr>
        <w:ind w:firstLine="470"/>
        <w:spacing w:line="360" w:lineRule="auto"/>
        <w:rPr>
          <w:rFonts w:ascii="宋体" w:hAnsi="宋体"/>
          <w:b/>
          <w:color w:val="auto"/>
          <w:sz w:val="24"/>
          <w:highlight w:val="none"/>
        </w:rPr>
      </w:pPr>
      <w:r>
        <w:rPr>
          <w:rFonts w:ascii="宋体" w:hAnsi="宋体"/>
          <w:b/>
          <w:color w:val="auto"/>
          <w:sz w:val="24"/>
          <w:highlight w:val="none"/>
        </w:rPr>
      </w:r>
      <w:r/>
    </w:p>
    <w:p>
      <w:pPr>
        <w:pStyle w:val="648"/>
        <w:jc w:val="center"/>
        <w:spacing w:beforeAutospacing="0" w:afterAutospacing="0"/>
        <w:rPr>
          <w:color w:val="ff0000"/>
          <w:highlight w:val="none"/>
        </w:rPr>
      </w:pPr>
      <w:r>
        <w:rPr>
          <w:color w:val="ff0000"/>
          <w:highlight w:val="none"/>
        </w:rPr>
        <w:t xml:space="preserve"> </w:t>
      </w:r>
      <w:r/>
    </w:p>
    <w:p>
      <w:pPr>
        <w:pStyle w:val="648"/>
        <w:jc w:val="center"/>
        <w:spacing w:beforeAutospacing="0" w:afterAutospacing="0"/>
        <w:rPr>
          <w:color w:val="auto"/>
          <w:highlight w:val="none"/>
        </w:rPr>
      </w:pPr>
      <w:r>
        <w:rPr>
          <w:color w:val="auto"/>
          <w:highlight w:val="none"/>
        </w:rPr>
        <w:t xml:space="preserve"> </w:t>
      </w:r>
      <w:r/>
    </w:p>
    <w:p>
      <w:pPr>
        <w:pStyle w:val="648"/>
        <w:jc w:val="center"/>
        <w:spacing w:beforeAutospacing="0" w:afterAutospacing="0"/>
        <w:rPr>
          <w:color w:val="auto"/>
          <w:highlight w:val="none"/>
        </w:rPr>
      </w:pPr>
      <w:r>
        <w:rPr>
          <w:color w:val="auto"/>
          <w:highlight w:val="none"/>
        </w:rPr>
      </w:r>
      <w:r/>
    </w:p>
    <w:p>
      <w:pPr>
        <w:pStyle w:val="648"/>
        <w:jc w:val="center"/>
        <w:spacing w:beforeAutospacing="0" w:afterAutospacing="0"/>
        <w:rPr>
          <w:color w:val="auto"/>
          <w:highlight w:val="none"/>
        </w:rPr>
      </w:pPr>
      <w:r>
        <w:rPr>
          <w:color w:val="auto"/>
          <w:highlight w:val="none"/>
        </w:rPr>
      </w:r>
      <w:r/>
    </w:p>
    <w:p>
      <w:pPr>
        <w:pStyle w:val="648"/>
        <w:jc w:val="center"/>
        <w:spacing w:beforeAutospacing="0" w:afterAutospacing="0"/>
        <w:rPr>
          <w:color w:val="auto"/>
          <w:highlight w:val="none"/>
        </w:rPr>
      </w:pPr>
      <w:r>
        <w:rPr>
          <w:color w:val="auto"/>
          <w:highlight w:val="none"/>
        </w:rPr>
      </w:r>
      <w:r/>
    </w:p>
    <w:p>
      <w:pPr>
        <w:pStyle w:val="648"/>
        <w:jc w:val="center"/>
        <w:spacing w:beforeAutospacing="0" w:afterAutospacing="0"/>
        <w:rPr>
          <w:color w:val="auto"/>
          <w:highlight w:val="none"/>
        </w:rPr>
      </w:pPr>
      <w:r>
        <w:rPr>
          <w:color w:val="auto"/>
          <w:highlight w:val="none"/>
        </w:rPr>
      </w:r>
      <w:r/>
    </w:p>
    <w:p>
      <w:pPr>
        <w:pStyle w:val="648"/>
        <w:jc w:val="center"/>
        <w:spacing w:beforeAutospacing="0" w:afterAutospacing="0"/>
        <w:rPr>
          <w:color w:val="auto"/>
          <w:highlight w:val="none"/>
        </w:rPr>
      </w:pPr>
      <w:r>
        <w:rPr>
          <w:color w:val="auto"/>
          <w:highlight w:val="none"/>
        </w:rPr>
      </w:r>
      <w:r/>
    </w:p>
    <w:p>
      <w:pPr>
        <w:pStyle w:val="648"/>
        <w:jc w:val="center"/>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48"/>
        <w:jc w:val="center"/>
        <w:spacing w:beforeAutospacing="0" w:afterAutospacing="0"/>
        <w:rPr>
          <w:color w:val="auto"/>
          <w:highlight w:val="none"/>
        </w:rPr>
      </w:pPr>
      <w:r>
        <w:rPr>
          <w:color w:val="auto"/>
          <w:highlight w:val="none"/>
        </w:rPr>
      </w:r>
      <w:r/>
    </w:p>
    <w:p>
      <w:pPr>
        <w:pStyle w:val="648"/>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、技术要求响应及偏离表（分包号：**）</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bl>
    <w:p>
      <w:pPr>
        <w:pStyle w:val="64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48"/>
        <w:jc w:val="center"/>
        <w:spacing w:beforeAutospacing="0" w:afterAutospacing="0"/>
        <w:rPr>
          <w:color w:val="auto"/>
          <w:highlight w:val="none"/>
        </w:rPr>
      </w:pPr>
      <w:r>
        <w:rPr>
          <w:color w:val="auto"/>
          <w:highlight w:val="none"/>
        </w:rPr>
        <w:t xml:space="preserve"> </w:t>
      </w:r>
      <w:r/>
    </w:p>
    <w:p>
      <w:pPr>
        <w:pStyle w:val="648"/>
        <w:jc w:val="center"/>
        <w:spacing w:beforeAutospacing="0" w:afterAutospacing="0"/>
        <w:rPr>
          <w:color w:val="auto"/>
          <w:highlight w:val="none"/>
        </w:rPr>
      </w:pPr>
      <w:r>
        <w:rPr>
          <w:color w:val="auto"/>
          <w:highlight w:val="none"/>
        </w:rPr>
        <w:t xml:space="preserve"> </w:t>
      </w:r>
      <w:r/>
    </w:p>
    <w:p>
      <w:pPr>
        <w:pStyle w:val="648"/>
        <w:jc w:val="center"/>
        <w:spacing w:beforeAutospacing="0" w:afterAutospacing="0"/>
        <w:rPr>
          <w:color w:val="auto"/>
          <w:highlight w:val="none"/>
        </w:rPr>
      </w:pPr>
      <w:r>
        <w:rPr>
          <w:color w:val="auto"/>
          <w:highlight w:val="none"/>
        </w:rPr>
        <w:t xml:space="preserve"> </w:t>
      </w:r>
      <w:r/>
    </w:p>
    <w:p>
      <w:pPr>
        <w:pStyle w:val="648"/>
        <w:jc w:val="center"/>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648"/>
        <w:jc w:val="both"/>
        <w:spacing w:beforeAutospacing="0" w:afterAutospacing="0"/>
        <w:rPr>
          <w:color w:val="auto"/>
          <w:highlight w:val="none"/>
        </w:rPr>
      </w:pPr>
      <w:r>
        <w:rPr>
          <w:color w:val="auto"/>
          <w:highlight w:val="none"/>
        </w:rPr>
      </w:r>
      <w:r/>
    </w:p>
    <w:p>
      <w:pPr>
        <w:pStyle w:val="648"/>
        <w:jc w:val="center"/>
        <w:spacing w:beforeAutospacing="0" w:afterAutospacing="0"/>
        <w:rPr>
          <w:color w:val="auto"/>
          <w:highlight w:val="none"/>
        </w:rPr>
      </w:pPr>
      <w:r/>
      <w:bookmarkStart w:id="194"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、商务要求响应及偏离表（分包号：**）</w:t>
      </w:r>
      <w:r/>
    </w:p>
    <w:tbl>
      <w:tblPr>
        <w:tblStyle w:val="64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color w:val="auto"/>
                <w:highlight w:val="none"/>
              </w:rPr>
            </w:pPr>
            <w:r/>
            <w:bookmarkStart w:id="195" w:name="_Hlt26671343"/>
            <w:r/>
            <w:bookmarkStart w:id="196" w:name="_Hlt24879081"/>
            <w:r/>
            <w:bookmarkStart w:id="197" w:name="_Hlt26580838"/>
            <w:r/>
            <w:bookmarkStart w:id="198" w:name="_Hlt26609391"/>
            <w:r/>
            <w:bookmarkStart w:id="199" w:name="_Hlt26782999"/>
            <w:r/>
            <w:bookmarkStart w:id="200" w:name="_Hlt26955056"/>
            <w:r/>
            <w:bookmarkStart w:id="201" w:name="_Hlt26955064"/>
            <w:r/>
            <w:bookmarkStart w:id="202" w:name="_Hlt26671372"/>
            <w:r>
              <w:rPr>
                <w:rFonts w:hint="eastAsia" w:ascii="宋体" w:hAnsi="宋体" w:eastAsia="宋体" w:cs="宋体"/>
                <w:color w:val="auto"/>
                <w:highlight w:val="none"/>
              </w:rPr>
              <w:t xml:space="preserve">序号</w:t>
            </w:r>
            <w:bookmarkEnd w:id="195"/>
            <w:bookmarkEnd w:id="196"/>
            <w:bookmarkEnd w:id="197"/>
            <w:bookmarkEnd w:id="198"/>
            <w:bookmarkEnd w:id="199"/>
            <w:bookmarkEnd w:id="200"/>
            <w:bookmarkEnd w:id="201"/>
            <w:bookmarkEnd w:id="202"/>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8"/>
              <w:jc w:val="center"/>
              <w:spacing w:beforeAutospacing="0" w:afterAutospacing="0"/>
              <w:rPr>
                <w:color w:val="auto"/>
                <w:highlight w:val="none"/>
              </w:rPr>
            </w:pPr>
            <w:r>
              <w:rPr>
                <w:color w:val="auto"/>
                <w:highlight w:val="none"/>
              </w:rPr>
              <w:t xml:space="preserve"> </w:t>
            </w:r>
            <w:r/>
          </w:p>
        </w:tc>
      </w:tr>
    </w:tbl>
    <w:p>
      <w:pPr>
        <w:pStyle w:val="648"/>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48"/>
        <w:jc w:val="both"/>
        <w:spacing w:beforeAutospacing="0" w:afterAutospacing="0" w:line="480" w:lineRule="auto"/>
        <w:rPr>
          <w:color w:val="auto"/>
          <w:highlight w:val="none"/>
        </w:rPr>
      </w:pPr>
      <w:r>
        <w:rPr>
          <w:color w:val="auto"/>
          <w:highlight w:val="none"/>
        </w:rPr>
        <w:t xml:space="preserve"> </w:t>
      </w:r>
      <w:r/>
    </w:p>
    <w:p>
      <w:pPr>
        <w:pStyle w:val="648"/>
        <w:jc w:val="both"/>
        <w:spacing w:beforeAutospacing="0" w:afterAutospacing="0" w:line="480" w:lineRule="auto"/>
        <w:rPr>
          <w:color w:val="auto"/>
          <w:highlight w:val="none"/>
        </w:rPr>
      </w:pPr>
      <w:r>
        <w:rPr>
          <w:color w:val="auto"/>
          <w:highlight w:val="none"/>
        </w:rPr>
        <w:t xml:space="preserve"> </w:t>
      </w:r>
      <w:r/>
    </w:p>
    <w:p>
      <w:pPr>
        <w:pStyle w:val="648"/>
        <w:jc w:val="center"/>
        <w:spacing w:beforeAutospacing="0" w:afterAutospacing="0"/>
        <w:rPr>
          <w:color w:val="auto"/>
          <w:highlight w:val="none"/>
        </w:rPr>
      </w:pPr>
      <w:r/>
      <w:bookmarkStart w:id="203" w:name="_Hlt26671374"/>
      <w:r/>
      <w:bookmarkStart w:id="204" w:name="_格式2__法定代表人授权书"/>
      <w:r/>
      <w:bookmarkStart w:id="205" w:name="_Toc462564146"/>
      <w:r/>
      <w:bookmarkStart w:id="206" w:name="_Hlt26609389"/>
      <w:r/>
      <w:bookmarkStart w:id="207" w:name="_Hlt26955066"/>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t xml:space="preserve"> </w:t>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color w:val="auto"/>
          <w:highlight w:val="none"/>
        </w:rPr>
      </w:r>
      <w:r/>
    </w:p>
    <w:p>
      <w:pPr>
        <w:pStyle w:val="648"/>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648"/>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48"/>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4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48"/>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4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8"/>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8"/>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48"/>
        <w:jc w:val="both"/>
        <w:spacing w:beforeAutospacing="0" w:afterAutospacing="0"/>
        <w:rPr>
          <w:color w:val="auto"/>
          <w:highlight w:val="none"/>
        </w:rPr>
      </w:pPr>
      <w:r>
        <w:rPr>
          <w:color w:val="auto"/>
          <w:highlight w:val="none"/>
        </w:rPr>
        <w:t xml:space="preserve"> </w:t>
      </w:r>
      <w:r/>
    </w:p>
    <w:p>
      <w:pPr>
        <w:pStyle w:val="648"/>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48"/>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、技术方案、服务承诺、培训承诺等</w:t>
      </w:r>
      <w:r/>
    </w:p>
    <w:p>
      <w:pPr>
        <w:pStyle w:val="648"/>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48"/>
        <w:jc w:val="center"/>
        <w:spacing w:beforeAutospacing="0" w:afterAutospacing="0"/>
        <w:rPr>
          <w:color w:val="auto"/>
          <w:highlight w:val="none"/>
        </w:rPr>
      </w:pPr>
      <w:r>
        <w:rPr>
          <w:color w:val="auto"/>
          <w:highlight w:val="none"/>
        </w:rPr>
      </w:r>
      <w:bookmarkEnd w:id="6"/>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4"/>
      <w:bookmarkEnd w:id="188"/>
      <w:bookmarkEnd w:id="189"/>
      <w:bookmarkEnd w:id="191"/>
      <w:bookmarkEnd w:id="192"/>
      <w:bookmarkEnd w:id="193"/>
      <w:bookmarkEnd w:id="194"/>
      <w:bookmarkEnd w:id="203"/>
      <w:bookmarkEnd w:id="204"/>
      <w:bookmarkEnd w:id="205"/>
      <w:bookmarkEnd w:id="206"/>
      <w:bookmarkEnd w:id="207"/>
      <w:r/>
    </w:p>
    <w:p>
      <w:pPr>
        <w:rPr>
          <w:color w:val="auto"/>
          <w:highlight w:val="none"/>
        </w:rPr>
      </w:pPr>
      <w:r>
        <w:rPr>
          <w:color w:val="auto"/>
          <w:highlight w:val="none"/>
        </w:rPr>
      </w:r>
      <w:r/>
    </w:p>
    <w:p>
      <w:pPr>
        <w:pStyle w:val="648"/>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48"/>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4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4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48"/>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48"/>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4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48"/>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5"/>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5"/>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9"/>
    <w:next w:val="6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1"/>
    <w:link w:val="12"/>
    <w:uiPriority w:val="9"/>
    <w:rPr>
      <w:rFonts w:ascii="Arial" w:hAnsi="Arial" w:eastAsia="Arial" w:cs="Arial"/>
      <w:sz w:val="40"/>
      <w:szCs w:val="40"/>
    </w:rPr>
  </w:style>
  <w:style w:type="character" w:styleId="15">
    <w:name w:val="Heading 2 Char"/>
    <w:basedOn w:val="641"/>
    <w:link w:val="640"/>
    <w:uiPriority w:val="9"/>
    <w:rPr>
      <w:rFonts w:ascii="Arial" w:hAnsi="Arial" w:eastAsia="Arial" w:cs="Arial"/>
      <w:sz w:val="34"/>
    </w:rPr>
  </w:style>
  <w:style w:type="paragraph" w:styleId="16">
    <w:name w:val="Heading 3"/>
    <w:basedOn w:val="639"/>
    <w:next w:val="6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1"/>
    <w:link w:val="16"/>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1"/>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1"/>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1"/>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1"/>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1"/>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1"/>
    <w:link w:val="28"/>
    <w:uiPriority w:val="9"/>
    <w:rPr>
      <w:rFonts w:ascii="Arial" w:hAnsi="Arial" w:eastAsia="Arial" w:cs="Arial"/>
      <w:i/>
      <w:iCs/>
      <w:sz w:val="21"/>
      <w:szCs w:val="21"/>
    </w:rPr>
  </w:style>
  <w:style w:type="paragraph" w:styleId="30">
    <w:name w:val="List Paragraph"/>
    <w:basedOn w:val="6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1"/>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1"/>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1"/>
    <w:link w:val="646"/>
    <w:uiPriority w:val="99"/>
  </w:style>
  <w:style w:type="character" w:styleId="44">
    <w:name w:val="Footer Char"/>
    <w:basedOn w:val="641"/>
    <w:link w:val="645"/>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645"/>
    <w:uiPriority w:val="99"/>
  </w:style>
  <w:style w:type="table" w:styleId="47">
    <w:name w:val="Table Grid"/>
    <w:basedOn w:val="64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1"/>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1"/>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next w:val="64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0">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1" w:default="1">
    <w:name w:val="Default Paragraph Font"/>
    <w:uiPriority w:val="1"/>
    <w:semiHidden/>
    <w:unhideWhenUsed/>
    <w:qFormat/>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customStyle="1">
    <w:name w:val="Default"/>
    <w:basedOn w:val="639"/>
    <w:uiPriority w:val="0"/>
    <w:semiHidden/>
    <w:qFormat/>
    <w:pPr>
      <w:jc w:val="left"/>
    </w:pPr>
    <w:rPr>
      <w:rFonts w:ascii="宋体" w:hAnsi="Calibri" w:cs="宋体"/>
      <w:color w:val="000000"/>
      <w:sz w:val="24"/>
    </w:rPr>
  </w:style>
  <w:style w:type="paragraph" w:styleId="644">
    <w:name w:val="Body Text Indent"/>
    <w:basedOn w:val="639"/>
    <w:uiPriority w:val="0"/>
    <w:qFormat/>
    <w:pPr>
      <w:ind w:firstLine="645"/>
    </w:pPr>
    <w:rPr>
      <w:rFonts w:ascii="楷体_GB2312" w:eastAsia="楷体_GB2312"/>
      <w:sz w:val="32"/>
      <w:szCs w:val="32"/>
    </w:rPr>
  </w:style>
  <w:style w:type="paragraph" w:styleId="645">
    <w:name w:val="Footer"/>
    <w:basedOn w:val="639"/>
    <w:link w:val="654"/>
    <w:uiPriority w:val="0"/>
    <w:qFormat/>
    <w:pPr>
      <w:jc w:val="left"/>
      <w:tabs>
        <w:tab w:val="center" w:pos="4153" w:leader="none"/>
        <w:tab w:val="right" w:pos="8306" w:leader="none"/>
      </w:tabs>
    </w:pPr>
    <w:rPr>
      <w:sz w:val="18"/>
      <w:szCs w:val="18"/>
    </w:rPr>
  </w:style>
  <w:style w:type="paragraph" w:styleId="646">
    <w:name w:val="Header"/>
    <w:basedOn w:val="639"/>
    <w:link w:val="653"/>
    <w:uiPriority w:val="0"/>
    <w:qFormat/>
    <w:pPr>
      <w:jc w:val="center"/>
      <w:tabs>
        <w:tab w:val="center" w:pos="4153" w:leader="none"/>
        <w:tab w:val="right" w:pos="8306" w:leader="none"/>
      </w:tabs>
      <w:pBdr>
        <w:bottom w:val="single" w:color="auto" w:sz="6" w:space="1"/>
      </w:pBdr>
    </w:pPr>
    <w:rPr>
      <w:sz w:val="18"/>
      <w:szCs w:val="18"/>
    </w:rPr>
  </w:style>
  <w:style w:type="paragraph" w:styleId="647">
    <w:name w:val="Body Text Indent 3"/>
    <w:basedOn w:val="639"/>
    <w:uiPriority w:val="0"/>
    <w:qFormat/>
    <w:pPr>
      <w:ind w:left="645" w:firstLine="645"/>
    </w:pPr>
    <w:rPr>
      <w:rFonts w:ascii="Arial" w:hAnsi="Arial" w:eastAsia="仿宋_GB2312" w:cs="Arial"/>
      <w:color w:val="ffff00"/>
      <w:sz w:val="32"/>
      <w:szCs w:val="32"/>
    </w:rPr>
  </w:style>
  <w:style w:type="paragraph" w:styleId="648">
    <w:name w:val="Normal (Web)"/>
    <w:basedOn w:val="639"/>
    <w:uiPriority w:val="0"/>
    <w:qFormat/>
    <w:pPr>
      <w:jc w:val="left"/>
      <w:spacing w:beforeAutospacing="1" w:afterAutospacing="1"/>
    </w:pPr>
    <w:rPr>
      <w:rFonts w:cs="Times New Roman"/>
      <w:sz w:val="24"/>
    </w:rPr>
  </w:style>
  <w:style w:type="paragraph" w:styleId="649">
    <w:name w:val="Body Text First Indent"/>
    <w:basedOn w:val="639"/>
    <w:next w:val="639"/>
    <w:uiPriority w:val="99"/>
    <w:unhideWhenUsed/>
    <w:qFormat/>
    <w:pPr>
      <w:ind w:firstLine="420"/>
    </w:pPr>
    <w:rPr>
      <w:rFonts w:ascii="Times New Roman" w:hAnsi="Times New Roman" w:eastAsia="宋体" w:cs="Times New Roman"/>
    </w:rPr>
  </w:style>
  <w:style w:type="character" w:styleId="650">
    <w:name w:val="Emphasis"/>
    <w:uiPriority w:val="0"/>
    <w:qFormat/>
    <w:rPr>
      <w:i/>
    </w:rPr>
  </w:style>
  <w:style w:type="paragraph" w:styleId="651" w:customStyle="1">
    <w:name w:val="4"/>
    <w:basedOn w:val="639"/>
    <w:next w:val="647"/>
    <w:uiPriority w:val="0"/>
    <w:qFormat/>
    <w:pPr>
      <w:ind w:firstLine="420"/>
      <w:spacing w:line="360" w:lineRule="auto"/>
    </w:pPr>
    <w:rPr>
      <w:color w:val="ff0000"/>
      <w:sz w:val="24"/>
    </w:rPr>
  </w:style>
  <w:style w:type="paragraph" w:styleId="652" w:customStyle="1">
    <w:name w:val="纯文本1"/>
    <w:basedOn w:val="639"/>
    <w:uiPriority w:val="0"/>
    <w:qFormat/>
    <w:rPr>
      <w:rFonts w:ascii="宋体" w:hAnsi="Courier New" w:eastAsia="楷体_GB2312"/>
      <w:sz w:val="28"/>
      <w:szCs w:val="20"/>
    </w:rPr>
  </w:style>
  <w:style w:type="character" w:styleId="653" w:customStyle="1">
    <w:name w:val="页眉 Char"/>
    <w:basedOn w:val="641"/>
    <w:link w:val="646"/>
    <w:uiPriority w:val="0"/>
    <w:qFormat/>
    <w:rPr>
      <w:sz w:val="18"/>
      <w:szCs w:val="18"/>
    </w:rPr>
  </w:style>
  <w:style w:type="character" w:styleId="654" w:customStyle="1">
    <w:name w:val="页脚 Char"/>
    <w:basedOn w:val="641"/>
    <w:link w:val="645"/>
    <w:uiPriority w:val="0"/>
    <w:qFormat/>
    <w:rPr>
      <w:sz w:val="18"/>
      <w:szCs w:val="18"/>
    </w:rPr>
  </w:style>
  <w:style w:type="paragraph" w:styleId="655"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656" w:customStyle="1">
    <w:name w:val="正文首行缩进 21"/>
    <w:basedOn w:val="657"/>
    <w:uiPriority w:val="0"/>
    <w:qFormat/>
    <w:pPr>
      <w:ind w:firstLine="420"/>
    </w:pPr>
  </w:style>
  <w:style w:type="paragraph" w:styleId="657" w:customStyle="1">
    <w:name w:val="正文文本缩进1"/>
    <w:basedOn w:val="639"/>
    <w:uiPriority w:val="0"/>
    <w:qFormat/>
    <w:pPr>
      <w:ind w:left="420"/>
      <w:spacing w:after="120"/>
    </w:pPr>
  </w:style>
  <w:style w:type="paragraph" w:styleId="658" w:customStyle="1">
    <w:name w:val="普通(网站)1"/>
    <w:basedOn w:val="639"/>
    <w:uiPriority w:val="99"/>
    <w:qFormat/>
    <w:pPr>
      <w:jc w:val="left"/>
      <w:spacing w:beforeAutospacing="1" w:afterAutospacing="1"/>
    </w:pPr>
    <w:rPr>
      <w:rFonts w:cs="Times New Roman"/>
      <w:sz w:val="24"/>
    </w:rPr>
  </w:style>
  <w:style w:type="paragraph" w:styleId="659" w:customStyle="1">
    <w:name w:val="文本块1"/>
    <w:uiPriority w:val="99"/>
    <w:qFormat/>
    <w:pPr>
      <w:ind w:left="1440" w:right="1440"/>
      <w:jc w:val="both"/>
      <w:spacing w:after="120"/>
      <w:widowControl w:val="off"/>
      <w:tabs>
        <w:tab w:val="left" w:pos="9000" w:leader="none"/>
      </w:tabs>
    </w:pPr>
    <w:rPr>
      <w:rFonts w:hint="default" w:ascii="Calibri" w:hAnsi="Calibri" w:eastAsia="宋体" w:cs="Times New Roman"/>
      <w:sz w:val="21"/>
      <w:szCs w:val="24"/>
      <w:lang w:val="en-US" w:eastAsia="zh-CN" w:bidi="ar-SA"/>
    </w:rPr>
  </w:style>
  <w:style w:type="paragraph" w:styleId="660" w:customStyle="1">
    <w:name w:val="表格"/>
    <w:basedOn w:val="639"/>
    <w:uiPriority w:val="0"/>
    <w:qFormat/>
    <w:pPr>
      <w:ind w:firstLine="0"/>
      <w:jc w:val="center"/>
      <w:spacing w:line="240" w:lineRule="auto"/>
    </w:pPr>
    <w:rPr>
      <w:sz w:val="24"/>
    </w:rPr>
  </w:style>
  <w:style w:type="numbering" w:styleId="655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丁亚东</cp:lastModifiedBy>
  <cp:revision>6</cp:revision>
  <dcterms:created xsi:type="dcterms:W3CDTF">2024-01-18T02:05:00Z</dcterms:created>
  <dcterms:modified xsi:type="dcterms:W3CDTF">2026-08-13T02:19:25Z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FA970AFDFC70456495BD74E39980671D_13</vt:lpwstr>
  </property>
  <property fmtid="{D5CDD505-2E9C-101B-9397-08002B2CF9AE}" pid="4" name="KSOTemplateDocerSaveRecord">
    <vt:lpwstr>eyJoZGlkIjoiOWRkMjE4Y2MyM2NjY2NmODlhYTZlYjQ3MDRlMTg5ZWMiLCJ1c2VySWQiOiI1Nzk3MzIxOTcifQ==</vt:lpwstr>
  </property>
</Properties>
</file>