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spacing w:before="120" w:beforeAutospacing="0" w:after="120" w:afterAutospacing="0" w:line="360" w:lineRule="auto"/>
        <w:widowControl/>
        <w:rPr>
          <w:color w:val="auto"/>
          <w:highlight w:val="none"/>
        </w:rPr>
      </w:pPr>
      <w:r>
        <w:rPr>
          <w:color w:val="auto"/>
          <w:highlight w:val="none"/>
        </w:rPr>
      </w:r>
      <w:r/>
    </w:p>
    <w:p>
      <w:pPr>
        <w:pStyle w:val="738"/>
        <w:spacing w:before="120" w:beforeAutospacing="0" w:after="120" w:afterAutospacing="0" w:line="360" w:lineRule="auto"/>
        <w:widowControl/>
        <w:rPr>
          <w:color w:val="auto"/>
          <w:highlight w:val="none"/>
        </w:rPr>
      </w:pPr>
      <w:r>
        <w:rPr>
          <w:color w:val="auto"/>
          <w:highlight w:val="none"/>
        </w:rPr>
      </w:r>
      <w:r/>
    </w:p>
    <w:p>
      <w:pPr>
        <w:pStyle w:val="738"/>
        <w:spacing w:before="120" w:beforeAutospacing="0" w:after="120" w:afterAutospacing="0" w:line="360" w:lineRule="auto"/>
        <w:widowControl/>
        <w:rPr>
          <w:color w:val="auto"/>
          <w:highlight w:val="none"/>
        </w:rPr>
      </w:pPr>
      <w:r>
        <w:rPr>
          <w:color w:val="auto"/>
          <w:highlight w:val="none"/>
        </w:rPr>
      </w:r>
      <w:r/>
    </w:p>
    <w:p>
      <w:pPr>
        <w:pStyle w:val="738"/>
        <w:jc w:val="center"/>
        <w:spacing w:line="360" w:lineRule="auto"/>
        <w:widowControl/>
        <w:rPr>
          <w:rFonts w:asciiTheme="minorEastAsia" w:hAnsiTheme="minorEastAsia" w:cstheme="minorEastAsia"/>
          <w:color w:val="auto"/>
          <w:highlight w:val="none"/>
        </w:rPr>
      </w:pPr>
      <w:r>
        <w:rPr>
          <w:rFonts w:hint="eastAsia" w:asciiTheme="minorEastAsia" w:hAnsiTheme="minorEastAsia" w:cstheme="minorEastAsia"/>
          <w:b/>
          <w:color w:val="auto"/>
          <w:sz w:val="84"/>
          <w:szCs w:val="84"/>
          <w:highlight w:val="none"/>
        </w:rPr>
        <w:t xml:space="preserve">招 标 文 件</w:t>
      </w:r>
      <w:r/>
    </w:p>
    <w:p>
      <w:pPr>
        <w:pStyle w:val="738"/>
        <w:jc w:val="both"/>
        <w:spacing w:before="120" w:beforeAutospacing="0" w:after="120" w:afterAutospacing="0" w:line="360" w:lineRule="auto"/>
        <w:widowControl/>
        <w:rPr>
          <w:rFonts w:ascii="Arial" w:hAnsi="Arial" w:cs="Arial"/>
          <w:b/>
          <w:color w:val="auto"/>
          <w:sz w:val="84"/>
          <w:szCs w:val="84"/>
          <w:highlight w:val="none"/>
        </w:rPr>
      </w:pPr>
      <w:r>
        <w:rPr>
          <w:rFonts w:ascii="Arial" w:hAnsi="Arial" w:cs="Arial"/>
          <w:b/>
          <w:color w:val="auto"/>
          <w:sz w:val="84"/>
          <w:szCs w:val="84"/>
          <w:highlight w:val="none"/>
        </w:rPr>
      </w:r>
      <w:r/>
    </w:p>
    <w:p>
      <w:pPr>
        <w:pStyle w:val="738"/>
        <w:jc w:val="center"/>
        <w:spacing w:before="120" w:beforeAutospacing="0" w:after="120" w:afterAutospacing="0" w:line="360" w:lineRule="auto"/>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项目编号：JSZC-320900-JZCG-G2026-0058</w:t>
      </w:r>
      <w:r/>
    </w:p>
    <w:p>
      <w:pPr>
        <w:pStyle w:val="738"/>
        <w:jc w:val="both"/>
        <w:spacing w:before="120" w:beforeAutospacing="0" w:after="120" w:afterAutospacing="0" w:line="360" w:lineRule="auto"/>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8"/>
        <w:jc w:val="center"/>
        <w:spacing w:before="120" w:beforeAutospacing="0" w:after="120" w:afterAutospacing="0" w:line="360" w:lineRule="auto"/>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rPr>
        <w:t xml:space="preserve">盐城市市直部分学校智慧体育设施采购项目</w:t>
      </w:r>
      <w:r/>
    </w:p>
    <w:p>
      <w:pPr>
        <w:widowControl/>
        <w:rPr>
          <w:color w:val="auto"/>
          <w:highlight w:val="none"/>
        </w:rPr>
      </w:pPr>
      <w:r>
        <w:rPr>
          <w:color w:val="auto"/>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pStyle w:val="718"/>
        <w:widowControl/>
        <w:rPr>
          <w:rFonts w:ascii="Arial" w:cs="Arial"/>
          <w:b/>
          <w:color w:val="auto"/>
          <w:sz w:val="32"/>
          <w:szCs w:val="32"/>
          <w:highlight w:val="none"/>
        </w:rPr>
      </w:pPr>
      <w:r>
        <w:rPr>
          <w:rFonts w:ascii="Arial" w:cs="Arial"/>
          <w:b/>
          <w:color w:val="auto"/>
          <w:sz w:val="32"/>
          <w:szCs w:val="32"/>
          <w:highlight w:val="none"/>
        </w:rPr>
      </w:r>
      <w:r/>
    </w:p>
    <w:p>
      <w:pPr>
        <w:widowControl/>
        <w:rPr>
          <w:rFonts w:ascii="Arial" w:hAnsi="Arial" w:cs="Arial"/>
          <w:bCs/>
          <w:color w:val="auto"/>
          <w:sz w:val="32"/>
          <w:szCs w:val="32"/>
          <w:highlight w:val="none"/>
        </w:rPr>
      </w:pPr>
      <w:r>
        <w:rPr>
          <w:rFonts w:ascii="Arial" w:hAnsi="Arial" w:cs="Arial"/>
          <w:bCs/>
          <w:color w:val="auto"/>
          <w:sz w:val="32"/>
          <w:szCs w:val="32"/>
          <w:highlight w:val="none"/>
        </w:rPr>
      </w:r>
      <w:r/>
    </w:p>
    <w:p>
      <w:pPr>
        <w:pStyle w:val="738"/>
        <w:spacing w:before="120" w:beforeAutospacing="0" w:after="120" w:afterAutospacing="0" w:line="420" w:lineRule="exact"/>
        <w:widowControl/>
        <w:tabs>
          <w:tab w:val="left" w:pos="240" w:leader="none"/>
          <w:tab w:val="center" w:pos="4320" w:leader="none"/>
        </w:tabs>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tab/>
      </w:r>
      <w:r>
        <w:rPr>
          <w:rFonts w:ascii="黑体" w:hAnsi="黑体" w:eastAsia="黑体" w:cs="黑体"/>
          <w:bCs/>
          <w:color w:val="auto"/>
          <w:sz w:val="32"/>
          <w:szCs w:val="32"/>
          <w:highlight w:val="none"/>
        </w:rPr>
        <w:tab/>
      </w:r>
      <w:r>
        <w:rPr>
          <w:rFonts w:hint="eastAsia" w:ascii="黑体" w:hAnsi="黑体" w:eastAsia="黑体" w:cs="黑体"/>
          <w:bCs/>
          <w:color w:val="auto"/>
          <w:sz w:val="32"/>
          <w:szCs w:val="32"/>
          <w:highlight w:val="none"/>
        </w:rPr>
        <w:t xml:space="preserve">盐城市教育局</w:t>
      </w:r>
      <w:r/>
    </w:p>
    <w:p>
      <w:pPr>
        <w:pStyle w:val="738"/>
        <w:jc w:val="center"/>
        <w:spacing w:before="120" w:beforeAutospacing="0" w:after="120" w:afterAutospacing="0" w:line="420" w:lineRule="exact"/>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2026年8月</w:t>
      </w:r>
      <w:r/>
    </w:p>
    <w:p>
      <w:pPr>
        <w:jc w:val="center"/>
        <w:spacing w:line="700" w:lineRule="exact"/>
        <w:widowControl/>
        <w:rPr>
          <w:rFonts w:ascii="黑体" w:hAnsi="黑体" w:eastAsia="黑体" w:cs="黑体"/>
          <w:bCs/>
          <w:color w:val="auto"/>
          <w:sz w:val="44"/>
          <w:szCs w:val="20"/>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outlineLvl w:val="0"/>
      </w:pPr>
      <w:r/>
      <w:bookmarkStart w:id="0" w:name="_Toc16938516"/>
      <w:r/>
      <w:bookmarkStart w:id="1" w:name="_Toc20823272"/>
      <w:r/>
      <w:bookmarkStart w:id="2" w:name="_Toc479757206"/>
      <w:r/>
      <w:bookmarkStart w:id="3" w:name="_Toc513029200"/>
      <w:r/>
      <w:bookmarkStart w:id="4" w:name="_Toc523127445"/>
      <w:r/>
      <w:bookmarkStart w:id="5" w:name="_Toc120614210"/>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color w:val="auto"/>
          <w:sz w:val="44"/>
          <w:szCs w:val="20"/>
          <w:highlight w:val="none"/>
        </w:rPr>
      </w:r>
      <w:bookmarkEnd w:id="0"/>
      <w:r/>
      <w:bookmarkEnd w:id="1"/>
      <w:r/>
      <w:bookmarkEnd w:id="2"/>
      <w:r/>
      <w:bookmarkEnd w:id="3"/>
      <w:r/>
      <w:bookmarkEnd w:id="4"/>
      <w:r/>
      <w:bookmarkEnd w:id="5"/>
      <w:r/>
      <w:r/>
    </w:p>
    <w:p>
      <w:pPr>
        <w:jc w:val="center"/>
        <w:rPr>
          <w:rFonts w:ascii="黑体" w:hAnsi="Times New Roman" w:eastAsia="黑体" w:cs="黑体"/>
          <w:bCs/>
          <w:color w:val="auto"/>
          <w:sz w:val="44"/>
          <w:highlight w:val="none"/>
        </w:rPr>
      </w:pPr>
      <w:r>
        <w:rPr>
          <w:rFonts w:hint="eastAsia" w:ascii="黑体" w:hAnsi="Times New Roman" w:eastAsia="黑体" w:cs="黑体"/>
          <w:bCs/>
          <w:color w:val="auto"/>
          <w:sz w:val="44"/>
          <w:highlight w:val="none"/>
        </w:rPr>
        <w:t xml:space="preserve">总  目  录</w:t>
      </w:r>
      <w:r/>
    </w:p>
    <w:p>
      <w:pPr>
        <w:jc w:val="center"/>
        <w:rPr>
          <w:rFonts w:ascii="黑体" w:hAnsi="Times New Roman" w:eastAsia="黑体" w:cs="黑体"/>
          <w:bCs/>
          <w:color w:val="auto"/>
          <w:sz w:val="44"/>
          <w:highlight w:val="none"/>
        </w:rPr>
      </w:pPr>
      <w:r>
        <w:rPr>
          <w:rFonts w:ascii="黑体" w:hAnsi="Times New Roman" w:eastAsia="黑体" w:cs="黑体"/>
          <w:bCs/>
          <w:color w:val="auto"/>
          <w:sz w:val="44"/>
          <w:highlight w:val="none"/>
        </w:rPr>
      </w:r>
      <w:r/>
    </w:p>
    <w:p>
      <w:pPr>
        <w:ind w:left="1856" w:hanging="1018"/>
        <w:spacing w:line="560" w:lineRule="exact"/>
        <w:tabs>
          <w:tab w:val="left" w:pos="0" w:leader="none"/>
        </w:tabs>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第一章  招标公告……………………………1</w:t>
      </w:r>
      <w:r/>
    </w:p>
    <w:p>
      <w:pPr>
        <w:ind w:left="1856" w:hanging="1018"/>
        <w:spacing w:line="560" w:lineRule="exact"/>
        <w:tabs>
          <w:tab w:val="left" w:pos="0" w:leader="none"/>
        </w:tabs>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第二章  投标人须知…………………………5</w:t>
      </w:r>
      <w:r/>
    </w:p>
    <w:p>
      <w:pPr>
        <w:ind w:left="1856" w:hanging="1018"/>
        <w:spacing w:line="560" w:lineRule="exact"/>
        <w:tabs>
          <w:tab w:val="left" w:pos="0" w:leader="none"/>
        </w:tabs>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第三章  合同文本……………………………25</w:t>
      </w:r>
      <w:r/>
    </w:p>
    <w:p>
      <w:pPr>
        <w:ind w:left="1856" w:hanging="1018"/>
        <w:spacing w:line="560" w:lineRule="exact"/>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第四章  采购需求……………………………57</w:t>
      </w:r>
      <w:r/>
    </w:p>
    <w:p>
      <w:pPr>
        <w:ind w:left="1856" w:hanging="1018"/>
        <w:spacing w:line="560" w:lineRule="exact"/>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第五章  评标方法与评标标准………………75</w:t>
      </w:r>
      <w:r/>
    </w:p>
    <w:p>
      <w:pPr>
        <w:ind w:left="1856" w:hanging="1018"/>
        <w:spacing w:line="560" w:lineRule="exact"/>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第六章  投标文件格式………………………83</w:t>
      </w:r>
      <w:r/>
    </w:p>
    <w:p>
      <w:pPr>
        <w:pStyle w:val="738"/>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sdt>
      <w:sdtPr>
        <w15:appearance w15:val="boundingBox"/>
        <w:id w:val="147479957"/>
        <w:showingPlcHdr w:val="true"/>
        <w:docPartObj>
          <w:docPartGallery w:val="Table of Contents"/>
          <w:docPartUnique w:val="true"/>
        </w:docPartObj>
        <w:rPr>
          <w:rFonts w:ascii="宋体" w:hAnsi="宋体" w:eastAsia="宋体"/>
          <w:color w:val="auto"/>
          <w:highlight w:val="none"/>
        </w:rPr>
      </w:sdtPr>
      <w:sdtContent>
        <w:p>
          <w:pPr>
            <w:spacing w:line="500" w:lineRule="exact"/>
            <w:widowControl/>
            <w:rPr>
              <w:color w:val="auto"/>
              <w:highlight w:val="none"/>
            </w:rPr>
          </w:pPr>
          <w:r>
            <w:rPr>
              <w:rFonts w:hint="eastAsia" w:ascii="宋体" w:hAnsi="宋体" w:eastAsia="宋体"/>
              <w:color w:val="auto"/>
              <w:highlight w:val="none"/>
            </w:rPr>
            <w:t xml:space="preserve">     </w:t>
          </w:r>
          <w:r/>
        </w:p>
      </w:sdtContent>
    </w:sdt>
    <w:p>
      <w:pPr>
        <w:pStyle w:val="718"/>
        <w:rPr>
          <w:color w:val="auto"/>
          <w:highlight w:val="none"/>
        </w:rPr>
      </w:pPr>
      <w:r>
        <w:rPr>
          <w:color w:val="auto"/>
          <w:highlight w:val="none"/>
        </w:rPr>
      </w:r>
      <w:r/>
    </w:p>
    <w:p>
      <w:pPr>
        <w:pStyle w:val="738"/>
        <w:jc w:val="center"/>
        <w:keepNext/>
        <w:spacing w:beforeAutospacing="0" w:afterAutospacing="0"/>
        <w:widowControl/>
        <w:rPr>
          <w:rFonts w:ascii="黑体" w:hAnsi="宋体" w:eastAsia="黑体" w:cs="黑体"/>
          <w:color w:val="auto"/>
          <w:sz w:val="44"/>
          <w:szCs w:val="44"/>
          <w:highlight w:val="none"/>
        </w:rPr>
      </w:pPr>
      <w:r/>
      <w:bookmarkStart w:id="6" w:name="_Toc28359086"/>
      <w:r/>
      <w:r/>
    </w:p>
    <w:p>
      <w:pPr>
        <w:widowControl/>
        <w:rPr>
          <w:color w:val="auto"/>
          <w:highlight w:val="none"/>
        </w:rPr>
        <w:sectPr>
          <w:footerReference w:type="default" r:id="rId10"/>
          <w:footnotePr/>
          <w:endnotePr/>
          <w:type w:val="nextPage"/>
          <w:pgSz w:w="11906" w:h="16838" w:orient="portrait"/>
          <w:pgMar w:top="1440" w:right="1633" w:bottom="1440" w:left="1633" w:header="851" w:footer="992" w:gutter="0"/>
          <w:pgNumType w:start="2"/>
          <w:cols w:num="1" w:sep="0" w:space="425" w:equalWidth="1"/>
          <w:docGrid w:linePitch="360"/>
        </w:sectPr>
      </w:pPr>
      <w:r>
        <w:rPr>
          <w:color w:val="auto"/>
          <w:highlight w:val="none"/>
        </w:rPr>
      </w:r>
      <w:r/>
    </w:p>
    <w:p>
      <w:pPr>
        <w:pStyle w:val="738"/>
        <w:ind w:firstLine="220"/>
        <w:jc w:val="center"/>
        <w:keepNext/>
        <w:spacing w:beforeAutospacing="0" w:afterAutospacing="0"/>
        <w:widowControl/>
        <w:rPr>
          <w:rFonts w:ascii="黑体" w:hAnsi="宋体" w:eastAsia="黑体" w:cs="黑体"/>
          <w:color w:val="auto"/>
          <w:sz w:val="44"/>
          <w:szCs w:val="44"/>
          <w:highlight w:val="none"/>
        </w:rPr>
        <w:outlineLvl w:val="0"/>
      </w:pPr>
      <w:r/>
      <w:bookmarkStart w:id="7" w:name="_Toc30031"/>
      <w:r>
        <w:rPr>
          <w:rFonts w:hint="eastAsia" w:ascii="黑体" w:hAnsi="宋体" w:eastAsia="黑体" w:cs="黑体"/>
          <w:color w:val="auto"/>
          <w:sz w:val="44"/>
          <w:szCs w:val="44"/>
          <w:highlight w:val="none"/>
        </w:rPr>
        <w:t xml:space="preserve">第一章 招标公告</w:t>
      </w:r>
      <w:bookmarkEnd w:id="7"/>
      <w:r/>
      <w:r/>
    </w:p>
    <w:p>
      <w:pPr>
        <w:pStyle w:val="738"/>
        <w:numPr>
          <w:ilvl w:val="255"/>
          <w:numId w:val="0"/>
        </w:numPr>
        <w:jc w:val="both"/>
        <w:keepNext/>
        <w:spacing w:beforeAutospacing="0" w:afterAutospacing="0" w:line="200" w:lineRule="exact"/>
        <w:widowControl/>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ind w:firstLine="482"/>
        <w:jc w:val="left"/>
        <w:spacing w:line="560" w:lineRule="exact"/>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2"/>
        <w:jc w:val="left"/>
        <w:spacing w:line="560" w:lineRule="exact"/>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盐城市市直部分学校智慧体育设施采购项目</w:t>
      </w:r>
      <w:r>
        <w:rPr>
          <w:rFonts w:hint="eastAsia" w:ascii="宋体" w:hAnsi="宋体" w:eastAsia="宋体" w:cs="宋体"/>
          <w:color w:val="auto"/>
          <w:sz w:val="24"/>
          <w:highlight w:val="none"/>
        </w:rPr>
        <w:t xml:space="preserve">JSZC-320900-JZCG-G2026-0058</w:t>
      </w:r>
      <w:r>
        <w:rPr>
          <w:rFonts w:hint="eastAsia" w:ascii="宋体" w:hAnsi="宋体" w:eastAsia="宋体" w:cs="宋体"/>
          <w:color w:val="auto"/>
          <w:sz w:val="24"/>
          <w:szCs w:val="20"/>
          <w:highlight w:val="none"/>
        </w:rPr>
        <w:t xml:space="preserve">的潜在投标人应在“苏采云”系统内免费下载（投标人必须在苏采云系统中获取采购文件，方能参与政府采购项目），并于2026年9月21日9点30分（北京时间）前递交投标文件。</w:t>
      </w:r>
      <w:bookmarkStart w:id="8" w:name="_Toc28359079"/>
      <w:r/>
      <w:bookmarkStart w:id="9" w:name="_Toc28359002"/>
      <w:r/>
      <w:bookmarkStart w:id="10" w:name="_Toc35393790"/>
      <w:r/>
      <w:bookmarkStart w:id="11" w:name="_Toc35393621"/>
      <w:r/>
      <w:bookmarkStart w:id="12" w:name="_Hlk24379207"/>
      <w:r/>
      <w:bookmarkStart w:id="13" w:name="_Toc38985263"/>
      <w:r/>
      <w:r/>
    </w:p>
    <w:p>
      <w:pPr>
        <w:ind w:firstLine="482"/>
        <w:jc w:val="left"/>
        <w:keepLines/>
        <w:keepNex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bookmarkEnd w:id="8"/>
      <w:r/>
      <w:bookmarkEnd w:id="9"/>
      <w:r/>
      <w:bookmarkEnd w:id="10"/>
      <w:r/>
      <w:bookmarkEnd w:id="11"/>
      <w:r/>
      <w:bookmarkEnd w:id="12"/>
      <w:r/>
      <w:bookmarkEnd w:id="13"/>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1.项目编号：JSZC-320900-JZCG-G2026-0058</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2.项目名称：盐城市市直部分学校智慧体育设施采购项目</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3.采购方式：公开招标</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4.预算金额：200万元</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5.最高限价：</w:t>
      </w:r>
      <w:r>
        <w:rPr>
          <w:rFonts w:hint="eastAsia" w:ascii="宋体" w:hAnsi="宋体" w:eastAsia="宋体" w:cs="宋体"/>
          <w:color w:val="auto"/>
          <w:sz w:val="24"/>
          <w:highlight w:val="none"/>
        </w:rPr>
        <w:t xml:space="preserve">180万元</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6.采购需求：</w:t>
      </w:r>
      <w:bookmarkStart w:id="14" w:name="OLE_LINK113"/>
      <w:r/>
      <w:bookmarkStart w:id="15" w:name="OLE_LINK105"/>
      <w:r/>
      <w:bookmarkStart w:id="16" w:name="OLE_LINK104"/>
      <w:r>
        <w:rPr>
          <w:rFonts w:hint="eastAsia" w:ascii="宋体" w:hAnsi="宋体" w:eastAsia="宋体" w:cs="宋体"/>
          <w:color w:val="auto"/>
          <w:sz w:val="24"/>
          <w:highlight w:val="none"/>
        </w:rPr>
        <w:t xml:space="preserve">盐城市第一小学、串场河小学、新都路实验学校、聚亨路小学、盐渎实验学校、鹿鸣路初级中学、康居路初级中学、盐城市初级中学共8所学校</w:t>
      </w:r>
      <w:bookmarkEnd w:id="14"/>
      <w:r/>
      <w:bookmarkEnd w:id="15"/>
      <w:r/>
      <w:bookmarkEnd w:id="16"/>
      <w:r>
        <w:rPr>
          <w:rFonts w:hint="eastAsia" w:ascii="宋体" w:hAnsi="宋体" w:eastAsia="宋体" w:cs="宋体"/>
          <w:color w:val="auto"/>
          <w:sz w:val="24"/>
          <w:highlight w:val="none"/>
        </w:rPr>
        <w:t xml:space="preserve">校级管理平台（含搭建市级管理平台）</w:t>
      </w:r>
      <w:r>
        <w:rPr>
          <w:rFonts w:hint="eastAsia" w:ascii="宋体" w:hAnsi="宋体" w:eastAsia="宋体" w:cs="宋体"/>
          <w:color w:val="auto"/>
          <w:sz w:val="24"/>
          <w:highlight w:val="none"/>
        </w:rPr>
        <w:t xml:space="preserve">、智慧操场、智慧游戏一体机、智慧体测一体</w:t>
      </w:r>
      <w:r>
        <w:rPr>
          <w:rFonts w:hint="eastAsia" w:ascii="宋体" w:hAnsi="宋体" w:eastAsia="宋体" w:cs="宋体"/>
          <w:color w:val="auto"/>
          <w:sz w:val="24"/>
          <w:szCs w:val="20"/>
          <w:highlight w:val="none"/>
        </w:rPr>
        <w:t xml:space="preserve">机等</w:t>
      </w:r>
      <w:r>
        <w:rPr>
          <w:rFonts w:hint="eastAsia" w:ascii="宋体" w:hAnsi="宋体" w:eastAsia="Arial" w:cs="宋体"/>
          <w:color w:val="auto"/>
          <w:sz w:val="24"/>
          <w:szCs w:val="20"/>
          <w:highlight w:val="none"/>
        </w:rPr>
        <w:t xml:space="preserve">4</w:t>
      </w:r>
      <w:r>
        <w:rPr>
          <w:rFonts w:hint="eastAsia" w:ascii="宋体" w:hAnsi="宋体" w:eastAsia="宋体" w:cs="宋体"/>
          <w:color w:val="auto"/>
          <w:sz w:val="24"/>
          <w:szCs w:val="20"/>
          <w:highlight w:val="none"/>
        </w:rPr>
        <w:t xml:space="preserve">类设备</w:t>
      </w:r>
      <w:r>
        <w:rPr>
          <w:rFonts w:hint="eastAsia" w:ascii="宋体" w:hAnsi="宋体" w:eastAsia="宋体" w:cs="宋体"/>
          <w:color w:val="auto"/>
          <w:sz w:val="24"/>
          <w:highlight w:val="none"/>
        </w:rPr>
        <w:t xml:space="preserve">。（详细内容见本招标文件第四章）</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7.合同履行期限：</w:t>
      </w:r>
      <w:r>
        <w:rPr>
          <w:rFonts w:hint="eastAsia" w:ascii="宋体" w:hAnsi="宋体" w:eastAsia="宋体" w:cs="宋体"/>
          <w:color w:val="auto"/>
          <w:sz w:val="24"/>
          <w:highlight w:val="none"/>
          <w:lang w:eastAsia="zh-CN"/>
        </w:rPr>
        <w:t xml:space="preserve">签订</w:t>
      </w:r>
      <w:r>
        <w:rPr>
          <w:rFonts w:hint="eastAsia" w:ascii="宋体" w:hAnsi="宋体" w:eastAsia="宋体" w:cs="宋体"/>
          <w:color w:val="auto"/>
          <w:sz w:val="24"/>
          <w:highlight w:val="none"/>
        </w:rPr>
        <w:t xml:space="preserve">合同后25天内供货并验收合格。</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8.质保期：</w:t>
      </w:r>
      <w:r>
        <w:rPr>
          <w:rFonts w:hint="eastAsia" w:ascii="宋体" w:hAnsi="宋体" w:eastAsia="宋体" w:cs="宋体"/>
          <w:color w:val="auto"/>
          <w:sz w:val="24"/>
          <w:highlight w:val="none"/>
        </w:rPr>
        <w:t xml:space="preserve">4年</w:t>
      </w:r>
      <w:r>
        <w:rPr>
          <w:rFonts w:hint="eastAsia" w:ascii="宋体" w:hAnsi="宋体" w:eastAsia="宋体" w:cs="宋体"/>
          <w:color w:val="auto"/>
          <w:sz w:val="24"/>
          <w:highlight w:val="none"/>
        </w:rPr>
        <w:t xml:space="preserve">。</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9.本项目（是/否）接受联合体投标：否。</w:t>
      </w:r>
      <w:r/>
    </w:p>
    <w:p>
      <w:pPr>
        <w:ind w:firstLine="482"/>
        <w:jc w:val="left"/>
        <w:spacing w:line="560" w:lineRule="exact"/>
        <w:widowControl/>
        <w:rPr>
          <w:rFonts w:ascii="宋体" w:hAnsi="宋体" w:eastAsia="宋体" w:cs="宋体"/>
          <w:b/>
          <w:bCs/>
          <w:color w:val="auto"/>
          <w:sz w:val="24"/>
          <w:szCs w:val="20"/>
          <w:highlight w:val="none"/>
        </w:rPr>
      </w:pPr>
      <w:r/>
      <w:bookmarkStart w:id="17" w:name="_Toc35393791"/>
      <w:r/>
      <w:bookmarkStart w:id="18" w:name="_Toc28359003"/>
      <w:r/>
      <w:bookmarkStart w:id="19" w:name="_Toc35393622"/>
      <w:r/>
      <w:bookmarkStart w:id="20" w:name="_Toc38985264"/>
      <w:r/>
      <w:bookmarkStart w:id="21" w:name="_Toc28359080"/>
      <w:r>
        <w:rPr>
          <w:rFonts w:hint="eastAsia" w:ascii="宋体" w:hAnsi="宋体" w:eastAsia="宋体" w:cs="宋体"/>
          <w:b/>
          <w:bCs/>
          <w:color w:val="auto"/>
          <w:sz w:val="24"/>
          <w:szCs w:val="20"/>
          <w:highlight w:val="none"/>
        </w:rPr>
        <w:t xml:space="preserve">二、申请人的资格要求</w:t>
      </w:r>
      <w:bookmarkEnd w:id="17"/>
      <w:r/>
      <w:bookmarkEnd w:id="18"/>
      <w:r/>
      <w:bookmarkEnd w:id="19"/>
      <w:r/>
      <w:bookmarkEnd w:id="20"/>
      <w:r/>
      <w:bookmarkEnd w:id="21"/>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1.1法人或者其他组织的营业执照等证明文件，自然人的身份证明；</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1.2上一年度的财务状况报告（成立不满一年无需提供）；</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1.3具备履行合同所必需的设备和专业技术能力的书面声明；</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1.8单位负责人为同一人或者存在直接控股、管理关系的不同供应商，不得参加同一合同项下的政府采购活动。</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2.落实政府采购政策需满足的资格要求：无</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2" w:name="OLE_LINK46"/>
      <w:r>
        <w:rPr>
          <w:rFonts w:hint="eastAsia" w:ascii="宋体" w:hAnsi="宋体" w:eastAsia="宋体" w:cs="宋体"/>
          <w:color w:val="auto"/>
          <w:sz w:val="24"/>
          <w:highlight w:val="none"/>
        </w:rPr>
        <w:t xml:space="preserve">本项目的特定资格要求：无</w:t>
      </w:r>
      <w:bookmarkEnd w:id="22"/>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bookmarkStart w:id="23" w:name="_Toc28359018"/>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时间：自招标文件公告发布之日起5个工作日</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地点：“苏采云”系统内免费下载（投标人必须在苏采云系统中获取采购文件，方能参与政府采购项目）</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方式：本项目采用网上注册登记方式</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ind w:firstLine="482"/>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1.时间：2026年9月21日9点30分（北京时间）</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2.地点：苏采云“不见面”开标大厅。</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五、公告期限</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自本公告发布之日起5个工作日。</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color w:val="auto"/>
          <w:sz w:val="24"/>
          <w:szCs w:val="20"/>
          <w:highlight w:val="none"/>
        </w:rPr>
        <w:t xml:space="preserve">具体办理指南：在盐城市政府采购网点击【办事指南】-【供应商参与政府采购活动相关资料】。</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w:t>
      </w:r>
      <w:r>
        <w:rPr>
          <w:rFonts w:hint="eastAsia" w:ascii="宋体" w:hAnsi="宋体" w:eastAsia="宋体" w:cs="宋体"/>
          <w:b/>
          <w:bCs/>
          <w:color w:val="auto"/>
          <w:sz w:val="24"/>
          <w:szCs w:val="20"/>
          <w:highlight w:val="none"/>
        </w:rPr>
        <w:t xml:space="preserve">请至盐城市府西路1号盐城市公共资源交易中心四楼大厅10号，11号窗口办理</w:t>
      </w:r>
      <w:r>
        <w:rPr>
          <w:rFonts w:hint="eastAsia" w:ascii="宋体" w:hAnsi="宋体" w:eastAsia="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潜在供应商访问电子招标响应交易平台的网络地址和方法： </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潜在投标人访问“苏采云”系统方法：江苏省政府采购网首页-“苏采云”链接。 </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4.本次招标不收取投标保证金，不收取质量保证金。</w:t>
      </w:r>
      <w:r/>
    </w:p>
    <w:p>
      <w:pPr>
        <w:ind w:firstLine="482"/>
        <w:jc w:val="left"/>
        <w:spacing w:line="560" w:lineRule="exact"/>
        <w:shd w:val="clear" w:color="auto" w:fill="ffffff"/>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shd w:val="clear" w:color="auto" w:fill="ffffff"/>
        </w:rPr>
        <w:t xml:space="preserve">七、对本次招标提出询问，请按以下方式联系。</w:t>
      </w:r>
      <w:bookmarkEnd w:id="23"/>
      <w:r/>
      <w:r/>
    </w:p>
    <w:p>
      <w:pPr>
        <w:ind w:firstLine="482"/>
        <w:jc w:val="left"/>
        <w:spacing w:line="560" w:lineRule="exact"/>
        <w:shd w:val="clear" w:color="auto" w:fill="ffffff"/>
        <w:widowControl/>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1.采购人信息</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名    称：盐城市教育局</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地    址：盐城市平安路2号</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联 系 人：谷女士     </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联系方式：0515-88228690</w:t>
      </w:r>
      <w:r/>
    </w:p>
    <w:p>
      <w:pPr>
        <w:ind w:firstLine="482"/>
        <w:jc w:val="left"/>
        <w:spacing w:line="560" w:lineRule="exact"/>
        <w:shd w:val="clear" w:color="auto" w:fill="ffffff"/>
        <w:widowControl/>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2.采购代理机构信息</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名    称：盐城市政府采购中心</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地    址：盐城市府西路1号市公共资源交易中心5楼</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联 系 人：</w:t>
      </w:r>
      <w:r>
        <w:rPr>
          <w:rFonts w:hint="eastAsia" w:ascii="宋体" w:hAnsi="宋体" w:eastAsia="宋体" w:cs="宋体"/>
          <w:color w:val="auto"/>
          <w:sz w:val="24"/>
          <w:highlight w:val="none"/>
        </w:rPr>
        <w:t xml:space="preserve">顾女士</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联系方式：</w:t>
      </w:r>
      <w:r>
        <w:rPr>
          <w:rFonts w:hint="eastAsia" w:ascii="宋体" w:hAnsi="宋体" w:eastAsia="宋体" w:cs="宋体"/>
          <w:color w:val="auto"/>
          <w:sz w:val="24"/>
          <w:highlight w:val="none"/>
        </w:rPr>
        <w:t xml:space="preserve">0515-86665092</w:t>
      </w:r>
      <w:r/>
    </w:p>
    <w:p>
      <w:pPr>
        <w:ind w:firstLine="482"/>
        <w:jc w:val="left"/>
        <w:spacing w:line="560" w:lineRule="exact"/>
        <w:shd w:val="clear" w:color="auto" w:fill="ffffff"/>
        <w:widowControl/>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3.项目联系方式</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项目联系人：</w:t>
      </w:r>
      <w:r>
        <w:rPr>
          <w:rFonts w:hint="eastAsia" w:ascii="宋体" w:hAnsi="宋体" w:eastAsia="宋体" w:cs="宋体"/>
          <w:color w:val="auto"/>
          <w:sz w:val="24"/>
          <w:highlight w:val="none"/>
        </w:rPr>
        <w:t xml:space="preserve">顾女士</w:t>
      </w:r>
      <w:r/>
    </w:p>
    <w:p>
      <w:pPr>
        <w:ind w:firstLine="482"/>
        <w:jc w:val="left"/>
        <w:spacing w:line="560" w:lineRule="exact"/>
        <w:shd w:val="clear" w:color="auto" w:fill="ffffff"/>
        <w:widowControl/>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电      话：</w:t>
      </w:r>
      <w:r>
        <w:rPr>
          <w:rFonts w:hint="eastAsia" w:ascii="宋体" w:hAnsi="宋体" w:eastAsia="宋体" w:cs="宋体"/>
          <w:color w:val="auto"/>
          <w:sz w:val="24"/>
          <w:highlight w:val="none"/>
        </w:rPr>
        <w:t xml:space="preserve">0515-86665092</w:t>
      </w:r>
      <w:r/>
    </w:p>
    <w:p>
      <w:pPr>
        <w:widowControl/>
        <w:rPr>
          <w:color w:val="auto"/>
          <w:highlight w:val="none"/>
        </w:rPr>
      </w:pPr>
      <w:r>
        <w:rPr>
          <w:color w:val="auto"/>
          <w:highlight w:val="none"/>
        </w:rPr>
      </w:r>
      <w:r/>
    </w:p>
    <w:p>
      <w:pPr>
        <w:widowControl/>
        <w:rPr>
          <w:rFonts w:ascii="黑体" w:hAnsi="宋体" w:eastAsia="黑体" w:cs="黑体"/>
          <w:b/>
          <w:color w:val="auto"/>
          <w:sz w:val="44"/>
          <w:szCs w:val="44"/>
          <w:highlight w:val="none"/>
        </w:rPr>
      </w:pPr>
      <w:r>
        <w:rPr>
          <w:rFonts w:hint="eastAsia" w:ascii="宋体" w:hAnsi="宋体" w:eastAsia="宋体" w:cs="宋体"/>
          <w:color w:val="auto"/>
          <w:highlight w:val="none"/>
        </w:rPr>
        <w:br w:type="page" w:clear="all"/>
      </w:r>
      <w:bookmarkStart w:id="24" w:name="_Toc120614211"/>
      <w:r/>
      <w:r/>
    </w:p>
    <w:p>
      <w:pPr>
        <w:ind w:firstLine="482"/>
        <w:jc w:val="center"/>
        <w:keepLines/>
        <w:keepNext/>
        <w:spacing w:before="260" w:after="260" w:line="560" w:lineRule="exact"/>
        <w:widowControl/>
        <w:rPr>
          <w:color w:val="auto"/>
          <w:highlight w:val="none"/>
        </w:rPr>
        <w:outlineLvl w:val="0"/>
      </w:pPr>
      <w:r/>
      <w:bookmarkStart w:id="25" w:name="_Toc5488"/>
      <w:r>
        <w:rPr>
          <w:rFonts w:hint="eastAsia" w:ascii="黑体" w:hAnsi="宋体" w:eastAsia="黑体" w:cs="黑体"/>
          <w:bCs/>
          <w:color w:val="auto"/>
          <w:sz w:val="44"/>
          <w:szCs w:val="44"/>
          <w:highlight w:val="none"/>
        </w:rPr>
        <w:t xml:space="preserve">第二章</w:t>
      </w:r>
      <w:bookmarkEnd w:id="24"/>
      <w:r/>
      <w:bookmarkStart w:id="26" w:name="_Toc20823274"/>
      <w:r/>
      <w:bookmarkStart w:id="27" w:name="_Toc120614213"/>
      <w:r/>
      <w:bookmarkStart w:id="28" w:name="_Toc16938518"/>
      <w:r/>
      <w:bookmarkStart w:id="29" w:name="_Toc513029202"/>
      <w:r>
        <w:rPr>
          <w:rFonts w:hint="eastAsia" w:ascii="黑体" w:hAnsi="宋体" w:eastAsia="黑体" w:cs="黑体"/>
          <w:bCs/>
          <w:color w:val="auto"/>
          <w:sz w:val="44"/>
          <w:szCs w:val="44"/>
          <w:highlight w:val="none"/>
        </w:rPr>
        <w:t xml:space="preserve"> 投标人须知</w:t>
      </w:r>
      <w:bookmarkEnd w:id="25"/>
      <w:r/>
      <w:bookmarkEnd w:id="26"/>
      <w:r/>
      <w:bookmarkEnd w:id="27"/>
      <w:r/>
      <w:bookmarkEnd w:id="28"/>
      <w:r/>
      <w:bookmarkEnd w:id="29"/>
      <w:r/>
      <w:r/>
    </w:p>
    <w:p>
      <w:pPr>
        <w:pStyle w:val="738"/>
        <w:ind w:firstLine="482"/>
        <w:jc w:val="both"/>
        <w:keepNext/>
        <w:spacing w:beforeAutospacing="0" w:afterAutospacing="0" w:line="480" w:lineRule="exact"/>
        <w:rPr>
          <w:rFonts w:ascii="宋体" w:hAnsi="宋体" w:eastAsia="宋体" w:cs="宋体"/>
          <w:color w:val="auto"/>
          <w:highlight w:val="none"/>
        </w:rPr>
      </w:pPr>
      <w:r/>
      <w:bookmarkStart w:id="30" w:name="_Toc20823275"/>
      <w:r/>
      <w:bookmarkStart w:id="31" w:name="_Toc120614214"/>
      <w:r/>
      <w:bookmarkStart w:id="32" w:name="_Toc513029203"/>
      <w:r/>
      <w:bookmarkStart w:id="33" w:name="_Toc16938519"/>
      <w:r/>
      <w:bookmarkStart w:id="34" w:name="_Hlt26954846"/>
      <w:r/>
      <w:bookmarkStart w:id="35" w:name="_Hlt26670482"/>
      <w:r/>
      <w:bookmarkStart w:id="36" w:name="_Hlt26670360"/>
      <w:r/>
      <w:bookmarkStart w:id="37" w:name="_Toc513029226"/>
      <w:r/>
      <w:bookmarkStart w:id="38" w:name="_Hlt26668975"/>
      <w:r/>
      <w:bookmarkStart w:id="39" w:name="_Hlt26954848"/>
      <w:r/>
      <w:bookmarkStart w:id="40" w:name="_Hlt26954852"/>
      <w:r/>
      <w:bookmarkStart w:id="41" w:name="_Hlt26954731"/>
      <w:r/>
      <w:bookmarkStart w:id="42" w:name="_Hlt26954739"/>
      <w:r/>
      <w:bookmarkStart w:id="43" w:name="_Hlt26954838"/>
      <w:r/>
      <w:bookmarkStart w:id="44" w:name="_Hlt16619475"/>
      <w:r/>
      <w:bookmarkStart w:id="45" w:name="_Hlt26670486"/>
      <w:r>
        <w:rPr>
          <w:rFonts w:hint="eastAsia" w:ascii="宋体" w:hAnsi="宋体" w:eastAsia="宋体" w:cs="宋体"/>
          <w:b/>
          <w:color w:val="auto"/>
          <w:highlight w:val="none"/>
        </w:rPr>
        <w:t xml:space="preserve">一、总则</w:t>
      </w:r>
      <w:bookmarkEnd w:id="30"/>
      <w:r/>
      <w:bookmarkEnd w:id="31"/>
      <w:r/>
      <w:bookmarkEnd w:id="32"/>
      <w:r/>
      <w:bookmarkEnd w:id="33"/>
      <w:r/>
      <w:r/>
    </w:p>
    <w:p>
      <w:pPr>
        <w:ind w:firstLine="482"/>
        <w:jc w:val="left"/>
        <w:keepNext/>
        <w:spacing w:line="560" w:lineRule="exact"/>
        <w:rPr>
          <w:rFonts w:ascii="宋体" w:hAnsi="宋体" w:eastAsia="宋体" w:cs="宋体"/>
          <w:b/>
          <w:bCs/>
          <w:color w:val="auto"/>
          <w:sz w:val="24"/>
          <w:szCs w:val="20"/>
          <w:highlight w:val="none"/>
        </w:rPr>
        <w:outlineLvl w:val="2"/>
      </w:pPr>
      <w:r/>
      <w:bookmarkStart w:id="46" w:name="_Toc20823276"/>
      <w:r/>
      <w:bookmarkStart w:id="47" w:name="_Toc458694821"/>
      <w:r/>
      <w:bookmarkStart w:id="48" w:name="_Toc16938520"/>
      <w:r/>
      <w:bookmarkStart w:id="49" w:name="_Toc513029204"/>
      <w:r>
        <w:rPr>
          <w:rFonts w:hint="eastAsia" w:ascii="宋体" w:hAnsi="宋体" w:eastAsia="宋体" w:cs="宋体"/>
          <w:b/>
          <w:bCs/>
          <w:color w:val="auto"/>
          <w:sz w:val="24"/>
          <w:szCs w:val="20"/>
          <w:highlight w:val="none"/>
        </w:rPr>
        <w:t xml:space="preserve">1</w:t>
      </w:r>
      <w:bookmarkEnd w:id="46"/>
      <w:r>
        <w:rPr>
          <w:rFonts w:hint="eastAsia" w:ascii="宋体" w:hAnsi="宋体" w:eastAsia="宋体" w:cs="宋体"/>
          <w:b/>
          <w:bCs/>
          <w:color w:val="auto"/>
          <w:sz w:val="24"/>
          <w:szCs w:val="20"/>
          <w:highlight w:val="none"/>
        </w:rPr>
        <w:t xml:space="preserve">、招标方式</w:t>
      </w:r>
      <w:bookmarkEnd w:id="47"/>
      <w:r/>
      <w:bookmarkEnd w:id="48"/>
      <w:r/>
      <w:bookmarkEnd w:id="49"/>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2"/>
        <w:jc w:val="left"/>
        <w:keepNext/>
        <w:spacing w:line="560" w:lineRule="exact"/>
        <w:rPr>
          <w:rFonts w:ascii="宋体" w:hAnsi="宋体" w:eastAsia="宋体" w:cs="宋体"/>
          <w:b/>
          <w:bCs/>
          <w:color w:val="auto"/>
          <w:sz w:val="24"/>
          <w:szCs w:val="20"/>
          <w:highlight w:val="none"/>
        </w:rPr>
        <w:outlineLvl w:val="2"/>
      </w:pPr>
      <w:r/>
      <w:bookmarkStart w:id="50" w:name="_Toc16938521"/>
      <w:r/>
      <w:bookmarkStart w:id="51" w:name="_Toc20823277"/>
      <w:r/>
      <w:bookmarkStart w:id="52" w:name="_Toc513029205"/>
      <w:r>
        <w:rPr>
          <w:rFonts w:hint="eastAsia" w:ascii="宋体" w:hAnsi="宋体" w:eastAsia="宋体" w:cs="宋体"/>
          <w:b/>
          <w:bCs/>
          <w:color w:val="auto"/>
          <w:sz w:val="24"/>
          <w:szCs w:val="20"/>
          <w:highlight w:val="none"/>
        </w:rPr>
        <w:t xml:space="preserve">2、合格的投标人</w:t>
      </w:r>
      <w:bookmarkEnd w:id="50"/>
      <w:r/>
      <w:bookmarkEnd w:id="51"/>
      <w:r/>
      <w:bookmarkEnd w:id="52"/>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2.1满足招标公告中供应商的资格要求的规定。</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firstLine="482"/>
        <w:jc w:val="left"/>
        <w:keepNext/>
        <w:spacing w:line="560" w:lineRule="exact"/>
        <w:rPr>
          <w:rFonts w:ascii="宋体" w:hAnsi="宋体" w:eastAsia="宋体" w:cs="宋体"/>
          <w:b/>
          <w:bCs/>
          <w:color w:val="auto"/>
          <w:sz w:val="24"/>
          <w:szCs w:val="20"/>
          <w:highlight w:val="none"/>
        </w:rPr>
        <w:outlineLvl w:val="2"/>
      </w:pPr>
      <w:r/>
      <w:bookmarkStart w:id="53" w:name="_Toc16938522"/>
      <w:r/>
      <w:bookmarkStart w:id="54" w:name="_Toc513029206"/>
      <w:r/>
      <w:bookmarkStart w:id="55" w:name="_Toc20823278"/>
      <w:r>
        <w:rPr>
          <w:rFonts w:hint="eastAsia" w:ascii="宋体" w:hAnsi="宋体" w:eastAsia="宋体" w:cs="宋体"/>
          <w:b/>
          <w:bCs/>
          <w:color w:val="auto"/>
          <w:sz w:val="24"/>
          <w:szCs w:val="20"/>
          <w:highlight w:val="none"/>
        </w:rPr>
        <w:t xml:space="preserve">3、适用法律</w:t>
      </w:r>
      <w:bookmarkEnd w:id="53"/>
      <w:r/>
      <w:bookmarkEnd w:id="54"/>
      <w:r/>
      <w:bookmarkEnd w:id="55"/>
      <w:r/>
      <w:r/>
    </w:p>
    <w:p>
      <w:pPr>
        <w:ind w:firstLine="482"/>
        <w:jc w:val="left"/>
        <w:spacing w:line="556" w:lineRule="exact"/>
        <w:widowControl/>
        <w:rPr>
          <w:rFonts w:ascii="宋体" w:hAnsi="宋体" w:eastAsia="宋体" w:cs="宋体"/>
          <w:color w:val="auto"/>
          <w:sz w:val="24"/>
          <w:szCs w:val="20"/>
          <w:highlight w:val="none"/>
        </w:rPr>
      </w:pPr>
      <w:r/>
      <w:bookmarkStart w:id="56" w:name="_Toc462564067"/>
      <w:r/>
      <w:bookmarkStart w:id="57" w:name="_Toc16938523"/>
      <w:r/>
      <w:bookmarkStart w:id="58" w:name="_Toc513029207"/>
      <w:r/>
      <w:bookmarkStart w:id="59" w:name="_Toc20823279"/>
      <w:r>
        <w:rPr>
          <w:rFonts w:hint="eastAsia" w:ascii="宋体" w:hAnsi="宋体" w:eastAsia="宋体" w:cs="宋体"/>
          <w:color w:val="auto"/>
          <w:sz w:val="24"/>
          <w:szCs w:val="20"/>
          <w:highlight w:val="none"/>
        </w:rPr>
        <w:t xml:space="preserve">3.1 本次招标及由此产生的合同受中华人民共和国有关的法律法规制约和保护。</w:t>
      </w:r>
      <w:r/>
    </w:p>
    <w:p>
      <w:pPr>
        <w:ind w:firstLine="482"/>
        <w:jc w:val="left"/>
        <w:spacing w:line="556"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3.2 在本项目政府采购活动过程中，如果所执行的标准有更新的，按照最新标准执行。</w:t>
      </w:r>
      <w:r/>
    </w:p>
    <w:p>
      <w:pPr>
        <w:ind w:firstLine="482"/>
        <w:jc w:val="left"/>
        <w:keepNext/>
        <w:spacing w:line="560" w:lineRule="exact"/>
        <w:rPr>
          <w:rFonts w:ascii="宋体" w:hAnsi="宋体" w:eastAsia="宋体" w:cs="宋体"/>
          <w:b/>
          <w:bCs/>
          <w:color w:val="auto"/>
          <w:sz w:val="24"/>
          <w:szCs w:val="20"/>
          <w:highlight w:val="none"/>
        </w:rPr>
        <w:outlineLvl w:val="2"/>
      </w:pPr>
      <w:r>
        <w:rPr>
          <w:rFonts w:hint="eastAsia" w:ascii="宋体" w:hAnsi="宋体" w:eastAsia="宋体" w:cs="宋体"/>
          <w:b/>
          <w:bCs/>
          <w:color w:val="auto"/>
          <w:sz w:val="24"/>
          <w:szCs w:val="20"/>
          <w:highlight w:val="none"/>
        </w:rPr>
        <w:t xml:space="preserve">4、投标费用</w:t>
      </w:r>
      <w:bookmarkEnd w:id="56"/>
      <w:r/>
      <w:bookmarkEnd w:id="57"/>
      <w:r/>
      <w:bookmarkEnd w:id="58"/>
      <w:r/>
      <w:bookmarkEnd w:id="59"/>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4.2本次招标采购中心和采购人不收取标书工本费与中标服务费。</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5、招标文件的约束力</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2"/>
        <w:jc w:val="left"/>
        <w:keepNext/>
        <w:spacing w:line="560" w:lineRule="exact"/>
        <w:rPr>
          <w:rFonts w:ascii="宋体" w:hAnsi="宋体" w:eastAsia="宋体" w:cs="宋体"/>
          <w:b/>
          <w:bCs/>
          <w:color w:val="auto"/>
          <w:sz w:val="24"/>
          <w:szCs w:val="20"/>
          <w:highlight w:val="none"/>
        </w:rPr>
      </w:pPr>
      <w:r/>
      <w:bookmarkStart w:id="60" w:name="_Toc513029209"/>
      <w:r/>
      <w:bookmarkStart w:id="61" w:name="_Toc120614215"/>
      <w:r/>
      <w:bookmarkStart w:id="62" w:name="_Toc16938525"/>
      <w:r/>
      <w:bookmarkStart w:id="63" w:name="_Toc20823281"/>
      <w:r>
        <w:rPr>
          <w:rFonts w:hint="eastAsia" w:ascii="宋体" w:hAnsi="宋体" w:eastAsia="宋体" w:cs="宋体"/>
          <w:b/>
          <w:bCs/>
          <w:color w:val="auto"/>
          <w:sz w:val="24"/>
          <w:szCs w:val="20"/>
          <w:highlight w:val="none"/>
        </w:rPr>
        <w:t xml:space="preserve">二、招标文件</w:t>
      </w:r>
      <w:bookmarkEnd w:id="60"/>
      <w:r/>
      <w:bookmarkEnd w:id="61"/>
      <w:r/>
      <w:bookmarkEnd w:id="62"/>
      <w:r/>
      <w:bookmarkEnd w:id="63"/>
      <w:r/>
      <w:r/>
    </w:p>
    <w:p>
      <w:pPr>
        <w:ind w:firstLine="482"/>
        <w:jc w:val="left"/>
        <w:keepNext/>
        <w:spacing w:line="560" w:lineRule="exact"/>
        <w:rPr>
          <w:rFonts w:ascii="宋体" w:hAnsi="宋体" w:eastAsia="宋体" w:cs="宋体"/>
          <w:b/>
          <w:bCs/>
          <w:color w:val="auto"/>
          <w:sz w:val="24"/>
          <w:szCs w:val="20"/>
          <w:highlight w:val="none"/>
        </w:rPr>
      </w:pPr>
      <w:r/>
      <w:bookmarkStart w:id="64" w:name="_Toc513029210"/>
      <w:r/>
      <w:bookmarkStart w:id="65" w:name="_Toc16938526"/>
      <w:r/>
      <w:bookmarkStart w:id="66" w:name="_Toc20823282"/>
      <w:r>
        <w:rPr>
          <w:rFonts w:hint="eastAsia" w:ascii="宋体" w:hAnsi="宋体" w:eastAsia="宋体" w:cs="宋体"/>
          <w:b/>
          <w:bCs/>
          <w:color w:val="auto"/>
          <w:sz w:val="24"/>
          <w:szCs w:val="20"/>
          <w:highlight w:val="none"/>
        </w:rPr>
        <w:t xml:space="preserve">6、招标文件构成</w:t>
      </w:r>
      <w:bookmarkEnd w:id="64"/>
      <w:r/>
      <w:bookmarkEnd w:id="65"/>
      <w:r/>
      <w:bookmarkEnd w:id="66"/>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6.1招标文件由以下部分组成：</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（5）评标方法与评标标准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请仔细检查招标文件是否齐全，如有缺漏请立即与采购中心联系解决。</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Next/>
        <w:spacing w:line="560" w:lineRule="exact"/>
        <w:rPr>
          <w:rFonts w:ascii="宋体" w:hAnsi="宋体" w:eastAsia="宋体" w:cs="宋体"/>
          <w:b/>
          <w:bCs/>
          <w:color w:val="auto"/>
          <w:sz w:val="24"/>
          <w:szCs w:val="20"/>
          <w:highlight w:val="none"/>
        </w:rPr>
      </w:pPr>
      <w:r/>
      <w:bookmarkStart w:id="67" w:name="_Toc16938527"/>
      <w:r/>
      <w:bookmarkStart w:id="68" w:name="_Toc513029211"/>
      <w:r/>
      <w:bookmarkStart w:id="69" w:name="_Toc462564070"/>
      <w:r/>
      <w:bookmarkStart w:id="70" w:name="_Toc20823283"/>
      <w:r>
        <w:rPr>
          <w:rFonts w:hint="eastAsia" w:ascii="宋体" w:hAnsi="宋体" w:eastAsia="宋体" w:cs="宋体"/>
          <w:b/>
          <w:bCs/>
          <w:color w:val="auto"/>
          <w:sz w:val="24"/>
          <w:szCs w:val="20"/>
          <w:highlight w:val="none"/>
        </w:rPr>
        <w:t xml:space="preserve">7、招标文件的澄清</w:t>
      </w:r>
      <w:bookmarkEnd w:id="67"/>
      <w:r/>
      <w:bookmarkEnd w:id="68"/>
      <w:r/>
      <w:bookmarkEnd w:id="69"/>
      <w:r/>
      <w:bookmarkEnd w:id="70"/>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前按招标公告中的通讯地址，以书面形式通知采购中心。</w:t>
      </w:r>
      <w:r/>
    </w:p>
    <w:p>
      <w:pPr>
        <w:ind w:firstLine="482"/>
        <w:jc w:val="left"/>
        <w:keepNext/>
        <w:spacing w:line="560" w:lineRule="exact"/>
        <w:rPr>
          <w:rFonts w:ascii="宋体" w:hAnsi="宋体" w:eastAsia="宋体" w:cs="宋体"/>
          <w:b/>
          <w:bCs/>
          <w:color w:val="auto"/>
          <w:sz w:val="24"/>
          <w:szCs w:val="20"/>
          <w:highlight w:val="none"/>
        </w:rPr>
      </w:pPr>
      <w:r/>
      <w:bookmarkStart w:id="71" w:name="_Toc462564071"/>
      <w:r/>
      <w:bookmarkStart w:id="72" w:name="_Toc20823284"/>
      <w:r/>
      <w:bookmarkStart w:id="73" w:name="_Toc513029212"/>
      <w:r/>
      <w:bookmarkStart w:id="74" w:name="_Toc16938528"/>
      <w:r>
        <w:rPr>
          <w:rFonts w:hint="eastAsia" w:ascii="宋体" w:hAnsi="宋体" w:eastAsia="宋体" w:cs="宋体"/>
          <w:b/>
          <w:bCs/>
          <w:color w:val="auto"/>
          <w:sz w:val="24"/>
          <w:szCs w:val="20"/>
          <w:highlight w:val="none"/>
        </w:rPr>
        <w:t xml:space="preserve">8、招标文件的修改</w:t>
      </w:r>
      <w:bookmarkEnd w:id="71"/>
      <w:r/>
      <w:bookmarkEnd w:id="72"/>
      <w:r/>
      <w:bookmarkEnd w:id="73"/>
      <w:r/>
      <w:bookmarkEnd w:id="74"/>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8.1在投标截止时间前，采购中心可以对招标文件进行修改。</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8.2采购中心有权按照法定的要求推迟投标截止日期和开标日期。</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8.3招标文件的修改将在“中国政府采购网”、“江苏政府采购网”、“盐城市政府采购网”公布，补充文件将作为招标文件的组成部分，并对投标人具有约束力。</w:t>
      </w:r>
      <w:r/>
    </w:p>
    <w:p>
      <w:pPr>
        <w:ind w:firstLine="482"/>
        <w:jc w:val="left"/>
        <w:keepNext/>
        <w:spacing w:line="560" w:lineRule="exact"/>
        <w:rPr>
          <w:rFonts w:ascii="宋体" w:hAnsi="宋体" w:eastAsia="宋体" w:cs="宋体"/>
          <w:b/>
          <w:bCs/>
          <w:color w:val="auto"/>
          <w:sz w:val="24"/>
          <w:szCs w:val="20"/>
          <w:highlight w:val="none"/>
        </w:rPr>
      </w:pPr>
      <w:r/>
      <w:bookmarkStart w:id="75" w:name="_Toc513029213"/>
      <w:r/>
      <w:bookmarkStart w:id="76" w:name="_Toc20823285"/>
      <w:r/>
      <w:bookmarkStart w:id="77" w:name="_Toc120614216"/>
      <w:r/>
      <w:bookmarkStart w:id="78" w:name="_Toc16938529"/>
      <w:r/>
      <w:bookmarkStart w:id="79" w:name="_Toc462564072"/>
      <w:r>
        <w:rPr>
          <w:rFonts w:hint="eastAsia" w:ascii="宋体" w:hAnsi="宋体" w:eastAsia="宋体" w:cs="宋体"/>
          <w:b/>
          <w:bCs/>
          <w:color w:val="auto"/>
          <w:sz w:val="24"/>
          <w:szCs w:val="20"/>
          <w:highlight w:val="none"/>
        </w:rPr>
        <w:t xml:space="preserve">三、投标文件的编制</w:t>
      </w:r>
      <w:bookmarkEnd w:id="75"/>
      <w:r/>
      <w:bookmarkEnd w:id="76"/>
      <w:r/>
      <w:bookmarkEnd w:id="77"/>
      <w:r/>
      <w:bookmarkEnd w:id="78"/>
      <w:r/>
      <w:bookmarkEnd w:id="79"/>
      <w:r/>
      <w:r/>
    </w:p>
    <w:p>
      <w:pPr>
        <w:ind w:firstLine="482"/>
        <w:jc w:val="left"/>
        <w:keepNext/>
        <w:spacing w:line="560" w:lineRule="exact"/>
        <w:rPr>
          <w:rFonts w:ascii="宋体" w:hAnsi="宋体" w:eastAsia="宋体" w:cs="宋体"/>
          <w:b/>
          <w:bCs/>
          <w:color w:val="auto"/>
          <w:sz w:val="24"/>
          <w:szCs w:val="20"/>
          <w:highlight w:val="none"/>
        </w:rPr>
      </w:pPr>
      <w:r/>
      <w:bookmarkStart w:id="80" w:name="_Toc462564073"/>
      <w:r/>
      <w:bookmarkStart w:id="81" w:name="_Toc20823286"/>
      <w:r/>
      <w:bookmarkStart w:id="82" w:name="_Toc513029214"/>
      <w:r/>
      <w:bookmarkStart w:id="83" w:name="_Toc16938530"/>
      <w:r>
        <w:rPr>
          <w:rFonts w:hint="eastAsia" w:ascii="宋体" w:hAnsi="宋体" w:eastAsia="宋体" w:cs="宋体"/>
          <w:b/>
          <w:bCs/>
          <w:color w:val="auto"/>
          <w:sz w:val="24"/>
          <w:szCs w:val="20"/>
          <w:highlight w:val="none"/>
        </w:rPr>
        <w:t xml:space="preserve">9、投标文件的语言及度量衡单位</w:t>
      </w:r>
      <w:bookmarkEnd w:id="80"/>
      <w:r/>
      <w:bookmarkEnd w:id="81"/>
      <w:r/>
      <w:bookmarkEnd w:id="82"/>
      <w:r/>
      <w:bookmarkEnd w:id="83"/>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2"/>
        <w:jc w:val="left"/>
        <w:keepNext/>
        <w:spacing w:line="560" w:lineRule="exact"/>
        <w:rPr>
          <w:rFonts w:ascii="宋体" w:hAnsi="宋体" w:eastAsia="宋体" w:cs="宋体"/>
          <w:b/>
          <w:bCs/>
          <w:color w:val="auto"/>
          <w:sz w:val="24"/>
          <w:szCs w:val="20"/>
          <w:highlight w:val="none"/>
        </w:rPr>
      </w:pPr>
      <w:r/>
      <w:bookmarkStart w:id="84" w:name="_Toc513029215"/>
      <w:r/>
      <w:bookmarkStart w:id="85" w:name="_Toc462564074"/>
      <w:r/>
      <w:bookmarkStart w:id="86" w:name="_Toc16938531"/>
      <w:r/>
      <w:bookmarkStart w:id="87" w:name="_Toc20823287"/>
      <w:r>
        <w:rPr>
          <w:rFonts w:hint="eastAsia" w:ascii="宋体" w:hAnsi="宋体" w:eastAsia="宋体" w:cs="宋体"/>
          <w:b/>
          <w:bCs/>
          <w:color w:val="auto"/>
          <w:sz w:val="24"/>
          <w:szCs w:val="20"/>
          <w:highlight w:val="none"/>
        </w:rPr>
        <w:t xml:space="preserve">10、投标文件构成</w:t>
      </w:r>
      <w:bookmarkEnd w:id="84"/>
      <w:r/>
      <w:bookmarkEnd w:id="85"/>
      <w:r/>
      <w:bookmarkEnd w:id="86"/>
      <w:r/>
      <w:bookmarkEnd w:id="87"/>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Next/>
        <w:spacing w:line="560" w:lineRule="exact"/>
        <w:rPr>
          <w:rFonts w:ascii="宋体" w:hAnsi="宋体" w:eastAsia="宋体" w:cs="宋体"/>
          <w:b/>
          <w:bCs/>
          <w:color w:val="auto"/>
          <w:sz w:val="24"/>
          <w:szCs w:val="20"/>
          <w:highlight w:val="none"/>
        </w:rPr>
      </w:pPr>
      <w:r/>
      <w:bookmarkStart w:id="88" w:name="_Toc49090507"/>
      <w:r/>
      <w:bookmarkStart w:id="89" w:name="_Toc513029216"/>
      <w:r/>
      <w:bookmarkStart w:id="90" w:name="_Toc49090509"/>
      <w:r/>
      <w:bookmarkStart w:id="91" w:name="_Toc14577357"/>
      <w:r/>
      <w:bookmarkStart w:id="92" w:name="_Toc49090508"/>
      <w:r/>
      <w:bookmarkStart w:id="93" w:name="_Toc14577354"/>
      <w:r/>
      <w:bookmarkStart w:id="94" w:name="_Toc513029219"/>
      <w:r/>
      <w:bookmarkStart w:id="95" w:name="_Toc14577355"/>
      <w:r>
        <w:rPr>
          <w:rFonts w:hint="eastAsia" w:ascii="宋体" w:hAnsi="宋体" w:eastAsia="宋体" w:cs="宋体"/>
          <w:b/>
          <w:bCs/>
          <w:color w:val="auto"/>
          <w:sz w:val="24"/>
          <w:szCs w:val="20"/>
          <w:highlight w:val="none"/>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11.1投标人应按照招标文件要求提交证明文件，证明其及投标标的符合招标文件规定。</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12、投标分项报价表</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13、技术要求响应及偏离表、商务要求响应及偏离表</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13.1投标人需对招标文件中的技术要求与商务要求逐项作出响应或偏离，并说明原因。</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13.2投标人可在投标文件中提供认为需要的其他技术文件或说明。</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14、服务承诺、培训计划、人员安排及其他</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14.1投标人需根据招标文件要求提供有关售后服务的管理制度，售后服务机构的分布情况，售后服务人员的数量、素质、技术水平及售后服务的反应能力等。</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14.2投标人需根据招标文件要求提供培训计划。</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14.3投标人需根据招标文件要求提供所投标的的主要组成部分、功能设计、实现思路及关键技术等。</w:t>
      </w:r>
      <w:r/>
    </w:p>
    <w:p>
      <w:pPr>
        <w:ind w:firstLine="482"/>
        <w:jc w:val="left"/>
        <w:keepNext/>
        <w:spacing w:line="560" w:lineRule="exact"/>
        <w:rPr>
          <w:rFonts w:ascii="宋体" w:hAnsi="宋体" w:eastAsia="宋体" w:cs="宋体"/>
          <w:b/>
          <w:bCs/>
          <w:color w:val="auto"/>
          <w:sz w:val="24"/>
          <w:szCs w:val="20"/>
          <w:highlight w:val="none"/>
        </w:rPr>
      </w:pPr>
      <w:r/>
      <w:bookmarkStart w:id="96" w:name="_Toc49090510"/>
      <w:r/>
      <w:bookmarkStart w:id="97" w:name="_Toc14577359"/>
      <w:r>
        <w:rPr>
          <w:rFonts w:hint="eastAsia" w:ascii="宋体" w:hAnsi="宋体" w:eastAsia="宋体" w:cs="宋体"/>
          <w:b/>
          <w:bCs/>
          <w:color w:val="auto"/>
          <w:sz w:val="24"/>
          <w:szCs w:val="20"/>
          <w:highlight w:val="none"/>
        </w:rPr>
        <w:t xml:space="preserve">15、投标函和开标一览表</w:t>
      </w:r>
      <w:bookmarkEnd w:id="96"/>
      <w:r/>
      <w:bookmarkEnd w:id="97"/>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15.1投标人应按照招标文件中提供的格式完整、正确填写投标函、开标一览表。</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jc w:val="left"/>
        <w:keepNext/>
        <w:spacing w:line="560" w:lineRule="exact"/>
        <w:rPr>
          <w:rFonts w:ascii="宋体" w:hAnsi="宋体" w:eastAsia="宋体" w:cs="宋体"/>
          <w:b/>
          <w:bCs/>
          <w:color w:val="auto"/>
          <w:sz w:val="24"/>
          <w:szCs w:val="20"/>
          <w:highlight w:val="none"/>
        </w:rPr>
      </w:pPr>
      <w:r/>
      <w:bookmarkStart w:id="98" w:name="_Toc49090511"/>
      <w:r/>
      <w:bookmarkStart w:id="99" w:name="_Toc14577360"/>
      <w:r>
        <w:rPr>
          <w:rFonts w:hint="eastAsia" w:ascii="宋体" w:hAnsi="宋体" w:eastAsia="宋体" w:cs="宋体"/>
          <w:b/>
          <w:bCs/>
          <w:color w:val="auto"/>
          <w:sz w:val="24"/>
          <w:szCs w:val="20"/>
          <w:highlight w:val="none"/>
        </w:rPr>
        <w:t xml:space="preserve">16、投标有效期</w:t>
      </w:r>
      <w:bookmarkEnd w:id="98"/>
      <w:r/>
      <w:bookmarkEnd w:id="99"/>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16.1投标有效期为采购中心规定的开标之日后</w:t>
      </w:r>
      <w:r>
        <w:rPr>
          <w:rFonts w:hint="eastAsia" w:ascii="宋体" w:hAnsi="宋体" w:eastAsia="宋体" w:cs="宋体"/>
          <w:b/>
          <w:bCs/>
          <w:color w:val="auto"/>
          <w:sz w:val="24"/>
          <w:szCs w:val="20"/>
          <w:highlight w:val="none"/>
          <w:u w:val="single"/>
        </w:rPr>
        <w:t xml:space="preserve">九十（90）天</w:t>
      </w:r>
      <w:r>
        <w:rPr>
          <w:rFonts w:hint="eastAsia" w:ascii="宋体" w:hAnsi="宋体" w:eastAsia="宋体" w:cs="宋体"/>
          <w:color w:val="auto"/>
          <w:sz w:val="24"/>
          <w:szCs w:val="20"/>
          <w:highlight w:val="none"/>
        </w:rPr>
        <w:t xml:space="preserve">。投标有效期比规定短的将被视为未实质性响应招标文件而予以拒绝。</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17、投标有效期的延长</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2"/>
        <w:jc w:val="left"/>
        <w:spacing w:line="560" w:lineRule="exact"/>
        <w:rPr>
          <w:rFonts w:ascii="宋体" w:hAnsi="宋体" w:eastAsia="宋体" w:cs="宋体"/>
          <w:b/>
          <w:bCs/>
          <w:color w:val="auto"/>
          <w:sz w:val="24"/>
          <w:szCs w:val="20"/>
          <w:highlight w:val="none"/>
        </w:rPr>
      </w:pPr>
      <w:r/>
      <w:bookmarkStart w:id="100" w:name="_Toc16938540"/>
      <w:r/>
      <w:bookmarkStart w:id="101" w:name="_Toc20823296"/>
      <w:r/>
      <w:bookmarkStart w:id="102" w:name="_Toc513029224"/>
      <w:r/>
      <w:bookmarkStart w:id="103" w:name="_Toc120614217"/>
      <w:r>
        <w:rPr>
          <w:rFonts w:hint="eastAsia" w:ascii="宋体" w:hAnsi="宋体" w:eastAsia="宋体" w:cs="宋体"/>
          <w:b/>
          <w:bCs/>
          <w:color w:val="auto"/>
          <w:sz w:val="24"/>
          <w:szCs w:val="20"/>
          <w:highlight w:val="none"/>
        </w:rPr>
        <w:t xml:space="preserve">四、投标文件的递交</w:t>
      </w:r>
      <w:bookmarkEnd w:id="100"/>
      <w:r/>
      <w:bookmarkEnd w:id="101"/>
      <w:r/>
      <w:bookmarkEnd w:id="102"/>
      <w:r/>
      <w:bookmarkEnd w:id="103"/>
      <w:r/>
      <w:r/>
    </w:p>
    <w:p>
      <w:pPr>
        <w:ind w:firstLine="482"/>
        <w:jc w:val="left"/>
        <w:spacing w:line="560" w:lineRule="exact"/>
        <w:rPr>
          <w:rFonts w:ascii="宋体" w:hAnsi="宋体" w:eastAsia="宋体" w:cs="宋体"/>
          <w:b/>
          <w:bCs/>
          <w:color w:val="auto"/>
          <w:sz w:val="24"/>
          <w:szCs w:val="20"/>
          <w:highlight w:val="none"/>
        </w:rPr>
      </w:pPr>
      <w:r/>
      <w:bookmarkStart w:id="104" w:name="_Toc513029225"/>
      <w:r/>
      <w:bookmarkStart w:id="105" w:name="_Toc20823297"/>
      <w:r/>
      <w:bookmarkStart w:id="106" w:name="_Toc16938541"/>
      <w:r/>
      <w:bookmarkStart w:id="107" w:name="_Toc462564084"/>
      <w:r>
        <w:rPr>
          <w:rFonts w:hint="eastAsia" w:ascii="宋体" w:hAnsi="宋体" w:eastAsia="宋体" w:cs="宋体"/>
          <w:b/>
          <w:bCs/>
          <w:color w:val="auto"/>
          <w:sz w:val="24"/>
          <w:szCs w:val="20"/>
          <w:highlight w:val="none"/>
        </w:rPr>
        <w:t xml:space="preserve">18、电子投标文件</w:t>
      </w:r>
      <w:bookmarkEnd w:id="104"/>
      <w:r/>
      <w:bookmarkEnd w:id="105"/>
      <w:r/>
      <w:bookmarkEnd w:id="106"/>
      <w:r/>
      <w:bookmarkEnd w:id="107"/>
      <w:r>
        <w:rPr>
          <w:rFonts w:hint="eastAsia" w:ascii="宋体" w:hAnsi="宋体" w:eastAsia="宋体" w:cs="宋体"/>
          <w:b/>
          <w:bCs/>
          <w:color w:val="auto"/>
          <w:sz w:val="24"/>
          <w:szCs w:val="20"/>
          <w:highlight w:val="none"/>
        </w:rPr>
        <w:t xml:space="preserve">的递交</w:t>
      </w:r>
      <w:r/>
    </w:p>
    <w:p>
      <w:pPr>
        <w:ind w:firstLine="480"/>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18.1投标人应当按照《操作手册》规定，在投标截止时间前制作并上传电子投标文件。</w:t>
      </w:r>
      <w:bookmarkStart w:id="108" w:name="_Toc16938542"/>
      <w:r/>
      <w:bookmarkEnd w:id="108"/>
      <w:r/>
      <w:bookmarkStart w:id="109" w:name="_Toc20823298"/>
      <w:r/>
      <w:bookmarkEnd w:id="109"/>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19、投标截止日期</w:t>
      </w:r>
      <w:r/>
    </w:p>
    <w:p>
      <w:pPr>
        <w:pStyle w:val="738"/>
        <w:ind w:firstLine="480"/>
        <w:jc w:val="both"/>
        <w:spacing w:beforeAutospacing="0" w:afterAutospacing="0" w:line="480" w:lineRule="exact"/>
        <w:rPr>
          <w:rFonts w:ascii="宋体" w:hAnsi="宋体" w:eastAsia="宋体" w:cs="宋体"/>
          <w:color w:val="auto"/>
          <w:szCs w:val="20"/>
          <w:highlight w:val="none"/>
        </w:rPr>
      </w:pPr>
      <w:r>
        <w:rPr>
          <w:rFonts w:hint="eastAsia" w:ascii="宋体" w:hAnsi="宋体" w:eastAsia="宋体" w:cs="宋体"/>
          <w:i/>
          <w:color w:val="auto"/>
          <w:highlight w:val="none"/>
          <w:u w:val="single"/>
        </w:rPr>
        <w:t xml:space="preserve">19.1投标人上传电子投标文件的时间不得迟于招标公告中规定的投标截止时间</w:t>
      </w:r>
      <w:r>
        <w:rPr>
          <w:rFonts w:hint="eastAsia" w:ascii="宋体" w:hAnsi="宋体" w:eastAsia="宋体" w:cs="宋体"/>
          <w:i/>
          <w:color w:val="auto"/>
          <w:highlight w:val="none"/>
        </w:rPr>
        <w:t xml:space="preserve">。</w:t>
      </w:r>
      <w:r/>
    </w:p>
    <w:p>
      <w:pPr>
        <w:pStyle w:val="738"/>
        <w:ind w:firstLine="480"/>
        <w:jc w:val="both"/>
        <w:spacing w:beforeAutospacing="0" w:afterAutospacing="0" w:line="480" w:lineRule="exact"/>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19.2采购中心可以按照规定，通过修改招标文件酌情延长投标截止日期，在此情况下，投标人的所有权利和义务以及投标人受制的截止日期均应以延长后新的截止日期为准。</w:t>
      </w:r>
      <w:r/>
    </w:p>
    <w:p>
      <w:pPr>
        <w:ind w:firstLine="482"/>
        <w:jc w:val="left"/>
        <w:keepNext/>
        <w:spacing w:line="560" w:lineRule="exact"/>
        <w:rPr>
          <w:rFonts w:ascii="宋体" w:hAnsi="宋体" w:eastAsia="宋体" w:cs="宋体"/>
          <w:b/>
          <w:bCs/>
          <w:color w:val="auto"/>
          <w:sz w:val="24"/>
          <w:szCs w:val="20"/>
          <w:highlight w:val="none"/>
        </w:rPr>
      </w:pPr>
      <w:r/>
      <w:bookmarkStart w:id="110" w:name="_Toc20823299"/>
      <w:r/>
      <w:bookmarkStart w:id="111" w:name="_Toc16938543"/>
      <w:r/>
      <w:bookmarkStart w:id="112" w:name="_Toc513029227"/>
      <w:r>
        <w:rPr>
          <w:rFonts w:hint="eastAsia" w:ascii="宋体" w:hAnsi="宋体" w:eastAsia="宋体" w:cs="宋体"/>
          <w:b/>
          <w:bCs/>
          <w:color w:val="auto"/>
          <w:sz w:val="24"/>
          <w:szCs w:val="20"/>
          <w:highlight w:val="none"/>
        </w:rPr>
        <w:t xml:space="preserve">20、投标文件</w:t>
      </w:r>
      <w:bookmarkEnd w:id="110"/>
      <w:r/>
      <w:bookmarkEnd w:id="111"/>
      <w:r/>
      <w:bookmarkEnd w:id="112"/>
      <w:r>
        <w:rPr>
          <w:rFonts w:hint="eastAsia" w:ascii="宋体" w:hAnsi="宋体" w:eastAsia="宋体" w:cs="宋体"/>
          <w:b/>
          <w:bCs/>
          <w:color w:val="auto"/>
          <w:sz w:val="24"/>
          <w:szCs w:val="20"/>
          <w:highlight w:val="none"/>
        </w:rPr>
        <w:t xml:space="preserve">的拒收</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20.1采购中心拒绝接收在其规定的投标截止时间后上传的任何投标文件。</w:t>
      </w:r>
      <w:r/>
    </w:p>
    <w:p>
      <w:pPr>
        <w:ind w:firstLine="482"/>
        <w:jc w:val="left"/>
        <w:keepNext/>
        <w:spacing w:line="560" w:lineRule="exact"/>
        <w:rPr>
          <w:rFonts w:ascii="宋体" w:hAnsi="宋体" w:eastAsia="宋体" w:cs="宋体"/>
          <w:b/>
          <w:bCs/>
          <w:color w:val="auto"/>
          <w:sz w:val="24"/>
          <w:szCs w:val="20"/>
          <w:highlight w:val="none"/>
        </w:rPr>
      </w:pPr>
      <w:r/>
      <w:bookmarkStart w:id="113" w:name="_Toc16938544"/>
      <w:r/>
      <w:bookmarkStart w:id="114" w:name="_Toc20823300"/>
      <w:r/>
      <w:bookmarkStart w:id="115" w:name="_Toc513029228"/>
      <w:r>
        <w:rPr>
          <w:rFonts w:hint="eastAsia" w:ascii="宋体" w:hAnsi="宋体" w:eastAsia="宋体" w:cs="宋体"/>
          <w:b/>
          <w:bCs/>
          <w:color w:val="auto"/>
          <w:sz w:val="24"/>
          <w:szCs w:val="20"/>
          <w:highlight w:val="none"/>
        </w:rPr>
        <w:t xml:space="preserve">21、投标文件的撤回和修改</w:t>
      </w:r>
      <w:bookmarkEnd w:id="113"/>
      <w:r/>
      <w:bookmarkEnd w:id="114"/>
      <w:r/>
      <w:bookmarkEnd w:id="115"/>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21.1投标文件的撤回</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21.1.1电子投标文件的撤回</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投标人可在投标截止时间前，撤回其电子投标文件，具体操作方法见《操作手册》。</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21.1.2投标人撤回电子投标文件，则认为其不再参与本项目投标活动。</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21.2投标文件的修改</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21.2.1投标人可在投标截止时间前，对其电子投标文件进行修改，具体操作方法见《操作手册》。</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21.2.2在投标截止时间之后，投标人不得对其电子投标文件作任何修改。</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21.3在投标截止时间至招标文件中规定的投标有效期满之间的这段时间内，投标人不得撤回其投标。</w:t>
      </w:r>
      <w:r/>
    </w:p>
    <w:p>
      <w:pPr>
        <w:ind w:firstLine="482"/>
        <w:jc w:val="left"/>
        <w:spacing w:line="560" w:lineRule="exact"/>
        <w:rPr>
          <w:rFonts w:ascii="宋体" w:hAnsi="宋体" w:eastAsia="宋体" w:cs="宋体"/>
          <w:b/>
          <w:bCs/>
          <w:color w:val="auto"/>
          <w:sz w:val="24"/>
          <w:szCs w:val="20"/>
          <w:highlight w:val="none"/>
        </w:rPr>
      </w:pPr>
      <w:r/>
      <w:bookmarkStart w:id="116" w:name="_Toc16938545"/>
      <w:r/>
      <w:bookmarkStart w:id="117" w:name="_Toc513029229"/>
      <w:r/>
      <w:bookmarkStart w:id="118" w:name="_Toc20823301"/>
      <w:r/>
      <w:bookmarkStart w:id="119" w:name="_Toc120614218"/>
      <w:r>
        <w:rPr>
          <w:rFonts w:hint="eastAsia" w:ascii="宋体" w:hAnsi="宋体" w:eastAsia="宋体" w:cs="宋体"/>
          <w:b/>
          <w:bCs/>
          <w:color w:val="auto"/>
          <w:sz w:val="24"/>
          <w:szCs w:val="20"/>
          <w:highlight w:val="none"/>
        </w:rPr>
        <w:t xml:space="preserve">五、开标与评标</w:t>
      </w:r>
      <w:bookmarkEnd w:id="116"/>
      <w:r/>
      <w:bookmarkEnd w:id="117"/>
      <w:r/>
      <w:bookmarkEnd w:id="118"/>
      <w:r/>
      <w:bookmarkEnd w:id="119"/>
      <w:r/>
      <w:r/>
    </w:p>
    <w:p>
      <w:pPr>
        <w:ind w:firstLine="482"/>
        <w:jc w:val="left"/>
        <w:spacing w:line="560" w:lineRule="exact"/>
        <w:rPr>
          <w:rFonts w:ascii="宋体" w:hAnsi="宋体" w:eastAsia="宋体" w:cs="宋体"/>
          <w:b/>
          <w:bCs/>
          <w:color w:val="auto"/>
          <w:sz w:val="24"/>
          <w:szCs w:val="20"/>
          <w:highlight w:val="none"/>
        </w:rPr>
      </w:pPr>
      <w:r/>
      <w:bookmarkStart w:id="120" w:name="_Toc20823302"/>
      <w:r/>
      <w:bookmarkStart w:id="121" w:name="_Toc16938546"/>
      <w:r/>
      <w:bookmarkStart w:id="122" w:name="_Toc513029230"/>
      <w:r>
        <w:rPr>
          <w:rFonts w:hint="eastAsia" w:ascii="宋体" w:hAnsi="宋体" w:eastAsia="宋体" w:cs="宋体"/>
          <w:b/>
          <w:bCs/>
          <w:color w:val="auto"/>
          <w:sz w:val="24"/>
          <w:szCs w:val="20"/>
          <w:highlight w:val="none"/>
        </w:rPr>
        <w:t xml:space="preserve">22、开标</w:t>
      </w:r>
      <w:bookmarkEnd w:id="120"/>
      <w:r/>
      <w:bookmarkEnd w:id="121"/>
      <w:r/>
      <w:bookmarkEnd w:id="122"/>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22.2开标仪式由采购中心组织。苏采云系统将自动对项目进行开标，并宣布各投标人名称和投标价格。</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22.3投标人在开标过程中涉及到的投标文件解密、开标结果确认等工作，应按照《操作手册》规定执行。</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22.4投标人如果对开标过程和开标记录有疑义，应当根据《操作手册》规定提出，如苏采云系统中《开标记录表》宣布后5分钟内未提出的，视同认可开标结果。</w:t>
      </w:r>
      <w:r/>
    </w:p>
    <w:p>
      <w:pPr>
        <w:ind w:firstLine="482"/>
        <w:jc w:val="left"/>
        <w:keepNext/>
        <w:spacing w:line="560" w:lineRule="exact"/>
        <w:rPr>
          <w:rFonts w:ascii="宋体" w:hAnsi="宋体" w:eastAsia="宋体" w:cs="宋体"/>
          <w:b/>
          <w:bCs/>
          <w:color w:val="auto"/>
          <w:sz w:val="24"/>
          <w:szCs w:val="20"/>
          <w:highlight w:val="none"/>
        </w:rPr>
      </w:pPr>
      <w:r/>
      <w:bookmarkStart w:id="123" w:name="_Toc20823303"/>
      <w:r/>
      <w:bookmarkStart w:id="124" w:name="_Toc16938547"/>
      <w:r/>
      <w:bookmarkStart w:id="125" w:name="_Toc513029231"/>
      <w:r>
        <w:rPr>
          <w:rFonts w:hint="eastAsia" w:ascii="宋体" w:hAnsi="宋体" w:eastAsia="宋体" w:cs="宋体"/>
          <w:b/>
          <w:bCs/>
          <w:color w:val="auto"/>
          <w:sz w:val="24"/>
          <w:szCs w:val="20"/>
          <w:highlight w:val="none"/>
        </w:rPr>
        <w:t xml:space="preserve">23、评标委员会</w:t>
      </w:r>
      <w:bookmarkEnd w:id="123"/>
      <w:r/>
      <w:bookmarkEnd w:id="124"/>
      <w:r/>
      <w:bookmarkEnd w:id="125"/>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23.1开标后，采购中心将立即组织评标委员会（以下简称评委会）进行评标。</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23.2评委会由采购人代表和有关技术、经济等方面的专家组成，且人员构成符合政府采购有关规定。</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23.3评委会独立工作，负责评审所有投标文件并确定中标候选人。</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24、评标过程的保密与公正</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24.1凡是与审查、澄清、评价和比较投标的有关资料以及授标建议等，采购人、评委、采购中心均不得向投标人或与评标无关的其他人员透露。</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24.2在评标过程中，投标人不得以任何行为影响评标过程，否则其投标文件将被作为无效投标文件。</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24.3采购中心和评标委员会不向未中标的投标人解释未中标原因，也不公布评标过程中的相关细节。</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24.4采用综合评分法的项目，未中标的投标人可于中标结果公告期限届满之日起通过苏采云系统查看自己的评审得分及排序情况。</w:t>
      </w:r>
      <w:r/>
    </w:p>
    <w:p>
      <w:pPr>
        <w:ind w:firstLine="482"/>
        <w:jc w:val="left"/>
        <w:keepNext/>
        <w:spacing w:line="560" w:lineRule="exact"/>
        <w:rPr>
          <w:rFonts w:ascii="宋体" w:hAnsi="宋体" w:eastAsia="宋体" w:cs="宋体"/>
          <w:b/>
          <w:bCs/>
          <w:color w:val="auto"/>
          <w:sz w:val="24"/>
          <w:szCs w:val="20"/>
          <w:highlight w:val="none"/>
        </w:rPr>
      </w:pPr>
      <w:r/>
      <w:bookmarkStart w:id="126" w:name="_Toc20823304"/>
      <w:r/>
      <w:bookmarkStart w:id="127" w:name="_Toc513029232"/>
      <w:r/>
      <w:bookmarkStart w:id="128" w:name="_Toc16938548"/>
      <w:r>
        <w:rPr>
          <w:rFonts w:hint="eastAsia" w:ascii="宋体" w:hAnsi="宋体" w:eastAsia="宋体" w:cs="宋体"/>
          <w:b/>
          <w:bCs/>
          <w:color w:val="auto"/>
          <w:sz w:val="24"/>
          <w:szCs w:val="20"/>
          <w:highlight w:val="none"/>
        </w:rPr>
        <w:t xml:space="preserve">25、投标文件的澄清</w:t>
      </w:r>
      <w:bookmarkEnd w:id="126"/>
      <w:r/>
      <w:bookmarkEnd w:id="127"/>
      <w:r/>
      <w:bookmarkEnd w:id="128"/>
      <w:r/>
      <w:r/>
    </w:p>
    <w:p>
      <w:pPr>
        <w:ind w:firstLine="482"/>
        <w:jc w:val="left"/>
        <w:spacing w:line="560" w:lineRule="exact"/>
        <w:rPr>
          <w:rFonts w:ascii="宋体" w:hAnsi="宋体" w:eastAsia="宋体" w:cs="宋体"/>
          <w:color w:val="auto"/>
          <w:sz w:val="24"/>
          <w:szCs w:val="20"/>
          <w:highlight w:val="none"/>
        </w:rPr>
      </w:pPr>
      <w:r/>
      <w:bookmarkStart w:id="129" w:name="_Toc16938549"/>
      <w:r/>
      <w:bookmarkStart w:id="130" w:name="_Toc20823305"/>
      <w:r/>
      <w:bookmarkStart w:id="131" w:name="_Toc513029233"/>
      <w:r>
        <w:rPr>
          <w:rFonts w:hint="eastAsia" w:ascii="宋体" w:hAnsi="宋体" w:eastAsia="宋体" w:cs="宋体"/>
          <w:color w:val="auto"/>
          <w:sz w:val="24"/>
          <w:szCs w:val="20"/>
          <w:highlight w:val="none"/>
        </w:rPr>
        <w:t xml:space="preserve">25.1评标期间，评委会对投标文件中含义不明确、同类问题表述不一致或者有明显文字和计算错误的内容，有权要求投标人作出必要的澄清、说明或者补正。</w:t>
      </w:r>
      <w:bookmarkEnd w:id="129"/>
      <w:r/>
      <w:bookmarkEnd w:id="130"/>
      <w:r/>
      <w:bookmarkEnd w:id="131"/>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投标人的澄清、说明或者补正不得超出投标文件的范围或者改变投标文件的实质性内容。</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评标委员会并非对每个投标人都做澄清要求。</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25.3接到评委会澄清、说明和补正要求的投标人如未按规定作出澄清、说明和补正，其风险由投标人自行承担。</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26、对投标文件的初审</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26.1投标文件初审分为资格审查和符合性审查。</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26.1.1资格审查：依据法律法规和招标文件的规定，由采购人对投标文件中的资格证明文件进行审查。资格审查的结论，采购人以书面形式向评委会进行反馈。</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26.4评委会将对确定为实质性响应的投标进行进一步审核，看其是否有计算上或累加上的算术错误，修正错误的原则如下：</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（1）投标文件中开标一览表内容与投标文件中相应内容不一致的，以开标一览表为准。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（2）大写金额和小写金额不一致的，以大写金额为准。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（3）单价金额小数点或者百分比有明显错位的，以开标一览表的总价为准，并修改单价。</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（4）总价金额与按单价汇总金额不一致的，以单价金额计算结果为准。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同时出现两种以上错误的，按照前款规定的顺序修正。</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rPr>
          <w:rFonts w:ascii="宋体" w:hAnsi="宋体" w:eastAsia="宋体" w:cs="宋体"/>
          <w:color w:val="auto"/>
          <w:sz w:val="24"/>
          <w:szCs w:val="20"/>
          <w:highlight w:val="none"/>
        </w:rPr>
      </w:pPr>
      <w:r/>
      <w:bookmarkStart w:id="132" w:name="_Toc20823306"/>
      <w:r/>
      <w:bookmarkStart w:id="133" w:name="_Toc513029234"/>
      <w:r/>
      <w:bookmarkStart w:id="134" w:name="_Toc16938550"/>
      <w:r>
        <w:rPr>
          <w:rFonts w:hint="eastAsia" w:ascii="宋体" w:hAnsi="宋体" w:eastAsia="宋体" w:cs="宋体"/>
          <w:color w:val="auto"/>
          <w:sz w:val="24"/>
          <w:szCs w:val="2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2"/>
      <w:r/>
      <w:bookmarkEnd w:id="133"/>
      <w:r/>
      <w:bookmarkEnd w:id="134"/>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非单一产品采购项目，招标文件中将载明其中的核心产品。多家投标人提供的核心产品品牌相同的，按前两款规定处理。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26.7投标人在开、评标全过程中应保持通信畅通，及时登录苏采云系统查阅、答复相关信息，并安排专人与采购中心及评标委员会联系。</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27、无效投标条款和废标条款</w:t>
      </w:r>
      <w:r/>
    </w:p>
    <w:p>
      <w:pPr>
        <w:ind w:firstLine="482"/>
        <w:jc w:val="left"/>
        <w:spacing w:line="560" w:lineRule="exact"/>
        <w:rPr>
          <w:rFonts w:ascii="宋体" w:hAnsi="宋体" w:eastAsia="宋体" w:cs="宋体"/>
          <w:color w:val="auto"/>
          <w:sz w:val="24"/>
          <w:szCs w:val="20"/>
          <w:highlight w:val="none"/>
        </w:rPr>
      </w:pPr>
      <w:r/>
      <w:bookmarkStart w:id="135" w:name="_Toc20823307"/>
      <w:r/>
      <w:bookmarkStart w:id="136" w:name="_Toc16938551"/>
      <w:r/>
      <w:bookmarkStart w:id="137" w:name="_Toc513029235"/>
      <w:r>
        <w:rPr>
          <w:rFonts w:hint="eastAsia" w:ascii="宋体" w:hAnsi="宋体" w:eastAsia="宋体" w:cs="宋体"/>
          <w:color w:val="auto"/>
          <w:sz w:val="24"/>
          <w:szCs w:val="20"/>
          <w:highlight w:val="none"/>
        </w:rPr>
        <w:t xml:space="preserve">27.1无效投标条款</w:t>
      </w:r>
      <w:bookmarkEnd w:id="135"/>
      <w:r/>
      <w:bookmarkEnd w:id="136"/>
      <w:r/>
      <w:bookmarkEnd w:id="137"/>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27.1.1投标人在苏采云系统规定的时间内未成功解密电子投标文件的。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27.1.2投标人未按照招标文件要求上传电子投标文件的。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27.1.3同一投标人提交两个（含两个）以上不同的投标报价的。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27.1.4投标人不具备招标文件中规定资格要求的。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27.1.5投标人的报价超过了采购预算或最高限价的。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27.1.6未通过符合性审查的。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27.1.7不符合招标文件中规定的实质性要求和条件的（</w:t>
      </w:r>
      <w:r>
        <w:rPr>
          <w:rFonts w:hint="eastAsia" w:ascii="宋体" w:hAnsi="宋体" w:eastAsia="宋体" w:cs="宋体"/>
          <w:i/>
          <w:iCs/>
          <w:color w:val="auto"/>
          <w:sz w:val="24"/>
          <w:szCs w:val="20"/>
          <w:highlight w:val="none"/>
          <w:u w:val="single"/>
        </w:rPr>
        <w:t xml:space="preserve">本招标文件中</w:t>
      </w:r>
      <w:r>
        <w:rPr>
          <w:rFonts w:hint="eastAsia" w:ascii="宋体" w:hAnsi="宋体" w:eastAsia="宋体" w:cs="宋体"/>
          <w:i/>
          <w:color w:val="auto"/>
          <w:sz w:val="24"/>
          <w:szCs w:val="32"/>
          <w:highlight w:val="none"/>
          <w:u w:val="single"/>
        </w:rPr>
        <w:t xml:space="preserve">标注</w:t>
      </w:r>
      <w:r>
        <w:rPr>
          <w:rFonts w:hint="eastAsia" w:ascii="宋体" w:hAnsi="宋体" w:eastAsia="宋体" w:cs="宋体"/>
          <w:i/>
          <w:color w:val="auto"/>
          <w:sz w:val="23"/>
          <w:szCs w:val="23"/>
          <w:highlight w:val="none"/>
          <w:u w:val="single"/>
          <w:shd w:val="clear" w:color="auto" w:fill="f7f7f7"/>
        </w:rPr>
        <w:t xml:space="preserve">★</w:t>
      </w:r>
      <w:r>
        <w:rPr>
          <w:rFonts w:hint="eastAsia" w:ascii="宋体" w:hAnsi="宋体" w:eastAsia="宋体" w:cs="宋体"/>
          <w:i/>
          <w:iCs/>
          <w:color w:val="auto"/>
          <w:sz w:val="24"/>
          <w:szCs w:val="20"/>
          <w:highlight w:val="none"/>
          <w:u w:val="single"/>
        </w:rPr>
        <w:t xml:space="preserve">斜体且有下划线部分为实质性要求和条件</w:t>
      </w:r>
      <w:r>
        <w:rPr>
          <w:rFonts w:hint="eastAsia" w:ascii="宋体" w:hAnsi="宋体" w:eastAsia="宋体" w:cs="宋体"/>
          <w:color w:val="auto"/>
          <w:sz w:val="24"/>
          <w:szCs w:val="20"/>
          <w:highlight w:val="none"/>
        </w:rPr>
        <w:t xml:space="preserve">）。</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27.1.9投标文件含有采购人不能接受的附加条件的。</w:t>
      </w:r>
      <w:r/>
    </w:p>
    <w:p>
      <w:pPr>
        <w:ind w:firstLine="482"/>
        <w:jc w:val="left"/>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27.1.10</w:t>
      </w:r>
      <w:r>
        <w:rPr>
          <w:rFonts w:hint="eastAsia" w:ascii="宋体" w:hAnsi="宋体" w:eastAsia="宋体" w:cs="宋体"/>
          <w:color w:val="auto"/>
          <w:sz w:val="24"/>
          <w:szCs w:val="20"/>
          <w:highlight w:val="none"/>
        </w:rPr>
        <w:t xml:space="preserve">投标人不能证明其报价合理性的，评标委员会应当将其作为无效投标处理。根据《关于推动解决政府采购异常低价问题的通知》（财库〔2026〕2 号）文件要求，落实强化政府采购异常低价审查管理：</w:t>
      </w:r>
      <w:r/>
    </w:p>
    <w:p>
      <w:pPr>
        <w:ind w:firstLine="480"/>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（一）评审过程中出现下列情形之一的，评标委员会应当启动异常低价投标审查程序：</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3.投标（响应）报价低于采购项目最高限价45%的，即投标（响应）报价&lt;采购项目最高限价×45%；</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4.评审委员会基于专业判断，认为供应商报价过低，有可能影响产品质量或者不能诚信履约的其他情形。</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相关法律法规对供应商报价有规定的，从其规定。</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27.1.12投标文件未按照招标文件要求加盖CA电子公章的。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27.1.13其他法律、法规及本招标文件规定的属无效投标的情形。</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27.2废标条款</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27.2.1符合专业条件的供应商或者对招标文件作实质响应的供应商不足三家的。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27.2.2出现影响采购公正的违法、违规行为的。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27.2.3因重大变故，采购任务取消的。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27.2.4评标委员会认定招标文件存在歧义、重大缺陷导致评审工作无法进行。</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27.2.5因苏采云系统故障原因造成开标不成功的。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27.3投标截止时间结束后参加投标的供应商不足三家的处理：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27.3.1如出现投标截止时间结束后参加投标的供应商或者在评标期间对招标文件做出实质响应的供应商不足三家情况，按政府采购相关规定执行。</w:t>
      </w:r>
      <w:r/>
    </w:p>
    <w:p>
      <w:pPr>
        <w:ind w:firstLine="482"/>
        <w:jc w:val="left"/>
        <w:spacing w:line="560" w:lineRule="exact"/>
        <w:rPr>
          <w:rFonts w:ascii="宋体" w:hAnsi="宋体" w:eastAsia="宋体" w:cs="宋体"/>
          <w:b/>
          <w:bCs/>
          <w:color w:val="auto"/>
          <w:sz w:val="24"/>
          <w:szCs w:val="20"/>
          <w:highlight w:val="none"/>
        </w:rPr>
      </w:pPr>
      <w:r/>
      <w:bookmarkStart w:id="138" w:name="_Toc120614219"/>
      <w:r>
        <w:rPr>
          <w:rFonts w:hint="eastAsia" w:ascii="宋体" w:hAnsi="宋体" w:eastAsia="宋体" w:cs="宋体"/>
          <w:b/>
          <w:bCs/>
          <w:color w:val="auto"/>
          <w:sz w:val="24"/>
          <w:szCs w:val="20"/>
          <w:highlight w:val="none"/>
        </w:rPr>
        <w:t xml:space="preserve">六、定标</w:t>
      </w:r>
      <w:bookmarkEnd w:id="138"/>
      <w:r/>
      <w:r/>
    </w:p>
    <w:p>
      <w:pPr>
        <w:ind w:firstLine="482"/>
        <w:jc w:val="left"/>
        <w:keepNext/>
        <w:spacing w:line="560" w:lineRule="exact"/>
        <w:rPr>
          <w:rFonts w:ascii="宋体" w:hAnsi="宋体" w:eastAsia="宋体" w:cs="宋体"/>
          <w:b/>
          <w:bCs/>
          <w:color w:val="auto"/>
          <w:sz w:val="24"/>
          <w:szCs w:val="20"/>
          <w:highlight w:val="none"/>
        </w:rPr>
      </w:pPr>
      <w:r/>
      <w:bookmarkStart w:id="139" w:name="_Toc20823310"/>
      <w:r/>
      <w:bookmarkStart w:id="140" w:name="_Toc513029238"/>
      <w:r/>
      <w:bookmarkStart w:id="141" w:name="_Toc16938554"/>
      <w:r>
        <w:rPr>
          <w:rFonts w:hint="eastAsia" w:ascii="宋体" w:hAnsi="宋体" w:eastAsia="宋体" w:cs="宋体"/>
          <w:b/>
          <w:bCs/>
          <w:color w:val="auto"/>
          <w:sz w:val="24"/>
          <w:szCs w:val="20"/>
          <w:highlight w:val="none"/>
        </w:rPr>
        <w:t xml:space="preserve">28、</w:t>
      </w:r>
      <w:bookmarkEnd w:id="139"/>
      <w:r>
        <w:rPr>
          <w:rFonts w:hint="eastAsia" w:ascii="宋体" w:hAnsi="宋体" w:eastAsia="宋体" w:cs="宋体"/>
          <w:b/>
          <w:bCs/>
          <w:color w:val="auto"/>
          <w:sz w:val="24"/>
          <w:szCs w:val="20"/>
          <w:highlight w:val="none"/>
        </w:rPr>
        <w:t xml:space="preserve">确定</w:t>
      </w:r>
      <w:bookmarkEnd w:id="140"/>
      <w:r/>
      <w:bookmarkEnd w:id="141"/>
      <w:r>
        <w:rPr>
          <w:rFonts w:hint="eastAsia" w:ascii="宋体" w:hAnsi="宋体" w:eastAsia="宋体" w:cs="宋体"/>
          <w:b/>
          <w:bCs/>
          <w:color w:val="auto"/>
          <w:sz w:val="24"/>
          <w:szCs w:val="20"/>
          <w:highlight w:val="none"/>
        </w:rPr>
        <w:t xml:space="preserve">中标单位</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28.1中标候选人的选取原则和数量见招标文件第五章规定。</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28.2采购人应根据评委会推荐的中标候选人确定中标人。</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28.3采购中心将在“中国政府采购网”、“江苏政府采购网”、“盐城市政府采购网”发布中标公告，公告期限为1个工作日。</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28.4若有充分证据证明，中标人出现下列情况之一的，一经查实，将被取消中标资格：</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28.4.1提供虚假材料谋取中标的。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28.4.2向采购人、采购中心行贿或者提供其他不正当利益的。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28.4.3属于本文件规定的无效条件，但在评标过程中又未被评委会发现的。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28.4.4与采购人或者其他供应商恶意串通的。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28.4.5采取不正当手段诋毁、排挤其他供应商的。</w:t>
      </w:r>
      <w:r/>
    </w:p>
    <w:p>
      <w:pPr>
        <w:ind w:firstLine="482"/>
        <w:jc w:val="left"/>
        <w:spacing w:line="560" w:lineRule="exact"/>
        <w:rPr>
          <w:rFonts w:ascii="宋体" w:hAnsi="宋体" w:eastAsia="宋体" w:cs="宋体"/>
          <w:color w:val="auto"/>
          <w:sz w:val="24"/>
          <w:szCs w:val="20"/>
          <w:highlight w:val="none"/>
        </w:rPr>
      </w:pPr>
      <w:r/>
      <w:bookmarkStart w:id="142" w:name="_Toc200451960"/>
      <w:r>
        <w:rPr>
          <w:rFonts w:hint="eastAsia" w:ascii="宋体" w:hAnsi="宋体" w:eastAsia="宋体" w:cs="宋体"/>
          <w:color w:val="auto"/>
          <w:sz w:val="24"/>
          <w:szCs w:val="20"/>
          <w:highlight w:val="none"/>
        </w:rPr>
        <w:t xml:space="preserve">28.5有下列情形之一的，视为投标人串通投标，投标无效：</w:t>
      </w:r>
      <w:bookmarkEnd w:id="142"/>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28.5.1不同投标人的投标文件由同一单位或者个人编制；</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28.5.2不同投标人委托同一单位或者个人办理投标事宜；</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28.5.3不同投标人的投标文件载明的项目管理成员或者联系人员为同一人；</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28.5.4不同投标人的投标文件异常一致或者投标报价呈规律性差异。</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29、质疑处理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29.1提出质疑的供应商应当是参与所质疑项目采购活动的供应商。潜在供应商依法获取其可质疑的采购文件的，可以对采购文件提出质疑。</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29.2.1对可以质疑的采购文件提出质疑的，为收到采购文件之日或者采购文件公告期限届满之日；</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29.2.2对采购过程提出质疑的，为各采购程序环节结束之日；</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29.2.3对中标或者成交结果提出质疑的，为中标或者成交结果公告期限届满之日。</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29.4供应商（含潜在供应商）对采购方式、招标文件中采购需求、供应商资格条件、评标方法和评标标准、合同文本</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rPr>
        <w:t xml:space="preserve">资格审查结果</w:t>
      </w:r>
      <w:r>
        <w:rPr>
          <w:rFonts w:hint="eastAsia" w:ascii="宋体" w:hAnsi="宋体" w:eastAsia="宋体" w:cs="宋体"/>
          <w:b/>
          <w:bCs/>
          <w:color w:val="auto"/>
          <w:sz w:val="24"/>
          <w:szCs w:val="20"/>
          <w:highlight w:val="none"/>
          <w:lang w:val="en-US" w:eastAsia="zh-CN"/>
        </w:rPr>
        <w:t xml:space="preserve">及其他事项</w:t>
      </w:r>
      <w:r>
        <w:rPr>
          <w:rFonts w:hint="eastAsia" w:ascii="宋体" w:hAnsi="宋体" w:eastAsia="宋体" w:cs="宋体"/>
          <w:b/>
          <w:bCs/>
          <w:color w:val="auto"/>
          <w:sz w:val="24"/>
          <w:szCs w:val="20"/>
          <w:highlight w:val="none"/>
        </w:rPr>
        <w:t xml:space="preserve">的询问、质疑及请向采购人提出，由采购人负责答复。</w:t>
      </w:r>
      <w:r/>
    </w:p>
    <w:p>
      <w:pPr>
        <w:ind w:firstLine="482"/>
        <w:jc w:val="left"/>
        <w:spacing w:line="560" w:lineRule="exac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采购人只接收以纸质原件形式送达的质疑，采购人不接受未填写快递运单的快件。</w:t>
      </w:r>
      <w:r>
        <w:rPr>
          <w:rFonts w:hint="eastAsia" w:ascii="宋体" w:hAnsi="宋体" w:eastAsia="宋体" w:cs="宋体"/>
          <w:b/>
          <w:bCs/>
          <w:color w:val="auto"/>
          <w:sz w:val="24"/>
          <w:szCs w:val="20"/>
          <w:highlight w:val="none"/>
          <w:lang w:val="en-US" w:eastAsia="zh-CN"/>
        </w:rPr>
        <w:t xml:space="preserve">质疑接受联系人、联系电话及地址参照《招标公告》中的采购人信息。</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29.5以下情形的质疑不予受理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29.5.1内容不符合《政府采购质疑和投诉办法》第十二条规定的质疑。</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29.5.2超出政府采购法定期限的质疑。</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29.5.3以传真、电子邮件等方式递交的非原件形式的质疑。</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29.5.4未参加投标活动的供应商或在投标活动中自身权益未受到损害的供应商所提出的质疑。</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29.5.5供应商组成联合体参加投标，联合体中任何一方或多方未按要求签字、盖章、加盖公章的质疑。</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30、中标通知书</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left"/>
        <w:spacing w:line="560" w:lineRule="exact"/>
        <w:rPr>
          <w:rFonts w:ascii="宋体" w:hAnsi="宋体" w:eastAsia="宋体" w:cs="宋体"/>
          <w:b/>
          <w:bCs/>
          <w:color w:val="auto"/>
          <w:sz w:val="24"/>
          <w:szCs w:val="20"/>
          <w:highlight w:val="none"/>
        </w:rPr>
      </w:pPr>
      <w:r/>
      <w:bookmarkStart w:id="143" w:name="_Toc16938552"/>
      <w:r/>
      <w:bookmarkStart w:id="144" w:name="_Toc513029236"/>
      <w:r/>
      <w:bookmarkStart w:id="145" w:name="_Toc120614220"/>
      <w:r/>
      <w:bookmarkStart w:id="146" w:name="_Toc20823308"/>
      <w:r>
        <w:rPr>
          <w:rFonts w:hint="eastAsia" w:ascii="宋体" w:hAnsi="宋体" w:eastAsia="宋体" w:cs="宋体"/>
          <w:b/>
          <w:bCs/>
          <w:color w:val="auto"/>
          <w:sz w:val="24"/>
          <w:szCs w:val="20"/>
          <w:highlight w:val="none"/>
        </w:rPr>
        <w:t xml:space="preserve">七、授予合同</w:t>
      </w:r>
      <w:bookmarkEnd w:id="143"/>
      <w:r/>
      <w:bookmarkEnd w:id="144"/>
      <w:r/>
      <w:bookmarkEnd w:id="145"/>
      <w:r/>
      <w:bookmarkEnd w:id="146"/>
      <w:r/>
      <w:r/>
    </w:p>
    <w:p>
      <w:pPr>
        <w:ind w:firstLine="482"/>
        <w:jc w:val="left"/>
        <w:spacing w:line="560" w:lineRule="exact"/>
        <w:rPr>
          <w:rFonts w:ascii="宋体" w:hAnsi="宋体" w:eastAsia="宋体" w:cs="宋体"/>
          <w:b/>
          <w:bCs/>
          <w:color w:val="auto"/>
          <w:sz w:val="24"/>
          <w:szCs w:val="20"/>
          <w:highlight w:val="none"/>
        </w:rPr>
      </w:pPr>
      <w:r/>
      <w:bookmarkStart w:id="147" w:name="_Toc513029237"/>
      <w:r/>
      <w:bookmarkStart w:id="148" w:name="_Toc16938553"/>
      <w:r/>
      <w:bookmarkStart w:id="149" w:name="_Toc20823309"/>
      <w:r>
        <w:rPr>
          <w:rFonts w:hint="eastAsia" w:ascii="宋体" w:hAnsi="宋体" w:eastAsia="宋体" w:cs="宋体"/>
          <w:b/>
          <w:bCs/>
          <w:color w:val="auto"/>
          <w:sz w:val="24"/>
          <w:szCs w:val="20"/>
          <w:highlight w:val="none"/>
        </w:rPr>
        <w:t xml:space="preserve">31、签订合同</w:t>
      </w:r>
      <w:bookmarkEnd w:id="147"/>
      <w:r/>
      <w:bookmarkEnd w:id="148"/>
      <w:r/>
      <w:bookmarkEnd w:id="149"/>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31.l中标人应当在中标通知书发出之日起三十日内，按照招标文件确定的事项与采购人签订政府采购合同。</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31.2招标文件、中标人的投标文件及招标过程中有关澄清、承诺文件均应作为合同附件。</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31.3签订合同后，</w:t>
      </w:r>
      <w:r>
        <w:rPr>
          <w:rFonts w:hint="eastAsia" w:ascii="宋体" w:hAnsi="宋体" w:eastAsia="宋体" w:cs="宋体"/>
          <w:i/>
          <w:iCs/>
          <w:color w:val="auto"/>
          <w:sz w:val="24"/>
          <w:szCs w:val="20"/>
          <w:highlight w:val="none"/>
          <w:u w:val="single"/>
        </w:rPr>
        <w:t xml:space="preserve">中标人不得将合同标的进行转包</w:t>
      </w:r>
      <w:r>
        <w:rPr>
          <w:rFonts w:hint="eastAsia" w:ascii="宋体" w:hAnsi="宋体" w:eastAsia="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32、货物（包含与货物相关的服务）的追加</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33、政府采购政策功能落实</w:t>
      </w:r>
      <w:r/>
    </w:p>
    <w:p>
      <w:pPr>
        <w:ind w:firstLine="482"/>
        <w:jc w:val="left"/>
        <w:keepNex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33.1政府采购线上合同信用融资政策</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33.2进口产品</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33.3中小企业、监狱企业及残疾人福利性单位</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33.3.1中小企业定义：</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w:t>
      </w:r>
      <w:r>
        <w:rPr>
          <w:rFonts w:hint="eastAsia" w:ascii="宋体" w:hAnsi="宋体" w:eastAsia="宋体" w:cs="宋体"/>
          <w:color w:val="auto"/>
          <w:sz w:val="24"/>
          <w:szCs w:val="20"/>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33.3.2供应商提供的货物、工程或者服务符合下列情形的，享受中小企业扶持政策：</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33.3.2.1在货物采购项目中，货物由中小企业制造，即货物由中小企业生产且使用该中小企业商号或者注册商标；</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33.3.2.2在工程采购项目中，工程由中小企业承建，即工程施工单位为中小企业；</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33.3.3在货物采购项目中，供应商提供的货物既有中小企业制造货物，也有大型企业制造货物的，不享受中小企业扶持政策。</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33.3.6残疾人福利单位定义：享受政府采购支持政策的残疾人福利性单位应当同时满足以下条件：</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33.3.6.1安置的残疾人占本单位在职职工人数的比例不低于25%（含25%），并且安置的残疾人人数不少于10人（含10人）；</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33.3.6.2依法与安置的每位残疾人签订了一年以上（含一年）的劳动合同或服务协议；</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33.3.6.3为安置的每位残疾人按月足额缴纳了基本养老保险、基本医疗保险、失业保险、工伤保险和生育保险等社会保险费；</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33.3.7本项目是否专门面向中小企业预留采购份额见第一章《招标公告》。</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33.3.8采购标的对应的中小企业划分标准所属行业见第四章《采购需求》。</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33.3.9小微企业价格评审优惠的政策：见第五章《评标方法和评标标准》。</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33.4政府采购节能产品、环境标志产品</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33.5绿色包装</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33.6政府采购创新产品</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采购人优先采购各级政府部门公开发布的有效期内的创新产品、创新服务、首台套、首购首用等《目录》的创新产品。</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33.7绿色数据中心政策</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33.8实施本国产品标准及相关政策</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1.本项目对采购本国产品给予政策支持，具体内容见招标文件“第五章 评标方法与评标标准”。</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rPr>
        <w:t xml:space="preserve">。</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33.9履约保证金政策</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确需收取履约保证金的，履约保证金的缴纳形式：</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如以履约保函（保险）形式缴纳履约保证金，供应商可通过政府采购电子履约保函（保险）平台（www.jsdzbh.com）在线申请履约保函（保险）。</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color w:val="auto"/>
          <w:sz w:val="24"/>
          <w:szCs w:val="20"/>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w:t>
      </w:r>
      <w:r>
        <w:rPr>
          <w:rFonts w:hint="eastAsia" w:ascii="宋体" w:hAnsi="宋体" w:eastAsia="宋体" w:cs="宋体"/>
          <w:b/>
          <w:bCs/>
          <w:color w:val="auto"/>
          <w:sz w:val="24"/>
          <w:szCs w:val="20"/>
          <w:highlight w:val="none"/>
        </w:rPr>
        <w:t xml:space="preserve">降低履约保证金缴纳比例为5%。</w:t>
      </w:r>
      <w:r/>
    </w:p>
    <w:p>
      <w:pPr>
        <w:ind w:firstLine="482"/>
        <w:jc w:val="left"/>
        <w:spacing w:line="56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34.预付款制度</w:t>
      </w:r>
      <w:r/>
    </w:p>
    <w:p>
      <w:pPr>
        <w:ind w:firstLine="482"/>
        <w:jc w:val="left"/>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本项目落实预付款制度，预付款比例为</w:t>
      </w:r>
      <w:r>
        <w:rPr>
          <w:rFonts w:hint="eastAsia" w:ascii="宋体" w:hAnsi="宋体" w:eastAsia="宋体" w:cs="宋体"/>
          <w:color w:val="auto"/>
          <w:sz w:val="24"/>
          <w:szCs w:val="20"/>
          <w:highlight w:val="none"/>
          <w:u w:val="single"/>
        </w:rPr>
        <w:t xml:space="preserve">30%</w:t>
      </w:r>
      <w:r>
        <w:rPr>
          <w:rFonts w:hint="eastAsia" w:ascii="宋体" w:hAnsi="宋体" w:eastAsia="宋体" w:cs="宋体"/>
          <w:color w:val="auto"/>
          <w:sz w:val="24"/>
          <w:szCs w:val="20"/>
          <w:highlight w:val="none"/>
        </w:rPr>
        <w:t xml:space="preserve">。在签订合同时，中标、成交供应商明确书面表示无需预付款或者主动要求降低预付款比例的，采购人可就预付款比例作相应调整。</w:t>
      </w:r>
      <w:r/>
    </w:p>
    <w:p>
      <w:pPr>
        <w:ind w:firstLine="482"/>
        <w:jc w:val="left"/>
        <w:spacing w:line="560" w:lineRule="exact"/>
        <w:rPr>
          <w:rFonts w:ascii="宋体" w:hAnsi="宋体" w:eastAsia="宋体" w:cs="宋体"/>
          <w:color w:val="auto"/>
          <w:sz w:val="24"/>
          <w:highlight w:val="none"/>
        </w:rPr>
      </w:pPr>
      <w:r>
        <w:rPr>
          <w:rFonts w:hint="eastAsia" w:ascii="宋体" w:hAnsi="宋体" w:eastAsia="宋体" w:cs="宋体"/>
          <w:color w:val="auto"/>
          <w:sz w:val="44"/>
          <w:szCs w:val="44"/>
          <w:highlight w:val="none"/>
        </w:rPr>
        <w:br w:type="page" w:clear="all"/>
      </w:r>
      <w:r/>
    </w:p>
    <w:p>
      <w:pPr>
        <w:pStyle w:val="738"/>
        <w:ind w:firstLine="2640"/>
        <w:jc w:val="both"/>
        <w:keepNext/>
        <w:spacing w:beforeAutospacing="0" w:afterAutospacing="0"/>
        <w:widowControl/>
        <w:rPr>
          <w:rFonts w:ascii="黑体" w:eastAsia="黑体" w:cs="黑体"/>
          <w:color w:val="auto"/>
          <w:sz w:val="44"/>
          <w:szCs w:val="44"/>
          <w:highlight w:val="none"/>
        </w:rPr>
        <w:outlineLvl w:val="0"/>
      </w:pPr>
      <w:r/>
      <w:bookmarkStart w:id="150" w:name="_Toc13523"/>
      <w:r>
        <w:rPr>
          <w:rFonts w:hint="eastAsia" w:ascii="黑体" w:hAnsi="宋体" w:eastAsia="黑体" w:cs="黑体"/>
          <w:color w:val="auto"/>
          <w:sz w:val="44"/>
          <w:szCs w:val="44"/>
          <w:highlight w:val="none"/>
        </w:rPr>
        <w:t xml:space="preserve">第三章 </w:t>
      </w:r>
      <w:r>
        <w:rPr>
          <w:rFonts w:hint="eastAsia" w:ascii="黑体" w:eastAsia="黑体" w:cs="黑体"/>
          <w:color w:val="auto"/>
          <w:sz w:val="44"/>
          <w:szCs w:val="44"/>
          <w:highlight w:val="none"/>
        </w:rPr>
        <w:t xml:space="preserve">合同条款</w:t>
      </w:r>
      <w:bookmarkEnd w:id="150"/>
      <w:r/>
      <w:r/>
    </w:p>
    <w:p>
      <w:pPr>
        <w:pStyle w:val="738"/>
        <w:ind w:firstLine="220"/>
        <w:jc w:val="center"/>
        <w:keepNext/>
        <w:spacing w:beforeAutospacing="0" w:afterAutospacing="0"/>
        <w:widowControl/>
        <w:rPr>
          <w:color w:val="auto"/>
          <w:highlight w:val="none"/>
        </w:rPr>
      </w:pPr>
      <w:r>
        <w:rPr>
          <w:color w:val="auto"/>
          <w:highlight w:val="none"/>
        </w:rPr>
      </w:r>
      <w:r/>
    </w:p>
    <w:p>
      <w:pPr>
        <w:pStyle w:val="738"/>
        <w:ind w:firstLine="120"/>
        <w:jc w:val="center"/>
        <w:spacing w:beforeAutospacing="0" w:afterAutospacing="0" w:line="0" w:lineRule="atLeast"/>
        <w:widowControl/>
        <w:rPr>
          <w:color w:val="auto"/>
          <w:highlight w:val="none"/>
        </w:rPr>
      </w:pPr>
      <w:r/>
      <w:bookmarkStart w:id="151" w:name="_Toc20823315"/>
      <w:r/>
      <w:bookmarkStart w:id="152" w:name="_Toc16938559"/>
      <w:r/>
      <w:bookmarkStart w:id="153" w:name="_Toc513029243"/>
      <w:r>
        <w:rPr>
          <w:rFonts w:hint="eastAsia" w:ascii="宋体" w:hAnsi="宋体" w:eastAsia="宋体" w:cs="宋体"/>
          <w:color w:val="auto"/>
          <w:highlight w:val="none"/>
        </w:rPr>
        <w:t xml:space="preserve">以下为中标后签定本项目合同的通用条款，中标人不得提出实质性的修改。</w:t>
      </w:r>
      <w:bookmarkEnd w:id="151"/>
      <w:r/>
      <w:bookmarkEnd w:id="152"/>
      <w:r/>
      <w:bookmarkEnd w:id="153"/>
      <w:r/>
      <w:r/>
    </w:p>
    <w:p>
      <w:pPr>
        <w:pStyle w:val="738"/>
        <w:jc w:val="both"/>
        <w:keepNext/>
        <w:spacing w:beforeAutospacing="0" w:afterAutospacing="0"/>
        <w:widowControl/>
        <w:rPr>
          <w:rFonts w:ascii="黑体" w:eastAsia="黑体" w:cs="黑体"/>
          <w:color w:val="auto"/>
          <w:sz w:val="44"/>
          <w:szCs w:val="44"/>
          <w:highlight w:val="none"/>
        </w:rPr>
      </w:pPr>
      <w:r/>
      <w:bookmarkStart w:id="154" w:name="_Toc462564139"/>
      <w:r/>
      <w:bookmarkStart w:id="155" w:name="_Toc16938590"/>
      <w:r/>
      <w:bookmarkStart w:id="156" w:name="_Toc479757211"/>
      <w:r/>
      <w:bookmarkStart w:id="157" w:name="_Toc120614244"/>
      <w:r/>
      <w:bookmarkStart w:id="158" w:name="_Toc20823346"/>
      <w:r/>
      <w:bookmarkStart w:id="159" w:name="_Hlt16619350"/>
      <w:r/>
      <w:bookmarkStart w:id="160" w:name="_Hlt16619369"/>
      <w:r/>
      <w:r/>
    </w:p>
    <w:p>
      <w:pPr>
        <w:widowControl/>
        <w:rPr>
          <w:rFonts w:ascii="宋体" w:hAnsi="宋体" w:cs="宋体"/>
          <w:color w:val="auto"/>
          <w:highlight w:val="none"/>
        </w:rPr>
      </w:pPr>
      <w:r>
        <w:rPr>
          <w:rFonts w:ascii="宋体" w:hAnsi="宋体" w:cs="宋体"/>
          <w:color w:val="auto"/>
          <w:highlight w:val="none"/>
        </w:rPr>
      </w:r>
      <w:r/>
    </w:p>
    <w:p>
      <w:pPr>
        <w:widowControl/>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widowControl/>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widowControl/>
        <w:rPr>
          <w:rFonts w:ascii="宋体" w:hAnsi="宋体" w:cs="宋体"/>
          <w:b/>
          <w:bCs/>
          <w:color w:val="auto"/>
          <w:sz w:val="36"/>
          <w:szCs w:val="32"/>
          <w:highlight w:val="none"/>
        </w:rPr>
      </w:pPr>
      <w:r>
        <w:rPr>
          <w:rFonts w:hint="eastAsia" w:ascii="宋体" w:hAnsi="宋体" w:cs="宋体"/>
          <w:b/>
          <w:bCs/>
          <w:color w:val="auto"/>
          <w:sz w:val="36"/>
          <w:szCs w:val="32"/>
          <w:highlight w:val="none"/>
        </w:rPr>
        <w:t xml:space="preserve">政府采购货物买卖合同</w:t>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widowControl/>
        <w:rPr>
          <w:rFonts w:ascii="宋体" w:hAnsi="宋体" w:cs="宋体"/>
          <w:color w:val="auto"/>
          <w:sz w:val="30"/>
          <w:highlight w:val="none"/>
        </w:rPr>
      </w:pPr>
      <w:r>
        <w:rPr>
          <w:rFonts w:ascii="宋体" w:hAnsi="宋体" w:cs="宋体"/>
          <w:color w:val="auto"/>
          <w:sz w:val="30"/>
          <w:highlight w:val="none"/>
        </w:rPr>
      </w:r>
      <w:r/>
    </w:p>
    <w:p>
      <w:pPr>
        <w:ind w:firstLine="280"/>
        <w:spacing w:before="120" w:after="120" w:line="540" w:lineRule="exact"/>
        <w:widowControl/>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rPr>
        <w:t xml:space="preserve">盐城市市直部分学校智慧体育设施采购项目</w:t>
      </w:r>
      <w:r/>
    </w:p>
    <w:p>
      <w:pPr>
        <w:ind w:firstLine="280"/>
        <w:spacing w:before="120" w:after="120" w:line="540" w:lineRule="exact"/>
        <w:widowControl/>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合同编号：</w:t>
      </w:r>
      <w:r>
        <w:rPr>
          <w:rFonts w:hint="eastAsia" w:ascii="宋体" w:hAnsi="宋体" w:eastAsia="宋体" w:cs="宋体"/>
          <w:color w:val="auto"/>
          <w:sz w:val="28"/>
          <w:szCs w:val="28"/>
          <w:highlight w:val="none"/>
          <w:u w:val="single"/>
        </w:rPr>
        <w:t xml:space="preserve">JSZC-320900-JZCG-G2026-0058</w:t>
      </w:r>
      <w:r/>
    </w:p>
    <w:p>
      <w:pPr>
        <w:ind w:firstLine="280"/>
        <w:spacing w:before="120" w:after="120" w:line="540" w:lineRule="exact"/>
        <w:widowControl/>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甲    方：</w:t>
      </w:r>
      <w:r>
        <w:rPr>
          <w:rFonts w:hint="eastAsia" w:ascii="宋体" w:hAnsi="宋体" w:eastAsia="宋体" w:cs="宋体"/>
          <w:color w:val="auto"/>
          <w:sz w:val="28"/>
          <w:szCs w:val="28"/>
          <w:highlight w:val="none"/>
          <w:u w:val="single"/>
        </w:rPr>
        <w:t xml:space="preserve">   盐城市教育局          </w:t>
      </w:r>
      <w:r/>
    </w:p>
    <w:p>
      <w:pPr>
        <w:ind w:firstLine="280"/>
        <w:spacing w:before="120" w:after="120" w:line="540" w:lineRule="exact"/>
        <w:widowControl/>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乙    方：</w:t>
      </w:r>
      <w:r>
        <w:rPr>
          <w:rFonts w:hint="eastAsia" w:ascii="宋体" w:hAnsi="宋体" w:eastAsia="宋体" w:cs="宋体"/>
          <w:color w:val="auto"/>
          <w:sz w:val="28"/>
          <w:szCs w:val="28"/>
          <w:highlight w:val="none"/>
          <w:u w:val="single"/>
        </w:rPr>
        <w:t xml:space="preserve">                         </w:t>
      </w:r>
      <w:r/>
    </w:p>
    <w:p>
      <w:pPr>
        <w:ind w:firstLine="280"/>
        <w:spacing w:before="120" w:after="120" w:line="540" w:lineRule="exact"/>
        <w:widowControl/>
        <w:rPr>
          <w:rFonts w:ascii="宋体" w:hAnsi="宋体"/>
          <w:color w:val="auto"/>
          <w:sz w:val="24"/>
          <w:highlight w:val="none"/>
        </w:rPr>
      </w:pPr>
      <w:r>
        <w:rPr>
          <w:rFonts w:hint="eastAsia" w:ascii="宋体" w:hAnsi="宋体" w:eastAsia="宋体" w:cs="宋体"/>
          <w:color w:val="auto"/>
          <w:sz w:val="28"/>
          <w:szCs w:val="28"/>
          <w:highlight w:val="none"/>
        </w:rPr>
        <w:t xml:space="preserve">签订时间：</w:t>
      </w:r>
      <w:r>
        <w:rPr>
          <w:rFonts w:hint="eastAsia" w:ascii="宋体" w:hAnsi="宋体" w:eastAsia="宋体" w:cs="宋体"/>
          <w:color w:val="auto"/>
          <w:sz w:val="28"/>
          <w:szCs w:val="28"/>
          <w:highlight w:val="none"/>
          <w:u w:val="single"/>
        </w:rPr>
        <w:t xml:space="preserve">                         </w:t>
      </w:r>
      <w:r/>
    </w:p>
    <w:p>
      <w:pPr>
        <w:jc w:val="center"/>
        <w:spacing w:line="360" w:lineRule="auto"/>
        <w:widowControl/>
        <w:rPr>
          <w:rFonts w:eastAsia="黑体"/>
          <w:color w:val="auto"/>
          <w:sz w:val="44"/>
          <w:szCs w:val="44"/>
          <w:highlight w:val="none"/>
        </w:rPr>
      </w:pPr>
      <w:r>
        <w:rPr>
          <w:rFonts w:hint="eastAsia" w:ascii="仿宋" w:hAnsi="仿宋" w:eastAsia="仿宋" w:cs="仿宋"/>
          <w:color w:val="auto"/>
          <w:sz w:val="32"/>
          <w:szCs w:val="32"/>
          <w:highlight w:val="none"/>
        </w:rPr>
        <w:br w:type="page" w:clear="all"/>
      </w:r>
      <w:r>
        <w:rPr>
          <w:rFonts w:hint="eastAsia" w:ascii="宋体" w:hAnsi="宋体" w:cs="宋体"/>
          <w:b/>
          <w:bCs/>
          <w:color w:val="auto"/>
          <w:sz w:val="32"/>
          <w:szCs w:val="32"/>
          <w:highlight w:val="none"/>
        </w:rPr>
        <w:t xml:space="preserve">使用说明</w:t>
      </w:r>
      <w:r/>
    </w:p>
    <w:p>
      <w:pPr>
        <w:ind w:firstLine="480"/>
        <w:spacing w:line="500" w:lineRule="exact"/>
        <w:widowControl/>
        <w:rPr>
          <w:rFonts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1.本合同标准文本适用于购买现成货物的采购项目，不包括需要供应商定制开发、创新研发的货物采购项目。</w:t>
      </w:r>
      <w:r/>
    </w:p>
    <w:p>
      <w:pPr>
        <w:ind w:firstLine="480"/>
        <w:spacing w:line="500" w:lineRule="exact"/>
        <w:widowControl/>
        <w:rPr>
          <w:rFonts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2.本合同标准文本为政府采购货物买卖合同编制提供参考，可以结合采购项目具体情况，对文本作必要的调整修订后使用。</w:t>
      </w:r>
      <w:r/>
    </w:p>
    <w:p>
      <w:pPr>
        <w:ind w:firstLine="480"/>
        <w:spacing w:line="500" w:lineRule="exact"/>
        <w:widowControl/>
        <w:rPr>
          <w:rFonts w:ascii="宋体" w:hAnsi="宋体"/>
          <w:color w:val="auto"/>
          <w:sz w:val="24"/>
          <w:highlight w:val="none"/>
        </w:rPr>
      </w:pPr>
      <w:r>
        <w:rPr>
          <w:rFonts w:hint="eastAsia" w:asciiTheme="minorEastAsia" w:hAnsiTheme="minorEastAsia" w:cstheme="minorEastAsia"/>
          <w:color w:val="auto"/>
          <w:sz w:val="24"/>
          <w:highlight w:val="none"/>
          <w:lang w:val="zh-CN"/>
        </w:rPr>
        <w:t xml:space="preserve">3.本合同标准文本各条款中，如涉及填写多家供应商、制造商，多种采购标的、分包主要内容等信息的，可根据采购项目具体情况添加信息项。</w:t>
      </w:r>
      <w:r/>
    </w:p>
    <w:p>
      <w:pPr>
        <w:jc w:val="center"/>
        <w:keepLines/>
        <w:keepNext/>
        <w:spacing w:line="400" w:lineRule="exact"/>
        <w:widowControl/>
        <w:rPr>
          <w:rFonts w:ascii="黑体" w:hAnsi="华文中宋" w:eastAsia="黑体"/>
          <w:color w:val="auto"/>
          <w:sz w:val="28"/>
          <w:szCs w:val="28"/>
          <w:highlight w:val="none"/>
        </w:rPr>
        <w:outlineLvl w:val="1"/>
      </w:pPr>
      <w:r>
        <w:rPr>
          <w:rFonts w:hint="eastAsia" w:ascii="宋体" w:hAnsi="宋体"/>
          <w:color w:val="auto"/>
          <w:sz w:val="24"/>
          <w:highlight w:val="none"/>
        </w:rPr>
        <w:br w:type="page" w:clear="all"/>
      </w:r>
      <w:bookmarkStart w:id="161" w:name="_Toc27624"/>
      <w:r>
        <w:rPr>
          <w:rFonts w:hint="eastAsia" w:ascii="宋体" w:hAnsi="宋体" w:eastAsia="宋体" w:cs="宋体"/>
          <w:b/>
          <w:bCs/>
          <w:color w:val="auto"/>
          <w:sz w:val="28"/>
          <w:szCs w:val="28"/>
          <w:highlight w:val="none"/>
        </w:rPr>
        <w:t xml:space="preserve">第一节 政府采购合同协议书</w:t>
      </w:r>
      <w:r/>
    </w:p>
    <w:p>
      <w:pPr>
        <w:ind w:firstLine="480"/>
        <w:jc w:val="left"/>
        <w:spacing w:line="560" w:lineRule="exact"/>
        <w:widowControl/>
        <w:rPr>
          <w:rFonts w:ascii="宋体" w:hAnsi="宋体" w:eastAsia="宋体" w:cs="宋体"/>
          <w:color w:val="auto"/>
          <w:sz w:val="24"/>
          <w:szCs w:val="20"/>
          <w:highlight w:val="none"/>
          <w:u w:val="single"/>
        </w:rPr>
      </w:pPr>
      <w:r>
        <w:rPr>
          <w:rFonts w:ascii="宋体" w:hAnsi="宋体" w:eastAsia="Arial" w:cs="宋体"/>
          <w:color w:val="auto"/>
          <w:sz w:val="24"/>
          <w:szCs w:val="20"/>
          <w:highlight w:val="none"/>
          <w:lang w:val="zh-CN"/>
        </w:rPr>
        <w:t xml:space="preserve">甲方（全称）：</w:t>
      </w:r>
      <w:r>
        <w:rPr>
          <w:rFonts w:hint="eastAsia" w:ascii="宋体" w:hAnsi="宋体" w:eastAsia="宋体" w:cs="宋体"/>
          <w:color w:val="auto"/>
          <w:sz w:val="24"/>
          <w:szCs w:val="20"/>
          <w:highlight w:val="none"/>
          <w:u w:val="single"/>
        </w:rPr>
        <w:t xml:space="preserve">盐城市教育局 </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乙方（全称）：</w:t>
      </w:r>
      <w:r>
        <w:rPr>
          <w:rFonts w:hint="eastAsia" w:ascii="宋体" w:hAnsi="宋体" w:eastAsia="宋体" w:cs="宋体"/>
          <w:color w:val="auto"/>
          <w:sz w:val="24"/>
          <w:szCs w:val="20"/>
          <w:highlight w:val="none"/>
          <w:u w:val="single"/>
        </w:rPr>
        <w:t xml:space="preserve">             </w:t>
      </w:r>
      <w:r/>
    </w:p>
    <w:p>
      <w:pPr>
        <w:ind w:firstLine="482"/>
        <w:jc w:val="left"/>
        <w:spacing w:line="560" w:lineRule="exact"/>
        <w:widowControl/>
        <w:rPr>
          <w:rFonts w:ascii="宋体" w:hAnsi="宋体" w:cs="宋体"/>
          <w:color w:val="auto"/>
          <w:sz w:val="24"/>
          <w:szCs w:val="20"/>
          <w:highlight w:val="none"/>
          <w:lang w:val="zh-CN"/>
        </w:rPr>
      </w:pPr>
      <w:r>
        <w:rPr>
          <w:rFonts w:ascii="宋体" w:hAnsi="宋体" w:eastAsia="Arial" w:cs="宋体"/>
          <w:color w:val="auto"/>
          <w:sz w:val="24"/>
          <w:szCs w:val="20"/>
          <w:highlight w:val="none"/>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1.项目信息</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（1）采购项目名称：</w:t>
      </w:r>
      <w:r>
        <w:rPr>
          <w:rFonts w:hint="eastAsia" w:ascii="宋体" w:hAnsi="宋体" w:eastAsia="Arial" w:cs="宋体"/>
          <w:color w:val="auto"/>
          <w:sz w:val="24"/>
          <w:szCs w:val="20"/>
          <w:highlight w:val="none"/>
          <w:u w:val="single"/>
          <w:lang w:val="zh-CN"/>
        </w:rPr>
        <w:t xml:space="preserve">盐城市市直部分学校智慧体育设施采购项目</w:t>
      </w:r>
      <w:r/>
    </w:p>
    <w:p>
      <w:pPr>
        <w:ind w:firstLine="482"/>
        <w:jc w:val="left"/>
        <w:spacing w:line="560" w:lineRule="exact"/>
        <w:widowControl/>
        <w:rPr>
          <w:rFonts w:ascii="宋体" w:hAnsi="宋体" w:eastAsia="宋体" w:cs="宋体"/>
          <w:color w:val="auto"/>
          <w:sz w:val="24"/>
          <w:szCs w:val="20"/>
          <w:highlight w:val="none"/>
        </w:rPr>
      </w:pPr>
      <w:r>
        <w:rPr>
          <w:rFonts w:ascii="宋体" w:hAnsi="宋体" w:eastAsia="Arial" w:cs="宋体"/>
          <w:color w:val="auto"/>
          <w:sz w:val="24"/>
          <w:szCs w:val="20"/>
          <w:highlight w:val="none"/>
          <w:lang w:val="zh-CN"/>
        </w:rPr>
        <w:t xml:space="preserve"> </w:t>
      </w:r>
      <w:r>
        <w:rPr>
          <w:rFonts w:hint="eastAsia" w:ascii="宋体" w:hAnsi="宋体" w:eastAsia="宋体" w:cs="宋体"/>
          <w:color w:val="auto"/>
          <w:sz w:val="24"/>
          <w:szCs w:val="20"/>
          <w:highlight w:val="none"/>
        </w:rPr>
        <w:t xml:space="preserve">    </w:t>
      </w:r>
      <w:r>
        <w:rPr>
          <w:rFonts w:ascii="宋体" w:hAnsi="宋体" w:eastAsia="Arial" w:cs="宋体"/>
          <w:color w:val="auto"/>
          <w:sz w:val="24"/>
          <w:szCs w:val="20"/>
          <w:highlight w:val="none"/>
          <w:lang w:val="zh-CN"/>
        </w:rPr>
        <w:t xml:space="preserve">采购项目编号：</w:t>
      </w:r>
      <w:r>
        <w:rPr>
          <w:rFonts w:hint="eastAsia" w:ascii="宋体" w:hAnsi="宋体" w:eastAsia="Arial" w:cs="宋体"/>
          <w:color w:val="auto"/>
          <w:sz w:val="24"/>
          <w:szCs w:val="20"/>
          <w:highlight w:val="none"/>
          <w:u w:val="single"/>
          <w:lang w:val="zh-CN"/>
        </w:rPr>
        <w:t xml:space="preserve">JSZC-320900-JZCG-G2026-0058</w:t>
      </w:r>
      <w:r/>
    </w:p>
    <w:p>
      <w:pPr>
        <w:ind w:firstLine="482"/>
        <w:jc w:val="left"/>
        <w:spacing w:line="560" w:lineRule="exact"/>
        <w:widowControl/>
        <w:rPr>
          <w:rFonts w:ascii="宋体" w:hAnsi="宋体" w:eastAsia="宋体" w:cs="宋体"/>
          <w:color w:val="auto"/>
          <w:sz w:val="24"/>
          <w:szCs w:val="20"/>
          <w:highlight w:val="none"/>
        </w:rPr>
      </w:pPr>
      <w:r>
        <w:rPr>
          <w:rFonts w:ascii="宋体" w:hAnsi="宋体" w:eastAsia="Arial" w:cs="宋体"/>
          <w:color w:val="auto"/>
          <w:sz w:val="24"/>
          <w:szCs w:val="20"/>
          <w:highlight w:val="none"/>
          <w:lang w:val="zh-CN"/>
        </w:rPr>
        <w:t xml:space="preserve">（2）采购计划编号：</w:t>
      </w:r>
      <w:r>
        <w:rPr>
          <w:rFonts w:hint="eastAsia" w:ascii="宋体" w:hAnsi="宋体" w:eastAsia="宋体" w:cs="宋体"/>
          <w:color w:val="auto"/>
          <w:sz w:val="24"/>
          <w:szCs w:val="20"/>
          <w:highlight w:val="none"/>
          <w:u w:val="single"/>
        </w:rPr>
        <w:t xml:space="preserve">LWZC320100000202600223</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（3）项目内容：</w:t>
      </w:r>
      <w:r>
        <w:rPr>
          <w:rFonts w:hint="eastAsia" w:ascii="宋体" w:hAnsi="宋体" w:eastAsia="Arial" w:cs="宋体"/>
          <w:color w:val="auto"/>
          <w:sz w:val="24"/>
          <w:szCs w:val="20"/>
          <w:highlight w:val="none"/>
          <w:u w:val="single"/>
          <w:lang w:val="zh-CN"/>
        </w:rPr>
        <w:t xml:space="preserve">盐城市市直部分学校智慧体育设施采购项目</w:t>
      </w:r>
      <w:r/>
    </w:p>
    <w:p>
      <w:pPr>
        <w:ind w:firstLine="1024"/>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采购标的及数量（台/套/个/架/组等）：</w:t>
      </w:r>
      <w:r>
        <w:rPr>
          <w:rFonts w:hint="eastAsia" w:ascii="宋体" w:hAnsi="宋体" w:cs="宋体"/>
          <w:color w:val="auto"/>
          <w:sz w:val="24"/>
          <w:szCs w:val="20"/>
          <w:highlight w:val="none"/>
          <w:u w:val="single"/>
        </w:rPr>
        <w:t xml:space="preserve">                  </w:t>
      </w:r>
      <w:r/>
    </w:p>
    <w:p>
      <w:pPr>
        <w:ind w:firstLine="1024"/>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品牌：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lang w:val="zh-CN"/>
        </w:rPr>
        <w:t xml:space="preserve">规格型号：</w:t>
      </w:r>
      <w:r>
        <w:rPr>
          <w:rFonts w:hint="eastAsia" w:ascii="宋体" w:hAnsi="宋体" w:cs="宋体"/>
          <w:color w:val="auto"/>
          <w:sz w:val="24"/>
          <w:szCs w:val="20"/>
          <w:highlight w:val="none"/>
          <w:u w:val="single"/>
        </w:rPr>
        <w:t xml:space="preserve">                  </w:t>
      </w:r>
      <w:r/>
    </w:p>
    <w:p>
      <w:pPr>
        <w:ind w:firstLine="1024"/>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采购标的的技术要求、商务要求具体见附件。</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（4）政府采购组织形式：</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政府集中采购</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部门集中采购</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分散采购</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（5）政府采购方式：</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公开招标</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邀请招标</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竞争性谈判</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竞争性磋商</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询价</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单一来源</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框架协议其他：</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（6）中标（成交）采购标的制造商是否为中小企业：</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 本合同是否为专门面向中小企业的采购合同（中小企业预留合同）：</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 若本项目不专门面向中小企业采购，是否给予小微企业评审优惠：</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 中标（成交）采购标的制造商是否为残疾人福利性单位：</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 中标（成交）采购标的制造商是否为监狱企业：</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numPr>
          <w:ilvl w:val="0"/>
          <w:numId w:val="1"/>
        </w:num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合同是否分包：</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120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分包主要内容：</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分包供应商/制造商名称（如供应商和制造商不同，请分别填写）：</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分包供应商/制造商类型（如果供应商和制造商不同，只填写制造商类型）：</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大型企业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中型企业  </w:t>
      </w: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lang w:val="zh-CN"/>
        </w:rPr>
        <w:t xml:space="preserve"></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小微型企业</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残疾人福利性单位</w:t>
      </w: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lang w:val="zh-CN"/>
        </w:rPr>
        <w:t xml:space="preserve"></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监狱企业</w:t>
      </w: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lang w:val="zh-CN"/>
        </w:rPr>
        <w:t xml:space="preserve"></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其他</w:t>
      </w:r>
      <w:r/>
    </w:p>
    <w:p>
      <w:pPr>
        <w:ind w:firstLine="24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（8）中标（成交）供应商是否为外商投资企业：</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    外商投资企业类型：</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全部由外国投资者投资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部分由外国投资者投资</w:t>
      </w:r>
      <w:r/>
    </w:p>
    <w:p>
      <w:pPr>
        <w:ind w:firstLine="24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（9）是否涉及进口产品：</w:t>
      </w:r>
      <w:r/>
    </w:p>
    <w:p>
      <w:pPr>
        <w:ind w:firstLine="480"/>
        <w:spacing w:line="520" w:lineRule="exact"/>
        <w:widowControl/>
        <w:rPr>
          <w:rFonts w:ascii="宋体" w:hAnsi="宋体" w:cs="宋体"/>
          <w:color w:val="auto"/>
          <w:sz w:val="24"/>
          <w:szCs w:val="20"/>
          <w:highlight w:val="none"/>
          <w:u w:val="single"/>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是，《政府采购品目分类目录》底级品目名称：</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lang w:val="zh-CN"/>
        </w:rPr>
        <w:t xml:space="preserve">金额：</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        国别：</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lang w:val="zh-CN"/>
        </w:rPr>
        <w:t xml:space="preserve">品牌：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lang w:val="zh-CN"/>
        </w:rPr>
        <w:t xml:space="preserve"> 规格型号：</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（10）是否涉及节能产品：</w:t>
      </w:r>
      <w:r/>
    </w:p>
    <w:p>
      <w:pPr>
        <w:ind w:firstLine="480"/>
        <w:spacing w:line="520" w:lineRule="exact"/>
        <w:widowControl/>
        <w:rPr>
          <w:rFonts w:ascii="宋体" w:hAnsi="宋体" w:cs="宋体"/>
          <w:color w:val="auto"/>
          <w:sz w:val="24"/>
          <w:szCs w:val="20"/>
          <w:highlight w:val="none"/>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是，《节能产品政府采购品目清单》的底级品目名称：</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强制采购</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优先采购</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是否涉及环境标志产品：</w:t>
      </w:r>
      <w:r/>
    </w:p>
    <w:p>
      <w:pPr>
        <w:ind w:firstLine="480"/>
        <w:spacing w:line="520" w:lineRule="exact"/>
        <w:widowControl/>
        <w:rPr>
          <w:rFonts w:ascii="宋体" w:hAnsi="宋体" w:cs="宋体"/>
          <w:color w:val="auto"/>
          <w:sz w:val="24"/>
          <w:szCs w:val="20"/>
          <w:highlight w:val="none"/>
          <w:u w:val="single"/>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是，《环境标志产品政府采购品目清单》的底级品目名称：</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强制采购</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优先采购</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是否涉及绿色产品：</w:t>
      </w:r>
      <w:r/>
    </w:p>
    <w:p>
      <w:pPr>
        <w:ind w:firstLine="480"/>
        <w:spacing w:line="520" w:lineRule="exact"/>
        <w:widowControl/>
        <w:rPr>
          <w:rFonts w:ascii="宋体" w:hAnsi="宋体" w:cs="宋体"/>
          <w:color w:val="auto"/>
          <w:sz w:val="24"/>
          <w:szCs w:val="20"/>
          <w:highlight w:val="none"/>
          <w:u w:val="single"/>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是，绿色产品政府采购相关政策确定的底级品目名称：</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强制采购</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优先采购</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p>
    <w:p>
      <w:pPr>
        <w:numPr>
          <w:ilvl w:val="0"/>
          <w:numId w:val="2"/>
        </w:num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否</w:t>
      </w:r>
      <w:r>
        <w:rPr>
          <w:rFonts w:hint="eastAsia" w:ascii="宋体" w:hAnsi="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不涉及</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2.</w:t>
      </w:r>
      <w:r>
        <w:rPr>
          <w:rFonts w:hint="eastAsia" w:ascii="宋体" w:hAnsi="宋体" w:cs="宋体"/>
          <w:b/>
          <w:bCs/>
          <w:color w:val="auto"/>
          <w:sz w:val="24"/>
          <w:szCs w:val="20"/>
          <w:highlight w:val="none"/>
          <w:lang w:val="zh-CN"/>
        </w:rPr>
        <w:t xml:space="preserve">合同金额</w:t>
      </w:r>
      <w:r/>
    </w:p>
    <w:p>
      <w:pPr>
        <w:ind w:firstLine="48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（1）合同金额小写：</w:t>
      </w:r>
      <w:r>
        <w:rPr>
          <w:rFonts w:hint="eastAsia" w:ascii="宋体" w:hAnsi="宋体" w:cs="宋体"/>
          <w:color w:val="auto"/>
          <w:sz w:val="24"/>
          <w:szCs w:val="20"/>
          <w:highlight w:val="none"/>
          <w:u w:val="single"/>
        </w:rPr>
        <w:t xml:space="preserve">                 </w:t>
      </w:r>
      <w:r/>
    </w:p>
    <w:p>
      <w:pPr>
        <w:ind w:firstLine="1982"/>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分包金额（如有）小写：</w:t>
      </w:r>
      <w:r>
        <w:rPr>
          <w:rFonts w:hint="eastAsia" w:ascii="宋体" w:hAnsi="宋体" w:cs="宋体"/>
          <w:color w:val="auto"/>
          <w:sz w:val="24"/>
          <w:szCs w:val="20"/>
          <w:highlight w:val="none"/>
          <w:u w:val="single"/>
        </w:rPr>
        <w:t xml:space="preserve">                 </w:t>
      </w:r>
      <w:r/>
    </w:p>
    <w:p>
      <w:pPr>
        <w:ind w:firstLine="240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（2）付款方式</w:t>
      </w:r>
      <w:r>
        <w:rPr>
          <w:rFonts w:hint="eastAsia" w:ascii="宋体" w:hAnsi="宋体" w:cs="宋体"/>
          <w:color w:val="auto"/>
          <w:sz w:val="24"/>
          <w:szCs w:val="20"/>
          <w:highlight w:val="none"/>
          <w:u w:val="single"/>
          <w:lang w:val="zh-CN"/>
        </w:rPr>
        <w:t xml:space="preserve">（按项目实际勾选填写，具体详见专用条款第二节第12.2款）</w:t>
      </w:r>
      <w:r>
        <w:rPr>
          <w:rFonts w:hint="eastAsia" w:ascii="宋体" w:hAnsi="宋体" w:cs="宋体"/>
          <w:color w:val="auto"/>
          <w:sz w:val="24"/>
          <w:szCs w:val="20"/>
          <w:highlight w:val="none"/>
          <w:lang w:val="zh-CN"/>
        </w:rPr>
        <w:t xml:space="preserve">：</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全额付款：</w:t>
      </w:r>
      <w:r>
        <w:rPr>
          <w:rFonts w:hint="eastAsia" w:ascii="宋体" w:hAnsi="宋体" w:cs="宋体"/>
          <w:color w:val="auto"/>
          <w:sz w:val="24"/>
          <w:szCs w:val="20"/>
          <w:highlight w:val="none"/>
          <w:u w:val="single"/>
          <w:lang w:val="zh-CN"/>
        </w:rPr>
        <w:t xml:space="preserve">  （应明确一次性支付合同款项的条件）</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分期付款： </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highlight w:val="none"/>
          <w:u w:val="single"/>
        </w:rPr>
        <w:t xml:space="preserve">具体详见专用条款第二节第12.2款</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szCs w:val="20"/>
          <w:highlight w:val="none"/>
          <w:lang w:val="zh-CN"/>
        </w:rPr>
        <w:t xml:space="preserve">，其中涉及预付款的：</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highlight w:val="none"/>
          <w:u w:val="single"/>
        </w:rPr>
        <w:t xml:space="preserve">具体详见专用条款第二节第12.2款</w:t>
      </w:r>
      <w:r>
        <w:rPr>
          <w:rFonts w:hint="eastAsia" w:ascii="宋体" w:hAnsi="宋体" w:cs="宋体"/>
          <w:color w:val="auto"/>
          <w:sz w:val="24"/>
          <w:szCs w:val="20"/>
          <w:highlight w:val="none"/>
          <w:u w:val="single"/>
          <w:lang w:val="zh-CN"/>
        </w:rPr>
        <w:t xml:space="preserve">） </w:t>
      </w:r>
      <w:r/>
    </w:p>
    <w:p>
      <w:pPr>
        <w:ind w:firstLine="480"/>
        <w:spacing w:line="520" w:lineRule="exact"/>
        <w:widowControl/>
        <w:rPr>
          <w:rFonts w:ascii="宋体" w:hAnsi="宋体" w:cs="宋体"/>
          <w:color w:val="auto"/>
          <w:sz w:val="24"/>
          <w:szCs w:val="20"/>
          <w:highlight w:val="none"/>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成本补偿：</w:t>
      </w:r>
      <w:r>
        <w:rPr>
          <w:rFonts w:hint="eastAsia" w:ascii="宋体" w:hAnsi="宋体" w:cs="宋体"/>
          <w:color w:val="auto"/>
          <w:sz w:val="24"/>
          <w:szCs w:val="20"/>
          <w:highlight w:val="none"/>
          <w:u w:val="single"/>
          <w:lang w:val="zh-CN"/>
        </w:rPr>
        <w:t xml:space="preserve">  （应明确按照成本补偿方式的支付方式和支付条件） </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绩效激励：</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zh-CN"/>
        </w:rPr>
        <w:t xml:space="preserve">（应明确按照绩效激励方式的支付方式和支付条件）</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zh-CN"/>
        </w:rPr>
        <w:t xml:space="preserve"> </w:t>
      </w:r>
      <w:r/>
    </w:p>
    <w:p>
      <w:pPr>
        <w:ind w:firstLine="482"/>
        <w:spacing w:line="520" w:lineRule="exact"/>
        <w:widowControl/>
        <w:rPr>
          <w:rFonts w:ascii="宋体" w:hAnsi="宋体" w:cs="宋体"/>
          <w:b/>
          <w:bCs/>
          <w:color w:val="auto"/>
          <w:sz w:val="24"/>
          <w:highlight w:val="none"/>
          <w:lang w:val="zh-CN"/>
        </w:rPr>
      </w:pPr>
      <w:r>
        <w:rPr>
          <w:rFonts w:hint="eastAsia" w:ascii="宋体" w:hAnsi="宋体" w:cs="宋体"/>
          <w:b/>
          <w:bCs/>
          <w:color w:val="auto"/>
          <w:sz w:val="24"/>
          <w:szCs w:val="20"/>
          <w:highlight w:val="none"/>
        </w:rPr>
        <w:t xml:space="preserve">3.</w:t>
      </w:r>
      <w:r>
        <w:rPr>
          <w:rFonts w:hint="eastAsia" w:ascii="宋体" w:hAnsi="宋体" w:cs="宋体"/>
          <w:b/>
          <w:bCs/>
          <w:color w:val="auto"/>
          <w:sz w:val="24"/>
          <w:szCs w:val="20"/>
          <w:highlight w:val="none"/>
          <w:lang w:val="zh-CN"/>
        </w:rPr>
        <w:t xml:space="preserve">合同履行</w:t>
      </w:r>
      <w:r/>
    </w:p>
    <w:p>
      <w:pPr>
        <w:ind w:firstLine="480"/>
        <w:spacing w:line="520" w:lineRule="exact"/>
        <w:widowControl/>
        <w:rPr>
          <w:rFonts w:ascii="宋体" w:hAnsi="宋体" w:cs="宋体"/>
          <w:color w:val="auto"/>
          <w:sz w:val="24"/>
          <w:highlight w:val="none"/>
        </w:rPr>
      </w:pPr>
      <w:r>
        <w:rPr>
          <w:rFonts w:hint="eastAsia" w:ascii="宋体" w:hAnsi="宋体" w:cs="宋体"/>
          <w:color w:val="auto"/>
          <w:sz w:val="24"/>
          <w:szCs w:val="20"/>
          <w:highlight w:val="none"/>
          <w:lang w:val="zh-CN"/>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Arial" w:cs="宋体"/>
          <w:color w:val="auto"/>
          <w:sz w:val="24"/>
          <w:szCs w:val="20"/>
          <w:highlight w:val="none"/>
          <w:lang w:val="zh-CN"/>
        </w:rPr>
        <w:t xml:space="preserve">（2）履约地点：</w:t>
      </w:r>
      <w:r>
        <w:rPr>
          <w:rFonts w:hint="eastAsia" w:ascii="宋体" w:hAnsi="宋体" w:cs="宋体"/>
          <w:bCs/>
          <w:color w:val="auto"/>
          <w:sz w:val="24"/>
          <w:highlight w:val="none"/>
          <w:u w:val="single"/>
        </w:rPr>
        <w:t xml:space="preserve">同专用条款 第二节 第23.1款</w:t>
      </w:r>
      <w:r/>
    </w:p>
    <w:p>
      <w:pPr>
        <w:ind w:firstLine="480"/>
        <w:spacing w:line="520" w:lineRule="exact"/>
        <w:widowControl/>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收取履约保证金形式：</w:t>
      </w:r>
      <w:r>
        <w:rPr>
          <w:rFonts w:hint="eastAsia" w:ascii="宋体" w:hAnsi="宋体" w:cs="宋体"/>
          <w:bCs/>
          <w:color w:val="auto"/>
          <w:sz w:val="24"/>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bCs/>
          <w:color w:val="auto"/>
          <w:sz w:val="24"/>
          <w:highlight w:val="none"/>
        </w:rPr>
        <w:t xml:space="preserve">。</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收取履约保证金金额：</w:t>
      </w:r>
      <w:r>
        <w:rPr>
          <w:rFonts w:hint="eastAsia" w:ascii="宋体" w:hAnsi="宋体" w:eastAsia="Arial" w:cs="宋体"/>
          <w:color w:val="auto"/>
          <w:sz w:val="24"/>
          <w:szCs w:val="20"/>
          <w:highlight w:val="none"/>
          <w:u w:val="single"/>
        </w:rPr>
        <w:t xml:space="preserve">合同金额的10%，采购人对AA评级及以上政府采购供应商（需提供信用管理部门备案的第三方信用报告）降低履约保证金缴纳比例至5%。</w:t>
      </w:r>
      <w:r>
        <w:rPr>
          <w:rFonts w:hint="eastAsia" w:ascii="宋体" w:hAnsi="宋体" w:eastAsia="Arial" w:cs="宋体"/>
          <w:color w:val="auto"/>
          <w:sz w:val="24"/>
          <w:szCs w:val="20"/>
          <w:highlight w:val="none"/>
        </w:rPr>
        <w:t xml:space="preserve"> </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履约担保期限：</w:t>
      </w:r>
      <w:r>
        <w:rPr>
          <w:rFonts w:hint="eastAsia" w:ascii="宋体" w:hAnsi="宋体" w:eastAsia="Arial" w:cs="宋体"/>
          <w:color w:val="auto"/>
          <w:sz w:val="24"/>
          <w:szCs w:val="20"/>
          <w:highlight w:val="none"/>
          <w:u w:val="single"/>
          <w:lang w:val="zh-CN"/>
        </w:rPr>
        <w:t xml:space="preserve">合同履行结束后，甲方应及时退还交纳的履约保证金</w:t>
      </w:r>
      <w:r>
        <w:rPr>
          <w:rFonts w:hint="eastAsia" w:ascii="宋体" w:hAnsi="宋体" w:eastAsia="Arial" w:cs="宋体"/>
          <w:color w:val="auto"/>
          <w:sz w:val="24"/>
          <w:szCs w:val="20"/>
          <w:highlight w:val="none"/>
          <w:lang w:val="zh-CN"/>
        </w:rPr>
        <w:t xml:space="preserve">。</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履约保证金的退还：</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1）方式：退还至投标人缴纳履约保证金的账户。如为保函，在到期时自行失效。</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2）时间：验收合格且采购人收到发票后30日内。</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3）条件：按合同要求全部履约完成并经采购人验收合格，且采购人收到中标人出具的发票。</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4）不予退还情形：</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①中标人无正当理由拒绝签订合同的，或者在签订合同时向采购人提出附加条件或者更改合同实质性内容要求的；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②中标人不履行与采购人订立的合同的；</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③中标人所供货物或服务不符合招标文件规定要求的；</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④中标人采取欺骗、弄虚作假方式投标的或与其它投标人串通投标的；</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⑤中标人将合同内容转包、违法分包的；</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⑥中标人故意捏造事实或伪造证明材料，进行虚假恶意投诉或反映的。</w:t>
      </w:r>
      <w:r/>
    </w:p>
    <w:p>
      <w:pPr>
        <w:ind w:firstLine="482"/>
        <w:jc w:val="left"/>
        <w:spacing w:line="560" w:lineRule="exact"/>
        <w:widowControl/>
        <w:rPr>
          <w:rFonts w:ascii="宋体" w:hAnsi="宋体" w:eastAsia="Arial" w:cs="宋体"/>
          <w:color w:val="auto"/>
          <w:sz w:val="24"/>
          <w:szCs w:val="20"/>
          <w:highlight w:val="none"/>
          <w:u w:val="single"/>
          <w:lang w:val="zh-CN"/>
        </w:rPr>
      </w:pPr>
      <w:r>
        <w:rPr>
          <w:rFonts w:hint="eastAsia" w:ascii="宋体" w:hAnsi="宋体" w:eastAsia="Arial" w:cs="宋体"/>
          <w:color w:val="auto"/>
          <w:sz w:val="24"/>
          <w:szCs w:val="20"/>
          <w:highlight w:val="none"/>
          <w:u w:val="single"/>
          <w:lang w:val="zh-CN"/>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Arial" w:cs="宋体"/>
          <w:color w:val="auto"/>
          <w:sz w:val="24"/>
          <w:szCs w:val="20"/>
          <w:highlight w:val="none"/>
          <w:lang w:val="zh-CN"/>
        </w:rPr>
        <w:t xml:space="preserve">。</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w:t>
      </w:r>
      <w:r>
        <w:rPr>
          <w:rFonts w:hint="eastAsia" w:ascii="宋体" w:hAnsi="宋体" w:eastAsia="Arial" w:cs="宋体"/>
          <w:color w:val="auto"/>
          <w:sz w:val="24"/>
          <w:szCs w:val="20"/>
          <w:highlight w:val="none"/>
        </w:rPr>
        <w:t xml:space="preserve">4</w:t>
      </w:r>
      <w:r>
        <w:rPr>
          <w:rFonts w:hint="eastAsia" w:ascii="宋体" w:hAnsi="宋体" w:eastAsia="Arial" w:cs="宋体"/>
          <w:color w:val="auto"/>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cs="宋体"/>
          <w:b/>
          <w:bCs/>
          <w:color w:val="auto"/>
          <w:sz w:val="24"/>
          <w:szCs w:val="20"/>
          <w:highlight w:val="none"/>
          <w:lang w:val="zh-CN"/>
        </w:rPr>
      </w:pPr>
      <w:r>
        <w:rPr>
          <w:rFonts w:hint="eastAsia" w:ascii="宋体" w:hAnsi="宋体" w:eastAsia="Arial" w:cs="宋体"/>
          <w:color w:val="auto"/>
          <w:sz w:val="24"/>
          <w:szCs w:val="20"/>
          <w:highlight w:val="none"/>
          <w:lang w:val="zh-CN"/>
        </w:rPr>
        <w:t xml:space="preserve"> 如以履约保函（保险）形式缴纳履约保证金，供应商可通过政府采购电子履约保函（保险）平台（www.jsdzbh.com）在线申请履约保函（保险）。</w:t>
      </w:r>
      <w:r>
        <w:rPr>
          <w:rFonts w:hint="eastAsia" w:ascii="宋体" w:hAnsi="宋体" w:cs="宋体"/>
          <w:b/>
          <w:bCs/>
          <w:color w:val="auto"/>
          <w:sz w:val="24"/>
          <w:szCs w:val="20"/>
          <w:highlight w:val="none"/>
          <w:lang w:val="zh-CN"/>
        </w:rPr>
        <w:t xml:space="preserve">                              </w:t>
      </w:r>
      <w:r/>
    </w:p>
    <w:p>
      <w:pPr>
        <w:numPr>
          <w:ilvl w:val="0"/>
          <w:numId w:val="3"/>
        </w:num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分期履行要求：</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（6）风险处置措施和替代方案：</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4.</w:t>
      </w:r>
      <w:r>
        <w:rPr>
          <w:rFonts w:hint="eastAsia" w:ascii="宋体" w:hAnsi="宋体" w:cs="宋体"/>
          <w:b/>
          <w:bCs/>
          <w:color w:val="auto"/>
          <w:sz w:val="24"/>
          <w:szCs w:val="20"/>
          <w:highlight w:val="none"/>
          <w:lang w:val="zh-CN"/>
        </w:rPr>
        <w:t xml:space="preserve">合同验收</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CN"/>
        </w:rPr>
        <w:t xml:space="preserve">）验收组织方式：</w:t>
      </w: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自行组织</w:t>
      </w:r>
      <w:r>
        <w:rPr>
          <w:rFonts w:hint="eastAsia" w:ascii="宋体" w:hAnsi="宋体" w:cs="宋体"/>
          <w:color w:val="auto"/>
          <w:sz w:val="24"/>
          <w:szCs w:val="20"/>
          <w:highlight w:val="none"/>
        </w:rPr>
        <w:t xml:space="preserve">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委托第三方组织</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验收主体：</w:t>
      </w:r>
      <w:r>
        <w:rPr>
          <w:rFonts w:hint="eastAsia" w:ascii="宋体" w:hAnsi="宋体"/>
          <w:bCs/>
          <w:color w:val="auto"/>
          <w:sz w:val="24"/>
          <w:highlight w:val="none"/>
          <w:u w:val="single"/>
        </w:rPr>
        <w:t xml:space="preserve">盐城市教育局</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是否邀请专家参加验收：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hint="eastAsia" w:ascii="宋体" w:hAnsi="宋体" w:eastAsia="Arial" w:cs="宋体"/>
          <w:color w:val="auto"/>
          <w:sz w:val="24"/>
          <w:szCs w:val="20"/>
          <w:highlight w:val="none"/>
        </w:rPr>
        <w:t xml:space="preserve"></w:t>
      </w:r>
      <w:r>
        <w:rPr>
          <w:rFonts w:ascii="Wingdings" w:hAnsi="Wingdings" w:eastAsia="Wingdings" w:cs="Wingdings"/>
          <w:color w:val="auto"/>
          <w:sz w:val="24"/>
          <w:szCs w:val="20"/>
          <w:highlight w:val="none"/>
          <w:lang w:val="zh-CN"/>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szCs w:val="20"/>
          <w:highlight w:val="none"/>
          <w:lang w:val="zh-CN"/>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是否进行抽查检测：是，抽查比例：</w:t>
      </w:r>
      <w:r>
        <w:rPr>
          <w:rFonts w:hint="eastAsia" w:ascii="宋体" w:hAnsi="宋体" w:eastAsia="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Arial" w:cs="宋体"/>
          <w:color w:val="auto"/>
          <w:sz w:val="24"/>
          <w:szCs w:val="20"/>
          <w:highlight w:val="none"/>
          <w:lang w:val="zh-CN"/>
        </w:rPr>
        <w:t xml:space="preserve">是否存在破坏性检测：</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w:t>
      </w:r>
      <w:r>
        <w:rPr>
          <w:rFonts w:hint="eastAsia" w:ascii="宋体" w:hAnsi="宋体" w:eastAsia="宋体" w:cs="宋体"/>
          <w:color w:val="auto"/>
          <w:sz w:val="24"/>
          <w:szCs w:val="20"/>
          <w:highlight w:val="none"/>
        </w:rPr>
        <w:t xml:space="preserve"> </w:t>
      </w:r>
      <w:r>
        <w:rPr>
          <w:rFonts w:ascii="Wingdings" w:hAnsi="Wingdings" w:eastAsia="Wingdings" w:cs="Wingdings"/>
          <w:color w:val="auto"/>
          <w:sz w:val="24"/>
          <w:szCs w:val="20"/>
          <w:highlight w:val="none"/>
          <w:lang w:val="zh-CN"/>
        </w:rPr>
        <w:t xml:space="preserve"></w:t>
      </w:r>
      <w:r>
        <w:rPr>
          <w:rFonts w:hint="eastAsia" w:ascii="Wingdings" w:hAnsi="Wingdings" w:eastAsia="宋体" w:cs="Wingdings"/>
          <w:color w:val="auto"/>
          <w:sz w:val="24"/>
          <w:szCs w:val="20"/>
          <w:highlight w:val="none"/>
        </w:rPr>
        <w:t xml:space="preserve">否</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验收组织的其他事项：</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u w:val="single"/>
          <w:lang w:val="zh-CN"/>
        </w:rPr>
      </w:pPr>
      <w:r>
        <w:rPr>
          <w:rFonts w:hint="eastAsia" w:ascii="宋体" w:hAnsi="宋体" w:cs="宋体"/>
          <w:color w:val="auto"/>
          <w:sz w:val="24"/>
          <w:szCs w:val="20"/>
          <w:highlight w:val="none"/>
          <w:lang w:val="zh-CN"/>
        </w:rPr>
        <w:t xml:space="preserve">（2）履约验收时间：</w:t>
      </w:r>
      <w:r>
        <w:rPr>
          <w:rFonts w:hint="eastAsia" w:ascii="宋体" w:hAnsi="宋体" w:cs="宋体"/>
          <w:color w:val="auto"/>
          <w:sz w:val="24"/>
          <w:szCs w:val="20"/>
          <w:highlight w:val="none"/>
          <w:u w:val="single"/>
          <w:lang w:val="zh-CN"/>
        </w:rPr>
        <w:t xml:space="preserve">供应商提出验收申请之日起5个工作日内组织验收</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（3）履约验收方式：</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一次性验收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分期/分项验收：</w:t>
      </w:r>
      <w:r>
        <w:rPr>
          <w:rFonts w:hint="eastAsia" w:ascii="宋体" w:hAnsi="宋体" w:cs="宋体"/>
          <w:color w:val="auto"/>
          <w:sz w:val="24"/>
          <w:szCs w:val="20"/>
          <w:highlight w:val="none"/>
          <w:u w:val="single"/>
          <w:lang w:val="zh-CN"/>
        </w:rPr>
        <w:t xml:space="preserve">（应明确分期/分项验收的工作安排）</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（4）履约验收程序：</w:t>
      </w:r>
      <w:r>
        <w:rPr>
          <w:rFonts w:hint="eastAsia" w:ascii="宋体" w:hAnsi="宋体"/>
          <w:bCs/>
          <w:color w:val="auto"/>
          <w:sz w:val="24"/>
          <w:highlight w:val="none"/>
          <w:u w:val="single"/>
        </w:rPr>
        <w:t xml:space="preserve">同专用条款 第二节 第23.1款。</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（5）履约验收的内容：</w:t>
      </w:r>
      <w:r>
        <w:rPr>
          <w:rFonts w:hint="eastAsia" w:ascii="宋体" w:hAnsi="宋体" w:cs="宋体"/>
          <w:color w:val="auto"/>
          <w:sz w:val="24"/>
          <w:szCs w:val="20"/>
          <w:highlight w:val="none"/>
          <w:u w:val="single"/>
          <w:lang w:val="zh-CN"/>
        </w:rPr>
        <w:t xml:space="preserve">型号、规格、数量、外观是否完好等</w:t>
      </w:r>
      <w:r>
        <w:rPr>
          <w:rFonts w:hint="eastAsia" w:ascii="宋体" w:hAnsi="宋体" w:cs="宋体"/>
          <w:color w:val="auto"/>
          <w:sz w:val="24"/>
          <w:szCs w:val="20"/>
          <w:highlight w:val="none"/>
          <w:lang w:val="zh-CN"/>
        </w:rPr>
        <w:t xml:space="preserve">；</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（6）履约验收标准：</w:t>
      </w:r>
      <w:r>
        <w:rPr>
          <w:rFonts w:hint="eastAsia" w:ascii="宋体" w:hAnsi="宋体" w:cs="宋体"/>
          <w:color w:val="auto"/>
          <w:sz w:val="24"/>
          <w:szCs w:val="20"/>
          <w:highlight w:val="none"/>
          <w:u w:val="single"/>
        </w:rPr>
        <w:t xml:space="preserve">合格</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否</w:t>
      </w:r>
      <w:r/>
    </w:p>
    <w:p>
      <w:pPr>
        <w:ind w:firstLine="482"/>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（8）履约验收其他事项：</w:t>
      </w:r>
      <w:r>
        <w:rPr>
          <w:rFonts w:hint="eastAsia" w:ascii="宋体" w:hAnsi="宋体" w:cs="宋体"/>
          <w:color w:val="auto"/>
          <w:sz w:val="24"/>
          <w:szCs w:val="20"/>
          <w:highlight w:val="none"/>
          <w:u w:val="single"/>
          <w:lang w:val="zh-CN"/>
        </w:rPr>
        <w:t xml:space="preserve">因验收不合格而导致增加的费用（包括但不限于第三方检测机构费用等）均由乙方承担。</w:t>
      </w:r>
      <w:r/>
    </w:p>
    <w:p>
      <w:pPr>
        <w:ind w:firstLine="482"/>
        <w:jc w:val="left"/>
        <w:spacing w:line="56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5.组成合同的文件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（1）政府采购合同协议书及其变更、补充协议</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（2）政府采购合同专用条款</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（3）政府采购合同通用条款</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（4）中标（成交）通知书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（5）投标（响应）文件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（6）采购文件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（7）有关技术文件，图纸</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（8）国家法律、行政法规和规章制度规定或合同约定的作为合同组成部分的其他文件</w:t>
      </w:r>
      <w:r/>
    </w:p>
    <w:p>
      <w:pPr>
        <w:ind w:firstLine="482"/>
        <w:jc w:val="left"/>
        <w:spacing w:line="56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6.合同生效</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本合同自</w:t>
      </w:r>
      <w:r>
        <w:rPr>
          <w:rFonts w:hint="eastAsia" w:ascii="宋体" w:hAnsi="宋体" w:eastAsia="宋体" w:cs="宋体"/>
          <w:color w:val="auto"/>
          <w:sz w:val="24"/>
          <w:szCs w:val="20"/>
          <w:highlight w:val="none"/>
          <w:u w:val="single"/>
        </w:rPr>
        <w:t xml:space="preserve">2026</w:t>
      </w:r>
      <w:r>
        <w:rPr>
          <w:rFonts w:hint="eastAsia" w:ascii="宋体" w:hAnsi="宋体" w:eastAsia="Arial" w:cs="宋体"/>
          <w:color w:val="auto"/>
          <w:sz w:val="24"/>
          <w:szCs w:val="20"/>
          <w:highlight w:val="none"/>
          <w:lang w:val="zh-CN"/>
        </w:rPr>
        <w:t xml:space="preserve">年</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月</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日生效。</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7.合同份数</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本合同一式</w:t>
      </w:r>
      <w:r>
        <w:rPr>
          <w:rFonts w:hint="eastAsia" w:ascii="宋体" w:hAnsi="宋体" w:eastAsia="宋体" w:cs="宋体"/>
          <w:color w:val="auto"/>
          <w:sz w:val="24"/>
          <w:szCs w:val="20"/>
          <w:highlight w:val="none"/>
          <w:u w:val="single"/>
        </w:rPr>
        <w:t xml:space="preserve">肆</w:t>
      </w:r>
      <w:r>
        <w:rPr>
          <w:rFonts w:hint="eastAsia" w:ascii="宋体" w:hAnsi="宋体" w:eastAsia="Arial" w:cs="宋体"/>
          <w:color w:val="auto"/>
          <w:sz w:val="24"/>
          <w:szCs w:val="20"/>
          <w:highlight w:val="none"/>
          <w:lang w:val="zh-CN"/>
        </w:rPr>
        <w:t xml:space="preserve">份，甲方执</w:t>
      </w:r>
      <w:r>
        <w:rPr>
          <w:rFonts w:hint="eastAsia" w:ascii="宋体" w:hAnsi="宋体" w:eastAsia="宋体" w:cs="宋体"/>
          <w:color w:val="auto"/>
          <w:sz w:val="24"/>
          <w:szCs w:val="20"/>
          <w:highlight w:val="none"/>
          <w:u w:val="single"/>
        </w:rPr>
        <w:t xml:space="preserve">贰</w:t>
      </w:r>
      <w:r>
        <w:rPr>
          <w:rFonts w:hint="eastAsia" w:ascii="宋体" w:hAnsi="宋体" w:eastAsia="Arial" w:cs="宋体"/>
          <w:color w:val="auto"/>
          <w:sz w:val="24"/>
          <w:szCs w:val="20"/>
          <w:highlight w:val="none"/>
          <w:lang w:val="zh-CN"/>
        </w:rPr>
        <w:t xml:space="preserve">份，乙方执</w:t>
      </w:r>
      <w:r>
        <w:rPr>
          <w:rFonts w:hint="eastAsia" w:ascii="宋体" w:hAnsi="宋体" w:eastAsia="宋体" w:cs="宋体"/>
          <w:color w:val="auto"/>
          <w:sz w:val="24"/>
          <w:szCs w:val="20"/>
          <w:highlight w:val="none"/>
          <w:u w:val="single"/>
        </w:rPr>
        <w:t xml:space="preserve">贰</w:t>
      </w:r>
      <w:r>
        <w:rPr>
          <w:rFonts w:hint="eastAsia" w:ascii="宋体" w:hAnsi="宋体" w:eastAsia="Arial" w:cs="宋体"/>
          <w:color w:val="auto"/>
          <w:sz w:val="24"/>
          <w:szCs w:val="20"/>
          <w:highlight w:val="none"/>
          <w:lang w:val="zh-CN"/>
        </w:rPr>
        <w:t xml:space="preserve">份，均具有同等法律效力。</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合同订立时间：</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年 </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月 </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日</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Arial" w:cs="宋体"/>
          <w:color w:val="auto"/>
          <w:sz w:val="24"/>
          <w:szCs w:val="20"/>
          <w:highlight w:val="none"/>
          <w:lang w:val="zh-CN"/>
        </w:rPr>
        <w:t xml:space="preserve">合同订立地点：</w:t>
      </w:r>
      <w:r>
        <w:rPr>
          <w:rFonts w:hint="eastAsia" w:ascii="宋体" w:hAnsi="宋体" w:eastAsia="宋体" w:cs="宋体"/>
          <w:color w:val="auto"/>
          <w:sz w:val="24"/>
          <w:szCs w:val="20"/>
          <w:highlight w:val="none"/>
          <w:u w:val="single"/>
        </w:rPr>
        <w:t xml:space="preserve">盐城市教育局</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附件：具体标的及其技术要求和商务要求、联合协议、分包意向协议等。</w:t>
      </w:r>
      <w:r/>
    </w:p>
    <w:p>
      <w:pPr>
        <w:pStyle w:val="940"/>
        <w:spacing w:before="156"/>
        <w:widowControl/>
        <w:rPr>
          <w:rFonts w:hint="default" w:cs="宋体"/>
          <w:b w:val="0"/>
          <w:bCs w:val="0"/>
          <w:color w:val="auto"/>
          <w:sz w:val="24"/>
          <w:szCs w:val="24"/>
          <w:highlight w:val="none"/>
        </w:rPr>
        <w:outlineLvl w:val="9"/>
      </w:pPr>
      <w:r>
        <w:rPr>
          <w:rFonts w:cs="宋体"/>
          <w:b w:val="0"/>
          <w:bCs w:val="0"/>
          <w:color w:val="auto"/>
          <w:sz w:val="24"/>
          <w:szCs w:val="24"/>
          <w:highlight w:val="none"/>
        </w:rPr>
        <w:br w:type="page" w:clear="all"/>
      </w:r>
      <w:r/>
    </w:p>
    <w:tbl>
      <w:tblPr>
        <w:tblStyle w:val="712"/>
        <w:tblW w:w="4893"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6"/>
        <w:gridCol w:w="2449"/>
        <w:gridCol w:w="2105"/>
        <w:gridCol w:w="2096"/>
      </w:tblGrid>
      <w:tr>
        <w:trPr>
          <w:jc w:val="center"/>
          <w:trHeight w:val="490"/>
        </w:trPr>
        <w:tc>
          <w:tcPr>
            <w:gridSpan w:val="2"/>
            <w:tcBorders>
              <w:bottom w:val="single" w:color="000000" w:sz="2" w:space="0"/>
              <w:right w:val="single" w:color="000000" w:sz="2" w:space="0"/>
            </w:tcBorders>
            <w:tcW w:w="446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201"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color w:val="auto"/>
                <w:sz w:val="24"/>
                <w:highlight w:val="none"/>
              </w:rPr>
              <w:t xml:space="preserve">盐城市教育局</w:t>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单位名称（公章或合同章）</w:t>
            </w:r>
            <w:r/>
          </w:p>
        </w:tc>
        <w:tc>
          <w:tcPr>
            <w:tcBorders>
              <w:top w:val="single" w:color="000000" w:sz="2" w:space="0"/>
              <w:left w:val="single" w:color="000000" w:sz="2" w:space="0"/>
              <w:bottom w:val="single" w:color="000000" w:sz="2" w:space="0"/>
            </w:tcBorders>
            <w:tcW w:w="2096"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cantSplit/>
          <w:jc w:val="center"/>
          <w:trHeight w:val="1171"/>
        </w:trPr>
        <w:tc>
          <w:tcPr>
            <w:tcBorders>
              <w:top w:val="single" w:color="000000" w:sz="2" w:space="0"/>
              <w:right w:val="single" w:color="000000" w:sz="2" w:space="0"/>
            </w:tcBorders>
            <w:tcW w:w="2017" w:type="dxa"/>
            <w:vAlign w:val="center"/>
            <w:vMerge w:val="restart"/>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法定代表人或其委托代理人（签章）</w:t>
            </w:r>
            <w:r/>
          </w:p>
        </w:tc>
        <w:tc>
          <w:tcPr>
            <w:tcBorders>
              <w:top w:val="single" w:color="000000" w:sz="2" w:space="0"/>
              <w:left w:val="single" w:color="000000" w:sz="2" w:space="0"/>
              <w:right w:val="single" w:color="000000" w:sz="2" w:space="0"/>
            </w:tcBorders>
            <w:tcW w:w="2449" w:type="dxa"/>
            <w:vAlign w:val="center"/>
            <w:vMerge w:val="restart"/>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法定代表人或其委托代理人（签章）</w:t>
            </w:r>
            <w:r/>
          </w:p>
        </w:tc>
        <w:tc>
          <w:tcPr>
            <w:tcBorders>
              <w:top w:val="single" w:color="000000" w:sz="2" w:space="0"/>
              <w:left w:val="single" w:color="000000" w:sz="2" w:space="0"/>
              <w:bottom w:val="single" w:color="000000" w:sz="2" w:space="0"/>
            </w:tcBorders>
            <w:tcW w:w="2096"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cantSplit/>
          <w:jc w:val="center"/>
          <w:trHeight w:val="483"/>
        </w:trPr>
        <w:tc>
          <w:tcPr>
            <w:tcBorders>
              <w:bottom w:val="single" w:color="000000" w:sz="2" w:space="0"/>
              <w:right w:val="single" w:color="000000" w:sz="2" w:space="0"/>
            </w:tcBorders>
            <w:tcW w:w="2017" w:type="dxa"/>
            <w:vAlign w:val="center"/>
            <w:vMerge w:val="continue"/>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left w:val="single" w:color="000000" w:sz="2" w:space="0"/>
              <w:bottom w:val="single" w:color="000000" w:sz="2" w:space="0"/>
              <w:right w:val="single" w:color="000000" w:sz="2" w:space="0"/>
            </w:tcBorders>
            <w:tcW w:w="2449" w:type="dxa"/>
            <w:vAlign w:val="center"/>
            <w:vMerge w:val="continue"/>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拥有者性别</w:t>
            </w:r>
            <w:r/>
          </w:p>
        </w:tc>
        <w:tc>
          <w:tcPr>
            <w:tcBorders>
              <w:top w:val="single" w:color="000000" w:sz="2" w:space="0"/>
              <w:left w:val="single" w:color="000000" w:sz="2" w:space="0"/>
              <w:bottom w:val="single" w:color="000000" w:sz="2" w:space="0"/>
            </w:tcBorders>
            <w:tcW w:w="2096"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住所</w:t>
            </w:r>
            <w:r/>
          </w:p>
        </w:tc>
        <w:tc>
          <w:tcPr>
            <w:tcBorders>
              <w:top w:val="single" w:color="000000" w:sz="2" w:space="0"/>
              <w:left w:val="single" w:color="000000" w:sz="2" w:space="0"/>
              <w:bottom w:val="single" w:color="000000" w:sz="2" w:space="0"/>
            </w:tcBorders>
            <w:tcW w:w="2096"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 系 人</w:t>
            </w:r>
            <w:r/>
          </w:p>
        </w:tc>
        <w:tc>
          <w:tcPr>
            <w:tcBorders>
              <w:top w:val="single" w:color="000000" w:sz="2" w:space="0"/>
              <w:left w:val="single" w:color="000000" w:sz="2" w:space="0"/>
              <w:bottom w:val="single" w:color="000000" w:sz="2" w:space="0"/>
            </w:tcBorders>
            <w:tcW w:w="2096"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w:t>
            </w:r>
            <w:r/>
          </w:p>
        </w:tc>
        <w:tc>
          <w:tcPr>
            <w:tcBorders>
              <w:top w:val="single" w:color="000000" w:sz="2" w:space="0"/>
              <w:left w:val="single" w:color="000000" w:sz="2" w:space="0"/>
              <w:bottom w:val="single" w:color="000000" w:sz="2" w:space="0"/>
            </w:tcBorders>
            <w:tcW w:w="2096" w:type="dxa"/>
            <w:vAlign w:val="center"/>
            <w:textDirection w:val="lrTb"/>
            <w:noWrap w:val="false"/>
          </w:tcPr>
          <w:p>
            <w:pPr>
              <w:ind w:firstLine="482"/>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通信地址</w:t>
            </w:r>
            <w:r/>
          </w:p>
        </w:tc>
        <w:tc>
          <w:tcPr>
            <w:tcBorders>
              <w:top w:val="single" w:color="000000" w:sz="2" w:space="0"/>
              <w:left w:val="single" w:color="000000" w:sz="2" w:space="0"/>
              <w:bottom w:val="single" w:color="000000" w:sz="2" w:space="0"/>
            </w:tcBorders>
            <w:tcW w:w="209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邮政编码</w:t>
            </w:r>
            <w:r/>
          </w:p>
        </w:tc>
        <w:tc>
          <w:tcPr>
            <w:tcBorders>
              <w:top w:val="single" w:color="000000" w:sz="2" w:space="0"/>
              <w:left w:val="single" w:color="000000" w:sz="2" w:space="0"/>
              <w:bottom w:val="single" w:color="000000" w:sz="2" w:space="0"/>
            </w:tcBorders>
            <w:tcW w:w="209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电子邮箱</w:t>
            </w:r>
            <w:r/>
          </w:p>
        </w:tc>
        <w:tc>
          <w:tcPr>
            <w:tcBorders>
              <w:top w:val="single" w:color="000000" w:sz="2" w:space="0"/>
              <w:left w:val="single" w:color="000000" w:sz="2" w:space="0"/>
              <w:bottom w:val="single" w:color="000000" w:sz="2" w:space="0"/>
            </w:tcBorders>
            <w:tcW w:w="209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统一社会信用  代码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统一社会信用  代码</w:t>
            </w:r>
            <w:r/>
          </w:p>
        </w:tc>
        <w:tc>
          <w:tcPr>
            <w:tcBorders>
              <w:top w:val="single" w:color="000000" w:sz="2" w:space="0"/>
              <w:left w:val="single" w:color="000000" w:sz="2" w:space="0"/>
              <w:bottom w:val="single" w:color="000000" w:sz="2" w:space="0"/>
            </w:tcBorders>
            <w:tcW w:w="209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开户名称</w:t>
            </w:r>
            <w:r/>
          </w:p>
        </w:tc>
        <w:tc>
          <w:tcPr>
            <w:tcBorders>
              <w:top w:val="single" w:color="000000" w:sz="2" w:space="0"/>
              <w:left w:val="single" w:color="000000" w:sz="2" w:space="0"/>
              <w:bottom w:val="single" w:color="000000" w:sz="2" w:space="0"/>
            </w:tcBorders>
            <w:tcW w:w="209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开户银行</w:t>
            </w:r>
            <w:r/>
          </w:p>
        </w:tc>
        <w:tc>
          <w:tcPr>
            <w:tcBorders>
              <w:top w:val="single" w:color="000000" w:sz="2" w:space="0"/>
              <w:left w:val="single" w:color="000000" w:sz="2" w:space="0"/>
              <w:bottom w:val="single" w:color="000000" w:sz="2" w:space="0"/>
            </w:tcBorders>
            <w:tcW w:w="209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银行账号</w:t>
            </w:r>
            <w:r/>
          </w:p>
        </w:tc>
        <w:tc>
          <w:tcPr>
            <w:tcBorders>
              <w:top w:val="single" w:color="000000" w:sz="2" w:space="0"/>
              <w:left w:val="single" w:color="000000" w:sz="2" w:space="0"/>
              <w:bottom w:val="single" w:color="000000" w:sz="2" w:space="0"/>
            </w:tcBorders>
            <w:tcW w:w="2096"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tc>
      </w:tr>
      <w:tr>
        <w:trPr>
          <w:jc w:val="center"/>
          <w:trHeight w:val="627"/>
        </w:trPr>
        <w:tc>
          <w:tcPr>
            <w:gridSpan w:val="4"/>
            <w:tcBorders>
              <w:top w:val="single" w:color="000000" w:sz="2" w:space="0"/>
            </w:tcBorders>
            <w:tcW w:w="8667" w:type="dxa"/>
            <w:vAlign w:val="center"/>
            <w:textDirection w:val="lrTb"/>
            <w:noWrap w:val="false"/>
          </w:tcPr>
          <w:p>
            <w:pPr>
              <w:jc w:val="center"/>
              <w:spacing w:line="50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注：涉及联合体或其他合同主体的信息应按上表格式加列。</w:t>
            </w:r>
            <w:r/>
          </w:p>
        </w:tc>
      </w:tr>
    </w:tbl>
    <w:p>
      <w:pPr>
        <w:widowControl/>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940"/>
        <w:jc w:val="center"/>
        <w:spacing w:before="156" w:afterAutospacing="0" w:line="400" w:lineRule="exact"/>
        <w:widowControl/>
        <w:rPr>
          <w:rFonts w:hint="default" w:cs="宋体"/>
          <w:color w:val="auto"/>
          <w:sz w:val="28"/>
          <w:szCs w:val="28"/>
          <w:highlight w:val="none"/>
        </w:rPr>
      </w:pPr>
      <w:r>
        <w:rPr>
          <w:rFonts w:cs="宋体"/>
          <w:color w:val="auto"/>
          <w:sz w:val="28"/>
          <w:szCs w:val="28"/>
          <w:highlight w:val="none"/>
        </w:rPr>
        <w:t xml:space="preserve">第二节 政府采购合同通用条款</w:t>
      </w:r>
      <w:bookmarkEnd w:id="161"/>
      <w:r/>
      <w:r/>
    </w:p>
    <w:p>
      <w:pPr>
        <w:ind w:firstLine="482"/>
        <w:jc w:val="left"/>
        <w:spacing w:line="40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val="zh-CN"/>
        </w:rPr>
        <w:t xml:space="preserve">定义</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1.1合同当事人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1.2本合同下列术语应解释为：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（2）“合同价款”系指根据本合同规定乙方在全面履行合同义务后甲方应支付给乙方的价款。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技术资料和材料等。</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（4）“相关服务”系指根据合同规定，乙方应提供的与货物有关的技术、管理和</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（7）其他术语解释，见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2.合同标的及金额</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3.履行合同的时间、地点和方式</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3.1乙方应当在约定的时间、地点，按照约定方式履行合同。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4.甲方的权利和义务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4.2甲方有权要求乙方按时提交各阶段有关安排计划，并有权定期核对乙方提供货物数量、规格、质量等内容。甲方有权督促乙方工作并要求乙方更换不符合要求的货物。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4.3甲方有权要求乙方对缺陷部分予以修复，并按合同约定享有货物保修及其他合同约定的权利。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4.4甲方应当按照合同约定及时对交付的货物进行验收，未在【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】约定的期限内对乙方履约提出任何异议或者向乙方作出任何说明的，视为验收通过。</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4.5甲方应当根据合同约定及时向乙方支付合同价款，不得以内部人员变更、履行内部付款流程等为由，拒绝或迟延支付。</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4.6国家法律法规规定及【</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】约定应由甲方承担的其他义务和责任。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5.乙方的权利和义务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5.1签署合同后，乙方应确定项目负责人（或项目联系人），负责与本合同有关的事务。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5.3乙方有权根据合同约定向甲方收取合同价款。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5.4国家法律法规规定及【</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】约定应由乙方承担的其他义务和责任。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6.合同履行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6.1甲乙双方应当按照【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】约定顺序履行合同义务；如果没有先后顺序的，应当同时履行。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7.货物包装、运输、保险和交付要求</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7.1本合同涉及商品包装、快递包装的，除【</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】另有约定外，包装应适应远距离运输、防潮、防震、防锈和防野蛮装卸等要求，确保货物安全无损地运抵【</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约定的指定现场。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7.2除【</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7.3货物保险要求按【</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】规定执行。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7.5乙方在运输到达之前应提前通知甲方，并提示货物运输装卸的注意事项，甲方配合乙方做好货物的接收工作。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7.6如因包装、运输问题导致货物损毁、丢失或者品质下降，甲方有权要求降价、换货、拒收部分或整批货物，由此产生的费用和损失，均由乙方承担。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8.质量标准和保证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8.1质量标准</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（2）采用中华人民共和国法定计量单位。</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（3）乙方所提供的货物应符合国家有关安全、环保、卫生的规定。</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8.2保证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】规定或乙方书面承诺（两者以较长的为准）的质量保证期内，本保证保持有效。</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（2）在质量保证期内所发现的缺陷，甲方应尽快以书面形式通知乙方。</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（3）乙方收到通知后，应在【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】规定的响应时间内以合理的速度免费维修或更换有缺陷的货物或部件。</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9.权利瑕疵担保</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9.1乙方保证对其出售的货物享有合法的权利。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9.2乙方保证在交付的货物上不存在抵押权等担保物权。</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9.3如甲方使用上述货物构成对第三人侵权的，则由乙方承担全部责任。</w:t>
      </w:r>
      <w:r/>
    </w:p>
    <w:p>
      <w:pPr>
        <w:ind w:firstLine="482"/>
        <w:jc w:val="left"/>
        <w:spacing w:line="560" w:lineRule="exact"/>
        <w:widowControl/>
        <w:rPr>
          <w:rFonts w:ascii="宋体" w:hAnsi="宋体" w:eastAsia="宋体" w:cs="宋体"/>
          <w:b/>
          <w:bCs/>
          <w:color w:val="auto"/>
          <w:sz w:val="24"/>
          <w:szCs w:val="20"/>
          <w:highlight w:val="none"/>
          <w:lang w:val="zh-CN"/>
        </w:rPr>
      </w:pPr>
      <w:r/>
      <w:bookmarkStart w:id="162" w:name="OLE_LINK106"/>
      <w:r>
        <w:rPr>
          <w:rFonts w:hint="eastAsia" w:ascii="宋体" w:hAnsi="宋体" w:eastAsia="宋体" w:cs="宋体"/>
          <w:b/>
          <w:bCs/>
          <w:color w:val="auto"/>
          <w:sz w:val="24"/>
          <w:szCs w:val="20"/>
          <w:highlight w:val="none"/>
          <w:lang w:val="zh-CN"/>
        </w:rPr>
        <w:t xml:space="preserve">10.知识产权保护</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10.1乙方对其所销售的货物应当享有知识产权或经权利人合法授权，保证没有侵犯任何第三人的知识产权等权利。</w:t>
      </w:r>
      <w:bookmarkStart w:id="163" w:name="_Hlk163047038"/>
      <w:r>
        <w:rPr>
          <w:rFonts w:hint="eastAsia" w:ascii="宋体" w:hAnsi="宋体" w:eastAsia="宋体" w:cs="宋体"/>
          <w:color w:val="auto"/>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163"/>
      <w:r>
        <w:rPr>
          <w:rFonts w:hint="eastAsia" w:ascii="宋体" w:hAnsi="宋体" w:eastAsia="宋体" w:cs="宋体"/>
          <w:color w:val="auto"/>
          <w:sz w:val="24"/>
          <w:szCs w:val="20"/>
          <w:highlight w:val="none"/>
          <w:lang w:val="zh-CN"/>
        </w:rPr>
        <w:t xml:space="preserve">。</w:t>
      </w:r>
      <w:bookmarkEnd w:id="162"/>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11.保密义务</w:t>
      </w:r>
      <w:r/>
    </w:p>
    <w:p>
      <w:pPr>
        <w:ind w:firstLine="482"/>
        <w:jc w:val="left"/>
        <w:spacing w:line="560" w:lineRule="exact"/>
        <w:widowControl/>
        <w:rPr>
          <w:rFonts w:ascii="宋体" w:hAnsi="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highlight w:val="none"/>
          <w:lang w:val="zh-CN"/>
        </w:rPr>
        <w:t xml:space="preserve">【</w:t>
      </w:r>
      <w:r>
        <w:rPr>
          <w:rFonts w:hint="eastAsia" w:ascii="宋体" w:hAnsi="宋体" w:cs="宋体"/>
          <w:b/>
          <w:bCs/>
          <w:color w:val="auto"/>
          <w:sz w:val="24"/>
          <w:szCs w:val="20"/>
          <w:highlight w:val="none"/>
          <w:lang w:val="zh-CN"/>
        </w:rPr>
        <w:t xml:space="preserve">政府采购合同专用条款</w:t>
      </w:r>
      <w:r>
        <w:rPr>
          <w:rFonts w:hint="eastAsia" w:ascii="宋体" w:hAnsi="宋体" w:cs="宋体"/>
          <w:color w:val="auto"/>
          <w:sz w:val="24"/>
          <w:szCs w:val="20"/>
          <w:highlight w:val="none"/>
          <w:lang w:val="zh-CN"/>
        </w:rPr>
        <w:t xml:space="preserve">】中约定。</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12.合同价款支付</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12.1合同价款支付按照国库集中支付制度及财政管理相关规定执行。</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宋体" w:cs="宋体"/>
          <w:color w:val="auto"/>
          <w:sz w:val="24"/>
          <w:szCs w:val="20"/>
          <w:highlight w:val="none"/>
          <w:lang w:val="zh-CN"/>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highlight w:val="none"/>
          <w:lang w:val="zh-CN"/>
        </w:rPr>
        <w:t xml:space="preserve">【</w:t>
      </w:r>
      <w:r>
        <w:rPr>
          <w:rFonts w:hint="eastAsia" w:ascii="宋体" w:hAnsi="宋体" w:eastAsia="Arial" w:cs="宋体"/>
          <w:b/>
          <w:bCs/>
          <w:color w:val="auto"/>
          <w:sz w:val="24"/>
          <w:szCs w:val="20"/>
          <w:highlight w:val="none"/>
          <w:lang w:val="zh-CN"/>
        </w:rPr>
        <w:t xml:space="preserve">政府采购合同专用条款</w:t>
      </w:r>
      <w:r>
        <w:rPr>
          <w:rFonts w:hint="eastAsia" w:ascii="宋体" w:hAnsi="宋体" w:eastAsia="Arial" w:cs="宋体"/>
          <w:color w:val="auto"/>
          <w:sz w:val="24"/>
          <w:szCs w:val="20"/>
          <w:highlight w:val="none"/>
          <w:lang w:val="zh-CN"/>
        </w:rPr>
        <w:t xml:space="preserve">】中约定。</w:t>
      </w:r>
      <w:r/>
    </w:p>
    <w:p>
      <w:pPr>
        <w:ind w:firstLine="480"/>
        <w:spacing w:line="52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13.履约保证金</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13.1乙方应当以支票、汇票、本票或者金融机构、担保机构出具的保函等非现金形式提交。</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13.2如果乙方出现【</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13.3甲方在项目通过验收后按照【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】规定的时间内将履约保证金退还乙方；逾期退还的，乙方可要求甲方支付违约金，违约金按照【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】规定支付。</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14.售后服务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14.1除项目不涉及或采购活动中明确约定无须承担外，乙方还应提供下列服务：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（1）货物的现场移动、安装、调试、启动监督及技术支持；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（2）提供货物组装和维修所需的专用工具和辅助材料；</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（4）在制造商所在地或指定现场就货物的安装、启动、运营、维护、废弃处置等对甲方操作人员进行培训；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（5）依照法律、行政法规的规定或者按照【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】约定，货物在有效使用年限届满后应予回收的，乙方负有自行或者委托第三人对货物予以回收的义务；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】规定由乙方提供的其他服务。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14.2乙方提供的售后服务的费用已包含在合同价款中，甲方不再另行支付。</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15.违约责任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15.1质量瑕疵的违约责任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乙方提供的产品不符合合同约定的质量标准或存在产品质量缺陷，甲方有权要求乙方根据【</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】要求及时修理、重作、更换，并承担由此给甲方造成的损失。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15.2迟延交货的违约责任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15.3迟延支付的违约责任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甲方存在迟延支付乙方合同款项的，应当承担【</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】规定的逾期付款利息。</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15.4其他违约责任根据项目实际需要按【</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】规定执行。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16.合同变更、中止与终止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16.1合同的变更</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16.2合同的中止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（4）甲方不得以行政区划调整、政府换届、机构或者职能调整以及相关责任人更替为由中止合同。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16.3合同的终止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（1）合同因有效期限届满而终止；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（2）乙方未按合同约定履行，构成根本性违约的，甲方有权终止合同，并追究乙方的违约责任。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16.4涉及国家利益、社会公共利益的情形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17.合同分包</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17.1乙方不得将合同转包给其他供应商。涉及合同分包的，乙方应根据采购文件和投标（响应）文件规定进行合同分包。</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17.2乙方执行政府采购政策向中小企业依法分包的，乙方应当按采购文件和投标（响应）文件签订分包意向协议，分包意向协议属于本合同组成部分。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18.不可抗力</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18.1不可抗力是指合同双方不能预见、不能避免且不能克服的客观情况。</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18.2任何一方对由于不可抗力造成的部分或全部不能履行合同不承担违约责任。但迟延履行后发生不可抗力的，不能免除责任。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19.解决争议的方法</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19.3如甲乙双方有争议的事项不影响合同其他部分的履行，在争议解决期间，合同其他部分应当继续履行。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20.政府采购政策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20.1本合同应当按照规定执行政府采购政策。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21.法律适用</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21.1本合同的订立、生效、解释、履行及与本合同有关的争议解决，均适用法律、行政法规。</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21.2本合同条款与法律、行政法规的强制性规定不一致的，双方当事人应按照法律、行政法规的强制性规定修改本合同的相关条款。</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22.通知</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22.1本合同任何一方向对方发出的通知、信件、数据电文等，应当发送至本合同第一部分《政府采购合同协议书》所约定的通讯地址、联系人、联系电话或电子邮箱。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22.2一方当事人变更名称、住所、联系人、联系电话或电子邮箱等信息的，应当在变更后3日内及时书面通知对方，对方实际收到变更通知前的送达仍为有效送达。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22.4通知以送达之日或通知书中规定的生效之日起生效，两者中以较迟之日为准。</w:t>
      </w:r>
      <w:r/>
    </w:p>
    <w:p>
      <w:pPr>
        <w:numPr>
          <w:ilvl w:val="0"/>
          <w:numId w:val="4"/>
        </w:num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合同未尽事项</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23.1合同未尽事项见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23.2合同附件与合同正文具有同等的法律效力。</w:t>
      </w:r>
      <w:r/>
    </w:p>
    <w:p>
      <w:pPr>
        <w:jc w:val="center"/>
        <w:keepLines/>
        <w:keepNext/>
        <w:spacing w:line="360" w:lineRule="auto"/>
        <w:widowControl/>
        <w:rPr>
          <w:rFonts w:ascii="宋体" w:hAnsi="宋体" w:eastAsia="宋体" w:cs="宋体"/>
          <w:b/>
          <w:bCs/>
          <w:color w:val="auto"/>
          <w:sz w:val="28"/>
          <w:szCs w:val="28"/>
          <w:highlight w:val="none"/>
        </w:rPr>
        <w:outlineLvl w:val="1"/>
      </w:pPr>
      <w:r>
        <w:rPr>
          <w:rFonts w:hint="eastAsia" w:ascii="黑体" w:hAnsi="华文中宋" w:eastAsia="黑体"/>
          <w:color w:val="auto"/>
          <w:sz w:val="24"/>
          <w:highlight w:val="none"/>
        </w:rPr>
        <w:br w:type="page" w:clear="all"/>
      </w:r>
      <w:r>
        <w:rPr>
          <w:rFonts w:hint="eastAsia" w:ascii="宋体" w:hAnsi="宋体" w:eastAsia="宋体" w:cs="宋体"/>
          <w:b/>
          <w:bCs/>
          <w:color w:val="auto"/>
          <w:sz w:val="28"/>
          <w:szCs w:val="28"/>
          <w:highlight w:val="none"/>
        </w:rPr>
        <w:t xml:space="preserve">第三节 政府采购合同专用条款</w:t>
      </w:r>
      <w:r/>
    </w:p>
    <w:tbl>
      <w:tblPr>
        <w:tblStyle w:val="712"/>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第1.2（6）项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联合体具体要求</w:t>
            </w:r>
            <w:r/>
          </w:p>
        </w:tc>
        <w:tc>
          <w:tcPr>
            <w:tcW w:w="5991" w:type="dxa"/>
            <w:vAlign w:val="center"/>
            <w:textDirection w:val="lrTb"/>
            <w:noWrap w:val="false"/>
          </w:tcPr>
          <w:p>
            <w:pPr>
              <w:ind w:firstLine="480"/>
              <w:jc w:val="left"/>
              <w:widowControl/>
              <w:rPr>
                <w:rFonts w:ascii="宋体" w:hAnsi="宋体"/>
                <w:color w:val="auto"/>
                <w:sz w:val="24"/>
                <w:highlight w:val="none"/>
              </w:rPr>
            </w:pPr>
            <w:r>
              <w:rPr>
                <w:color w:val="auto"/>
                <w:sz w:val="24"/>
                <w:highlight w:val="none"/>
              </w:rPr>
              <w:t xml:space="preserve">同招标公告及文件</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第1.2（7）项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其他术语解释</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同合同通用条款</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第4.4款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十五个工作日内</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第4.6款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同合同通用条款</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第5.4款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同合同通用条款</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第6.1款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履行合同义务的  顺序</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同协议书</w:t>
            </w:r>
            <w:r/>
          </w:p>
        </w:tc>
      </w:tr>
      <w:tr>
        <w:trPr>
          <w:jc w:val="center"/>
        </w:trPr>
        <w:tc>
          <w:tcPr>
            <w:tcW w:w="1245" w:type="dxa"/>
            <w:vAlign w:val="center"/>
            <w:vMerge w:val="restart"/>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第7.1款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包装特殊要求</w:t>
            </w:r>
            <w:r/>
          </w:p>
        </w:tc>
        <w:tc>
          <w:tcPr>
            <w:tcW w:w="5991" w:type="dxa"/>
            <w:vAlign w:val="center"/>
            <w:textDirection w:val="lrTb"/>
            <w:noWrap w:val="false"/>
          </w:tcPr>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1.商品包装层数不得超过3 层，空隙率不大于40%；</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2.商品包装尽可能使用单一材质的包装材料，如因功能需求必需使用不同材质，不同材质间应便于分离；</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3.商品包装中铅、汞、镉、六价铬的总含量应不大于100mg/kg；</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4.商品包装印刷使用的油墨中挥发性有机化合物(VOCs)含量应不大于 5%（以重量计）；</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5.塑料材质商品包装上呈现的印刷颜色不得超过6色；</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6.纸质商品包装应使用75%以上的可再生纤维原料生产；</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7.木质商品包装的原料应来源于可持续性森林。</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9.每件包装箱内应附一份详细装箱单和质量合格凭证。</w:t>
            </w:r>
            <w:r/>
          </w:p>
        </w:tc>
      </w:tr>
      <w:tr>
        <w:trPr>
          <w:jc w:val="center"/>
        </w:trPr>
        <w:tc>
          <w:tcPr>
            <w:tcW w:w="1245" w:type="dxa"/>
            <w:vAlign w:val="center"/>
            <w:vMerge w:val="continue"/>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指定现场</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同协议书</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第7.2款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运输特殊要求</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1.货物验收合格、交付使用并提供所需单据的日期视为交货日期。</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2.乙方在货物发运手续办理完毕后24小时内或货到48小时前通知甲方，以准备接货。</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3.乙方装运的货物不应超过合同规定的数量或重量。乙方应对超交数量或超重而产生的一切后果负责。</w:t>
            </w:r>
            <w:r/>
          </w:p>
          <w:p>
            <w:pPr>
              <w:ind w:firstLine="482"/>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4.货物在交付甲方前发生的风险均由乙方负责。</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第7.3款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保险要求</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货物交货前由乙方承担保险义务</w:t>
            </w:r>
            <w:r/>
          </w:p>
        </w:tc>
      </w:tr>
      <w:tr>
        <w:trPr>
          <w:jc w:val="center"/>
          <w:trHeight w:val="1440"/>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第8.2（1）项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质量保</w:t>
            </w:r>
            <w:r/>
          </w:p>
          <w:p>
            <w:pPr>
              <w:jc w:val="center"/>
              <w:widowControl/>
              <w:rPr>
                <w:rFonts w:ascii="宋体" w:hAnsi="宋体"/>
                <w:color w:val="auto"/>
                <w:sz w:val="24"/>
                <w:highlight w:val="none"/>
              </w:rPr>
            </w:pPr>
            <w:r>
              <w:rPr>
                <w:rFonts w:hint="eastAsia" w:ascii="宋体" w:hAnsi="宋体"/>
                <w:color w:val="auto"/>
                <w:sz w:val="24"/>
                <w:highlight w:val="none"/>
              </w:rPr>
              <w:t xml:space="preserve">证期</w:t>
            </w:r>
            <w:r/>
          </w:p>
        </w:tc>
        <w:tc>
          <w:tcPr>
            <w:tcW w:w="5991" w:type="dxa"/>
            <w:vAlign w:val="center"/>
            <w:textDirection w:val="lrTb"/>
            <w:noWrap w:val="false"/>
          </w:tcPr>
          <w:p>
            <w:pPr>
              <w:ind w:firstLine="482"/>
              <w:jc w:val="left"/>
              <w:spacing w:before="120" w:after="120"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质量保证期：</w:t>
            </w:r>
            <w:r>
              <w:rPr>
                <w:rFonts w:hint="eastAsia" w:ascii="宋体" w:hAnsi="宋体" w:eastAsia="宋体" w:cs="宋体"/>
                <w:color w:val="auto"/>
                <w:sz w:val="24"/>
                <w:highlight w:val="none"/>
              </w:rPr>
              <w:t xml:space="preserve">4年</w:t>
            </w:r>
            <w:r>
              <w:rPr>
                <w:rFonts w:hint="eastAsia" w:ascii="宋体" w:hAnsi="宋体" w:eastAsia="宋体" w:cs="宋体"/>
                <w:color w:val="auto"/>
                <w:sz w:val="24"/>
                <w:szCs w:val="20"/>
                <w:highlight w:val="none"/>
              </w:rPr>
              <w:t xml:space="preserve">。（自交货验收合格之日起计），因人为因素出现的故障不在</w:t>
            </w:r>
            <w:r>
              <w:rPr>
                <w:rFonts w:hint="eastAsia" w:ascii="宋体" w:hAnsi="宋体" w:eastAsia="宋体" w:cs="宋体"/>
                <w:color w:val="auto"/>
                <w:sz w:val="24"/>
                <w:szCs w:val="20"/>
                <w:highlight w:val="none"/>
              </w:rPr>
              <w:t xml:space="preserve">免费保修范围内。</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第8.2（3）项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货物质量缺陷响应时间</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如在使用过程中发生质量问题，提供7×24小时全天候技术响应服务，4小时内完成远程故障排查，24小时内到场上门处置问题；硬件质保期满后维修只收取材料成本费。免收人工服务费。</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第8款补充</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质量保证要求</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在质保期内，乙方应对货物出现的质量及安全问题负责处理解决并承担一切费用（因甲方不当使用的除外）。</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2.乙方应按照国家有关法律法规规章和“三包”规定以及招标文件售后服务要求及投标文件售后服务承诺提供售后服务。</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3.所有货物保修服务方式均为乙方上门保修，由乙方派员到货物使用现场维修，所产生的一切费用由乙方承担。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对货物的品牌、型号、数量、产地等进行检查和清点，同类型的所有货物和材料应属同一制造商的同一产品。如检验中发现短缺、损坏或假冒伪劣商品，乙方应立即采取补救措施，不得因此影响供货，否则一切损失由乙方负责。</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第11.1款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其他应当保密的  信息</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第12.2款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1.合同款项的支付方式及进度安排：</w:t>
            </w:r>
            <w:r/>
          </w:p>
          <w:p>
            <w:pPr>
              <w:ind w:firstLine="482"/>
              <w:jc w:val="left"/>
              <w:spacing w:line="560" w:lineRule="exact"/>
              <w:widowControl/>
              <w:rPr>
                <w:rFonts w:ascii="宋体" w:hAnsi="宋体" w:eastAsia="宋体" w:cs="宋体"/>
                <w:color w:val="auto"/>
                <w:sz w:val="24"/>
                <w:szCs w:val="20"/>
                <w:highlight w:val="none"/>
              </w:rPr>
            </w:pPr>
            <w:r/>
            <w:bookmarkStart w:id="164" w:name="OLE_LINK21"/>
            <w:r/>
            <w:bookmarkStart w:id="165" w:name="OLE_LINK54"/>
            <w:r/>
            <w:bookmarkStart w:id="166" w:name="OLE_LINK6"/>
            <w:r/>
            <w:bookmarkStart w:id="167" w:name="OLE_LINK7"/>
            <w:r>
              <w:rPr>
                <w:rFonts w:hint="eastAsia" w:ascii="宋体" w:hAnsi="宋体" w:eastAsia="宋体" w:cs="宋体"/>
                <w:color w:val="auto"/>
                <w:sz w:val="24"/>
                <w:szCs w:val="20"/>
                <w:highlight w:val="none"/>
              </w:rPr>
              <w:t xml:space="preserve">①自合同签订生效之日起，</w:t>
            </w:r>
            <w:bookmarkStart w:id="168" w:name="OLE_LINK35"/>
            <w:r/>
            <w:bookmarkStart w:id="169" w:name="OLE_LINK34"/>
            <w:r>
              <w:rPr>
                <w:rFonts w:hint="eastAsia" w:ascii="宋体" w:hAnsi="宋体" w:eastAsia="宋体" w:cs="宋体"/>
                <w:color w:val="auto"/>
                <w:sz w:val="24"/>
                <w:szCs w:val="20"/>
                <w:highlight w:val="none"/>
              </w:rPr>
              <w:t xml:space="preserve">甲方收到预付款发票后10个工作日内</w:t>
            </w:r>
            <w:bookmarkEnd w:id="168"/>
            <w:r/>
            <w:bookmarkEnd w:id="169"/>
            <w:r>
              <w:rPr>
                <w:rFonts w:hint="eastAsia" w:ascii="宋体" w:hAnsi="宋体" w:eastAsia="宋体" w:cs="宋体"/>
                <w:color w:val="auto"/>
                <w:sz w:val="24"/>
                <w:szCs w:val="20"/>
                <w:highlight w:val="none"/>
              </w:rPr>
              <w:t xml:space="preserve">，甲方向</w:t>
            </w:r>
            <w:bookmarkStart w:id="170" w:name="OLE_LINK66"/>
            <w:r>
              <w:rPr>
                <w:rFonts w:hint="eastAsia" w:ascii="宋体" w:hAnsi="宋体" w:eastAsia="宋体" w:cs="宋体"/>
                <w:color w:val="auto"/>
                <w:sz w:val="24"/>
                <w:szCs w:val="20"/>
                <w:highlight w:val="none"/>
              </w:rPr>
              <w:t xml:space="preserve">乙方</w:t>
            </w:r>
            <w:bookmarkEnd w:id="170"/>
            <w:r>
              <w:rPr>
                <w:rFonts w:hint="eastAsia" w:ascii="宋体" w:hAnsi="宋体" w:eastAsia="宋体" w:cs="宋体"/>
                <w:color w:val="auto"/>
                <w:sz w:val="24"/>
                <w:szCs w:val="20"/>
                <w:highlight w:val="none"/>
              </w:rPr>
              <w:t xml:space="preserve">支付合同总价的30%款项作为预付款；</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②完成全部供货并通过验收合格后支付至合同价的50%，</w:t>
            </w:r>
            <w:bookmarkStart w:id="171" w:name="OLE_LINK58"/>
            <w:r/>
            <w:bookmarkStart w:id="172" w:name="OLE_LINK55"/>
            <w:r>
              <w:rPr>
                <w:rFonts w:ascii="宋体" w:hAnsi="宋体" w:eastAsia="宋体" w:cs="宋体"/>
                <w:color w:val="auto"/>
                <w:sz w:val="24"/>
                <w:szCs w:val="20"/>
                <w:highlight w:val="none"/>
              </w:rPr>
              <w:t xml:space="preserve">自验收合格之日起60日内</w:t>
            </w:r>
            <w:bookmarkEnd w:id="171"/>
            <w:r/>
            <w:bookmarkEnd w:id="172"/>
            <w:r>
              <w:rPr>
                <w:rFonts w:hint="eastAsia" w:ascii="宋体" w:hAnsi="宋体" w:eastAsia="宋体" w:cs="宋体"/>
                <w:color w:val="auto"/>
                <w:sz w:val="24"/>
                <w:szCs w:val="20"/>
                <w:highlight w:val="none"/>
              </w:rPr>
              <w:t xml:space="preserve">付清余款</w:t>
            </w:r>
            <w:bookmarkEnd w:id="164"/>
            <w:r>
              <w:rPr>
                <w:rFonts w:hint="eastAsia" w:ascii="宋体" w:hAnsi="宋体" w:eastAsia="宋体" w:cs="宋体"/>
                <w:color w:val="auto"/>
                <w:sz w:val="24"/>
                <w:szCs w:val="20"/>
                <w:highlight w:val="none"/>
              </w:rPr>
              <w:t xml:space="preserve">。（甲方收到乙方发票后10个工作日内支付对应款项）</w:t>
            </w:r>
            <w:bookmarkEnd w:id="165"/>
            <w:r/>
            <w:bookmarkEnd w:id="166"/>
            <w:r/>
            <w:bookmarkEnd w:id="167"/>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发票；</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制造厂家出具的质量检验证书等；</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 装箱单；</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 甲方加盖公章证明交付使用合格的验收单。</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第13.2款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（2）中标人不履行与采购人订立的合同的；</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（3）中标人所供货物或服务不符合招标文件规定要求的；</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（4）中标人采取欺骗、弄虚作假方式投标的或与其它投标人串通投标的；</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（5）中标人将合同内容转包、违法分包的；</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（6）中标人故意捏造事实或伪造证明材料，进行虚假恶意投诉或反映的。</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第13.3款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履约保证金退还时间及逾期退还的违约金</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1、合同履行结束后，甲方应及时退还交纳的履约保证金。</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2、退还方式：无息退还至投标人缴纳履约保证金的账户。如为保函，在到期时自行失效。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3、退还时间：验收合格且甲方收到发票后30日内。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4、退还条件：按合同要求全部履约完成并经采购人验收合格，且采购人收到中标人出具的发票。</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第14.1（3）项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color w:val="auto"/>
                <w:sz w:val="24"/>
                <w:highlight w:val="none"/>
              </w:rPr>
              <w:t xml:space="preserve">免费保修期</w:t>
            </w:r>
            <w:r>
              <w:rPr>
                <w:rFonts w:hint="eastAsia"/>
                <w:color w:val="auto"/>
                <w:sz w:val="24"/>
                <w:highlight w:val="none"/>
                <w:lang w:eastAsia="zh-CN"/>
              </w:rPr>
              <w:t xml:space="preserve">：</w:t>
            </w:r>
            <w:r>
              <w:rPr>
                <w:rFonts w:hint="eastAsia" w:ascii="宋体" w:hAnsi="宋体" w:eastAsia="宋体" w:cs="宋体"/>
                <w:color w:val="auto"/>
                <w:sz w:val="24"/>
                <w:highlight w:val="none"/>
              </w:rPr>
              <w:t xml:space="preserve">4年</w:t>
            </w:r>
            <w:r>
              <w:rPr>
                <w:rFonts w:hint="eastAsia"/>
                <w:color w:val="auto"/>
                <w:sz w:val="24"/>
                <w:highlight w:val="none"/>
              </w:rPr>
              <w:t xml:space="preserve">。</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第14.1（5）项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货物回收的约定</w:t>
            </w:r>
            <w:r/>
          </w:p>
        </w:tc>
        <w:tc>
          <w:tcPr>
            <w:tcW w:w="5991" w:type="dxa"/>
            <w:vAlign w:val="center"/>
            <w:textDirection w:val="lrTb"/>
            <w:noWrap w:val="false"/>
          </w:tcPr>
          <w:p>
            <w:pPr>
              <w:ind w:firstLine="480"/>
              <w:jc w:val="left"/>
              <w:widowControl/>
              <w:rPr>
                <w:rFonts w:ascii="宋体" w:hAnsi="宋体"/>
                <w:color w:val="auto"/>
                <w:sz w:val="24"/>
                <w:highlight w:val="none"/>
              </w:rPr>
            </w:pPr>
            <w:r>
              <w:rPr>
                <w:rFonts w:hint="eastAsia"/>
                <w:color w:val="auto"/>
                <w:sz w:val="24"/>
                <w:highlight w:val="none"/>
              </w:rPr>
              <w:t xml:space="preserve">同合同通用条款</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第14.1（6）项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color w:val="auto"/>
                <w:sz w:val="24"/>
                <w:highlight w:val="none"/>
              </w:rPr>
              <w:t xml:space="preserve">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第15.1款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修理、重作、更换相关具体规定</w:t>
            </w:r>
            <w:r/>
          </w:p>
        </w:tc>
        <w:tc>
          <w:tcPr>
            <w:tcW w:w="5991" w:type="dxa"/>
            <w:vAlign w:val="center"/>
            <w:textDirection w:val="lrTb"/>
            <w:noWrap w:val="false"/>
          </w:tcPr>
          <w:p>
            <w:pPr>
              <w:numPr>
                <w:ilvl w:val="255"/>
                <w:numId w:val="0"/>
              </w:num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详见合同通用条款8.2条款、合同专用条款第二节第8款补充条款及合同专用条款中索赔条款。</w:t>
            </w:r>
            <w:r/>
          </w:p>
          <w:p>
            <w:pPr>
              <w:numPr>
                <w:ilvl w:val="255"/>
                <w:numId w:val="0"/>
              </w:num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第15.2（2）项</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迟延交货赔偿费</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1.乙方应按照“开标（报价）一览表”中规定的交货期或承诺交货和提供服务，并交付甲方验收使用。</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2.如果乙方无正当理由拖延交货，将受到以下制裁：加收误期赔偿或终止合同。</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 </w:t>
            </w:r>
            <w:bookmarkStart w:id="173" w:name="OLE_LINK64"/>
            <w:r/>
            <w:bookmarkStart w:id="174" w:name="OLE_LINK65"/>
            <w:r/>
            <w:bookmarkStart w:id="175" w:name="OLE_LINK63"/>
            <w:r/>
            <w:bookmarkStart w:id="176" w:name="OLE_LINK62"/>
            <w:r>
              <w:rPr>
                <w:rFonts w:hint="eastAsia" w:ascii="宋体" w:hAnsi="宋体" w:eastAsia="宋体" w:cs="宋体"/>
                <w:color w:val="auto"/>
                <w:sz w:val="24"/>
                <w:szCs w:val="20"/>
                <w:highlight w:val="none"/>
              </w:rPr>
              <w:t xml:space="preserve">乙方逾期交付货物的</w:t>
            </w:r>
            <w:bookmarkEnd w:id="173"/>
            <w:r/>
            <w:bookmarkEnd w:id="174"/>
            <w:r>
              <w:rPr>
                <w:rFonts w:hint="eastAsia" w:ascii="宋体" w:hAnsi="宋体" w:eastAsia="宋体" w:cs="宋体"/>
                <w:color w:val="auto"/>
                <w:sz w:val="24"/>
                <w:szCs w:val="20"/>
                <w:highlight w:val="none"/>
              </w:rPr>
              <w:t xml:space="preserve">，乙方应按逾期交货总额每日</w:t>
            </w:r>
            <w:bookmarkStart w:id="177" w:name="OLE_LINK61"/>
            <w:r/>
            <w:bookmarkStart w:id="178" w:name="OLE_LINK59"/>
            <w:r>
              <w:rPr>
                <w:rFonts w:hint="eastAsia" w:ascii="宋体" w:hAnsi="宋体" w:eastAsia="宋体" w:cs="宋体"/>
                <w:color w:val="auto"/>
                <w:sz w:val="24"/>
                <w:szCs w:val="20"/>
                <w:highlight w:val="none"/>
                <w:u w:val="single"/>
              </w:rPr>
              <w:t xml:space="preserve">0.5‰</w:t>
            </w:r>
            <w:bookmarkEnd w:id="177"/>
            <w:r/>
            <w:bookmarkEnd w:id="178"/>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向甲方支付违约金，由甲方从待付货款中扣除。</w:t>
            </w:r>
            <w:bookmarkEnd w:id="175"/>
            <w:r/>
            <w:bookmarkEnd w:id="176"/>
            <w:r>
              <w:rPr>
                <w:rFonts w:hint="eastAsia" w:ascii="宋体" w:hAnsi="宋体" w:eastAsia="宋体" w:cs="宋体"/>
                <w:color w:val="auto"/>
                <w:sz w:val="24"/>
                <w:szCs w:val="20"/>
                <w:highlight w:val="none"/>
              </w:rPr>
              <w:t xml:space="preserve">逾期超过约定日期</w:t>
            </w:r>
            <w:r>
              <w:rPr>
                <w:rFonts w:hint="eastAsia" w:ascii="宋体" w:hAnsi="宋体" w:eastAsia="宋体" w:cs="宋体"/>
                <w:color w:val="auto"/>
                <w:sz w:val="24"/>
                <w:szCs w:val="20"/>
                <w:highlight w:val="none"/>
                <w:u w:val="single"/>
              </w:rPr>
              <w:t xml:space="preserve"> 10 </w:t>
            </w:r>
            <w:r>
              <w:rPr>
                <w:rFonts w:hint="eastAsia" w:ascii="宋体" w:hAnsi="宋体" w:eastAsia="宋体" w:cs="宋体"/>
                <w:color w:val="auto"/>
                <w:sz w:val="24"/>
                <w:szCs w:val="20"/>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rPr>
              <w:t xml:space="preserve">5% </w:t>
            </w:r>
            <w:r>
              <w:rPr>
                <w:rFonts w:hint="eastAsia" w:ascii="宋体" w:hAnsi="宋体" w:eastAsia="宋体" w:cs="宋体"/>
                <w:color w:val="auto"/>
                <w:sz w:val="24"/>
                <w:szCs w:val="20"/>
                <w:highlight w:val="none"/>
              </w:rPr>
              <w:t xml:space="preserve">的违约金，如造成甲方损失超过违约金的，超出部分由乙方继续承担赔偿责任。 </w:t>
            </w:r>
            <w:r/>
          </w:p>
          <w:p>
            <w:pPr>
              <w:ind w:firstLine="482"/>
              <w:jc w:val="left"/>
              <w:spacing w:line="560" w:lineRule="exact"/>
              <w:widowControl/>
              <w:rPr>
                <w:rFonts w:ascii="宋体" w:hAnsi="宋体"/>
                <w:color w:val="auto"/>
                <w:sz w:val="24"/>
                <w:highlight w:val="none"/>
                <w:u w:val="single"/>
              </w:rPr>
            </w:pPr>
            <w:r>
              <w:rPr>
                <w:rFonts w:hint="eastAsia" w:ascii="宋体" w:hAnsi="宋体" w:eastAsia="宋体" w:cs="宋体"/>
                <w:color w:val="auto"/>
                <w:sz w:val="24"/>
                <w:szCs w:val="20"/>
                <w:highlight w:val="none"/>
              </w:rPr>
              <w:t xml:space="preserve">4.如乙方不能交付货物，或者有违法转包他人情形，乙方应向甲方支付合同总价</w:t>
            </w:r>
            <w:r>
              <w:rPr>
                <w:rFonts w:hint="eastAsia" w:ascii="宋体" w:hAnsi="宋体" w:eastAsia="宋体" w:cs="宋体"/>
                <w:color w:val="auto"/>
                <w:sz w:val="24"/>
                <w:szCs w:val="20"/>
                <w:highlight w:val="none"/>
                <w:u w:val="single"/>
              </w:rPr>
              <w:t xml:space="preserve"> 5% </w:t>
            </w:r>
            <w:r>
              <w:rPr>
                <w:rFonts w:hint="eastAsia" w:ascii="宋体" w:hAnsi="宋体" w:eastAsia="宋体" w:cs="宋体"/>
                <w:color w:val="auto"/>
                <w:sz w:val="24"/>
                <w:szCs w:val="20"/>
                <w:highlight w:val="none"/>
              </w:rPr>
              <w:t xml:space="preserve">的滞纳金。</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第15.3款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逾期付款利息</w:t>
            </w:r>
            <w:r/>
          </w:p>
        </w:tc>
        <w:tc>
          <w:tcPr>
            <w:tcW w:w="5991" w:type="dxa"/>
            <w:vAlign w:val="center"/>
            <w:textDirection w:val="lrTb"/>
            <w:noWrap w:val="false"/>
          </w:tcPr>
          <w:p>
            <w:pPr>
              <w:ind w:firstLine="482"/>
              <w:jc w:val="left"/>
              <w:spacing w:before="120" w:after="120"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按照银行同期存款利息计算</w:t>
            </w:r>
            <w:r/>
          </w:p>
        </w:tc>
      </w:tr>
      <w:tr>
        <w:trPr>
          <w:jc w:val="center"/>
        </w:trPr>
        <w:tc>
          <w:tcPr>
            <w:tcBorders>
              <w:bottom w:val="single" w:color="000000" w:sz="2" w:space="0"/>
              <w:right w:val="single" w:color="000000" w:sz="2" w:space="0"/>
            </w:tcBorders>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乙方交付合同标的的标准不符合合同规定及招标文件规定标准的，甲方有权拒绝接受合同标的，并可单方面解除合同。</w:t>
            </w:r>
            <w:r/>
          </w:p>
        </w:tc>
      </w:tr>
      <w:tr>
        <w:trPr>
          <w:jc w:val="center"/>
        </w:trPr>
        <w:tc>
          <w:tcPr>
            <w:tcBorders>
              <w:top w:val="single" w:color="000000" w:sz="2" w:space="0"/>
              <w:right w:val="single" w:color="000000" w:sz="2" w:space="0"/>
            </w:tcBorders>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1.因本合同及合同有关事项发生的争议，由双方协商解决，协商不成时，按下列第</w:t>
            </w:r>
            <w:r>
              <w:rPr>
                <w:rFonts w:hint="eastAsia" w:ascii="宋体" w:hAnsi="宋体" w:eastAsia="宋体" w:cs="宋体"/>
                <w:color w:val="auto"/>
                <w:sz w:val="24"/>
                <w:szCs w:val="20"/>
                <w:highlight w:val="none"/>
                <w:u w:val="single"/>
              </w:rPr>
              <w:t xml:space="preserve"> 2 </w:t>
            </w:r>
            <w:r>
              <w:rPr>
                <w:rFonts w:hint="eastAsia" w:ascii="宋体" w:hAnsi="宋体" w:eastAsia="宋体" w:cs="宋体"/>
                <w:color w:val="auto"/>
                <w:sz w:val="24"/>
                <w:szCs w:val="20"/>
                <w:highlight w:val="none"/>
              </w:rPr>
              <w:t xml:space="preserve">种方式解决：</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（1）向仲裁委员会申请仲裁，仲裁地点为</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（2）向甲方所在地人民法院起诉。</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纠纷解决办法</w:t>
            </w:r>
            <w:r/>
          </w:p>
          <w:p>
            <w:pPr>
              <w:ind w:firstLine="482"/>
              <w:jc w:val="left"/>
              <w:spacing w:line="560" w:lineRule="exact"/>
              <w:widowControl/>
              <w:rPr>
                <w:rFonts w:ascii="宋体" w:hAnsi="宋体"/>
                <w:color w:val="auto"/>
                <w:sz w:val="24"/>
                <w:highlight w:val="none"/>
              </w:rPr>
            </w:pPr>
            <w:r>
              <w:rPr>
                <w:rFonts w:hint="eastAsia" w:ascii="宋体" w:hAnsi="宋体" w:eastAsia="宋体" w:cs="宋体"/>
                <w:color w:val="auto"/>
                <w:sz w:val="24"/>
                <w:szCs w:val="20"/>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第二节</w:t>
            </w:r>
            <w:r/>
          </w:p>
          <w:p>
            <w:pPr>
              <w:jc w:val="center"/>
              <w:widowControl/>
              <w:rPr>
                <w:rFonts w:ascii="宋体" w:hAnsi="宋体"/>
                <w:color w:val="auto"/>
                <w:sz w:val="24"/>
                <w:highlight w:val="none"/>
              </w:rPr>
            </w:pPr>
            <w:r>
              <w:rPr>
                <w:rFonts w:hint="eastAsia" w:ascii="宋体" w:hAnsi="宋体"/>
                <w:color w:val="auto"/>
                <w:sz w:val="24"/>
                <w:highlight w:val="none"/>
              </w:rPr>
              <w:t xml:space="preserve">第23.1款</w:t>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其他专用条款</w:t>
            </w:r>
            <w:r/>
          </w:p>
        </w:tc>
        <w:tc>
          <w:tcPr>
            <w:tcW w:w="5991" w:type="dxa"/>
            <w:vAlign w:val="center"/>
            <w:textDirection w:val="lrTb"/>
            <w:noWrap w:val="false"/>
          </w:tcPr>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3</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ascii="宋体" w:hAnsi="宋体"/>
                <w:color w:val="auto"/>
                <w:sz w:val="24"/>
                <w:highlight w:val="none"/>
              </w:rPr>
              <w:t xml:space="preserve">5</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如销售后出现不合格产品，则乙方按《消费者条例》对消费者赔偿。</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4.货物验收要求</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lang w:eastAsia="zh-CN"/>
              </w:rPr>
              <w:t xml:space="preserve">签订</w:t>
            </w:r>
            <w:r>
              <w:rPr>
                <w:rFonts w:hint="eastAsia" w:ascii="宋体" w:hAnsi="宋体"/>
                <w:color w:val="auto"/>
                <w:sz w:val="24"/>
                <w:highlight w:val="none"/>
                <w:u w:val="single"/>
              </w:rPr>
              <w:t xml:space="preserve">合同后25天内供货并验收合格</w:t>
            </w:r>
            <w:r>
              <w:rPr>
                <w:rFonts w:hint="eastAsia" w:ascii="宋体" w:hAnsi="宋体"/>
                <w:color w:val="auto"/>
                <w:sz w:val="24"/>
                <w:highlight w:val="none"/>
              </w:rPr>
              <w:t xml:space="preserve">。</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eastAsia="宋体" w:cs="宋体"/>
                <w:color w:val="auto"/>
                <w:sz w:val="24"/>
                <w:highlight w:val="none"/>
                <w:u w:val="single"/>
              </w:rPr>
              <w:t xml:space="preserve">盐城市第一小学、串场河小学、新都路实验学校、聚亨路小学、盐渎实验学校、鹿鸣路初级中学、康居路初级中学、</w:t>
            </w:r>
            <w:r>
              <w:rPr>
                <w:rFonts w:hint="eastAsia" w:ascii="宋体" w:hAnsi="宋体"/>
                <w:color w:val="auto"/>
                <w:sz w:val="24"/>
                <w:highlight w:val="none"/>
                <w:u w:val="single"/>
              </w:rPr>
              <w:t xml:space="preserve">盐城市初级中学指定位置</w:t>
            </w:r>
            <w:r>
              <w:rPr>
                <w:rFonts w:hint="eastAsia" w:ascii="宋体" w:hAnsi="宋体"/>
                <w:color w:val="auto"/>
                <w:sz w:val="24"/>
                <w:highlight w:val="none"/>
              </w:rPr>
              <w:t xml:space="preserve">。</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（5）甲方应在全部货物到货安装完毕后的五个工作日内进行验收，验收包括：型号、规格、数量、外观是否完好，安装调试是否合格等。验收合格后甲方应在验收报告上签字盖章。</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firstLine="482"/>
              <w:jc w:val="left"/>
              <w:spacing w:line="560" w:lineRule="exact"/>
              <w:widowControl/>
              <w:rPr>
                <w:rFonts w:ascii="宋体" w:hAnsi="宋体"/>
                <w:color w:val="auto"/>
                <w:sz w:val="24"/>
                <w:highlight w:val="none"/>
              </w:rPr>
            </w:pPr>
            <w:r>
              <w:rPr>
                <w:rFonts w:hint="eastAsia" w:ascii="宋体" w:hAnsi="宋体"/>
                <w:color w:val="auto"/>
                <w:sz w:val="24"/>
                <w:highlight w:val="none"/>
              </w:rPr>
              <w:t xml:space="preserve">（7）质保期内在本地部署的系统平台，采购人享有永久使用权。由系统平台产生的用户业务数据归采购人永久所有。</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税费</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1.中国政府根据现行税法规定对甲方征收的与本合同有关的一切税费均由甲方负担（免税部分除外），招标文件另有规定的除外。</w:t>
            </w:r>
            <w:r/>
          </w:p>
          <w:p>
            <w:pPr>
              <w:ind w:firstLine="482"/>
              <w:jc w:val="left"/>
              <w:spacing w:line="560" w:lineRule="exact"/>
              <w:widowControl/>
              <w:rPr>
                <w:rFonts w:ascii="宋体" w:hAnsi="宋体"/>
                <w:color w:val="auto"/>
                <w:sz w:val="24"/>
                <w:highlight w:val="none"/>
              </w:rPr>
            </w:pPr>
            <w:r>
              <w:rPr>
                <w:rFonts w:hint="eastAsia" w:ascii="宋体" w:hAnsi="宋体" w:eastAsia="宋体" w:cs="宋体"/>
                <w:color w:val="auto"/>
                <w:sz w:val="24"/>
                <w:szCs w:val="20"/>
                <w:highlight w:val="none"/>
              </w:rPr>
              <w:t xml:space="preserve">2.中国政府根据现行税法规定对乙方征收的与本合同有关的一切税费均由乙方负担（免税部分除外）。</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1.乙方应按照国家“</w:t>
            </w:r>
            <w:r>
              <w:rPr>
                <w:rFonts w:hint="eastAsia" w:ascii="宋体" w:hAnsi="宋体" w:eastAsia="宋体" w:cs="宋体"/>
                <w:b/>
                <w:bCs/>
                <w:color w:val="auto"/>
                <w:sz w:val="24"/>
                <w:szCs w:val="20"/>
                <w:highlight w:val="none"/>
              </w:rPr>
              <w:t xml:space="preserve">新三包</w:t>
            </w:r>
            <w:r>
              <w:rPr>
                <w:rFonts w:hint="eastAsia" w:ascii="宋体" w:hAnsi="宋体" w:eastAsia="宋体" w:cs="宋体"/>
                <w:color w:val="auto"/>
                <w:sz w:val="24"/>
                <w:szCs w:val="20"/>
                <w:highlight w:val="none"/>
              </w:rPr>
              <w:t xml:space="preserve">”规定和合同中所附的服务承诺提供服务。</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2.除第1条规定外，乙方还应提供下列服务：</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(1)招标文件中的“服务要求”所规定的服务内容以及投标文件承诺提供的其他服务内容；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(2)负责货物的开孔，货物的现场安装；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(3)提供货物组装和维修所需的工具；</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(4)在合同中乙方承诺的质保期限内对所提供货物正常使用实施监督、维修，但前提条件是该服务并不能免除乙方在质量保证期内应承担的义务；</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(5)在货物交货现场就货物的安装、启用、维护等对甲方人员进行培训。</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3.伴随服务的费用应含在合同价中，不单独进行支付。</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索赔</w:t>
            </w:r>
            <w:r/>
          </w:p>
        </w:tc>
        <w:tc>
          <w:tcPr>
            <w:tcW w:w="5991" w:type="dxa"/>
            <w:vAlign w:val="center"/>
            <w:textDirection w:val="lrTb"/>
            <w:noWrap w:val="false"/>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1.甲方有权根据当地质检部门出具的检验报告，向乙方提出索赔。</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2.根据合同规定的检验期和质量保证期内，如果乙方对甲方提出的索赔和差异负有责任，乙方应按照甲方同意的下列一种或多种方式解决索赔事宜：</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(2)根据货物的低劣程度、损坏程度以及甲方所遭受损失的数额，乙方必须降低货物的价格。</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W w:w="124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center"/>
              <w:widowControl/>
              <w:rPr>
                <w:rFonts w:ascii="宋体" w:hAnsi="宋体"/>
                <w:bCs/>
                <w:color w:val="auto"/>
                <w:sz w:val="24"/>
                <w:highlight w:val="none"/>
              </w:rPr>
            </w:pPr>
            <w:r>
              <w:rPr>
                <w:rFonts w:hint="eastAsia" w:ascii="宋体" w:hAnsi="宋体" w:eastAsia="Arial" w:cs="宋体"/>
                <w:color w:val="auto"/>
                <w:sz w:val="24"/>
                <w:szCs w:val="20"/>
                <w:highlight w:val="none"/>
              </w:rPr>
              <w:t xml:space="preserve">合同生效及其它</w:t>
            </w:r>
            <w:r/>
          </w:p>
        </w:tc>
        <w:tc>
          <w:tcPr>
            <w:tcW w:w="5991" w:type="dxa"/>
            <w:vAlign w:val="center"/>
            <w:textDirection w:val="lrTb"/>
            <w:noWrap w:val="false"/>
          </w:tcPr>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1.合同经甲方、乙方盖章后生效。</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2.货物交付使用后所发生的合同纠纷，由甲方与乙方协商处理。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spacing w:line="560" w:lineRule="exact"/>
              <w:widowControl/>
              <w:rPr>
                <w:rFonts w:ascii="宋体" w:hAnsi="宋体"/>
                <w:color w:val="auto"/>
                <w:sz w:val="24"/>
                <w:highlight w:val="none"/>
              </w:rPr>
            </w:pPr>
            <w:r>
              <w:rPr>
                <w:rFonts w:hint="eastAsia" w:ascii="宋体" w:hAnsi="宋体" w:eastAsia="Arial" w:cs="宋体"/>
                <w:color w:val="auto"/>
                <w:sz w:val="24"/>
                <w:szCs w:val="20"/>
                <w:highlight w:val="none"/>
              </w:rPr>
              <w:t xml:space="preserve">4.本合同应按照中华人民共和国的现行法律进行解释。本合同未尽事宜，遵照《中华人民共和国民法典》、《中华人民共和国政府采购法》等有关条文执行。</w:t>
            </w:r>
            <w:r/>
          </w:p>
        </w:tc>
      </w:tr>
    </w:tbl>
    <w:p>
      <w:pPr>
        <w:pStyle w:val="738"/>
        <w:ind w:firstLine="220"/>
        <w:jc w:val="center"/>
        <w:spacing w:before="120" w:beforeAutospacing="0" w:after="120" w:afterAutospacing="0" w:line="0" w:lineRule="atLeast"/>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br w:type="page" w:clear="all"/>
      </w:r>
      <w:bookmarkEnd w:id="154"/>
      <w:r/>
      <w:bookmarkEnd w:id="155"/>
      <w:r/>
      <w:bookmarkEnd w:id="156"/>
      <w:r/>
      <w:bookmarkEnd w:id="157"/>
      <w:r/>
      <w:bookmarkEnd w:id="158"/>
      <w:r/>
      <w:bookmarkEnd w:id="159"/>
      <w:r/>
      <w:bookmarkStart w:id="179" w:name="_Toc120614281"/>
      <w:r/>
      <w:bookmarkEnd w:id="6"/>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160"/>
      <w:r/>
      <w:bookmarkEnd w:id="179"/>
      <w:r/>
      <w:r/>
    </w:p>
    <w:p>
      <w:pPr>
        <w:pStyle w:val="738"/>
        <w:ind w:firstLine="220"/>
        <w:jc w:val="center"/>
        <w:spacing w:before="120" w:beforeAutospacing="0" w:after="120" w:afterAutospacing="0" w:line="0" w:lineRule="atLeast"/>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第四章 采购需求</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项目属性：货物类项目</w:t>
      </w:r>
      <w:r/>
    </w:p>
    <w:p>
      <w:pPr>
        <w:ind w:firstLine="482"/>
        <w:jc w:val="left"/>
        <w:spacing w:line="560" w:lineRule="exact"/>
        <w:widowControl/>
        <w:rPr>
          <w:rFonts w:ascii="宋体" w:hAnsi="宋体" w:eastAsia="Arial" w:cs="宋体"/>
          <w:color w:val="auto"/>
          <w:sz w:val="24"/>
          <w:szCs w:val="20"/>
          <w:highlight w:val="none"/>
        </w:rPr>
      </w:pPr>
      <w:r/>
      <w:bookmarkStart w:id="180" w:name="_Toc8766"/>
      <w:r>
        <w:rPr>
          <w:rFonts w:hint="eastAsia" w:ascii="宋体" w:hAnsi="宋体" w:eastAsia="宋体" w:cs="宋体"/>
          <w:color w:val="auto"/>
          <w:sz w:val="24"/>
          <w:szCs w:val="20"/>
          <w:highlight w:val="none"/>
        </w:rPr>
        <w:t xml:space="preserve">项目拟为</w:t>
      </w:r>
      <w:r>
        <w:rPr>
          <w:rFonts w:hint="eastAsia" w:ascii="宋体" w:hAnsi="宋体" w:eastAsia="Arial" w:cs="宋体"/>
          <w:color w:val="auto"/>
          <w:sz w:val="24"/>
          <w:szCs w:val="20"/>
          <w:highlight w:val="none"/>
        </w:rPr>
        <w:t xml:space="preserve">8</w:t>
      </w:r>
      <w:r>
        <w:rPr>
          <w:rFonts w:ascii="宋体" w:hAnsi="宋体" w:eastAsia="Arial" w:cs="宋体"/>
          <w:color w:val="auto"/>
          <w:sz w:val="24"/>
          <w:szCs w:val="20"/>
          <w:highlight w:val="none"/>
        </w:rPr>
        <w:t xml:space="preserve">所学校选</w:t>
      </w:r>
      <w:r>
        <w:rPr>
          <w:rFonts w:hint="eastAsia" w:ascii="宋体" w:hAnsi="宋体" w:eastAsia="宋体" w:cs="宋体"/>
          <w:color w:val="auto"/>
          <w:sz w:val="24"/>
          <w:szCs w:val="20"/>
          <w:highlight w:val="none"/>
        </w:rPr>
        <w:t xml:space="preserve">配</w:t>
      </w:r>
      <w:bookmarkStart w:id="181" w:name="OLE_LINK22"/>
      <w:r/>
      <w:bookmarkStart w:id="182" w:name="OLE_LINK23"/>
      <w:r>
        <w:rPr>
          <w:rFonts w:hint="eastAsia" w:ascii="宋体" w:hAnsi="宋体" w:eastAsia="宋体" w:cs="宋体"/>
          <w:color w:val="auto"/>
          <w:sz w:val="24"/>
          <w:szCs w:val="20"/>
          <w:highlight w:val="none"/>
        </w:rPr>
        <w:t xml:space="preserve">校级管理平台（含搭建市级管理平台）</w:t>
      </w:r>
      <w:r>
        <w:rPr>
          <w:rFonts w:ascii="宋体" w:hAnsi="宋体" w:eastAsia="Arial" w:cs="宋体"/>
          <w:color w:val="auto"/>
          <w:sz w:val="24"/>
          <w:szCs w:val="20"/>
          <w:highlight w:val="none"/>
        </w:rPr>
        <w:t xml:space="preserve">、智慧操场、智慧游戏一体机、智慧体测一体机</w:t>
      </w:r>
      <w:r>
        <w:rPr>
          <w:rFonts w:hint="eastAsia" w:ascii="宋体" w:hAnsi="宋体" w:eastAsia="宋体" w:cs="宋体"/>
          <w:color w:val="auto"/>
          <w:sz w:val="24"/>
          <w:szCs w:val="20"/>
          <w:highlight w:val="none"/>
        </w:rPr>
        <w:t xml:space="preserve">等</w:t>
      </w:r>
      <w:r>
        <w:rPr>
          <w:rFonts w:hint="eastAsia" w:ascii="宋体" w:hAnsi="宋体" w:eastAsia="Arial" w:cs="宋体"/>
          <w:color w:val="auto"/>
          <w:sz w:val="24"/>
          <w:szCs w:val="20"/>
          <w:highlight w:val="none"/>
        </w:rPr>
        <w:t xml:space="preserve">4</w:t>
      </w:r>
      <w:r>
        <w:rPr>
          <w:rFonts w:ascii="宋体" w:hAnsi="宋体" w:eastAsia="Arial" w:cs="宋体"/>
          <w:color w:val="auto"/>
          <w:sz w:val="24"/>
          <w:szCs w:val="20"/>
          <w:highlight w:val="none"/>
        </w:rPr>
        <w:t xml:space="preserve">类设</w:t>
      </w:r>
      <w:r>
        <w:rPr>
          <w:rFonts w:hint="eastAsia" w:ascii="宋体" w:hAnsi="宋体" w:eastAsia="宋体" w:cs="宋体"/>
          <w:color w:val="auto"/>
          <w:sz w:val="24"/>
          <w:szCs w:val="20"/>
          <w:highlight w:val="none"/>
        </w:rPr>
        <w:t xml:space="preserve">备</w:t>
      </w:r>
      <w:bookmarkEnd w:id="181"/>
      <w:r/>
      <w:bookmarkEnd w:id="182"/>
      <w:r>
        <w:rPr>
          <w:rFonts w:ascii="宋体" w:hAnsi="宋体" w:eastAsia="Arial" w:cs="宋体"/>
          <w:color w:val="auto"/>
          <w:sz w:val="24"/>
          <w:szCs w:val="20"/>
          <w:highlight w:val="none"/>
        </w:rPr>
        <w:t xml:space="preserve">，基本情况如下</w:t>
      </w:r>
      <w:r>
        <w:rPr>
          <w:rFonts w:hint="eastAsia" w:ascii="宋体" w:hAnsi="宋体" w:eastAsia="宋体" w:cs="宋体"/>
          <w:color w:val="auto"/>
          <w:sz w:val="24"/>
          <w:szCs w:val="20"/>
          <w:highlight w:val="none"/>
        </w:rPr>
        <w:t xml:space="preserve">：</w:t>
      </w:r>
      <w:r/>
    </w:p>
    <w:tbl>
      <w:tblPr>
        <w:tblStyle w:val="712"/>
        <w:tblW w:w="8815" w:type="dxa"/>
        <w:jc w:val="center"/>
        <w:tblLayout w:type="autofit"/>
        <w:tblCellMar>
          <w:left w:w="108" w:type="dxa"/>
          <w:top w:w="0" w:type="dxa"/>
          <w:right w:w="108" w:type="dxa"/>
          <w:bottom w:w="0" w:type="dxa"/>
        </w:tblCellMar>
        <w:tblLook w:val="04A0" w:firstRow="1" w:lastRow="0" w:firstColumn="1" w:lastColumn="0" w:noHBand="0" w:noVBand="1"/>
      </w:tblPr>
      <w:tblGrid>
        <w:gridCol w:w="728"/>
        <w:gridCol w:w="1899"/>
        <w:gridCol w:w="1006"/>
        <w:gridCol w:w="1157"/>
        <w:gridCol w:w="1074"/>
        <w:gridCol w:w="984"/>
        <w:gridCol w:w="1083"/>
        <w:gridCol w:w="884"/>
      </w:tblGrid>
      <w:tr>
        <w:trPr>
          <w:jc w:val="center"/>
          <w:trHeight w:val="1346"/>
          <w:tblHeader/>
        </w:trPr>
        <w:tc>
          <w:tcPr>
            <w:tcBorders>
              <w:top w:val="single" w:color="auto" w:sz="12"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bookmarkStart w:id="183" w:name="OLE_LINK10"/>
            <w:r/>
            <w:bookmarkStart w:id="184" w:name="OLE_LINK4"/>
            <w:r>
              <w:rPr>
                <w:rFonts w:hint="eastAsia" w:ascii="宋体" w:hAnsi="宋体" w:eastAsia="宋体" w:cs="宋体"/>
                <w:bCs/>
                <w:color w:val="auto"/>
                <w:sz w:val="24"/>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学校名称</w:t>
            </w:r>
            <w:r/>
          </w:p>
        </w:tc>
        <w:tc>
          <w:tcPr>
            <w:tcBorders>
              <w:top w:val="single" w:color="auto" w:sz="12"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拟</w:t>
            </w:r>
            <w:r>
              <w:rPr>
                <w:rFonts w:hint="eastAsia" w:ascii="宋体" w:hAnsi="宋体" w:eastAsia="宋体" w:cs="宋体"/>
                <w:color w:val="auto"/>
                <w:sz w:val="24"/>
                <w:szCs w:val="20"/>
                <w:highlight w:val="none"/>
              </w:rPr>
              <w:t xml:space="preserve">校级管理平台</w:t>
            </w:r>
            <w:r/>
          </w:p>
          <w:p>
            <w:pPr>
              <w:jc w:val="center"/>
              <w:widowControl/>
              <w:rPr>
                <w:rFonts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数量</w:t>
            </w:r>
            <w:r/>
          </w:p>
        </w:tc>
        <w:tc>
          <w:tcPr>
            <w:tcBorders>
              <w:top w:val="single" w:color="auto" w:sz="12"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运动场长度</w:t>
            </w:r>
            <w:r/>
          </w:p>
        </w:tc>
        <w:tc>
          <w:tcPr>
            <w:tcBorders>
              <w:top w:val="single" w:color="auto" w:sz="12"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拟智慧操场数量</w:t>
            </w:r>
            <w:r/>
          </w:p>
        </w:tc>
        <w:tc>
          <w:tcPr>
            <w:tcBorders>
              <w:top w:val="single" w:color="auto" w:sz="12"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拟智慧游戏一体机数量</w:t>
            </w:r>
            <w:r/>
          </w:p>
        </w:tc>
        <w:tc>
          <w:tcPr>
            <w:tcBorders>
              <w:top w:val="single" w:color="auto" w:sz="12"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拟智慧体测一体机数量</w:t>
            </w:r>
            <w:r/>
          </w:p>
        </w:tc>
        <w:tc>
          <w:tcPr>
            <w:tcBorders>
              <w:top w:val="single" w:color="auto" w:sz="12"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702"/>
        </w:trPr>
        <w:tc>
          <w:tcPr>
            <w:tcBorders>
              <w:top w:val="single" w:color="auto" w:sz="4"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聚亨路小学</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200米</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jc w:val="center"/>
          <w:trHeight w:val="649"/>
        </w:trPr>
        <w:tc>
          <w:tcPr>
            <w:tcBorders>
              <w:top w:val="single" w:color="auto" w:sz="4"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串场河小学</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200米</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jc w:val="center"/>
          <w:trHeight w:val="658"/>
        </w:trPr>
        <w:tc>
          <w:tcPr>
            <w:tcBorders>
              <w:top w:val="single" w:color="auto" w:sz="4"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盐城市第一小学</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250米</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jc w:val="center"/>
          <w:trHeight w:val="658"/>
        </w:trPr>
        <w:tc>
          <w:tcPr>
            <w:tcBorders>
              <w:top w:val="single" w:color="auto" w:sz="4"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新都路实验学校</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250米</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jc w:val="center"/>
          <w:trHeight w:val="658"/>
        </w:trPr>
        <w:tc>
          <w:tcPr>
            <w:tcBorders>
              <w:top w:val="single" w:color="auto" w:sz="4"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盐渎实验学校</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400米</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jc w:val="center"/>
          <w:trHeight w:val="658"/>
        </w:trPr>
        <w:tc>
          <w:tcPr>
            <w:tcBorders>
              <w:top w:val="single" w:color="auto" w:sz="4"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鹿鸣路初级中学</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400米</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jc w:val="center"/>
          <w:trHeight w:val="658"/>
        </w:trPr>
        <w:tc>
          <w:tcPr>
            <w:tcBorders>
              <w:top w:val="single" w:color="auto" w:sz="4" w:space="0"/>
              <w:left w:val="single" w:color="auto" w:sz="12" w:space="0"/>
              <w:bottom w:val="none" w:color="000000" w:sz="4"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康居路初级中学</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400米</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none" w:color="000000" w:sz="4"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jc w:val="center"/>
          <w:trHeight w:val="746"/>
        </w:trPr>
        <w:tc>
          <w:tcPr>
            <w:tcBorders>
              <w:top w:val="single" w:color="auto" w:sz="4" w:space="0"/>
              <w:left w:val="single" w:color="auto" w:sz="12" w:space="0"/>
              <w:bottom w:val="single" w:color="auto" w:sz="12" w:space="0"/>
              <w:right w:val="none" w:color="000000" w:sz="4" w:space="0"/>
            </w:tcBorders>
            <w:tcMar>
              <w:left w:w="0" w:type="dxa"/>
              <w:top w:w="0" w:type="dxa"/>
              <w:right w:w="0" w:type="dxa"/>
              <w:bottom w:w="0" w:type="dxa"/>
            </w:tcMar>
            <w:tcW w:w="728"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8</w:t>
            </w:r>
            <w:r/>
          </w:p>
        </w:tc>
        <w:tc>
          <w:tcPr>
            <w:tcBorders>
              <w:top w:val="single" w:color="auto" w:sz="4" w:space="0"/>
              <w:left w:val="single" w:color="auto" w:sz="4" w:space="0"/>
              <w:bottom w:val="single" w:color="auto" w:sz="12" w:space="0"/>
              <w:right w:val="none" w:color="000000" w:sz="4" w:space="0"/>
            </w:tcBorders>
            <w:tcMar>
              <w:left w:w="0" w:type="dxa"/>
              <w:top w:w="0" w:type="dxa"/>
              <w:right w:w="0" w:type="dxa"/>
              <w:bottom w:w="0" w:type="dxa"/>
            </w:tcMar>
            <w:tcW w:w="1899"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盐城市初级中学</w:t>
            </w:r>
            <w:r/>
          </w:p>
        </w:tc>
        <w:tc>
          <w:tcPr>
            <w:tcBorders>
              <w:top w:val="single" w:color="auto" w:sz="4" w:space="0"/>
              <w:left w:val="single" w:color="auto" w:sz="4" w:space="0"/>
              <w:bottom w:val="single" w:color="auto" w:sz="12" w:space="0"/>
              <w:right w:val="none" w:color="000000" w:sz="4" w:space="0"/>
            </w:tcBorders>
            <w:tcMar>
              <w:left w:w="0" w:type="dxa"/>
              <w:top w:w="0" w:type="dxa"/>
              <w:right w:w="0" w:type="dxa"/>
              <w:bottom w:w="0" w:type="dxa"/>
            </w:tcMar>
            <w:tcW w:w="1006"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12" w:space="0"/>
              <w:right w:val="none" w:color="000000" w:sz="4" w:space="0"/>
            </w:tcBorders>
            <w:tcMar>
              <w:left w:w="0" w:type="dxa"/>
              <w:top w:w="0" w:type="dxa"/>
              <w:right w:w="0" w:type="dxa"/>
              <w:bottom w:w="0" w:type="dxa"/>
            </w:tcMar>
            <w:tcW w:w="1157"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12" w:space="0"/>
              <w:right w:val="none" w:color="000000" w:sz="4" w:space="0"/>
            </w:tcBorders>
            <w:tcMar>
              <w:left w:w="0" w:type="dxa"/>
              <w:top w:w="0" w:type="dxa"/>
              <w:right w:w="0" w:type="dxa"/>
              <w:bottom w:w="0" w:type="dxa"/>
            </w:tcMar>
            <w:tcW w:w="107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12" w:space="0"/>
              <w:right w:val="none" w:color="000000" w:sz="4" w:space="0"/>
            </w:tcBorders>
            <w:tcMar>
              <w:left w:w="0" w:type="dxa"/>
              <w:top w:w="0" w:type="dxa"/>
              <w:right w:w="0" w:type="dxa"/>
              <w:bottom w:w="0" w:type="dxa"/>
            </w:tcMar>
            <w:tcW w:w="984"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12" w:space="0"/>
              <w:right w:val="none" w:color="000000" w:sz="4" w:space="0"/>
            </w:tcBorders>
            <w:tcMar>
              <w:left w:w="0" w:type="dxa"/>
              <w:top w:w="0" w:type="dxa"/>
              <w:right w:w="0" w:type="dxa"/>
              <w:bottom w:w="0" w:type="dxa"/>
            </w:tcMar>
            <w:tcW w:w="1083" w:type="dxa"/>
            <w:vAlign w:val="center"/>
            <w:textDirection w:val="lrTb"/>
            <w:noWrap w:val="false"/>
          </w:tcPr>
          <w:p>
            <w:pPr>
              <w:jc w:val="center"/>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12" w:space="0"/>
              <w:right w:val="single" w:color="auto" w:sz="12" w:space="0"/>
            </w:tcBorders>
            <w:tcMar>
              <w:left w:w="0" w:type="dxa"/>
              <w:top w:w="0" w:type="dxa"/>
              <w:right w:w="0" w:type="dxa"/>
              <w:bottom w:w="0" w:type="dxa"/>
            </w:tcMar>
            <w:tcW w:w="884" w:type="dxa"/>
            <w:vAlign w:val="center"/>
            <w:textDirection w:val="lrTb"/>
            <w:noWrap w:val="false"/>
          </w:tcPr>
          <w:p>
            <w:pPr>
              <w:jc w:val="center"/>
              <w:widowControl/>
              <w:rPr>
                <w:rFonts w:ascii="宋体" w:hAnsi="宋体" w:eastAsia="宋体" w:cs="宋体"/>
                <w:bCs/>
                <w:color w:val="auto"/>
                <w:sz w:val="24"/>
                <w:highlight w:val="none"/>
              </w:rPr>
            </w:pPr>
            <w:r>
              <w:rPr>
                <w:rFonts w:ascii="宋体" w:hAnsi="宋体" w:eastAsia="宋体" w:cs="宋体"/>
                <w:bCs/>
                <w:color w:val="auto"/>
                <w:sz w:val="24"/>
                <w:highlight w:val="none"/>
              </w:rPr>
            </w:r>
            <w:bookmarkEnd w:id="183"/>
            <w:r/>
            <w:bookmarkEnd w:id="184"/>
            <w:r/>
            <w:r/>
          </w:p>
        </w:tc>
      </w:tr>
    </w:tbl>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符合《中小学体育场地建设标准》，满足中小学体育课堂、大课间活动常态化使用需求；</w:t>
      </w:r>
      <w:r>
        <w:rPr>
          <w:rFonts w:hint="eastAsia" w:ascii="宋体" w:hAnsi="宋体" w:eastAsia="宋体" w:cs="宋体"/>
          <w:color w:val="auto"/>
          <w:sz w:val="24"/>
          <w:szCs w:val="20"/>
          <w:highlight w:val="none"/>
        </w:rPr>
        <w:br/>
      </w:r>
      <w:r>
        <w:rPr>
          <w:rFonts w:hint="eastAsia" w:ascii="宋体" w:hAnsi="宋体" w:eastAsia="宋体" w:cs="宋体"/>
          <w:color w:val="auto"/>
          <w:sz w:val="24"/>
          <w:szCs w:val="20"/>
          <w:highlight w:val="none"/>
        </w:rPr>
        <w:t xml:space="preserve">    2. 计时精度符合国家学生体质健康标准测试要求；</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bookmarkStart w:id="185" w:name="OLE_LINK52"/>
      <w:r>
        <w:rPr>
          <w:rFonts w:hint="eastAsia" w:ascii="宋体" w:hAnsi="宋体" w:eastAsia="宋体" w:cs="宋体"/>
          <w:color w:val="auto"/>
          <w:sz w:val="24"/>
          <w:szCs w:val="20"/>
          <w:highlight w:val="none"/>
        </w:rPr>
        <w:t xml:space="preserve">. </w:t>
      </w:r>
      <w:bookmarkEnd w:id="185"/>
      <w:r>
        <w:rPr>
          <w:rFonts w:hint="eastAsia" w:ascii="宋体" w:hAnsi="宋体" w:eastAsia="宋体" w:cs="宋体"/>
          <w:color w:val="auto"/>
          <w:sz w:val="24"/>
          <w:szCs w:val="20"/>
          <w:highlight w:val="none"/>
        </w:rPr>
        <w:t xml:space="preserve">本项目中如涉及国家强制性产品认证证书（CCC认证证书）、电信设备进网许可证、无线电发射设备核准证等市场准入类资质的，应严格执行国家相关法律法规的要求。</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一、技术要求：</w:t>
      </w:r>
      <w:r/>
    </w:p>
    <w:p>
      <w:pPr>
        <w:ind w:firstLine="482"/>
        <w:jc w:val="left"/>
        <w:spacing w:line="560" w:lineRule="exact"/>
        <w:widowControl/>
        <w:rPr>
          <w:rFonts w:ascii="宋体" w:hAnsi="宋体" w:eastAsia="宋体" w:cs="宋体"/>
          <w:b/>
          <w:bCs/>
          <w:color w:val="auto"/>
          <w:sz w:val="24"/>
          <w:szCs w:val="20"/>
          <w:highlight w:val="none"/>
        </w:rPr>
      </w:pPr>
      <w:r/>
      <w:bookmarkStart w:id="186" w:name="OLE_LINK1"/>
      <w:r/>
      <w:bookmarkStart w:id="187" w:name="OLE_LINK2"/>
      <w:r>
        <w:rPr>
          <w:rFonts w:hint="eastAsia" w:ascii="宋体" w:hAnsi="宋体" w:eastAsia="宋体" w:cs="宋体"/>
          <w:b/>
          <w:bCs/>
          <w:color w:val="auto"/>
          <w:sz w:val="24"/>
          <w:szCs w:val="20"/>
          <w:highlight w:val="none"/>
        </w:rPr>
        <w:t xml:space="preserve">（一）</w:t>
      </w:r>
      <w:r>
        <w:rPr>
          <w:rFonts w:hint="eastAsia" w:ascii="宋体" w:hAnsi="宋体" w:eastAsia="宋体" w:cs="宋体"/>
          <w:b/>
          <w:bCs/>
          <w:color w:val="auto"/>
          <w:sz w:val="24"/>
          <w:szCs w:val="20"/>
          <w:highlight w:val="none"/>
        </w:rPr>
        <w:t xml:space="preserve">校级管理平台（含搭建市级管理平台）</w:t>
      </w:r>
      <w:r/>
    </w:p>
    <w:p>
      <w:pPr>
        <w:ind w:firstLine="482"/>
        <w:jc w:val="left"/>
        <w:spacing w:line="560" w:lineRule="exact"/>
        <w:widowControl/>
        <w:rPr>
          <w:rFonts w:ascii="宋体" w:hAnsi="宋体" w:eastAsia="宋体" w:cs="宋体"/>
          <w:color w:val="auto"/>
          <w:sz w:val="24"/>
          <w:szCs w:val="20"/>
          <w:highlight w:val="none"/>
        </w:rPr>
      </w:pPr>
      <w:r/>
      <w:bookmarkStart w:id="188" w:name="OLE_LINK73"/>
      <w:r/>
      <w:bookmarkStart w:id="189" w:name="OLE_LINK74"/>
      <w:r>
        <w:rPr>
          <w:rFonts w:hint="eastAsia" w:ascii="宋体" w:hAnsi="宋体" w:eastAsia="宋体" w:cs="宋体"/>
          <w:color w:val="auto"/>
          <w:sz w:val="24"/>
          <w:szCs w:val="20"/>
          <w:highlight w:val="none"/>
        </w:rPr>
        <w:t xml:space="preserve">△</w:t>
      </w:r>
      <w:bookmarkEnd w:id="188"/>
      <w:r/>
      <w:bookmarkEnd w:id="189"/>
      <w:r>
        <w:rPr>
          <w:rFonts w:hint="eastAsia" w:ascii="宋体" w:hAnsi="宋体" w:eastAsia="宋体" w:cs="宋体"/>
          <w:color w:val="auto"/>
          <w:sz w:val="24"/>
          <w:szCs w:val="20"/>
          <w:highlight w:val="none"/>
        </w:rPr>
        <w:t xml:space="preserve">1.校级平台能够接入并汇总本项目部署的本校智慧操场、游戏一体机及体测一体机等设备采集的体育数据，实现校级体育数据统一管理。</w:t>
      </w:r>
      <w:r/>
    </w:p>
    <w:p>
      <w:pPr>
        <w:ind w:firstLine="482"/>
        <w:jc w:val="left"/>
        <w:spacing w:line="560" w:lineRule="exact"/>
        <w:widowControl/>
        <w:rPr>
          <w:rFonts w:ascii="宋体" w:hAnsi="宋体" w:eastAsia="宋体" w:cs="宋体"/>
          <w:i/>
          <w:strike/>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i/>
          <w:color w:val="auto"/>
          <w:sz w:val="24"/>
          <w:szCs w:val="20"/>
          <w:highlight w:val="none"/>
          <w:u w:val="single"/>
        </w:rPr>
        <w:t xml:space="preserve">2.平台应具备体育数据管理与分析模块，数据类型应包括但不限于体育测试数据、体育锻炼数据等；应支持按校级、年级、班级、学生、日期、项目、性别等维度进行数据查询、统计分析和可视化呈现；应支持学生个人运动数据分析，能够展示学生体育测试成绩、运动锻炼记录、项目表现、历史变化趋势、综合分析结果，并形成运动建议或分析报告；应支持体育测试评价功能，能够按照系统设定的评价标准对学生体育测试项目进行成绩评价和等级划分，并统计优秀率、良好率、及格率、不合格率等结果。</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highlight w:val="none"/>
        </w:rPr>
        <w:t xml:space="preserve">△</w:t>
      </w:r>
      <w:r>
        <w:rPr>
          <w:rFonts w:hint="eastAsia" w:ascii="宋体" w:hAnsi="宋体" w:eastAsia="宋体" w:cs="宋体"/>
          <w:color w:val="auto"/>
          <w:sz w:val="24"/>
          <w:szCs w:val="20"/>
          <w:highlight w:val="none"/>
        </w:rPr>
        <w:t xml:space="preserve">3.校级平台应支持对接入设备的测试训练的启用、停用等基础管理。平台应具备体育数据录入、导入、导出与上报支持功能，支持用户按权限手动录入、批量导入、修正或上传相关体育数据，并能够按照系统设定的评分标准自动计算成绩得分和评价等级；支持按国家学生体质健康相关数据格式导出测试成绩表格，满足学校数据整理、上报和留存需要。</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rPr>
        <w:t xml:space="preserve">4.校际平台采用盐教云用户认证体系，学生账号使用盐教云账号登陆。平台应具备基础信息与权限管理功能，支持对学校、年级、班级、学生、教师、项目、设备等基础信息进行维护和管理；能够根据管理员、教师、学生等不同角色设置数据查看、数据录入、数据修改、数据导出、设备管理等权限。</w:t>
      </w:r>
      <w:r/>
    </w:p>
    <w:p>
      <w:pPr>
        <w:ind w:firstLine="482"/>
        <w:jc w:val="left"/>
        <w:spacing w:line="560" w:lineRule="exact"/>
        <w:widowControl/>
        <w:rPr>
          <w:rFonts w:ascii="宋体" w:hAnsi="宋体" w:eastAsia="宋体" w:cs="宋体"/>
          <w:color w:val="auto"/>
          <w:sz w:val="24"/>
          <w:szCs w:val="20"/>
          <w:highlight w:val="none"/>
        </w:rPr>
      </w:pPr>
      <w:r/>
      <w:bookmarkStart w:id="190" w:name="OLE_LINK71"/>
      <w:r/>
      <w:bookmarkStart w:id="191" w:name="OLE_LINK70"/>
      <w:r/>
      <w:bookmarkStart w:id="192" w:name="OLE_LINK75"/>
      <w:r/>
      <w:bookmarkStart w:id="193" w:name="OLE_LINK72"/>
      <w:r/>
      <w:bookmarkStart w:id="194" w:name="OLE_LINK17"/>
      <w:r/>
      <w:bookmarkStart w:id="195" w:name="OLE_LINK18"/>
      <w:r>
        <w:rPr>
          <w:rFonts w:hint="eastAsia" w:ascii="宋体" w:hAnsi="宋体" w:eastAsia="宋体" w:cs="宋体"/>
          <w:color w:val="auto"/>
          <w:sz w:val="24"/>
          <w:szCs w:val="20"/>
          <w:highlight w:val="none"/>
        </w:rPr>
        <w:t xml:space="preserve">△</w:t>
      </w:r>
      <w:bookmarkEnd w:id="190"/>
      <w:r/>
      <w:bookmarkEnd w:id="191"/>
      <w:r>
        <w:rPr>
          <w:rFonts w:hint="eastAsia" w:ascii="宋体" w:hAnsi="宋体" w:eastAsia="宋体" w:cs="宋体"/>
          <w:color w:val="auto"/>
          <w:sz w:val="24"/>
          <w:szCs w:val="20"/>
          <w:highlight w:val="none"/>
        </w:rPr>
        <w:t xml:space="preserve">5</w:t>
      </w:r>
      <w:bookmarkEnd w:id="192"/>
      <w:r/>
      <w:bookmarkEnd w:id="193"/>
      <w:r>
        <w:rPr>
          <w:rFonts w:hint="eastAsia" w:ascii="宋体" w:hAnsi="宋体" w:eastAsia="宋体" w:cs="宋体"/>
          <w:color w:val="auto"/>
          <w:sz w:val="24"/>
          <w:szCs w:val="20"/>
          <w:highlight w:val="none"/>
        </w:rPr>
        <w:t xml:space="preserve">.校级平台应具备数据安全防护机制，对学生个人信息、体质健康数据、运动数据等进行安全管理，支持数据权限管控、数据传输保护、数据存储保护、操作日志留存和异常访问记录，保障体育数据采集、传输、存储、使用和导出全过程安全。相关数据采集、存储、使用和管理应符合国家关于未成年人个人信息保护、个人信息保护和数据安全的相关法律法规要求。</w:t>
      </w:r>
      <w:r/>
    </w:p>
    <w:p>
      <w:pPr>
        <w:ind w:firstLine="482"/>
        <w:jc w:val="left"/>
        <w:spacing w:line="560" w:lineRule="exact"/>
        <w:widowControl/>
        <w:rPr>
          <w:rFonts w:ascii="宋体" w:hAnsi="宋体" w:eastAsia="宋体" w:cs="宋体"/>
          <w:color w:val="auto"/>
          <w:sz w:val="24"/>
          <w:szCs w:val="20"/>
          <w:highlight w:val="none"/>
        </w:rPr>
      </w:pPr>
      <w:r>
        <w:rPr>
          <w:rFonts w:hint="eastAsia"/>
          <w:color w:val="auto"/>
          <w:highlight w:val="none"/>
        </w:rPr>
        <w:t xml:space="preserve"> </w:t>
      </w:r>
      <w:r>
        <w:rPr>
          <w:rFonts w:hint="eastAsia" w:ascii="宋体" w:hAnsi="宋体" w:eastAsia="宋体" w:cs="宋体"/>
          <w:color w:val="auto"/>
          <w:sz w:val="24"/>
          <w:szCs w:val="20"/>
          <w:highlight w:val="none"/>
        </w:rPr>
        <w:t xml:space="preserve">△6.校级管理平台应具备体育教学管理能力，并可在校内的体测一体机、游戏一体机或教学一体机等大屏上使用该功能，可满足本项目覆盖8所义务教育学校体育课程的存储、调用管理需求；同时为方便老师使用，支持老师直接使用课程资源或自由组合生成体育课；支持老师上传自有教学视频，并可对上传视频开展标签管理；支持各类体育教学组件灵活配置。支持用户自主创建运动课程，系统需提供充足的可选动作资源，可支持设置课程适配学段、训练动作、动作时长、休息时长、课程封面等。</w:t>
      </w:r>
      <w:r/>
    </w:p>
    <w:p>
      <w:pPr>
        <w:ind w:firstLine="482"/>
        <w:jc w:val="left"/>
        <w:spacing w:line="560" w:lineRule="exact"/>
        <w:widowControl/>
        <w:rPr>
          <w:rFonts w:ascii="宋体" w:hAnsi="宋体" w:eastAsia="宋体" w:cs="宋体"/>
          <w:i/>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i/>
          <w:color w:val="auto"/>
          <w:sz w:val="24"/>
          <w:szCs w:val="20"/>
          <w:highlight w:val="none"/>
          <w:u w:val="single"/>
        </w:rPr>
        <w:t xml:space="preserve">7.</w:t>
      </w:r>
      <w:bookmarkEnd w:id="194"/>
      <w:r/>
      <w:bookmarkEnd w:id="195"/>
      <w:r>
        <w:rPr>
          <w:rFonts w:hint="eastAsia" w:ascii="宋体" w:hAnsi="宋体" w:eastAsia="宋体" w:cs="宋体"/>
          <w:i/>
          <w:color w:val="auto"/>
          <w:sz w:val="24"/>
          <w:szCs w:val="20"/>
          <w:highlight w:val="none"/>
          <w:u w:val="single"/>
        </w:rPr>
        <w:t xml:space="preserve">同步建设市级管理平台，所有数据须存放在市直教育城域网内，并与盐城市城市驾驶舱教育分舱完成数据对接，项目数据涉及的软硬件及网络安全产品由中标方提供并负责日常运维。所使用的数据库须符合国产化要求。市级管理平台支持查看相关学校校级管理平台所有功能，实现全域数据统一可视化展示，支持分层级、精细化数据统计与查询。市级管理平台登录方式同校级管理平台一致，</w:t>
      </w:r>
      <w:r>
        <w:rPr>
          <w:rFonts w:hint="eastAsia" w:ascii="宋体" w:hAnsi="宋体" w:eastAsia="宋体" w:cs="宋体"/>
          <w:i/>
          <w:color w:val="auto"/>
          <w:sz w:val="24"/>
          <w:szCs w:val="20"/>
          <w:highlight w:val="none"/>
          <w:u w:val="single"/>
        </w:rPr>
        <w:t xml:space="preserve">质保期内</w:t>
      </w:r>
      <w:r>
        <w:rPr>
          <w:rFonts w:hint="eastAsia" w:ascii="宋体" w:hAnsi="宋体" w:eastAsia="宋体" w:cs="宋体"/>
          <w:i/>
          <w:color w:val="auto"/>
          <w:sz w:val="24"/>
          <w:szCs w:val="20"/>
          <w:highlight w:val="none"/>
          <w:u w:val="single"/>
        </w:rPr>
        <w:t xml:space="preserve">市级、校级管理平台的部署、运维、安全均由中标方负责。</w:t>
      </w:r>
      <w:r>
        <w:rPr>
          <w:rFonts w:hint="eastAsia" w:ascii="宋体" w:hAnsi="宋体" w:eastAsia="宋体" w:cs="宋体"/>
          <w:i/>
          <w:color w:val="auto"/>
          <w:sz w:val="24"/>
          <w:szCs w:val="20"/>
          <w:highlight w:val="none"/>
          <w:u w:val="single"/>
        </w:rPr>
        <w:t xml:space="preserve">市级平台采用模块化架构设计，预留数据接口，支持后续新增学校接入、统计维度、赛事类型、体育资源等不同类型的拓展适配，可对接县域教育综合管理平台。</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盐城市</w:t>
      </w:r>
      <w:bookmarkStart w:id="196" w:name="OLE_LINK30"/>
      <w:r/>
      <w:bookmarkStart w:id="197" w:name="OLE_LINK32"/>
      <w:r>
        <w:rPr>
          <w:rFonts w:hint="eastAsia" w:ascii="宋体" w:hAnsi="宋体" w:eastAsia="宋体" w:cs="宋体"/>
          <w:b/>
          <w:bCs/>
          <w:color w:val="auto"/>
          <w:sz w:val="24"/>
          <w:szCs w:val="20"/>
          <w:highlight w:val="none"/>
        </w:rPr>
        <w:t xml:space="preserve">城市驾驶舱</w:t>
      </w:r>
      <w:bookmarkEnd w:id="196"/>
      <w:r/>
      <w:bookmarkEnd w:id="197"/>
      <w:r>
        <w:rPr>
          <w:rFonts w:hint="eastAsia" w:ascii="宋体" w:hAnsi="宋体" w:eastAsia="宋体" w:cs="宋体"/>
          <w:b/>
          <w:bCs/>
          <w:color w:val="auto"/>
          <w:sz w:val="24"/>
          <w:szCs w:val="20"/>
          <w:highlight w:val="none"/>
        </w:rPr>
        <w:t xml:space="preserve">教育分舱数据存储对接技术要求：</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中标供应商须无条件满足盐城市城市驾驶舱教育分舱对接相关要求，严格遵照盐城市城市驾驶舱教育分舱既定数据标准完成数据接入，采用主动推送模式传输相关数据；推送数据包含所有业务数据（含运动数据采集、体测数据、设备运行数据、用户行为数据等），确保数据无缝对接、正常解析与可视化展示。</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（2）本项目中标供应商须为采购人定制开发盐城市城市驾驶舱教育分舱的智慧体育展示页面，部署环境为（操作系统 openEuler_22.03_LTS_SP4；数据库GaussDB(兼容MySQL生态) 8.0.28 ），智慧体育展示页面需兼容教育驾驶舱身份认证体系，访问权限接入严格遵循教育驾驶舱身份认证标准，实现统一身份互通、单点登录、权限同步管理。</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（3）实现上述对接需求所产生的全部定制开发、调试、接口改造等相关费用，均由中标供应商承担，相关成本须综合包含在本项目投标总报价中，采购人不再另行支付任何对接费用。</w:t>
      </w:r>
      <w:bookmarkEnd w:id="186"/>
      <w:r/>
      <w:bookmarkEnd w:id="187"/>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w:t>
      </w:r>
      <w:bookmarkStart w:id="198" w:name="OLE_LINK5"/>
      <w:r>
        <w:rPr>
          <w:rFonts w:hint="eastAsia" w:ascii="宋体" w:hAnsi="宋体" w:eastAsia="宋体" w:cs="宋体"/>
          <w:b/>
          <w:bCs/>
          <w:color w:val="auto"/>
          <w:sz w:val="24"/>
          <w:szCs w:val="20"/>
          <w:highlight w:val="none"/>
        </w:rPr>
        <w:t xml:space="preserve">智慧操场</w:t>
      </w:r>
      <w:bookmarkEnd w:id="198"/>
      <w:r/>
      <w:r/>
    </w:p>
    <w:p>
      <w:pPr>
        <w:ind w:firstLine="690"/>
        <w:jc w:val="left"/>
        <w:spacing w:line="560" w:lineRule="exact"/>
        <w:widowControl/>
        <w:rPr>
          <w:rFonts w:ascii="宋体" w:hAnsi="宋体" w:eastAsia="宋体" w:cs="宋体"/>
          <w:i/>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i/>
          <w:color w:val="auto"/>
          <w:sz w:val="24"/>
          <w:szCs w:val="20"/>
          <w:highlight w:val="none"/>
          <w:u w:val="single"/>
        </w:rPr>
        <w:t xml:space="preserve">1. 含起点/终点/途中至少4个数据采集立杆，实现数据抓取无盲区，超高清摄像机，工业级控制主机，户外防水音响，高亮显示屏；摄像机参数：像素≥800万，帧率≥30fps，内置存储芯片；250米及以下操场至少3台，400米操场至少4台；设备应支持成绩实时播报和显示设备同步显示测试或训练成绩，成绩反馈响应时间≤1.5秒。处理器性能≥8核CPU，主频≥2.4GHz，算力≥6tops；运行内存≥8G；内置存储≥64G。</w:t>
      </w:r>
      <w:r/>
    </w:p>
    <w:p>
      <w:pPr>
        <w:ind w:firstLine="720"/>
        <w:jc w:val="left"/>
        <w:spacing w:line="560" w:lineRule="exact"/>
        <w:widowControl/>
        <w:rPr>
          <w:rFonts w:ascii="宋体" w:hAnsi="宋体" w:eastAsia="宋体" w:cs="宋体"/>
          <w:i/>
          <w:color w:val="auto"/>
          <w:sz w:val="24"/>
          <w:szCs w:val="20"/>
          <w:highlight w:val="none"/>
          <w:u w:val="single"/>
        </w:rPr>
      </w:pPr>
      <w:r>
        <w:rPr>
          <w:rFonts w:hint="eastAsia" w:ascii="宋体" w:hAnsi="宋体" w:eastAsia="宋体" w:cs="宋体"/>
          <w:i/>
          <w:color w:val="auto"/>
          <w:sz w:val="24"/>
          <w:szCs w:val="20"/>
          <w:highlight w:val="none"/>
          <w:u w:val="single"/>
        </w:rPr>
        <w:t xml:space="preserve">★2.显示设备能够显示测试项目实时成绩、测试状态、学生信息或测试结果等内容，并具有必要的安全防护措施，满足学校室外或半室外测试场景使用要求（配置数量可根据学校操场整体跑步测试系统深化设计统筹配置）。防雷、抗强光、抗干扰。</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highlight w:val="none"/>
        </w:rPr>
        <w:t xml:space="preserve">△</w:t>
      </w:r>
      <w:r>
        <w:rPr>
          <w:rFonts w:hint="eastAsia" w:ascii="宋体" w:hAnsi="宋体" w:eastAsia="宋体" w:cs="宋体"/>
          <w:color w:val="auto"/>
          <w:sz w:val="24"/>
          <w:szCs w:val="20"/>
          <w:highlight w:val="none"/>
        </w:rPr>
        <w:t xml:space="preserve">3.可满足校内日常体测训练、校外体育设施对外开放等多重使用场景，可区分人员类别独立采集、分类存储运动数据，无感抓取散步、慢跑等休闲运动数据，自动统计步数、里程、运动时长、卡路里，同步实现运动抓拍、人员识别、计时数据采集。测试人员无需穿戴任何设备，系统可支持通过人脸识别、举手示意或其他方式完成测试人员身份确认与测试分组。检录通过后，系统应能够自动进入测试流程，并在发令信号后开始测试。测试后自动生成包含平均速度、冲刺速度、运动曲线等内容的分析报告，数据实时同步至市级和校级管理平台。</w:t>
      </w:r>
      <w:r/>
    </w:p>
    <w:p>
      <w:pPr>
        <w:ind w:firstLine="482"/>
        <w:jc w:val="left"/>
        <w:spacing w:line="560" w:lineRule="exact"/>
        <w:widowControl/>
        <w:rPr>
          <w:rFonts w:ascii="宋体" w:hAnsi="宋体" w:eastAsia="宋体" w:cs="宋体"/>
          <w:i/>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i/>
          <w:color w:val="auto"/>
          <w:sz w:val="24"/>
          <w:szCs w:val="20"/>
          <w:highlight w:val="none"/>
          <w:u w:val="single"/>
        </w:rPr>
        <w:t xml:space="preserve">4.支持50米短跑、50米×8往返跑、400米跑、800米跑和1000米跑项目、阳光跑项目，支持≥6跑道同时测试，支持≥50人同时测试； 计时精度：支持自动发令、教师手动发令两种模式；违规识别：自动识别抢跑、窜道、踩线、折返违规等行为，实时语音播报违规信息；数据全程留痕可溯源，支持运动视频回放；阳光跑项目支持自动识别人员身份，自动匹配对应的跑步距离等运动数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highlight w:val="none"/>
        </w:rPr>
        <w:t xml:space="preserve">△</w:t>
      </w:r>
      <w:r>
        <w:rPr>
          <w:rFonts w:hint="eastAsia" w:ascii="宋体" w:hAnsi="宋体" w:eastAsia="宋体" w:cs="宋体"/>
          <w:color w:val="auto"/>
          <w:sz w:val="24"/>
          <w:szCs w:val="20"/>
          <w:highlight w:val="none"/>
        </w:rPr>
        <w:t xml:space="preserve">5.支持有线网络、无线网络等传输模式，适配校园固定网络，支持实时数据上传、断点续传，传输延迟低、数据不丢失、不重复。具备数据加密传输机制，支持校内外人员数据分类上传、独立归档，保障师生隐私数据安全合规，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（三）智慧游戏一体机</w:t>
      </w:r>
      <w:r/>
    </w:p>
    <w:p>
      <w:pPr>
        <w:ind w:firstLine="482"/>
        <w:jc w:val="left"/>
        <w:spacing w:line="560" w:lineRule="exact"/>
        <w:widowControl/>
        <w:rPr>
          <w:rFonts w:ascii="宋体" w:hAnsi="宋体" w:eastAsia="宋体" w:cs="宋体"/>
          <w:b/>
          <w:bCs/>
          <w:i/>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bCs/>
          <w:i/>
          <w:color w:val="auto"/>
          <w:sz w:val="24"/>
          <w:szCs w:val="20"/>
          <w:highlight w:val="none"/>
          <w:u w:val="single"/>
        </w:rPr>
        <w:t xml:space="preserve">1.支持室内趣味运动训练和体质测试辅助训练两类应用场景。趣味运动训练项目≥8项，可涵盖跳跃类、下蹲类、协调类、反应类等运动内容；体质测试辅助训练项目≥2项，可涵盖跳绳、立定跳远（单人）等常见体测项目。其中，除立定跳远（单人）等需单人依次完成的项目外，系统应支持多名学生同时参与训练测试及数据记录。学生可通过举手识别、人脸检录等方式快速进入运动项目。针对本设备的项目数量、项目类型、多人同时参与能力。</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highlight w:val="none"/>
        </w:rPr>
        <w:t xml:space="preserve">△</w:t>
      </w:r>
      <w:r>
        <w:rPr>
          <w:rFonts w:hint="eastAsia" w:ascii="宋体" w:hAnsi="宋体" w:eastAsia="宋体" w:cs="宋体"/>
          <w:color w:val="auto"/>
          <w:sz w:val="24"/>
          <w:szCs w:val="20"/>
          <w:highlight w:val="none"/>
        </w:rPr>
        <w:t xml:space="preserve">2.设备应支持通过移动端或网页</w:t>
      </w:r>
      <w:r>
        <w:rPr>
          <w:rFonts w:hint="eastAsia" w:ascii="宋体" w:hAnsi="宋体" w:eastAsia="宋体" w:cs="宋体"/>
          <w:color w:val="auto"/>
          <w:sz w:val="24"/>
          <w:szCs w:val="20"/>
          <w:highlight w:val="none"/>
        </w:rPr>
        <w:t xml:space="preserve">端进行项目选择、训练启动、过程控制和结果查看等操作。设备应能够实时记录学生运动数据，并支持数据存储、查询、统计和导出；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p>
    <w:p>
      <w:pPr>
        <w:ind w:firstLine="482"/>
        <w:jc w:val="left"/>
        <w:spacing w:line="560" w:lineRule="exact"/>
        <w:widowControl/>
        <w:rPr>
          <w:rFonts w:ascii="宋体" w:hAnsi="宋体" w:eastAsia="宋体" w:cs="宋体"/>
          <w:i/>
          <w:color w:val="auto"/>
          <w:sz w:val="24"/>
          <w:szCs w:val="20"/>
          <w:highlight w:val="none"/>
          <w:u w:val="single"/>
        </w:rPr>
      </w:pPr>
      <w:r/>
      <w:bookmarkStart w:id="199" w:name="OLE_LINK101"/>
      <w:r/>
      <w:bookmarkStart w:id="200" w:name="OLE_LINK100"/>
      <w:r/>
      <w:bookmarkStart w:id="201" w:name="OLE_LINK99"/>
      <w:r>
        <w:rPr>
          <w:rFonts w:hint="eastAsia" w:ascii="宋体" w:hAnsi="宋体" w:eastAsia="宋体" w:cs="宋体"/>
          <w:color w:val="auto"/>
          <w:sz w:val="23"/>
          <w:szCs w:val="23"/>
          <w:highlight w:val="none"/>
          <w:shd w:val="clear" w:color="auto" w:fill="f7f7f7"/>
        </w:rPr>
        <w:t xml:space="preserve">★</w:t>
      </w:r>
      <w:bookmarkEnd w:id="199"/>
      <w:r/>
      <w:bookmarkEnd w:id="200"/>
      <w:r/>
      <w:bookmarkEnd w:id="201"/>
      <w:r>
        <w:rPr>
          <w:rFonts w:hint="eastAsia" w:ascii="宋体" w:hAnsi="宋体" w:eastAsia="宋体" w:cs="宋体"/>
          <w:i/>
          <w:color w:val="auto"/>
          <w:sz w:val="24"/>
          <w:szCs w:val="20"/>
          <w:highlight w:val="none"/>
          <w:u w:val="single"/>
        </w:rPr>
        <w:t xml:space="preserve">3.本设备</w:t>
      </w:r>
      <w:r>
        <w:rPr>
          <w:rFonts w:hint="eastAsia" w:ascii="宋体" w:hAnsi="宋体" w:eastAsia="宋体" w:cs="宋体"/>
          <w:i/>
          <w:color w:val="auto"/>
          <w:sz w:val="24"/>
          <w:szCs w:val="20"/>
          <w:highlight w:val="none"/>
          <w:u w:val="single"/>
        </w:rPr>
        <w:t xml:space="preserve">显示界面或</w:t>
      </w:r>
      <w:r>
        <w:rPr>
          <w:rFonts w:hint="eastAsia" w:ascii="宋体" w:hAnsi="宋体" w:eastAsia="宋体" w:cs="宋体"/>
          <w:i/>
          <w:color w:val="auto"/>
          <w:sz w:val="24"/>
          <w:szCs w:val="20"/>
          <w:highlight w:val="none"/>
          <w:u w:val="single"/>
        </w:rPr>
        <w:t xml:space="preserve">操作界面应支持查看和操作当前运动项目、参与状态、学生身份或分组信息、训练过程、运动成绩、结果反馈、班级统计等内容；可根据教学需要显示个人成绩、项目成绩、班级成绩、排行榜或训练反馈信息，满足学生自主锻炼、教师现场组织和结果查看需要。</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highlight w:val="none"/>
        </w:rPr>
        <w:t xml:space="preserve">△</w:t>
      </w: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rPr>
        <w:t xml:space="preserve">配套软件服务：本项目应该包含趣味运动项目、成套系统界面、成套音乐情境主题实质性内容更新服务，4年内每年提供≥1项实质性内容更新，含完整新增一套趣味运动项目（包含完整动作、规则、配套音效）、系统界面主题包（整套UI全套页面风格）和一套完整音乐情境主题包（成套配套音乐音效合集）；仅简单图片替换、单首音乐添加、局部颜色微调等简易素材调整不计入有效更新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highlight w:val="none"/>
        </w:rPr>
        <w:t xml:space="preserve">△</w:t>
      </w:r>
      <w:r>
        <w:rPr>
          <w:rFonts w:hint="eastAsia" w:ascii="宋体" w:hAnsi="宋体" w:eastAsia="宋体" w:cs="宋体"/>
          <w:color w:val="auto"/>
          <w:sz w:val="24"/>
          <w:szCs w:val="20"/>
          <w:highlight w:val="none"/>
        </w:rPr>
        <w:t xml:space="preserve">5.设备应至少包含显示单元、图像采集单元、计算处理单元、交互控制单元及必要的安装结构，设备可采用壁挂式或吊装式安装，具体安装方式应适应学校现场空间条件；显</w:t>
      </w:r>
      <w:r>
        <w:rPr>
          <w:rFonts w:hint="eastAsia" w:ascii="宋体" w:hAnsi="宋体" w:eastAsia="宋体" w:cs="宋体"/>
          <w:color w:val="auto"/>
          <w:sz w:val="24"/>
          <w:szCs w:val="20"/>
          <w:highlight w:val="none"/>
        </w:rPr>
        <w:t xml:space="preserve">示单元尺寸≥55英寸，具备HDMI接口、音频播放能力，扬声器总额定功率≥10W。支持定时开关机及断电恢复后自动启动功能，支持开机默认进入指定信号输入通道功能；图像采集单元分辨率≥800万像素，能够满足室内多人运动识别、姿态识别、动作捕捉或运动结果采集需求，并应适应各类不同空间的安装距离和光照条件；计算处理单元应满足本地运动识别、多人检测、数据记录、结果分析和画面展示等应用需求。处理器性能≥8核CPU或同等性能配置，主频≥2.0GHz，内存≥4GB，存储空间≥64GB，AI算力≥6TOPS或具备同等处理能力。</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（四）体测一体机</w:t>
      </w:r>
      <w:r/>
    </w:p>
    <w:p>
      <w:pPr>
        <w:ind w:firstLine="482"/>
        <w:jc w:val="left"/>
        <w:spacing w:line="560" w:lineRule="exact"/>
        <w:widowControl/>
        <w:rPr>
          <w:rFonts w:ascii="宋体" w:hAnsi="宋体" w:eastAsia="宋体" w:cs="宋体"/>
          <w:i/>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i/>
          <w:color w:val="auto"/>
          <w:sz w:val="24"/>
          <w:szCs w:val="20"/>
          <w:highlight w:val="none"/>
          <w:u w:val="single"/>
        </w:rPr>
        <w:t xml:space="preserve">1.支持国家学生体质健康标准项目测试，含身高体重、肺活量、坐位体前屈等；自动识别测试动作，自动计数计时，自动识别违规行为，无需教师手动监考，支持学生自主测试；支持多种身份识别方式，自动匹配学生信息，测试数据自动归档；</w:t>
      </w:r>
      <w:r/>
    </w:p>
    <w:p>
      <w:pPr>
        <w:ind w:firstLine="482"/>
        <w:jc w:val="left"/>
        <w:spacing w:line="560" w:lineRule="exact"/>
        <w:widowControl/>
        <w:rPr>
          <w:rFonts w:ascii="宋体" w:hAnsi="宋体" w:eastAsia="宋体" w:cs="宋体"/>
          <w:i/>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i/>
          <w:color w:val="auto"/>
          <w:sz w:val="24"/>
          <w:szCs w:val="20"/>
          <w:highlight w:val="none"/>
          <w:u w:val="single"/>
        </w:rPr>
        <w:t xml:space="preserve">2.测试完成后自动生成学生个人体质健康报告，包含测试成绩、等级评价、个性化运动建议；支持国家学生体质健康标准测试数据一键上报，数据可实时同步至校级管理平台。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bookmarkStart w:id="202" w:name="OLE_LINK45"/>
      <w:r>
        <w:rPr>
          <w:rFonts w:hint="eastAsia" w:ascii="宋体" w:hAnsi="宋体" w:eastAsia="宋体" w:cs="宋体"/>
          <w:i/>
          <w:color w:val="auto"/>
          <w:sz w:val="24"/>
          <w:szCs w:val="20"/>
          <w:highlight w:val="none"/>
          <w:u w:val="single"/>
        </w:rPr>
        <w:t xml:space="preserve">。</w:t>
      </w:r>
      <w:bookmarkEnd w:id="202"/>
      <w:r/>
      <w:r/>
    </w:p>
    <w:p>
      <w:pPr>
        <w:ind w:firstLine="482"/>
        <w:jc w:val="left"/>
        <w:spacing w:line="560" w:lineRule="exact"/>
        <w:widowControl/>
        <w:rPr>
          <w:rFonts w:ascii="宋体" w:hAnsi="宋体" w:eastAsia="宋体" w:cs="宋体"/>
          <w:i/>
          <w:color w:val="auto"/>
          <w:sz w:val="24"/>
          <w:szCs w:val="20"/>
          <w:highlight w:val="none"/>
          <w:u w:val="single"/>
        </w:rPr>
      </w:pPr>
      <w:r>
        <w:rPr>
          <w:rFonts w:hint="eastAsia" w:ascii="宋体" w:hAnsi="宋体" w:eastAsia="宋体" w:cs="宋体"/>
          <w:color w:val="auto"/>
          <w:sz w:val="23"/>
          <w:szCs w:val="23"/>
          <w:highlight w:val="none"/>
          <w:shd w:val="clear" w:color="auto" w:fill="f7f7f7"/>
        </w:rPr>
        <w:t xml:space="preserve">★</w:t>
      </w:r>
      <w:r>
        <w:rPr>
          <w:rFonts w:hint="eastAsia" w:ascii="宋体" w:hAnsi="宋体" w:eastAsia="宋体" w:cs="宋体"/>
          <w:i/>
          <w:color w:val="auto"/>
          <w:sz w:val="24"/>
          <w:szCs w:val="20"/>
          <w:highlight w:val="none"/>
          <w:u w:val="single"/>
        </w:rPr>
        <w:t xml:space="preserve">3.含智能体测主机、≥43英寸显示</w:t>
      </w:r>
      <w:r>
        <w:rPr>
          <w:rFonts w:hint="eastAsia" w:ascii="宋体" w:hAnsi="宋体" w:eastAsia="宋体" w:cs="宋体"/>
          <w:i/>
          <w:color w:val="auto"/>
          <w:sz w:val="24"/>
          <w:szCs w:val="20"/>
          <w:highlight w:val="none"/>
          <w:u w:val="single"/>
        </w:rPr>
        <w:t xml:space="preserve">设备</w:t>
      </w:r>
      <w:r>
        <w:rPr>
          <w:rFonts w:hint="eastAsia" w:ascii="宋体" w:hAnsi="宋体" w:eastAsia="宋体" w:cs="宋体"/>
          <w:i/>
          <w:color w:val="auto"/>
          <w:sz w:val="24"/>
          <w:szCs w:val="20"/>
          <w:highlight w:val="none"/>
          <w:u w:val="single"/>
        </w:rPr>
        <w:t xml:space="preserve">、动作识别摄像头、身高体重测量仪、肺活量测试仪、坐位体前屈测试仪、防水音响；系统平台内存≥8GB，存储≥64GB，算力平台提供≥5TOPS算力，内置人脸识别模块，支持无接触身份识别。 </w:t>
      </w:r>
      <w:r/>
    </w:p>
    <w:p>
      <w:pPr>
        <w:ind w:firstLine="482"/>
        <w:jc w:val="left"/>
        <w:spacing w:line="560" w:lineRule="exact"/>
        <w:widowControl/>
        <w:rPr>
          <w:rFonts w:ascii="宋体" w:hAnsi="宋体" w:eastAsia="宋体" w:cs="宋体"/>
          <w:b/>
          <w:bCs/>
          <w:i/>
          <w:color w:val="auto"/>
          <w:sz w:val="24"/>
          <w:szCs w:val="20"/>
          <w:highlight w:val="none"/>
          <w:u w:val="single"/>
        </w:rPr>
      </w:pPr>
      <w:r>
        <w:rPr>
          <w:rFonts w:ascii="宋体" w:hAnsi="宋体" w:eastAsia="宋体" w:cs="宋体"/>
          <w:b/>
          <w:bCs/>
          <w:i/>
          <w:color w:val="auto"/>
          <w:sz w:val="24"/>
          <w:szCs w:val="20"/>
          <w:highlight w:val="none"/>
          <w:u w:val="single"/>
        </w:rPr>
      </w:r>
      <w:r/>
    </w:p>
    <w:p>
      <w:pPr>
        <w:ind w:firstLine="562"/>
        <w:jc w:val="left"/>
        <w:spacing w:line="560" w:lineRule="exact"/>
        <w:widowControl/>
        <w:rPr>
          <w:rFonts w:ascii="宋体" w:hAnsi="宋体" w:eastAsia="宋体" w:cs="宋体"/>
          <w:b/>
          <w:bCs/>
          <w:i/>
          <w:color w:val="auto"/>
          <w:sz w:val="24"/>
          <w:szCs w:val="20"/>
          <w:highlight w:val="none"/>
          <w:u w:val="single"/>
        </w:rPr>
      </w:pPr>
      <w:r>
        <w:rPr>
          <w:rFonts w:hint="eastAsia" w:ascii="宋体" w:hAnsi="宋体" w:eastAsia="宋体" w:cs="宋体"/>
          <w:b/>
          <w:bCs/>
          <w:i/>
          <w:color w:val="auto"/>
          <w:sz w:val="28"/>
          <w:szCs w:val="20"/>
          <w:highlight w:val="none"/>
        </w:rPr>
        <w:t xml:space="preserve">注</w:t>
      </w:r>
      <w:r>
        <w:rPr>
          <w:rFonts w:hint="eastAsia" w:ascii="宋体" w:hAnsi="宋体" w:eastAsia="宋体" w:cs="宋体"/>
          <w:b/>
          <w:bCs/>
          <w:i/>
          <w:color w:val="auto"/>
          <w:sz w:val="28"/>
          <w:szCs w:val="20"/>
          <w:highlight w:val="none"/>
          <w:u w:val="single"/>
        </w:rPr>
        <w:t xml:space="preserve">：</w:t>
      </w:r>
      <w:bookmarkStart w:id="203" w:name="OLE_LINK8"/>
      <w:r/>
      <w:bookmarkStart w:id="204" w:name="OLE_LINK9"/>
      <w:r>
        <w:rPr>
          <w:rFonts w:hint="eastAsia" w:ascii="宋体" w:hAnsi="宋体" w:eastAsia="宋体" w:cs="宋体"/>
          <w:b/>
          <w:bCs/>
          <w:i/>
          <w:color w:val="auto"/>
          <w:sz w:val="24"/>
          <w:szCs w:val="20"/>
          <w:highlight w:val="none"/>
          <w:u w:val="single"/>
        </w:rPr>
        <w:t xml:space="preserve">1、本采购项目的核心产品为 ：智慧操场，</w:t>
      </w:r>
      <w:r>
        <w:rPr>
          <w:rFonts w:ascii="宋体" w:hAnsi="宋体" w:eastAsia="宋体" w:cs="宋体"/>
          <w:b/>
          <w:bCs/>
          <w:i/>
          <w:color w:val="auto"/>
          <w:sz w:val="24"/>
          <w:szCs w:val="20"/>
          <w:highlight w:val="none"/>
          <w:u w:val="single"/>
        </w:rPr>
        <w:t xml:space="preserve">不同投标人提供相同品牌核心产品的</w:t>
      </w:r>
      <w:r>
        <w:rPr>
          <w:rFonts w:hint="eastAsia" w:ascii="宋体" w:hAnsi="宋体" w:eastAsia="宋体" w:cs="宋体"/>
          <w:b/>
          <w:bCs/>
          <w:i/>
          <w:color w:val="auto"/>
          <w:sz w:val="24"/>
          <w:szCs w:val="20"/>
          <w:highlight w:val="none"/>
          <w:u w:val="single"/>
        </w:rPr>
        <w:t xml:space="preserve">按照</w:t>
      </w:r>
      <w:r>
        <w:rPr>
          <w:rFonts w:ascii="宋体" w:hAnsi="宋体" w:eastAsia="宋体" w:cs="宋体"/>
          <w:b/>
          <w:bCs/>
          <w:i/>
          <w:color w:val="auto"/>
          <w:sz w:val="24"/>
          <w:szCs w:val="20"/>
          <w:highlight w:val="none"/>
          <w:u w:val="single"/>
        </w:rPr>
        <w:t xml:space="preserve">《政府采购货物和服务招标投标管理办法》（财政部令第87号）第三十一条</w:t>
      </w:r>
      <w:r>
        <w:rPr>
          <w:rFonts w:hint="eastAsia" w:ascii="宋体" w:hAnsi="宋体" w:eastAsia="宋体" w:cs="宋体"/>
          <w:b/>
          <w:bCs/>
          <w:i/>
          <w:color w:val="auto"/>
          <w:sz w:val="24"/>
          <w:szCs w:val="20"/>
          <w:highlight w:val="none"/>
          <w:u w:val="single"/>
        </w:rPr>
        <w:t xml:space="preserve">执行</w:t>
      </w:r>
      <w:r>
        <w:rPr>
          <w:rFonts w:ascii="宋体" w:hAnsi="宋体" w:eastAsia="宋体" w:cs="宋体"/>
          <w:b/>
          <w:bCs/>
          <w:i/>
          <w:color w:val="auto"/>
          <w:sz w:val="24"/>
          <w:szCs w:val="20"/>
          <w:highlight w:val="none"/>
          <w:u w:val="single"/>
        </w:rPr>
        <w:t xml:space="preserve">。</w:t>
      </w:r>
      <w:r/>
    </w:p>
    <w:p>
      <w:pPr>
        <w:ind w:firstLine="482"/>
        <w:jc w:val="left"/>
        <w:spacing w:line="560" w:lineRule="exact"/>
        <w:widowControl/>
        <w:rPr>
          <w:rFonts w:ascii="宋体" w:hAnsi="宋体" w:eastAsia="宋体" w:cs="宋体"/>
          <w:b/>
          <w:i/>
          <w:iCs/>
          <w:color w:val="auto"/>
          <w:sz w:val="24"/>
          <w:highlight w:val="none"/>
          <w:u w:val="single"/>
        </w:rPr>
      </w:pPr>
      <w:r>
        <w:rPr>
          <w:rFonts w:hint="eastAsia" w:ascii="宋体" w:hAnsi="宋体" w:eastAsia="宋体" w:cs="宋体"/>
          <w:color w:val="auto"/>
          <w:sz w:val="24"/>
          <w:highlight w:val="none"/>
          <w:shd w:val="clear" w:color="auto" w:fill="f7f7f7"/>
        </w:rPr>
        <w:t xml:space="preserve">★</w:t>
      </w:r>
      <w:r>
        <w:rPr>
          <w:rFonts w:hint="eastAsia" w:ascii="宋体" w:hAnsi="宋体" w:eastAsia="宋体" w:cs="宋体"/>
          <w:i/>
          <w:color w:val="auto"/>
          <w:sz w:val="24"/>
          <w:highlight w:val="none"/>
          <w:u w:val="single"/>
        </w:rPr>
        <w:t xml:space="preserve">2、所投产品软件须已适配或承诺适配基于安全可靠测评结果</w:t>
      </w:r>
      <w:bookmarkStart w:id="205" w:name="OLE_LINK25"/>
      <w:r/>
      <w:bookmarkStart w:id="206" w:name="OLE_LINK24"/>
      <w:r>
        <w:rPr>
          <w:rFonts w:hint="eastAsia" w:ascii="宋体" w:hAnsi="宋体" w:eastAsia="宋体" w:cs="宋体"/>
          <w:i/>
          <w:color w:val="auto"/>
          <w:sz w:val="24"/>
          <w:highlight w:val="none"/>
          <w:u w:val="single"/>
        </w:rPr>
        <w:t xml:space="preserve">等级I级</w:t>
      </w:r>
      <w:bookmarkEnd w:id="205"/>
      <w:r/>
      <w:bookmarkEnd w:id="206"/>
      <w:r>
        <w:rPr>
          <w:rFonts w:hint="eastAsia" w:ascii="宋体" w:hAnsi="宋体" w:eastAsia="宋体" w:cs="宋体"/>
          <w:i/>
          <w:color w:val="auto"/>
          <w:sz w:val="24"/>
          <w:highlight w:val="none"/>
          <w:u w:val="single"/>
        </w:rPr>
        <w:t xml:space="preserve">及以上的处理器（CPU）、操作</w:t>
      </w:r>
      <w:r>
        <w:rPr>
          <w:rFonts w:hint="eastAsia" w:ascii="宋体" w:hAnsi="宋体" w:eastAsia="宋体" w:cs="宋体"/>
          <w:i/>
          <w:iCs/>
          <w:color w:val="auto"/>
          <w:sz w:val="24"/>
          <w:highlight w:val="none"/>
          <w:u w:val="single"/>
        </w:rPr>
        <w:t xml:space="preserve">系统的硬件</w:t>
      </w:r>
      <w:bookmarkStart w:id="207" w:name="OLE_LINK200"/>
      <w:r/>
      <w:bookmarkStart w:id="208" w:name="OLE_LINK199"/>
      <w:r>
        <w:rPr>
          <w:rFonts w:hint="eastAsia" w:ascii="宋体" w:hAnsi="宋体" w:eastAsia="宋体" w:cs="宋体"/>
          <w:i/>
          <w:iCs/>
          <w:color w:val="auto"/>
          <w:sz w:val="24"/>
          <w:highlight w:val="none"/>
          <w:u w:val="single"/>
        </w:rPr>
        <w:t xml:space="preserve">（即：所投产品能够在基于安全可靠测评结果等级I级及以上的处理器（CPU）、操作系统上流畅运行）</w:t>
      </w:r>
      <w:bookmarkEnd w:id="207"/>
      <w:r/>
      <w:bookmarkEnd w:id="208"/>
      <w:r>
        <w:rPr>
          <w:rFonts w:hint="eastAsia" w:ascii="宋体" w:hAnsi="宋体" w:eastAsia="宋体" w:cs="宋体"/>
          <w:i/>
          <w:iCs/>
          <w:color w:val="auto"/>
          <w:sz w:val="24"/>
          <w:highlight w:val="none"/>
          <w:u w:val="single"/>
        </w:rPr>
        <w:t xml:space="preserve">。</w:t>
      </w:r>
      <w:r>
        <w:rPr>
          <w:rFonts w:hint="eastAsia" w:ascii="宋体" w:hAnsi="宋体" w:eastAsia="宋体" w:cs="宋体"/>
          <w:b/>
          <w:i/>
          <w:iCs/>
          <w:color w:val="auto"/>
          <w:sz w:val="24"/>
          <w:highlight w:val="none"/>
          <w:u w:val="single"/>
        </w:rPr>
        <w:t xml:space="preserve">投标时须提供相关承诺函。</w:t>
      </w:r>
      <w:r/>
    </w:p>
    <w:p>
      <w:pPr>
        <w:ind w:firstLine="482"/>
        <w:jc w:val="left"/>
        <w:spacing w:line="560" w:lineRule="exact"/>
        <w:widowControl/>
        <w:rPr>
          <w:rFonts w:ascii="宋体" w:hAnsi="宋体" w:eastAsia="宋体" w:cs="宋体"/>
          <w:b/>
          <w:i/>
          <w:iCs/>
          <w:color w:val="auto"/>
          <w:sz w:val="24"/>
          <w:highlight w:val="none"/>
          <w:u w:val="single"/>
        </w:rPr>
      </w:pPr>
      <w:r>
        <w:rPr>
          <w:rFonts w:hint="eastAsia" w:ascii="宋体" w:hAnsi="宋体" w:eastAsia="宋体" w:cs="宋体"/>
          <w:color w:val="auto"/>
          <w:sz w:val="24"/>
          <w:highlight w:val="none"/>
          <w:shd w:val="clear" w:color="auto" w:fill="f7f7f7"/>
        </w:rPr>
        <w:t xml:space="preserve">★</w:t>
      </w:r>
      <w:r>
        <w:rPr>
          <w:rFonts w:hint="eastAsia" w:ascii="宋体" w:hAnsi="宋体" w:eastAsia="宋体" w:cs="宋体"/>
          <w:i/>
          <w:iCs/>
          <w:color w:val="auto"/>
          <w:sz w:val="24"/>
          <w:highlight w:val="none"/>
          <w:u w:val="single"/>
        </w:rPr>
        <w:t xml:space="preserve">3、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i/>
          <w:iCs/>
          <w:color w:val="auto"/>
          <w:sz w:val="24"/>
          <w:highlight w:val="none"/>
          <w:u w:val="single"/>
        </w:rPr>
        <w:t xml:space="preserve">投标时须提供相关承诺。否则作无效投标。</w:t>
      </w:r>
      <w:bookmarkEnd w:id="203"/>
      <w:r/>
      <w:bookmarkEnd w:id="204"/>
      <w:r/>
      <w:r/>
    </w:p>
    <w:p>
      <w:pPr>
        <w:ind w:firstLine="482"/>
        <w:jc w:val="left"/>
        <w:spacing w:line="560" w:lineRule="exact"/>
        <w:widowControl/>
        <w:rPr>
          <w:rFonts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4、技术参数中</w:t>
      </w:r>
      <w:bookmarkStart w:id="209" w:name="OLE_LINK82"/>
      <w:r/>
      <w:bookmarkStart w:id="210" w:name="OLE_LINK94"/>
      <w:r>
        <w:rPr>
          <w:rFonts w:hint="eastAsia" w:ascii="宋体" w:hAnsi="宋体" w:eastAsia="宋体" w:cs="宋体"/>
          <w:b/>
          <w:color w:val="auto"/>
          <w:sz w:val="24"/>
          <w:szCs w:val="32"/>
          <w:highlight w:val="none"/>
          <w:u w:val="none"/>
        </w:rPr>
        <w:t xml:space="preserve">标注</w:t>
      </w:r>
      <w:r>
        <w:rPr>
          <w:rFonts w:hint="eastAsia" w:ascii="宋体" w:hAnsi="宋体" w:eastAsia="宋体" w:cs="宋体"/>
          <w:color w:val="auto"/>
          <w:sz w:val="23"/>
          <w:szCs w:val="23"/>
          <w:highlight w:val="none"/>
          <w:u w:val="none"/>
          <w:shd w:val="clear" w:color="auto" w:fill="f7f7f7"/>
        </w:rPr>
        <w:t xml:space="preserve">★ </w:t>
      </w:r>
      <w:bookmarkEnd w:id="209"/>
      <w:r/>
      <w:bookmarkEnd w:id="210"/>
      <w:r>
        <w:rPr>
          <w:rFonts w:hint="eastAsia" w:ascii="宋体" w:hAnsi="宋体" w:eastAsia="宋体" w:cs="宋体"/>
          <w:b/>
          <w:color w:val="auto"/>
          <w:sz w:val="24"/>
          <w:szCs w:val="32"/>
          <w:highlight w:val="none"/>
          <w:u w:val="none"/>
        </w:rPr>
        <w:t xml:space="preserve">斜体且有下划线部分</w:t>
      </w:r>
      <w:r>
        <w:rPr>
          <w:rFonts w:hint="eastAsia" w:ascii="宋体" w:hAnsi="宋体" w:eastAsia="宋体" w:cs="宋体"/>
          <w:b/>
          <w:color w:val="auto"/>
          <w:sz w:val="24"/>
          <w:szCs w:val="32"/>
          <w:highlight w:val="none"/>
        </w:rPr>
        <w:t xml:space="preserve">为实质性要求和条件，不得负偏离，须按清单逐条制作技术参数响应偏离表</w:t>
      </w:r>
      <w:r>
        <w:rPr>
          <w:rFonts w:hint="eastAsia" w:ascii="宋体" w:hAnsi="宋体" w:cs="宋体"/>
          <w:b/>
          <w:color w:val="auto"/>
          <w:sz w:val="24"/>
          <w:highlight w:val="none"/>
        </w:rPr>
        <w:t xml:space="preserve">（文件中要求提交证明材料的须提交证明材料）</w:t>
      </w:r>
      <w:r>
        <w:rPr>
          <w:rFonts w:hint="eastAsia" w:ascii="宋体" w:hAnsi="宋体" w:eastAsia="宋体" w:cs="宋体"/>
          <w:b/>
          <w:color w:val="auto"/>
          <w:sz w:val="24"/>
          <w:szCs w:val="32"/>
          <w:highlight w:val="none"/>
        </w:rPr>
        <w:t xml:space="preserve">，否则视作未实质性响应采购文件要求【供应商完全同意条款（即无偏离）或提出对采购人更有利的条款（即正偏离）都属于响应，供应商不同意某项条款（即负偏离）的属于不响应】，按无效响应处理。</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二、商务要求</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1.付款方式：</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①自合同签订生效之日起，甲方收到预付款发票后10个工作日内，甲方向乙方支付合同总价的30%款项作为预付款；</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②</w:t>
      </w:r>
      <w:bookmarkStart w:id="211" w:name="OLE_LINK15"/>
      <w:r/>
      <w:bookmarkStart w:id="212" w:name="OLE_LINK16"/>
      <w:r>
        <w:rPr>
          <w:rFonts w:hint="eastAsia" w:ascii="宋体" w:hAnsi="宋体" w:eastAsia="宋体" w:cs="宋体"/>
          <w:color w:val="auto"/>
          <w:sz w:val="24"/>
          <w:szCs w:val="20"/>
          <w:highlight w:val="none"/>
        </w:rPr>
        <w:t xml:space="preserve">完成全部供货并通过验收合格后支付至合同价的50%，自验收合格之日起60日内付清余款。（甲方收到乙方发票后10个工作日内支付对应款项）</w:t>
      </w:r>
      <w:bookmarkEnd w:id="211"/>
      <w:r/>
      <w:bookmarkEnd w:id="212"/>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bookmarkStart w:id="213" w:name="OLE_LINK39"/>
      <w:r>
        <w:rPr>
          <w:rFonts w:hint="eastAsia" w:ascii="宋体" w:hAnsi="宋体" w:eastAsia="宋体" w:cs="宋体"/>
          <w:color w:val="auto"/>
          <w:sz w:val="24"/>
          <w:szCs w:val="20"/>
          <w:highlight w:val="none"/>
        </w:rPr>
        <w:t xml:space="preserve">提供免费质保期：整套软硬件设备至少提供</w:t>
      </w: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rPr>
        <w:t xml:space="preserve">年免费整机质保服务，质保期内提供免费维修、免费更换故障配件服务。 提供7×24小时全天候技术响应服务，4小时内完成远程故障排查，24小时内到场上门处置问题；硬件质保期满后维修只收取材料成本费。免收人工服务费。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至少免费提供</w:t>
      </w:r>
      <w:bookmarkStart w:id="214" w:name="OLE_LINK44"/>
      <w:r/>
      <w:bookmarkStart w:id="215" w:name="OLE_LINK53"/>
      <w:r/>
      <w:bookmarkStart w:id="216" w:name="OLE_LINK69"/>
      <w:r>
        <w:rPr>
          <w:rFonts w:hint="eastAsia" w:ascii="宋体" w:hAnsi="宋体" w:eastAsia="宋体" w:cs="宋体"/>
          <w:color w:val="auto"/>
          <w:sz w:val="24"/>
          <w:szCs w:val="20"/>
          <w:highlight w:val="none"/>
        </w:rPr>
        <w:t xml:space="preserve">4</w:t>
      </w:r>
      <w:bookmarkEnd w:id="214"/>
      <w:r/>
      <w:bookmarkEnd w:id="215"/>
      <w:r/>
      <w:bookmarkEnd w:id="216"/>
      <w:r>
        <w:rPr>
          <w:rFonts w:hint="eastAsia" w:ascii="宋体" w:hAnsi="宋体" w:eastAsia="宋体" w:cs="宋体"/>
          <w:color w:val="auto"/>
          <w:sz w:val="24"/>
          <w:szCs w:val="20"/>
          <w:highlight w:val="none"/>
        </w:rPr>
        <w:t xml:space="preserve">年系统软件升级、功能优化、平台数据对接维护服务，</w:t>
      </w: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rPr>
        <w:t xml:space="preserve">年内全部数据运维费用，质保期内数据存储、备份、迁移、纠错、接口调试等，免费保障不少于</w:t>
      </w: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rPr>
        <w:t xml:space="preserve">年全量数据长期留存。</w:t>
      </w:r>
      <w:bookmarkEnd w:id="213"/>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3.合同履行期限：</w:t>
      </w:r>
      <w:r>
        <w:rPr>
          <w:rFonts w:hint="eastAsia" w:ascii="宋体" w:hAnsi="宋体" w:eastAsia="宋体" w:cs="宋体"/>
          <w:color w:val="auto"/>
          <w:sz w:val="24"/>
          <w:szCs w:val="20"/>
          <w:highlight w:val="none"/>
          <w:lang w:eastAsia="zh-CN"/>
        </w:rPr>
        <w:t xml:space="preserve">签订</w:t>
      </w:r>
      <w:r>
        <w:rPr>
          <w:rFonts w:hint="eastAsia" w:ascii="宋体" w:hAnsi="宋体" w:eastAsia="宋体" w:cs="宋体"/>
          <w:color w:val="auto"/>
          <w:sz w:val="24"/>
          <w:szCs w:val="20"/>
          <w:highlight w:val="none"/>
        </w:rPr>
        <w:t xml:space="preserve">合同后25天内供货并验收合格。</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4.交货地点：</w:t>
      </w:r>
      <w:r>
        <w:rPr>
          <w:rFonts w:hint="eastAsia" w:ascii="宋体" w:hAnsi="宋体" w:eastAsia="宋体" w:cs="宋体"/>
          <w:color w:val="auto"/>
          <w:sz w:val="24"/>
          <w:highlight w:val="none"/>
        </w:rPr>
        <w:t xml:space="preserve">盐城市第一小学、串场河小学、新都路实验学校、聚亨路小学、盐渎实验学校、鹿鸣路初级中学、康居路初级中学、盐城市初级中学共8所学校</w:t>
      </w:r>
      <w:r>
        <w:rPr>
          <w:rFonts w:hint="eastAsia" w:ascii="宋体" w:hAnsi="宋体" w:eastAsia="宋体" w:cs="宋体"/>
          <w:color w:val="auto"/>
          <w:sz w:val="24"/>
          <w:szCs w:val="20"/>
          <w:highlight w:val="none"/>
        </w:rPr>
        <w:t xml:space="preserve">指定位置。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5.货物验收要求</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（1）依照招标文件要求对全部货物、型号、规格、数量、外型、外观、包装及资料、文件（如装箱单、保修单、随箱介质等）进行验收。</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（2）采购人与供应商对货物到货后共同进行开箱检查，出现损坏、数量不全或产品不对等问题时，由供应商负责解决。</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（3）采购人有权从供应商所送货物中任意抽出不同型号的产品送采购人所在地的质检部门检验，如果检验合格，检验费由采购人负担；如果检验不合格，则检验费由供应商负担。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（4）供应商应按照本合同规定的时间、地点和方式向采购人交付货物。</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（5）采购人应在全部货物到货安装完毕后的五个工作日内进行验收，验收包括：型号、规格、数量、外观是否完好，安装调试是否合格等。验收合格后采购人应在验收报告上签字盖章。</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w:t>
      </w:r>
      <w:r>
        <w:rPr>
          <w:rFonts w:hint="eastAsia" w:ascii="宋体" w:hAnsi="宋体" w:eastAsia="宋体" w:cs="宋体"/>
          <w:color w:val="auto"/>
          <w:sz w:val="24"/>
          <w:szCs w:val="20"/>
          <w:highlight w:val="none"/>
        </w:rPr>
        <w:t xml:space="preserve">质保期内在本地部署的系统平台，采购人享有永久使用权。由系统平台产生的用户业务数据归采购人永久所有。</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6.报价要求</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该报价为到项目现场的全部费用，包含货物、包装、仓储、运输、分发、安装、本地化部署、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8.踏勘</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bookmarkStart w:id="217" w:name="OLE_LINK50"/>
      <w:r/>
      <w:bookmarkStart w:id="218" w:name="OLE_LINK51"/>
      <w:r>
        <w:rPr>
          <w:rFonts w:hint="eastAsia" w:ascii="宋体" w:hAnsi="宋体" w:eastAsia="宋体" w:cs="宋体"/>
          <w:color w:val="auto"/>
          <w:sz w:val="24"/>
          <w:szCs w:val="20"/>
          <w:highlight w:val="none"/>
        </w:rPr>
        <w:t xml:space="preserve">.投标人</w:t>
      </w:r>
      <w:bookmarkEnd w:id="217"/>
      <w:r/>
      <w:bookmarkEnd w:id="218"/>
      <w:r>
        <w:rPr>
          <w:rFonts w:hint="eastAsia" w:ascii="宋体" w:hAnsi="宋体" w:eastAsia="宋体" w:cs="宋体"/>
          <w:color w:val="auto"/>
          <w:sz w:val="24"/>
          <w:szCs w:val="20"/>
          <w:highlight w:val="none"/>
        </w:rPr>
        <w:t xml:space="preserve">在报</w:t>
      </w:r>
      <w:r>
        <w:rPr>
          <w:rFonts w:hint="eastAsia" w:ascii="宋体" w:hAnsi="宋体" w:eastAsia="宋体" w:cs="宋体"/>
          <w:color w:val="auto"/>
          <w:sz w:val="24"/>
          <w:szCs w:val="20"/>
          <w:highlight w:val="none"/>
        </w:rPr>
        <w:t xml:space="preserve">价时应充分考虑现场实际情况，如有需要，投标人应可自行到项目现场进行踏勘实训场地情况。考察现场后相应施工费用线材辅材等一律不予变更。请务必对项目现场和周围环境进行仔细认真地查勘，在随后的采购中，对现场资料和数据所作出的推论、解释和结论及由此造成的后果由供应商负责。投标人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投标人自行承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2.投标人踏勘现场发生的费用自理，投标人自行负责在踏勘现场中所发生的人员伤亡和财产损失。</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三、项目管理服务方案</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（一）业绩</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投标人或者主要产品（自2023年1月1日以来）承接过类似业绩</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zh-CN"/>
        </w:rPr>
        <w:t xml:space="preserve">类似项目是</w:t>
      </w:r>
      <w:r>
        <w:rPr>
          <w:rFonts w:hint="eastAsia" w:asciiTheme="minorEastAsia" w:hAnsiTheme="minorEastAsia" w:cstheme="minorEastAsia"/>
          <w:color w:val="auto"/>
          <w:sz w:val="24"/>
          <w:highlight w:val="none"/>
        </w:rPr>
        <w:t xml:space="preserve">指智慧操场、智慧游戏一体机、体测一体机等业绩</w:t>
      </w:r>
      <w:r>
        <w:rPr>
          <w:rFonts w:hint="eastAsia" w:asciiTheme="minorEastAsia" w:hAnsiTheme="minorEastAsia" w:cstheme="minorEastAsia"/>
          <w:color w:val="auto"/>
          <w:sz w:val="24"/>
          <w:highlight w:val="none"/>
          <w:lang w:val="zh-CN"/>
        </w:rPr>
        <w:t xml:space="preserve">至少一项在内</w:t>
      </w:r>
      <w:r>
        <w:rPr>
          <w:rFonts w:hint="eastAsia" w:asciiTheme="minorEastAsia" w:hAnsiTheme="minorEastAsia" w:cstheme="minorEastAsia"/>
          <w:color w:val="auto"/>
          <w:sz w:val="24"/>
          <w:highlight w:val="none"/>
        </w:rPr>
        <w:t xml:space="preserve">的成功案例）</w:t>
      </w:r>
      <w:r>
        <w:rPr>
          <w:rFonts w:hint="eastAsia" w:ascii="宋体" w:hAnsi="宋体" w:eastAsia="宋体" w:cs="宋体"/>
          <w:color w:val="auto"/>
          <w:sz w:val="24"/>
          <w:szCs w:val="20"/>
          <w:highlight w:val="none"/>
        </w:rPr>
        <w:t xml:space="preserve">的</w:t>
      </w:r>
      <w:r>
        <w:rPr>
          <w:rFonts w:hint="eastAsia" w:ascii="宋体" w:hAnsi="宋体" w:eastAsia="宋体" w:cs="宋体"/>
          <w:b/>
          <w:bCs/>
          <w:color w:val="auto"/>
          <w:sz w:val="24"/>
          <w:szCs w:val="20"/>
          <w:highlight w:val="none"/>
        </w:rPr>
        <w:t xml:space="preserve">优先</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（二）视频演示</w:t>
      </w:r>
      <w:r/>
    </w:p>
    <w:p>
      <w:pPr>
        <w:ind w:firstLine="482"/>
        <w:jc w:val="left"/>
        <w:spacing w:line="560" w:lineRule="exact"/>
        <w:widowControl/>
        <w:rPr>
          <w:rFonts w:ascii="宋体" w:hAnsi="宋体" w:cs="宋体"/>
          <w:color w:val="auto"/>
          <w:sz w:val="24"/>
          <w:szCs w:val="20"/>
          <w:highlight w:val="none"/>
        </w:rPr>
      </w:pPr>
      <w:r>
        <w:rPr>
          <w:rFonts w:hint="eastAsia" w:ascii="宋体" w:hAnsi="宋体" w:eastAsia="宋体" w:cs="宋体"/>
          <w:color w:val="auto"/>
          <w:sz w:val="24"/>
          <w:szCs w:val="20"/>
          <w:highlight w:val="none"/>
        </w:rPr>
        <w:t xml:space="preserve">1.</w:t>
      </w:r>
      <w:r>
        <w:rPr>
          <w:rFonts w:ascii="宋体" w:hAnsi="宋体" w:eastAsia="Arial" w:cs="宋体"/>
          <w:color w:val="auto"/>
          <w:sz w:val="24"/>
          <w:szCs w:val="20"/>
          <w:highlight w:val="none"/>
        </w:rPr>
        <w:t xml:space="preserve">投标人应根据采购需求和本项目实际，提供相应的演示视频，至少包含以下内</w:t>
      </w:r>
      <w:r>
        <w:rPr>
          <w:rFonts w:hint="eastAsia" w:ascii="宋体" w:hAnsi="宋体" w:eastAsia="宋体" w:cs="宋体"/>
          <w:color w:val="auto"/>
          <w:sz w:val="24"/>
          <w:szCs w:val="20"/>
          <w:highlight w:val="none"/>
        </w:rPr>
        <w:t xml:space="preserve">容</w:t>
      </w:r>
      <w:r>
        <w:rPr>
          <w:rFonts w:hint="eastAsia"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cs="宋体"/>
          <w:color w:val="auto"/>
          <w:sz w:val="24"/>
          <w:szCs w:val="20"/>
          <w:highlight w:val="none"/>
        </w:rPr>
        <w:t xml:space="preserve">）校级管理平台（含搭建市级管理平台）</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须提供校级管理平台在大屏（自备）上展示情况的演示视频，应显示：①学生个人运动数据分析、运动建议或分析报告；②按照设定评价标准对学生体育测试项目进行成绩评价，根据管理员、教师等不同角色设置数据查看、数据导出等管理权限内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2）智慧操场</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须提供智慧操场应用视频演示，视频应体现：成绩记录反馈及违规动作检测能力。①短跑和中长跑项目，学生通过终点后，终点成绩显示屏可立即显示成绩并语音播报；中长跑项目，学生每次经过检测点，终点成绩显示屏实时更新学生跑步用时和累计跑步距离；②短跑项目，支持识别和语音提示抢跑、串道等违规行为；阳光跑项目，支持自动识别人员身份，自动匹配对应的跑步距离等运动数据。（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宋体" w:hAnsi="宋体" w:eastAsia="宋体" w:cs="宋体"/>
          <w:color w:val="auto"/>
          <w:sz w:val="24"/>
          <w:szCs w:val="20"/>
          <w:highlight w:val="none"/>
        </w:rPr>
        <w:t xml:space="preserve">3）智慧游戏一体机</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宋体" w:hAnsi="宋体" w:eastAsia="宋体" w:cs="宋体"/>
          <w:color w:val="auto"/>
          <w:sz w:val="24"/>
          <w:szCs w:val="20"/>
          <w:highlight w:val="none"/>
        </w:rPr>
        <w:t xml:space="preserve">投标人须提供智慧游戏一体机应用视频演示，视频应体现：①活动创建、项目选择、学生参与、成绩记录、排行展示或结果反馈；②</w:t>
      </w:r>
      <w:r>
        <w:rPr>
          <w:rFonts w:hint="eastAsia" w:asciiTheme="minorEastAsia" w:hAnsiTheme="minorEastAsia" w:cstheme="minorEastAsia"/>
          <w:color w:val="auto"/>
          <w:sz w:val="24"/>
          <w:szCs w:val="20"/>
          <w:highlight w:val="none"/>
        </w:rPr>
        <w:t xml:space="preserve">演示设备实时记录学生运动数据，并支持数据存储、查询、统计。</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4）智慧体测一体机</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须提供所投智慧体测一体机的视频演示材料。视频应重点展示：①身高体重、肺活量、坐位体前屈3类项目测试过程；②呈现学生运动画面、系统识别界面、异常提示弹窗、实时成绩面板及最终结果反馈页面。</w:t>
      </w:r>
      <w:r/>
    </w:p>
    <w:p>
      <w:pPr>
        <w:ind w:firstLine="482"/>
        <w:jc w:val="left"/>
        <w:spacing w:line="560" w:lineRule="exact"/>
        <w:widowControl/>
        <w:rPr>
          <w:rFonts w:ascii="宋体" w:hAnsi="宋体" w:cs="宋体"/>
          <w:color w:val="auto"/>
          <w:sz w:val="24"/>
          <w:szCs w:val="20"/>
          <w:highlight w:val="none"/>
        </w:rPr>
      </w:pPr>
      <w:r>
        <w:rPr>
          <w:rFonts w:hint="eastAsia" w:ascii="宋体" w:hAnsi="宋体" w:eastAsia="宋体" w:cs="宋体"/>
          <w:color w:val="auto"/>
          <w:sz w:val="24"/>
          <w:szCs w:val="20"/>
          <w:highlight w:val="none"/>
        </w:rPr>
        <w:t xml:space="preserve">2.</w:t>
      </w:r>
      <w:r>
        <w:rPr>
          <w:rFonts w:ascii="宋体" w:hAnsi="宋体" w:eastAsia="Arial" w:cs="宋体"/>
          <w:color w:val="auto"/>
          <w:sz w:val="24"/>
          <w:szCs w:val="20"/>
          <w:highlight w:val="none"/>
        </w:rPr>
        <w:t xml:space="preserve">演示要</w:t>
      </w:r>
      <w:r>
        <w:rPr>
          <w:rFonts w:hint="eastAsia" w:ascii="宋体" w:hAnsi="宋体" w:eastAsia="宋体" w:cs="宋体"/>
          <w:color w:val="auto"/>
          <w:sz w:val="24"/>
          <w:szCs w:val="20"/>
          <w:highlight w:val="none"/>
        </w:rPr>
        <w:t xml:space="preserve">求</w:t>
      </w:r>
      <w:r>
        <w:rPr>
          <w:rFonts w:hint="eastAsia" w:ascii="宋体" w:hAnsi="宋体" w:eastAsia="Arial" w:cs="宋体"/>
          <w:color w:val="auto"/>
          <w:sz w:val="24"/>
          <w:szCs w:val="20"/>
          <w:highlight w:val="none"/>
        </w:rPr>
        <w:t xml:space="preserve">:</w:t>
      </w:r>
      <w:r>
        <w:rPr>
          <w:rFonts w:ascii="宋体" w:hAnsi="宋体" w:eastAsia="Arial" w:cs="宋体"/>
          <w:color w:val="auto"/>
          <w:sz w:val="24"/>
          <w:szCs w:val="20"/>
          <w:highlight w:val="none"/>
        </w:rPr>
        <w:t xml:space="preserve">演示方</w:t>
      </w:r>
      <w:r>
        <w:rPr>
          <w:rFonts w:hint="eastAsia" w:ascii="宋体" w:hAnsi="宋体" w:eastAsia="宋体" w:cs="宋体"/>
          <w:color w:val="auto"/>
          <w:sz w:val="24"/>
          <w:szCs w:val="20"/>
          <w:highlight w:val="none"/>
        </w:rPr>
        <w:t xml:space="preserve">式</w:t>
      </w:r>
      <w:r>
        <w:rPr>
          <w:rFonts w:hint="eastAsia" w:ascii="宋体" w:hAnsi="宋体" w:eastAsia="Arial" w:cs="宋体"/>
          <w:color w:val="auto"/>
          <w:sz w:val="24"/>
          <w:szCs w:val="20"/>
          <w:highlight w:val="none"/>
        </w:rPr>
        <w:t xml:space="preserve"> </w:t>
      </w:r>
      <w:r>
        <w:rPr>
          <w:rFonts w:ascii="宋体" w:hAnsi="宋体" w:eastAsia="Arial" w:cs="宋体"/>
          <w:color w:val="auto"/>
          <w:sz w:val="24"/>
          <w:szCs w:val="20"/>
          <w:highlight w:val="none"/>
        </w:rPr>
        <w:t xml:space="preserve">视频演</w:t>
      </w:r>
      <w:r>
        <w:rPr>
          <w:rFonts w:hint="eastAsia" w:ascii="宋体" w:hAnsi="宋体" w:eastAsia="宋体" w:cs="宋体"/>
          <w:color w:val="auto"/>
          <w:sz w:val="24"/>
          <w:szCs w:val="20"/>
          <w:highlight w:val="none"/>
        </w:rPr>
        <w:t xml:space="preserve">示</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视频所展示的全部业务功能、测试效果，必须来源于投标人所投产品的真实运行环境或者有效搭建的模拟环境；严禁使用与本项目投标产品无关素材、纯动画特效虚构产品实际业务运行效果，视频呈现功能必须是投标产品实际具备的功能。允许多段真实录制素材进行剪辑拼接、转场过渡、字幕标注、配音解说、添加背景音乐。不得通过剪辑、特效手段篡改产品实际测试结果、识别效果，伪造产品功能。</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投标人需按照招标文件规定的演示内容制作演示视频文件，</w:t>
      </w:r>
      <w:r>
        <w:rPr>
          <w:rFonts w:hint="eastAsia" w:ascii="宋体" w:hAnsi="宋体" w:cs="宋体"/>
          <w:color w:val="auto"/>
          <w:sz w:val="24"/>
          <w:highlight w:val="none"/>
        </w:rPr>
        <w:t xml:space="preserve">对智慧体育设施的参数提供相应的演示视频，演示视频中的演示形式须是目前正在运行的真实环境或模拟环境。</w:t>
      </w:r>
      <w:r>
        <w:rPr>
          <w:rFonts w:hint="eastAsia" w:asciiTheme="minorEastAsia" w:hAnsiTheme="minorEastAsia" w:cstheme="minorEastAsia"/>
          <w:color w:val="auto"/>
          <w:sz w:val="24"/>
          <w:szCs w:val="20"/>
          <w:highlight w:val="none"/>
        </w:rPr>
        <w:t xml:space="preserve">视频文件的格式为*.mp4 或*.avi，投标人须将视频文件分段压缩为*.zip 文</w:t>
      </w:r>
      <w:r>
        <w:rPr>
          <w:rFonts w:hint="eastAsia" w:ascii="宋体" w:hAnsi="宋体" w:eastAsia="宋体" w:cs="宋体"/>
          <w:color w:val="auto"/>
          <w:sz w:val="24"/>
          <w:szCs w:val="20"/>
          <w:highlight w:val="none"/>
        </w:rPr>
        <w:t xml:space="preserve">件上传(单个文件不得大于 50M，所有文件总共不得大于300M)。文件上传方式见《操作手册》规定，上</w:t>
      </w:r>
      <w:r>
        <w:rPr>
          <w:rFonts w:hint="eastAsia" w:asciiTheme="minorEastAsia" w:hAnsiTheme="minorEastAsia" w:cstheme="minorEastAsia"/>
          <w:color w:val="auto"/>
          <w:sz w:val="24"/>
          <w:szCs w:val="20"/>
          <w:highlight w:val="none"/>
        </w:rPr>
        <w:t xml:space="preserve">传的演示视频将作为投标文件的组成部分，视频时长总计不超过20分钟。</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（三）项目实施方案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投标人应根据采购需求和本项目实际，制订相应的供货实施方案应至少包含以下内容：</w:t>
      </w:r>
      <w:r/>
    </w:p>
    <w:p>
      <w:pPr>
        <w:ind w:firstLine="482"/>
        <w:jc w:val="left"/>
        <w:spacing w:line="560" w:lineRule="exact"/>
        <w:widowControl/>
        <w:rPr>
          <w:rFonts w:ascii="宋体" w:hAnsi="宋体" w:eastAsia="宋体" w:cs="宋体"/>
          <w:b/>
          <w:bCs/>
          <w:color w:val="auto"/>
          <w:sz w:val="24"/>
          <w:szCs w:val="20"/>
          <w:highlight w:val="none"/>
        </w:rPr>
      </w:pPr>
      <w:r/>
      <w:bookmarkStart w:id="219" w:name="OLE_LINK83"/>
      <w:r/>
      <w:bookmarkStart w:id="220" w:name="OLE_LINK84"/>
      <w:r>
        <w:rPr>
          <w:rFonts w:hint="eastAsia" w:ascii="宋体" w:hAnsi="宋体" w:eastAsia="宋体" w:cs="宋体"/>
          <w:b/>
          <w:bCs/>
          <w:color w:val="auto"/>
          <w:sz w:val="24"/>
          <w:szCs w:val="20"/>
          <w:highlight w:val="none"/>
        </w:rPr>
        <w:t xml:space="preserve">1、深化设计方案</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本项目不组织统一现场</w:t>
      </w:r>
      <w:bookmarkStart w:id="221" w:name="OLE_LINK49"/>
      <w:r>
        <w:rPr>
          <w:rFonts w:hint="eastAsia" w:ascii="宋体" w:hAnsi="宋体" w:eastAsia="宋体" w:cs="宋体"/>
          <w:color w:val="auto"/>
          <w:sz w:val="24"/>
          <w:szCs w:val="20"/>
          <w:highlight w:val="none"/>
        </w:rPr>
        <w:t xml:space="preserve">踏勘</w:t>
      </w:r>
      <w:bookmarkEnd w:id="221"/>
      <w:r>
        <w:rPr>
          <w:rFonts w:hint="eastAsia" w:ascii="宋体" w:hAnsi="宋体" w:eastAsia="宋体" w:cs="宋体"/>
          <w:color w:val="auto"/>
          <w:sz w:val="24"/>
          <w:szCs w:val="20"/>
          <w:highlight w:val="none"/>
        </w:rPr>
        <w:t xml:space="preserve">，各潜在投标人可自行前往项目学校现场踏勘，踏勘产生的全部费用、安全风险均由投标人自行承担。</w:t>
      </w:r>
      <w:r>
        <w:rPr>
          <w:rFonts w:hint="eastAsia" w:ascii="宋体" w:hAnsi="宋体" w:eastAsia="宋体" w:cs="宋体"/>
          <w:color w:val="auto"/>
          <w:sz w:val="24"/>
          <w:szCs w:val="20"/>
          <w:highlight w:val="none"/>
        </w:rPr>
        <w:t xml:space="preserve">深化方案至少包含以下内容: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①数据融合与平台对接能力</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方案需明确智慧体育校级平台与学校现有信息化平台（如学生基础数据管理系统、综合评价平台）的数据融合方式，包括数据接口开放、权限控制、联调服务及安全保障措施。重点考察数据衔接逻辑是否清晰，能否实现体育测试、体锻训练等数据向其他平台的高效、安全传输，以及是否满足学校综合评价应用需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②智慧操场部署合理性</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方案需结合学校操场实际尺寸、跑道路线及现有布局，详细规划50米跑、100米跑、800/1000米跑、阳光跑等测试套装的设备点位、起终点设置、发令组织、显示设备配置、线缆敷设、供电网络及数据传输方式。设备部署需确保不影响操场原有功能、规范使用和安全管理，方案应具备完整性和可实施性。</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③室内一体机空间设计</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方案需针对学校现有室内空间条件，对游戏一体机及体测一体机进行整体设计，包括设备摆放、学生运动区域、地面设计、空间动线、屏幕朝向、供电网络及安全防护等内容。需提供效果图或布置图，直观展示空间使用效果，确保满足课堂教学、课间锻炼、体测训练和学生自主运动需求。</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2、项目实施方案</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宋体" w:hAnsi="宋体" w:eastAsia="宋体" w:cs="宋体"/>
          <w:color w:val="auto"/>
          <w:sz w:val="24"/>
          <w:szCs w:val="20"/>
          <w:highlight w:val="none"/>
        </w:rPr>
        <w:t xml:space="preserve">项目实施方案至少包</w:t>
      </w:r>
      <w:r>
        <w:rPr>
          <w:rFonts w:ascii="宋体" w:hAnsi="宋体" w:eastAsia="Arial" w:cs="宋体"/>
          <w:color w:val="auto"/>
          <w:sz w:val="24"/>
          <w:szCs w:val="20"/>
          <w:highlight w:val="none"/>
        </w:rPr>
        <w:t xml:space="preserve">含以下内</w:t>
      </w:r>
      <w:r>
        <w:rPr>
          <w:rFonts w:hint="eastAsia" w:ascii="宋体" w:hAnsi="宋体" w:eastAsia="宋体" w:cs="宋体"/>
          <w:color w:val="auto"/>
          <w:sz w:val="24"/>
          <w:szCs w:val="20"/>
          <w:highlight w:val="none"/>
        </w:rPr>
        <w:t xml:space="preserve">容</w:t>
      </w:r>
      <w:r>
        <w:rPr>
          <w:rFonts w:hint="eastAsia" w:ascii="宋体" w:hAnsi="宋体" w:eastAsia="Arial" w:cs="宋体"/>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①</w:t>
      </w:r>
      <w:bookmarkEnd w:id="219"/>
      <w:r/>
      <w:bookmarkEnd w:id="220"/>
      <w:r>
        <w:rPr>
          <w:rFonts w:hint="eastAsia" w:ascii="宋体" w:hAnsi="宋体" w:eastAsia="宋体" w:cs="宋体"/>
          <w:color w:val="auto"/>
          <w:sz w:val="24"/>
          <w:szCs w:val="20"/>
          <w:highlight w:val="none"/>
        </w:rPr>
        <w:t xml:space="preserve">项目总体概述</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针对盐城市市直部分学校智慧体育设施采购项目的理解，明确供货目标为提供符合技术要求的智慧体育设施，确保合同</w:t>
      </w:r>
      <w:r>
        <w:rPr>
          <w:rFonts w:hint="eastAsia" w:ascii="宋体" w:hAnsi="宋体" w:eastAsia="宋体" w:cs="宋体"/>
          <w:color w:val="auto"/>
          <w:sz w:val="24"/>
          <w:szCs w:val="20"/>
          <w:highlight w:val="none"/>
          <w:lang w:eastAsia="zh-CN"/>
        </w:rPr>
        <w:t xml:space="preserve">签订</w:t>
      </w:r>
      <w:r>
        <w:rPr>
          <w:rFonts w:hint="eastAsia" w:ascii="宋体" w:hAnsi="宋体" w:eastAsia="宋体" w:cs="宋体"/>
          <w:color w:val="auto"/>
          <w:sz w:val="24"/>
          <w:szCs w:val="20"/>
          <w:highlight w:val="none"/>
        </w:rPr>
        <w:t xml:space="preserve">后25天内完成供货验收。</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供货范围：明确本方案覆盖的所有采购标的名称、数量、核心参数匹配情况，符合采购文件的技术要求。</w:t>
      </w:r>
      <w:r/>
    </w:p>
    <w:p>
      <w:pPr>
        <w:ind w:firstLine="482"/>
        <w:jc w:val="left"/>
        <w:spacing w:line="560" w:lineRule="exact"/>
        <w:widowControl/>
        <w:rPr>
          <w:rFonts w:ascii="宋体" w:hAnsi="宋体" w:eastAsia="宋体" w:cs="宋体"/>
          <w:color w:val="auto"/>
          <w:sz w:val="24"/>
          <w:szCs w:val="20"/>
          <w:highlight w:val="none"/>
        </w:rPr>
      </w:pPr>
      <w:r/>
      <w:bookmarkStart w:id="222" w:name="OLE_LINK85"/>
      <w:r/>
      <w:bookmarkStart w:id="223" w:name="OLE_LINK86"/>
      <w:r>
        <w:rPr>
          <w:rFonts w:hint="eastAsia" w:ascii="宋体" w:hAnsi="宋体" w:eastAsia="宋体" w:cs="宋体"/>
          <w:color w:val="auto"/>
          <w:sz w:val="24"/>
          <w:szCs w:val="20"/>
          <w:highlight w:val="none"/>
        </w:rPr>
        <w:t xml:space="preserve">②</w:t>
      </w:r>
      <w:bookmarkEnd w:id="222"/>
      <w:r/>
      <w:bookmarkEnd w:id="223"/>
      <w:r>
        <w:rPr>
          <w:rFonts w:hint="eastAsia" w:ascii="宋体" w:hAnsi="宋体" w:eastAsia="宋体" w:cs="宋体"/>
          <w:color w:val="auto"/>
          <w:sz w:val="24"/>
          <w:szCs w:val="20"/>
          <w:highlight w:val="none"/>
        </w:rPr>
        <w:t xml:space="preserve">供货组织架构与人员配置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项目团队架构：设置项目总负责人、技术负责人、生产协调岗、质量检验岗、物流运输岗、现场安装岗，明确各岗位的职责及人员资质（如相关技术人员的计量行业从业经验、设备安装调试经验证明）。</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人员职责划分：明确总负责人统筹项目全流程，技术负责人负责参数核验和技术支持，各岗位各司其职保障供货全环节顺畅。</w:t>
      </w:r>
      <w:r/>
    </w:p>
    <w:p>
      <w:pPr>
        <w:ind w:firstLine="482"/>
        <w:jc w:val="left"/>
        <w:spacing w:line="560" w:lineRule="exact"/>
        <w:widowControl/>
        <w:rPr>
          <w:rFonts w:ascii="宋体" w:hAnsi="宋体" w:eastAsia="宋体" w:cs="宋体"/>
          <w:color w:val="auto"/>
          <w:sz w:val="24"/>
          <w:szCs w:val="20"/>
          <w:highlight w:val="none"/>
        </w:rPr>
      </w:pPr>
      <w:r/>
      <w:bookmarkStart w:id="224" w:name="OLE_LINK88"/>
      <w:r/>
      <w:bookmarkStart w:id="225" w:name="OLE_LINK87"/>
      <w:r>
        <w:rPr>
          <w:rFonts w:hint="eastAsia" w:ascii="宋体" w:hAnsi="宋体" w:eastAsia="宋体" w:cs="宋体"/>
          <w:color w:val="auto"/>
          <w:sz w:val="24"/>
          <w:szCs w:val="20"/>
          <w:highlight w:val="none"/>
        </w:rPr>
        <w:t xml:space="preserve">③</w:t>
      </w:r>
      <w:bookmarkEnd w:id="224"/>
      <w:r/>
      <w:bookmarkEnd w:id="225"/>
      <w:r>
        <w:rPr>
          <w:rFonts w:hint="eastAsia" w:ascii="宋体" w:hAnsi="宋体" w:eastAsia="宋体" w:cs="宋体"/>
          <w:color w:val="auto"/>
          <w:sz w:val="24"/>
          <w:szCs w:val="20"/>
          <w:highlight w:val="none"/>
        </w:rPr>
        <w:t xml:space="preserve">包装与运输方案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装标准：严格按照招标文件要求执行，金属件使用泡泡纸包裹、板式件边角用瓦楞纸防护、塑料及五金件用瓦楞纸箱包装，满足包装层数≤3层、空隙率≤40%、环保材质等要求，每件包装箱附装箱单和质量合格凭证。</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运输安排：选择具备大型精密仪器运输经验的物流服务商，明确运输路线、运输时长，运输过程中采取防碰撞、防潮、防震措施，购买全额运输保险。</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发货通知机制：货物发运后24小时内通知采购人，告知预计到货时间、运输联系人，提醒做好收货准备，运输全程可跟踪查询。</w:t>
      </w:r>
      <w:r/>
    </w:p>
    <w:p>
      <w:pPr>
        <w:ind w:firstLine="482"/>
        <w:jc w:val="left"/>
        <w:spacing w:line="560" w:lineRule="exact"/>
        <w:widowControl/>
        <w:rPr>
          <w:rFonts w:ascii="宋体" w:hAnsi="宋体" w:eastAsia="宋体" w:cs="宋体"/>
          <w:color w:val="auto"/>
          <w:sz w:val="24"/>
          <w:szCs w:val="20"/>
          <w:highlight w:val="none"/>
        </w:rPr>
      </w:pPr>
      <w:r/>
      <w:bookmarkStart w:id="226" w:name="OLE_LINK90"/>
      <w:r/>
      <w:bookmarkStart w:id="227" w:name="OLE_LINK89"/>
      <w:r>
        <w:rPr>
          <w:rFonts w:hint="eastAsia" w:ascii="宋体" w:hAnsi="宋体" w:eastAsia="宋体" w:cs="宋体"/>
          <w:color w:val="auto"/>
          <w:sz w:val="24"/>
          <w:szCs w:val="20"/>
          <w:highlight w:val="none"/>
        </w:rPr>
        <w:t xml:space="preserve">④</w:t>
      </w:r>
      <w:bookmarkEnd w:id="226"/>
      <w:r/>
      <w:bookmarkEnd w:id="227"/>
      <w:r>
        <w:rPr>
          <w:rFonts w:hint="eastAsia" w:ascii="宋体" w:hAnsi="宋体" w:eastAsia="宋体" w:cs="宋体"/>
          <w:color w:val="auto"/>
          <w:sz w:val="24"/>
          <w:szCs w:val="20"/>
          <w:highlight w:val="none"/>
        </w:rPr>
        <w:t xml:space="preserve">到货验收方案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到货初验：货物运抵现场后，配合采购人共同开箱核验，检查设备型号、数量、外观完好性、随箱资料（说明书、合格证、检定证书等）是否齐全，如有损坏或缺货当场登记，3个工作日内完成更换补货。</w:t>
      </w:r>
      <w:r>
        <w:rPr>
          <w:rFonts w:hint="eastAsia" w:ascii="宋体" w:hAnsi="宋体" w:eastAsia="宋体" w:cs="宋体"/>
          <w:color w:val="auto"/>
          <w:sz w:val="24"/>
          <w:szCs w:val="20"/>
          <w:highlight w:val="none"/>
        </w:rPr>
        <w:tab/>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安装调试：安排专业技术人员现场完成设备安装、接线、调试，确保各项技术参数达到采购文件要求，调试完成后出具调试报告。</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最终验收：配合采购人按照技术要求逐项验收，如需第三方检测，配合完成送检工作，验收不合格的免费更换设备直至合格，承担所有检测不合格产生的费用。验收通过后双方共同签署验收合格证明。</w:t>
      </w:r>
      <w:r/>
    </w:p>
    <w:p>
      <w:pPr>
        <w:ind w:firstLine="482"/>
        <w:jc w:val="left"/>
        <w:spacing w:line="560" w:lineRule="exact"/>
        <w:widowControl/>
        <w:rPr>
          <w:rFonts w:ascii="宋体" w:hAnsi="宋体" w:eastAsia="宋体" w:cs="宋体"/>
          <w:b/>
          <w:bCs/>
          <w:color w:val="auto"/>
          <w:sz w:val="24"/>
          <w:szCs w:val="20"/>
          <w:highlight w:val="none"/>
        </w:rPr>
      </w:pPr>
      <w:r/>
      <w:bookmarkStart w:id="228" w:name="OLE_LINK93"/>
      <w:r>
        <w:rPr>
          <w:rFonts w:hint="eastAsia" w:ascii="宋体" w:hAnsi="宋体" w:eastAsia="宋体" w:cs="宋体"/>
          <w:b/>
          <w:bCs/>
          <w:color w:val="auto"/>
          <w:sz w:val="24"/>
          <w:szCs w:val="20"/>
          <w:highlight w:val="none"/>
        </w:rPr>
        <w:t xml:space="preserve">3、数据存储方案</w:t>
      </w:r>
      <w:bookmarkEnd w:id="228"/>
      <w:r/>
      <w:bookmarkStart w:id="229" w:name="OLE_LINK79"/>
      <w:r/>
      <w:bookmarkStart w:id="230" w:name="OLE_LINK78"/>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所有业务数据（含运动数据采集、体测数据、设备运行数据、用户行为数据等）必须严格存放在盐城市直教育城域网内，满足教育行业数据合规与网络安全监管要求。中标方需配合采购方完成数据迁移、网络隔离及城域网接入的联调测试。</w:t>
      </w:r>
      <w:bookmarkStart w:id="231" w:name="OLE_LINK37"/>
      <w:r/>
      <w:bookmarkStart w:id="232" w:name="OLE_LINK36"/>
      <w:r>
        <w:rPr>
          <w:rFonts w:hint="eastAsia" w:ascii="宋体" w:hAnsi="宋体" w:eastAsia="宋体" w:cs="宋体"/>
          <w:color w:val="auto"/>
          <w:sz w:val="24"/>
          <w:szCs w:val="20"/>
          <w:highlight w:val="none"/>
        </w:rPr>
        <w:t xml:space="preserve">数据存储方案至少包含以下内容：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①数据对接与共享方案</w:t>
      </w:r>
      <w:bookmarkEnd w:id="231"/>
      <w:r/>
      <w:bookmarkEnd w:id="232"/>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中标方完成与盐城市城市驾驶舱教育分舱的数据对接（操作系统  openEuler_22.03_LTS_SP4；数据库GaussDB(兼容MySQL生态) 8.0.28 ）中标方需确保数据对接的实时性（或按采购方规定的频率，每24小时一次）与数据格式的标准化，实现关键业务数据（如学生体测成绩、运动轨迹、设备状态）的实时回传与共享，并配合采购方完成数据分舱的联调与数据质量校验。</w:t>
      </w:r>
      <w:r/>
    </w:p>
    <w:p>
      <w:pPr>
        <w:ind w:firstLine="482"/>
        <w:jc w:val="left"/>
        <w:spacing w:line="560" w:lineRule="exact"/>
        <w:widowControl/>
        <w:rPr>
          <w:rFonts w:ascii="宋体" w:hAnsi="宋体" w:eastAsia="宋体" w:cs="宋体"/>
          <w:color w:val="auto"/>
          <w:sz w:val="24"/>
          <w:szCs w:val="20"/>
          <w:highlight w:val="none"/>
        </w:rPr>
      </w:pPr>
      <w:r/>
      <w:bookmarkStart w:id="233" w:name="OLE_LINK38"/>
      <w:r>
        <w:rPr>
          <w:rFonts w:hint="eastAsia" w:ascii="宋体" w:hAnsi="宋体" w:eastAsia="宋体" w:cs="宋体"/>
          <w:color w:val="auto"/>
          <w:sz w:val="24"/>
          <w:szCs w:val="20"/>
          <w:highlight w:val="none"/>
        </w:rPr>
        <w:t xml:space="preserve">②软硬件产品提供与集成</w:t>
      </w:r>
      <w:bookmarkEnd w:id="233"/>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中标方须负责提供智慧操场项目全量软硬件产品，包括但不限于：智能边缘服务终端、高清摄像头、数据采集终端、网络交换设备、网络安全防护产品（如防火墙、入侵检测、防病毒等）及配套软件平台。</w:t>
      </w:r>
      <w:bookmarkStart w:id="234" w:name="OLE_LINK41"/>
      <w:r/>
      <w:bookmarkStart w:id="235" w:name="OLE_LINK40"/>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③网络安全与等保合规</w:t>
      </w:r>
      <w:bookmarkEnd w:id="234"/>
      <w:r/>
      <w:bookmarkEnd w:id="235"/>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涉及的软硬件及网络安全产品须严格符合网络安全等级保护（等保）2.0相关要求。中标方须提供满足等保要求的网络安全产品，并负责系统的网络安全防护、漏洞修复及安全策略配置，确保系统具备抵御网络攻击和保障数据安全的能力。</w:t>
      </w:r>
      <w:r/>
    </w:p>
    <w:p>
      <w:pPr>
        <w:ind w:firstLine="482"/>
        <w:jc w:val="left"/>
        <w:spacing w:line="560" w:lineRule="exact"/>
        <w:widowControl/>
        <w:rPr>
          <w:rFonts w:ascii="宋体" w:hAnsi="宋体" w:eastAsia="宋体" w:cs="宋体"/>
          <w:color w:val="auto"/>
          <w:sz w:val="24"/>
          <w:szCs w:val="20"/>
          <w:highlight w:val="none"/>
        </w:rPr>
      </w:pPr>
      <w:r/>
      <w:bookmarkStart w:id="236" w:name="OLE_LINK92"/>
      <w:r/>
      <w:bookmarkStart w:id="237" w:name="OLE_LINK91"/>
      <w:r>
        <w:rPr>
          <w:rFonts w:hint="eastAsia" w:ascii="宋体" w:hAnsi="宋体" w:eastAsia="宋体" w:cs="宋体"/>
          <w:color w:val="auto"/>
          <w:sz w:val="24"/>
          <w:szCs w:val="20"/>
          <w:highlight w:val="none"/>
        </w:rPr>
        <w:t xml:space="preserve">④日常运维责任方案</w:t>
      </w:r>
      <w:bookmarkEnd w:id="236"/>
      <w:r/>
      <w:bookmarkEnd w:id="237"/>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中标方须提供项目</w:t>
      </w:r>
      <w:r>
        <w:rPr>
          <w:rFonts w:hint="eastAsia" w:ascii="宋体" w:hAnsi="宋体" w:eastAsia="宋体" w:cs="宋体"/>
          <w:color w:val="auto"/>
          <w:sz w:val="24"/>
          <w:szCs w:val="20"/>
          <w:highlight w:val="none"/>
        </w:rPr>
        <w:t xml:space="preserve">质保期内</w:t>
      </w:r>
      <w:r>
        <w:rPr>
          <w:rFonts w:hint="eastAsia" w:ascii="宋体" w:hAnsi="宋体" w:eastAsia="宋体" w:cs="宋体"/>
          <w:color w:val="auto"/>
          <w:sz w:val="24"/>
          <w:szCs w:val="20"/>
          <w:highlight w:val="none"/>
        </w:rPr>
        <w:t xml:space="preserve">全生命周期的日常运维服务，负责软硬件产品、网络安全产品的日常巡检、故障排查、系统升级及性能优化，确保系统稳定、高效、安全运行，保障业务连续性。</w:t>
      </w:r>
      <w:bookmarkEnd w:id="229"/>
      <w:r/>
      <w:bookmarkEnd w:id="230"/>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4、售后服务方案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投标人针对项目需求内容制定明确、详细、规范、全面、可操作性强的售后服务方案，至少包含以下内容：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①质保期服务承诺</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质保期限：明确提供免费质保（</w:t>
      </w:r>
      <w:bookmarkStart w:id="238" w:name="OLE_LINK19"/>
      <w:r/>
      <w:bookmarkStart w:id="239" w:name="OLE_LINK20"/>
      <w:r>
        <w:rPr>
          <w:rFonts w:hint="eastAsia" w:ascii="宋体" w:hAnsi="宋体" w:eastAsia="宋体" w:cs="宋体"/>
          <w:color w:val="auto"/>
          <w:sz w:val="24"/>
          <w:szCs w:val="20"/>
          <w:highlight w:val="none"/>
        </w:rPr>
        <w:t xml:space="preserve">自验收合格之日起计算</w:t>
      </w:r>
      <w:r>
        <w:rPr>
          <w:rFonts w:hint="eastAsia" w:ascii="宋体" w:hAnsi="宋体" w:eastAsia="宋体" w:cs="宋体"/>
          <w:color w:val="auto"/>
          <w:sz w:val="24"/>
          <w:highlight w:val="none"/>
        </w:rPr>
        <w:t xml:space="preserve">4年</w:t>
      </w:r>
      <w:r>
        <w:rPr>
          <w:rFonts w:hint="eastAsia" w:ascii="宋体" w:hAnsi="宋体" w:eastAsia="宋体" w:cs="宋体"/>
          <w:color w:val="auto"/>
          <w:sz w:val="24"/>
          <w:szCs w:val="20"/>
          <w:highlight w:val="none"/>
        </w:rPr>
        <w:t xml:space="preserve">）</w:t>
      </w:r>
      <w:bookmarkEnd w:id="238"/>
      <w:r/>
      <w:bookmarkEnd w:id="239"/>
      <w:r>
        <w:rPr>
          <w:rFonts w:hint="eastAsia" w:ascii="宋体" w:hAnsi="宋体" w:eastAsia="宋体" w:cs="宋体"/>
          <w:color w:val="auto"/>
          <w:sz w:val="24"/>
          <w:szCs w:val="20"/>
          <w:highlight w:val="none"/>
        </w:rPr>
        <w:t xml:space="preserve">，质保期内非人为因素导致的设备故障，免费维修、更换零配件及整机。</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响应机制：提供7×24小时技术咨询热线，接到故障报修后4小时内响应，2个工作日内安排原厂技术人员到达现场，12小时内排查处理完毕。若故障无法现场修复，提供同型号备用设备保障采购人正常使用。</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定期巡检：质保期内每季度安排技术人员上门巡检，对设备进行校准、清洁、性能检测，出具巡检报告，及时排查潜在问题。</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②培训服务方案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现场操作培训：设备验收合格后，在采购人现场对使用人员开展免费培训，内容包括设备基本原理、操作流程、常规参数设置、日常维护方法、简单故障排查等，确保操作人员能够独立使用设备开展检定工作。</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进阶培训：根据采购人需求，可提供计量检定规程解读、软件高级功能使用等专项培训，培训资料免费提供。</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③超质保期服务</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终身维修服务：质保期届满后提供终身维修服务，仅收取零配件成本费，免收人工服务费。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技术升级支持：设备配套软件有新版本时免费提供升级服务，设备相关计量规程更新时，协助完成设备参数调整、校准适配。</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续保选项：可提供优惠的延保服务方案，采购人可根据需求选择续保。</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④备品备件供应</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备品备件库：建立本项目设备常用零配件的专属备件库，明确零配件的供应价格、供货周期，确保零配件供应及时。</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易耗品供应：以优惠价格提供设备使用过程中需要的易耗品，明确配送时效。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⑤服务质量保障</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服务监督机制：设立项目专属服务联系人，采购人有任何售后问题可直接对接，对服务响应不及时、问题处理不到位的情况，可拨打我司监督电话投诉，24小时内给出处理方案。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客户回访：每月对项目运行情况进行回访，收集使用意见，持续优化售后服务质量。</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（四）节能环保标志</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投标产品属于财政部、国家发展改革委公布的“节能产品品目清单”范围内的，处于有效期内的认证证书优先，投标人提供投标产品属于财政部、生态环境部公布的“环境标志产品品目清单”范围内的，处于有效期内的认证证书</w:t>
      </w:r>
      <w:r>
        <w:rPr>
          <w:rFonts w:hint="eastAsia" w:ascii="宋体" w:hAnsi="宋体" w:eastAsia="宋体" w:cs="宋体"/>
          <w:b/>
          <w:bCs/>
          <w:color w:val="auto"/>
          <w:sz w:val="24"/>
          <w:szCs w:val="20"/>
          <w:highlight w:val="none"/>
        </w:rPr>
        <w:t xml:space="preserve">优先</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（五）质保期承诺</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投标人在满足项目需求最低免费质保期（</w:t>
      </w:r>
      <w:r>
        <w:rPr>
          <w:rFonts w:hint="eastAsia" w:ascii="宋体" w:hAnsi="宋体" w:eastAsia="宋体" w:cs="宋体"/>
          <w:color w:val="auto"/>
          <w:sz w:val="24"/>
          <w:highlight w:val="none"/>
        </w:rPr>
        <w:t xml:space="preserve">4年</w:t>
      </w:r>
      <w:r>
        <w:rPr>
          <w:rFonts w:hint="eastAsia" w:ascii="宋体" w:hAnsi="宋体" w:eastAsia="宋体" w:cs="宋体"/>
          <w:color w:val="auto"/>
          <w:sz w:val="24"/>
          <w:szCs w:val="20"/>
          <w:highlight w:val="none"/>
        </w:rPr>
        <w:t xml:space="preserve">）基础上，软件、硬件同时增加免费上门质保服务承诺的</w:t>
      </w:r>
      <w:r>
        <w:rPr>
          <w:rFonts w:hint="eastAsia" w:ascii="宋体" w:hAnsi="宋体" w:eastAsia="宋体" w:cs="宋体"/>
          <w:b/>
          <w:bCs/>
          <w:color w:val="auto"/>
          <w:sz w:val="24"/>
          <w:szCs w:val="20"/>
          <w:highlight w:val="none"/>
        </w:rPr>
        <w:t xml:space="preserve">优先</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（六）企业资质及团队能力</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bookmarkStart w:id="240" w:name="OLE_LINK56"/>
      <w:r/>
      <w:bookmarkStart w:id="241" w:name="OLE_LINK57"/>
      <w:r>
        <w:rPr>
          <w:rFonts w:hint="eastAsia" w:ascii="宋体" w:hAnsi="宋体" w:eastAsia="宋体" w:cs="宋体"/>
          <w:color w:val="auto"/>
          <w:sz w:val="24"/>
          <w:szCs w:val="20"/>
          <w:highlight w:val="none"/>
        </w:rPr>
        <w:t xml:space="preserve">投标人具备良好的质量管理体系规范日常管理与服务，积极保障员工健康和安全，以保障本项目的顺利实施，具有有效期内的</w:t>
      </w:r>
      <w:bookmarkEnd w:id="240"/>
      <w:r/>
      <w:bookmarkEnd w:id="241"/>
      <w:r>
        <w:rPr>
          <w:rFonts w:hint="eastAsia" w:ascii="宋体" w:hAnsi="宋体" w:eastAsia="宋体" w:cs="宋体"/>
          <w:color w:val="auto"/>
          <w:sz w:val="24"/>
          <w:szCs w:val="20"/>
          <w:highlight w:val="none"/>
        </w:rPr>
        <w:t xml:space="preserve">质量管理体系认证证书的</w:t>
      </w:r>
      <w:r>
        <w:rPr>
          <w:rFonts w:hint="eastAsia" w:ascii="宋体" w:hAnsi="宋体" w:eastAsia="宋体" w:cs="宋体"/>
          <w:b/>
          <w:bCs/>
          <w:color w:val="auto"/>
          <w:sz w:val="24"/>
          <w:szCs w:val="20"/>
          <w:highlight w:val="none"/>
        </w:rPr>
        <w:t xml:space="preserve">优先</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bookmarkStart w:id="242" w:name="OLE_LINK102"/>
      <w:r/>
      <w:bookmarkStart w:id="243" w:name="OLE_LINK103"/>
      <w:r>
        <w:rPr>
          <w:rFonts w:hint="eastAsia" w:ascii="宋体" w:hAnsi="宋体" w:eastAsia="宋体" w:cs="宋体"/>
          <w:color w:val="auto"/>
          <w:sz w:val="24"/>
          <w:szCs w:val="20"/>
          <w:highlight w:val="none"/>
        </w:rPr>
        <w:t xml:space="preserve">.</w:t>
      </w:r>
      <w:r>
        <w:rPr>
          <w:rFonts w:hint="eastAsia"/>
          <w:color w:val="auto"/>
          <w:highlight w:val="none"/>
        </w:rPr>
        <w:t xml:space="preserve"> </w:t>
      </w:r>
      <w:r>
        <w:rPr>
          <w:rFonts w:hint="eastAsia" w:ascii="宋体" w:hAnsi="宋体" w:eastAsia="宋体" w:cs="宋体"/>
          <w:color w:val="auto"/>
          <w:sz w:val="24"/>
          <w:szCs w:val="20"/>
          <w:highlight w:val="none"/>
        </w:rPr>
        <w:t xml:space="preserve">为了确保项目的顺利实施，投标人需具有经验丰富项目的团队，依托电子信息专</w:t>
      </w:r>
      <w:r>
        <w:rPr>
          <w:rFonts w:hint="eastAsia" w:ascii="宋体" w:hAnsi="宋体" w:eastAsia="宋体" w:cs="宋体"/>
          <w:color w:val="auto"/>
          <w:sz w:val="24"/>
          <w:szCs w:val="20"/>
          <w:highlight w:val="none"/>
        </w:rPr>
        <w:t xml:space="preserve">业技术能力开展项目全周期工作。项目经理具有以下证书的</w:t>
      </w:r>
      <w:r>
        <w:rPr>
          <w:rFonts w:hint="eastAsia" w:ascii="宋体" w:hAnsi="宋体" w:eastAsia="宋体" w:cs="宋体"/>
          <w:b/>
          <w:color w:val="auto"/>
          <w:sz w:val="24"/>
          <w:szCs w:val="20"/>
          <w:highlight w:val="none"/>
        </w:rPr>
        <w:t xml:space="preserve">优先</w:t>
      </w:r>
      <w:r>
        <w:rPr>
          <w:rFonts w:hint="eastAsia" w:ascii="宋体" w:hAnsi="宋体" w:eastAsia="宋体" w:cs="宋体"/>
          <w:color w:val="auto"/>
          <w:sz w:val="24"/>
          <w:szCs w:val="20"/>
          <w:highlight w:val="none"/>
        </w:rPr>
        <w:t xml:space="preserve">：电子信息类专业高级工程师职称证书（人社部门颁发），证书须在开标当日处于有效期内。</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工期紧、学校点位多、施工复杂，同时存在平台建设、盐城市城市驾驶舱教育分舱对接、教育城域网接入等复杂系统对接工作，对项目团队的系统集成、网络规划、数据安全等专业技术能力要求高。项目组成员具有以下证书的</w:t>
      </w:r>
      <w:r>
        <w:rPr>
          <w:rFonts w:hint="eastAsia" w:ascii="宋体" w:hAnsi="宋体" w:eastAsia="宋体" w:cs="宋体"/>
          <w:b/>
          <w:color w:val="auto"/>
          <w:sz w:val="24"/>
          <w:szCs w:val="20"/>
          <w:highlight w:val="none"/>
        </w:rPr>
        <w:t xml:space="preserve">优先</w:t>
      </w:r>
      <w:r>
        <w:rPr>
          <w:rFonts w:hint="eastAsia" w:ascii="宋体" w:hAnsi="宋体" w:eastAsia="宋体" w:cs="宋体"/>
          <w:color w:val="auto"/>
          <w:sz w:val="24"/>
          <w:szCs w:val="20"/>
          <w:highlight w:val="none"/>
        </w:rPr>
        <w:t xml:space="preserve">：网络工程师认证证书（人社部和工信部相关部门颁发）、系统集成项目管理工程师认证证书（人社部和工信部相关部门颁发），证书须在开标当日处于有效期内。</w:t>
      </w:r>
      <w:bookmarkEnd w:id="242"/>
      <w:r/>
      <w:bookmarkEnd w:id="243"/>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四、本项目不接受进口产品投标。</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五、采购标的对应的中小企业划分标准所属行业一览表</w:t>
      </w:r>
      <w:r/>
    </w:p>
    <w:tbl>
      <w:tblPr>
        <w:tblStyle w:val="712"/>
        <w:tblW w:w="776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44"/>
        <w:gridCol w:w="3636"/>
        <w:gridCol w:w="3084"/>
      </w:tblGrid>
      <w:tr>
        <w:trPr>
          <w:jc w:val="center"/>
          <w:tblCellSpacing w:w="0" w:type="dxa"/>
          <w:trHeight w:val="86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38"/>
              <w:jc w:val="center"/>
              <w:spacing w:line="0" w:lineRule="atLeas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634" w:type="dxa"/>
            <w:vAlign w:val="center"/>
            <w:textDirection w:val="lrTb"/>
            <w:noWrap w:val="false"/>
          </w:tcPr>
          <w:p>
            <w:pPr>
              <w:pStyle w:val="738"/>
              <w:jc w:val="center"/>
              <w:spacing w:line="0" w:lineRule="atLeast"/>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pStyle w:val="738"/>
              <w:jc w:val="center"/>
              <w:spacing w:line="0" w:lineRule="atLeast"/>
              <w:rPr>
                <w:rFonts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936"/>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38"/>
              <w:jc w:val="center"/>
              <w:spacing w:line="0" w:lineRule="atLeast"/>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3634" w:type="dxa"/>
            <w:vAlign w:val="center"/>
            <w:textDirection w:val="lrTb"/>
            <w:noWrap w:val="false"/>
          </w:tcPr>
          <w:p>
            <w:pPr>
              <w:pStyle w:val="738"/>
              <w:jc w:val="center"/>
              <w:spacing w:line="0" w:lineRule="atLeast"/>
              <w:rPr>
                <w:rFonts w:ascii="宋体" w:hAnsi="宋体" w:eastAsia="宋体" w:cs="宋体"/>
                <w:color w:val="auto"/>
                <w:highlight w:val="none"/>
              </w:rPr>
            </w:pPr>
            <w:r>
              <w:rPr>
                <w:rFonts w:hint="eastAsia" w:ascii="宋体" w:hAnsi="宋体" w:eastAsia="宋体" w:cs="宋体"/>
                <w:color w:val="auto"/>
                <w:highlight w:val="none"/>
              </w:rPr>
              <w:t xml:space="preserve">盐城市市直部分学校智慧体育设施采购项目</w:t>
            </w:r>
            <w:r/>
          </w:p>
        </w:tc>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pStyle w:val="738"/>
              <w:jc w:val="center"/>
              <w:spacing w:line="0" w:lineRule="atLeast"/>
              <w:rPr>
                <w:rFonts w:ascii="宋体" w:hAnsi="宋体" w:eastAsia="宋体" w:cs="宋体"/>
                <w:color w:val="auto"/>
                <w:highlight w:val="none"/>
              </w:rPr>
            </w:pPr>
            <w:r>
              <w:rPr>
                <w:rFonts w:hint="eastAsia" w:ascii="宋体" w:hAnsi="宋体" w:eastAsia="宋体" w:cs="宋体"/>
                <w:color w:val="auto"/>
                <w:highlight w:val="none"/>
              </w:rPr>
              <w:t xml:space="preserve">工业</w:t>
            </w:r>
            <w:r/>
          </w:p>
        </w:tc>
      </w:tr>
    </w:tbl>
    <w:p>
      <w:pPr>
        <w:jc w:val="center"/>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jc w:val="center"/>
        <w:spacing w:line="500" w:lineRule="exact"/>
        <w:rPr>
          <w:color w:val="auto"/>
          <w:highlight w:val="none"/>
        </w:rPr>
      </w:pPr>
      <w:r>
        <w:rPr>
          <w:rFonts w:hint="eastAsia" w:ascii="黑体" w:hAnsi="宋体" w:eastAsia="黑体" w:cs="黑体"/>
          <w:color w:val="auto"/>
          <w:sz w:val="44"/>
          <w:szCs w:val="44"/>
          <w:highlight w:val="none"/>
        </w:rPr>
        <w:br w:type="page" w:clear="all"/>
      </w: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 评标方法与评标标准</w:t>
      </w:r>
      <w:bookmarkEnd w:id="180"/>
      <w:r/>
      <w:r/>
    </w:p>
    <w:p>
      <w:pPr>
        <w:ind w:firstLine="482"/>
        <w:jc w:val="left"/>
        <w:spacing w:line="560" w:lineRule="exact"/>
        <w:widowControl/>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一、定标原则</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本项目采用</w:t>
      </w:r>
      <w:r>
        <w:rPr>
          <w:rFonts w:hint="eastAsia" w:ascii="宋体" w:hAnsi="宋体" w:eastAsia="宋体" w:cs="宋体"/>
          <w:color w:val="auto"/>
          <w:sz w:val="24"/>
          <w:highlight w:val="none"/>
          <w:u w:val="single"/>
        </w:rPr>
        <w:t xml:space="preserve"> 综合评分 </w:t>
      </w:r>
      <w:r>
        <w:rPr>
          <w:rFonts w:hint="eastAsia" w:ascii="宋体" w:hAnsi="宋体" w:eastAsia="宋体" w:cs="宋体"/>
          <w:color w:val="auto"/>
          <w:sz w:val="24"/>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政府采购政策功能落实</w:t>
      </w:r>
      <w:r/>
    </w:p>
    <w:p>
      <w:pPr>
        <w:ind w:firstLine="482"/>
        <w:jc w:val="left"/>
        <w:spacing w:line="560" w:lineRule="exact"/>
        <w:widowControl/>
        <w:rPr>
          <w:rFonts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1、小微型企业价格扣除</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（1）本项目不专门面向中小企业采购，对小型和微型企业报价给予20%价格扣除，用扣除后的价格参与评审。</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（2）供应商需按照采购文件的要求提供相应的《中小企业声明函》。</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2、残疾人福利单位价格扣除</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（1）本项目对残疾人福利性单位视同小型、微型企业，给予20%的价格扣除。</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3、监狱和戒毒企业价格扣除</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（1）本项目对监狱和戒毒企业（简称监狱企业）视同小型、微型企业，给予20%的价格扣除。</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5、采购本国产品的支持政策</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 供应商需按照招标文件的要求提供《关于符合本国产品标准的声明函》（以下简称《声明函》），如不提供将不享受本国产品价格评审优惠。</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ind w:firstLine="482"/>
        <w:jc w:val="left"/>
        <w:spacing w:line="5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二、评标方法与评标标准</w:t>
      </w:r>
      <w:r/>
    </w:p>
    <w:p>
      <w:pPr>
        <w:ind w:firstLine="482"/>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本项目评分总分值为100分。</w:t>
      </w:r>
      <w:r/>
    </w:p>
    <w:tbl>
      <w:tblPr>
        <w:tblStyle w:val="712"/>
        <w:tblW w:w="8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181"/>
        <w:gridCol w:w="834"/>
        <w:gridCol w:w="6056"/>
      </w:tblGrid>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spacing w:line="400" w:lineRule="exact"/>
              <w:rPr>
                <w:rFonts w:ascii="宋体" w:hAnsi="宋体" w:cs="宋体"/>
                <w:b/>
                <w:bCs/>
                <w:color w:val="auto"/>
                <w:sz w:val="24"/>
                <w:highlight w:val="none"/>
              </w:rPr>
            </w:pPr>
            <w:r/>
            <w:bookmarkStart w:id="244" w:name="OLE_LINK12"/>
            <w:r/>
            <w:bookmarkStart w:id="245" w:name="OLE_LINK11"/>
            <w:r/>
            <w:bookmarkStart w:id="246" w:name="OLE_LINK98"/>
            <w:r>
              <w:rPr>
                <w:rFonts w:hint="eastAsia" w:ascii="宋体" w:hAnsi="宋体" w:eastAsia="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400" w:lineRule="exact"/>
              <w:rPr>
                <w:rFonts w:ascii="宋体" w:hAnsi="宋体" w:cs="宋体"/>
                <w:b/>
                <w:bCs/>
                <w:color w:val="auto"/>
                <w:sz w:val="24"/>
                <w:highlight w:val="none"/>
              </w:rPr>
            </w:pPr>
            <w:r>
              <w:rPr>
                <w:rFonts w:hint="eastAsia" w:ascii="宋体" w:hAnsi="宋体" w:eastAsia="宋体" w:cs="宋体"/>
                <w:b/>
                <w:bCs/>
                <w:color w:val="auto"/>
                <w:sz w:val="24"/>
                <w:highlight w:val="none"/>
              </w:rPr>
              <w:t xml:space="preserve">评审项目</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400" w:lineRule="exact"/>
              <w:rPr>
                <w:rFonts w:ascii="宋体" w:hAnsi="宋体" w:cs="宋体"/>
                <w:b/>
                <w:bCs/>
                <w:color w:val="auto"/>
                <w:spacing w:val="-8"/>
                <w:sz w:val="24"/>
                <w:highlight w:val="none"/>
              </w:rPr>
            </w:pPr>
            <w:r>
              <w:rPr>
                <w:rFonts w:hint="eastAsia" w:ascii="宋体" w:hAnsi="宋体" w:eastAsia="宋体" w:cs="宋体"/>
                <w:b/>
                <w:bCs/>
                <w:color w:val="auto"/>
                <w:spacing w:val="-8"/>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jc w:val="center"/>
              <w:spacing w:line="400" w:lineRule="exact"/>
              <w:widowControl/>
              <w:rPr>
                <w:rFonts w:ascii="宋体" w:hAnsi="宋体" w:cs="宋体"/>
                <w:b/>
                <w:bCs/>
                <w:color w:val="auto"/>
                <w:sz w:val="24"/>
                <w:highlight w:val="none"/>
              </w:rPr>
            </w:pPr>
            <w:r>
              <w:rPr>
                <w:rFonts w:hint="eastAsia" w:ascii="宋体" w:hAnsi="宋体" w:eastAsia="宋体" w:cs="宋体"/>
                <w:b/>
                <w:bCs/>
                <w:color w:val="auto"/>
                <w:sz w:val="24"/>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30分</w:t>
            </w:r>
            <w:r/>
          </w:p>
        </w:tc>
        <w:tc>
          <w:tcPr>
            <w:tcBorders>
              <w:top w:val="single" w:color="000000" w:sz="4" w:space="0"/>
              <w:left w:val="single" w:color="000000" w:sz="4" w:space="0"/>
              <w:bottom w:val="single" w:color="000000" w:sz="4" w:space="0"/>
              <w:right w:val="single" w:color="000000" w:sz="4" w:space="0"/>
            </w:tcBorders>
            <w:tcW w:w="6057" w:type="dxa"/>
            <w:textDirection w:val="lrTb"/>
            <w:noWrap w:val="false"/>
          </w:tcPr>
          <w:p>
            <w:pPr>
              <w:ind w:firstLine="480"/>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3分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投标人或其投标产品制造商自2023年1月1日（含）以来（以合同签订日期为准）完成的类似项目业绩（</w:t>
            </w:r>
            <w:r>
              <w:rPr>
                <w:rFonts w:hint="eastAsia" w:asciiTheme="minorEastAsia" w:hAnsiTheme="minorEastAsia" w:cstheme="minorEastAsia"/>
                <w:color w:val="auto"/>
                <w:sz w:val="24"/>
                <w:highlight w:val="none"/>
                <w:lang w:val="zh-CN"/>
              </w:rPr>
              <w:t xml:space="preserve">类似项目是</w:t>
            </w:r>
            <w:r>
              <w:rPr>
                <w:rFonts w:hint="eastAsia" w:asciiTheme="minorEastAsia" w:hAnsiTheme="minorEastAsia" w:cstheme="minorEastAsia"/>
                <w:color w:val="auto"/>
                <w:sz w:val="24"/>
                <w:highlight w:val="none"/>
              </w:rPr>
              <w:t xml:space="preserve">指智慧操场、智慧游戏一体机、体测一体机等业绩</w:t>
            </w:r>
            <w:r>
              <w:rPr>
                <w:rFonts w:hint="eastAsia" w:asciiTheme="minorEastAsia" w:hAnsiTheme="minorEastAsia" w:cstheme="minorEastAsia"/>
                <w:color w:val="auto"/>
                <w:sz w:val="24"/>
                <w:highlight w:val="none"/>
                <w:lang w:val="zh-CN"/>
              </w:rPr>
              <w:t xml:space="preserve">至少一项在内</w:t>
            </w:r>
            <w:r>
              <w:rPr>
                <w:rFonts w:hint="eastAsia" w:asciiTheme="minorEastAsia" w:hAnsiTheme="minorEastAsia" w:cstheme="minorEastAsia"/>
                <w:color w:val="auto"/>
                <w:sz w:val="24"/>
                <w:highlight w:val="none"/>
              </w:rPr>
              <w:t xml:space="preserve">的成功案例），每提供一个业绩得1分，本项最高得3分。</w:t>
            </w:r>
            <w:r/>
          </w:p>
          <w:p>
            <w:pPr>
              <w:ind w:firstLine="482"/>
              <w:spacing w:line="500" w:lineRule="exact"/>
              <w:rPr>
                <w:rFonts w:asciiTheme="minorEastAsia" w:hAnsiTheme="minorEastAsia" w:cstheme="minorEastAsia"/>
                <w:color w:val="auto"/>
                <w:sz w:val="24"/>
                <w:highlight w:val="none"/>
              </w:rPr>
            </w:pPr>
            <w:r>
              <w:rPr>
                <w:rFonts w:hint="eastAsia" w:ascii="宋体" w:hAnsi="宋体" w:eastAsia="宋体" w:cs="宋体"/>
                <w:b/>
                <w:bCs/>
                <w:color w:val="auto"/>
                <w:sz w:val="24"/>
                <w:highlight w:val="none"/>
                <w:lang w:val="zh-CN"/>
              </w:rPr>
              <w:t xml:space="preserve">注：</w:t>
            </w:r>
            <w:r>
              <w:rPr>
                <w:rFonts w:hint="eastAsia" w:ascii="宋体" w:hAnsi="宋体" w:eastAsia="宋体" w:cs="宋体"/>
                <w:b/>
                <w:bCs/>
                <w:color w:val="auto"/>
                <w:sz w:val="24"/>
                <w:highlight w:val="none"/>
              </w:rPr>
              <w:t xml:space="preserve">投标时</w:t>
            </w:r>
            <w:r>
              <w:rPr>
                <w:rFonts w:hint="eastAsia" w:ascii="宋体" w:hAnsi="宋体" w:eastAsia="宋体" w:cs="宋体"/>
                <w:b/>
                <w:bCs/>
                <w:color w:val="auto"/>
                <w:sz w:val="24"/>
                <w:highlight w:val="none"/>
                <w:lang w:val="zh-CN"/>
              </w:rPr>
              <w:t xml:space="preserve">必须提供合同原件扫描件</w:t>
            </w:r>
            <w:r>
              <w:rPr>
                <w:rFonts w:hint="eastAsia" w:ascii="宋体" w:hAnsi="宋体" w:eastAsia="宋体" w:cs="宋体"/>
                <w:b/>
                <w:bCs/>
                <w:color w:val="auto"/>
                <w:sz w:val="24"/>
                <w:highlight w:val="none"/>
              </w:rPr>
              <w:t xml:space="preserve">和项目验收证明材料</w:t>
            </w:r>
            <w:r>
              <w:rPr>
                <w:rFonts w:hint="eastAsia" w:ascii="宋体" w:hAnsi="宋体" w:eastAsia="宋体" w:cs="宋体"/>
                <w:b/>
                <w:bCs/>
                <w:color w:val="auto"/>
                <w:sz w:val="24"/>
                <w:highlight w:val="none"/>
                <w:lang w:val="zh-CN"/>
              </w:rPr>
              <w:t xml:space="preserve">。合同应体现合同签订时间、</w:t>
            </w:r>
            <w:r>
              <w:rPr>
                <w:rFonts w:hint="eastAsia" w:ascii="宋体" w:hAnsi="宋体" w:eastAsia="宋体" w:cs="宋体"/>
                <w:b/>
                <w:bCs/>
                <w:color w:val="auto"/>
                <w:sz w:val="24"/>
                <w:highlight w:val="none"/>
              </w:rPr>
              <w:t xml:space="preserve">合同主体名称、供货内容、合同主体双方盖章页</w:t>
            </w:r>
            <w:r>
              <w:rPr>
                <w:rFonts w:hint="eastAsia" w:ascii="宋体" w:hAnsi="宋体" w:eastAsia="宋体" w:cs="宋体"/>
                <w:b/>
                <w:bCs/>
                <w:color w:val="auto"/>
                <w:sz w:val="24"/>
                <w:highlight w:val="none"/>
                <w:lang w:val="zh-CN"/>
              </w:rPr>
              <w:t xml:space="preserve">，否则该项不得分。</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产品技术参数</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投标文件采购需求中标</w:t>
            </w:r>
            <w:bookmarkStart w:id="247" w:name="OLE_LINK3"/>
            <w:r/>
            <w:bookmarkStart w:id="248" w:name="OLE_LINK14"/>
            <w:r>
              <w:rPr>
                <w:rFonts w:hint="eastAsia" w:asciiTheme="minorEastAsia" w:hAnsiTheme="minorEastAsia" w:cstheme="minorEastAsia"/>
                <w:color w:val="auto"/>
                <w:sz w:val="24"/>
                <w:highlight w:val="none"/>
              </w:rPr>
              <w:t xml:space="preserve">△</w:t>
            </w:r>
            <w:bookmarkEnd w:id="247"/>
            <w:r/>
            <w:bookmarkEnd w:id="248"/>
            <w:r>
              <w:rPr>
                <w:rFonts w:hint="eastAsia" w:asciiTheme="minorEastAsia" w:hAnsiTheme="minorEastAsia" w:cstheme="minorEastAsia"/>
                <w:color w:val="auto"/>
                <w:sz w:val="24"/>
                <w:highlight w:val="none"/>
              </w:rPr>
              <w:t xml:space="preserve">项为重要技术指标（共10项），有一项满足的得2分，全部满足的得20分。</w:t>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注：根据《技术要求响应及偏离表》进行评审。</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视频演示</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12分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240"/>
              <w:jc w:val="left"/>
              <w:spacing w:line="560" w:lineRule="exact"/>
              <w:widowControl/>
              <w:rPr>
                <w:rFonts w:ascii="宋体" w:hAnsi="宋体" w:cs="宋体"/>
                <w:color w:val="auto"/>
                <w:sz w:val="24"/>
                <w:highlight w:val="none"/>
              </w:rPr>
            </w:pPr>
            <w:r>
              <w:rPr>
                <w:rFonts w:hint="eastAsia" w:asciiTheme="minorEastAsia" w:hAnsiTheme="minorEastAsia" w:cstheme="minorEastAsia"/>
                <w:color w:val="auto"/>
                <w:sz w:val="24"/>
                <w:szCs w:val="20"/>
                <w:highlight w:val="none"/>
              </w:rPr>
              <w:t xml:space="preserve">投标人提供设备的视频演示情况综合评分，每满足一小项，得1.5分，最多得12分。</w:t>
            </w:r>
            <w:r>
              <w:rPr>
                <w:rFonts w:hint="eastAsia" w:asciiTheme="minorEastAsia" w:hAnsiTheme="minorEastAsia" w:cstheme="minorEastAsia"/>
                <w:color w:val="auto"/>
                <w:sz w:val="24"/>
                <w:szCs w:val="20"/>
                <w:highlight w:val="none"/>
              </w:rPr>
              <w:t xml:space="preserve">视频上传损坏、无法解压导致播放失败</w:t>
            </w:r>
            <w:r>
              <w:rPr>
                <w:rFonts w:hint="eastAsia" w:ascii="宋体" w:hAnsi="宋体" w:cs="宋体"/>
                <w:color w:val="auto"/>
                <w:sz w:val="24"/>
                <w:highlight w:val="none"/>
              </w:rPr>
              <w:t xml:space="preserve">、</w:t>
            </w:r>
            <w:r>
              <w:rPr>
                <w:rFonts w:hint="eastAsia" w:asciiTheme="minorEastAsia" w:hAnsiTheme="minorEastAsia" w:cstheme="minorEastAsia"/>
                <w:color w:val="auto"/>
                <w:sz w:val="24"/>
                <w:szCs w:val="20"/>
                <w:highlight w:val="none"/>
              </w:rPr>
              <w:t xml:space="preserve">不演示或演示不完整，不得分。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1.校级管理平台（含搭建市级管理平台）（3分）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投标人须提供校级平台在大屏（自备）上展示情况的演示视频，应显示：</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①学生个人运动数据分析、运动建议或分析报告；（1.5分）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②按照设定评价标准对学生体育测试项目进行成绩评价，根据管理员、教师等不同角色设置数据查看、数据导出等管理权限内容。（1.5分）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w:t>
            </w:r>
            <w:bookmarkStart w:id="249" w:name="OLE_LINK48"/>
            <w:r/>
            <w:bookmarkStart w:id="250" w:name="OLE_LINK47"/>
            <w:r>
              <w:rPr>
                <w:rFonts w:hint="eastAsia" w:asciiTheme="minorEastAsia" w:hAnsiTheme="minorEastAsia" w:cstheme="minorEastAsia"/>
                <w:color w:val="auto"/>
                <w:sz w:val="24"/>
                <w:szCs w:val="20"/>
                <w:highlight w:val="none"/>
              </w:rPr>
              <w:t xml:space="preserve"> </w:t>
            </w:r>
            <w:bookmarkEnd w:id="249"/>
            <w:r/>
            <w:bookmarkEnd w:id="250"/>
            <w:r>
              <w:rPr>
                <w:rFonts w:hint="eastAsia" w:asciiTheme="minorEastAsia" w:hAnsiTheme="minorEastAsia" w:cstheme="minorEastAsia"/>
                <w:color w:val="auto"/>
                <w:sz w:val="24"/>
                <w:szCs w:val="20"/>
                <w:highlight w:val="none"/>
              </w:rPr>
              <w:t xml:space="preserve">智慧操场（3分）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 投标人须提供智慧操场应用视频演示，视频应体现：成绩记录反馈及违规动作检测能力。</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①短跑和中长跑项目，学生通过终点后，终点成绩显示屏可立即显示成绩并语音播报；中长跑项目，学生每次经过检测点，终点成绩显示屏实时更新学生跑步用时和累计跑步距离；（1.5分）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②短跑项目，支持识别和语音提示抢跑、串道等违规行为；阳光跑项目，支持自动识别人员身份，自动匹配对应的跑步距离等运动数据。（1.5分）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3.智慧游戏一体机（3分）</w:t>
            </w:r>
            <w:r/>
          </w:p>
          <w:p>
            <w:pPr>
              <w:ind w:firstLine="482"/>
              <w:jc w:val="left"/>
              <w:spacing w:line="560" w:lineRule="exact"/>
              <w:widowControl/>
              <w:rPr>
                <w:rFonts w:asciiTheme="minorEastAsia" w:hAnsiTheme="minorEastAsia" w:cstheme="minorEastAsia"/>
                <w:color w:val="auto"/>
                <w:sz w:val="24"/>
                <w:szCs w:val="20"/>
                <w:highlight w:val="none"/>
              </w:rPr>
            </w:pPr>
            <w:r/>
            <w:bookmarkStart w:id="251" w:name="OLE_LINK26"/>
            <w:r/>
            <w:bookmarkStart w:id="252" w:name="OLE_LINK27"/>
            <w:r>
              <w:rPr>
                <w:rFonts w:hint="eastAsia" w:asciiTheme="minorEastAsia" w:hAnsiTheme="minorEastAsia" w:cstheme="minorEastAsia"/>
                <w:color w:val="auto"/>
                <w:sz w:val="24"/>
                <w:szCs w:val="20"/>
                <w:highlight w:val="none"/>
              </w:rPr>
              <w:t xml:space="preserve">投标人须提供智慧游戏一体机应用视频演示，视频应体现：</w:t>
            </w:r>
            <w:bookmarkEnd w:id="251"/>
            <w:r/>
            <w:bookmarkEnd w:id="252"/>
            <w:r>
              <w:rPr>
                <w:rFonts w:hint="eastAsia" w:asciiTheme="minorEastAsia" w:hAnsiTheme="minorEastAsia" w:cstheme="minorEastAsia"/>
                <w:color w:val="auto"/>
                <w:sz w:val="24"/>
                <w:szCs w:val="20"/>
                <w:highlight w:val="none"/>
              </w:rPr>
              <w:t xml:space="preserve">①活动创建、项目选择、学生参与、成绩记录、排行展示或结果反馈；（1.5分）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②</w:t>
            </w:r>
            <w:bookmarkStart w:id="253" w:name="OLE_LINK96"/>
            <w:r>
              <w:rPr>
                <w:rFonts w:hint="eastAsia" w:asciiTheme="minorEastAsia" w:hAnsiTheme="minorEastAsia" w:cstheme="minorEastAsia"/>
                <w:color w:val="auto"/>
                <w:sz w:val="24"/>
                <w:szCs w:val="20"/>
                <w:highlight w:val="none"/>
              </w:rPr>
              <w:t xml:space="preserve">演示设备实时记录学生运动数据，并支持数据存储、查询、统计。</w:t>
            </w:r>
            <w:bookmarkEnd w:id="253"/>
            <w:r>
              <w:rPr>
                <w:rFonts w:hint="eastAsia" w:asciiTheme="minorEastAsia" w:hAnsiTheme="minorEastAsia" w:cstheme="minorEastAsia"/>
                <w:color w:val="auto"/>
                <w:sz w:val="24"/>
                <w:szCs w:val="20"/>
                <w:highlight w:val="none"/>
              </w:rPr>
              <w:t xml:space="preserve">（1.5分）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4.智慧体测一体机（3分）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投标人须提供所投智慧体测一体机的视频演示材料。视频应重点展示：①身高体重、肺活量、坐位体前屈3类项目测试过程；（1.5分）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②呈现学生运动画面、系统识别界面、异常提示弹窗、实时成绩面板及最终结果反馈页面。（1.5分）</w:t>
            </w:r>
            <w:r/>
          </w:p>
          <w:p>
            <w:pPr>
              <w:ind w:firstLine="482"/>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投标人需按照招标文件规定的演示内容制作演示视频文件，对智慧体育设施的参数提供相应的演示视频，演示视频中的演示形式须是目前正在运行的真实环境或模拟环境。视频文件的格式为*.mp4 或*.avi，投标人须将视频文件分段压缩为*.zip 文件上传(单个文件不得大于 50M，所有文件总共不得大于300M)。文件上传方式见《操作手册》规定，上传的演示视频将作为投标文件的组成部分，视频时长总计不超过20分钟。</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cs="宋体"/>
                <w:strike/>
                <w:color w:val="auto"/>
                <w:sz w:val="24"/>
                <w:highlight w:val="none"/>
              </w:rPr>
            </w:pPr>
            <w:r>
              <w:rPr>
                <w:rFonts w:hint="eastAsia" w:ascii="宋体" w:hAnsi="宋体" w:cs="宋体"/>
                <w:color w:val="auto"/>
                <w:sz w:val="24"/>
                <w:highlight w:val="none"/>
              </w:rPr>
              <w:t xml:space="preserve">深化方案</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eastAsia="宋体" w:cs="宋体"/>
                <w:strike/>
                <w:color w:val="auto"/>
                <w:sz w:val="24"/>
                <w:highlight w:val="none"/>
              </w:rPr>
            </w:pPr>
            <w:r>
              <w:rPr>
                <w:rFonts w:hint="eastAsia" w:ascii="宋体" w:hAnsi="宋体" w:eastAsia="宋体" w:cs="宋体"/>
                <w:color w:val="auto"/>
                <w:sz w:val="24"/>
                <w:highlight w:val="none"/>
              </w:rPr>
              <w:t xml:space="preserve">6分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供应商根据本项目第四章“深化设计方案”，方案内容至少包含：①数据融合与平台对接能力方案；②智慧操场部署合理性方案；③室内一体机空间设计等深化方案。</w:t>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内容完整得6分，每有一项内容缺失的扣2分；每有一处存在缺陷（缺陷是指不适用于本项目，表述前后不一致或内容矛盾，语句有歧义，仅有框架或标题，涉及的规范及标准错误，套用其他项目内容等任意一种情形）的扣0.5分，直至扣完6分为止，不提供不得分。具体由评审委员会评审。</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cs="宋体"/>
                <w:color w:val="auto"/>
                <w:sz w:val="24"/>
                <w:highlight w:val="none"/>
              </w:rPr>
            </w:pPr>
            <w:r/>
            <w:bookmarkStart w:id="254" w:name="OLE_LINK31"/>
            <w:r>
              <w:rPr>
                <w:rFonts w:hint="eastAsia" w:ascii="宋体" w:hAnsi="宋体" w:eastAsia="宋体" w:cs="宋体"/>
                <w:color w:val="auto"/>
                <w:sz w:val="24"/>
                <w:highlight w:val="none"/>
              </w:rPr>
              <w:t xml:space="preserve">项目实施方案</w:t>
            </w:r>
            <w:bookmarkEnd w:id="254"/>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8分</w:t>
            </w:r>
            <w:r/>
          </w:p>
        </w:tc>
        <w:tc>
          <w:tcPr>
            <w:tcBorders>
              <w:top w:val="single" w:color="000000" w:sz="4" w:space="0"/>
              <w:left w:val="single" w:color="000000" w:sz="4" w:space="0"/>
              <w:bottom w:val="single" w:color="000000" w:sz="4" w:space="0"/>
              <w:right w:val="single" w:color="000000" w:sz="4" w:space="0"/>
            </w:tcBorders>
            <w:tcW w:w="6057" w:type="dxa"/>
            <w:textDirection w:val="lrTb"/>
            <w:noWrap w:val="false"/>
          </w:tcPr>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供应商根据本项目第四章“项目实施方案”，方案内容至少包含：①项目总体概述；②供货组织架构与人员配置；③包装与运输方案；④到货验收方案。</w:t>
            </w:r>
            <w:r/>
          </w:p>
          <w:p>
            <w:pPr>
              <w:ind w:firstLine="480"/>
              <w:jc w:val="left"/>
              <w:spacing w:line="500" w:lineRule="exact"/>
              <w:rPr>
                <w:rFonts w:asciiTheme="minorEastAsia" w:hAnsiTheme="minorEastAsia" w:cstheme="minorEastAsia"/>
                <w:color w:val="auto"/>
                <w:sz w:val="24"/>
                <w:highlight w:val="none"/>
              </w:rPr>
            </w:pPr>
            <w:r/>
            <w:bookmarkStart w:id="255" w:name="OLE_LINK67"/>
            <w:r/>
            <w:bookmarkStart w:id="256" w:name="OLE_LINK95"/>
            <w:r>
              <w:rPr>
                <w:rFonts w:hint="eastAsia" w:asciiTheme="minorEastAsia" w:hAnsiTheme="minorEastAsia" w:cstheme="minorEastAsia"/>
                <w:color w:val="auto"/>
                <w:sz w:val="24"/>
                <w:highlight w:val="none"/>
              </w:rPr>
              <w:t xml:space="preserve">内容完整得8分，每有一项内容缺失的扣2分；每有一处存在缺陷（缺陷是指不适用于本项目，表述前后不一致或内容矛盾，语句有歧义，仅有框架或标题，涉及的规范及标准错误，套用其他项目内容等任意一种情形）的扣0.5分，直至扣完8分为止，不提供不得分。具体由评审委员会评审。</w:t>
            </w:r>
            <w:bookmarkEnd w:id="255"/>
            <w:r/>
            <w:bookmarkEnd w:id="256"/>
            <w:r/>
            <w:r/>
          </w:p>
        </w:tc>
      </w:tr>
      <w:tr>
        <w:trPr>
          <w:jc w:val="center"/>
          <w:trHeight w:val="155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数据存储方案</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8分</w:t>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057" w:type="dxa"/>
            <w:textDirection w:val="lrTb"/>
            <w:noWrap w:val="false"/>
          </w:tcPr>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供应商根据本项目第四章“数据存储方案”，方案内容至少包含：①数据对接与共享方案；②软硬件产品提供与集成方案；③网络安全与等保合规方案；④日常运维方案等内容。</w:t>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内容完整得8分，每有一项内容缺失的扣2分；每有一处存在缺陷（缺陷是指不适用于本项目，表述前后不一致或内容矛盾，语句有歧义，仅有框架或标题，涉及的规范及标准错误，套用其他项目内容等任意一种情形）的扣0.5分，直至扣完8分为止，不提供不得分。具体由评审委员会评审。</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供应商根据本项目第四章“售后服务方案”，方案内容至少包含：①质保期服务承诺；②培训服务方案；③超质保期服务；④备品备件供应；⑤服务质量保障。</w:t>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内容完整得5分，每有一项内容缺失的扣1分；每有一处存在缺陷（缺陷是指不适用于本项目，表述前后不一致或内容矛盾，语句有歧义，仅有框架或标题，涉及的规范及标准错误，套用其他项目内容等任意一种情形）的扣0.5分，直至扣完5分为止，不提供不得分。具体由评审委员会评审。</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节能环保</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4"/>
                <w:highlight w:val="none"/>
              </w:rPr>
              <w:t xml:space="preserve">2分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投标产品属于财政部、国家发展改革委公布的“节能产</w:t>
            </w:r>
            <w:bookmarkStart w:id="268" w:name="_GoBack"/>
            <w:r/>
            <w:bookmarkEnd w:id="268"/>
            <w:r>
              <w:rPr>
                <w:rFonts w:hint="eastAsia" w:asciiTheme="minorEastAsia" w:hAnsiTheme="minorEastAsia" w:cstheme="minorEastAsia"/>
                <w:color w:val="auto"/>
                <w:sz w:val="24"/>
                <w:highlight w:val="none"/>
              </w:rPr>
              <w:t xml:space="preserve">品品目清单”范围内的，投标人提供国家确定的认证机构出具的、处于有效期之内的该节能产品认证证书的，有1个得0.5分，最多得1分。如投标产品均属于政府强制采购节能产品品目清单范围内，本项不得分。（提供证书扫描件，并加盖投标单位公章。）</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产品属于财政部、生态环境部公布的“环境标志产品品目清单”范围内的，投标人提供国家确定的认证机构出具的、处于有效期内的该环保产品认证证书的，有1个得0.5分，最多得1分。（提供证书扫描件，并加盖投标单位公章。）</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宋体" w:hAnsi="宋体" w:cs="宋体"/>
                <w:color w:val="auto"/>
                <w:sz w:val="24"/>
                <w:highlight w:val="none"/>
              </w:rPr>
            </w:pPr>
            <w:r/>
            <w:bookmarkStart w:id="257" w:name="OLE_LINK97"/>
            <w:r>
              <w:rPr>
                <w:rFonts w:hint="eastAsia" w:ascii="宋体" w:hAnsi="宋体" w:cs="宋体"/>
                <w:color w:val="auto"/>
                <w:sz w:val="24"/>
                <w:highlight w:val="none"/>
              </w:rPr>
              <w:t xml:space="preserve">质保期</w:t>
            </w:r>
            <w:r/>
          </w:p>
          <w:p>
            <w:pPr>
              <w:jc w:val="center"/>
              <w:rPr>
                <w:rFonts w:ascii="宋体" w:hAnsi="宋体" w:cs="宋体"/>
                <w:color w:val="auto"/>
                <w:sz w:val="24"/>
                <w:highlight w:val="none"/>
              </w:rPr>
            </w:pPr>
            <w:r>
              <w:rPr>
                <w:rFonts w:hint="eastAsia" w:ascii="宋体" w:hAnsi="宋体" w:cs="宋体"/>
                <w:color w:val="auto"/>
                <w:sz w:val="24"/>
                <w:highlight w:val="none"/>
              </w:rPr>
              <w:t xml:space="preserve">承诺</w:t>
            </w:r>
            <w:bookmarkEnd w:id="257"/>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jc w:val="left"/>
              <w:spacing w:line="500" w:lineRule="exact"/>
              <w:rPr>
                <w:rFonts w:asciiTheme="minorEastAsia" w:hAnsiTheme="minorEastAsia" w:cstheme="minorEastAsia"/>
                <w:color w:val="auto"/>
                <w:sz w:val="24"/>
                <w:highlight w:val="none"/>
              </w:rPr>
            </w:pPr>
            <w:r/>
            <w:bookmarkStart w:id="258" w:name="OLE_LINK114"/>
            <w:r/>
            <w:bookmarkStart w:id="259" w:name="OLE_LINK81"/>
            <w:r/>
            <w:bookmarkStart w:id="260" w:name="OLE_LINK80"/>
            <w:r>
              <w:rPr>
                <w:rFonts w:hint="eastAsia" w:asciiTheme="minorEastAsia" w:hAnsiTheme="minorEastAsia" w:cstheme="minorEastAsia"/>
                <w:color w:val="auto"/>
                <w:sz w:val="24"/>
                <w:highlight w:val="none"/>
              </w:rPr>
              <w:t xml:space="preserve">免费质保期</w:t>
            </w:r>
            <w:bookmarkEnd w:id="258"/>
            <w:r>
              <w:rPr>
                <w:rFonts w:hint="eastAsia" w:asciiTheme="minorEastAsia" w:hAnsiTheme="minorEastAsia" w:cstheme="minorEastAsia"/>
                <w:color w:val="auto"/>
                <w:sz w:val="24"/>
                <w:highlight w:val="none"/>
              </w:rPr>
              <w:t xml:space="preserve">（</w:t>
            </w:r>
            <w:r>
              <w:rPr>
                <w:rFonts w:hint="eastAsia" w:ascii="宋体" w:hAnsi="宋体" w:eastAsia="宋体" w:cs="宋体"/>
                <w:color w:val="auto"/>
                <w:sz w:val="24"/>
                <w:highlight w:val="none"/>
              </w:rPr>
              <w:t xml:space="preserve">4年</w:t>
            </w:r>
            <w:r>
              <w:rPr>
                <w:rFonts w:hint="eastAsia" w:asciiTheme="minorEastAsia" w:hAnsiTheme="minorEastAsia" w:cstheme="minorEastAsia"/>
                <w:color w:val="auto"/>
                <w:sz w:val="24"/>
                <w:highlight w:val="none"/>
              </w:rPr>
              <w:t xml:space="preserve">）基础上，</w:t>
            </w:r>
            <w:r>
              <w:rPr>
                <w:rFonts w:hint="eastAsia" w:asciiTheme="minorEastAsia" w:hAnsiTheme="minorEastAsia" w:cstheme="minorEastAsia"/>
                <w:color w:val="auto"/>
                <w:sz w:val="24"/>
                <w:highlight w:val="none"/>
              </w:rPr>
              <w:t xml:space="preserve">每增加一年免费上门质保服务承诺得1分，最高得2分。</w:t>
            </w:r>
            <w:r>
              <w:rPr>
                <w:rFonts w:hint="eastAsia" w:asciiTheme="minorEastAsia" w:hAnsiTheme="minorEastAsia" w:cstheme="minorEastAsia"/>
                <w:color w:val="auto"/>
                <w:sz w:val="24"/>
                <w:highlight w:val="none"/>
              </w:rPr>
              <w:t xml:space="preserve">（免费质保期是指覆盖本项目所投设备硬件、软件系统、平台授权、特征库授权及相关配套服务的免费质保期限。质保期内，上门调试、故障维修、核心部件更换、软件升级、授权维护等费用均由投标人承担，采购人及学校不再另行支付费用。）</w:t>
            </w:r>
            <w:bookmarkEnd w:id="259"/>
            <w:r/>
            <w:bookmarkEnd w:id="260"/>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注：</w:t>
            </w:r>
            <w:r>
              <w:rPr>
                <w:rFonts w:hint="eastAsia" w:asciiTheme="minorEastAsia" w:hAnsiTheme="minorEastAsia" w:cstheme="minorEastAsia"/>
                <w:b/>
                <w:color w:val="auto"/>
                <w:sz w:val="24"/>
                <w:highlight w:val="none"/>
              </w:rPr>
              <w:t xml:space="preserve">提供质保服务承诺书</w:t>
            </w:r>
            <w:r>
              <w:rPr>
                <w:rFonts w:hint="eastAsia" w:asciiTheme="minorEastAsia" w:hAnsiTheme="minorEastAsia" w:cstheme="minorEastAsia"/>
                <w:color w:val="auto"/>
                <w:sz w:val="24"/>
                <w:highlight w:val="none"/>
              </w:rPr>
              <w:t xml:space="preserve">，承诺书格式自拟，未提供或未按要求提供的不得分。</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企业资质</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480"/>
              <w:jc w:val="left"/>
              <w:spacing w:line="500" w:lineRule="exact"/>
              <w:rPr>
                <w:rFonts w:asciiTheme="minorEastAsia" w:hAnsiTheme="minorEastAsia" w:cstheme="minorEastAsia"/>
                <w:color w:val="auto"/>
                <w:sz w:val="24"/>
                <w:highlight w:val="none"/>
              </w:rPr>
            </w:pPr>
            <w:r/>
            <w:bookmarkStart w:id="261" w:name="OLE_LINK43"/>
            <w:r/>
            <w:bookmarkStart w:id="262" w:name="OLE_LINK42"/>
            <w:r>
              <w:rPr>
                <w:rFonts w:hint="eastAsia" w:asciiTheme="minorEastAsia" w:hAnsiTheme="minorEastAsia" w:cstheme="minorEastAsia"/>
                <w:color w:val="auto"/>
                <w:sz w:val="24"/>
                <w:highlight w:val="none"/>
              </w:rPr>
              <w:t xml:space="preserve">投标人具备</w:t>
            </w:r>
            <w:r>
              <w:rPr>
                <w:rFonts w:hint="eastAsia" w:asciiTheme="minorEastAsia" w:hAnsiTheme="minorEastAsia" w:cstheme="minorEastAsia"/>
                <w:color w:val="auto"/>
                <w:sz w:val="24"/>
                <w:highlight w:val="none"/>
              </w:rPr>
              <w:t xml:space="preserve">质量管理体系认证证书</w:t>
            </w:r>
            <w:r>
              <w:rPr>
                <w:rFonts w:hint="eastAsia" w:asciiTheme="minorEastAsia" w:hAnsiTheme="minorEastAsia" w:cstheme="minorEastAsia"/>
                <w:color w:val="auto"/>
                <w:sz w:val="24"/>
                <w:highlight w:val="none"/>
              </w:rPr>
              <w:t xml:space="preserve">有1项得1分，满分1分。</w:t>
            </w:r>
            <w:bookmarkEnd w:id="261"/>
            <w:r/>
            <w:bookmarkEnd w:id="262"/>
            <w:r/>
            <w:r/>
          </w:p>
          <w:p>
            <w:pPr>
              <w:ind w:firstLine="480"/>
              <w:jc w:val="left"/>
              <w:spacing w:line="500" w:lineRule="exact"/>
              <w:rPr>
                <w:rFonts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项目成员资质与</w:t>
            </w:r>
            <w:r/>
          </w:p>
          <w:p>
            <w:pPr>
              <w:jc w:val="cente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能力</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3分</w:t>
            </w:r>
            <w:r/>
          </w:p>
        </w:tc>
        <w:tc>
          <w:tcPr>
            <w:tcBorders>
              <w:top w:val="single" w:color="000000" w:sz="4" w:space="0"/>
              <w:left w:val="single" w:color="000000" w:sz="4" w:space="0"/>
              <w:bottom w:val="single" w:color="000000" w:sz="4" w:space="0"/>
              <w:right w:val="single" w:color="000000" w:sz="4" w:space="0"/>
            </w:tcBorders>
            <w:tcW w:w="6057" w:type="dxa"/>
            <w:vAlign w:val="center"/>
            <w:textDirection w:val="lrTb"/>
            <w:noWrap w:val="false"/>
          </w:tcPr>
          <w:p>
            <w:pPr>
              <w:ind w:firstLine="360"/>
              <w:jc w:val="left"/>
              <w:spacing w:line="500" w:lineRule="exact"/>
              <w:rPr>
                <w:rFonts w:asciiTheme="minorEastAsia" w:hAnsiTheme="minorEastAsia" w:cstheme="minorEastAsia"/>
                <w:color w:val="auto"/>
                <w:sz w:val="24"/>
                <w:highlight w:val="none"/>
              </w:rPr>
            </w:pPr>
            <w:r/>
            <w:bookmarkStart w:id="263" w:name="OLE_LINK60"/>
            <w:r/>
            <w:bookmarkStart w:id="264" w:name="OLE_LINK33"/>
            <w:r>
              <w:rPr>
                <w:rFonts w:hint="eastAsia" w:asciiTheme="minorEastAsia" w:hAnsiTheme="minorEastAsia" w:cstheme="minorEastAsia"/>
                <w:color w:val="auto"/>
                <w:sz w:val="24"/>
                <w:highlight w:val="none"/>
              </w:rPr>
              <w:t xml:space="preserve">（1）项目团队经理（1人）具有人社部门颁发的电子信息类专业高级工程师职称证书，满足得1分，其他得0分。</w:t>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（2）项目团队人员要求：</w:t>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①至少有1名具有“人力资源和社会保障部”和“工业和信息化部”联合颁发的系统集成项目管理工程师认证证书，满足得1分，其他得0分。</w:t>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②至少有1名具有“人力资源和社会保障部”和“工业和信息化部”联合颁发的网络工程师认证证书，满足得1分，其他得0分。</w:t>
            </w:r>
            <w:bookmarkEnd w:id="263"/>
            <w:r/>
            <w:bookmarkEnd w:id="264"/>
            <w:r/>
            <w:r/>
          </w:p>
          <w:p>
            <w:pPr>
              <w:ind w:firstLine="480"/>
              <w:jc w:val="left"/>
              <w:spacing w:line="50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注：投标人需提供加盖公章的有效期内证书扫描件，以及该人员在投标截日期前3个月内任意一个月通过供应商缴纳的社保证明。同一人员有多项证书不允许重复使用、不重复得分。</w:t>
            </w:r>
            <w:bookmarkEnd w:id="244"/>
            <w:r/>
            <w:bookmarkEnd w:id="245"/>
            <w:r/>
            <w:bookmarkEnd w:id="246"/>
            <w:r/>
            <w:r/>
          </w:p>
        </w:tc>
      </w:tr>
    </w:tbl>
    <w:p>
      <w:pPr>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widowControl/>
        <w:rPr>
          <w:rFonts w:ascii="黑体" w:hAnsi="黑体" w:eastAsia="黑体" w:cs="黑体"/>
          <w:color w:val="auto"/>
          <w:sz w:val="44"/>
          <w:szCs w:val="44"/>
          <w:highlight w:val="none"/>
        </w:rPr>
        <w:outlineLvl w:val="0"/>
      </w:pPr>
      <w:r/>
      <w:bookmarkStart w:id="265" w:name="_Toc4818"/>
      <w:r/>
      <w:r/>
    </w:p>
    <w:p>
      <w:pPr>
        <w:jc w:val="center"/>
        <w:widowControl/>
        <w:rPr>
          <w:rFonts w:ascii="微软雅黑" w:eastAsia="微软雅黑" w:cs="宋体" w:hAnsiTheme="minorEastAsia"/>
          <w:color w:val="auto"/>
          <w:sz w:val="44"/>
          <w:szCs w:val="44"/>
          <w:highlight w:val="none"/>
        </w:rPr>
        <w:outlineLvl w:val="0"/>
      </w:pPr>
      <w:r>
        <w:rPr>
          <w:rFonts w:hint="eastAsia" w:ascii="黑体" w:hAnsi="黑体" w:eastAsia="黑体" w:cs="黑体"/>
          <w:color w:val="auto"/>
          <w:sz w:val="44"/>
          <w:szCs w:val="44"/>
          <w:highlight w:val="none"/>
        </w:rPr>
        <w:t xml:space="preserve">第六章 投标文件格式</w:t>
      </w:r>
      <w:bookmarkEnd w:id="265"/>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pStyle w:val="718"/>
        <w:rPr>
          <w:color w:val="auto"/>
          <w:highlight w:val="none"/>
        </w:rPr>
      </w:pPr>
      <w:r>
        <w:rPr>
          <w:color w:val="auto"/>
          <w:highlight w:val="none"/>
        </w:rPr>
      </w:r>
      <w:r/>
    </w:p>
    <w:p>
      <w:pPr>
        <w:jc w:val="center"/>
        <w:widowControl/>
        <w:rPr>
          <w:rFonts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t xml:space="preserve">投 标 文 件</w:t>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pStyle w:val="718"/>
        <w:rPr>
          <w:rFonts w:asciiTheme="minorEastAsia" w:hAnsiTheme="minorEastAsia"/>
          <w:color w:val="auto"/>
          <w:sz w:val="24"/>
          <w:highlight w:val="none"/>
        </w:rPr>
      </w:pPr>
      <w:r>
        <w:rPr>
          <w:rFonts w:asciiTheme="minorEastAsia" w:hAnsiTheme="minorEastAsia"/>
          <w:color w:val="auto"/>
          <w:sz w:val="24"/>
          <w:highlight w:val="none"/>
        </w:rPr>
      </w:r>
      <w:r/>
    </w:p>
    <w:p>
      <w:pPr>
        <w:rPr>
          <w:color w:val="auto"/>
          <w:highlight w:val="none"/>
        </w:rPr>
      </w:pPr>
      <w:r>
        <w:rPr>
          <w:color w:val="auto"/>
          <w:highlight w:val="none"/>
        </w:rPr>
      </w:r>
      <w:r/>
    </w:p>
    <w:p>
      <w:pPr>
        <w:pStyle w:val="718"/>
        <w:rPr>
          <w:rFonts w:asciiTheme="minorEastAsia" w:hAnsiTheme="minorEastAsia"/>
          <w:color w:val="auto"/>
          <w:sz w:val="24"/>
          <w:highlight w:val="none"/>
        </w:rPr>
      </w:pPr>
      <w:r>
        <w:rPr>
          <w:rFonts w:asciiTheme="minorEastAsia" w:hAnsiTheme="minorEastAsia"/>
          <w:color w:val="auto"/>
          <w:sz w:val="24"/>
          <w:highlight w:val="none"/>
        </w:rPr>
      </w:r>
      <w:r/>
    </w:p>
    <w:p>
      <w:pPr>
        <w:pStyle w:val="718"/>
        <w:rPr>
          <w:color w:val="auto"/>
          <w:highlight w:val="none"/>
        </w:rPr>
      </w:pPr>
      <w:r>
        <w:rPr>
          <w:color w:val="auto"/>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spacing w:line="360" w:lineRule="auto"/>
        <w:widowControl/>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jc w:val="left"/>
        <w:widowControl/>
        <w:rPr>
          <w:rFonts w:cs="Times New Roman" w:asciiTheme="minorEastAsia" w:hAnsiTheme="minorEastAsia"/>
          <w:b/>
          <w:bCs/>
          <w:color w:val="auto"/>
          <w:sz w:val="36"/>
          <w:szCs w:val="36"/>
          <w:highlight w:val="none"/>
        </w:rPr>
      </w:pPr>
      <w:r>
        <w:rPr>
          <w:rFonts w:hint="eastAsia" w:cs="Times New Roman" w:asciiTheme="minorEastAsia" w:hAnsiTheme="minorEastAsia"/>
          <w:b/>
          <w:bCs/>
          <w:color w:val="auto"/>
          <w:sz w:val="36"/>
          <w:szCs w:val="36"/>
          <w:highlight w:val="none"/>
        </w:rPr>
        <w:br w:type="page" w:clear="all"/>
      </w:r>
      <w:r/>
    </w:p>
    <w:p>
      <w:pPr>
        <w:jc w:val="center"/>
        <w:spacing w:before="12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投标文件目录</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二、上一年度的财务状况报告（至少提供资产负债表、利润表、现金流量表，投标人成立不满一年无需提供）</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四、依法缴纳税收和社会保障资金的相关材料（提交投标文件截止时间前一年内至少一个月依法缴纳税收及缴纳社会保障资金的证明材料。投标人依法享受缓缴、免缴税收、社会保障资金的提供证明材料）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七、法人授权书</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八、投标函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九、中小企业声明函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十、残疾人福利性单位声明函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十一、关于符合本国产品标准的声明函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十二、投标分项报价表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十三、技术要求响应及偏离表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十四、商务要求响应及偏离表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十五、开标一览表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十六、</w:t>
      </w:r>
      <w:r>
        <w:rPr>
          <w:rFonts w:hint="eastAsia" w:ascii="宋体" w:hAnsi="宋体" w:eastAsia="宋体" w:cs="宋体"/>
          <w:color w:val="auto"/>
          <w:sz w:val="24"/>
          <w:highlight w:val="none"/>
        </w:rPr>
        <w:t xml:space="preserve">技术方案、服务承诺、培训承诺等</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十七、盐城市政府</w:t>
      </w:r>
      <w:r>
        <w:rPr>
          <w:rFonts w:hint="eastAsia" w:ascii="宋体" w:hAnsi="宋体" w:eastAsia="宋体" w:cs="宋体"/>
          <w:color w:val="auto"/>
          <w:sz w:val="24"/>
          <w:highlight w:val="none"/>
        </w:rPr>
        <w:t xml:space="preserve">采购</w:t>
      </w:r>
      <w:r>
        <w:rPr>
          <w:rFonts w:hint="eastAsia" w:asciiTheme="minorEastAsia" w:hAnsiTheme="minorEastAsia" w:cstheme="minorEastAsia"/>
          <w:color w:val="auto"/>
          <w:sz w:val="24"/>
          <w:highlight w:val="none"/>
        </w:rPr>
        <w:t xml:space="preserve">事前信用承诺书</w:t>
      </w:r>
      <w:r/>
    </w:p>
    <w:p>
      <w:pP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br w:type="page" w:clear="all"/>
      </w:r>
      <w:r/>
    </w:p>
    <w:p>
      <w:pPr>
        <w:pStyle w:val="968"/>
        <w:jc w:val="center"/>
        <w:spacing w:line="4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   身份证明</w:t>
      </w:r>
      <w:r/>
    </w:p>
    <w:p>
      <w:pPr>
        <w:spacing w:before="120"/>
        <w:widowControl/>
        <w:rPr>
          <w:rFonts w:asciiTheme="minorEastAsia" w:hAnsiTheme="minorEastAsia" w:cstheme="minorEastAsia"/>
          <w:b/>
          <w:bCs/>
          <w:color w:val="auto"/>
          <w:sz w:val="32"/>
          <w:szCs w:val="32"/>
          <w:highlight w:val="none"/>
        </w:rPr>
      </w:pPr>
      <w:r>
        <w:rPr>
          <w:rFonts w:asciiTheme="minorEastAsia" w:hAnsiTheme="minorEastAsia" w:cstheme="minorEastAsia"/>
          <w:b/>
          <w:bCs/>
          <w:color w:val="auto"/>
          <w:sz w:val="32"/>
          <w:szCs w:val="32"/>
          <w:highlight w:val="none"/>
        </w:rPr>
      </w:r>
      <w:r/>
    </w:p>
    <w:p>
      <w:pPr>
        <w:jc w:val="left"/>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jc w:val="center"/>
        <w:spacing w:before="120" w:line="360" w:lineRule="auto"/>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二、上一年度的财务状况报告</w:t>
      </w:r>
      <w:r/>
    </w:p>
    <w:p>
      <w:pPr>
        <w:jc w:val="center"/>
        <w:spacing w:line="360" w:lineRule="auto"/>
        <w:widowControl/>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738"/>
        <w:jc w:val="both"/>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738"/>
        <w:ind w:firstLine="480"/>
        <w:jc w:val="both"/>
        <w:spacing w:line="56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38"/>
        <w:ind w:firstLine="480"/>
        <w:jc w:val="both"/>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主要设备有：</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w:t>
      </w:r>
      <w:r/>
    </w:p>
    <w:p>
      <w:pPr>
        <w:pStyle w:val="738"/>
        <w:ind w:firstLine="480"/>
        <w:jc w:val="both"/>
        <w:widowControl/>
        <w:rPr>
          <w:rFonts w:ascii="微软雅黑" w:hAnsi="宋体" w:eastAsia="微软雅黑" w:cs="宋体"/>
          <w:iCs/>
          <w:color w:val="auto"/>
          <w:highlight w:val="none"/>
        </w:rPr>
      </w:pPr>
      <w:r>
        <w:rPr>
          <w:rFonts w:hint="eastAsia" w:asciiTheme="minorEastAsia" w:hAnsiTheme="minorEastAsia" w:cstheme="minorEastAsia"/>
          <w:color w:val="auto"/>
          <w:highlight w:val="none"/>
        </w:rPr>
        <w:t xml:space="preserve">主要专业技术能力有：</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w:t>
      </w:r>
      <w:r/>
    </w:p>
    <w:p>
      <w:pPr>
        <w:jc w:val="left"/>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738"/>
        <w:ind w:firstLine="480"/>
        <w:jc w:val="both"/>
        <w:spacing w:line="500" w:lineRule="exact"/>
        <w:widowControl/>
        <w:rPr>
          <w:rFonts w:ascii="宋体" w:hAnsi="宋体" w:eastAsia="宋体" w:cs="宋体"/>
          <w:color w:val="auto"/>
          <w:highlight w:val="none"/>
        </w:rPr>
      </w:pPr>
      <w:r>
        <w:rPr>
          <w:rFonts w:hint="eastAsia" w:asciiTheme="minorEastAsia" w:hAnsi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jc w:val="left"/>
        <w:spacing w:line="500" w:lineRule="exact"/>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五、参加政府采购活动前3年内在经营活动中没有重大违法记录的书面声明</w:t>
      </w:r>
      <w:r/>
    </w:p>
    <w:p>
      <w:pPr>
        <w:pStyle w:val="738"/>
        <w:jc w:val="center"/>
        <w:spacing w:line="500" w:lineRule="exact"/>
        <w:widowControl/>
        <w:rPr>
          <w:rFonts w:asciiTheme="minorEastAsia" w:hAnsiTheme="minorEastAsia" w:cstheme="minorEastAsia"/>
          <w:b/>
          <w:color w:val="auto"/>
          <w:highlight w:val="none"/>
        </w:rPr>
      </w:pPr>
      <w:r>
        <w:rPr>
          <w:rFonts w:hint="eastAsia" w:asciiTheme="minorEastAsia" w:hAnsiTheme="minorEastAsia" w:cstheme="minorEastAsia"/>
          <w:b/>
          <w:color w:val="auto"/>
          <w:sz w:val="44"/>
          <w:szCs w:val="44"/>
          <w:highlight w:val="none"/>
        </w:rPr>
        <w:t xml:space="preserve">声  明</w:t>
      </w:r>
      <w:r/>
    </w:p>
    <w:p>
      <w:pPr>
        <w:pStyle w:val="738"/>
        <w:ind w:firstLine="480"/>
        <w:jc w:val="both"/>
        <w:spacing w:line="50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8"/>
        <w:jc w:val="both"/>
        <w:spacing w:line="560" w:lineRule="exact"/>
        <w:widowControl/>
        <w:rPr>
          <w:rFonts w:asciiTheme="minorEastAsia" w:hAnsiTheme="minorEastAsia" w:cstheme="minorEastAsia"/>
          <w:color w:val="auto"/>
          <w:highlight w:val="none"/>
        </w:rPr>
      </w:pPr>
      <w:r>
        <w:rPr>
          <w:rFonts w:asciiTheme="minorEastAsia" w:hAnsiTheme="minorEastAsia" w:cstheme="minorEastAsia"/>
          <w:color w:val="auto"/>
          <w:highlight w:val="none"/>
        </w:rPr>
      </w:r>
      <w:r/>
    </w:p>
    <w:p>
      <w:pPr>
        <w:jc w:val="left"/>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jc w:val="center"/>
        <w:spacing w:before="120" w:line="36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六、特定资格要求的证明文件</w:t>
      </w:r>
      <w:r/>
    </w:p>
    <w:p>
      <w:pPr>
        <w:pStyle w:val="738"/>
        <w:jc w:val="center"/>
        <w:spacing w:line="3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jc w:val="left"/>
        <w:widowControl/>
        <w:rPr>
          <w:rFonts w:cs="Times New Roman" w:asciiTheme="minorEastAsia" w:hAnsiTheme="minorEastAsia"/>
          <w:color w:val="auto"/>
          <w:sz w:val="32"/>
          <w:szCs w:val="32"/>
          <w:highlight w:val="none"/>
        </w:rPr>
      </w:pPr>
      <w:r>
        <w:rPr>
          <w:rFonts w:hint="eastAsia" w:asciiTheme="minorEastAsia" w:hAnsiTheme="minorEastAsia"/>
          <w:color w:val="auto"/>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七、法人授权书</w:t>
      </w:r>
      <w:r/>
    </w:p>
    <w:p>
      <w:pPr>
        <w:pStyle w:val="738"/>
        <w:ind w:firstLine="480"/>
        <w:jc w:val="both"/>
        <w:spacing w:line="56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本授权书声明：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（供应商名称）授权</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（被授权人的姓名）为我方就</w:t>
      </w:r>
      <w:r>
        <w:rPr>
          <w:rFonts w:hint="eastAsia" w:asciiTheme="minorEastAsia" w:hAnsiTheme="minorEastAsia" w:cstheme="minorEastAsia"/>
          <w:color w:val="auto"/>
          <w:highlight w:val="none"/>
          <w:u w:val="single"/>
        </w:rPr>
        <w:t xml:space="preserve">JSZC-320900-JZCG-G2026-0058</w:t>
      </w:r>
      <w:r>
        <w:rPr>
          <w:rFonts w:hint="eastAsia" w:asciiTheme="minorEastAsia" w:hAnsiTheme="minorEastAsia" w:cstheme="minorEastAsia"/>
          <w:color w:val="auto"/>
          <w:highlight w:val="none"/>
        </w:rPr>
        <w:t xml:space="preserve">号</w:t>
      </w:r>
      <w:r>
        <w:rPr>
          <w:rFonts w:hint="eastAsia" w:asciiTheme="minorEastAsia" w:hAnsiTheme="minorEastAsia" w:cstheme="minorEastAsia"/>
          <w:color w:val="auto"/>
          <w:highlight w:val="none"/>
          <w:u w:val="single"/>
        </w:rPr>
        <w:t xml:space="preserve">盐城市市直部分学校智慧体育设施采购项目</w:t>
      </w:r>
      <w:r>
        <w:rPr>
          <w:rFonts w:hint="eastAsia" w:asciiTheme="minorEastAsia" w:hAnsiTheme="minorEastAsia" w:cstheme="minorEastAsia"/>
          <w:color w:val="auto"/>
          <w:highlight w:val="none"/>
        </w:rPr>
        <w:t xml:space="preserve">采购活动的合法代理人，以本单位名义全权处理一切与该项目采购有关的事务。</w:t>
      </w:r>
      <w:r/>
    </w:p>
    <w:p>
      <w:pPr>
        <w:pStyle w:val="738"/>
        <w:ind w:firstLine="480"/>
        <w:jc w:val="both"/>
        <w:spacing w:line="40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年</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月</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日起生效，特此声明。</w:t>
      </w:r>
      <w:r/>
    </w:p>
    <w:p>
      <w:pPr>
        <w:pStyle w:val="738"/>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被授权人身份证号码：</w:t>
      </w:r>
      <w:r>
        <w:rPr>
          <w:rFonts w:hint="eastAsia" w:asciiTheme="minorEastAsia" w:hAnsiTheme="minorEastAsia" w:cstheme="minorEastAsia"/>
          <w:color w:val="auto"/>
          <w:highlight w:val="none"/>
          <w:u w:val="single"/>
        </w:rPr>
        <w:t xml:space="preserve">                     </w:t>
      </w:r>
      <w:r/>
    </w:p>
    <w:p>
      <w:pPr>
        <w:pStyle w:val="738"/>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被授权人联系电话：</w:t>
      </w:r>
      <w:r>
        <w:rPr>
          <w:rFonts w:hint="eastAsia" w:asciiTheme="minorEastAsia" w:hAnsiTheme="minorEastAsia" w:cstheme="minorEastAsia"/>
          <w:color w:val="auto"/>
          <w:highlight w:val="none"/>
          <w:u w:val="single"/>
        </w:rPr>
        <w:t xml:space="preserve">（手机）               </w:t>
      </w:r>
      <w:r/>
    </w:p>
    <w:p>
      <w:pPr>
        <w:pStyle w:val="738"/>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授权单位名称：</w:t>
      </w:r>
      <w:r>
        <w:rPr>
          <w:rFonts w:hint="eastAsia" w:asciiTheme="minorEastAsia" w:hAnsiTheme="minorEastAsia" w:cstheme="minorEastAsia"/>
          <w:color w:val="auto"/>
          <w:highlight w:val="none"/>
          <w:u w:val="single"/>
        </w:rPr>
        <w:t xml:space="preserve">    （加盖CA电子公章）         </w:t>
      </w:r>
      <w:r/>
    </w:p>
    <w:p>
      <w:pPr>
        <w:pStyle w:val="738"/>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单位地址：</w:t>
      </w:r>
      <w:r>
        <w:rPr>
          <w:rFonts w:hint="eastAsia" w:asciiTheme="minorEastAsia" w:hAnsiTheme="minorEastAsia" w:cstheme="minorEastAsia"/>
          <w:color w:val="auto"/>
          <w:highlight w:val="none"/>
          <w:u w:val="single"/>
        </w:rPr>
        <w:t xml:space="preserve">                               </w:t>
      </w:r>
      <w:r/>
    </w:p>
    <w:p>
      <w:pPr>
        <w:pStyle w:val="738"/>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日    期：</w:t>
      </w:r>
      <w:r>
        <w:rPr>
          <w:rFonts w:hint="eastAsia" w:asciiTheme="minorEastAsia" w:hAnsiTheme="minorEastAsia" w:cstheme="minorEastAsia"/>
          <w:color w:val="auto"/>
          <w:highlight w:val="none"/>
          <w:u w:val="single"/>
        </w:rPr>
        <w:t xml:space="preserve">                                   </w:t>
      </w:r>
      <w:r/>
    </w:p>
    <w:p>
      <w:pPr>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八、投标函</w:t>
      </w:r>
      <w:r/>
    </w:p>
    <w:p>
      <w:pPr>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JSZC-320900-JZCG-G2026-0058</w:t>
      </w:r>
      <w:r>
        <w:rPr>
          <w:rFonts w:hint="eastAsia" w:ascii="宋体" w:hAnsi="宋体" w:cs="宋体"/>
          <w:color w:val="auto"/>
          <w:sz w:val="24"/>
          <w:highlight w:val="none"/>
        </w:rPr>
        <w:t xml:space="preserve">号招标文件，正式授权下述签字人______</w:t>
      </w:r>
      <w:bookmarkStart w:id="266" w:name="OLE_LINK115"/>
      <w:r>
        <w:rPr>
          <w:rFonts w:hint="eastAsia" w:ascii="宋体" w:hAnsi="宋体" w:cs="宋体"/>
          <w:color w:val="auto"/>
          <w:sz w:val="24"/>
          <w:highlight w:val="none"/>
        </w:rPr>
        <w:t xml:space="preserve">(姓名)</w:t>
      </w:r>
      <w:bookmarkEnd w:id="266"/>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据此函，__________签字人（姓名）兹宣布同意如下：</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1.按招标文件规定的各项要求，向买方提供所需货物（包含与货物相关的服务）。</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账       号：</w:t>
      </w:r>
      <w:r/>
    </w:p>
    <w:p>
      <w:pPr>
        <w:ind w:firstLine="480"/>
        <w:jc w:val="left"/>
        <w:spacing w:line="500" w:lineRule="exact"/>
        <w:widowControl/>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九、中小企业声明函（货物）</w:t>
      </w:r>
      <w:r/>
    </w:p>
    <w:p>
      <w:pPr>
        <w:ind w:firstLine="480"/>
        <w:spacing w:line="519" w:lineRule="atLeast"/>
        <w:widowControl/>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4"/>
          <w:szCs w:val="20"/>
          <w:highlight w:val="none"/>
          <w:u w:val="single"/>
        </w:rPr>
        <w:t xml:space="preserve">盐城市教育局</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JSZC-320900-JZCG-G2026-0058</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盐城市市直部分学校智慧体育设施采购项目</w:t>
      </w:r>
      <w:r>
        <w:rPr>
          <w:rFonts w:hint="eastAsia" w:ascii="宋体" w:hAnsi="宋体" w:cs="宋体"/>
          <w:color w:val="auto"/>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19" w:lineRule="atLeast"/>
        <w:widowControl/>
        <w:rPr>
          <w:color w:val="auto"/>
          <w:highlight w:val="none"/>
        </w:rPr>
      </w:pPr>
      <w:r>
        <w:rPr>
          <w:rFonts w:hint="eastAsia" w:ascii="宋体" w:hAnsi="宋体" w:cs="宋体"/>
          <w:color w:val="auto"/>
          <w:sz w:val="24"/>
          <w:highlight w:val="none"/>
        </w:rPr>
        <w:t xml:space="preserve">1.</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2.</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widowControl/>
        <w:rPr>
          <w:color w:val="auto"/>
          <w:highlight w:val="none"/>
        </w:rPr>
        <w:outlineLvl w:val="2"/>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19" w:lineRule="atLeast"/>
        <w:widowControl/>
        <w:rPr>
          <w:color w:val="auto"/>
          <w:highlight w:val="none"/>
        </w:rPr>
      </w:pPr>
      <w:r>
        <w:rPr>
          <w:rFonts w:hint="eastAsia" w:ascii="宋体" w:hAnsi="宋体" w:cs="宋体"/>
          <w:color w:val="auto"/>
          <w:sz w:val="24"/>
          <w:highlight w:val="none"/>
        </w:rPr>
        <w:t xml:space="preserve"> </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企业名称（加盖CA电子公章）：</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日期：</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pStyle w:val="738"/>
        <w:ind w:right="1560" w:firstLine="120"/>
        <w:jc w:val="center"/>
        <w:spacing w:line="0" w:lineRule="atLeast"/>
        <w:widowControl/>
        <w:tabs>
          <w:tab w:val="left" w:pos="4864" w:leader="none"/>
        </w:tabs>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0"/>
          <w:highlight w:val="none"/>
          <w:u w:val="single"/>
        </w:rPr>
        <w:t xml:space="preserve">盐城市教育局</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rPr>
        <w:t xml:space="preserve">JSZC-320900-JZCG-G2026-0058</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盐城市市直部分学校智慧体育设施采购项目</w:t>
      </w:r>
      <w:r>
        <w:rPr>
          <w:rFonts w:hint="eastAsia" w:ascii="宋体" w:hAnsi="宋体" w:cs="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6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right="480" w:firstLine="480"/>
        <w:jc w:val="righ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480"/>
        <w:jc w:val="right"/>
        <w:spacing w:line="520" w:lineRule="exact"/>
        <w:widowControl/>
        <w:rPr>
          <w:color w:val="auto"/>
          <w:highlight w:val="none"/>
        </w:rPr>
      </w:pPr>
      <w:r>
        <w:rPr>
          <w:rFonts w:hint="eastAsia" w:ascii="宋体" w:hAnsi="宋体" w:cs="宋体"/>
          <w:color w:val="auto"/>
          <w:sz w:val="24"/>
          <w:highlight w:val="none"/>
        </w:rPr>
        <w:t xml:space="preserve">日  期：</w:t>
      </w:r>
      <w:r/>
    </w:p>
    <w:p>
      <w:pPr>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pStyle w:val="738"/>
        <w:jc w:val="center"/>
        <w:rPr>
          <w:color w:val="auto"/>
          <w:highlight w:val="none"/>
        </w:rPr>
      </w:pPr>
      <w:r>
        <w:rPr>
          <w:rFonts w:hint="eastAsia" w:ascii="黑体" w:hAnsi="黑体" w:eastAsia="黑体" w:cs="黑体"/>
          <w:i/>
          <w:color w:val="auto"/>
          <w:sz w:val="32"/>
          <w:szCs w:val="32"/>
          <w:highlight w:val="none"/>
          <w:u w:val="single"/>
        </w:rPr>
        <w:t xml:space="preserve">十一、关于符合本国产品标准的声明函</w:t>
      </w:r>
      <w:r/>
    </w:p>
    <w:p>
      <w:pPr>
        <w:pStyle w:val="738"/>
        <w:ind w:firstLine="420"/>
        <w:jc w:val="both"/>
        <w:spacing w:line="360" w:lineRule="auto"/>
        <w:rPr>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firstLine="420"/>
        <w:jc w:val="both"/>
        <w:spacing w:before="30" w:beforeAutospacing="0" w:after="30" w:afterAutospacing="0" w:line="360" w:lineRule="auto"/>
        <w:rPr>
          <w:color w:val="auto"/>
          <w:highlight w:val="none"/>
        </w:rPr>
      </w:pPr>
      <w:r>
        <w:rPr>
          <w:rFonts w:hint="eastAsia" w:ascii="宋体" w:hAnsi="宋体" w:eastAsia="宋体" w:cs="宋体"/>
          <w:color w:val="auto"/>
          <w:highlight w:val="none"/>
          <w:shd w:val="clear" w:color="auto" w:fill="ffffff"/>
        </w:rPr>
        <w:t xml:space="preserve">1.</w:t>
      </w:r>
      <w:r>
        <w:rPr>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Fonts w:hint="eastAsia" w:ascii="宋体" w:hAnsi="宋体" w:eastAsia="宋体" w:cs="宋体"/>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strike/>
          <w:color w:val="auto"/>
          <w:highlight w:val="none"/>
          <w:u w:val="single"/>
          <w:shd w:val="clear" w:color="auto" w:fill="ffffff"/>
        </w:rPr>
        <w:t xml:space="preserve"> （产品名称1）</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Fonts w:hint="eastAsia" w:ascii="宋体" w:hAnsi="宋体" w:eastAsia="宋体" w:cs="宋体"/>
          <w:strike/>
          <w:color w:val="auto"/>
          <w:highlight w:val="none"/>
          <w:u w:val="single"/>
          <w:shd w:val="clear" w:color="auto" w:fill="ffffff"/>
        </w:rPr>
        <w:t xml:space="preserve">（规定比例）</w:t>
      </w:r>
      <w:r>
        <w:rPr>
          <w:rFonts w:hint="eastAsia" w:ascii="宋体" w:hAnsi="宋体" w:eastAsia="宋体" w:cs="宋体"/>
          <w:strike/>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Fonts w:hint="eastAsia" w:ascii="宋体" w:hAnsi="宋体" w:eastAsia="宋体" w:cs="宋体"/>
          <w:strike/>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Fonts w:hint="eastAsia" w:ascii="宋体" w:hAnsi="宋体" w:eastAsia="宋体" w:cs="宋体"/>
          <w:strike/>
          <w:color w:val="auto"/>
          <w:highlight w:val="none"/>
          <w:u w:val="single"/>
          <w:shd w:val="clear" w:color="auto" w:fill="ffffff"/>
        </w:rPr>
        <w:t xml:space="preserve">（关键组件）</w:t>
      </w:r>
      <w:r>
        <w:rPr>
          <w:rFonts w:hint="eastAsia" w:ascii="宋体" w:hAnsi="宋体" w:eastAsia="宋体" w:cs="宋体"/>
          <w:strike/>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Fonts w:hint="eastAsia" w:ascii="宋体" w:hAnsi="宋体" w:eastAsia="宋体" w:cs="宋体"/>
          <w:strike/>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Fonts w:hint="eastAsia" w:ascii="宋体" w:hAnsi="宋体" w:eastAsia="宋体" w:cs="宋体"/>
          <w:strike/>
          <w:color w:val="auto"/>
          <w:highlight w:val="none"/>
          <w:u w:val="single"/>
          <w:shd w:val="clear" w:color="auto" w:fill="ffffff"/>
        </w:rPr>
        <w:t xml:space="preserve">（关键工序）</w:t>
      </w:r>
      <w:r>
        <w:rPr>
          <w:rFonts w:hint="eastAsia" w:ascii="宋体" w:hAnsi="宋体" w:eastAsia="宋体" w:cs="宋体"/>
          <w:strike/>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38"/>
        <w:ind w:firstLine="420"/>
        <w:jc w:val="both"/>
        <w:spacing w:before="30" w:beforeAutospacing="0" w:after="30" w:afterAutospacing="0" w:line="360" w:lineRule="auto"/>
        <w:rPr>
          <w:color w:val="auto"/>
          <w:highlight w:val="none"/>
        </w:rPr>
      </w:pPr>
      <w:r>
        <w:rPr>
          <w:rFonts w:hint="eastAsia" w:ascii="宋体" w:hAnsi="宋体" w:eastAsia="宋体" w:cs="宋体"/>
          <w:color w:val="auto"/>
          <w:highlight w:val="none"/>
          <w:shd w:val="clear" w:color="auto" w:fill="ffffff"/>
        </w:rPr>
        <w:t xml:space="preserve">2.</w:t>
      </w:r>
      <w:r>
        <w:rPr>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Fonts w:hint="eastAsia" w:ascii="宋体" w:hAnsi="宋体" w:eastAsia="宋体" w:cs="宋体"/>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strike/>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Fonts w:hint="eastAsia" w:ascii="宋体" w:hAnsi="宋体" w:eastAsia="宋体" w:cs="宋体"/>
          <w:strike/>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Fonts w:hint="eastAsia" w:ascii="宋体" w:hAnsi="宋体" w:eastAsia="宋体" w:cs="宋体"/>
          <w:strike/>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Fonts w:hint="eastAsia" w:ascii="宋体" w:hAnsi="宋体" w:eastAsia="宋体" w:cs="宋体"/>
          <w:strike/>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Fonts w:hint="eastAsia" w:ascii="宋体" w:hAnsi="宋体" w:eastAsia="宋体" w:cs="宋体"/>
          <w:strike/>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Fonts w:hint="eastAsia" w:ascii="宋体" w:hAnsi="宋体" w:eastAsia="宋体" w:cs="宋体"/>
          <w:strike/>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38"/>
        <w:ind w:firstLine="420"/>
        <w:jc w:val="both"/>
        <w:spacing w:before="30" w:beforeAutospacing="0" w:after="30" w:afterAutospacing="0" w:line="360" w:lineRule="auto"/>
        <w:rPr>
          <w:color w:val="auto"/>
          <w:highlight w:val="none"/>
        </w:rPr>
      </w:pPr>
      <w:r>
        <w:rPr>
          <w:rFonts w:hint="eastAsia" w:ascii="宋体" w:hAnsi="宋体" w:eastAsia="宋体" w:cs="宋体"/>
          <w:color w:val="auto"/>
          <w:highlight w:val="none"/>
          <w:shd w:val="clear" w:color="auto" w:fill="ffffff"/>
        </w:rPr>
        <w:t xml:space="preserve">……</w:t>
      </w:r>
      <w:r/>
    </w:p>
    <w:p>
      <w:pPr>
        <w:pStyle w:val="738"/>
        <w:ind w:right="480"/>
        <w:spacing w:before="30" w:beforeAutospacing="0" w:after="30" w:afterAutospacing="0" w:line="360" w:lineRule="auto"/>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 </w:t>
      </w:r>
      <w:r/>
    </w:p>
    <w:p>
      <w:pPr>
        <w:pStyle w:val="738"/>
        <w:ind w:right="480"/>
        <w:jc w:val="center"/>
        <w:spacing w:before="30" w:beforeAutospacing="0" w:after="30" w:afterAutospacing="0" w:line="360" w:lineRule="auto"/>
        <w:rPr>
          <w:color w:val="auto"/>
          <w:highlight w:val="none"/>
        </w:rPr>
      </w:pP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公司（单位）名称（盖章）：</w:t>
      </w:r>
      <w:r/>
    </w:p>
    <w:p>
      <w:pPr>
        <w:pStyle w:val="738"/>
        <w:jc w:val="right"/>
        <w:spacing w:before="30" w:beforeAutospacing="0" w:after="30" w:afterAutospacing="0" w:line="360" w:lineRule="auto"/>
        <w:rPr>
          <w:color w:val="auto"/>
          <w:highlight w:val="none"/>
        </w:rPr>
      </w:pPr>
      <w:r>
        <w:rPr>
          <w:rFonts w:hint="eastAsia" w:ascii="宋体" w:hAnsi="宋体" w:eastAsia="宋体" w:cs="宋体"/>
          <w:color w:val="auto"/>
          <w:highlight w:val="none"/>
          <w:shd w:val="clear" w:color="auto" w:fill="ffffff"/>
        </w:rPr>
        <w:t xml:space="preserve">                  日期：　   年　  月　  日</w:t>
      </w:r>
      <w:r/>
    </w:p>
    <w:p>
      <w:pPr>
        <w:pStyle w:val="738"/>
        <w:jc w:val="both"/>
        <w:spacing w:before="30" w:beforeAutospacing="0" w:after="30" w:afterAutospacing="0" w:line="360" w:lineRule="auto"/>
        <w:rPr>
          <w:b/>
          <w:bCs/>
          <w:color w:val="auto"/>
          <w:highlight w:val="none"/>
        </w:rPr>
      </w:pPr>
      <w:r>
        <w:rPr>
          <w:rFonts w:hint="eastAsia" w:ascii="宋体" w:hAnsi="宋体" w:eastAsia="宋体" w:cs="宋体"/>
          <w:b/>
          <w:bCs/>
          <w:color w:val="auto"/>
          <w:highlight w:val="none"/>
          <w:shd w:val="clear" w:color="auto" w:fill="ffffff"/>
        </w:rPr>
        <w:t xml:space="preserve">1.产品如有型号，请在“产品名称”栏一并填写。</w:t>
      </w:r>
      <w:r/>
    </w:p>
    <w:p>
      <w:pPr>
        <w:pStyle w:val="738"/>
        <w:jc w:val="both"/>
        <w:spacing w:before="30" w:beforeAutospacing="0" w:after="30" w:afterAutospacing="0" w:line="360" w:lineRule="auto"/>
        <w:rPr>
          <w:b/>
          <w:bCs/>
          <w:color w:val="auto"/>
          <w:highlight w:val="none"/>
        </w:rPr>
      </w:pPr>
      <w:r>
        <w:rPr>
          <w:rFonts w:hint="eastAsia" w:ascii="宋体" w:hAnsi="宋体" w:eastAsia="宋体" w:cs="宋体"/>
          <w:b/>
          <w:bCs/>
          <w:color w:val="auto"/>
          <w:highlight w:val="none"/>
          <w:shd w:val="clear" w:color="auto" w:fill="ffffff"/>
        </w:rPr>
        <w:t xml:space="preserve">2.生产厂名与厂址应与生产厂营业执照载明的相关信息保持一致。</w:t>
      </w:r>
      <w:r/>
    </w:p>
    <w:p>
      <w:pPr>
        <w:pStyle w:val="738"/>
        <w:jc w:val="both"/>
        <w:spacing w:before="30" w:beforeAutospacing="0" w:after="30" w:afterAutospacing="0" w:line="360" w:lineRule="auto"/>
        <w:rPr>
          <w:b/>
          <w:bCs/>
          <w:color w:val="auto"/>
          <w:highlight w:val="none"/>
        </w:rPr>
      </w:pPr>
      <w:r>
        <w:rPr>
          <w:rFonts w:hint="eastAsia" w:ascii="宋体" w:hAnsi="宋体" w:eastAsia="宋体" w:cs="宋体"/>
          <w:b/>
          <w:bCs/>
          <w:color w:val="auto"/>
          <w:highlight w:val="none"/>
          <w:shd w:val="clear" w:color="auto" w:fill="ffffff"/>
        </w:rPr>
        <w:t xml:space="preserve">3.该产品的中国境内生产的组件成本占比相关要求实施前，“规定比例”栏可不填，下同。</w:t>
      </w:r>
      <w:r/>
    </w:p>
    <w:p>
      <w:pPr>
        <w:pStyle w:val="738"/>
        <w:jc w:val="both"/>
        <w:spacing w:before="30" w:beforeAutospacing="0" w:after="30" w:afterAutospacing="0" w:line="360" w:lineRule="auto"/>
        <w:rPr>
          <w:b/>
          <w:bCs/>
          <w:color w:val="auto"/>
          <w:highlight w:val="none"/>
        </w:rPr>
      </w:pPr>
      <w:r>
        <w:rPr>
          <w:rFonts w:hint="eastAsia" w:ascii="宋体" w:hAnsi="宋体" w:eastAsia="宋体" w:cs="宋体"/>
          <w:b/>
          <w:bCs/>
          <w:color w:val="auto"/>
          <w:highlight w:val="none"/>
          <w:shd w:val="clear" w:color="auto" w:fill="ffffff"/>
        </w:rPr>
        <w:t xml:space="preserve">4.该产品的关键组件要求实施前，“关键组件”栏可不填，下同。</w:t>
      </w:r>
      <w:r/>
    </w:p>
    <w:p>
      <w:pPr>
        <w:pStyle w:val="738"/>
        <w:jc w:val="both"/>
        <w:spacing w:before="30" w:beforeAutospacing="0" w:after="30" w:afterAutospacing="0" w:line="360" w:lineRule="auto"/>
        <w:rPr>
          <w:b/>
          <w:bCs/>
          <w:color w:val="auto"/>
          <w:highlight w:val="none"/>
        </w:rPr>
      </w:pPr>
      <w:r>
        <w:rPr>
          <w:rFonts w:hint="eastAsia" w:ascii="宋体" w:hAnsi="宋体" w:eastAsia="宋体" w:cs="宋体"/>
          <w:b/>
          <w:bCs/>
          <w:color w:val="auto"/>
          <w:highlight w:val="none"/>
          <w:shd w:val="clear" w:color="auto" w:fill="ffffff"/>
        </w:rPr>
        <w:t xml:space="preserve">5.该产品的关键工序要求实施前，“关键工序”栏可不填，下同。</w:t>
      </w:r>
      <w:r/>
    </w:p>
    <w:p>
      <w:pPr>
        <w:pStyle w:val="738"/>
        <w:jc w:val="both"/>
        <w:spacing w:before="30" w:beforeAutospacing="0" w:after="30" w:afterAutospacing="0" w:line="360" w:lineRule="auto"/>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6.用横线划除的地方无需填写。</w:t>
      </w:r>
      <w:r/>
    </w:p>
    <w:p>
      <w:pPr>
        <w:spacing w:line="360" w:lineRule="auto"/>
        <w:rPr>
          <w:rFonts w:ascii="黑体" w:hAnsi="黑体" w:eastAsia="黑体" w:cs="黑体"/>
          <w:i/>
          <w:color w:val="auto"/>
          <w:sz w:val="32"/>
          <w:szCs w:val="32"/>
          <w:highlight w:val="none"/>
          <w:u w:val="single"/>
        </w:rPr>
      </w:pPr>
      <w:r>
        <w:rPr>
          <w:rFonts w:hint="eastAsia" w:ascii="宋体" w:hAnsi="宋体" w:eastAsia="宋体" w:cs="宋体"/>
          <w:b/>
          <w:bCs/>
          <w:color w:val="auto"/>
          <w:sz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p>
      <w:pPr>
        <w:pStyle w:val="718"/>
        <w:rPr>
          <w:color w:val="auto"/>
          <w:highlight w:val="none"/>
        </w:rPr>
      </w:pPr>
      <w:r>
        <w:rPr>
          <w:color w:val="auto"/>
          <w:highlight w:val="none"/>
        </w:rPr>
      </w:r>
      <w:r/>
    </w:p>
    <w:tbl>
      <w:tblPr>
        <w:tblStyle w:val="712"/>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68"/>
        <w:gridCol w:w="980"/>
        <w:gridCol w:w="980"/>
        <w:gridCol w:w="980"/>
        <w:gridCol w:w="1280"/>
        <w:gridCol w:w="1157"/>
        <w:gridCol w:w="1012"/>
      </w:tblGrid>
      <w:tr>
        <w:trPr>
          <w:jc w:val="center"/>
          <w:trHeight w:val="70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widowControl/>
              <w:rPr>
                <w:rFonts w:ascii="Calibri" w:hAnsi="Calibri" w:eastAsia="宋体" w:cs="宋体"/>
                <w:color w:val="auto"/>
                <w:sz w:val="24"/>
                <w:highlight w:val="none"/>
              </w:rPr>
            </w:pPr>
            <w:r/>
            <w:bookmarkStart w:id="267" w:name="RANGE!A2"/>
            <w:r/>
            <w:bookmarkEnd w:id="267"/>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品牌及型号</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交付期</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70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校级管理平台（含搭建市级管理平台）</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r>
      <w:tr>
        <w:trPr>
          <w:jc w:val="center"/>
          <w:trHeight w:val="1033"/>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智慧操场（250米及以下操场）</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r>
      <w:tr>
        <w:trPr>
          <w:jc w:val="center"/>
          <w:trHeight w:val="1033"/>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智慧操场（400米操场）</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r>
      <w:tr>
        <w:trPr>
          <w:jc w:val="center"/>
          <w:trHeight w:val="70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智慧游戏一体机</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r>
      <w:tr>
        <w:trPr>
          <w:jc w:val="center"/>
          <w:trHeight w:val="70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智慧体测一体机</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r>
      <w:tr>
        <w:trPr>
          <w:jc w:val="center"/>
          <w:trHeight w:val="599"/>
        </w:trPr>
        <w:tc>
          <w:tcPr>
            <w:gridSpan w:val="7"/>
            <w:tcBorders>
              <w:top w:val="single" w:color="auto" w:sz="4" w:space="0"/>
              <w:left w:val="single" w:color="auto" w:sz="4" w:space="0"/>
              <w:bottom w:val="single" w:color="auto" w:sz="4" w:space="0"/>
              <w:right w:val="single" w:color="auto" w:sz="4" w:space="0"/>
            </w:tcBorders>
            <w:tcW w:w="7684"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投标总报价（人民币：元）</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Calibri" w:hAnsi="Calibri" w:eastAsia="宋体" w:cs="宋体"/>
                <w:color w:val="auto"/>
                <w:sz w:val="24"/>
                <w:highlight w:val="none"/>
              </w:rPr>
            </w:pPr>
            <w:r>
              <w:rPr>
                <w:rFonts w:ascii="Calibri" w:hAnsi="Calibri" w:eastAsia="宋体" w:cs="宋体"/>
                <w:color w:val="auto"/>
                <w:sz w:val="24"/>
                <w:highlight w:val="none"/>
              </w:rPr>
            </w:r>
            <w:r/>
          </w:p>
        </w:tc>
      </w:tr>
      <w:tr>
        <w:trPr>
          <w:jc w:val="center"/>
          <w:trHeight w:val="863"/>
        </w:trPr>
        <w:tc>
          <w:tcPr>
            <w:gridSpan w:val="8"/>
            <w:tcBorders>
              <w:top w:val="single" w:color="auto" w:sz="4" w:space="0"/>
              <w:left w:val="single" w:color="auto" w:sz="4" w:space="0"/>
              <w:bottom w:val="single" w:color="auto" w:sz="4" w:space="0"/>
              <w:right w:val="single" w:color="auto" w:sz="4" w:space="0"/>
            </w:tcBorders>
            <w:tcW w:w="8696" w:type="dxa"/>
            <w:vAlign w:val="center"/>
            <w:textDirection w:val="lrTb"/>
            <w:noWrap w:val="false"/>
          </w:tcPr>
          <w:p>
            <w:pP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tc>
      </w:tr>
    </w:tbl>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备注：</w:t>
      </w:r>
      <w:r/>
      <w:r>
        <w:rPr>
          <w:rFonts w:hint="eastAsia" w:ascii="宋体" w:hAnsi="宋体" w:eastAsia="宋体" w:cs="宋体"/>
          <w:color w:val="auto"/>
          <w:sz w:val="24"/>
          <w:szCs w:val="20"/>
          <w:highlight w:val="none"/>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r>
        <w:rPr>
          <w:rFonts w:ascii="宋体" w:hAnsi="宋体" w:eastAsia="宋体" w:cs="宋体"/>
          <w:color w:val="auto"/>
          <w:sz w:val="24"/>
          <w:szCs w:val="20"/>
          <w:highlight w:val="none"/>
        </w:rP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2.“投标分项报价表”中“投标总报价”数额应当与“开标一览表”中“投标总报价”数额一致。</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spacing w:before="120" w:line="400" w:lineRule="exact"/>
        <w:widowControl/>
        <w:rPr>
          <w:rFonts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r>
      <w:r>
        <w:rPr>
          <w:rFonts w:hint="eastAsia" w:ascii="黑体" w:hAnsi="黑体" w:eastAsia="黑体" w:cs="黑体"/>
          <w:i/>
          <w:color w:val="auto"/>
          <w:sz w:val="32"/>
          <w:szCs w:val="32"/>
          <w:highlight w:val="none"/>
          <w:u w:val="single"/>
        </w:rPr>
      </w:r>
    </w:p>
    <w:p>
      <w:pPr>
        <w:jc w:val="center"/>
        <w:spacing w:before="120" w:line="400" w:lineRule="exact"/>
        <w:widowControl/>
        <w:rPr>
          <w:rFonts w:hint="eastAsia"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tbl>
      <w:tblPr>
        <w:tblStyle w:val="712"/>
        <w:tblpPr w:horzAnchor="page" w:tblpXSpec="center" w:vertAnchor="text" w:tblpY="390" w:leftFromText="180" w:topFromText="0" w:rightFromText="180" w:bottomFromText="0"/>
        <w:tblW w:w="8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260"/>
        <w:gridCol w:w="2031"/>
        <w:gridCol w:w="1555"/>
        <w:gridCol w:w="1323"/>
      </w:tblGrid>
      <w:tr>
        <w:trPr>
          <w:trHeight w:val="1396"/>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证明材料</w:t>
            </w:r>
            <w:r/>
          </w:p>
        </w:tc>
      </w:tr>
      <w:tr>
        <w:trPr>
          <w:trHeight w:val="86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6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6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6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6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6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6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5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spacing w:line="500" w:lineRule="exact"/>
              <w:widowControl/>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bl>
    <w:p>
      <w:pPr>
        <w:pStyle w:val="738"/>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注：行数不够，可自行添加。</w:t>
      </w:r>
      <w:r>
        <w:rPr>
          <w:rFonts w:hint="eastAsia" w:asciiTheme="minorEastAsia" w:hAnsiTheme="minorEastAsia"/>
          <w:color w:val="auto"/>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十四、商务要求响应及偏离表</w:t>
      </w:r>
      <w:r/>
    </w:p>
    <w:tbl>
      <w:tblPr>
        <w:tblStyle w:val="712"/>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证明材料</w:t>
            </w:r>
            <w:r/>
          </w:p>
        </w:tc>
      </w:tr>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2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40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bl>
    <w:p>
      <w:pPr>
        <w:pStyle w:val="738"/>
        <w:widowControl/>
        <w:rPr>
          <w:rFonts w:ascii="微软雅黑" w:hAnsi="宋体" w:eastAsia="微软雅黑" w:cs="黑体"/>
          <w:iCs/>
          <w:color w:val="auto"/>
          <w:sz w:val="30"/>
          <w:szCs w:val="30"/>
          <w:highlight w:val="none"/>
        </w:rPr>
      </w:pPr>
      <w:r>
        <w:rPr>
          <w:rFonts w:hint="eastAsia" w:asciiTheme="minorEastAsia" w:hAnsiTheme="minorEastAsia" w:cstheme="minorEastAsia"/>
          <w:color w:val="auto"/>
          <w:highlight w:val="none"/>
        </w:rPr>
        <w:t xml:space="preserve">注：行数不够，可自行添加。</w:t>
      </w:r>
      <w:r/>
    </w:p>
    <w:p>
      <w:pPr>
        <w:jc w:val="left"/>
        <w:widowControl/>
        <w:rPr>
          <w:rFonts w:cs="Times New Roman" w:asciiTheme="minorEastAsia" w:hAnsiTheme="minorEastAsia"/>
          <w:color w:val="auto"/>
          <w:sz w:val="32"/>
          <w:szCs w:val="32"/>
          <w:highlight w:val="none"/>
        </w:rPr>
      </w:pPr>
      <w:r>
        <w:rPr>
          <w:rFonts w:hint="eastAsia" w:asciiTheme="minorEastAsia" w:hAnsiTheme="minorEastAsia"/>
          <w:color w:val="auto"/>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十五、开标一览表</w:t>
      </w:r>
      <w:r/>
    </w:p>
    <w:p>
      <w:pPr>
        <w:jc w:val="center"/>
        <w:spacing w:before="50" w:after="50"/>
        <w:widowControl/>
        <w:rPr>
          <w:color w:val="auto"/>
          <w:sz w:val="22"/>
          <w:szCs w:val="22"/>
          <w:highlight w:val="none"/>
        </w:rPr>
      </w:pPr>
      <w:r>
        <w:rPr>
          <w:color w:val="auto"/>
          <w:sz w:val="22"/>
          <w:szCs w:val="22"/>
          <w:highlight w:val="none"/>
        </w:rPr>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投标人全称（CA公章）：供应商名称</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项目名称：盐城市市直部分学校智慧体育设施采购项目</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项目编号：JSZC-320900-JZCG-G2026-0058</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分包号：/</w:t>
      </w:r>
      <w:r/>
    </w:p>
    <w:tbl>
      <w:tblPr>
        <w:tblStyle w:val="742"/>
        <w:tblW w:w="8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173"/>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spacing w:before="100" w:after="100"/>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spacing w:before="100" w:after="100"/>
              <w:widowControl/>
              <w:rPr>
                <w:rFonts w:ascii="宋体" w:hAnsi="宋体" w:eastAsia="宋体" w:cs="宋体"/>
                <w:color w:val="auto"/>
                <w:highlight w:val="none"/>
              </w:rPr>
            </w:pPr>
            <w:r>
              <w:rPr>
                <w:rFonts w:hint="eastAsia" w:ascii="宋体" w:hAnsi="宋体" w:eastAsia="宋体" w:cs="宋体"/>
                <w:color w:val="auto"/>
                <w:sz w:val="24"/>
                <w:highlight w:val="none"/>
              </w:rPr>
              <w:t xml:space="preserve"> 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spacing w:before="100" w:after="100"/>
              <w:widowControl/>
              <w:rPr>
                <w:rFonts w:ascii="宋体" w:hAnsi="宋体" w:eastAsia="宋体" w:cs="宋体"/>
                <w:color w:val="auto"/>
                <w:highlight w:val="none"/>
              </w:rPr>
            </w:pPr>
            <w:r>
              <w:rPr>
                <w:rFonts w:ascii="宋体" w:hAnsi="宋体" w:eastAsia="宋体" w:cs="宋体"/>
                <w:color w:val="auto"/>
                <w:highlight w:val="none"/>
              </w:rPr>
            </w:r>
            <w:r/>
          </w:p>
        </w:tc>
      </w:tr>
    </w:tbl>
    <w:p>
      <w:pPr>
        <w:spacing w:before="100" w:after="100"/>
        <w:widowControl/>
        <w:rPr>
          <w:color w:val="auto"/>
          <w:highlight w:val="none"/>
        </w:rPr>
      </w:pPr>
      <w:r>
        <w:rPr>
          <w:color w:val="auto"/>
          <w:highlight w:val="none"/>
        </w:rPr>
      </w:r>
      <w:r/>
    </w:p>
    <w:p>
      <w:pPr>
        <w:jc w:val="right"/>
        <w:spacing w:before="100" w:after="100"/>
        <w:widowControl/>
        <w:rPr>
          <w:rFonts w:ascii="宋体" w:hAnsi="宋体" w:eastAsia="宋体" w:cs="宋体"/>
          <w:color w:val="auto"/>
          <w:sz w:val="24"/>
          <w:szCs w:val="21"/>
          <w:highlight w:val="none"/>
        </w:rPr>
      </w:pPr>
      <w:r>
        <w:rPr>
          <w:rFonts w:hint="eastAsia" w:ascii="宋体" w:hAnsi="宋体" w:eastAsia="宋体" w:cs="宋体"/>
          <w:color w:val="auto"/>
          <w:sz w:val="24"/>
          <w:highlight w:val="none"/>
        </w:rPr>
        <w:t xml:space="preserve">日期：</w:t>
      </w:r>
      <w:r>
        <w:rPr>
          <w:rFonts w:ascii="Calibri" w:hAnsi="Calibri" w:eastAsia="Calibri" w:cs="Calibri"/>
          <w:color w:val="auto"/>
          <w:sz w:val="24"/>
          <w:highlight w:val="none"/>
        </w:rPr>
        <w:t xml:space="preserve">   </w:t>
      </w:r>
      <w:r>
        <w:rPr>
          <w:rFonts w:ascii="Calibri" w:hAnsi="Calibri" w:eastAsia="宋体" w:cs="Calibri"/>
          <w:color w:val="auto"/>
          <w:sz w:val="24"/>
          <w:highlight w:val="none"/>
        </w:rPr>
        <w:t xml:space="preserve">  </w:t>
      </w:r>
      <w:r>
        <w:rPr>
          <w:rFonts w:hint="eastAsia" w:ascii="宋体" w:hAnsi="宋体" w:eastAsia="宋体" w:cs="宋体"/>
          <w:color w:val="auto"/>
          <w:sz w:val="24"/>
          <w:highlight w:val="none"/>
        </w:rPr>
        <w:t xml:space="preserve">年   月   日</w:t>
      </w:r>
      <w:r/>
    </w:p>
    <w:p>
      <w:pPr>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十六、技术方案、服务承诺、培训承诺等</w:t>
      </w:r>
      <w:r/>
    </w:p>
    <w:p>
      <w:pPr>
        <w:jc w:val="center"/>
        <w:spacing w:before="12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widowControl/>
        <w:rPr>
          <w:rFonts w:cs="Times New Roman" w:asciiTheme="minorEastAsia" w:hAnsiTheme="minorEastAsia"/>
          <w:color w:val="auto"/>
          <w:sz w:val="32"/>
          <w:szCs w:val="32"/>
          <w:highlight w:val="none"/>
        </w:rPr>
      </w:pPr>
      <w:r>
        <w:rPr>
          <w:rFonts w:hint="eastAsia" w:cs="Times New Roman" w:asciiTheme="minorEastAsia" w:hAnsiTheme="minorEastAsia"/>
          <w:color w:val="auto"/>
          <w:sz w:val="32"/>
          <w:szCs w:val="32"/>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w:t>
      </w:r>
      <w:r>
        <w:rPr>
          <w:color w:val="auto"/>
          <w:sz w:val="24"/>
          <w:highlight w:val="none"/>
        </w:rPr>
        <w:t xml:space="preserve">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（八）本人已认真阅读了上述承诺，并向本单位员工做了宣传教育。</w:t>
      </w:r>
      <w:r/>
    </w:p>
    <w:p>
      <w:pPr>
        <w:spacing w:line="520" w:lineRule="exact"/>
        <w:widowControl/>
        <w:rPr>
          <w:color w:val="auto"/>
          <w:sz w:val="24"/>
          <w:highlight w:val="none"/>
        </w:rPr>
      </w:pPr>
      <w:r>
        <w:rPr>
          <w:color w:val="auto"/>
          <w:sz w:val="24"/>
          <w:highlight w:val="none"/>
        </w:rPr>
      </w:r>
      <w:r/>
    </w:p>
    <w:p>
      <w:pPr>
        <w:ind w:firstLine="440"/>
        <w:jc w:val="right"/>
        <w:spacing w:line="520" w:lineRule="exact"/>
        <w:widowControl/>
        <w:rPr>
          <w:color w:val="auto"/>
          <w:sz w:val="24"/>
          <w:highlight w:val="none"/>
        </w:rPr>
      </w:pPr>
      <w:r>
        <w:rPr>
          <w:rFonts w:hint="eastAsia"/>
          <w:color w:val="auto"/>
          <w:sz w:val="24"/>
          <w:highlight w:val="none"/>
        </w:rPr>
        <w:t xml:space="preserve">法定代表人（签字或签章）：</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w:t>
      </w:r>
      <w:r/>
    </w:p>
    <w:p>
      <w:pPr>
        <w:jc w:val="center"/>
        <w:spacing w:line="520" w:lineRule="exact"/>
        <w:widowControl/>
        <w:rPr>
          <w:color w:val="auto"/>
          <w:sz w:val="24"/>
          <w:highlight w:val="none"/>
        </w:rPr>
      </w:pPr>
      <w:r>
        <w:rPr>
          <w:color w:val="auto"/>
          <w:sz w:val="24"/>
          <w:highlight w:val="none"/>
        </w:rPr>
        <w:t xml:space="preserve">                                                          </w:t>
      </w:r>
      <w:r>
        <w:rPr>
          <w:rFonts w:hint="eastAsia"/>
          <w:color w:val="auto"/>
          <w:sz w:val="24"/>
          <w:highlight w:val="none"/>
        </w:rPr>
        <w:t xml:space="preserve">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w:t>
      </w:r>
      <w:r/>
    </w:p>
    <w:p>
      <w:pPr>
        <w:spacing w:line="520" w:lineRule="exact"/>
        <w:widowControl/>
        <w:rPr>
          <w:rFonts w:cs="Times New Roman" w:asciiTheme="minorEastAsia" w:hAnsiTheme="minorEastAsia"/>
          <w:color w:val="auto"/>
          <w:sz w:val="32"/>
          <w:szCs w:val="32"/>
          <w:highlight w:val="none"/>
        </w:rPr>
      </w:pPr>
      <w:r>
        <w:rPr>
          <w:rFonts w:hint="eastAsia" w:asciiTheme="minorEastAsia" w:hAnsiTheme="minorEastAsia"/>
          <w:color w:val="auto"/>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738"/>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一、质疑供应商基本信息</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质疑供应商：</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联系人：</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授权代表：</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二、质疑项目基本情况</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质疑项目的名称：</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质疑项目的编号：</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包号：</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采购人名称：</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采购文件获取日期：</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三、质疑事项具体内容</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质疑事项1：</w:t>
      </w:r>
      <w:r>
        <w:rPr>
          <w:rFonts w:hint="eastAsia" w:asciiTheme="minorEastAsia" w:hAnsiTheme="minorEastAsia" w:cstheme="minorEastAsia"/>
          <w:bCs/>
          <w:color w:val="auto"/>
          <w:highlight w:val="none"/>
          <w:u w:val="single"/>
        </w:rPr>
        <w:t xml:space="preserve">                                              </w:t>
      </w:r>
      <w:r/>
    </w:p>
    <w:p>
      <w:pPr>
        <w:pStyle w:val="738"/>
        <w:ind w:firstLine="482"/>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事实依据：</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法律依据：</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质疑事项2</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w:t>
      </w:r>
      <w:r/>
    </w:p>
    <w:p>
      <w:pPr>
        <w:pStyle w:val="738"/>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四、与质疑事项相关的质疑请求</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请求：</w:t>
      </w:r>
      <w:r>
        <w:rPr>
          <w:rFonts w:hint="eastAsia" w:asciiTheme="minorEastAsia" w:hAnsiTheme="minorEastAsia" w:cstheme="minorEastAsia"/>
          <w:bCs/>
          <w:color w:val="auto"/>
          <w:highlight w:val="none"/>
          <w:u w:val="single"/>
        </w:rPr>
        <w:t xml:space="preserve">                                                              </w:t>
      </w:r>
      <w:r/>
    </w:p>
    <w:p>
      <w:pPr>
        <w:pStyle w:val="738"/>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签字（签章）：        公章：             日期：   </w:t>
      </w:r>
      <w:r/>
    </w:p>
    <w:p>
      <w:pPr>
        <w:ind w:firstLine="440"/>
        <w:spacing w:line="520" w:lineRule="exact"/>
        <w:widowControl/>
        <w:rPr>
          <w:color w:val="auto"/>
          <w:sz w:val="24"/>
          <w:highlight w:val="none"/>
        </w:rPr>
      </w:pPr>
      <w:r>
        <w:rPr>
          <w:rFonts w:hint="eastAsia"/>
          <w:color w:val="auto"/>
          <w:sz w:val="24"/>
          <w:highlight w:val="none"/>
        </w:rPr>
        <w:t xml:space="preserve">质疑函制作说明：</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1.供应商提出质疑时，应提交质疑函和必要的证明材料。</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5.质疑函的质疑请求应与质疑事项相关。</w:t>
      </w:r>
      <w:r/>
    </w:p>
    <w:p>
      <w:pPr>
        <w:ind w:firstLine="440"/>
        <w:spacing w:line="520" w:lineRule="exact"/>
        <w:widowControl/>
        <w:rPr>
          <w:color w:val="auto"/>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40"/>
        <w:spacing w:line="520" w:lineRule="exact"/>
        <w:widowControl/>
        <w:rPr>
          <w:color w:val="auto"/>
          <w:highlight w:val="none"/>
        </w:rPr>
      </w:pPr>
      <w:r>
        <w:rPr>
          <w:color w:val="auto"/>
          <w:highlight w:val="none"/>
        </w:rPr>
      </w:r>
      <w:r/>
    </w:p>
    <w:sectPr>
      <w:footerReference w:type="default" r:id="rId11"/>
      <w:footnotePr/>
      <w:endnotePr/>
      <w:type w:val="nextPage"/>
      <w:pgSz w:w="11906" w:h="16838" w:orient="portrait"/>
      <w:pgMar w:top="1440" w:right="1633" w:bottom="1440" w:left="163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华文中宋">
    <w:panose1 w:val="02010600040101010101"/>
  </w:font>
  <w:font w:name="黑体">
    <w:panose1 w:val="02010609060101010101"/>
  </w:font>
  <w:font w:name="等线">
    <w:panose1 w:val="02010600030101010101"/>
  </w:font>
  <w:font w:name="仿宋">
    <w:panose1 w:val="02010609060101010101"/>
  </w:font>
  <w:font w:name="Courier New">
    <w:panose1 w:val="02070309020205020404"/>
  </w:font>
  <w:font w:name="Symbol">
    <w:panose1 w:val="05050102010706020507"/>
  </w:font>
  <w:font w:name="楷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2110"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46952" cy="139526"/>
                      </a:xfrm>
                      <a:prstGeom prst="rect">
                        <a:avLst/>
                      </a:prstGeom>
                      <a:noFill/>
                      <a:ln w="6350">
                        <a:noFill/>
                      </a:ln>
                      <a:effectLst/>
                    </wps:spPr>
                    <wps:txbx>
                      <w:txbxContent>
                        <w:p>
                          <w:pPr>
                            <w:pStyle w:val="727"/>
                          </w:pPr>
                          <w:r>
                            <w:fldChar w:fldCharType="begin"/>
                          </w:r>
                          <w:r>
                            <w:instrText xml:space="preserve"> PAGE  \* MERGEFORMAT </w:instrText>
                          </w:r>
                          <w:r>
                            <w:fldChar w:fldCharType="separate"/>
                          </w:r>
                          <w:r>
                            <w:t xml:space="preserve">102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9.3pt;height:11.6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102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rPr>
      <w:t xml:space="preserve">JSZC-320900-JZCG-G2026-0058</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TOC Heading"/>
    <w:uiPriority w:val="39"/>
    <w:unhideWhenUsed/>
  </w:style>
  <w:style w:type="paragraph" w:styleId="70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2">
    <w:name w:val="Heading 1"/>
    <w:basedOn w:val="701"/>
    <w:next w:val="701"/>
    <w:link w:val="976"/>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977"/>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978"/>
    <w:uiPriority w:val="9"/>
    <w:unhideWhenUsed/>
    <w:qFormat/>
    <w:pPr>
      <w:keepLines/>
      <w:keepNext/>
      <w:spacing w:before="320" w:after="200"/>
      <w:outlineLvl w:val="4"/>
    </w:pPr>
    <w:rPr>
      <w:rFonts w:ascii="Arial" w:hAnsi="Arial" w:eastAsia="Arial" w:cs="Arial"/>
      <w:b/>
      <w:bCs/>
      <w:sz w:val="24"/>
    </w:rPr>
  </w:style>
  <w:style w:type="paragraph" w:styleId="707">
    <w:name w:val="Heading 6"/>
    <w:basedOn w:val="701"/>
    <w:next w:val="701"/>
    <w:link w:val="979"/>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980"/>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98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982"/>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spacing w:after="57"/>
    </w:pPr>
  </w:style>
  <w:style w:type="paragraph" w:styleId="714">
    <w:name w:val="Normal Indent"/>
    <w:basedOn w:val="701"/>
    <w:link w:val="948"/>
    <w:uiPriority w:val="0"/>
    <w:unhideWhenUsed/>
    <w:qFormat/>
    <w:pPr>
      <w:ind w:firstLine="420"/>
    </w:pPr>
    <w:rPr>
      <w:rFonts w:ascii="Calibri" w:hAnsi="Calibri" w:eastAsia="宋体" w:cs="Times New Roman"/>
      <w:sz w:val="20"/>
      <w:szCs w:val="20"/>
    </w:rPr>
  </w:style>
  <w:style w:type="paragraph" w:styleId="715">
    <w:name w:val="Caption"/>
    <w:basedOn w:val="701"/>
    <w:next w:val="7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6">
    <w:name w:val="toa heading"/>
    <w:basedOn w:val="701"/>
    <w:next w:val="701"/>
    <w:uiPriority w:val="99"/>
    <w:unhideWhenUsed/>
    <w:qFormat/>
    <w:pPr>
      <w:spacing w:before="120"/>
    </w:pPr>
    <w:rPr>
      <w:rFonts w:ascii="Cambria" w:hAnsi="Cambria" w:eastAsia="宋体" w:cs="Times New Roman"/>
      <w:sz w:val="24"/>
      <w:szCs w:val="21"/>
    </w:rPr>
  </w:style>
  <w:style w:type="paragraph" w:styleId="717">
    <w:name w:val="annotation text"/>
    <w:basedOn w:val="701"/>
    <w:link w:val="983"/>
    <w:uiPriority w:val="99"/>
    <w:semiHidden/>
    <w:unhideWhenUsed/>
    <w:qFormat/>
    <w:pPr>
      <w:jc w:val="left"/>
    </w:pPr>
  </w:style>
  <w:style w:type="paragraph" w:styleId="718">
    <w:name w:val="Body Text"/>
    <w:basedOn w:val="701"/>
    <w:next w:val="701"/>
    <w:link w:val="950"/>
    <w:uiPriority w:val="99"/>
    <w:unhideWhenUsed/>
    <w:qFormat/>
    <w:rPr>
      <w:rFonts w:ascii="楷体" w:hAnsi="Arial" w:eastAsia="楷体" w:cs="Times New Roman"/>
      <w:sz w:val="28"/>
      <w:szCs w:val="28"/>
    </w:rPr>
  </w:style>
  <w:style w:type="paragraph" w:styleId="719">
    <w:name w:val="Body Text Indent"/>
    <w:basedOn w:val="701"/>
    <w:link w:val="984"/>
    <w:uiPriority w:val="0"/>
    <w:qFormat/>
    <w:pPr>
      <w:ind w:left="420"/>
      <w:spacing w:after="120"/>
    </w:pPr>
  </w:style>
  <w:style w:type="paragraph" w:styleId="720">
    <w:name w:val="index 4"/>
    <w:basedOn w:val="701"/>
    <w:next w:val="701"/>
    <w:uiPriority w:val="0"/>
    <w:qFormat/>
    <w:pPr>
      <w:ind w:left="600"/>
      <w:spacing w:line="360" w:lineRule="auto"/>
    </w:pPr>
    <w:rPr>
      <w:sz w:val="24"/>
    </w:rPr>
  </w:style>
  <w:style w:type="paragraph" w:styleId="721">
    <w:name w:val="toc 5"/>
    <w:basedOn w:val="701"/>
    <w:next w:val="701"/>
    <w:uiPriority w:val="39"/>
    <w:unhideWhenUsed/>
    <w:qFormat/>
    <w:pPr>
      <w:ind w:left="1134"/>
      <w:spacing w:after="57"/>
    </w:pPr>
  </w:style>
  <w:style w:type="paragraph" w:styleId="722">
    <w:name w:val="toc 3"/>
    <w:basedOn w:val="701"/>
    <w:next w:val="701"/>
    <w:uiPriority w:val="39"/>
    <w:unhideWhenUsed/>
    <w:qFormat/>
    <w:pPr>
      <w:ind w:left="567"/>
      <w:spacing w:after="57"/>
    </w:pPr>
  </w:style>
  <w:style w:type="paragraph" w:styleId="723">
    <w:name w:val="Plain Text"/>
    <w:basedOn w:val="701"/>
    <w:link w:val="947"/>
    <w:uiPriority w:val="0"/>
    <w:unhideWhenUsed/>
    <w:qFormat/>
    <w:rPr>
      <w:rFonts w:ascii="宋体" w:hAnsi="Courier New" w:eastAsia="宋体" w:cs="Times New Roman"/>
      <w:szCs w:val="21"/>
    </w:rPr>
  </w:style>
  <w:style w:type="paragraph" w:styleId="724">
    <w:name w:val="toc 8"/>
    <w:basedOn w:val="701"/>
    <w:next w:val="701"/>
    <w:uiPriority w:val="39"/>
    <w:unhideWhenUsed/>
    <w:qFormat/>
    <w:pPr>
      <w:ind w:left="1984"/>
      <w:spacing w:after="57"/>
    </w:pPr>
  </w:style>
  <w:style w:type="paragraph" w:styleId="725">
    <w:name w:val="endnote text"/>
    <w:basedOn w:val="701"/>
    <w:link w:val="938"/>
    <w:uiPriority w:val="99"/>
    <w:semiHidden/>
    <w:unhideWhenUsed/>
    <w:qFormat/>
    <w:rPr>
      <w:sz w:val="20"/>
    </w:rPr>
  </w:style>
  <w:style w:type="paragraph" w:styleId="726">
    <w:name w:val="Balloon Text"/>
    <w:basedOn w:val="701"/>
    <w:link w:val="952"/>
    <w:uiPriority w:val="0"/>
    <w:qFormat/>
    <w:rPr>
      <w:sz w:val="18"/>
      <w:szCs w:val="18"/>
    </w:rPr>
  </w:style>
  <w:style w:type="paragraph" w:styleId="727">
    <w:name w:val="Footer"/>
    <w:basedOn w:val="701"/>
    <w:uiPriority w:val="99"/>
    <w:unhideWhenUsed/>
    <w:qFormat/>
    <w:pPr>
      <w:jc w:val="left"/>
      <w:tabs>
        <w:tab w:val="center" w:pos="4153" w:leader="none"/>
        <w:tab w:val="right" w:pos="8306" w:leader="none"/>
      </w:tabs>
    </w:pPr>
    <w:rPr>
      <w:sz w:val="18"/>
      <w:szCs w:val="18"/>
    </w:rPr>
  </w:style>
  <w:style w:type="paragraph" w:styleId="728">
    <w:name w:val="envelope return"/>
    <w:basedOn w:val="701"/>
    <w:uiPriority w:val="0"/>
    <w:qFormat/>
    <w:pPr>
      <w:spacing w:line="360" w:lineRule="auto"/>
    </w:pPr>
    <w:rPr>
      <w:rFonts w:ascii="Arial" w:hAnsi="Arial" w:eastAsia="仿宋" w:cs="Arial"/>
      <w:sz w:val="28"/>
      <w:szCs w:val="21"/>
    </w:rPr>
  </w:style>
  <w:style w:type="paragraph" w:styleId="729">
    <w:name w:val="Header"/>
    <w:basedOn w:val="701"/>
    <w:uiPriority w:val="99"/>
    <w:semiHidden/>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0">
    <w:name w:val="toc 1"/>
    <w:basedOn w:val="701"/>
    <w:next w:val="701"/>
    <w:uiPriority w:val="39"/>
    <w:unhideWhenUsed/>
    <w:qFormat/>
    <w:pPr>
      <w:spacing w:after="57"/>
    </w:pPr>
  </w:style>
  <w:style w:type="paragraph" w:styleId="731">
    <w:name w:val="toc 4"/>
    <w:basedOn w:val="701"/>
    <w:next w:val="701"/>
    <w:uiPriority w:val="39"/>
    <w:unhideWhenUsed/>
    <w:qFormat/>
    <w:pPr>
      <w:ind w:left="850"/>
      <w:spacing w:after="57"/>
    </w:pPr>
  </w:style>
  <w:style w:type="paragraph" w:styleId="732">
    <w:name w:val="Subtitle"/>
    <w:basedOn w:val="701"/>
    <w:next w:val="701"/>
    <w:link w:val="803"/>
    <w:uiPriority w:val="11"/>
    <w:qFormat/>
    <w:pPr>
      <w:spacing w:before="200" w:after="200"/>
    </w:pPr>
    <w:rPr>
      <w:sz w:val="24"/>
    </w:rPr>
  </w:style>
  <w:style w:type="paragraph" w:styleId="733">
    <w:name w:val="footnote text"/>
    <w:basedOn w:val="701"/>
    <w:link w:val="937"/>
    <w:uiPriority w:val="99"/>
    <w:semiHidden/>
    <w:unhideWhenUsed/>
    <w:qFormat/>
    <w:pPr>
      <w:spacing w:after="40"/>
    </w:pPr>
    <w:rPr>
      <w:sz w:val="18"/>
    </w:rPr>
  </w:style>
  <w:style w:type="paragraph" w:styleId="734">
    <w:name w:val="toc 6"/>
    <w:basedOn w:val="701"/>
    <w:next w:val="701"/>
    <w:uiPriority w:val="39"/>
    <w:unhideWhenUsed/>
    <w:qFormat/>
    <w:pPr>
      <w:ind w:left="1417"/>
      <w:spacing w:after="57"/>
    </w:pPr>
  </w:style>
  <w:style w:type="paragraph" w:styleId="735">
    <w:name w:val="table of figures"/>
    <w:basedOn w:val="701"/>
    <w:next w:val="701"/>
    <w:uiPriority w:val="99"/>
    <w:unhideWhenUsed/>
    <w:qFormat/>
  </w:style>
  <w:style w:type="paragraph" w:styleId="736">
    <w:name w:val="toc 2"/>
    <w:basedOn w:val="701"/>
    <w:next w:val="701"/>
    <w:uiPriority w:val="39"/>
    <w:unhideWhenUsed/>
    <w:qFormat/>
    <w:pPr>
      <w:ind w:left="283"/>
      <w:spacing w:after="57"/>
    </w:pPr>
  </w:style>
  <w:style w:type="paragraph" w:styleId="737">
    <w:name w:val="toc 9"/>
    <w:basedOn w:val="701"/>
    <w:next w:val="701"/>
    <w:uiPriority w:val="39"/>
    <w:unhideWhenUsed/>
    <w:qFormat/>
    <w:pPr>
      <w:ind w:left="2268"/>
      <w:spacing w:after="57"/>
    </w:pPr>
  </w:style>
  <w:style w:type="paragraph" w:styleId="738">
    <w:name w:val="Normal (Web)"/>
    <w:basedOn w:val="701"/>
    <w:uiPriority w:val="0"/>
    <w:qFormat/>
    <w:pPr>
      <w:jc w:val="left"/>
      <w:spacing w:beforeAutospacing="1" w:afterAutospacing="1"/>
    </w:pPr>
    <w:rPr>
      <w:rFonts w:cs="Times New Roman"/>
      <w:sz w:val="24"/>
    </w:rPr>
  </w:style>
  <w:style w:type="paragraph" w:styleId="739">
    <w:name w:val="Title"/>
    <w:basedOn w:val="701"/>
    <w:next w:val="701"/>
    <w:link w:val="802"/>
    <w:uiPriority w:val="10"/>
    <w:qFormat/>
    <w:pPr>
      <w:contextualSpacing/>
      <w:spacing w:before="300" w:after="200"/>
    </w:pPr>
    <w:rPr>
      <w:sz w:val="48"/>
      <w:szCs w:val="48"/>
    </w:rPr>
  </w:style>
  <w:style w:type="paragraph" w:styleId="740">
    <w:name w:val="Body Text First Indent"/>
    <w:basedOn w:val="718"/>
    <w:next w:val="701"/>
    <w:link w:val="985"/>
    <w:uiPriority w:val="0"/>
    <w:qFormat/>
    <w:pPr>
      <w:ind w:firstLine="200"/>
      <w:spacing w:line="360" w:lineRule="auto"/>
    </w:pPr>
    <w:rPr>
      <w:rFonts w:ascii="仿宋" w:hAnsi="Times New Roman" w:eastAsia="仿宋"/>
      <w:sz w:val="30"/>
      <w:szCs w:val="30"/>
    </w:rPr>
  </w:style>
  <w:style w:type="paragraph" w:styleId="741">
    <w:name w:val="Body Text First Indent 2"/>
    <w:basedOn w:val="719"/>
    <w:link w:val="972"/>
    <w:uiPriority w:val="0"/>
    <w:qFormat/>
    <w:pPr>
      <w:ind w:firstLine="420"/>
      <w:spacing w:line="360" w:lineRule="auto"/>
    </w:pPr>
    <w:rPr>
      <w:rFonts w:ascii="宋体" w:eastAsia="仿宋"/>
      <w:sz w:val="24"/>
      <w:szCs w:val="21"/>
    </w:rPr>
  </w:style>
  <w:style w:type="table" w:styleId="742">
    <w:name w:val="Table Grid"/>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1"/>
    <w:uiPriority w:val="22"/>
    <w:qFormat/>
    <w:rPr>
      <w:b/>
      <w:bCs/>
    </w:rPr>
  </w:style>
  <w:style w:type="character" w:styleId="744">
    <w:name w:val="endnote reference"/>
    <w:basedOn w:val="711"/>
    <w:uiPriority w:val="99"/>
    <w:semiHidden/>
    <w:unhideWhenUsed/>
    <w:qFormat/>
    <w:rPr>
      <w:vertAlign w:val="superscript"/>
    </w:rPr>
  </w:style>
  <w:style w:type="character" w:styleId="745">
    <w:name w:val="FollowedHyperlink"/>
    <w:basedOn w:val="711"/>
    <w:uiPriority w:val="99"/>
    <w:semiHidden/>
    <w:unhideWhenUsed/>
    <w:qFormat/>
    <w:rPr>
      <w:color w:val="954f72" w:themeColor="followedHyperlink"/>
      <w:u w:val="single"/>
      <w14:textFill>
        <w14:solidFill>
          <w14:schemeClr w14:val="folHlink"/>
        </w14:solidFill>
      </w14:textFill>
    </w:rPr>
  </w:style>
  <w:style w:type="character" w:styleId="746">
    <w:name w:val="Hyperlink"/>
    <w:uiPriority w:val="99"/>
    <w:unhideWhenUsed/>
    <w:qFormat/>
    <w:rPr>
      <w:color w:val="0563c1" w:themeColor="hyperlink"/>
      <w:u w:val="single"/>
      <w14:textFill>
        <w14:solidFill>
          <w14:schemeClr w14:val="hlink"/>
        </w14:solidFill>
      </w14:textFill>
    </w:rPr>
  </w:style>
  <w:style w:type="character" w:styleId="747">
    <w:name w:val="footnote reference"/>
    <w:basedOn w:val="711"/>
    <w:uiPriority w:val="99"/>
    <w:unhideWhenUsed/>
    <w:qFormat/>
    <w:rPr>
      <w:vertAlign w:val="superscript"/>
    </w:rPr>
  </w:style>
  <w:style w:type="paragraph" w:styleId="748" w:customStyle="1">
    <w:name w:val="样式 标题 3 + (中文) 黑体 小四 非加粗 段前: 7.8 磅 段后: 0 磅 行距: 固定值 20 磅_0"/>
    <w:basedOn w:val="701"/>
    <w:uiPriority w:val="0"/>
    <w:qFormat/>
    <w:pPr>
      <w:keepLines/>
      <w:keepNext/>
      <w:spacing w:line="400" w:lineRule="exact"/>
      <w:outlineLvl w:val="2"/>
    </w:pPr>
    <w:rPr>
      <w:rFonts w:eastAsia="黑体" w:cs="宋体"/>
      <w:szCs w:val="21"/>
    </w:rPr>
  </w:style>
  <w:style w:type="table" w:styleId="749" w:customStyle="1">
    <w:name w:val="Plain Table 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71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71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71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8" w:customStyle="1">
    <w:name w:val="TOC 标题1"/>
    <w:uiPriority w:val="39"/>
    <w:unhideWhenUsed/>
    <w:qFormat/>
    <w:rPr>
      <w:rFonts w:ascii="Times New Roman" w:hAnsi="Times New Roman" w:eastAsia="宋体" w:cs="Times New Roman"/>
      <w:lang w:val="en-US" w:eastAsia="zh-CN" w:bidi="ar-SA"/>
    </w:rPr>
  </w:style>
  <w:style w:type="paragraph" w:styleId="769" w:customStyle="1">
    <w:name w:val="style4"/>
    <w:basedOn w:val="701"/>
    <w:next w:val="770"/>
    <w:uiPriority w:val="0"/>
    <w:qFormat/>
    <w:pPr>
      <w:spacing w:before="280" w:after="280"/>
      <w:widowControl/>
    </w:pPr>
    <w:rPr>
      <w:rFonts w:ascii="宋体" w:hAnsi="Calibri" w:eastAsia="宋体" w:cs="Times New Roman"/>
      <w:sz w:val="18"/>
    </w:rPr>
  </w:style>
  <w:style w:type="paragraph" w:styleId="770" w:customStyle="1">
    <w:name w:val="2"/>
    <w:next w:val="701"/>
    <w:uiPriority w:val="0"/>
    <w:qFormat/>
    <w:pPr>
      <w:jc w:val="both"/>
      <w:widowControl w:val="off"/>
    </w:pPr>
    <w:rPr>
      <w:rFonts w:ascii="Calibri" w:hAnsi="Calibri" w:eastAsia="宋体" w:cs="Times New Roman"/>
      <w:sz w:val="21"/>
      <w:szCs w:val="22"/>
      <w:lang w:val="en-US" w:eastAsia="zh-CN" w:bidi="ar-SA"/>
    </w:rPr>
  </w:style>
  <w:style w:type="character" w:styleId="771" w:customStyle="1">
    <w:name w:val="标题 3 Char"/>
    <w:basedOn w:val="711"/>
    <w:uiPriority w:val="9"/>
    <w:semiHidden/>
    <w:qFormat/>
    <w:rPr>
      <w:rFonts w:asciiTheme="minorHAnsi" w:hAnsiTheme="minorHAnsi" w:eastAsiaTheme="minorEastAsia" w:cstheme="minorBidi"/>
      <w:b/>
      <w:bCs/>
      <w:sz w:val="32"/>
      <w:szCs w:val="32"/>
    </w:rPr>
  </w:style>
  <w:style w:type="character" w:styleId="772" w:customStyle="1">
    <w:name w:val="Heading 1 Char"/>
    <w:basedOn w:val="711"/>
    <w:link w:val="773"/>
    <w:uiPriority w:val="9"/>
    <w:qFormat/>
    <w:rPr>
      <w:rFonts w:ascii="Arial" w:hAnsi="Arial" w:eastAsia="Arial" w:cs="Arial"/>
      <w:sz w:val="40"/>
      <w:szCs w:val="40"/>
    </w:rPr>
  </w:style>
  <w:style w:type="paragraph" w:styleId="773" w:customStyle="1">
    <w:name w:val="Heading 11"/>
    <w:basedOn w:val="701"/>
    <w:next w:val="701"/>
    <w:link w:val="772"/>
    <w:uiPriority w:val="9"/>
    <w:qFormat/>
    <w:pPr>
      <w:keepLines/>
      <w:keepNext/>
      <w:spacing w:before="480" w:after="200"/>
      <w:outlineLvl w:val="0"/>
    </w:pPr>
    <w:rPr>
      <w:rFonts w:ascii="Arial" w:hAnsi="Arial" w:eastAsia="Arial" w:cs="Arial"/>
      <w:sz w:val="40"/>
      <w:szCs w:val="40"/>
    </w:rPr>
  </w:style>
  <w:style w:type="paragraph" w:styleId="774" w:customStyle="1">
    <w:name w:val="正文首行缩进11"/>
    <w:basedOn w:val="701"/>
    <w:next w:val="701"/>
    <w:uiPriority w:val="99"/>
    <w:unhideWhenUsed/>
    <w:qFormat/>
    <w:pPr>
      <w:ind w:firstLine="420"/>
    </w:pPr>
    <w:rPr>
      <w:rFonts w:ascii="Times New Roman" w:hAnsi="Times New Roman"/>
    </w:rPr>
  </w:style>
  <w:style w:type="paragraph" w:styleId="775" w:customStyle="1">
    <w:name w:val="TOC 标题111"/>
    <w:uiPriority w:val="39"/>
    <w:unhideWhenUsed/>
    <w:qFormat/>
    <w:rPr>
      <w:rFonts w:ascii="Times New Roman" w:hAnsi="Times New Roman" w:eastAsia="宋体" w:cs="Times New Roman"/>
      <w:lang w:val="en-US" w:eastAsia="zh-CN" w:bidi="ar-SA"/>
    </w:rPr>
  </w:style>
  <w:style w:type="character" w:styleId="776" w:customStyle="1">
    <w:name w:val="Title Char"/>
    <w:basedOn w:val="711"/>
    <w:uiPriority w:val="10"/>
    <w:qFormat/>
    <w:rPr>
      <w:sz w:val="48"/>
      <w:szCs w:val="48"/>
    </w:rPr>
  </w:style>
  <w:style w:type="character" w:styleId="777" w:customStyle="1">
    <w:name w:val="Subtitle Char"/>
    <w:basedOn w:val="711"/>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标题 11"/>
    <w:basedOn w:val="701"/>
    <w:next w:val="701"/>
    <w:uiPriority w:val="9"/>
    <w:qFormat/>
    <w:pPr>
      <w:keepLines/>
      <w:keepNext/>
      <w:spacing w:before="340" w:after="330" w:line="576" w:lineRule="auto"/>
      <w:outlineLvl w:val="0"/>
    </w:pPr>
    <w:rPr>
      <w:b/>
      <w:sz w:val="44"/>
    </w:rPr>
  </w:style>
  <w:style w:type="paragraph" w:styleId="783" w:customStyle="1">
    <w:name w:val="标题 21"/>
    <w:basedOn w:val="701"/>
    <w:link w:val="957"/>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84" w:customStyle="1">
    <w:name w:val="页脚1"/>
    <w:basedOn w:val="701"/>
    <w:link w:val="956"/>
    <w:uiPriority w:val="99"/>
    <w:semiHidden/>
    <w:unhideWhenUsed/>
    <w:qFormat/>
    <w:pPr>
      <w:jc w:val="left"/>
      <w:tabs>
        <w:tab w:val="center" w:pos="4153" w:leader="none"/>
        <w:tab w:val="right" w:pos="8306" w:leader="none"/>
      </w:tabs>
    </w:pPr>
    <w:rPr>
      <w:sz w:val="18"/>
      <w:szCs w:val="18"/>
    </w:rPr>
  </w:style>
  <w:style w:type="paragraph" w:styleId="785" w:customStyle="1">
    <w:name w:val="页眉1"/>
    <w:basedOn w:val="701"/>
    <w:link w:val="955"/>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86" w:customStyle="1">
    <w:name w:val="Heading 2 Char"/>
    <w:basedOn w:val="711"/>
    <w:uiPriority w:val="9"/>
    <w:qFormat/>
    <w:rPr>
      <w:rFonts w:ascii="Arial" w:hAnsi="Arial" w:eastAsia="Arial" w:cs="Arial"/>
      <w:sz w:val="34"/>
    </w:rPr>
  </w:style>
  <w:style w:type="character" w:styleId="787" w:customStyle="1">
    <w:name w:val="Heading 3 Char"/>
    <w:basedOn w:val="711"/>
    <w:uiPriority w:val="9"/>
    <w:qFormat/>
    <w:rPr>
      <w:rFonts w:ascii="Arial" w:hAnsi="Arial" w:eastAsia="Arial" w:cs="Arial"/>
      <w:sz w:val="30"/>
      <w:szCs w:val="30"/>
    </w:rPr>
  </w:style>
  <w:style w:type="paragraph" w:styleId="788" w:customStyle="1">
    <w:name w:val="标题 41"/>
    <w:basedOn w:val="701"/>
    <w:next w:val="701"/>
    <w:link w:val="789"/>
    <w:uiPriority w:val="9"/>
    <w:unhideWhenUsed/>
    <w:qFormat/>
    <w:pPr>
      <w:keepLines/>
      <w:keepNext/>
      <w:spacing w:before="320" w:after="200"/>
      <w:outlineLvl w:val="3"/>
    </w:pPr>
    <w:rPr>
      <w:rFonts w:ascii="Arial" w:hAnsi="Arial" w:eastAsia="Arial" w:cs="Arial"/>
      <w:b/>
      <w:bCs/>
      <w:sz w:val="26"/>
      <w:szCs w:val="26"/>
    </w:rPr>
  </w:style>
  <w:style w:type="character" w:styleId="789" w:customStyle="1">
    <w:name w:val="Heading 4 Char"/>
    <w:basedOn w:val="711"/>
    <w:link w:val="788"/>
    <w:uiPriority w:val="9"/>
    <w:qFormat/>
    <w:rPr>
      <w:rFonts w:ascii="Arial" w:hAnsi="Arial" w:eastAsia="Arial" w:cs="Arial"/>
      <w:b/>
      <w:bCs/>
      <w:sz w:val="26"/>
      <w:szCs w:val="26"/>
    </w:rPr>
  </w:style>
  <w:style w:type="paragraph" w:styleId="790" w:customStyle="1">
    <w:name w:val="标题 51"/>
    <w:basedOn w:val="701"/>
    <w:next w:val="701"/>
    <w:link w:val="791"/>
    <w:uiPriority w:val="9"/>
    <w:unhideWhenUsed/>
    <w:qFormat/>
    <w:pPr>
      <w:keepLines/>
      <w:keepNext/>
      <w:spacing w:before="320" w:after="200"/>
      <w:outlineLvl w:val="4"/>
    </w:pPr>
    <w:rPr>
      <w:rFonts w:ascii="Arial" w:hAnsi="Arial" w:eastAsia="Arial" w:cs="Arial"/>
      <w:b/>
      <w:bCs/>
      <w:sz w:val="24"/>
    </w:rPr>
  </w:style>
  <w:style w:type="character" w:styleId="791" w:customStyle="1">
    <w:name w:val="Heading 5 Char"/>
    <w:basedOn w:val="711"/>
    <w:link w:val="790"/>
    <w:uiPriority w:val="9"/>
    <w:qFormat/>
    <w:rPr>
      <w:rFonts w:ascii="Arial" w:hAnsi="Arial" w:eastAsia="Arial" w:cs="Arial"/>
      <w:b/>
      <w:bCs/>
      <w:sz w:val="24"/>
      <w:szCs w:val="24"/>
    </w:rPr>
  </w:style>
  <w:style w:type="paragraph" w:styleId="792" w:customStyle="1">
    <w:name w:val="标题 61"/>
    <w:basedOn w:val="701"/>
    <w:next w:val="701"/>
    <w:link w:val="793"/>
    <w:uiPriority w:val="9"/>
    <w:unhideWhenUsed/>
    <w:qFormat/>
    <w:pPr>
      <w:keepLines/>
      <w:keepNext/>
      <w:spacing w:before="320" w:after="200"/>
      <w:outlineLvl w:val="5"/>
    </w:pPr>
    <w:rPr>
      <w:rFonts w:ascii="Arial" w:hAnsi="Arial" w:eastAsia="Arial" w:cs="Arial"/>
      <w:b/>
      <w:bCs/>
      <w:sz w:val="22"/>
      <w:szCs w:val="22"/>
    </w:rPr>
  </w:style>
  <w:style w:type="character" w:styleId="793" w:customStyle="1">
    <w:name w:val="Heading 6 Char"/>
    <w:basedOn w:val="711"/>
    <w:link w:val="792"/>
    <w:uiPriority w:val="9"/>
    <w:qFormat/>
    <w:rPr>
      <w:rFonts w:ascii="Arial" w:hAnsi="Arial" w:eastAsia="Arial" w:cs="Arial"/>
      <w:b/>
      <w:bCs/>
      <w:sz w:val="22"/>
      <w:szCs w:val="22"/>
    </w:rPr>
  </w:style>
  <w:style w:type="paragraph" w:styleId="794" w:customStyle="1">
    <w:name w:val="标题 71"/>
    <w:basedOn w:val="701"/>
    <w:next w:val="701"/>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customStyle="1">
    <w:name w:val="Heading 7 Char"/>
    <w:basedOn w:val="711"/>
    <w:link w:val="794"/>
    <w:uiPriority w:val="9"/>
    <w:qFormat/>
    <w:rPr>
      <w:rFonts w:ascii="Arial" w:hAnsi="Arial" w:eastAsia="Arial" w:cs="Arial"/>
      <w:b/>
      <w:bCs/>
      <w:i/>
      <w:iCs/>
      <w:sz w:val="22"/>
      <w:szCs w:val="22"/>
    </w:rPr>
  </w:style>
  <w:style w:type="paragraph" w:styleId="796" w:customStyle="1">
    <w:name w:val="标题 81"/>
    <w:basedOn w:val="701"/>
    <w:next w:val="701"/>
    <w:link w:val="797"/>
    <w:uiPriority w:val="9"/>
    <w:unhideWhenUsed/>
    <w:qFormat/>
    <w:pPr>
      <w:keepLines/>
      <w:keepNext/>
      <w:spacing w:before="320" w:after="200"/>
      <w:outlineLvl w:val="7"/>
    </w:pPr>
    <w:rPr>
      <w:rFonts w:ascii="Arial" w:hAnsi="Arial" w:eastAsia="Arial" w:cs="Arial"/>
      <w:i/>
      <w:iCs/>
      <w:sz w:val="22"/>
      <w:szCs w:val="22"/>
    </w:rPr>
  </w:style>
  <w:style w:type="character" w:styleId="797" w:customStyle="1">
    <w:name w:val="Heading 8 Char"/>
    <w:basedOn w:val="711"/>
    <w:link w:val="796"/>
    <w:uiPriority w:val="9"/>
    <w:qFormat/>
    <w:rPr>
      <w:rFonts w:ascii="Arial" w:hAnsi="Arial" w:eastAsia="Arial" w:cs="Arial"/>
      <w:i/>
      <w:iCs/>
      <w:sz w:val="22"/>
      <w:szCs w:val="22"/>
    </w:rPr>
  </w:style>
  <w:style w:type="paragraph" w:styleId="798" w:customStyle="1">
    <w:name w:val="标题 91"/>
    <w:basedOn w:val="701"/>
    <w:next w:val="701"/>
    <w:link w:val="799"/>
    <w:uiPriority w:val="9"/>
    <w:unhideWhenUsed/>
    <w:qFormat/>
    <w:pPr>
      <w:keepLines/>
      <w:keepNext/>
      <w:spacing w:before="320" w:after="200"/>
      <w:outlineLvl w:val="8"/>
    </w:pPr>
    <w:rPr>
      <w:rFonts w:ascii="Arial" w:hAnsi="Arial" w:eastAsia="Arial" w:cs="Arial"/>
      <w:i/>
      <w:iCs/>
      <w:szCs w:val="21"/>
    </w:rPr>
  </w:style>
  <w:style w:type="character" w:styleId="799" w:customStyle="1">
    <w:name w:val="Heading 9 Char"/>
    <w:basedOn w:val="711"/>
    <w:link w:val="798"/>
    <w:uiPriority w:val="9"/>
    <w:qFormat/>
    <w:rPr>
      <w:rFonts w:ascii="Arial" w:hAnsi="Arial" w:eastAsia="Arial" w:cs="Arial"/>
      <w:i/>
      <w:iCs/>
      <w:sz w:val="21"/>
      <w:szCs w:val="21"/>
    </w:rPr>
  </w:style>
  <w:style w:type="paragraph" w:styleId="800">
    <w:name w:val="List Paragraph"/>
    <w:basedOn w:val="701"/>
    <w:uiPriority w:val="34"/>
    <w:qFormat/>
    <w:pPr>
      <w:contextualSpacing/>
      <w:ind w:left="720"/>
    </w:pPr>
  </w:style>
  <w:style w:type="paragraph" w:styleId="801">
    <w:name w:val="No Spacing"/>
    <w:uiPriority w:val="1"/>
    <w:qFormat/>
    <w:rPr>
      <w:rFonts w:ascii="Times New Roman" w:hAnsi="Times New Roman" w:eastAsia="宋体" w:cs="Times New Roman"/>
      <w:lang w:val="en-US" w:eastAsia="zh-CN" w:bidi="ar-SA"/>
    </w:rPr>
  </w:style>
  <w:style w:type="character" w:styleId="802" w:customStyle="1">
    <w:name w:val="标题 Char"/>
    <w:basedOn w:val="711"/>
    <w:link w:val="739"/>
    <w:uiPriority w:val="10"/>
    <w:qFormat/>
    <w:rPr>
      <w:sz w:val="48"/>
      <w:szCs w:val="48"/>
    </w:rPr>
  </w:style>
  <w:style w:type="character" w:styleId="803" w:customStyle="1">
    <w:name w:val="副标题 Char"/>
    <w:basedOn w:val="711"/>
    <w:link w:val="732"/>
    <w:uiPriority w:val="11"/>
    <w:qFormat/>
    <w:rPr>
      <w:sz w:val="24"/>
      <w:szCs w:val="24"/>
    </w:rPr>
  </w:style>
  <w:style w:type="paragraph" w:styleId="804">
    <w:name w:val="Quote"/>
    <w:basedOn w:val="701"/>
    <w:next w:val="701"/>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01"/>
    <w:next w:val="701"/>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Header Char"/>
    <w:basedOn w:val="711"/>
    <w:uiPriority w:val="99"/>
    <w:qFormat/>
  </w:style>
  <w:style w:type="character" w:styleId="809" w:customStyle="1">
    <w:name w:val="Footer Char"/>
    <w:basedOn w:val="711"/>
    <w:uiPriority w:val="99"/>
    <w:qFormat/>
  </w:style>
  <w:style w:type="paragraph" w:styleId="810" w:customStyle="1">
    <w:name w:val="题注1"/>
    <w:basedOn w:val="701"/>
    <w:next w:val="701"/>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11" w:customStyle="1">
    <w:name w:val="Caption Char"/>
    <w:uiPriority w:val="99"/>
    <w:qFormat/>
  </w:style>
  <w:style w:type="table" w:styleId="812"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1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1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1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1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1" w:customStyle="1">
    <w:name w:val="Grid Table 4 - Accent 2"/>
    <w:basedOn w:val="7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2" w:customStyle="1">
    <w:name w:val="Grid Table 4 - Accent 3"/>
    <w:basedOn w:val="7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3" w:customStyle="1">
    <w:name w:val="Grid Table 4 - Accent 4"/>
    <w:basedOn w:val="7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4" w:customStyle="1">
    <w:name w:val="Grid Table 4 - Accent 5"/>
    <w:basedOn w:val="7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5" w:customStyle="1">
    <w:name w:val="Grid Table 4 - Accent 6"/>
    <w:basedOn w:val="7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6"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8"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9"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0"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1"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2"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3"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basedOn w:val="7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7" w:customStyle="1">
    <w:name w:val="Grid Table 6 Colorful - Accent 4"/>
    <w:basedOn w:val="7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6 Colorful - Accent 6"/>
    <w:basedOn w:val="7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basedOn w:val="7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basedOn w:val="71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basedOn w:val="71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1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1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1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1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1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basedOn w:val="7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6" w:customStyle="1">
    <w:name w:val="List Table 2 - Accent 2"/>
    <w:basedOn w:val="7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7" w:customStyle="1">
    <w:name w:val="List Table 2 - Accent 3"/>
    <w:basedOn w:val="7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8" w:customStyle="1">
    <w:name w:val="List Table 2 - Accent 4"/>
    <w:basedOn w:val="7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9" w:customStyle="1">
    <w:name w:val="List Table 2 - Accent 5"/>
    <w:basedOn w:val="7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0" w:customStyle="1">
    <w:name w:val="List Table 2 - Accent 6"/>
    <w:basedOn w:val="7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1"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basedOn w:val="7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3" w:customStyle="1">
    <w:name w:val="List Table 3 - Accent 2"/>
    <w:basedOn w:val="7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8"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basedOn w:val="7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4 - Accent 2"/>
    <w:basedOn w:val="7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1" w:customStyle="1">
    <w:name w:val="List Table 4 - Accent 3"/>
    <w:basedOn w:val="7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2" w:customStyle="1">
    <w:name w:val="List Table 4 - Accent 4"/>
    <w:basedOn w:val="7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3" w:customStyle="1">
    <w:name w:val="List Table 4 - Accent 5"/>
    <w:basedOn w:val="7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4" w:customStyle="1">
    <w:name w:val="List Table 4 - Accent 6"/>
    <w:basedOn w:val="7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5"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basedOn w:val="7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basedOn w:val="71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basedOn w:val="71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4" w:customStyle="1">
    <w:name w:val="List Table 6 Colorful - Accent 2"/>
    <w:basedOn w:val="71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5" w:customStyle="1">
    <w:name w:val="List Table 6 Colorful - Accent 3"/>
    <w:basedOn w:val="71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6" w:customStyle="1">
    <w:name w:val="List Table 6 Colorful - Accent 4"/>
    <w:basedOn w:val="71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7" w:customStyle="1">
    <w:name w:val="List Table 6 Colorful - Accent 5"/>
    <w:basedOn w:val="71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8" w:customStyle="1">
    <w:name w:val="List Table 6 Colorful - Accent 6"/>
    <w:basedOn w:val="71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9" w:customStyle="1">
    <w:name w:val="清单表 7 彩色1"/>
    <w:basedOn w:val="71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basedOn w:val="71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1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1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1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1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1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Lined - Accent 2"/>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Lined - Accent 3"/>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Lined - Accent 4"/>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Lined - Accent 5"/>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Lined - Accent 6"/>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Bordered &amp; Lined - Accent 2"/>
    <w:basedOn w:val="7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Bordered &amp; Lined - Accent 3"/>
    <w:basedOn w:val="7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Bordered &amp; Lined - Accent 4"/>
    <w:basedOn w:val="7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Bordered &amp; Lined - Accent 5"/>
    <w:basedOn w:val="7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Bordered &amp; Lined - Accent 6"/>
    <w:basedOn w:val="7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2" w:customStyle="1">
    <w:name w:val="Bordered - Accent 2"/>
    <w:basedOn w:val="7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3" w:customStyle="1">
    <w:name w:val="Bordered - Accent 3"/>
    <w:basedOn w:val="7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4" w:customStyle="1">
    <w:name w:val="Bordered - Accent 4"/>
    <w:basedOn w:val="7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5" w:customStyle="1">
    <w:name w:val="Bordered - Accent 5"/>
    <w:basedOn w:val="7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6" w:customStyle="1">
    <w:name w:val="Bordered - Accent 6"/>
    <w:basedOn w:val="7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7" w:customStyle="1">
    <w:name w:val="脚注文本 Char"/>
    <w:link w:val="733"/>
    <w:uiPriority w:val="99"/>
    <w:qFormat/>
    <w:rPr>
      <w:sz w:val="18"/>
    </w:rPr>
  </w:style>
  <w:style w:type="character" w:styleId="938" w:customStyle="1">
    <w:name w:val="尾注文本 Char"/>
    <w:link w:val="725"/>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Heading 21"/>
    <w:basedOn w:val="701"/>
    <w:next w:val="701"/>
    <w:link w:val="954"/>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941" w:customStyle="1">
    <w:name w:val="标题 31"/>
    <w:basedOn w:val="701"/>
    <w:next w:val="714"/>
    <w:link w:val="94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2" w:customStyle="1">
    <w:name w:val="Footer1"/>
    <w:basedOn w:val="701"/>
    <w:link w:val="945"/>
    <w:uiPriority w:val="99"/>
    <w:qFormat/>
    <w:pPr>
      <w:jc w:val="left"/>
      <w:tabs>
        <w:tab w:val="center" w:pos="4153" w:leader="none"/>
        <w:tab w:val="right" w:pos="8306" w:leader="none"/>
      </w:tabs>
    </w:pPr>
    <w:rPr>
      <w:sz w:val="18"/>
      <w:szCs w:val="18"/>
    </w:rPr>
  </w:style>
  <w:style w:type="paragraph" w:styleId="943" w:customStyle="1">
    <w:name w:val="Header1"/>
    <w:basedOn w:val="701"/>
    <w:link w:val="944"/>
    <w:uiPriority w:val="99"/>
    <w:qFormat/>
    <w:pPr>
      <w:jc w:val="center"/>
      <w:tabs>
        <w:tab w:val="center" w:pos="4153" w:leader="none"/>
        <w:tab w:val="right" w:pos="8306" w:leader="none"/>
      </w:tabs>
      <w:pBdr>
        <w:bottom w:val="single" w:color="auto" w:sz="6" w:space="1"/>
      </w:pBdr>
    </w:pPr>
    <w:rPr>
      <w:sz w:val="18"/>
      <w:szCs w:val="18"/>
    </w:rPr>
  </w:style>
  <w:style w:type="character" w:styleId="944" w:customStyle="1">
    <w:name w:val="页眉 Char"/>
    <w:basedOn w:val="711"/>
    <w:link w:val="943"/>
    <w:uiPriority w:val="99"/>
    <w:qFormat/>
    <w:rPr>
      <w:rFonts w:asciiTheme="minorHAnsi" w:hAnsiTheme="minorHAnsi" w:eastAsiaTheme="minorEastAsia" w:cstheme="minorBidi"/>
      <w:sz w:val="18"/>
      <w:szCs w:val="18"/>
    </w:rPr>
  </w:style>
  <w:style w:type="character" w:styleId="945" w:customStyle="1">
    <w:name w:val="页脚 Char"/>
    <w:basedOn w:val="711"/>
    <w:link w:val="942"/>
    <w:uiPriority w:val="99"/>
    <w:qFormat/>
    <w:rPr>
      <w:rFonts w:asciiTheme="minorHAnsi" w:hAnsiTheme="minorHAnsi" w:eastAsiaTheme="minorEastAsia" w:cstheme="minorBidi"/>
      <w:sz w:val="18"/>
      <w:szCs w:val="18"/>
    </w:rPr>
  </w:style>
  <w:style w:type="paragraph" w:styleId="946" w:customStyle="1">
    <w:name w:val="!BECC正文"/>
    <w:basedOn w:val="701"/>
    <w:uiPriority w:val="0"/>
    <w:qFormat/>
    <w:pPr>
      <w:contextualSpacing/>
      <w:ind w:firstLine="200"/>
      <w:spacing w:line="360" w:lineRule="auto"/>
      <w:tabs>
        <w:tab w:val="left" w:pos="0" w:leader="none"/>
      </w:tabs>
    </w:pPr>
    <w:rPr>
      <w:rFonts w:ascii="Times New Roman" w:hAnsi="Times New Roman" w:eastAsia="宋体" w:cs="Times New Roman"/>
      <w:sz w:val="24"/>
    </w:rPr>
  </w:style>
  <w:style w:type="character" w:styleId="947" w:customStyle="1">
    <w:name w:val="纯文本 Char"/>
    <w:basedOn w:val="711"/>
    <w:link w:val="723"/>
    <w:uiPriority w:val="0"/>
    <w:qFormat/>
    <w:rPr>
      <w:rFonts w:ascii="宋体" w:hAnsi="Courier New"/>
      <w:sz w:val="21"/>
      <w:szCs w:val="21"/>
    </w:rPr>
  </w:style>
  <w:style w:type="character" w:styleId="948" w:customStyle="1">
    <w:name w:val="正文缩进 Char"/>
    <w:link w:val="714"/>
    <w:uiPriority w:val="0"/>
    <w:qFormat/>
    <w:rPr>
      <w:rFonts w:ascii="Calibri" w:hAnsi="Calibri"/>
    </w:rPr>
  </w:style>
  <w:style w:type="character" w:styleId="949" w:customStyle="1">
    <w:name w:val="标题 3 Char1"/>
    <w:link w:val="941"/>
    <w:uiPriority w:val="0"/>
    <w:qFormat/>
    <w:rPr>
      <w:b/>
      <w:bCs/>
      <w:sz w:val="32"/>
      <w:szCs w:val="32"/>
    </w:rPr>
  </w:style>
  <w:style w:type="character" w:styleId="950" w:customStyle="1">
    <w:name w:val="正文文本 Char"/>
    <w:basedOn w:val="711"/>
    <w:link w:val="718"/>
    <w:uiPriority w:val="99"/>
    <w:qFormat/>
    <w:rPr>
      <w:rFonts w:ascii="楷体" w:hAnsi="Arial" w:eastAsia="楷体"/>
      <w:sz w:val="28"/>
      <w:szCs w:val="28"/>
    </w:rPr>
  </w:style>
  <w:style w:type="paragraph" w:styleId="951" w:customStyle="1">
    <w:name w:val="*正文"/>
    <w:basedOn w:val="701"/>
    <w:uiPriority w:val="0"/>
    <w:qFormat/>
    <w:pPr>
      <w:ind w:firstLine="480"/>
      <w:jc w:val="left"/>
      <w:spacing w:line="300" w:lineRule="auto"/>
      <w:widowControl/>
    </w:pPr>
    <w:rPr>
      <w:rFonts w:ascii="宋体" w:hAnsi="宋体" w:eastAsia="宋体" w:cs="Times New Roman"/>
      <w:sz w:val="20"/>
    </w:rPr>
  </w:style>
  <w:style w:type="character" w:styleId="952" w:customStyle="1">
    <w:name w:val="批注框文本 Char"/>
    <w:basedOn w:val="711"/>
    <w:link w:val="726"/>
    <w:uiPriority w:val="0"/>
    <w:qFormat/>
    <w:rPr>
      <w:rFonts w:asciiTheme="minorHAnsi" w:hAnsiTheme="minorHAnsi" w:eastAsiaTheme="minorEastAsia" w:cstheme="minorBidi"/>
      <w:sz w:val="18"/>
      <w:szCs w:val="18"/>
    </w:rPr>
  </w:style>
  <w:style w:type="paragraph" w:styleId="95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54" w:customStyle="1">
    <w:name w:val="标题 2 Char"/>
    <w:basedOn w:val="711"/>
    <w:link w:val="940"/>
    <w:uiPriority w:val="9"/>
    <w:qFormat/>
    <w:rPr>
      <w:rFonts w:ascii="宋体" w:hAnsi="宋体"/>
      <w:b/>
      <w:bCs/>
      <w:sz w:val="36"/>
      <w:szCs w:val="36"/>
    </w:rPr>
  </w:style>
  <w:style w:type="character" w:styleId="955" w:customStyle="1">
    <w:name w:val="页眉 Char1"/>
    <w:basedOn w:val="711"/>
    <w:link w:val="785"/>
    <w:uiPriority w:val="99"/>
    <w:semiHidden/>
    <w:qFormat/>
    <w:rPr>
      <w:rFonts w:asciiTheme="minorHAnsi" w:hAnsiTheme="minorHAnsi" w:eastAsiaTheme="minorEastAsia" w:cstheme="minorBidi"/>
      <w:sz w:val="18"/>
      <w:szCs w:val="18"/>
    </w:rPr>
  </w:style>
  <w:style w:type="character" w:styleId="956" w:customStyle="1">
    <w:name w:val="页脚 Char1"/>
    <w:basedOn w:val="711"/>
    <w:link w:val="784"/>
    <w:uiPriority w:val="99"/>
    <w:semiHidden/>
    <w:qFormat/>
    <w:rPr>
      <w:rFonts w:asciiTheme="minorHAnsi" w:hAnsiTheme="minorHAnsi" w:eastAsiaTheme="minorEastAsia" w:cstheme="minorBidi"/>
      <w:sz w:val="18"/>
      <w:szCs w:val="18"/>
    </w:rPr>
  </w:style>
  <w:style w:type="character" w:styleId="957" w:customStyle="1">
    <w:name w:val="标题 2 Char1"/>
    <w:basedOn w:val="711"/>
    <w:link w:val="783"/>
    <w:uiPriority w:val="9"/>
    <w:qFormat/>
    <w:rPr>
      <w:rFonts w:asciiTheme="majorHAnsi" w:hAnsiTheme="majorHAnsi" w:eastAsiaTheme="majorEastAsia" w:cstheme="majorBidi"/>
      <w:b/>
      <w:bCs/>
      <w:sz w:val="32"/>
      <w:szCs w:val="32"/>
    </w:rPr>
  </w:style>
  <w:style w:type="paragraph" w:styleId="958" w:customStyle="1">
    <w:name w:val="text"/>
    <w:basedOn w:val="701"/>
    <w:uiPriority w:val="0"/>
    <w:qFormat/>
    <w:pPr>
      <w:jc w:val="left"/>
      <w:spacing w:before="100" w:beforeAutospacing="1" w:after="100" w:afterAutospacing="1"/>
      <w:widowControl/>
    </w:pPr>
    <w:rPr>
      <w:rFonts w:ascii="宋体" w:hAnsi="宋体" w:eastAsia="宋体" w:cs="宋体"/>
      <w:sz w:val="24"/>
    </w:rPr>
  </w:style>
  <w:style w:type="paragraph" w:styleId="959" w:customStyle="1">
    <w:name w:val="正文首行缩进 21"/>
    <w:basedOn w:val="701"/>
    <w:uiPriority w:val="0"/>
    <w:qFormat/>
    <w:pPr>
      <w:ind w:left="420" w:firstLine="420"/>
      <w:spacing w:after="120"/>
    </w:pPr>
  </w:style>
  <w:style w:type="paragraph" w:styleId="960" w:customStyle="1">
    <w:name w:val="正文缩进1"/>
    <w:basedOn w:val="701"/>
    <w:uiPriority w:val="0"/>
    <w:qFormat/>
    <w:pPr>
      <w:ind w:firstLine="420"/>
      <w:jc w:val="left"/>
      <w:widowControl/>
    </w:pPr>
  </w:style>
  <w:style w:type="paragraph" w:styleId="961" w:customStyle="1">
    <w:name w:val="Default"/>
    <w:basedOn w:val="701"/>
    <w:uiPriority w:val="0"/>
    <w:qFormat/>
    <w:pPr>
      <w:jc w:val="left"/>
    </w:pPr>
    <w:rPr>
      <w:rFonts w:ascii="宋体" w:hAnsi="Calibri" w:cs="宋体"/>
      <w:color w:val="000000"/>
      <w:sz w:val="24"/>
    </w:rPr>
  </w:style>
  <w:style w:type="paragraph" w:styleId="962" w:customStyle="1">
    <w:name w:val="TOC 71"/>
    <w:next w:val="701"/>
    <w:uiPriority w:val="0"/>
    <w:qFormat/>
    <w:pPr>
      <w:ind w:left="2550"/>
      <w:jc w:val="both"/>
    </w:pPr>
    <w:rPr>
      <w:rFonts w:ascii="Times New Roman" w:hAnsi="Times New Roman" w:eastAsia="宋体" w:cs="Times New Roman"/>
      <w:sz w:val="21"/>
      <w:szCs w:val="22"/>
      <w:lang w:val="en-US" w:eastAsia="zh-CN" w:bidi="ar-SA"/>
    </w:rPr>
  </w:style>
  <w:style w:type="paragraph" w:styleId="963" w:customStyle="1">
    <w:name w:val="Table Text"/>
    <w:basedOn w:val="701"/>
    <w:uiPriority w:val="0"/>
    <w:semiHidden/>
    <w:qFormat/>
    <w:rPr>
      <w:rFonts w:ascii="宋体" w:hAnsi="宋体" w:eastAsia="宋体" w:cs="宋体"/>
      <w:sz w:val="24"/>
    </w:rPr>
  </w:style>
  <w:style w:type="table" w:styleId="964" w:customStyle="1">
    <w:name w:val="Table Normal"/>
    <w:uiPriority w:val="0"/>
    <w:unhideWhenUsed/>
    <w:qFormat/>
    <w:tblPr>
      <w:tblCellMar>
        <w:left w:w="0" w:type="dxa"/>
        <w:top w:w="0" w:type="dxa"/>
        <w:right w:w="0" w:type="dxa"/>
        <w:bottom w:w="0" w:type="dxa"/>
      </w:tblCellMar>
    </w:tblPr>
  </w:style>
  <w:style w:type="paragraph" w:styleId="965" w:customStyle="1">
    <w:name w:val="页眉12"/>
    <w:basedOn w:val="701"/>
    <w:uiPriority w:val="0"/>
    <w:qFormat/>
    <w:pPr>
      <w:jc w:val="center"/>
      <w:tabs>
        <w:tab w:val="center" w:pos="4153" w:leader="none"/>
        <w:tab w:val="right" w:pos="8306" w:leader="none"/>
      </w:tabs>
      <w:pBdr>
        <w:bottom w:val="single" w:color="000000" w:sz="6" w:space="1"/>
      </w:pBdr>
    </w:pPr>
    <w:rPr>
      <w:sz w:val="18"/>
      <w:szCs w:val="18"/>
    </w:rPr>
  </w:style>
  <w:style w:type="paragraph" w:styleId="966" w:customStyle="1">
    <w:name w:val="正文文本 2111"/>
    <w:basedOn w:val="701"/>
    <w:uiPriority w:val="99"/>
    <w:qFormat/>
    <w:pPr>
      <w:jc w:val="center"/>
    </w:pPr>
    <w:rPr>
      <w:b/>
      <w:bCs/>
      <w:sz w:val="20"/>
      <w:szCs w:val="20"/>
    </w:rPr>
  </w:style>
  <w:style w:type="paragraph" w:styleId="967" w:customStyle="1">
    <w:name w:val="普通正文"/>
    <w:basedOn w:val="701"/>
    <w:uiPriority w:val="0"/>
    <w:qFormat/>
    <w:pPr>
      <w:ind w:firstLine="480"/>
      <w:jc w:val="left"/>
      <w:spacing w:before="120" w:after="120" w:line="360" w:lineRule="auto"/>
    </w:pPr>
    <w:rPr>
      <w:rFonts w:ascii="Arial" w:hAnsi="Arial" w:eastAsia="等线" w:cs="Arial"/>
      <w:sz w:val="24"/>
    </w:rPr>
  </w:style>
  <w:style w:type="paragraph" w:styleId="968" w:customStyle="1">
    <w:name w:val="普通(网站)1"/>
    <w:basedOn w:val="701"/>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69" w:customStyle="1">
    <w:name w:val="Normal1"/>
    <w:uiPriority w:val="0"/>
    <w:qFormat/>
    <w:pPr>
      <w:spacing w:line="360" w:lineRule="atLeast"/>
      <w:widowControl w:val="off"/>
    </w:pPr>
    <w:rPr>
      <w:rFonts w:ascii="宋体" w:hAnsi="Calibri" w:eastAsia="宋体" w:cs="Times New Roman"/>
      <w:b/>
      <w:position w:val="-10"/>
      <w:sz w:val="24"/>
      <w:lang w:val="en-US" w:eastAsia="zh-CN" w:bidi="ar-SA"/>
    </w:rPr>
  </w:style>
  <w:style w:type="paragraph" w:styleId="970" w:customStyle="1">
    <w:name w:val="正文文本1"/>
    <w:basedOn w:val="701"/>
    <w:uiPriority w:val="0"/>
    <w:qFormat/>
    <w:pPr>
      <w:spacing w:after="120"/>
    </w:pPr>
    <w:rPr>
      <w:rFonts w:ascii="Times New Roman" w:hAnsi="Times New Roman" w:eastAsia="宋体" w:cs="Times New Roman"/>
      <w:szCs w:val="21"/>
    </w:rPr>
  </w:style>
  <w:style w:type="paragraph" w:styleId="971" w:customStyle="1">
    <w:name w:val="批注文字1"/>
    <w:basedOn w:val="701"/>
    <w:uiPriority w:val="0"/>
    <w:qFormat/>
    <w:pPr>
      <w:jc w:val="left"/>
    </w:pPr>
    <w:rPr>
      <w:rFonts w:ascii="Times New Roman" w:hAnsi="Times New Roman" w:eastAsia="宋体" w:cs="Times New Roman"/>
    </w:rPr>
  </w:style>
  <w:style w:type="character" w:styleId="972" w:customStyle="1">
    <w:name w:val="正文首行缩进 2 Char"/>
    <w:basedOn w:val="711"/>
    <w:link w:val="741"/>
    <w:uiPriority w:val="0"/>
    <w:qFormat/>
    <w:rPr>
      <w:rFonts w:ascii="宋体" w:eastAsia="仿宋" w:hAnsiTheme="minorHAnsi" w:cstheme="minorBidi"/>
      <w:sz w:val="24"/>
      <w:szCs w:val="21"/>
    </w:rPr>
  </w:style>
  <w:style w:type="paragraph" w:styleId="973" w:customStyle="1">
    <w:name w:val="宋体正文排版"/>
    <w:basedOn w:val="701"/>
    <w:link w:val="974"/>
    <w:uiPriority w:val="0"/>
    <w:qFormat/>
    <w:pPr>
      <w:ind w:firstLine="883"/>
      <w:spacing w:line="360" w:lineRule="auto"/>
      <w:widowControl/>
    </w:pPr>
    <w:rPr>
      <w:rFonts w:ascii="宋体" w:hAnsi="宋体" w:eastAsia="宋体" w:cs="Times New Roman"/>
      <w:color w:val="000000"/>
      <w:sz w:val="28"/>
      <w:szCs w:val="28"/>
      <w:lang w:eastAsia="en-US"/>
    </w:rPr>
  </w:style>
  <w:style w:type="character" w:styleId="974" w:customStyle="1">
    <w:name w:val="我的正文排版四号字 Char"/>
    <w:link w:val="973"/>
    <w:uiPriority w:val="0"/>
    <w:qFormat/>
    <w:rPr>
      <w:rFonts w:ascii="宋体" w:hAnsi="宋体"/>
      <w:color w:val="000000"/>
      <w:sz w:val="28"/>
      <w:szCs w:val="28"/>
      <w:lang w:eastAsia="en-US"/>
    </w:rPr>
  </w:style>
  <w:style w:type="character" w:styleId="975" w:customStyle="1">
    <w:name w:val="selectable-text"/>
    <w:basedOn w:val="711"/>
    <w:uiPriority w:val="0"/>
  </w:style>
  <w:style w:type="character" w:styleId="976" w:customStyle="1">
    <w:name w:val="标题 1 Char"/>
    <w:basedOn w:val="711"/>
    <w:link w:val="702"/>
    <w:uiPriority w:val="9"/>
    <w:rPr>
      <w:rFonts w:ascii="Arial" w:hAnsi="Arial" w:eastAsia="Arial" w:cs="Arial"/>
      <w:sz w:val="40"/>
      <w:szCs w:val="40"/>
    </w:rPr>
  </w:style>
  <w:style w:type="character" w:styleId="977" w:customStyle="1">
    <w:name w:val="标题 4 Char"/>
    <w:basedOn w:val="711"/>
    <w:link w:val="705"/>
    <w:uiPriority w:val="9"/>
    <w:rPr>
      <w:rFonts w:ascii="Arial" w:hAnsi="Arial" w:eastAsia="Arial" w:cs="Arial"/>
      <w:b/>
      <w:bCs/>
      <w:sz w:val="26"/>
      <w:szCs w:val="26"/>
    </w:rPr>
  </w:style>
  <w:style w:type="character" w:styleId="978" w:customStyle="1">
    <w:name w:val="标题 5 Char"/>
    <w:basedOn w:val="711"/>
    <w:link w:val="706"/>
    <w:uiPriority w:val="9"/>
    <w:rPr>
      <w:rFonts w:ascii="Arial" w:hAnsi="Arial" w:eastAsia="Arial" w:cs="Arial"/>
      <w:b/>
      <w:bCs/>
      <w:sz w:val="24"/>
      <w:szCs w:val="24"/>
    </w:rPr>
  </w:style>
  <w:style w:type="character" w:styleId="979" w:customStyle="1">
    <w:name w:val="标题 6 Char"/>
    <w:basedOn w:val="711"/>
    <w:link w:val="707"/>
    <w:uiPriority w:val="9"/>
    <w:qFormat/>
    <w:rPr>
      <w:rFonts w:ascii="Arial" w:hAnsi="Arial" w:eastAsia="Arial" w:cs="Arial"/>
      <w:b/>
      <w:bCs/>
      <w:sz w:val="22"/>
      <w:szCs w:val="22"/>
    </w:rPr>
  </w:style>
  <w:style w:type="character" w:styleId="980" w:customStyle="1">
    <w:name w:val="标题 7 Char"/>
    <w:basedOn w:val="711"/>
    <w:link w:val="708"/>
    <w:uiPriority w:val="9"/>
    <w:rPr>
      <w:rFonts w:ascii="Arial" w:hAnsi="Arial" w:eastAsia="Arial" w:cs="Arial"/>
      <w:b/>
      <w:bCs/>
      <w:i/>
      <w:iCs/>
      <w:sz w:val="22"/>
      <w:szCs w:val="22"/>
    </w:rPr>
  </w:style>
  <w:style w:type="character" w:styleId="981" w:customStyle="1">
    <w:name w:val="标题 8 Char"/>
    <w:basedOn w:val="711"/>
    <w:link w:val="709"/>
    <w:uiPriority w:val="9"/>
    <w:rPr>
      <w:rFonts w:ascii="Arial" w:hAnsi="Arial" w:eastAsia="Arial" w:cs="Arial"/>
      <w:i/>
      <w:iCs/>
      <w:sz w:val="22"/>
      <w:szCs w:val="22"/>
    </w:rPr>
  </w:style>
  <w:style w:type="character" w:styleId="982" w:customStyle="1">
    <w:name w:val="标题 9 Char"/>
    <w:basedOn w:val="711"/>
    <w:link w:val="710"/>
    <w:uiPriority w:val="9"/>
    <w:rPr>
      <w:rFonts w:ascii="Arial" w:hAnsi="Arial" w:eastAsia="Arial" w:cs="Arial"/>
      <w:i/>
      <w:iCs/>
      <w:sz w:val="21"/>
      <w:szCs w:val="21"/>
    </w:rPr>
  </w:style>
  <w:style w:type="character" w:styleId="983" w:customStyle="1">
    <w:name w:val="批注文字 Char"/>
    <w:basedOn w:val="711"/>
    <w:link w:val="717"/>
    <w:uiPriority w:val="99"/>
    <w:semiHidden/>
    <w:rPr>
      <w:rFonts w:asciiTheme="minorHAnsi" w:hAnsiTheme="minorHAnsi" w:eastAsiaTheme="minorEastAsia" w:cstheme="minorBidi"/>
      <w:sz w:val="21"/>
      <w:szCs w:val="24"/>
    </w:rPr>
  </w:style>
  <w:style w:type="character" w:styleId="984" w:customStyle="1">
    <w:name w:val="正文文本缩进 Char"/>
    <w:basedOn w:val="711"/>
    <w:link w:val="719"/>
    <w:uiPriority w:val="0"/>
    <w:rPr>
      <w:rFonts w:asciiTheme="minorHAnsi" w:hAnsiTheme="minorHAnsi" w:eastAsiaTheme="minorEastAsia" w:cstheme="minorBidi"/>
      <w:sz w:val="21"/>
      <w:szCs w:val="24"/>
    </w:rPr>
  </w:style>
  <w:style w:type="character" w:styleId="985" w:customStyle="1">
    <w:name w:val="正文首行缩进 Char"/>
    <w:basedOn w:val="950"/>
    <w:link w:val="740"/>
    <w:uiPriority w:val="0"/>
    <w:rPr>
      <w:rFonts w:ascii="仿宋" w:eastAsia="仿宋"/>
      <w:sz w:val="30"/>
      <w:szCs w:val="30"/>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7</cp:revision>
  <dcterms:created xsi:type="dcterms:W3CDTF">2026-08-27T07:08:00Z</dcterms:created>
  <dcterms:modified xsi:type="dcterms:W3CDTF">2026-08-28T07:07:26Z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EA40D0AB0AB44A019C3176B17BAC1AEA_13</vt:lpwstr>
  </property>
  <property fmtid="{D5CDD505-2E9C-101B-9397-08002B2CF9AE}" pid="4" name="KSOTemplateDocerSaveRecord">
    <vt:lpwstr>eyJoZGlkIjoiODZkZDhiMGRhNjI0MjMyZGNiZjBmZTUwZmY4Yjk1MjEiLCJ1c2VySWQiOiIxNjcxNDc2OTEwIn0=</vt:lpwstr>
  </property>
</Properties>
</file>