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jc w:val="center"/>
        <w:rPr>
          <w:rFonts w:eastAsia="黑体"/>
          <w:color w:val="000000"/>
          <w:sz w:val="36"/>
          <w:highlight w:val="none"/>
        </w:rPr>
      </w:pPr>
      <w:r>
        <w:rPr>
          <w:rFonts w:eastAsia="黑体"/>
          <w:color w:val="000000"/>
          <w:sz w:val="36"/>
          <w:highlight w:val="none"/>
        </w:rPr>
      </w:r>
      <w:r/>
    </w:p>
    <w:p>
      <w:pPr>
        <w:pStyle w:val="809"/>
        <w:jc w:val="center"/>
        <w:rPr>
          <w:b/>
          <w:color w:val="000000"/>
          <w:sz w:val="84"/>
          <w:highlight w:val="none"/>
        </w:rPr>
      </w:pPr>
      <w:r>
        <w:rPr>
          <w:b/>
          <w:color w:val="000000"/>
          <w:sz w:val="84"/>
          <w:highlight w:val="none"/>
        </w:rPr>
      </w:r>
      <w:r/>
    </w:p>
    <w:p>
      <w:pPr>
        <w:pStyle w:val="809"/>
        <w:jc w:val="center"/>
        <w:rPr>
          <w:b/>
          <w:color w:val="000000"/>
          <w:sz w:val="84"/>
          <w:highlight w:val="none"/>
        </w:rPr>
      </w:pPr>
      <w:r>
        <w:rPr>
          <w:rFonts w:hint="eastAsia"/>
          <w:b/>
          <w:color w:val="000000"/>
          <w:sz w:val="84"/>
          <w:highlight w:val="none"/>
        </w:rPr>
        <w:t xml:space="preserve">招 标 文 件</w:t>
      </w:r>
      <w:r>
        <w:rPr>
          <w:b/>
          <w:color w:val="000000"/>
          <w:sz w:val="84"/>
          <w:highlight w:val="none"/>
        </w:rPr>
      </w:r>
      <w:r/>
    </w:p>
    <w:p>
      <w:pPr>
        <w:pStyle w:val="809"/>
        <w:rPr>
          <w:rFonts w:eastAsia="黑体"/>
          <w:b/>
          <w:color w:val="000000"/>
          <w:sz w:val="32"/>
          <w:highlight w:val="none"/>
        </w:rPr>
      </w:pPr>
      <w:r>
        <w:rPr>
          <w:rFonts w:eastAsia="黑体"/>
          <w:b/>
          <w:color w:val="000000"/>
          <w:sz w:val="32"/>
          <w:highlight w:val="none"/>
        </w:rPr>
      </w:r>
      <w:r/>
    </w:p>
    <w:p>
      <w:pPr>
        <w:pStyle w:val="867"/>
        <w:ind w:firstLine="600"/>
        <w:rPr>
          <w:color w:val="000000"/>
          <w:highlight w:val="none"/>
        </w:rPr>
      </w:pPr>
      <w:r>
        <w:rPr>
          <w:color w:val="000000"/>
          <w:highlight w:val="none"/>
        </w:rPr>
      </w:r>
      <w:r/>
    </w:p>
    <w:p>
      <w:pPr>
        <w:pStyle w:val="809"/>
        <w:jc w:val="center"/>
        <w:rPr>
          <w:rFonts w:eastAsia="黑体"/>
          <w:b/>
          <w:color w:val="000000"/>
          <w:sz w:val="32"/>
          <w:highlight w:val="none"/>
        </w:rPr>
      </w:pPr>
      <w:r>
        <w:rPr>
          <w:rFonts w:eastAsia="黑体"/>
          <w:b/>
          <w:color w:val="000000"/>
          <w:sz w:val="32"/>
          <w:highlight w:val="none"/>
        </w:rPr>
      </w:r>
      <w:r/>
    </w:p>
    <w:p>
      <w:pPr>
        <w:pStyle w:val="809"/>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项目编号：JSZC-320900-SZDL-G2026-0009</w:t>
      </w:r>
      <w:r>
        <w:rPr>
          <w:rFonts w:hint="eastAsia" w:ascii="宋体" w:hAnsi="宋体" w:cs="宋体"/>
          <w:b/>
          <w:color w:val="000000"/>
          <w:sz w:val="36"/>
          <w:szCs w:val="36"/>
          <w:highlight w:val="none"/>
        </w:rPr>
      </w:r>
      <w:r/>
    </w:p>
    <w:p>
      <w:pPr>
        <w:pStyle w:val="809"/>
        <w:jc w:val="center"/>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项目名称：</w:t>
      </w:r>
      <w:r>
        <w:rPr>
          <w:rFonts w:hint="eastAsia" w:ascii="宋体" w:hAnsi="宋体" w:cs="宋体"/>
          <w:b/>
          <w:color w:val="000000"/>
          <w:sz w:val="36"/>
          <w:szCs w:val="36"/>
          <w:highlight w:val="none"/>
          <w:lang w:eastAsia="zh-CN"/>
        </w:rPr>
        <w:t xml:space="preserve">2026年盐城普通国省道路面预防和修复养护工程全过程造价控制及竣工决算审计</w:t>
      </w:r>
      <w:r>
        <w:rPr>
          <w:rFonts w:hint="eastAsia" w:ascii="宋体" w:hAnsi="宋体" w:eastAsia="宋体" w:cs="宋体"/>
          <w:b/>
          <w:color w:val="000000"/>
          <w:sz w:val="36"/>
          <w:szCs w:val="36"/>
          <w:highlight w:val="none"/>
          <w:lang w:eastAsia="zh-CN"/>
        </w:rPr>
      </w:r>
      <w:r/>
    </w:p>
    <w:p>
      <w:pPr>
        <w:pStyle w:val="809"/>
        <w:rPr>
          <w:rFonts w:ascii="宋体"/>
          <w:b/>
          <w:color w:val="000000"/>
          <w:sz w:val="32"/>
          <w:highlight w:val="none"/>
        </w:rPr>
      </w:pPr>
      <w:r>
        <w:rPr>
          <w:rFonts w:ascii="宋体"/>
          <w:b/>
          <w:color w:val="000000"/>
          <w:sz w:val="32"/>
          <w:highlight w:val="none"/>
        </w:rPr>
        <w:t xml:space="preserve"> </w:t>
      </w:r>
      <w:r/>
    </w:p>
    <w:p>
      <w:pPr>
        <w:pStyle w:val="809"/>
        <w:rPr>
          <w:rFonts w:ascii="宋体"/>
          <w:b/>
          <w:color w:val="000000"/>
          <w:sz w:val="32"/>
          <w:highlight w:val="none"/>
        </w:rPr>
      </w:pPr>
      <w:r>
        <w:rPr>
          <w:rFonts w:ascii="宋体"/>
          <w:b/>
          <w:color w:val="000000"/>
          <w:sz w:val="32"/>
          <w:highlight w:val="none"/>
        </w:rPr>
      </w:r>
      <w:r/>
    </w:p>
    <w:p>
      <w:pPr>
        <w:pStyle w:val="899"/>
        <w:ind w:firstLine="643"/>
        <w:rPr>
          <w:b/>
          <w:color w:val="000000"/>
          <w:sz w:val="32"/>
          <w:highlight w:val="none"/>
        </w:rPr>
      </w:pPr>
      <w:r>
        <w:rPr>
          <w:b/>
          <w:color w:val="000000"/>
          <w:sz w:val="32"/>
          <w:highlight w:val="none"/>
        </w:rPr>
      </w:r>
      <w:r/>
    </w:p>
    <w:p>
      <w:pPr>
        <w:pStyle w:val="898"/>
        <w:rPr>
          <w:rFonts w:ascii="宋体" w:eastAsia="宋体"/>
          <w:b/>
          <w:color w:val="000000"/>
          <w:sz w:val="32"/>
          <w:highlight w:val="none"/>
        </w:rPr>
      </w:pPr>
      <w:r>
        <w:rPr>
          <w:rFonts w:ascii="宋体" w:eastAsia="宋体"/>
          <w:b/>
          <w:color w:val="000000"/>
          <w:sz w:val="32"/>
          <w:highlight w:val="none"/>
        </w:rPr>
      </w:r>
      <w:r/>
    </w:p>
    <w:p>
      <w:pPr>
        <w:pStyle w:val="898"/>
        <w:rPr>
          <w:b/>
          <w:color w:val="000000"/>
          <w:sz w:val="32"/>
          <w:highlight w:val="none"/>
        </w:rPr>
      </w:pPr>
      <w:r>
        <w:rPr>
          <w:b/>
          <w:color w:val="000000"/>
          <w:sz w:val="32"/>
          <w:highlight w:val="none"/>
        </w:rPr>
      </w:r>
      <w:r/>
    </w:p>
    <w:p>
      <w:pPr>
        <w:pStyle w:val="899"/>
        <w:ind w:firstLine="643"/>
        <w:rPr>
          <w:b/>
          <w:color w:val="000000"/>
          <w:sz w:val="32"/>
          <w:highlight w:val="none"/>
        </w:rPr>
      </w:pPr>
      <w:r>
        <w:rPr>
          <w:b/>
          <w:color w:val="000000"/>
          <w:sz w:val="32"/>
          <w:highlight w:val="none"/>
        </w:rPr>
      </w:r>
      <w:r/>
    </w:p>
    <w:p>
      <w:pPr>
        <w:pStyle w:val="898"/>
        <w:rPr>
          <w:color w:val="000000"/>
          <w:highlight w:val="none"/>
        </w:rPr>
      </w:pPr>
      <w:r>
        <w:rPr>
          <w:color w:val="000000"/>
          <w:highlight w:val="none"/>
        </w:rPr>
      </w:r>
      <w:r/>
    </w:p>
    <w:p>
      <w:pPr>
        <w:pStyle w:val="898"/>
        <w:rPr>
          <w:color w:val="000000"/>
          <w:highlight w:val="none"/>
        </w:rPr>
      </w:pPr>
      <w:r>
        <w:rPr>
          <w:color w:val="000000"/>
          <w:highlight w:val="none"/>
        </w:rPr>
      </w:r>
      <w:r/>
    </w:p>
    <w:p>
      <w:pPr>
        <w:pStyle w:val="899"/>
        <w:ind w:firstLine="420"/>
        <w:rPr>
          <w:color w:val="000000"/>
          <w:highlight w:val="none"/>
        </w:rPr>
      </w:pPr>
      <w:r>
        <w:rPr>
          <w:color w:val="000000"/>
          <w:highlight w:val="none"/>
        </w:rPr>
      </w:r>
      <w:r/>
    </w:p>
    <w:p>
      <w:pPr>
        <w:pStyle w:val="847"/>
        <w:ind w:left="0" w:firstLine="0"/>
        <w:jc w:val="center"/>
        <w:spacing w:line="700" w:lineRule="exact"/>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盐城市公路事业发展中心</w:t>
      </w:r>
      <w:r>
        <w:rPr>
          <w:rFonts w:ascii="黑体" w:hAnsi="黑体" w:eastAsia="黑体" w:cs="宋体"/>
          <w:bCs/>
          <w:color w:val="000000"/>
          <w:sz w:val="36"/>
          <w:szCs w:val="36"/>
          <w:highlight w:val="none"/>
        </w:rPr>
      </w:r>
      <w:r/>
    </w:p>
    <w:p>
      <w:pPr>
        <w:pStyle w:val="847"/>
        <w:ind w:left="0" w:firstLine="0"/>
        <w:jc w:val="center"/>
        <w:spacing w:line="700" w:lineRule="exact"/>
        <w:rPr>
          <w:rFonts w:eastAsia="黑体"/>
          <w:color w:val="000000"/>
          <w:highlight w:val="none"/>
        </w:rPr>
      </w:pPr>
      <w:r>
        <w:rPr>
          <w:rFonts w:hint="eastAsia" w:ascii="黑体" w:hAnsi="黑体" w:eastAsia="黑体" w:cs="宋体"/>
          <w:bCs/>
          <w:color w:val="000000"/>
          <w:sz w:val="36"/>
          <w:szCs w:val="36"/>
          <w:highlight w:val="none"/>
        </w:rPr>
        <w:t xml:space="preserve">盐城市招标代理有限公司</w:t>
      </w:r>
      <w:r>
        <w:rPr>
          <w:rFonts w:eastAsia="黑体"/>
          <w:color w:val="000000"/>
          <w:highlight w:val="none"/>
        </w:rPr>
      </w:r>
      <w:r/>
    </w:p>
    <w:p>
      <w:pPr>
        <w:pStyle w:val="809"/>
        <w:jc w:val="center"/>
        <w:spacing w:line="700" w:lineRule="exact"/>
        <w:rPr>
          <w:rFonts w:ascii="黑体" w:eastAsia="黑体"/>
          <w:color w:val="000000"/>
          <w:sz w:val="36"/>
          <w:szCs w:val="36"/>
          <w:highlight w:val="none"/>
        </w:rPr>
      </w:pPr>
      <w:r>
        <w:rPr>
          <w:rFonts w:hint="eastAsia" w:ascii="黑体" w:eastAsia="黑体"/>
          <w:color w:val="000000"/>
          <w:sz w:val="36"/>
          <w:szCs w:val="36"/>
          <w:highlight w:val="none"/>
        </w:rPr>
        <w:t xml:space="preserve">2026</w:t>
      </w:r>
      <w:r>
        <w:rPr>
          <w:rFonts w:ascii="黑体" w:eastAsia="黑体"/>
          <w:color w:val="000000"/>
          <w:sz w:val="36"/>
          <w:szCs w:val="36"/>
          <w:highlight w:val="none"/>
        </w:rPr>
        <w:t xml:space="preserve">年</w:t>
      </w:r>
      <w:r>
        <w:rPr>
          <w:rFonts w:hint="eastAsia" w:ascii="黑体" w:eastAsia="黑体"/>
          <w:color w:val="000000"/>
          <w:sz w:val="36"/>
          <w:szCs w:val="36"/>
          <w:highlight w:val="none"/>
          <w:lang w:val="en-US" w:eastAsia="zh-CN"/>
        </w:rPr>
        <w:t xml:space="preserve">7</w:t>
      </w:r>
      <w:r>
        <w:rPr>
          <w:rFonts w:ascii="黑体" w:eastAsia="黑体"/>
          <w:color w:val="000000"/>
          <w:sz w:val="36"/>
          <w:szCs w:val="36"/>
          <w:highlight w:val="none"/>
        </w:rPr>
        <w:t xml:space="preserve">月</w:t>
      </w:r>
      <w:r>
        <w:rPr>
          <w:rFonts w:ascii="黑体" w:eastAsia="黑体"/>
          <w:color w:val="000000"/>
          <w:sz w:val="36"/>
          <w:szCs w:val="36"/>
          <w:highlight w:val="none"/>
        </w:rPr>
      </w:r>
      <w:r/>
    </w:p>
    <w:p>
      <w:pPr>
        <w:pStyle w:val="809"/>
        <w:jc w:val="center"/>
        <w:spacing w:line="480" w:lineRule="auto"/>
        <w:rPr>
          <w:rFonts w:ascii="黑体" w:hAnsi="Arial" w:eastAsia="黑体"/>
          <w:b/>
          <w:color w:val="000000"/>
          <w:sz w:val="44"/>
          <w:highlight w:val="none"/>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ascii="黑体" w:hAnsi="Arial" w:eastAsia="黑体"/>
          <w:b/>
          <w:color w:val="000000"/>
          <w:sz w:val="44"/>
          <w:highlight w:val="none"/>
        </w:rPr>
      </w:r>
      <w:r/>
    </w:p>
    <w:p>
      <w:pPr>
        <w:pStyle w:val="809"/>
        <w:jc w:val="center"/>
        <w:spacing w:line="480" w:lineRule="auto"/>
        <w:rPr>
          <w:rFonts w:ascii="方正小标宋_GBK" w:hAnsi="Arial" w:eastAsia="方正小标宋_GBK"/>
          <w:b/>
          <w:color w:val="000000"/>
          <w:sz w:val="44"/>
          <w:highlight w:val="none"/>
        </w:rPr>
        <w:outlineLvl w:val="0"/>
      </w:pPr>
      <w:r>
        <w:rPr>
          <w:rFonts w:hint="eastAsia" w:ascii="方正小标宋_GBK" w:hAnsi="Arial" w:eastAsia="方正小标宋_GBK"/>
          <w:b/>
          <w:color w:val="000000"/>
          <w:sz w:val="44"/>
          <w:highlight w:val="none"/>
        </w:rPr>
        <w:t xml:space="preserve">总</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目</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录</w:t>
      </w:r>
      <w:r>
        <w:rPr>
          <w:rFonts w:ascii="方正小标宋_GBK" w:hAnsi="Arial" w:eastAsia="方正小标宋_GBK"/>
          <w:b/>
          <w:color w:val="000000"/>
          <w:sz w:val="44"/>
          <w:highlight w:val="none"/>
        </w:rPr>
      </w:r>
      <w:r/>
    </w:p>
    <w:p>
      <w:pPr>
        <w:pStyle w:val="809"/>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pStyle w:val="809"/>
        <w:numPr>
          <w:ilvl w:val="0"/>
          <w:numId w:val="5"/>
        </w:numPr>
        <w:jc w:val="left"/>
        <w:tabs>
          <w:tab w:val="left" w:pos="1581" w:leader="none"/>
        </w:tabs>
        <w:rPr>
          <w:rFonts w:ascii="方正小标宋_GBK" w:hAnsi="Showcard Gothic" w:eastAsia="方正小标宋_GBK"/>
          <w:color w:val="000000"/>
          <w:sz w:val="32"/>
          <w:highlight w:val="none"/>
        </w:rPr>
        <w:outlineLvl w:val="0"/>
      </w:pPr>
      <w:r>
        <w:rPr>
          <w:rFonts w:hint="eastAsia" w:ascii="方正小标宋_GBK" w:hAnsi="宋体" w:eastAsia="方正小标宋_GBK"/>
          <w:color w:val="000000"/>
          <w:sz w:val="36"/>
          <w:highlight w:val="none"/>
        </w:rPr>
        <w:t xml:space="preserve">招标公告</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w:t>
      </w:r>
      <w:r>
        <w:rPr>
          <w:rFonts w:ascii="方正小标宋_GBK" w:hAnsi="Showcard Gothic" w:eastAsia="方正小标宋_GBK"/>
          <w:color w:val="000000"/>
          <w:sz w:val="32"/>
          <w:highlight w:val="none"/>
        </w:rPr>
      </w:r>
      <w:r/>
    </w:p>
    <w:p>
      <w:pPr>
        <w:pStyle w:val="809"/>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投标人须知</w:t>
      </w:r>
      <w:r>
        <w:rPr>
          <w:rFonts w:hint="eastAsia" w:ascii="方正小标宋_GBK" w:hAnsi="Showcard Gothic" w:eastAsia="方正小标宋_GBK"/>
          <w:color w:val="000000"/>
          <w:sz w:val="36"/>
          <w:szCs w:val="36"/>
          <w:highlight w:val="none"/>
        </w:rPr>
        <w:t xml:space="preserve">…</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6</w:t>
      </w:r>
      <w:r>
        <w:rPr>
          <w:rFonts w:ascii="方正小标宋_GBK" w:hAnsi="Showcard Gothic" w:eastAsia="方正小标宋_GBK"/>
          <w:color w:val="000000"/>
          <w:sz w:val="36"/>
          <w:highlight w:val="none"/>
        </w:rPr>
      </w:r>
      <w:r/>
    </w:p>
    <w:p>
      <w:pPr>
        <w:pStyle w:val="809"/>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合同条款及格式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21</w:t>
      </w:r>
      <w:r>
        <w:rPr>
          <w:rFonts w:ascii="方正小标宋_GBK" w:hAnsi="Showcard Gothic" w:eastAsia="方正小标宋_GBK"/>
          <w:color w:val="000000"/>
          <w:sz w:val="36"/>
          <w:highlight w:val="none"/>
        </w:rPr>
      </w:r>
      <w:r/>
    </w:p>
    <w:p>
      <w:pPr>
        <w:pStyle w:val="809"/>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项目需求</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36</w:t>
      </w:r>
      <w:r>
        <w:rPr>
          <w:rFonts w:ascii="方正小标宋_GBK" w:hAnsi="Showcard Gothic" w:eastAsia="方正小标宋_GBK"/>
          <w:color w:val="000000"/>
          <w:sz w:val="36"/>
          <w:highlight w:val="none"/>
        </w:rPr>
      </w:r>
      <w:r/>
    </w:p>
    <w:p>
      <w:pPr>
        <w:pStyle w:val="809"/>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评标方法与评标标准</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45</w:t>
      </w:r>
      <w:r>
        <w:rPr>
          <w:rFonts w:ascii="方正小标宋_GBK" w:hAnsi="Showcard Gothic" w:eastAsia="方正小标宋_GBK"/>
          <w:color w:val="000000"/>
          <w:sz w:val="36"/>
          <w:highlight w:val="none"/>
        </w:rPr>
      </w:r>
      <w:r/>
    </w:p>
    <w:p>
      <w:pPr>
        <w:pStyle w:val="809"/>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投标文件格式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50</w:t>
      </w:r>
      <w:r>
        <w:rPr>
          <w:rFonts w:ascii="方正小标宋_GBK" w:hAnsi="Showcard Gothic" w:eastAsia="方正小标宋_GBK"/>
          <w:color w:val="000000"/>
          <w:sz w:val="36"/>
          <w:highlight w:val="none"/>
        </w:rPr>
      </w:r>
      <w:r/>
    </w:p>
    <w:p>
      <w:pPr>
        <w:pStyle w:val="810"/>
        <w:rPr>
          <w:rFonts w:ascii="黑体" w:eastAsia="黑体"/>
          <w:bCs/>
          <w:color w:val="000000"/>
          <w:sz w:val="44"/>
          <w:highlight w:val="none"/>
        </w:rPr>
      </w:pPr>
      <w:r>
        <w:rPr>
          <w:rFonts w:ascii="黑体" w:eastAsia="黑体"/>
          <w:bCs/>
          <w:color w:val="000000"/>
          <w:sz w:val="44"/>
          <w:highlight w:val="none"/>
        </w:rPr>
      </w:r>
      <w:r/>
    </w:p>
    <w:p>
      <w:pPr>
        <w:pStyle w:val="810"/>
        <w:rPr>
          <w:rFonts w:ascii="黑体" w:eastAsia="黑体"/>
          <w:bCs/>
          <w:color w:val="000000"/>
          <w:sz w:val="44"/>
          <w:highlight w:val="none"/>
        </w:rPr>
      </w:pPr>
      <w:r>
        <w:rPr>
          <w:rFonts w:ascii="黑体" w:eastAsia="黑体"/>
          <w:bCs/>
          <w:color w:val="000000"/>
          <w:sz w:val="44"/>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sectPr>
          <w:headerReference w:type="default" r:id="rId11"/>
          <w:footerReference w:type="default" r:id="rId13"/>
          <w:footerReference w:type="first" r:id="rId14"/>
          <w:footnotePr/>
          <w:endnotePr/>
          <w:type w:val="nextPage"/>
          <w:pgSz w:w="11906" w:h="16838" w:orient="portrait"/>
          <w:pgMar w:top="1440" w:right="1083" w:bottom="1440" w:left="1083" w:header="851" w:footer="907" w:gutter="0"/>
          <w:pgNumType w:start="1"/>
          <w:cols w:num="1" w:sep="0" w:space="1701" w:equalWidth="1"/>
          <w:docGrid w:linePitch="360"/>
        </w:sectPr>
      </w:pPr>
      <w:r>
        <w:rPr>
          <w:color w:val="000000"/>
          <w:highlight w:val="none"/>
        </w:rPr>
      </w:r>
      <w:r/>
    </w:p>
    <w:p>
      <w:pPr>
        <w:pStyle w:val="810"/>
        <w:rPr>
          <w:rFonts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招标公告</w:t>
      </w:r>
      <w:r>
        <w:rPr>
          <w:rFonts w:ascii="黑体" w:eastAsia="黑体"/>
          <w:bCs/>
          <w:color w:val="000000"/>
          <w:sz w:val="44"/>
          <w:szCs w:val="44"/>
          <w:highlight w:val="none"/>
        </w:rPr>
      </w:r>
      <w:r/>
    </w:p>
    <w:p>
      <w:pPr>
        <w:pStyle w:val="809"/>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809"/>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 w:val="24"/>
          <w:szCs w:val="24"/>
          <w:highlight w:val="none"/>
          <w:u w:val="single"/>
          <w:lang w:eastAsia="zh-CN"/>
        </w:rPr>
        <w:t xml:space="preserve">2026年盐城普通国省道路面预防和修复养护工程全过程造价控制及竣工决算审计</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rPr>
        <w:t xml:space="preserve">“</w:t>
      </w:r>
      <w:r>
        <w:rPr>
          <w:rFonts w:hint="eastAsia" w:ascii="宋体" w:hAnsi="宋体" w:cs="宋体"/>
          <w:bCs/>
          <w:color w:val="000000"/>
          <w:sz w:val="24"/>
          <w:szCs w:val="24"/>
          <w:highlight w:val="none"/>
          <w:u w:val="single"/>
        </w:rPr>
        <w:t xml:space="preserve">苏采云”系统内免费下载（投标人必须在苏采云系统中获取采购文件，方能参与政府采购项目）</w:t>
      </w:r>
      <w:r>
        <w:rPr>
          <w:rFonts w:hint="eastAsia" w:ascii="宋体" w:hAnsi="宋体" w:cs="宋体"/>
          <w:color w:val="000000"/>
          <w:sz w:val="24"/>
          <w:szCs w:val="24"/>
          <w:highlight w:val="none"/>
        </w:rPr>
        <w:t xml:space="preserve">获取招标文件，并于</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7</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时 00 分</w:t>
      </w:r>
      <w:r>
        <w:rPr>
          <w:rFonts w:hint="eastAsia" w:ascii="宋体" w:hAnsi="宋体" w:cs="宋体"/>
          <w:bCs/>
          <w:color w:val="000000"/>
          <w:sz w:val="24"/>
          <w:szCs w:val="24"/>
          <w:highlight w:val="none"/>
          <w:u w:val="single"/>
        </w:rPr>
        <w:t xml:space="preserve">（北京时间）</w:t>
      </w:r>
      <w:r>
        <w:rPr>
          <w:rFonts w:hint="eastAsia" w:ascii="宋体" w:hAnsi="宋体" w:cs="宋体"/>
          <w:bCs/>
          <w:color w:val="000000"/>
          <w:sz w:val="24"/>
          <w:szCs w:val="24"/>
          <w:highlight w:val="none"/>
        </w:rPr>
        <w:t xml:space="preserve">前递交投标文件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6" w:name="_Toc35393621"/>
      <w:r/>
      <w:bookmarkStart w:id="7" w:name="_Toc28359002"/>
      <w:r/>
      <w:bookmarkStart w:id="8" w:name="_Toc35393790"/>
      <w:r/>
      <w:bookmarkStart w:id="9" w:name="_Toc28359079"/>
      <w:r/>
      <w:bookmarkStart w:id="10"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rPr>
          <w:rFonts w:ascii="宋体" w:hAnsi="宋体" w:eastAsia="宋体" w:cs="宋体"/>
          <w:b/>
          <w:bCs/>
          <w:color w:val="000000"/>
          <w:sz w:val="24"/>
          <w:szCs w:val="24"/>
          <w:highlight w:val="none"/>
        </w:rPr>
      </w:r>
      <w:r/>
    </w:p>
    <w:p>
      <w:pPr>
        <w:pStyle w:val="809"/>
        <w:ind w:firstLine="36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1.项目编</w:t>
      </w:r>
      <w:r>
        <w:rPr>
          <w:rFonts w:hint="eastAsia" w:ascii="宋体" w:hAnsi="宋体" w:eastAsia="宋体" w:cs="宋体"/>
          <w:color w:val="000000"/>
          <w:sz w:val="24"/>
          <w:szCs w:val="24"/>
          <w:highlight w:val="none"/>
        </w:rPr>
        <w:t xml:space="preserve">号：</w:t>
      </w:r>
      <w:bookmarkEnd w:id="10"/>
      <w:r>
        <w:rPr>
          <w:rFonts w:hint="eastAsia" w:ascii="宋体" w:hAnsi="宋体" w:eastAsia="宋体" w:cs="宋体"/>
          <w:color w:val="000000"/>
          <w:sz w:val="24"/>
          <w:szCs w:val="24"/>
          <w:highlight w:val="none"/>
        </w:rPr>
        <w:t xml:space="preserve">JSZC-320900-SZDL-G2026-0009</w:t>
      </w:r>
      <w:r>
        <w:rPr>
          <w:rFonts w:hint="eastAsia" w:ascii="宋体" w:hAnsi="宋体" w:eastAsia="宋体" w:cs="宋体"/>
          <w:color w:val="000000"/>
          <w:sz w:val="24"/>
          <w:szCs w:val="24"/>
          <w:highlight w:val="none"/>
        </w:rPr>
      </w:r>
      <w:r/>
    </w:p>
    <w:p>
      <w:pPr>
        <w:pStyle w:val="809"/>
        <w:ind w:firstLine="36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2026年盐城普通国省道路面预防和修复养护工程全过程造价控制及竣工决算审计</w:t>
      </w:r>
      <w:r>
        <w:rPr>
          <w:rFonts w:hint="eastAsia" w:ascii="宋体" w:hAnsi="宋体" w:eastAsia="宋体" w:cs="宋体"/>
          <w:color w:val="000000"/>
          <w:sz w:val="24"/>
          <w:szCs w:val="24"/>
          <w:highlight w:val="none"/>
          <w:lang w:eastAsia="zh-CN"/>
        </w:rPr>
      </w:r>
      <w:r/>
    </w:p>
    <w:p>
      <w:pPr>
        <w:pStyle w:val="809"/>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rPr>
          <w:rFonts w:ascii="宋体" w:hAnsi="宋体" w:cs="宋体"/>
          <w:color w:val="000000"/>
          <w:sz w:val="24"/>
          <w:szCs w:val="24"/>
          <w:highlight w:val="none"/>
        </w:rPr>
      </w:r>
      <w:r/>
    </w:p>
    <w:p>
      <w:pPr>
        <w:pStyle w:val="809"/>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4.预算金额：173万元（采购包1：62.7万元；采购包2：61.8万元；采购包3：48.5万元）。</w:t>
      </w:r>
      <w:r>
        <w:rPr>
          <w:rFonts w:hint="eastAsia" w:ascii="宋体" w:hAnsi="宋体" w:cs="宋体"/>
          <w:color w:val="000000"/>
          <w:sz w:val="24"/>
          <w:szCs w:val="24"/>
          <w:highlight w:val="none"/>
        </w:rPr>
      </w:r>
      <w:r/>
    </w:p>
    <w:p>
      <w:pPr>
        <w:pStyle w:val="809"/>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5.最高限价：采购标包1最高限价62.7万元；采购标包2最高限价61.8万元；采购标包3最高限价48.5万元。报价超过最高限价的为无效报价，按照无效响应处理。</w:t>
      </w:r>
      <w:r>
        <w:rPr>
          <w:rFonts w:hint="eastAsia" w:ascii="宋体" w:hAnsi="宋体" w:cs="宋体"/>
          <w:color w:val="000000"/>
          <w:sz w:val="24"/>
          <w:szCs w:val="24"/>
          <w:highlight w:val="none"/>
        </w:rPr>
      </w:r>
      <w:r/>
    </w:p>
    <w:p>
      <w:pPr>
        <w:pStyle w:val="809"/>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6.采购内容：本项目为2026年盐城市普通国省道路面预防养护和修复工程全过程跟踪审核（含结算审核）服务，项目主要建设内容包括滨海县24车道公</w:t>
      </w:r>
      <w:r>
        <w:rPr>
          <w:rFonts w:hint="eastAsia" w:ascii="宋体" w:hAnsi="宋体" w:cs="宋体"/>
          <w:color w:val="000000"/>
          <w:sz w:val="24"/>
          <w:szCs w:val="24"/>
          <w:highlight w:val="none"/>
        </w:rPr>
        <w:t xml:space="preserve">里路面预防性养护工程和42.1车道公里路面修复性养护工程及阜宁县8车道公里路面修复性养护工程，工作量8218万元；射阳县34.5车道公里路面预防性养护工程和15车道公里路面修复性养护工程及大丰区42车道公里路面修复性养护工程，工作量为9220万元；响水县19.8车道公里路面修复性养护工程、建湖县15.2车道公里路面修复性养护工程及东台市19.2车道公里路面修复性养护工程，工作量为6417万元。供应商负责独立公正地开展协审工作，协审内容主要为全过程跟踪审核（含结算审核）。具体详见招标文件“第四章 项目需求”。</w:t>
      </w:r>
      <w:r>
        <w:rPr>
          <w:rFonts w:hint="eastAsia" w:ascii="宋体" w:hAnsi="宋体" w:cs="宋体"/>
          <w:color w:val="000000"/>
          <w:sz w:val="24"/>
          <w:szCs w:val="24"/>
          <w:highlight w:val="none"/>
        </w:rPr>
      </w:r>
      <w:r/>
    </w:p>
    <w:p>
      <w:pPr>
        <w:pStyle w:val="809"/>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7.合同履行期限（服务期）：施工工期约为100天，具体服务时间从合同签订之日起至整个项目交工验收后60日内，移交全部审计资料至采购人为止。</w:t>
      </w:r>
      <w:r>
        <w:rPr>
          <w:rFonts w:hint="eastAsia" w:ascii="宋体" w:hAnsi="宋体" w:cs="宋体"/>
          <w:color w:val="000000"/>
          <w:sz w:val="24"/>
          <w:szCs w:val="24"/>
          <w:highlight w:val="none"/>
        </w:rPr>
      </w:r>
      <w:r/>
    </w:p>
    <w:p>
      <w:pPr>
        <w:pStyle w:val="809"/>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11" w:name="_Toc35393622"/>
      <w:r/>
      <w:bookmarkStart w:id="12" w:name="_Toc28359080"/>
      <w:r/>
      <w:bookmarkStart w:id="13" w:name="_Toc28359003"/>
      <w:r/>
      <w:bookmarkStart w:id="14" w:name="_Toc35393791"/>
      <w:r>
        <w:rPr>
          <w:rFonts w:hint="eastAsia" w:ascii="宋体" w:hAnsi="宋体" w:eastAsia="宋体" w:cs="宋体"/>
          <w:b/>
          <w:bCs/>
          <w:color w:val="000000"/>
          <w:sz w:val="24"/>
          <w:szCs w:val="24"/>
          <w:highlight w:val="none"/>
        </w:rPr>
        <w:t xml:space="preserve">二、投标人的资格要求：</w:t>
      </w:r>
      <w:bookmarkEnd w:id="11"/>
      <w:r/>
      <w:bookmarkEnd w:id="12"/>
      <w:r/>
      <w:bookmarkEnd w:id="13"/>
      <w:r/>
      <w:bookmarkEnd w:id="14"/>
      <w:r>
        <w:rPr>
          <w:rFonts w:ascii="宋体" w:hAnsi="宋体" w:eastAsia="宋体" w:cs="宋体"/>
          <w:b/>
          <w:bCs/>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bookmarkStart w:id="15" w:name="_Toc28359004"/>
      <w:r/>
      <w:bookmarkStart w:id="16" w:name="_Toc35393792"/>
      <w:r/>
      <w:bookmarkStart w:id="17" w:name="_Toc35393623"/>
      <w:r/>
      <w:bookmarkStart w:id="18" w:name="_Toc28359081"/>
      <w:r>
        <w:rPr>
          <w:rFonts w:hint="eastAsia" w:ascii="宋体" w:hAnsi="宋体" w:cs="宋体"/>
          <w:color w:val="000000"/>
          <w:sz w:val="24"/>
          <w:szCs w:val="24"/>
          <w:highlight w:val="none"/>
        </w:rPr>
        <w:t xml:space="preserve">（一）满足《中华人民共和国政府采购法》第二十二条规定，并提供下列材料；</w:t>
      </w:r>
      <w:r>
        <w:rPr>
          <w:rFonts w:hint="eastAsia" w:ascii="宋体" w:hAnsi="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2.上一年度的财务状况报告（成立不满一年不需提供）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3.具备履行合同所必需的设备和专业技术能力的书面声明。</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809"/>
        <w:ind w:firstLine="60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（二）落实政府采购政策需满足的资格要求：</w:t>
      </w:r>
      <w:r>
        <w:rPr>
          <w:rFonts w:hint="eastAsia" w:ascii="宋体" w:hAnsi="宋体" w:cs="宋体"/>
          <w:b/>
          <w:bCs/>
          <w:color w:val="000000"/>
          <w:sz w:val="24"/>
          <w:szCs w:val="24"/>
          <w:highlight w:val="none"/>
        </w:rPr>
        <w:t xml:space="preserve">本项目专门面向中小企业采购。采购标的的所属行业为</w:t>
      </w:r>
      <w:r>
        <w:rPr>
          <w:rFonts w:hint="eastAsia" w:ascii="宋体" w:hAnsi="宋体" w:cs="宋体"/>
          <w:b/>
          <w:bCs/>
          <w:color w:val="000000"/>
          <w:sz w:val="24"/>
          <w:szCs w:val="24"/>
          <w:highlight w:val="none"/>
          <w:u w:val="single"/>
        </w:rPr>
        <w:t xml:space="preserve">其他未列明行业</w:t>
      </w:r>
      <w:r>
        <w:rPr>
          <w:rFonts w:hint="eastAsia" w:ascii="宋体" w:hAnsi="宋体" w:cs="宋体"/>
          <w:b/>
          <w:bCs/>
          <w:color w:val="000000"/>
          <w:sz w:val="24"/>
          <w:szCs w:val="24"/>
          <w:highlight w:val="none"/>
        </w:rPr>
        <w:t xml:space="preserve">，投标人需按照采购文件的要求提供相应的《中小企业声明函》。企业标准请参照《关于印发中小企业划型标准规定的通知》（工信部联企业[2011]300号）文件规定自行填写。</w:t>
      </w:r>
      <w:r>
        <w:rPr>
          <w:rFonts w:ascii="宋体" w:hAnsi="宋体" w:cs="宋体"/>
          <w:b/>
          <w:bCs/>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hint="eastAsia"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5"/>
      <w:r/>
      <w:bookmarkEnd w:id="16"/>
      <w:r/>
      <w:bookmarkEnd w:id="17"/>
      <w:r/>
      <w:bookmarkEnd w:id="18"/>
      <w:r>
        <w:rPr>
          <w:rFonts w:ascii="宋体" w:hAnsi="宋体" w:eastAsia="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bookmarkStart w:id="19" w:name="_Toc28359005"/>
      <w:r/>
      <w:bookmarkStart w:id="20" w:name="_Toc28359082"/>
      <w:r/>
      <w:bookmarkStart w:id="21" w:name="_Toc35393624"/>
      <w:r/>
      <w:bookmarkStart w:id="22" w:name="_Toc35393793"/>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w:t>
      </w:r>
      <w:r>
        <w:rPr>
          <w:rFonts w:hint="eastAsia" w:ascii="宋体" w:hAnsi="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4.售价：0元。</w:t>
      </w:r>
      <w:r>
        <w:rPr>
          <w:rFonts w:hint="eastAsia"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21"/>
      <w:r/>
      <w:bookmarkEnd w:id="22"/>
      <w:r>
        <w:rPr>
          <w:rFonts w:ascii="宋体" w:hAnsi="宋体" w:eastAsia="宋体" w:cs="宋体"/>
          <w:b/>
          <w:bCs/>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7</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w:t>
      </w:r>
      <w:r>
        <w:rPr>
          <w:rFonts w:hint="eastAsia" w:ascii="宋体" w:hAnsi="宋体" w:cs="宋体"/>
          <w:b/>
          <w:bCs/>
          <w:color w:val="000000"/>
          <w:sz w:val="24"/>
          <w:szCs w:val="24"/>
          <w:highlight w:val="none"/>
          <w:u w:val="single"/>
          <w:lang w:val="en-US" w:eastAsia="zh-CN"/>
        </w:rPr>
        <w:t xml:space="preserve">4</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时00分（北京时间）</w:t>
      </w:r>
      <w:r>
        <w:rPr>
          <w:rFonts w:hint="eastAsia" w:ascii="宋体" w:hAnsi="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2.地点：</w:t>
      </w:r>
      <w:r>
        <w:rPr>
          <w:rFonts w:hint="eastAsia" w:ascii="宋体" w:hAnsi="宋体" w:eastAsia="宋体" w:cs="宋体"/>
          <w:color w:val="000000"/>
          <w:sz w:val="24"/>
          <w:szCs w:val="24"/>
          <w:highlight w:val="none"/>
        </w:rPr>
        <w:t xml:space="preserve">苏采云“不见面”开标大厅。</w:t>
      </w:r>
      <w:r>
        <w:rPr>
          <w:rFonts w:hint="eastAsia" w:ascii="宋体" w:hAnsi="宋体" w:eastAsia="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3" w:name="_Toc35393625"/>
      <w:r/>
      <w:bookmarkStart w:id="24" w:name="_Toc28359084"/>
      <w:r/>
      <w:bookmarkStart w:id="25" w:name="_Toc35393794"/>
      <w:r/>
      <w:bookmarkStart w:id="26" w:name="_Toc28359007"/>
      <w:r>
        <w:rPr>
          <w:rFonts w:hint="eastAsia" w:ascii="宋体" w:hAnsi="宋体" w:eastAsia="宋体" w:cs="宋体"/>
          <w:b/>
          <w:bCs/>
          <w:color w:val="000000"/>
          <w:sz w:val="24"/>
          <w:szCs w:val="24"/>
          <w:highlight w:val="none"/>
        </w:rPr>
        <w:t xml:space="preserve">五、公告期限</w:t>
      </w:r>
      <w:bookmarkEnd w:id="23"/>
      <w:r/>
      <w:bookmarkEnd w:id="24"/>
      <w:r/>
      <w:bookmarkEnd w:id="25"/>
      <w:r/>
      <w:bookmarkEnd w:id="26"/>
      <w:r>
        <w:rPr>
          <w:rFonts w:ascii="宋体" w:hAnsi="宋体" w:eastAsia="宋体" w:cs="宋体"/>
          <w:b/>
          <w:bCs/>
          <w:color w:val="000000"/>
          <w:sz w:val="24"/>
          <w:szCs w:val="24"/>
          <w:highlight w:val="none"/>
        </w:rPr>
      </w:r>
      <w:r/>
    </w:p>
    <w:p>
      <w:pPr>
        <w:pStyle w:val="809"/>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7" w:name="_Toc35393626"/>
      <w:r/>
      <w:bookmarkStart w:id="28" w:name="_Toc35393795"/>
      <w:r>
        <w:rPr>
          <w:rFonts w:hint="eastAsia" w:ascii="宋体" w:hAnsi="宋体" w:eastAsia="宋体" w:cs="宋体"/>
          <w:b/>
          <w:bCs/>
          <w:color w:val="000000"/>
          <w:sz w:val="24"/>
          <w:szCs w:val="24"/>
          <w:highlight w:val="none"/>
        </w:rPr>
        <w:t xml:space="preserve">六、其他补充事宜</w:t>
      </w:r>
      <w:bookmarkEnd w:id="27"/>
      <w:r/>
      <w:bookmarkEnd w:id="28"/>
      <w:r>
        <w:rPr>
          <w:rFonts w:ascii="宋体" w:hAnsi="宋体" w:eastAsia="宋体" w:cs="宋体"/>
          <w:b/>
          <w:bCs/>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bookmarkStart w:id="29" w:name="_Toc28359008"/>
      <w:r/>
      <w:bookmarkStart w:id="30" w:name="_Toc35393627"/>
      <w:r/>
      <w:bookmarkStart w:id="31" w:name="_Toc28359085"/>
      <w:r/>
      <w:bookmarkStart w:id="32" w:name="_Toc35393796"/>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3.有关本次招标的事项若存在变动或修改，敬请及时关注采购代理机构在“中国政府采购网”、“江苏政府采购网”“盐城市政府采购网”发布的更正公告。</w:t>
      </w:r>
      <w:r>
        <w:rPr>
          <w:rFonts w:hint="eastAsia" w:ascii="宋体" w:hAnsi="宋体" w:eastAsia="宋体" w:cs="宋体"/>
          <w:color w:val="000000"/>
          <w:sz w:val="24"/>
          <w:szCs w:val="24"/>
          <w:highlight w:val="none"/>
        </w:rPr>
      </w:r>
      <w:r/>
    </w:p>
    <w:p>
      <w:pPr>
        <w:pStyle w:val="809"/>
        <w:ind w:firstLine="60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4.本次招标不收取投标保证金，不收取质量保证金。</w:t>
      </w:r>
      <w:r>
        <w:rPr>
          <w:rFonts w:hint="eastAsia" w:ascii="宋体" w:hAnsi="宋体" w:cs="宋体"/>
          <w:color w:val="000000"/>
          <w:sz w:val="24"/>
          <w:szCs w:val="24"/>
          <w:highlight w:val="none"/>
        </w:rPr>
      </w:r>
      <w:r/>
    </w:p>
    <w:p>
      <w:pPr>
        <w:pStyle w:val="810"/>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29"/>
      <w:r/>
      <w:bookmarkEnd w:id="30"/>
      <w:r/>
      <w:bookmarkEnd w:id="31"/>
      <w:r/>
      <w:bookmarkEnd w:id="32"/>
      <w:r>
        <w:rPr>
          <w:rFonts w:ascii="宋体" w:hAnsi="宋体" w:eastAsia="宋体" w:cs="宋体"/>
          <w:b/>
          <w:bCs/>
          <w:color w:val="000000"/>
          <w:sz w:val="24"/>
          <w:szCs w:val="24"/>
          <w:highlight w:val="none"/>
        </w:rPr>
      </w:r>
      <w:r/>
    </w:p>
    <w:p>
      <w:pPr>
        <w:pStyle w:val="811"/>
        <w:jc w:val="both"/>
        <w:spacing w:line="460" w:lineRule="exact"/>
        <w:rPr>
          <w:rFonts w:ascii="宋体" w:hAnsi="宋体" w:eastAsia="宋体" w:cs="宋体"/>
          <w:b w:val="0"/>
          <w:color w:val="000000"/>
          <w:sz w:val="24"/>
          <w:szCs w:val="24"/>
          <w:highlight w:val="none"/>
        </w:rPr>
      </w:pPr>
      <w:r/>
      <w:bookmarkStart w:id="33" w:name="_Toc28359096"/>
      <w:r/>
      <w:bookmarkStart w:id="34" w:name="_Toc28359019"/>
      <w:r/>
      <w:bookmarkStart w:id="35" w:name="_Toc35393637"/>
      <w:r/>
      <w:bookmarkStart w:id="36" w:name="_Toc35393806"/>
      <w:r>
        <w:rPr>
          <w:rFonts w:hint="eastAsia" w:ascii="宋体" w:hAnsi="宋体" w:eastAsia="宋体" w:cs="宋体"/>
          <w:b w:val="0"/>
          <w:color w:val="000000"/>
          <w:sz w:val="24"/>
          <w:szCs w:val="24"/>
          <w:highlight w:val="none"/>
        </w:rPr>
        <w:t xml:space="preserve">1.招标人信息</w:t>
      </w:r>
      <w:bookmarkEnd w:id="33"/>
      <w:r/>
      <w:bookmarkEnd w:id="34"/>
      <w:r/>
      <w:bookmarkEnd w:id="35"/>
      <w:r/>
      <w:bookmarkEnd w:id="36"/>
      <w:r>
        <w:rPr>
          <w:rFonts w:ascii="宋体" w:hAnsi="宋体" w:eastAsia="宋体" w:cs="宋体"/>
          <w:b w:val="0"/>
          <w:color w:val="000000"/>
          <w:sz w:val="24"/>
          <w:szCs w:val="24"/>
          <w:highlight w:val="none"/>
        </w:rPr>
      </w:r>
      <w:r/>
    </w:p>
    <w:p>
      <w:pPr>
        <w:pStyle w:val="809"/>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盐城市公路事业发展中心</w:t>
      </w:r>
      <w:r>
        <w:rPr>
          <w:rFonts w:ascii="宋体" w:hAnsi="宋体" w:cs="宋体"/>
          <w:color w:val="000000"/>
          <w:sz w:val="24"/>
          <w:szCs w:val="24"/>
          <w:highlight w:val="none"/>
          <w:u w:val="single"/>
        </w:rPr>
      </w:r>
      <w:r/>
    </w:p>
    <w:p>
      <w:pPr>
        <w:pStyle w:val="809"/>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盐城市青年中路8号</w:t>
      </w:r>
      <w:r>
        <w:rPr>
          <w:rFonts w:ascii="宋体" w:hAnsi="宋体" w:cs="宋体"/>
          <w:color w:val="000000"/>
          <w:sz w:val="24"/>
          <w:szCs w:val="24"/>
          <w:highlight w:val="none"/>
          <w:u w:val="single"/>
        </w:rPr>
      </w:r>
      <w:r/>
    </w:p>
    <w:p>
      <w:pPr>
        <w:pStyle w:val="809"/>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蒋女士</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09"/>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0515-88886305</w:t>
      </w:r>
      <w:r>
        <w:rPr>
          <w:rFonts w:ascii="宋体" w:hAnsi="宋体" w:cs="宋体"/>
          <w:color w:val="000000"/>
          <w:sz w:val="24"/>
          <w:szCs w:val="24"/>
          <w:highlight w:val="none"/>
        </w:rPr>
      </w:r>
      <w:r/>
    </w:p>
    <w:p>
      <w:pPr>
        <w:pStyle w:val="811"/>
        <w:jc w:val="both"/>
        <w:spacing w:line="460" w:lineRule="exact"/>
        <w:rPr>
          <w:rFonts w:ascii="宋体" w:hAnsi="宋体" w:eastAsia="宋体" w:cs="宋体"/>
          <w:b w:val="0"/>
          <w:color w:val="000000"/>
          <w:sz w:val="24"/>
          <w:szCs w:val="24"/>
          <w:highlight w:val="none"/>
        </w:rPr>
      </w:pPr>
      <w:r/>
      <w:bookmarkStart w:id="37" w:name="_Toc35393638"/>
      <w:r/>
      <w:bookmarkStart w:id="38" w:name="_Toc28359020"/>
      <w:r/>
      <w:bookmarkStart w:id="39" w:name="_Toc35393807"/>
      <w:r/>
      <w:bookmarkStart w:id="40" w:name="_Toc28359097"/>
      <w:r>
        <w:rPr>
          <w:rFonts w:hint="eastAsia" w:ascii="宋体" w:hAnsi="宋体" w:eastAsia="宋体" w:cs="宋体"/>
          <w:b w:val="0"/>
          <w:color w:val="000000"/>
          <w:sz w:val="24"/>
          <w:szCs w:val="24"/>
          <w:highlight w:val="none"/>
        </w:rPr>
        <w:t xml:space="preserve">2.招标代理机构信息</w:t>
      </w:r>
      <w:bookmarkEnd w:id="37"/>
      <w:r/>
      <w:bookmarkEnd w:id="38"/>
      <w:r/>
      <w:bookmarkEnd w:id="39"/>
      <w:r/>
      <w:bookmarkEnd w:id="40"/>
      <w:r>
        <w:rPr>
          <w:rFonts w:ascii="宋体" w:hAnsi="宋体" w:eastAsia="宋体" w:cs="宋体"/>
          <w:b w:val="0"/>
          <w:color w:val="000000"/>
          <w:sz w:val="24"/>
          <w:szCs w:val="24"/>
          <w:highlight w:val="none"/>
        </w:rPr>
      </w:r>
      <w:r/>
    </w:p>
    <w:p>
      <w:pPr>
        <w:pStyle w:val="809"/>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盐城市招标代理有限公司</w:t>
      </w:r>
      <w:r>
        <w:rPr>
          <w:rFonts w:ascii="宋体" w:hAnsi="宋体" w:cs="宋体"/>
          <w:color w:val="000000"/>
          <w:sz w:val="24"/>
          <w:szCs w:val="24"/>
          <w:highlight w:val="none"/>
        </w:rPr>
      </w:r>
      <w:r/>
    </w:p>
    <w:p>
      <w:pPr>
        <w:pStyle w:val="809"/>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盐城市青年路钱江财富广场西区A座4楼</w:t>
      </w:r>
      <w:r>
        <w:rPr>
          <w:rFonts w:ascii="宋体" w:hAnsi="宋体" w:cs="宋体"/>
          <w:color w:val="000000"/>
          <w:sz w:val="24"/>
          <w:szCs w:val="24"/>
          <w:highlight w:val="none"/>
        </w:rPr>
      </w:r>
      <w:r/>
    </w:p>
    <w:p>
      <w:pPr>
        <w:pStyle w:val="809"/>
        <w:ind w:firstLine="720"/>
        <w:jc w:val="left"/>
        <w:spacing w:line="460" w:lineRule="exact"/>
        <w:rPr>
          <w:rFonts w:ascii="宋体" w:hAnsi="宋体" w:cs="宋体"/>
          <w:color w:val="000000"/>
          <w:sz w:val="24"/>
          <w:szCs w:val="24"/>
          <w:highlight w:val="none"/>
        </w:rPr>
      </w:pPr>
      <w:r/>
      <w:bookmarkStart w:id="41" w:name="_Toc35393808"/>
      <w:r/>
      <w:bookmarkStart w:id="42" w:name="_Toc28359021"/>
      <w:r/>
      <w:bookmarkStart w:id="43" w:name="_Toc35393639"/>
      <w:r/>
      <w:bookmarkStart w:id="44" w:name="_Toc28359098"/>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滕先生</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09"/>
        <w:ind w:firstLine="72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18082164456</w:t>
      </w:r>
      <w:r>
        <w:rPr>
          <w:rFonts w:ascii="宋体" w:hAnsi="宋体" w:cs="宋体"/>
          <w:color w:val="000000"/>
          <w:sz w:val="24"/>
          <w:szCs w:val="24"/>
          <w:highlight w:val="none"/>
        </w:rPr>
      </w:r>
      <w:r/>
    </w:p>
    <w:p>
      <w:pPr>
        <w:pStyle w:val="811"/>
        <w:jc w:val="both"/>
        <w:spacing w:line="460" w:lineRule="exact"/>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3.项目联系方式</w:t>
      </w:r>
      <w:bookmarkEnd w:id="41"/>
      <w:r/>
      <w:bookmarkEnd w:id="42"/>
      <w:r/>
      <w:bookmarkEnd w:id="43"/>
      <w:r/>
      <w:bookmarkEnd w:id="44"/>
      <w:r>
        <w:rPr>
          <w:rFonts w:ascii="宋体" w:hAnsi="宋体" w:eastAsia="宋体" w:cs="宋体"/>
          <w:b w:val="0"/>
          <w:color w:val="000000"/>
          <w:sz w:val="24"/>
          <w:szCs w:val="24"/>
          <w:highlight w:val="none"/>
        </w:rPr>
      </w:r>
      <w:r/>
    </w:p>
    <w:p>
      <w:pPr>
        <w:pStyle w:val="843"/>
        <w:ind w:firstLine="720"/>
        <w:spacing w:line="460" w:lineRule="exact"/>
        <w:rPr>
          <w:rFonts w:hAnsi="宋体" w:cs="宋体"/>
          <w:color w:val="000000"/>
          <w:sz w:val="24"/>
          <w:szCs w:val="24"/>
          <w:highlight w:val="none"/>
        </w:rPr>
      </w:pPr>
      <w:r>
        <w:rPr>
          <w:rFonts w:hint="eastAsia" w:hAnsi="宋体" w:cs="宋体"/>
          <w:color w:val="000000"/>
          <w:sz w:val="24"/>
          <w:szCs w:val="24"/>
          <w:highlight w:val="none"/>
        </w:rPr>
        <w:t xml:space="preserve">项目联系人：</w:t>
      </w:r>
      <w:r>
        <w:rPr>
          <w:rFonts w:hint="eastAsia" w:hAnsi="宋体" w:cs="宋体"/>
          <w:color w:val="000000"/>
          <w:sz w:val="24"/>
          <w:szCs w:val="24"/>
          <w:highlight w:val="none"/>
          <w:u w:val="single"/>
        </w:rPr>
        <w:t xml:space="preserve">蒋女士</w:t>
      </w:r>
      <w:r>
        <w:rPr>
          <w:rFonts w:hAnsi="宋体" w:cs="宋体"/>
          <w:color w:val="000000"/>
          <w:sz w:val="24"/>
          <w:szCs w:val="24"/>
          <w:highlight w:val="none"/>
        </w:rPr>
      </w:r>
      <w:r/>
    </w:p>
    <w:p>
      <w:pPr>
        <w:pStyle w:val="809"/>
        <w:ind w:firstLine="72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18905109128</w:t>
      </w:r>
      <w:r>
        <w:rPr>
          <w:rFonts w:ascii="宋体" w:hAnsi="宋体" w:cs="宋体"/>
          <w:color w:val="000000"/>
          <w:sz w:val="24"/>
          <w:szCs w:val="24"/>
          <w:highlight w:val="none"/>
          <w:u w:val="single"/>
        </w:rPr>
      </w:r>
      <w:r/>
    </w:p>
    <w:p>
      <w:pPr>
        <w:pStyle w:val="809"/>
        <w:jc w:val="left"/>
        <w:spacing w:line="44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11"/>
        <w:spacing w:line="440" w:lineRule="exact"/>
        <w:rPr>
          <w:rFonts w:ascii="黑体" w:eastAsia="黑体"/>
          <w:b w:val="0"/>
          <w:bCs w:val="0"/>
          <w:color w:val="000000"/>
          <w:highlight w:val="none"/>
        </w:rPr>
      </w:pPr>
      <w:r/>
      <w:bookmarkStart w:id="45" w:name="_Toc120614211"/>
      <w:r>
        <w:rPr>
          <w:rFonts w:hint="eastAsia" w:ascii="黑体" w:eastAsia="黑体"/>
          <w:color w:val="000000"/>
          <w:highlight w:val="none"/>
        </w:rPr>
        <w:br w:type="page" w:clear="all"/>
      </w:r>
      <w:r>
        <w:rPr>
          <w:rFonts w:hint="eastAsia" w:ascii="黑体" w:eastAsia="黑体"/>
          <w:b w:val="0"/>
          <w:bCs w:val="0"/>
          <w:color w:val="000000"/>
          <w:highlight w:val="none"/>
        </w:rPr>
        <w:t xml:space="preserve">第二章  </w:t>
      </w:r>
      <w:bookmarkEnd w:id="1"/>
      <w:r/>
      <w:bookmarkEnd w:id="2"/>
      <w:r/>
      <w:bookmarkEnd w:id="3"/>
      <w:r/>
      <w:bookmarkEnd w:id="4"/>
      <w:r/>
      <w:bookmarkEnd w:id="5"/>
      <w:r/>
      <w:bookmarkEnd w:id="45"/>
      <w:r/>
      <w:bookmarkStart w:id="46" w:name="_Toc513029202"/>
      <w:r/>
      <w:bookmarkStart w:id="47" w:name="_Toc120614213"/>
      <w:r/>
      <w:bookmarkStart w:id="48" w:name="_Toc16938518"/>
      <w:r/>
      <w:bookmarkStart w:id="49" w:name="_Toc20823274"/>
      <w:r>
        <w:rPr>
          <w:rFonts w:hint="eastAsia" w:ascii="黑体" w:eastAsia="黑体"/>
          <w:b w:val="0"/>
          <w:bCs w:val="0"/>
          <w:color w:val="000000"/>
          <w:highlight w:val="none"/>
        </w:rPr>
        <w:t xml:space="preserve">投标人须知</w:t>
      </w:r>
      <w:bookmarkEnd w:id="46"/>
      <w:r/>
      <w:bookmarkEnd w:id="47"/>
      <w:r/>
      <w:bookmarkEnd w:id="48"/>
      <w:r/>
      <w:bookmarkEnd w:id="49"/>
      <w:r>
        <w:rPr>
          <w:rFonts w:ascii="黑体" w:eastAsia="黑体"/>
          <w:b w:val="0"/>
          <w:bCs w:val="0"/>
          <w:color w:val="000000"/>
          <w:highlight w:val="none"/>
        </w:rPr>
      </w:r>
      <w:r/>
    </w:p>
    <w:p>
      <w:pPr>
        <w:pStyle w:val="812"/>
        <w:ind w:firstLine="321"/>
        <w:spacing w:before="156" w:after="156" w:line="360" w:lineRule="auto"/>
        <w:rPr>
          <w:rFonts w:ascii="宋体" w:hAnsi="宋体" w:cs="宋体"/>
          <w:color w:val="000000"/>
          <w:highlight w:val="none"/>
        </w:rPr>
      </w:pPr>
      <w:r/>
      <w:bookmarkStart w:id="50" w:name="_Toc20823275"/>
      <w:r/>
      <w:bookmarkStart w:id="51" w:name="_Toc16938519"/>
      <w:r/>
      <w:bookmarkStart w:id="52" w:name="_Toc513029203"/>
      <w:r/>
      <w:bookmarkStart w:id="53" w:name="_Toc120614214"/>
      <w:r>
        <w:rPr>
          <w:rFonts w:hint="eastAsia" w:ascii="黑体" w:hAnsi="黑体" w:eastAsia="黑体" w:cs="黑体"/>
          <w:color w:val="000000"/>
          <w:highlight w:val="none"/>
        </w:rPr>
        <w:t xml:space="preserve">一、总则</w:t>
      </w:r>
      <w:bookmarkEnd w:id="50"/>
      <w:r/>
      <w:bookmarkEnd w:id="51"/>
      <w:r/>
      <w:bookmarkEnd w:id="52"/>
      <w:r/>
      <w:bookmarkEnd w:id="53"/>
      <w:r>
        <w:rPr>
          <w:rFonts w:ascii="宋体" w:hAnsi="宋体" w:cs="宋体"/>
          <w:color w:val="000000"/>
          <w:highlight w:val="none"/>
        </w:rPr>
      </w:r>
      <w:r/>
    </w:p>
    <w:p>
      <w:pPr>
        <w:pStyle w:val="809"/>
        <w:ind w:firstLine="241"/>
        <w:rPr>
          <w:rFonts w:hint="eastAsia" w:ascii="宋体" w:hAnsi="宋体" w:cs="宋体"/>
          <w:b/>
          <w:bCs/>
          <w:color w:val="000000"/>
          <w:sz w:val="24"/>
          <w:szCs w:val="24"/>
          <w:highlight w:val="none"/>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宋体" w:hAnsi="宋体" w:cs="宋体"/>
          <w:b/>
          <w:bCs/>
          <w:color w:val="000000"/>
          <w:sz w:val="24"/>
          <w:szCs w:val="24"/>
          <w:highlight w:val="none"/>
        </w:rPr>
        <w:t xml:space="preserve">1</w:t>
      </w:r>
      <w:bookmarkEnd w:id="55"/>
      <w:r>
        <w:rPr>
          <w:rFonts w:hint="eastAsia" w:ascii="宋体" w:hAnsi="宋体" w:cs="宋体"/>
          <w:b/>
          <w:bCs/>
          <w:color w:val="000000"/>
          <w:sz w:val="24"/>
          <w:szCs w:val="24"/>
          <w:highlight w:val="none"/>
        </w:rPr>
        <w:t xml:space="preserve">、招标方式</w:t>
      </w:r>
      <w:bookmarkEnd w:id="56"/>
      <w:r/>
      <w:bookmarkEnd w:id="57"/>
      <w:r/>
      <w:bookmarkEnd w:id="58"/>
      <w:r>
        <w:rPr>
          <w:rFonts w:hint="eastAsia" w:ascii="宋体" w:hAnsi="宋体" w:cs="宋体"/>
          <w:b/>
          <w:bCs/>
          <w:color w:val="000000"/>
          <w:sz w:val="24"/>
          <w:szCs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59" w:name="_Toc16938521"/>
      <w:r/>
      <w:bookmarkStart w:id="60" w:name="_Toc20823277"/>
      <w:r/>
      <w:bookmarkStart w:id="61" w:name="_Toc513029205"/>
      <w:r>
        <w:rPr>
          <w:rFonts w:hint="eastAsia" w:ascii="宋体" w:hAnsi="宋体" w:cs="宋体"/>
          <w:b/>
          <w:bCs/>
          <w:color w:val="000000"/>
          <w:sz w:val="24"/>
          <w:szCs w:val="24"/>
          <w:highlight w:val="none"/>
        </w:rPr>
        <w:t xml:space="preserve">2、合格的</w:t>
      </w:r>
      <w:bookmarkEnd w:id="59"/>
      <w:r/>
      <w:bookmarkEnd w:id="60"/>
      <w:r/>
      <w:bookmarkEnd w:id="61"/>
      <w:r>
        <w:rPr>
          <w:rFonts w:hint="eastAsia" w:ascii="宋体" w:hAnsi="宋体" w:cs="宋体"/>
          <w:b/>
          <w:bCs/>
          <w:color w:val="000000"/>
          <w:sz w:val="24"/>
          <w:szCs w:val="24"/>
          <w:highlight w:val="none"/>
        </w:rPr>
        <w:t xml:space="preserve">投标人</w:t>
      </w:r>
      <w:r>
        <w:rPr>
          <w:rFonts w:hint="eastAsia" w:ascii="宋体" w:hAnsi="宋体" w:cs="宋体"/>
          <w:b/>
          <w:bCs/>
          <w:color w:val="000000"/>
          <w:sz w:val="24"/>
          <w:szCs w:val="24"/>
          <w:highlight w:val="none"/>
        </w:rPr>
      </w:r>
      <w:r/>
    </w:p>
    <w:p>
      <w:pPr>
        <w:pStyle w:val="809"/>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2.1满足招标公告中投标人的资格要求的规定。</w:t>
      </w:r>
      <w:r>
        <w:rPr>
          <w:rFonts w:ascii="宋体" w:hAnsi="宋体" w:cs="宋体"/>
          <w:color w:val="000000"/>
          <w:sz w:val="24"/>
          <w:szCs w:val="24"/>
          <w:highlight w:val="none"/>
        </w:rPr>
      </w:r>
      <w:r/>
    </w:p>
    <w:p>
      <w:pPr>
        <w:pStyle w:val="809"/>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ascii="宋体" w:hAnsi="宋体" w:cs="宋体"/>
          <w:color w:val="000000"/>
          <w:sz w:val="24"/>
          <w:szCs w:val="24"/>
          <w:highlight w:val="none"/>
        </w:rPr>
      </w:r>
      <w:r/>
    </w:p>
    <w:p>
      <w:pPr>
        <w:pStyle w:val="809"/>
        <w:ind w:firstLine="241"/>
        <w:rPr>
          <w:rFonts w:hint="eastAsia" w:ascii="宋体" w:hAnsi="宋体" w:cs="宋体"/>
          <w:b/>
          <w:bCs/>
          <w:color w:val="000000"/>
          <w:sz w:val="24"/>
          <w:szCs w:val="24"/>
          <w:highlight w:val="none"/>
        </w:rPr>
      </w:pPr>
      <w:r/>
      <w:bookmarkStart w:id="62" w:name="_Toc20823278"/>
      <w:r/>
      <w:bookmarkStart w:id="63" w:name="_Toc513029206"/>
      <w:r/>
      <w:bookmarkStart w:id="64" w:name="_Toc16938522"/>
      <w:r>
        <w:rPr>
          <w:rFonts w:hint="eastAsia" w:ascii="宋体" w:hAnsi="宋体" w:cs="宋体"/>
          <w:b/>
          <w:bCs/>
          <w:color w:val="000000"/>
          <w:sz w:val="24"/>
          <w:szCs w:val="24"/>
          <w:highlight w:val="none"/>
        </w:rPr>
        <w:t xml:space="preserve">3、适用法律</w:t>
      </w:r>
      <w:bookmarkEnd w:id="62"/>
      <w:r/>
      <w:bookmarkEnd w:id="63"/>
      <w:r/>
      <w:bookmarkEnd w:id="64"/>
      <w:r>
        <w:rPr>
          <w:rFonts w:hint="eastAsia" w:ascii="宋体" w:hAnsi="宋体" w:cs="宋体"/>
          <w:b/>
          <w:bCs/>
          <w:color w:val="000000"/>
          <w:sz w:val="24"/>
          <w:szCs w:val="24"/>
          <w:highlight w:val="none"/>
        </w:rPr>
      </w:r>
      <w:r/>
    </w:p>
    <w:p>
      <w:pPr>
        <w:pStyle w:val="80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09"/>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809"/>
        <w:ind w:firstLine="241"/>
        <w:rPr>
          <w:rFonts w:hint="eastAsia" w:ascii="宋体" w:hAnsi="宋体" w:cs="宋体"/>
          <w:b/>
          <w:bCs/>
          <w:color w:val="000000"/>
          <w:sz w:val="24"/>
          <w:szCs w:val="24"/>
          <w:highlight w:val="none"/>
        </w:rPr>
      </w:pPr>
      <w:r/>
      <w:bookmarkStart w:id="65" w:name="_Toc16938523"/>
      <w:r/>
      <w:bookmarkStart w:id="66" w:name="_Toc462564067"/>
      <w:r/>
      <w:bookmarkStart w:id="67" w:name="_Toc513029207"/>
      <w:r/>
      <w:bookmarkStart w:id="68" w:name="_Toc20823279"/>
      <w:r>
        <w:rPr>
          <w:rFonts w:hint="eastAsia" w:ascii="宋体" w:hAnsi="宋体" w:cs="宋体"/>
          <w:b/>
          <w:bCs/>
          <w:color w:val="000000"/>
          <w:sz w:val="24"/>
          <w:szCs w:val="24"/>
          <w:highlight w:val="none"/>
        </w:rPr>
        <w:t xml:space="preserve">4、投标费用</w:t>
      </w:r>
      <w:bookmarkEnd w:id="65"/>
      <w:r/>
      <w:bookmarkEnd w:id="66"/>
      <w:r/>
      <w:bookmarkEnd w:id="67"/>
      <w:r/>
      <w:bookmarkEnd w:id="68"/>
      <w:r>
        <w:rPr>
          <w:rFonts w:hint="eastAsia" w:ascii="宋体" w:hAnsi="宋体" w:cs="宋体"/>
          <w:b/>
          <w:bCs/>
          <w:color w:val="000000"/>
          <w:sz w:val="24"/>
          <w:szCs w:val="24"/>
          <w:highlight w:val="none"/>
        </w:rPr>
      </w:r>
      <w:r/>
    </w:p>
    <w:p>
      <w:pPr>
        <w:pStyle w:val="809"/>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投标人应自行承担所有与参加投标有关的费用，无论投标过程中的做法和结果如何，盐城市招标代理有限公司（以下简称“招标代理机构”）在任何情况下均无义务和责任承担这些费用。</w:t>
      </w:r>
      <w:r>
        <w:rPr>
          <w:rFonts w:hint="eastAsia" w:ascii="宋体" w:hAnsi="宋体" w:cs="宋体"/>
          <w:color w:val="000000"/>
          <w:sz w:val="24"/>
          <w:highlight w:val="none"/>
        </w:rPr>
      </w:r>
      <w:r/>
    </w:p>
    <w:p>
      <w:pPr>
        <w:pStyle w:val="809"/>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4.2本次招标招标人和“招标代理机构”不收取标书工本费。</w:t>
      </w:r>
      <w:r>
        <w:rPr>
          <w:rFonts w:hint="eastAsia" w:ascii="宋体" w:hAnsi="宋体" w:cs="宋体"/>
          <w:color w:val="000000"/>
          <w:sz w:val="24"/>
          <w:highlight w:val="none"/>
        </w:rPr>
      </w:r>
      <w:r/>
    </w:p>
    <w:p>
      <w:pPr>
        <w:pStyle w:val="809"/>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本项目招标代理服务费由招标人支付，按《江苏省招标代理服务收费的指导意见》（苏招协[2022]002）的收费标准的0.01%计取，项目代理费用计算少于5000元，按5000元结算。各投标人在投标报价无需考虑该项费用。</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5、招标文件的约束力</w:t>
      </w:r>
      <w:r>
        <w:rPr>
          <w:rFonts w:hint="eastAsia" w:ascii="宋体" w:hAnsi="宋体" w:cs="宋体"/>
          <w:b/>
          <w:bCs/>
          <w:color w:val="000000"/>
          <w:sz w:val="24"/>
          <w:szCs w:val="24"/>
          <w:highlight w:val="none"/>
        </w:rPr>
      </w:r>
      <w:r/>
    </w:p>
    <w:p>
      <w:pPr>
        <w:pStyle w:val="809"/>
        <w:ind w:firstLine="480"/>
        <w:spacing w:line="400" w:lineRule="exact"/>
        <w:rPr>
          <w:rFonts w:hint="eastAsia" w:ascii="宋体" w:hAnsi="宋体" w:cs="宋体"/>
          <w:color w:val="000000"/>
          <w:sz w:val="24"/>
          <w:highlight w:val="none"/>
        </w:rPr>
      </w:pPr>
      <w:r/>
      <w:bookmarkStart w:id="69" w:name="_Toc513029209"/>
      <w:r/>
      <w:bookmarkStart w:id="70" w:name="_Toc16938525"/>
      <w:r/>
      <w:bookmarkStart w:id="71" w:name="_Toc20823281"/>
      <w:r/>
      <w:bookmarkStart w:id="72" w:name="_Toc120614215"/>
      <w:r>
        <w:rPr>
          <w:rFonts w:hint="eastAsia" w:ascii="宋体" w:hAnsi="宋体" w:cs="宋体"/>
          <w:color w:val="000000"/>
          <w:sz w:val="24"/>
          <w:highlight w:val="none"/>
        </w:rPr>
        <w:t xml:space="preserve">5.1投标人一旦参加本项目采购活动，即被认为接受了本招标文件的规定和约束。</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二、招标文件</w:t>
      </w:r>
      <w:bookmarkEnd w:id="69"/>
      <w:r/>
      <w:bookmarkEnd w:id="70"/>
      <w:r/>
      <w:bookmarkEnd w:id="71"/>
      <w:r/>
      <w:bookmarkEnd w:id="72"/>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Start w:id="73" w:name="_Toc513029210"/>
      <w:r/>
      <w:bookmarkStart w:id="74" w:name="_Toc16938526"/>
      <w:r/>
      <w:bookmarkStart w:id="75" w:name="_Toc20823282"/>
      <w:r/>
      <w:bookmarkStart w:id="76" w:name="_Toc16938529"/>
      <w:r/>
      <w:bookmarkStart w:id="77" w:name="_Toc20823285"/>
      <w:r/>
      <w:bookmarkStart w:id="78" w:name="_Toc120614216"/>
      <w:r/>
      <w:bookmarkStart w:id="79" w:name="_Toc513029213"/>
      <w:r/>
      <w:bookmarkStart w:id="80" w:name="_Toc462564072"/>
      <w:r>
        <w:rPr>
          <w:rFonts w:hint="eastAsia" w:ascii="宋体" w:hAnsi="宋体" w:cs="宋体"/>
          <w:b/>
          <w:bCs/>
          <w:color w:val="000000"/>
          <w:sz w:val="24"/>
          <w:szCs w:val="24"/>
          <w:highlight w:val="none"/>
        </w:rPr>
        <w:t xml:space="preserve">6、招标文件构成</w:t>
      </w:r>
      <w:bookmarkEnd w:id="73"/>
      <w:r/>
      <w:bookmarkEnd w:id="74"/>
      <w:r/>
      <w:bookmarkEnd w:id="75"/>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招标文件有以下部分组成：</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（1）招标公告</w:t>
      </w:r>
      <w:r>
        <w:rPr>
          <w:rFonts w:hint="eastAsia" w:ascii="宋体" w:hAnsi="宋体" w:cs="宋体"/>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（2）投标人</w:t>
      </w:r>
      <w:r>
        <w:rPr>
          <w:rFonts w:hint="eastAsia" w:ascii="宋体" w:hAnsi="宋体" w:cs="宋体"/>
          <w:color w:val="000000"/>
          <w:sz w:val="24"/>
          <w:highlight w:val="none"/>
        </w:rPr>
        <w:t xml:space="preserve">须知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请仔细检查招标文件是否齐全，如有缺漏请立即与招标代理机构联系解决。</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81" w:name="_Toc462564070"/>
      <w:r/>
      <w:bookmarkStart w:id="82" w:name="_Toc16938527"/>
      <w:r/>
      <w:bookmarkStart w:id="83" w:name="_Toc20823283"/>
      <w:r/>
      <w:bookmarkStart w:id="84" w:name="_Toc513029211"/>
      <w:r>
        <w:rPr>
          <w:rFonts w:hint="eastAsia" w:ascii="宋体" w:hAnsi="宋体" w:cs="宋体"/>
          <w:b/>
          <w:bCs/>
          <w:color w:val="000000"/>
          <w:sz w:val="24"/>
          <w:szCs w:val="24"/>
          <w:highlight w:val="none"/>
        </w:rPr>
        <w:t xml:space="preserve">7、招标文件的</w:t>
      </w:r>
      <w:bookmarkEnd w:id="81"/>
      <w:r/>
      <w:bookmarkEnd w:id="82"/>
      <w:r/>
      <w:bookmarkEnd w:id="83"/>
      <w:r/>
      <w:bookmarkEnd w:id="84"/>
      <w:r>
        <w:rPr>
          <w:rFonts w:hint="eastAsia" w:ascii="宋体" w:hAnsi="宋体" w:cs="宋体"/>
          <w:b/>
          <w:bCs/>
          <w:color w:val="000000"/>
          <w:sz w:val="24"/>
          <w:szCs w:val="24"/>
          <w:highlight w:val="none"/>
        </w:rPr>
        <w:t xml:space="preserve">澄清</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任何要求对招标文件进行澄清的投标人，应在投标截止日期</w:t>
      </w:r>
      <w:r>
        <w:rPr>
          <w:rFonts w:hint="eastAsia" w:ascii="宋体" w:hAnsi="宋体" w:cs="宋体"/>
          <w:b/>
          <w:bCs/>
          <w:color w:val="000000"/>
          <w:sz w:val="24"/>
          <w:highlight w:val="none"/>
        </w:rPr>
        <w:t xml:space="preserve">十日</w:t>
      </w:r>
      <w:r>
        <w:rPr>
          <w:rFonts w:hint="eastAsia" w:ascii="宋体" w:hAnsi="宋体" w:cs="宋体"/>
          <w:color w:val="000000"/>
          <w:sz w:val="24"/>
          <w:highlight w:val="none"/>
        </w:rPr>
        <w:t xml:space="preserve">前按招标公告中的通讯地址，以书面形式通知招标代理机构。</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85" w:name="_Toc16938528"/>
      <w:r/>
      <w:bookmarkStart w:id="86" w:name="_Toc462564071"/>
      <w:r/>
      <w:bookmarkStart w:id="87" w:name="_Toc513029212"/>
      <w:r/>
      <w:bookmarkStart w:id="88" w:name="_Toc20823284"/>
      <w:r>
        <w:rPr>
          <w:rFonts w:hint="eastAsia" w:ascii="宋体" w:hAnsi="宋体" w:cs="宋体"/>
          <w:b/>
          <w:bCs/>
          <w:color w:val="000000"/>
          <w:sz w:val="24"/>
          <w:szCs w:val="24"/>
          <w:highlight w:val="none"/>
        </w:rPr>
        <w:t xml:space="preserve">8、招标文件的修改</w:t>
      </w:r>
      <w:bookmarkEnd w:id="85"/>
      <w:r/>
      <w:bookmarkEnd w:id="86"/>
      <w:r/>
      <w:bookmarkEnd w:id="87"/>
      <w:r/>
      <w:bookmarkEnd w:id="88"/>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在投标截止时间前，招标人可以对招标文件进行修改。</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8.2招标人和招标代理机构有权按照法定的要求推迟投标截止日期和开标日期。</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三、投标文件的编制</w:t>
      </w:r>
      <w:bookmarkEnd w:id="76"/>
      <w:r/>
      <w:bookmarkEnd w:id="77"/>
      <w:r/>
      <w:bookmarkEnd w:id="78"/>
      <w:r/>
      <w:bookmarkEnd w:id="79"/>
      <w:r/>
      <w:bookmarkEnd w:id="80"/>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Start w:id="89" w:name="_Toc16938530"/>
      <w:r/>
      <w:bookmarkStart w:id="90" w:name="_Toc462564073"/>
      <w:r/>
      <w:bookmarkStart w:id="91" w:name="_Toc513029214"/>
      <w:r/>
      <w:bookmarkStart w:id="92" w:name="_Toc20823286"/>
      <w:r/>
      <w:bookmarkStart w:id="93" w:name="_Toc16938540"/>
      <w:r/>
      <w:bookmarkStart w:id="94" w:name="_Toc120614217"/>
      <w:r/>
      <w:bookmarkStart w:id="95" w:name="_Toc20823296"/>
      <w:r/>
      <w:bookmarkStart w:id="96" w:name="_Toc513029224"/>
      <w:r>
        <w:rPr>
          <w:rFonts w:hint="eastAsia" w:ascii="宋体" w:hAnsi="宋体" w:cs="宋体"/>
          <w:b/>
          <w:bCs/>
          <w:color w:val="000000"/>
          <w:sz w:val="24"/>
          <w:szCs w:val="24"/>
          <w:highlight w:val="none"/>
        </w:rPr>
        <w:t xml:space="preserve">9、投标文件的语言及度量衡单位</w:t>
      </w:r>
      <w:bookmarkEnd w:id="89"/>
      <w:r/>
      <w:bookmarkEnd w:id="90"/>
      <w:r/>
      <w:bookmarkEnd w:id="91"/>
      <w:r/>
      <w:bookmarkEnd w:id="92"/>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投标人提交的投标文件以及投标人与招标人、招标代理机构就有关投标的所有来往通知、函件和文件均应使用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97" w:name="_Toc513029215"/>
      <w:r/>
      <w:bookmarkStart w:id="98" w:name="_Toc16938531"/>
      <w:r/>
      <w:bookmarkStart w:id="99" w:name="_Toc20823287"/>
      <w:r/>
      <w:bookmarkStart w:id="100" w:name="_Toc462564074"/>
      <w:r>
        <w:rPr>
          <w:rFonts w:hint="eastAsia" w:ascii="宋体" w:hAnsi="宋体" w:cs="宋体"/>
          <w:b/>
          <w:bCs/>
          <w:color w:val="000000"/>
          <w:sz w:val="24"/>
          <w:szCs w:val="24"/>
          <w:highlight w:val="none"/>
        </w:rPr>
        <w:t xml:space="preserve">10、投标文件构成</w:t>
      </w:r>
      <w:bookmarkEnd w:id="97"/>
      <w:r/>
      <w:bookmarkEnd w:id="98"/>
      <w:r/>
      <w:bookmarkEnd w:id="99"/>
      <w:r/>
      <w:bookmarkEnd w:id="100"/>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101" w:name="_Toc49090509"/>
      <w:r/>
      <w:bookmarkStart w:id="102" w:name="_Toc14577357"/>
      <w:r/>
      <w:bookmarkStart w:id="103" w:name="_Toc513029219"/>
      <w:r/>
      <w:bookmarkStart w:id="104" w:name="_Toc513029216"/>
      <w:r/>
      <w:bookmarkStart w:id="105" w:name="_Toc49090507"/>
      <w:r/>
      <w:bookmarkStart w:id="106" w:name="_Toc14577354"/>
      <w:r/>
      <w:bookmarkStart w:id="107" w:name="_Hlt26954838"/>
      <w:r/>
      <w:bookmarkEnd w:id="107"/>
      <w:r/>
      <w:bookmarkStart w:id="108" w:name="_Hlt26668975"/>
      <w:r/>
      <w:bookmarkEnd w:id="108"/>
      <w:r/>
      <w:bookmarkStart w:id="109" w:name="_Hlt26670360"/>
      <w:r/>
      <w:bookmarkEnd w:id="109"/>
      <w:r>
        <w:rPr>
          <w:rFonts w:hint="eastAsia" w:ascii="宋体" w:hAnsi="宋体" w:cs="宋体"/>
          <w:b/>
          <w:bCs/>
          <w:color w:val="000000"/>
          <w:sz w:val="24"/>
          <w:szCs w:val="24"/>
          <w:highlight w:val="none"/>
        </w:rPr>
        <w:t xml:space="preserve">11、证明投标人资格及符合招标文件规定的文件</w:t>
      </w:r>
      <w:bookmarkEnd w:id="101"/>
      <w:r/>
      <w:bookmarkEnd w:id="102"/>
      <w:r/>
      <w:bookmarkEnd w:id="103"/>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w:t>
      </w:r>
      <w:bookmarkStart w:id="110" w:name="_Hlt26668999"/>
      <w:r/>
      <w:bookmarkEnd w:id="110"/>
      <w:r>
        <w:rPr>
          <w:rFonts w:hint="eastAsia" w:ascii="宋体" w:hAnsi="宋体" w:cs="宋体"/>
          <w:color w:val="000000"/>
          <w:sz w:val="24"/>
          <w:highlight w:val="none"/>
        </w:rPr>
        <w:t xml:space="preserve">投标人应按照法律、法规、规章和规范性文件以及招标文件要求提交证明文件，证明其及投标标的符合招标文件规定。</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w:t>
      </w:r>
      <w:bookmarkEnd w:id="104"/>
      <w:r/>
      <w:bookmarkEnd w:id="105"/>
      <w:r/>
      <w:bookmarkEnd w:id="106"/>
      <w:r/>
      <w:bookmarkStart w:id="111" w:name="_Toc49090508"/>
      <w:r/>
      <w:bookmarkStart w:id="112" w:name="_Toc14577355"/>
      <w:r>
        <w:rPr>
          <w:rFonts w:hint="eastAsia" w:ascii="宋体" w:hAnsi="宋体" w:cs="宋体"/>
          <w:color w:val="000000"/>
          <w:sz w:val="24"/>
          <w:highlight w:val="none"/>
        </w:rPr>
        <w:t xml:space="preserve">招标文件对证明文件无明确形式要求的，证明文件可以以文字资料、图纸和数据等形式提交。</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w:t>
      </w:r>
      <w:bookmarkEnd w:id="111"/>
      <w:r/>
      <w:bookmarkEnd w:id="112"/>
      <w:r>
        <w:rPr>
          <w:rFonts w:hint="eastAsia" w:ascii="宋体" w:hAnsi="宋体" w:cs="宋体"/>
          <w:b/>
          <w:bCs/>
          <w:color w:val="000000"/>
          <w:sz w:val="24"/>
          <w:szCs w:val="24"/>
          <w:highlight w:val="none"/>
        </w:rPr>
        <w:t xml:space="preserve">投标分项报价表</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Start w:id="113" w:name="_Hlt26954731"/>
      <w:r/>
      <w:bookmarkEnd w:id="113"/>
      <w:r/>
      <w:bookmarkStart w:id="114" w:name="_Hlt26954846"/>
      <w:r/>
      <w:bookmarkEnd w:id="114"/>
      <w:r/>
      <w:bookmarkStart w:id="115" w:name="_Hlt26670482"/>
      <w:r/>
      <w:bookmarkEnd w:id="115"/>
      <w:r/>
      <w:bookmarkStart w:id="116" w:name="_Hlt26954848"/>
      <w:r/>
      <w:bookmarkEnd w:id="116"/>
      <w:r/>
      <w:bookmarkStart w:id="117" w:name="_Hlt26670486"/>
      <w:r/>
      <w:bookmarkEnd w:id="117"/>
      <w:r>
        <w:rPr>
          <w:rFonts w:hint="eastAsia" w:ascii="宋体" w:hAnsi="宋体" w:cs="宋体"/>
          <w:color w:val="000000"/>
          <w:sz w:val="24"/>
          <w:highlight w:val="none"/>
        </w:rPr>
        <w:t xml:space="preserve">12.1投标人应按照招标文件规定格式填报投标分项报价表。</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13、技术参数响应及偏离表、商务条款响应及偏离表</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13.1投标人需对招标文件中的技术要求与商务要求逐项作出响应或偏离，并说明原因。</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13.2投标人可在投标文件中提供认为需要的其他技术文件或说明。</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14、投标函和开标一览表</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14.1投标人应按照招标文件中提供的格式完整、正确填写投标函、开标一览表。</w:t>
      </w:r>
      <w:r>
        <w:rPr>
          <w:rFonts w:hint="eastAsia"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Start w:id="118" w:name="_Toc14577359"/>
      <w:r/>
      <w:bookmarkStart w:id="119" w:name="_Toc49090510"/>
      <w:r>
        <w:rPr>
          <w:rFonts w:hint="eastAsia" w:ascii="宋体" w:hAnsi="宋体" w:cs="宋体"/>
          <w:b/>
          <w:bCs/>
          <w:color w:val="000000"/>
          <w:sz w:val="24"/>
          <w:szCs w:val="24"/>
          <w:highlight w:val="none"/>
        </w:rPr>
        <w:t xml:space="preserve">15、投标有效期</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15.1投标有效期为招标代理机构规定的开标之日后</w:t>
      </w:r>
      <w:r>
        <w:rPr>
          <w:rFonts w:hint="eastAsia" w:ascii="宋体" w:hAnsi="宋体" w:cs="宋体"/>
          <w:b/>
          <w:bCs/>
          <w:color w:val="000000"/>
          <w:sz w:val="24"/>
          <w:highlight w:val="none"/>
          <w:u w:val="single"/>
        </w:rPr>
        <w:t xml:space="preserve">九十（90）天</w:t>
      </w:r>
      <w:r>
        <w:rPr>
          <w:rFonts w:hint="eastAsia" w:ascii="宋体" w:hAnsi="宋体" w:cs="宋体"/>
          <w:color w:val="000000"/>
          <w:sz w:val="24"/>
          <w:highlight w:val="none"/>
        </w:rPr>
        <w:t xml:space="preserve">。投标有效期比规定短的将被视为未实质性响应招标文件而予以拒绝。</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End w:id="118"/>
      <w:r/>
      <w:bookmarkEnd w:id="119"/>
      <w:r/>
      <w:bookmarkStart w:id="120" w:name="_Hlt26670489"/>
      <w:r/>
      <w:bookmarkEnd w:id="120"/>
      <w:r/>
      <w:bookmarkStart w:id="121" w:name="_Hlt26954734"/>
      <w:r/>
      <w:bookmarkEnd w:id="121"/>
      <w:r/>
      <w:bookmarkStart w:id="122" w:name="_Hlt26954850"/>
      <w:r/>
      <w:bookmarkEnd w:id="122"/>
      <w:r/>
      <w:bookmarkStart w:id="123" w:name="_Toc49090511"/>
      <w:r/>
      <w:bookmarkStart w:id="124" w:name="_Toc14577360"/>
      <w:r>
        <w:rPr>
          <w:rFonts w:hint="eastAsia" w:ascii="宋体" w:hAnsi="宋体" w:cs="宋体"/>
          <w:b/>
          <w:bCs/>
          <w:color w:val="000000"/>
          <w:sz w:val="24"/>
          <w:szCs w:val="24"/>
          <w:highlight w:val="none"/>
        </w:rPr>
        <w:t xml:space="preserve">16、投标有效期</w:t>
      </w:r>
      <w:bookmarkEnd w:id="123"/>
      <w:r/>
      <w:bookmarkEnd w:id="124"/>
      <w:r>
        <w:rPr>
          <w:rFonts w:hint="eastAsia" w:ascii="宋体" w:hAnsi="宋体" w:cs="宋体"/>
          <w:b/>
          <w:bCs/>
          <w:color w:val="000000"/>
          <w:sz w:val="24"/>
          <w:szCs w:val="24"/>
          <w:highlight w:val="none"/>
        </w:rPr>
        <w:t xml:space="preserve">的延长</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四、投标文件的递交</w:t>
      </w:r>
      <w:bookmarkEnd w:id="93"/>
      <w:r/>
      <w:bookmarkEnd w:id="94"/>
      <w:r/>
      <w:bookmarkEnd w:id="95"/>
      <w:r/>
      <w:bookmarkEnd w:id="96"/>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Start w:id="125" w:name="_Toc513029225"/>
      <w:r/>
      <w:bookmarkStart w:id="126" w:name="_Toc20823297"/>
      <w:r/>
      <w:bookmarkStart w:id="127" w:name="_Toc16938541"/>
      <w:r/>
      <w:bookmarkStart w:id="128" w:name="_Toc462564084"/>
      <w:r>
        <w:rPr>
          <w:rFonts w:hint="eastAsia" w:ascii="宋体" w:hAnsi="宋体" w:cs="宋体"/>
          <w:b/>
          <w:bCs/>
          <w:color w:val="000000"/>
          <w:sz w:val="24"/>
          <w:szCs w:val="24"/>
          <w:highlight w:val="none"/>
        </w:rPr>
        <w:t xml:space="preserve">17、</w:t>
      </w:r>
      <w:bookmarkEnd w:id="125"/>
      <w:r/>
      <w:bookmarkEnd w:id="126"/>
      <w:r/>
      <w:bookmarkEnd w:id="127"/>
      <w:r/>
      <w:bookmarkEnd w:id="128"/>
      <w:r>
        <w:rPr>
          <w:rFonts w:hint="eastAsia" w:ascii="宋体" w:hAnsi="宋体" w:cs="宋体"/>
          <w:b/>
          <w:bCs/>
          <w:color w:val="000000"/>
          <w:sz w:val="24"/>
          <w:szCs w:val="24"/>
          <w:highlight w:val="none"/>
        </w:rPr>
        <w:t xml:space="preserve">投标文件的递交</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Start w:id="129" w:name="_Toc16938542"/>
      <w:r/>
      <w:bookmarkStart w:id="130" w:name="_Toc513029226"/>
      <w:r/>
      <w:bookmarkStart w:id="131" w:name="_Toc20823298"/>
      <w:r>
        <w:rPr>
          <w:rFonts w:hint="eastAsia" w:ascii="宋体" w:hAnsi="宋体" w:cs="宋体"/>
          <w:color w:val="000000"/>
          <w:sz w:val="24"/>
          <w:highlight w:val="none"/>
        </w:rPr>
        <w:t xml:space="preserve">17.1 电子投标文件的递交</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18、投标截止</w:t>
      </w:r>
      <w:bookmarkEnd w:id="129"/>
      <w:r/>
      <w:bookmarkEnd w:id="130"/>
      <w:r/>
      <w:bookmarkEnd w:id="131"/>
      <w:r>
        <w:rPr>
          <w:rFonts w:hint="eastAsia" w:ascii="宋体" w:hAnsi="宋体" w:cs="宋体"/>
          <w:b/>
          <w:bCs/>
          <w:color w:val="000000"/>
          <w:sz w:val="24"/>
          <w:szCs w:val="24"/>
          <w:highlight w:val="none"/>
        </w:rPr>
        <w:t xml:space="preserve">时间</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Start w:id="132" w:name="_Toc16938543"/>
      <w:r/>
      <w:bookmarkStart w:id="133" w:name="_Toc20823299"/>
      <w:r/>
      <w:bookmarkStart w:id="134" w:name="_Toc513029227"/>
      <w:r>
        <w:rPr>
          <w:rFonts w:hint="eastAsia" w:ascii="宋体" w:hAnsi="宋体" w:cs="宋体"/>
          <w:color w:val="000000"/>
          <w:sz w:val="24"/>
          <w:highlight w:val="none"/>
        </w:rPr>
        <w:t xml:space="preserve">18.1</w:t>
      </w:r>
      <w:r>
        <w:rPr>
          <w:rFonts w:hint="eastAsia" w:ascii="宋体" w:hAnsi="宋体" w:cs="宋体"/>
          <w:b/>
          <w:bCs/>
          <w:i/>
          <w:iCs/>
          <w:color w:val="000000"/>
          <w:sz w:val="24"/>
          <w:highlight w:val="none"/>
          <w:u w:val="single"/>
        </w:rPr>
        <w:t xml:space="preserve">投标人上传电子投标文件的时间不得迟于招标公告中规定的投标截止时间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18.2招标代理机构可以按照规定，通过修改招标文件酌情延长投标截止时间，在此情况下，投标人的所有权利和义务以及投标人受制的截止时间均应以延长后新的截止时间为准。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End w:id="132"/>
      <w:r/>
      <w:bookmarkEnd w:id="133"/>
      <w:r/>
      <w:bookmarkEnd w:id="134"/>
      <w:r/>
      <w:bookmarkStart w:id="135" w:name="_Toc16938544"/>
      <w:r/>
      <w:bookmarkStart w:id="136" w:name="_Toc20823300"/>
      <w:r/>
      <w:bookmarkStart w:id="137" w:name="_Toc513029228"/>
      <w:r>
        <w:rPr>
          <w:rFonts w:hint="eastAsia" w:ascii="宋体" w:hAnsi="宋体" w:cs="宋体"/>
          <w:b/>
          <w:bCs/>
          <w:color w:val="000000"/>
          <w:sz w:val="24"/>
          <w:szCs w:val="24"/>
          <w:highlight w:val="none"/>
        </w:rPr>
        <w:t xml:space="preserve">19、投标文件的拒收</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19.1招标代理机构拒绝接收在其规定的投标截止时间后上传的任何投标文件。</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bookmarkEnd w:id="135"/>
      <w:r/>
      <w:bookmarkEnd w:id="136"/>
      <w:r/>
      <w:bookmarkEnd w:id="137"/>
      <w:r>
        <w:rPr>
          <w:rFonts w:hint="eastAsia" w:ascii="宋体" w:hAnsi="宋体" w:cs="宋体"/>
          <w:b/>
          <w:bCs/>
          <w:color w:val="000000"/>
          <w:sz w:val="24"/>
          <w:szCs w:val="24"/>
          <w:highlight w:val="none"/>
        </w:rPr>
        <w:t xml:space="preserve">20、投标文件的撤回和修改</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20.1投标文件的撤回</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20.1.1电子投标文件的撤回</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20.1.2投标人撤回电子投标文件，则认为其不再参与本项目投标活动。</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 投标文件的修改</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20.2.2在投标截止时间之后，投标人不得对其电子投标文件作任何修改。</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20.3在投标截止时间至招标文件中规定的投标有效期满之间的这段时间内，投标人不得撤回其投标。</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bookmarkStart w:id="138" w:name="_Toc20823301"/>
      <w:r/>
      <w:bookmarkStart w:id="139" w:name="_Toc120614218"/>
      <w:r/>
      <w:bookmarkStart w:id="140" w:name="_Toc16938545"/>
      <w:r/>
      <w:bookmarkStart w:id="141" w:name="_Toc513029229"/>
      <w:r>
        <w:rPr>
          <w:rFonts w:hint="eastAsia" w:ascii="黑体" w:hAnsi="黑体" w:eastAsia="黑体" w:cs="黑体"/>
          <w:color w:val="000000"/>
          <w:highlight w:val="none"/>
        </w:rPr>
        <w:t xml:space="preserve">五、开标与评标</w:t>
      </w:r>
      <w:bookmarkEnd w:id="138"/>
      <w:r/>
      <w:bookmarkEnd w:id="139"/>
      <w:r/>
      <w:bookmarkEnd w:id="140"/>
      <w:r/>
      <w:bookmarkEnd w:id="141"/>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Start w:id="142" w:name="_Toc16938546"/>
      <w:r/>
      <w:bookmarkStart w:id="143" w:name="_Toc513029230"/>
      <w:r/>
      <w:bookmarkStart w:id="144" w:name="_Toc20823302"/>
      <w:r/>
      <w:bookmarkStart w:id="145" w:name="_Toc20823307"/>
      <w:r/>
      <w:bookmarkStart w:id="146" w:name="_Toc120614219"/>
      <w:r/>
      <w:bookmarkStart w:id="147" w:name="_Toc16938551"/>
      <w:r/>
      <w:bookmarkStart w:id="148" w:name="_Toc513029235"/>
      <w:r>
        <w:rPr>
          <w:rFonts w:hint="eastAsia" w:ascii="宋体" w:hAnsi="宋体" w:cs="宋体"/>
          <w:b/>
          <w:bCs/>
          <w:color w:val="000000"/>
          <w:sz w:val="24"/>
          <w:szCs w:val="24"/>
          <w:highlight w:val="none"/>
        </w:rPr>
        <w:t xml:space="preserve">21、开标</w:t>
      </w:r>
      <w:bookmarkEnd w:id="142"/>
      <w:r/>
      <w:bookmarkEnd w:id="143"/>
      <w:r/>
      <w:bookmarkEnd w:id="144"/>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Start w:id="149" w:name="_Toc16938547"/>
      <w:r/>
      <w:bookmarkStart w:id="150" w:name="_Toc513029231"/>
      <w:r/>
      <w:bookmarkStart w:id="151" w:name="_Toc20823303"/>
      <w:r>
        <w:rPr>
          <w:rFonts w:hint="eastAsia" w:ascii="宋体" w:hAnsi="宋体" w:cs="宋体"/>
          <w:color w:val="000000"/>
          <w:sz w:val="24"/>
          <w:highlight w:val="none"/>
        </w:rPr>
        <w:t xml:space="preserve">21.1招标代理机构将在招标公告中规定的时间和地点组织公开开标。投标人应当按照《操作手册》规定，参加开标活动和在苏采云系统规定的时间内对投标文件进行解密。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21.2开标仪式由招标代理机构组织。苏采云系统将自动对项目进行开标，并宣布各投标人名称和投标价格。</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21.3投标人在开标过程中涉及到的投标文件解密、开标结果确认等工作，应按照《操作手册》规定执行。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22、评标委员会</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22.1开标后，招标代理机构将立即组织评标委员会（以下简称“评委会”）进行评标。</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22.2评委会由招标人代表和有关技术、经济等方面的专家组成，且人员构成符合政府采购有关规定。</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22.3评委会独立工作，负责评审所有投标文件并确定中标侯选人。</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23、评标过程的保密与公正</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23.1凡是与审查、澄清、评价和比较投标的有关资料以及授标建议等，招标人、评委、招标代理机构均不得向投标人或与评标无关的其他人员透露。</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23.2在评标过程中，投标人不得以任何行为影响评标过程，否则其投标文件将被作为无效投标文件。</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23.3招标代理机构和评标委员会不向未中标的投标人解释未中标原因，也不公布评标过程中的相关细节。</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24、投标文件的澄清</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End w:id="149"/>
      <w:r/>
      <w:bookmarkEnd w:id="150"/>
      <w:r/>
      <w:bookmarkEnd w:id="151"/>
      <w:r/>
      <w:bookmarkStart w:id="152" w:name="_Toc16938548"/>
      <w:r/>
      <w:bookmarkStart w:id="153" w:name="_Toc20823304"/>
      <w:r/>
      <w:bookmarkStart w:id="154" w:name="_Toc513029232"/>
      <w:r>
        <w:rPr>
          <w:rFonts w:hint="eastAsia"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24.3接到评委会澄清、说明和补正要求的投标人如未按规定做出澄清、说明和补正，其风险由投标人自行承担。</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w:t>
      </w:r>
      <w:bookmarkEnd w:id="152"/>
      <w:r/>
      <w:bookmarkEnd w:id="153"/>
      <w:r/>
      <w:bookmarkEnd w:id="154"/>
      <w:r>
        <w:rPr>
          <w:rFonts w:hint="eastAsia" w:ascii="宋体" w:hAnsi="宋体" w:cs="宋体"/>
          <w:b/>
          <w:bCs/>
          <w:color w:val="000000"/>
          <w:sz w:val="24"/>
          <w:szCs w:val="24"/>
          <w:highlight w:val="none"/>
        </w:rPr>
        <w:t xml:space="preserve">对投标文件的初审</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25.1投标文件初审分为资格审查和符合性审查。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25.1.1资格审查：依据法律法规和招标文件的规定，由招标人对投标文件中的资格证明文件进行审查。资格审查的结论，招标人以书面形式向评委会进行反馈。</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25.4评委会将对确定为实质性响应的投标进行进一步审核，确定其是否有计算上或累加上的算术错误，修正错误的原则如下：</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25.6投标人在开、评标全过程中应保持通讯畅通，及时登录苏采云系统查阅、答复相关信息，并安排专人与招标代理机构及评标委员会联系。</w:t>
      </w:r>
      <w:r>
        <w:rPr>
          <w:rFonts w:hint="eastAsia" w:ascii="宋体" w:hAnsi="宋体" w:cs="宋体"/>
          <w:color w:val="000000"/>
          <w:sz w:val="24"/>
          <w:szCs w:val="24"/>
          <w:highlight w:val="none"/>
        </w:rPr>
      </w:r>
      <w:r/>
    </w:p>
    <w:p>
      <w:pPr>
        <w:pStyle w:val="809"/>
        <w:ind w:firstLine="241"/>
        <w:rPr>
          <w:rFonts w:hint="eastAsia" w:ascii="宋体" w:hAnsi="宋体" w:cs="宋体"/>
          <w:b/>
          <w:bCs/>
          <w:color w:val="000000"/>
          <w:sz w:val="24"/>
          <w:szCs w:val="24"/>
          <w:highlight w:val="none"/>
        </w:rPr>
      </w:pPr>
      <w:r/>
      <w:bookmarkStart w:id="155" w:name="_Toc16938549"/>
      <w:r/>
      <w:bookmarkStart w:id="156" w:name="_Toc513029233"/>
      <w:r/>
      <w:bookmarkStart w:id="157" w:name="_Toc20823305"/>
      <w:r>
        <w:rPr>
          <w:rFonts w:hint="eastAsia" w:ascii="宋体" w:hAnsi="宋体" w:cs="宋体"/>
          <w:b/>
          <w:bCs/>
          <w:color w:val="000000"/>
          <w:sz w:val="24"/>
          <w:szCs w:val="24"/>
          <w:highlight w:val="none"/>
        </w:rPr>
        <w:t xml:space="preserve">26、</w:t>
      </w:r>
      <w:bookmarkEnd w:id="155"/>
      <w:r/>
      <w:bookmarkEnd w:id="156"/>
      <w:r/>
      <w:bookmarkEnd w:id="157"/>
      <w:r>
        <w:rPr>
          <w:rFonts w:hint="eastAsia" w:ascii="宋体" w:hAnsi="宋体" w:cs="宋体"/>
          <w:b/>
          <w:bCs/>
          <w:color w:val="000000"/>
          <w:sz w:val="24"/>
          <w:szCs w:val="24"/>
          <w:highlight w:val="none"/>
        </w:rPr>
        <w:t xml:space="preserve">无效投标条款和废标条款</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26.1无效投标条款</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26.1.1投标人在苏采云系统规定的时间内未成功解密电子投标文件的。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26.1.2投标人未按照招标文件要求上传电子投标文件的。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26.1.3同一投标人提交两个（含两个）以上不同的投标报价的。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26.1.4投标人不具备招标文件中规定资格要求的。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26.1.5投标人的报价超过了采购预算或最高限价的。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26.1.6未通过符合性审查的。</w:t>
      </w:r>
      <w:r>
        <w:rPr>
          <w:rFonts w:hint="eastAsia" w:ascii="宋体" w:hAnsi="宋体" w:cs="宋体"/>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26.1.7不符合招标文件中规定的实质性要求和条件的</w:t>
      </w:r>
      <w:r>
        <w:rPr>
          <w:rFonts w:hint="eastAsia" w:ascii="宋体" w:hAnsi="宋体" w:cs="宋体"/>
          <w:b/>
          <w:bCs/>
          <w:i/>
          <w:iCs/>
          <w:color w:val="000000"/>
          <w:sz w:val="24"/>
          <w:highlight w:val="none"/>
          <w:u w:val="single"/>
        </w:rPr>
        <w:t xml:space="preserve">（</w:t>
      </w:r>
      <w:r>
        <w:rPr>
          <w:rFonts w:hint="eastAsia" w:ascii="宋体" w:hAnsi="宋体" w:cs="宋体"/>
          <w:b/>
          <w:bCs/>
          <w:i/>
          <w:iCs/>
          <w:color w:val="000000"/>
          <w:sz w:val="24"/>
          <w:highlight w:val="none"/>
          <w:u w:val="single"/>
        </w:rPr>
        <w:t xml:space="preserve">本招标文件中斜体且有下划线部分为实质性要求和条件）</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26.1.9投标文件含有招标人不能接受的附加条件的。</w:t>
      </w:r>
      <w:r>
        <w:rPr>
          <w:rFonts w:hint="eastAsia" w:ascii="宋体" w:hAnsi="宋体" w:cs="宋体"/>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26.1.10异常低价投标（响应）审查</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（一）评审过程中出现下列情形之一的，评标委员会应当启动异常低价投标审查程序：</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3.投标（响应）报价低于采购项目最高限价45%的，即投标（响应）报价&lt;采购项目最高限价×45%；</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相关法律法规对供应商报价有规定的，从其规定。</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bCs/>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26.1.11投标文件未按照招标文件要求加盖CA电子公章的。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26.1.12其他法律、法规及本招标文件规定的属无效投标的情形。</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26.2废标条款</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26.2.1符合专业条件的投标人或者对招标文件作实质响应的投标人不足三家的。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26.2.2出现影响采购公正的违法、违规行为的。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26.2.3因重大变故，采购任务取消的。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26.2.4评标委员会认定招标文件存在歧义、重大缺陷导致评审工作无法进行。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26.2.5因苏采云系统系统故障原因造成开标不成功的。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投标截止时间结束后参加投标的投标人不足三家的处理：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六、</w:t>
      </w:r>
      <w:bookmarkEnd w:id="145"/>
      <w:r/>
      <w:bookmarkEnd w:id="147"/>
      <w:r/>
      <w:bookmarkEnd w:id="148"/>
      <w:r>
        <w:rPr>
          <w:rFonts w:hint="eastAsia" w:ascii="黑体" w:hAnsi="黑体" w:eastAsia="黑体" w:cs="黑体"/>
          <w:color w:val="000000"/>
          <w:highlight w:val="none"/>
        </w:rPr>
        <w:t xml:space="preserve">定标</w:t>
      </w:r>
      <w:bookmarkEnd w:id="146"/>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Start w:id="158" w:name="_Toc513029238"/>
      <w:r/>
      <w:bookmarkStart w:id="159" w:name="_Toc16938554"/>
      <w:r/>
      <w:bookmarkStart w:id="160" w:name="_Toc20823310"/>
      <w:r>
        <w:rPr>
          <w:rFonts w:hint="eastAsia" w:ascii="宋体" w:hAnsi="宋体" w:cs="宋体"/>
          <w:b/>
          <w:bCs/>
          <w:color w:val="000000"/>
          <w:sz w:val="24"/>
          <w:szCs w:val="24"/>
          <w:highlight w:val="none"/>
        </w:rPr>
        <w:t xml:space="preserve">27、</w:t>
      </w:r>
      <w:bookmarkEnd w:id="158"/>
      <w:r>
        <w:rPr>
          <w:rFonts w:hint="eastAsia" w:ascii="宋体" w:hAnsi="宋体" w:cs="宋体"/>
          <w:b/>
          <w:bCs/>
          <w:color w:val="000000"/>
          <w:sz w:val="24"/>
          <w:szCs w:val="24"/>
          <w:highlight w:val="none"/>
        </w:rPr>
        <w:t xml:space="preserve">确定</w:t>
      </w:r>
      <w:bookmarkEnd w:id="159"/>
      <w:r/>
      <w:bookmarkEnd w:id="160"/>
      <w:r>
        <w:rPr>
          <w:rFonts w:hint="eastAsia" w:ascii="宋体" w:hAnsi="宋体" w:cs="宋体"/>
          <w:b/>
          <w:bCs/>
          <w:color w:val="000000"/>
          <w:sz w:val="24"/>
          <w:szCs w:val="24"/>
          <w:highlight w:val="none"/>
        </w:rPr>
        <w:t xml:space="preserve">中标单位</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Start w:id="161" w:name="_Toc200451960"/>
      <w:r>
        <w:rPr>
          <w:rFonts w:hint="eastAsia" w:ascii="宋体" w:hAnsi="宋体" w:cs="宋体"/>
          <w:color w:val="000000"/>
          <w:sz w:val="24"/>
          <w:highlight w:val="none"/>
        </w:rPr>
        <w:t xml:space="preserve">27.1中标候选人的选取原则和数量见招标文件第五章规定。 </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27.2招标人应根据评委会推荐的中标候选人确定中标人。</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27.3招标代理机构将在“中国政府采购网”、“江苏政府采购网”、“盐城市政府采购网”发布中标公告，公告期限为1个工作日。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27.4若有充分证据证明，中标人出现下列情况之一的，一经查实，将被取消中标资格：</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27.4.1提供虚假材料谋取中标的。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27.4.2向招标人、招标代理机构行贿或者提供其他不正当利益的。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27.4.3属于本文件规定的无效条件，但在评标过程中又未被评委会发现的。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27.4.4与招标人或者其他投标人恶意串通的。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27.4.5采取不正当手段诋毁、排挤其他投标人的。</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 有下列情形之一的，视为投标人串通投标，投标无效：</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27.5.1不同投标人的投标文件由同一单位或者个人编制。</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27.5.2不同投标人委托同一单位或者个人办理投标事宜。</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27.5.3不同投标人的投标文件载明的项目管理成员或者联系人员为同一人。</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27.5.4不同投标人的投标文件异常一致或者投标报价呈规律性差异。</w:t>
      </w:r>
      <w:r>
        <w:rPr>
          <w:rFonts w:hint="eastAsia" w:ascii="宋体" w:hAnsi="宋体" w:cs="宋体"/>
          <w:color w:val="000000"/>
          <w:sz w:val="24"/>
          <w:highlight w:val="none"/>
        </w:rPr>
      </w:r>
      <w:r/>
    </w:p>
    <w:p>
      <w:pPr>
        <w:pStyle w:val="809"/>
        <w:ind w:firstLine="241"/>
        <w:rPr>
          <w:rFonts w:hint="eastAsia" w:ascii="宋体" w:hAnsi="宋体" w:cs="宋体"/>
          <w:b/>
          <w:color w:val="000000"/>
          <w:sz w:val="30"/>
          <w:szCs w:val="30"/>
          <w:highlight w:val="none"/>
        </w:rPr>
      </w:pPr>
      <w:r>
        <w:rPr>
          <w:rFonts w:hint="eastAsia" w:ascii="宋体" w:hAnsi="宋体" w:cs="宋体"/>
          <w:b/>
          <w:bCs/>
          <w:color w:val="000000"/>
          <w:sz w:val="24"/>
          <w:szCs w:val="24"/>
          <w:highlight w:val="none"/>
        </w:rPr>
        <w:t xml:space="preserve">28、质疑处理</w:t>
      </w:r>
      <w:bookmarkEnd w:id="161"/>
      <w:r>
        <w:rPr>
          <w:rFonts w:hint="eastAsia" w:ascii="宋体" w:hAnsi="宋体" w:cs="宋体"/>
          <w:color w:val="000000"/>
          <w:sz w:val="30"/>
          <w:szCs w:val="30"/>
          <w:highlight w:val="none"/>
        </w:rPr>
        <w:tab/>
      </w:r>
      <w:r>
        <w:rPr>
          <w:rFonts w:hint="eastAsia" w:ascii="宋体" w:hAnsi="宋体" w:cs="宋体"/>
          <w:b/>
          <w:color w:val="000000"/>
          <w:sz w:val="30"/>
          <w:szCs w:val="30"/>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28.1提出质疑的投标人应当是参与所质疑项目采购活动的投标人。潜在投标人依法获取其可质疑的采购文件的，可以对采购文件提出质疑。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投标人认为采购文件、采购过程和采购结果使自己的权益受到损害的，可以在知道或应知其权益受到损害之日起七个工作日内，以书面形式根据下述28.4条款的规定向招标代理机构或招标人提出质疑。上述应知其权益受到损害之日，是指：</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28.2.1对可以质疑的采购文件提出质疑的，为收到采购文件之日或者采购文件公告期限届满之日；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28.2.2对采购过程提出质疑的，为各采购程序环节结束之日；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28.2.3对中标或者成交结果提出质疑的，为中标或者成交结果公告期限届满之日。</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投标人应当在法定质疑期内一次性提出针对同一采购程序环节的质疑。投标人如在法定期限内对同一采购程序环节提出多次质疑的，招标代理机构、招标人将只对投标人第一次质疑作出答复。</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color w:val="000000"/>
          <w:sz w:val="24"/>
          <w:highlight w:val="none"/>
        </w:rPr>
      </w:r>
      <w:r/>
    </w:p>
    <w:p>
      <w:pPr>
        <w:pStyle w:val="809"/>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r>
        <w:rPr>
          <w:rFonts w:hint="eastAsia" w:ascii="宋体" w:hAnsi="宋体" w:cs="宋体"/>
          <w:b/>
          <w:bCs/>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招标代理机构及招标人只接收以纸质原件形式送达的质疑,招标人和招标代理机构不接受未填写快递运单的快件。</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0"/>
          <w:highlight w:val="none"/>
          <w:lang w:val="zh-CN"/>
        </w:rPr>
        <w:t xml:space="preserve">质疑接收部门为盐城市</w:t>
      </w:r>
      <w:r>
        <w:rPr>
          <w:rFonts w:hint="eastAsia" w:ascii="宋体" w:hAnsi="宋体" w:cs="宋体"/>
          <w:color w:val="000000"/>
          <w:sz w:val="24"/>
          <w:highlight w:val="none"/>
        </w:rPr>
        <w:t xml:space="preserve">招标代理有限公司招标代理处，联系地址：盐城市青年路钱江财富广场西区A座3A楼，联系电话：0515-89803566。</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质疑人（或授权方）须是投标单位正式员工，授权方须提供投标单位为其缴纳的本年度近期社保证明。</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 以下情形的质疑不予受理</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28.5.1内容不符合《政府采购质疑和投诉办法》第十二条规定的质疑。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28.5.2超出政府采购法定期限的质疑。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28.5.3以传真、电子邮件等方式递交的非原件形式的质疑。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28.5.4未参加投标活动的投标人或在投标活动中自身权益未受到损害的投标人所提出的质疑。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28.5.5投标人组成联合体参加投标，联合体中任何一方或多方未按要求签字、盖章、加盖公章的质疑。</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29、中标通知书</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 w:val="24"/>
          <w:highlight w:val="none"/>
        </w:rPr>
      </w:r>
      <w:r/>
    </w:p>
    <w:p>
      <w:pPr>
        <w:pStyle w:val="812"/>
        <w:ind w:firstLine="321"/>
        <w:spacing w:before="156" w:after="156" w:line="360" w:lineRule="auto"/>
        <w:rPr>
          <w:rFonts w:ascii="黑体" w:hAnsi="黑体" w:eastAsia="黑体" w:cs="黑体"/>
          <w:color w:val="000000"/>
          <w:highlight w:val="none"/>
        </w:rPr>
      </w:pPr>
      <w:r/>
      <w:bookmarkStart w:id="162" w:name="_Toc120614220"/>
      <w:r/>
      <w:bookmarkStart w:id="163" w:name="_Toc513029236"/>
      <w:r/>
      <w:bookmarkStart w:id="164" w:name="_Toc16938552"/>
      <w:r/>
      <w:bookmarkStart w:id="165" w:name="_Toc20823308"/>
      <w:r>
        <w:rPr>
          <w:rFonts w:hint="eastAsia" w:ascii="黑体" w:hAnsi="黑体" w:eastAsia="黑体" w:cs="黑体"/>
          <w:color w:val="000000"/>
          <w:highlight w:val="none"/>
        </w:rPr>
        <w:t xml:space="preserve">七、授予合同</w:t>
      </w:r>
      <w:bookmarkEnd w:id="162"/>
      <w:r>
        <w:rPr>
          <w:rFonts w:ascii="黑体" w:hAnsi="黑体" w:eastAsia="黑体" w:cs="黑体"/>
          <w:color w:val="000000"/>
          <w:highlight w:val="none"/>
        </w:rPr>
      </w:r>
      <w:r/>
    </w:p>
    <w:p>
      <w:pPr>
        <w:pStyle w:val="809"/>
        <w:ind w:firstLine="241"/>
        <w:rPr>
          <w:rFonts w:hint="eastAsia" w:ascii="宋体" w:hAnsi="宋体" w:cs="宋体"/>
          <w:b/>
          <w:bCs/>
          <w:color w:val="000000"/>
          <w:sz w:val="24"/>
          <w:szCs w:val="24"/>
          <w:highlight w:val="none"/>
        </w:rPr>
      </w:pPr>
      <w:r/>
      <w:bookmarkEnd w:id="163"/>
      <w:r/>
      <w:bookmarkEnd w:id="164"/>
      <w:r/>
      <w:bookmarkEnd w:id="165"/>
      <w:r/>
      <w:bookmarkStart w:id="166" w:name="_Toc20823309"/>
      <w:r/>
      <w:bookmarkStart w:id="167" w:name="_Toc513029237"/>
      <w:r/>
      <w:bookmarkStart w:id="168" w:name="_Toc16938553"/>
      <w:r/>
      <w:bookmarkStart w:id="169" w:name="_Toc16938558"/>
      <w:r/>
      <w:bookmarkStart w:id="170" w:name="_Toc513029242"/>
      <w:r/>
      <w:bookmarkStart w:id="171" w:name="_Toc479757207"/>
      <w:r/>
      <w:bookmarkStart w:id="172" w:name="_Toc120614221"/>
      <w:r/>
      <w:bookmarkStart w:id="173" w:name="_Toc20823314"/>
      <w:r>
        <w:rPr>
          <w:rFonts w:hint="eastAsia" w:ascii="宋体" w:hAnsi="宋体" w:cs="宋体"/>
          <w:b/>
          <w:bCs/>
          <w:color w:val="000000"/>
          <w:sz w:val="24"/>
          <w:szCs w:val="24"/>
          <w:highlight w:val="none"/>
        </w:rPr>
        <w:t xml:space="preserve">30、签订合同</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30.l中标人应当在中标通知书发出之日起三十日内，按照招标文件确定的事项与招标人签订政府采购合同。</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30.2招标文件、中标人的投标文件及招标过程中有关澄清、承诺文件均应作为合同附件。</w:t>
      </w:r>
      <w:r>
        <w:rPr>
          <w:rFonts w:hint="eastAsia" w:ascii="宋体" w:hAnsi="宋体" w:cs="宋体"/>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30.3签订合同后，</w:t>
      </w:r>
      <w:r>
        <w:rPr>
          <w:rFonts w:hint="eastAsia" w:ascii="宋体" w:hAnsi="宋体" w:cs="宋体"/>
          <w:b/>
          <w:bCs/>
          <w:i/>
          <w:iCs/>
          <w:color w:val="000000"/>
          <w:sz w:val="24"/>
          <w:highlight w:val="none"/>
          <w:u w:val="single"/>
        </w:rPr>
        <w:t xml:space="preserve">中标人不得将合同标的进行转包</w:t>
      </w:r>
      <w:r>
        <w:rPr>
          <w:rFonts w:hint="eastAsia" w:ascii="宋体" w:hAnsi="宋体" w:cs="宋体"/>
          <w:i/>
          <w:iCs/>
          <w:color w:val="000000"/>
          <w:sz w:val="24"/>
          <w:highlight w:val="none"/>
        </w:rPr>
        <w:t xml:space="preserve">。</w:t>
      </w:r>
      <w:r>
        <w:rPr>
          <w:rFonts w:hint="eastAsia" w:ascii="宋体" w:hAnsi="宋体" w:cs="宋体"/>
          <w:color w:val="000000"/>
          <w:sz w:val="24"/>
          <w:highlight w:val="none"/>
        </w:rPr>
        <w:t xml:space="preserve">未经招标人同意，中标人也不得采用分包的形式履行合同，否则招标人有权终止合同。转包或分包造成招标人损失的，中标人应承担相应赔偿责任。</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31、服务（包含与服务相关的货物）的追加</w:t>
      </w:r>
      <w:r>
        <w:rPr>
          <w:rFonts w:hint="eastAsia" w:ascii="宋体" w:hAnsi="宋体" w:cs="宋体"/>
          <w:b/>
          <w:bCs/>
          <w:color w:val="000000"/>
          <w:sz w:val="24"/>
          <w:szCs w:val="24"/>
          <w:highlight w:val="none"/>
        </w:rPr>
      </w:r>
      <w:r/>
    </w:p>
    <w:p>
      <w:pPr>
        <w:pStyle w:val="809"/>
        <w:ind w:firstLine="480"/>
        <w:spacing w:line="500" w:lineRule="exact"/>
        <w:rPr>
          <w:rFonts w:hint="eastAsia" w:ascii="宋体" w:hAnsi="宋体" w:cs="宋体"/>
          <w:color w:val="000000"/>
          <w:sz w:val="24"/>
          <w:highlight w:val="none"/>
        </w:rPr>
      </w:pPr>
      <w:r/>
      <w:bookmarkEnd w:id="166"/>
      <w:r/>
      <w:bookmarkEnd w:id="167"/>
      <w:r/>
      <w:bookmarkEnd w:id="168"/>
      <w:r>
        <w:rPr>
          <w:rFonts w:hint="eastAsia" w:ascii="宋体" w:hAnsi="宋体" w:cs="宋体"/>
          <w:color w:val="000000"/>
          <w:sz w:val="24"/>
          <w:highlight w:val="none"/>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color w:val="000000"/>
          <w:sz w:val="24"/>
          <w:highlight w:val="none"/>
        </w:rPr>
      </w:r>
      <w:r/>
    </w:p>
    <w:p>
      <w:pPr>
        <w:pStyle w:val="809"/>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32、政府采购履约资金扶持政策</w:t>
      </w:r>
      <w:r>
        <w:rPr>
          <w:rFonts w:hint="eastAsia" w:ascii="宋体" w:hAnsi="宋体" w:cs="宋体"/>
          <w:b/>
          <w:bCs/>
          <w:color w:val="000000"/>
          <w:sz w:val="24"/>
          <w:szCs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32.1政府采购线上合同信用融资政策</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32.2进口产品</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32.3中小企业、监狱企业及残疾人福利性单位</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32.3.1中小企业定义：</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中小企业是</w:t>
      </w:r>
      <w:r>
        <w:rPr>
          <w:rFonts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32.3.2供应商提供的货物、工程或者服务符合下列情形的，享受中小企业扶持政策：</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32.3.2.1在货物采购项目中，货物由中小企业制造，即货物由中小企业生产且使用该中小企业商号或者注册商标；</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32.3.2.2在工程采购项目中，工程由中小企业承建，即工程施工单位为中小企业；</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32.3.6残疾人福利单位定义：享受政府采购支持政策的残疾人福利性单位应当同时满足以下条件：</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32.3.6.1安置的残疾人占本单位在职职工人数的比例不低于25%（含25%），并且安置的残疾人人数不少于10 人（含10 人）；</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32.3.6.2依法与安置的每位残疾人签订了一年以上（含一年）的劳动合同或服务协议；</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32.3.7本项目是否专门面向中小企业预留采购份额见第一章《招标公告》。</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32.3.8采购标的对应的中小企业划分标准所属行业见第四章《采购需求》。</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32.3.9小微企业价格评审优惠的政策：见第五章《评标方法和评标标准》。</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32.4政府采购节能产品、环境标志产品</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color w:val="000000"/>
          <w:sz w:val="24"/>
          <w:highlight w:val="none"/>
        </w:rPr>
        <w:t xml:space="preserve">如属政府强制采购产品未提供认证证书的或认证证书提供不全的将视为未实质性响应采购要求。其</w:t>
      </w:r>
      <w:r>
        <w:rPr>
          <w:rFonts w:ascii="宋体" w:hAnsi="宋体" w:cs="宋体"/>
          <w:color w:val="000000"/>
          <w:sz w:val="24"/>
          <w:highlight w:val="none"/>
        </w:rPr>
        <w:t xml:space="preserve">他条件相同情况下，应当优先采购节能产品、环境标志产品。</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32.5绿色包装</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32.6政府采购创新产品</w:t>
      </w:r>
      <w:r>
        <w:rPr>
          <w:rFonts w:ascii="宋体" w:hAnsi="宋体" w:cs="宋体"/>
          <w:b/>
          <w:bCs/>
          <w:color w:val="000000"/>
          <w:sz w:val="24"/>
          <w:highlight w:val="none"/>
        </w:rPr>
      </w:r>
      <w:r/>
    </w:p>
    <w:p>
      <w:pPr>
        <w:pStyle w:val="809"/>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采购人优先采购各级政府部门公开发布的有效期内的创新产品、创新服务、首台套、首购首用等《目录》中的产品。</w:t>
      </w:r>
      <w:r>
        <w:rPr>
          <w:rFonts w:ascii="宋体" w:hAnsi="宋体" w:eastAsia="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32.7绿色数据中心政策 </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本文件中若涉及到数据中心采购，采购人应依据《绿色数据中心政府采购需求标准（试行）》（财办库〔2023〕7号）文件精神</w:t>
      </w:r>
      <w:r>
        <w:rPr>
          <w:rFonts w:ascii="宋体" w:hAnsi="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32.8实施本国产品标准及相关政策</w:t>
      </w:r>
      <w:r>
        <w:rPr>
          <w:rFonts w:ascii="宋体" w:hAnsi="宋体" w:cs="宋体"/>
          <w:b/>
          <w:bCs/>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1.本项目对采购本国产品给予政策支持，具体内容见招标文件“第五章 评标方法与评标标准”。</w:t>
      </w:r>
      <w:r>
        <w:rPr>
          <w:rFonts w:ascii="宋体" w:hAnsi="宋体" w:cs="宋体"/>
          <w:b/>
          <w:bCs/>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b/>
          <w:bCs/>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24"/>
          <w:highlight w:val="none"/>
        </w:rPr>
      </w:r>
      <w:r/>
    </w:p>
    <w:p>
      <w:pPr>
        <w:pStyle w:val="809"/>
        <w:ind w:firstLine="482"/>
        <w:spacing w:line="500" w:lineRule="exact"/>
        <w:rPr>
          <w:rFonts w:ascii="宋体" w:hAnsi="宋体" w:cs="宋体"/>
          <w:color w:val="000000"/>
          <w:sz w:val="24"/>
          <w:highlight w:val="none"/>
        </w:rPr>
      </w:pPr>
      <w:r>
        <w:rPr>
          <w:rFonts w:ascii="宋体" w:hAnsi="宋体" w:cs="宋体"/>
          <w:b/>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cs="宋体"/>
          <w:b/>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b/>
          <w:bCs/>
          <w:color w:val="000000"/>
          <w:sz w:val="24"/>
          <w:highlight w:val="none"/>
        </w:rPr>
        <w:t xml:space="preserve">。</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w:t>
      </w:r>
      <w:r>
        <w:rPr>
          <w:rFonts w:hint="eastAsia" w:ascii="宋体" w:hAnsi="宋体" w:cs="宋体"/>
          <w:b/>
          <w:bCs/>
          <w:color w:val="000000"/>
          <w:sz w:val="24"/>
          <w:highlight w:val="none"/>
        </w:rPr>
        <w:t xml:space="preserve">9</w:t>
      </w:r>
      <w:r>
        <w:rPr>
          <w:rFonts w:ascii="宋体" w:hAnsi="宋体" w:cs="宋体"/>
          <w:b/>
          <w:bCs/>
          <w:color w:val="000000"/>
          <w:sz w:val="24"/>
          <w:highlight w:val="none"/>
        </w:rPr>
        <w:t xml:space="preserve">履约保证金政策</w:t>
      </w:r>
      <w:r>
        <w:rPr>
          <w:rFonts w:ascii="宋体" w:hAnsi="宋体" w:cs="宋体"/>
          <w:b/>
          <w:bCs/>
          <w:color w:val="000000"/>
          <w:sz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确需收取履约保证金的，履约保证金的缴纳形式：</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如以履约保函（保险）形式缴纳履约保证金，供应商可通过政府采购电子履约保函（保险）平台（www.jsdzbh.com）在线申请履约保函（保险）。</w:t>
      </w:r>
      <w:r>
        <w:rPr>
          <w:rFonts w:ascii="宋体" w:hAnsi="宋体" w:cs="宋体"/>
          <w:color w:val="000000"/>
          <w:sz w:val="24"/>
          <w:highlight w:val="none"/>
        </w:rPr>
      </w:r>
      <w:r/>
    </w:p>
    <w:p>
      <w:pPr>
        <w:pStyle w:val="809"/>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cs="宋体"/>
          <w:color w:val="000000"/>
          <w:sz w:val="24"/>
          <w:highlight w:val="none"/>
        </w:rPr>
      </w:r>
      <w:r/>
    </w:p>
    <w:p>
      <w:pPr>
        <w:pStyle w:val="809"/>
        <w:ind w:firstLine="482"/>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33、预付款制度</w:t>
      </w:r>
      <w:r>
        <w:rPr>
          <w:rFonts w:ascii="宋体" w:hAnsi="宋体" w:cs="宋体"/>
          <w:b/>
          <w:bCs/>
          <w:color w:val="000000"/>
          <w:sz w:val="24"/>
          <w:highlight w:val="none"/>
        </w:rPr>
      </w:r>
      <w:r/>
    </w:p>
    <w:p>
      <w:pPr>
        <w:pStyle w:val="8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。在签订合同时，中标、成交投标人明确书面表示无需预付款或者主动要求降低预付款比例的，采购人可就预付款比例作相应调整。</w:t>
      </w:r>
      <w:r>
        <w:rPr>
          <w:rFonts w:hint="eastAsia" w:ascii="宋体" w:hAnsi="宋体" w:cs="宋体"/>
          <w:color w:val="000000"/>
          <w:sz w:val="24"/>
          <w:highlight w:val="none"/>
        </w:rPr>
      </w:r>
      <w:r/>
    </w:p>
    <w:p>
      <w:pPr>
        <w:pStyle w:val="809"/>
        <w:ind w:firstLine="480"/>
        <w:jc w:val="center"/>
        <w:spacing w:line="500" w:lineRule="exact"/>
        <w:rPr>
          <w:rFonts w:ascii="黑体" w:eastAsia="黑体"/>
          <w:bCs/>
          <w:color w:val="000000"/>
          <w:sz w:val="44"/>
          <w:highlight w:val="none"/>
        </w:rPr>
      </w:pPr>
      <w:r>
        <w:rPr>
          <w:rFonts w:ascii="宋体" w:hAnsi="宋体" w:cs="宋体"/>
          <w:color w:val="000000"/>
          <w:sz w:val="24"/>
          <w:highlight w:val="none"/>
        </w:rPr>
        <w:br w:type="page" w:clear="all"/>
      </w:r>
      <w:r>
        <w:rPr>
          <w:rFonts w:hint="eastAsia" w:ascii="黑体" w:eastAsia="黑体"/>
          <w:bCs/>
          <w:color w:val="000000"/>
          <w:sz w:val="44"/>
          <w:highlight w:val="none"/>
        </w:rPr>
        <w:t xml:space="preserve">第三章  合同条款及</w:t>
      </w:r>
      <w:bookmarkEnd w:id="169"/>
      <w:r/>
      <w:bookmarkEnd w:id="170"/>
      <w:r/>
      <w:bookmarkEnd w:id="171"/>
      <w:r/>
      <w:bookmarkEnd w:id="172"/>
      <w:r/>
      <w:bookmarkEnd w:id="173"/>
      <w:r>
        <w:rPr>
          <w:rFonts w:hint="eastAsia" w:ascii="黑体" w:eastAsia="黑体"/>
          <w:bCs/>
          <w:color w:val="000000"/>
          <w:sz w:val="44"/>
          <w:highlight w:val="none"/>
        </w:rPr>
        <w:t xml:space="preserve">格式</w:t>
      </w:r>
      <w:r>
        <w:rPr>
          <w:rFonts w:ascii="黑体" w:eastAsia="黑体"/>
          <w:bCs/>
          <w:color w:val="000000"/>
          <w:sz w:val="44"/>
          <w:highlight w:val="none"/>
        </w:rPr>
      </w:r>
      <w:r/>
    </w:p>
    <w:p>
      <w:pPr>
        <w:pStyle w:val="809"/>
        <w:jc w:val="center"/>
        <w:spacing w:line="4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09"/>
        <w:jc w:val="center"/>
        <w:spacing w:line="4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09"/>
        <w:jc w:val="center"/>
        <w:spacing w:line="46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09"/>
        <w:jc w:val="center"/>
        <w:spacing w:line="46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江苏省建设工程造价咨询合同</w:t>
      </w:r>
      <w:r>
        <w:rPr>
          <w:rFonts w:hint="eastAsia" w:ascii="宋体" w:hAnsi="宋体" w:cs="宋体"/>
          <w:b/>
          <w:color w:val="000000"/>
          <w:sz w:val="36"/>
          <w:szCs w:val="36"/>
          <w:highlight w:val="none"/>
        </w:rPr>
      </w:r>
      <w:r/>
    </w:p>
    <w:p>
      <w:pPr>
        <w:pStyle w:val="80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rPr>
          <w:rFonts w:hint="eastAsia" w:ascii="宋体" w:hAnsi="宋体" w:cs="宋体"/>
          <w:color w:val="000000"/>
          <w:sz w:val="28"/>
          <w:szCs w:val="28"/>
          <w:highlight w:val="none"/>
        </w:rPr>
      </w:r>
      <w:r/>
    </w:p>
    <w:p>
      <w:pPr>
        <w:pStyle w:val="80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eastAsia="宋体" w:cs="宋体"/>
          <w:color w:val="000000"/>
          <w:sz w:val="28"/>
          <w:szCs w:val="28"/>
          <w:highlight w:val="none"/>
          <w:u w:val="single"/>
          <w:lang w:eastAsia="zh-CN"/>
        </w:rPr>
      </w:pPr>
      <w:r>
        <w:rPr>
          <w:rFonts w:hint="eastAsia" w:ascii="宋体" w:hAnsi="宋体" w:cs="宋体"/>
          <w:color w:val="000000"/>
          <w:sz w:val="28"/>
          <w:szCs w:val="28"/>
          <w:highlight w:val="none"/>
        </w:rPr>
        <w:t xml:space="preserve">项 目 名 称：</w:t>
      </w:r>
      <w:r>
        <w:rPr>
          <w:rFonts w:hint="eastAsia" w:ascii="宋体" w:hAnsi="宋体" w:cs="宋体"/>
          <w:color w:val="000000"/>
          <w:sz w:val="28"/>
          <w:szCs w:val="28"/>
          <w:highlight w:val="none"/>
          <w:u w:val="single"/>
          <w:lang w:eastAsia="zh-CN"/>
        </w:rPr>
        <w:t xml:space="preserve">2026年盐城普通国省道路面预防和修复养护工程全过程造价控制及竣工决算审计</w:t>
      </w:r>
      <w:r>
        <w:rPr>
          <w:rFonts w:hint="eastAsia" w:ascii="宋体" w:hAnsi="宋体" w:eastAsia="宋体" w:cs="宋体"/>
          <w:color w:val="000000"/>
          <w:sz w:val="28"/>
          <w:szCs w:val="28"/>
          <w:highlight w:val="none"/>
          <w:u w:val="single"/>
          <w:lang w:eastAsia="zh-CN"/>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建 设 地 点：</w:t>
      </w:r>
      <w:r>
        <w:rPr>
          <w:rFonts w:hint="eastAsia" w:ascii="宋体" w:hAnsi="宋体" w:cs="宋体"/>
          <w:color w:val="000000"/>
          <w:sz w:val="28"/>
          <w:szCs w:val="28"/>
          <w:highlight w:val="none"/>
          <w:u w:val="single"/>
        </w:rPr>
        <w:t xml:space="preserve">盐城市境内</w:t>
      </w: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合 同 编 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咨 询 类 型：</w:t>
      </w:r>
      <w:r>
        <w:rPr>
          <w:rFonts w:hint="eastAsia" w:ascii="宋体" w:hAnsi="宋体" w:cs="宋体"/>
          <w:color w:val="000000"/>
          <w:sz w:val="28"/>
          <w:szCs w:val="28"/>
          <w:highlight w:val="none"/>
          <w:u w:val="single"/>
        </w:rPr>
        <w:t xml:space="preserve">全过程造价控制及工程竣工结算审核</w:t>
      </w: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3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465"/>
        <w:gridCol w:w="891"/>
      </w:tblGrid>
      <w:tr>
        <w:trPr>
          <w:cantSplit/>
          <w:trHeight w:val="451"/>
        </w:trPr>
        <w:tc>
          <w:tcPr>
            <w:tcBorders>
              <w:top w:val="none" w:color="000000" w:sz="4" w:space="0"/>
              <w:left w:val="none" w:color="000000" w:sz="4" w:space="0"/>
              <w:bottom w:val="none" w:color="000000" w:sz="4" w:space="0"/>
              <w:right w:val="none" w:color="000000" w:sz="4" w:space="0"/>
            </w:tcBorders>
            <w:tcW w:w="4465" w:type="dxa"/>
            <w:vAlign w:val="center"/>
            <w:textDirection w:val="lrTb"/>
            <w:noWrap w:val="false"/>
          </w:tcPr>
          <w:p>
            <w:pPr>
              <w:pStyle w:val="809"/>
              <w:widowControl/>
              <w:rPr>
                <w:rFonts w:hint="eastAsia" w:ascii="宋体" w:hAnsi="宋体" w:cs="宋体"/>
                <w:color w:val="000000"/>
                <w:sz w:val="36"/>
                <w:szCs w:val="20"/>
                <w:highlight w:val="none"/>
              </w:rPr>
            </w:pPr>
            <w:r>
              <w:rPr>
                <w:rFonts w:hint="eastAsia" w:ascii="宋体" w:hAnsi="宋体" w:cs="宋体"/>
                <w:color w:val="000000"/>
                <w:sz w:val="36"/>
                <w:szCs w:val="28"/>
                <w:highlight w:val="none"/>
              </w:rPr>
              <w:t xml:space="preserve">江苏省住房和城乡建设厅</w:t>
            </w:r>
            <w:r>
              <w:rPr>
                <w:rFonts w:hint="eastAsia" w:ascii="宋体" w:hAnsi="宋体" w:cs="宋体"/>
                <w:color w:val="000000"/>
                <w:sz w:val="36"/>
                <w:szCs w:val="20"/>
                <w:highlight w:val="none"/>
              </w:rPr>
            </w:r>
            <w:r/>
          </w:p>
        </w:tc>
        <w:tc>
          <w:tcPr>
            <w:tcBorders>
              <w:top w:val="none" w:color="000000" w:sz="4" w:space="0"/>
              <w:left w:val="none" w:color="000000" w:sz="4" w:space="0"/>
              <w:bottom w:val="none" w:color="000000" w:sz="4" w:space="0"/>
              <w:right w:val="none" w:color="000000" w:sz="4" w:space="0"/>
            </w:tcBorders>
            <w:tcW w:w="891" w:type="dxa"/>
            <w:vAlign w:val="center"/>
            <w:vMerge w:val="restart"/>
            <w:textDirection w:val="lrTb"/>
            <w:noWrap w:val="false"/>
          </w:tcPr>
          <w:p>
            <w:pPr>
              <w:pStyle w:val="809"/>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制定</w:t>
            </w:r>
            <w:r>
              <w:rPr>
                <w:rFonts w:hint="eastAsia" w:ascii="宋体" w:hAnsi="宋体" w:cs="宋体"/>
                <w:color w:val="000000"/>
                <w:sz w:val="32"/>
                <w:szCs w:val="32"/>
                <w:highlight w:val="none"/>
              </w:rPr>
            </w:r>
            <w:r/>
          </w:p>
        </w:tc>
      </w:tr>
      <w:tr>
        <w:trPr>
          <w:cantSplit/>
        </w:trPr>
        <w:tc>
          <w:tcPr>
            <w:tcBorders>
              <w:top w:val="none" w:color="000000" w:sz="4" w:space="0"/>
              <w:left w:val="none" w:color="000000" w:sz="4" w:space="0"/>
              <w:bottom w:val="none" w:color="000000" w:sz="4" w:space="0"/>
              <w:right w:val="none" w:color="000000" w:sz="4" w:space="0"/>
            </w:tcBorders>
            <w:tcW w:w="4465" w:type="dxa"/>
            <w:vAlign w:val="center"/>
            <w:textDirection w:val="lrTb"/>
            <w:noWrap w:val="false"/>
          </w:tcPr>
          <w:p>
            <w:pPr>
              <w:pStyle w:val="809"/>
              <w:widowControl/>
              <w:rPr>
                <w:rFonts w:hint="eastAsia" w:ascii="宋体" w:hAnsi="宋体" w:cs="宋体"/>
                <w:color w:val="000000"/>
                <w:spacing w:val="20"/>
                <w:sz w:val="36"/>
                <w:szCs w:val="20"/>
                <w:highlight w:val="none"/>
              </w:rPr>
            </w:pPr>
            <w:r>
              <w:rPr>
                <w:rFonts w:hint="eastAsia" w:ascii="宋体" w:hAnsi="宋体" w:cs="宋体"/>
                <w:color w:val="000000"/>
                <w:spacing w:val="20"/>
                <w:sz w:val="36"/>
                <w:szCs w:val="28"/>
                <w:highlight w:val="none"/>
              </w:rPr>
              <w:t xml:space="preserve">江苏省工商行政管理局</w:t>
            </w:r>
            <w:r>
              <w:rPr>
                <w:rFonts w:hint="eastAsia" w:ascii="宋体" w:hAnsi="宋体" w:cs="宋体"/>
                <w:color w:val="000000"/>
                <w:spacing w:val="20"/>
                <w:sz w:val="36"/>
                <w:szCs w:val="20"/>
                <w:highlight w:val="none"/>
              </w:rPr>
            </w:r>
            <w:r/>
          </w:p>
        </w:tc>
        <w:tc>
          <w:tcPr>
            <w:tcBorders>
              <w:top w:val="none" w:color="000000" w:sz="4" w:space="0"/>
              <w:left w:val="none" w:color="000000" w:sz="4" w:space="0"/>
              <w:bottom w:val="none" w:color="000000" w:sz="4" w:space="0"/>
              <w:right w:val="none" w:color="000000" w:sz="4" w:space="0"/>
            </w:tcBorders>
            <w:tcW w:w="891" w:type="dxa"/>
            <w:vAlign w:val="center"/>
            <w:vMerge w:val="continue"/>
            <w:textDirection w:val="lrTb"/>
            <w:noWrap w:val="false"/>
          </w:tcPr>
          <w:p>
            <w:pPr>
              <w:pStyle w:val="809"/>
              <w:ind w:firstLine="562"/>
              <w:jc w:val="center"/>
              <w:widowControl/>
              <w:rPr>
                <w:rFonts w:hint="eastAsia" w:ascii="宋体" w:hAnsi="宋体" w:cs="宋体"/>
                <w:color w:val="000000"/>
                <w:szCs w:val="20"/>
                <w:highlight w:val="none"/>
              </w:rPr>
            </w:pPr>
            <w:r>
              <w:rPr>
                <w:rFonts w:hint="eastAsia" w:ascii="宋体" w:hAnsi="宋体" w:cs="宋体"/>
                <w:color w:val="000000"/>
                <w:szCs w:val="20"/>
                <w:highlight w:val="none"/>
              </w:rPr>
            </w:r>
            <w:r/>
          </w:p>
        </w:tc>
      </w:tr>
    </w:tbl>
    <w:p>
      <w:pPr>
        <w:pStyle w:val="809"/>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09"/>
        <w:ind w:firstLine="560"/>
        <w:spacing w:line="460" w:lineRule="exact"/>
        <w:rPr>
          <w:rFonts w:hint="eastAsia" w:ascii="仿宋" w:hAnsi="仿宋" w:eastAsia="仿宋" w:cs="仿宋"/>
          <w:color w:val="000000"/>
          <w:sz w:val="28"/>
          <w:szCs w:val="28"/>
          <w:highlight w:val="none"/>
        </w:rPr>
        <w:sectPr>
          <w:footerReference w:type="default" r:id="rId15"/>
          <w:footnotePr/>
          <w:endnotePr/>
          <w:type w:val="nextPage"/>
          <w:pgSz w:w="11906" w:h="16838" w:orient="portrait"/>
          <w:pgMar w:top="1361" w:right="1247" w:bottom="1361" w:left="1304" w:header="851" w:footer="992" w:gutter="0"/>
          <w:cols w:num="1" w:sep="0" w:space="1701" w:equalWidth="1"/>
          <w:docGrid w:linePitch="360"/>
        </w:sectPr>
      </w:pPr>
      <w:r>
        <w:rPr>
          <w:rFonts w:hint="eastAsia" w:ascii="仿宋" w:hAnsi="仿宋" w:eastAsia="仿宋" w:cs="仿宋"/>
          <w:color w:val="000000"/>
          <w:sz w:val="28"/>
          <w:szCs w:val="28"/>
          <w:highlight w:val="none"/>
        </w:rPr>
      </w:r>
      <w:r/>
    </w:p>
    <w:p>
      <w:pPr>
        <w:pStyle w:val="812"/>
        <w:ind w:firstLine="482"/>
        <w:jc w:val="center"/>
        <w:keepLines w:val="0"/>
        <w:keepNext w:val="0"/>
        <w:spacing w:before="0" w:after="0" w:line="460" w:lineRule="exact"/>
        <w:tabs>
          <w:tab w:val="left" w:pos="127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2"/>
        <w:ind w:firstLine="482"/>
        <w:jc w:val="center"/>
        <w:keepLines w:val="0"/>
        <w:keepNext w:val="0"/>
        <w:spacing w:before="0" w:after="0" w:line="460" w:lineRule="exact"/>
        <w:tabs>
          <w:tab w:val="left" w:pos="127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第一部分  建设工程造价咨询协议书</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w:t>
      </w:r>
      <w:r>
        <w:rPr>
          <w:rFonts w:hint="eastAsia" w:ascii="宋体" w:hAnsi="宋体" w:cs="宋体"/>
          <w:color w:val="000000"/>
          <w:sz w:val="24"/>
          <w:szCs w:val="24"/>
          <w:highlight w:val="none"/>
          <w:u w:val="single"/>
        </w:rPr>
        <w:t xml:space="preserve">盐城市公路事业发展中心</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咨询人：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依据《中华人民共和国民法典》及工程造价相关管理规定，经过双方协商一致，签订本工程造价咨询合同。</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一、委托人委托咨询人为以下项目提供建设工程造价咨询服务（包括</w:t>
      </w:r>
      <w:r>
        <w:rPr>
          <w:rFonts w:hint="eastAsia" w:ascii="宋体" w:hAnsi="宋体" w:cs="宋体"/>
          <w:color w:val="000000"/>
          <w:sz w:val="24"/>
          <w:szCs w:val="24"/>
          <w:highlight w:val="none"/>
        </w:rPr>
        <w:t xml:space="preserve">工程竣工结算审核等造价咨询服务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1．项目名称：</w:t>
      </w:r>
      <w:r>
        <w:rPr>
          <w:rFonts w:hint="eastAsia" w:ascii="宋体" w:hAnsi="宋体" w:cs="宋体"/>
          <w:bCs/>
          <w:color w:val="000000"/>
          <w:sz w:val="24"/>
          <w:szCs w:val="24"/>
          <w:highlight w:val="none"/>
          <w:u w:val="single"/>
          <w:lang w:eastAsia="zh-CN"/>
        </w:rPr>
        <w:t xml:space="preserve">2026年盐城普通国省道路面预防和修复养护工程全过程造价控制及竣工决算审计</w:t>
      </w:r>
      <w:r>
        <w:rPr>
          <w:rFonts w:hint="eastAsia" w:ascii="宋体" w:hAnsi="宋体" w:cs="宋体"/>
          <w:color w:val="000000"/>
          <w:sz w:val="24"/>
          <w:szCs w:val="24"/>
          <w:highlight w:val="none"/>
          <w:u w:val="single"/>
        </w:rPr>
        <w:t xml:space="preserve">（采购包：  ）</w:t>
      </w:r>
      <w:r>
        <w:rPr>
          <w:rFonts w:hint="eastAsia" w:ascii="宋体" w:hAnsi="宋体" w:cs="宋体"/>
          <w:color w:val="000000"/>
          <w:sz w:val="24"/>
          <w:szCs w:val="24"/>
          <w:highlight w:val="none"/>
          <w:u w:val="single"/>
        </w:rPr>
      </w:r>
      <w:r/>
    </w:p>
    <w:p>
      <w:pPr>
        <w:pStyle w:val="809"/>
        <w:ind w:firstLine="480"/>
        <w:spacing w:line="460" w:lineRule="exact"/>
        <w:tabs>
          <w:tab w:val="left" w:pos="73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2．建设地点：</w:t>
      </w:r>
      <w:r>
        <w:rPr>
          <w:rFonts w:hint="eastAsia" w:ascii="宋体" w:hAnsi="宋体" w:cs="宋体"/>
          <w:color w:val="000000"/>
          <w:sz w:val="24"/>
          <w:szCs w:val="24"/>
          <w:highlight w:val="none"/>
          <w:u w:val="single"/>
        </w:rPr>
        <w:t xml:space="preserve">盐城市境内</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3．资金来源：</w:t>
      </w:r>
      <w:r>
        <w:rPr>
          <w:rFonts w:hint="eastAsia" w:ascii="宋体" w:hAnsi="宋体" w:cs="宋体"/>
          <w:color w:val="000000"/>
          <w:sz w:val="24"/>
          <w:szCs w:val="24"/>
          <w:highlight w:val="none"/>
          <w:u w:val="single"/>
        </w:rPr>
        <w:t xml:space="preserve">省级养护专项资金</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4．工程用途：</w:t>
      </w:r>
      <w:r>
        <w:rPr>
          <w:rFonts w:hint="eastAsia" w:ascii="宋体" w:hAnsi="宋体" w:cs="宋体"/>
          <w:color w:val="000000"/>
          <w:sz w:val="24"/>
          <w:szCs w:val="24"/>
          <w:highlight w:val="none"/>
          <w:u w:val="single"/>
        </w:rPr>
        <w:t xml:space="preserve">工程项目全过程造价控制及工程竣工结算审核</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5．项目规模：总投资额</w:t>
      </w:r>
      <w:r>
        <w:rPr>
          <w:rFonts w:hint="eastAsia" w:ascii="宋体" w:hAnsi="宋体" w:cs="宋体"/>
          <w:color w:val="000000"/>
          <w:sz w:val="24"/>
          <w:szCs w:val="24"/>
          <w:highlight w:val="none"/>
          <w:u w:val="single"/>
        </w:rPr>
        <w:t xml:space="preserve"> 按项目实际投资额为准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6．咨询业务范围及内容：</w:t>
      </w:r>
      <w:r>
        <w:rPr>
          <w:rFonts w:hint="eastAsia" w:ascii="宋体" w:hAnsi="宋体" w:cs="宋体"/>
          <w:color w:val="000000"/>
          <w:sz w:val="24"/>
          <w:szCs w:val="24"/>
          <w:highlight w:val="none"/>
          <w:u w:val="single"/>
        </w:rPr>
        <w:t xml:space="preserve">包括但不限于施工阶段全过程造价控制及工程竣工结算审核、出具审核报告、审核资料的归档等造价咨询服务，具体详见项目需求。委托人保留对招标范围进行调整的权利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二、本协议书的措词和用语与所属建设工程造价咨询合同通用条款赋予的定义相同。</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三、本合同的组成部分及解释顺序为：</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1．建设工程造价咨询协议书；</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建设工程造价咨询合同专用条款；</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3．建设工程造价咨询合同通用条款；</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4．建设工程造价咨询合同履行中共同签署的补充文件；</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5．通过招标方式获得咨询业务的，还包括下列资料：</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（1）招标文件；</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（2）投标书及其附件；</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（3）中标通知书。</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四、咨询人同意按照本合同的约定，承担本合同专用条款中约定范围内的建设工程造价咨询业务。</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五、委托人同意按照专用条款中约定的期限、方式、币种和额度向咨询人支付酬金。</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1、正常酬金计算方法</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结算服务费=中标价（¥          元）。</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2、正常酬金支付方式</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项目审计结束且出具审定单以及工程造价咨询报告，经甲方同意审核结论后，一次性付清服务费；如有乙方有违约情况，则扣除违约金后一次性付清服务费。</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六、项目负责人：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，身份证号码：</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，证书编号：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七</w:t>
      </w:r>
      <w:r>
        <w:rPr>
          <w:rFonts w:hint="eastAsia" w:ascii="宋体" w:hAnsi="宋体" w:cs="宋体"/>
          <w:color w:val="000000"/>
          <w:sz w:val="24"/>
          <w:szCs w:val="24"/>
          <w:highlight w:val="none"/>
        </w:rPr>
        <w:t xml:space="preserve">、本合同的建设工程造价咨询业务：从合同签订之日起至整个项目竣工验收合格，同时移交全部审计资料至采购人为止。若委托人提供咨询资料延后则时间相应顺延，若增加工作内容具体完成时间另行约定。</w:t>
      </w:r>
      <w:r>
        <w:rPr>
          <w:rFonts w:hint="eastAsia" w:ascii="宋体" w:hAnsi="宋体" w:cs="宋体"/>
          <w:b/>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八、委托人提供的建设工程造价咨询材料齐全后，咨询人应在60日内完成在咨询工作，出具审定单及提供完整的咨询报告。</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九、合同签订时间：</w:t>
      </w:r>
      <w:r>
        <w:rPr>
          <w:rFonts w:hint="eastAsia" w:ascii="宋体" w:hAnsi="宋体" w:cs="宋体"/>
          <w:color w:val="000000"/>
          <w:sz w:val="24"/>
          <w:szCs w:val="24"/>
          <w:highlight w:val="none"/>
          <w:u w:val="single"/>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十、本合同正本二份，委托人、咨询人各执一份，副本</w:t>
      </w:r>
      <w:r>
        <w:rPr>
          <w:rFonts w:hint="eastAsia" w:ascii="宋体" w:hAnsi="宋体" w:cs="宋体"/>
          <w:color w:val="000000"/>
          <w:sz w:val="24"/>
          <w:szCs w:val="24"/>
          <w:highlight w:val="none"/>
          <w:u w:val="single"/>
        </w:rPr>
        <w:t xml:space="preserve">二</w:t>
      </w:r>
      <w:r>
        <w:rPr>
          <w:rFonts w:hint="eastAsia" w:ascii="宋体" w:hAnsi="宋体" w:cs="宋体"/>
          <w:color w:val="000000"/>
          <w:sz w:val="24"/>
          <w:szCs w:val="24"/>
          <w:highlight w:val="none"/>
        </w:rPr>
        <w:t xml:space="preserve">份，委托人</w:t>
      </w:r>
      <w:r>
        <w:rPr>
          <w:rFonts w:hint="eastAsia" w:ascii="宋体" w:hAnsi="宋体" w:cs="宋体"/>
          <w:color w:val="000000"/>
          <w:sz w:val="24"/>
          <w:szCs w:val="24"/>
          <w:highlight w:val="none"/>
          <w:u w:val="single"/>
        </w:rPr>
        <w:t xml:space="preserve">一</w:t>
      </w:r>
      <w:r>
        <w:rPr>
          <w:rFonts w:hint="eastAsia" w:ascii="宋体" w:hAnsi="宋体" w:cs="宋体"/>
          <w:color w:val="000000"/>
          <w:sz w:val="24"/>
          <w:szCs w:val="24"/>
          <w:highlight w:val="none"/>
        </w:rPr>
        <w:t xml:space="preserve">份，咨询人</w:t>
      </w:r>
      <w:r>
        <w:rPr>
          <w:rFonts w:hint="eastAsia" w:ascii="宋体" w:hAnsi="宋体" w:cs="宋体"/>
          <w:color w:val="000000"/>
          <w:sz w:val="24"/>
          <w:szCs w:val="24"/>
          <w:highlight w:val="none"/>
          <w:u w:val="single"/>
        </w:rPr>
        <w:t xml:space="preserve">一</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　托　人：（盖章）　　　　　　　咨　询　人：（盖章）</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                      法定代表人或</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　　　　　    委托代理人：（签字）</w:t>
      </w:r>
      <w:r>
        <w:rPr>
          <w:rFonts w:hint="eastAsia" w:ascii="宋体" w:hAnsi="宋体" w:cs="宋体"/>
          <w:color w:val="000000"/>
          <w:sz w:val="24"/>
          <w:szCs w:val="24"/>
          <w:highlight w:val="none"/>
        </w:rPr>
      </w:r>
      <w:r/>
    </w:p>
    <w:p>
      <w:pPr>
        <w:pStyle w:val="809"/>
        <w:ind w:left="4320" w:hanging="43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住　　所：　　　　　　　　　　　　住所： </w:t>
      </w:r>
      <w:r>
        <w:rPr>
          <w:rFonts w:hint="eastAsia" w:ascii="宋体" w:hAnsi="宋体" w:cs="宋体"/>
          <w:color w:val="000000"/>
          <w:sz w:val="24"/>
          <w:szCs w:val="24"/>
          <w:highlight w:val="none"/>
        </w:rPr>
      </w:r>
      <w:r/>
    </w:p>
    <w:p>
      <w:pPr>
        <w:pStyle w:val="809"/>
        <w:ind w:left="5280" w:hanging="52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帐　　号：　　　　　　　　　　　 帐　　号：</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　　　　　　　　　　　 电　　话：</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　　真：　　　　　　　　　　　 传　　真：</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电子邮箱：　　　　　　　　　　　 电子邮箱：</w:t>
      </w:r>
      <w:r>
        <w:rPr>
          <w:rFonts w:hint="eastAsia" w:ascii="宋体" w:hAnsi="宋体" w:cs="宋体"/>
          <w:color w:val="000000"/>
          <w:sz w:val="24"/>
          <w:szCs w:val="24"/>
          <w:highlight w:val="none"/>
        </w:rPr>
      </w:r>
      <w:r/>
    </w:p>
    <w:p>
      <w:pPr>
        <w:pStyle w:val="80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邮政编码：　　　　　　　　　　　 邮政编码：</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jc w:val="center"/>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第二部分　建设工程造价咨询合同通用条款</w:t>
      </w:r>
      <w:r>
        <w:rPr>
          <w:rFonts w:hint="eastAsia" w:ascii="宋体" w:hAnsi="宋体" w:cs="宋体"/>
          <w:b/>
          <w:color w:val="000000"/>
          <w:sz w:val="24"/>
          <w:szCs w:val="24"/>
          <w:highlight w:val="none"/>
        </w:rPr>
      </w:r>
      <w:r/>
    </w:p>
    <w:p>
      <w:pPr>
        <w:pStyle w:val="809"/>
        <w:ind w:firstLine="480"/>
        <w:jc w:val="center"/>
        <w:spacing w:line="460" w:lineRule="exact"/>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09"/>
        <w:ind w:firstLine="480"/>
        <w:jc w:val="left"/>
        <w:spacing w:line="46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词语定义、适用语言和法律、法规</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第一条</w:t>
      </w:r>
      <w:r>
        <w:rPr>
          <w:rFonts w:hint="eastAsia" w:ascii="宋体" w:hAnsi="宋体" w:cs="宋体"/>
          <w:color w:val="000000"/>
          <w:sz w:val="24"/>
          <w:szCs w:val="24"/>
          <w:highlight w:val="none"/>
        </w:rPr>
        <w:t xml:space="preserve">　下列名词和用语，除上下文另有规定外具有如下含义。</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1、“委托人”是指在建设工程造价咨询协议书上指明并与咨询人在该协议书上签字、盖章的当事人。</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2、“咨询人”是指具有《工程造价咨询企业资质证书》,在建设工程造价咨询协议书上指明并与委托人在该协议书上签字、盖章的当事人。</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3、“第三人”是指除委托人、咨询人以外与本咨询业务有关的当事人。</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4、“日”是指任何一个午夜至下一个午夜的时间段。</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5、“正常服务”是指双方在专用条款中约定的工程造价咨询工作；</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6、“附加服务”是指在“正常服务”以外，经双方书面协议确定的附加服务；</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7、“额外服务”是指不属于“正常服务”和“附加服务”，咨询人增加的额外工作量。</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第二条</w:t>
      </w:r>
      <w:r>
        <w:rPr>
          <w:rFonts w:hint="eastAsia" w:ascii="宋体" w:hAnsi="宋体" w:cs="宋体"/>
          <w:color w:val="000000"/>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第三条</w:t>
      </w:r>
      <w:r>
        <w:rPr>
          <w:rFonts w:hint="eastAsia" w:ascii="宋体" w:hAnsi="宋体" w:cs="宋体"/>
          <w:color w:val="000000"/>
          <w:sz w:val="24"/>
          <w:szCs w:val="24"/>
          <w:highlight w:val="none"/>
        </w:rPr>
        <w:t xml:space="preserve">　建设工程造价咨询合同的书写、解释和说明，以汉语为主导语言。当不同语言文本发生不同解释时，以汉语合同文本为准。</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咨询人的义务</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第四条</w:t>
      </w:r>
      <w:r>
        <w:rPr>
          <w:rFonts w:hint="eastAsia" w:ascii="宋体" w:hAnsi="宋体" w:cs="宋体"/>
          <w:color w:val="000000"/>
          <w:sz w:val="24"/>
          <w:szCs w:val="24"/>
          <w:highlight w:val="none"/>
        </w:rPr>
        <w:t xml:space="preserve">　向委托人提供与工程造价咨询业务有关的资料，包括工程造价咨询企业资质证书及承担本合同咨询业务的专业人员名单、咨询工作计划等。</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第五条</w:t>
      </w:r>
      <w:r>
        <w:rPr>
          <w:rFonts w:hint="eastAsia" w:ascii="宋体" w:hAnsi="宋体" w:cs="宋体"/>
          <w:color w:val="000000"/>
          <w:sz w:val="24"/>
          <w:szCs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第六条</w:t>
      </w:r>
      <w:r>
        <w:rPr>
          <w:rFonts w:hint="eastAsia" w:ascii="宋体" w:hAnsi="宋体" w:cs="宋体"/>
          <w:color w:val="000000"/>
          <w:sz w:val="24"/>
          <w:szCs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第七条</w:t>
      </w:r>
      <w:r>
        <w:rPr>
          <w:rFonts w:hint="eastAsia" w:ascii="宋体" w:hAnsi="宋体" w:cs="宋体"/>
          <w:color w:val="000000"/>
          <w:sz w:val="24"/>
          <w:szCs w:val="24"/>
          <w:highlight w:val="none"/>
        </w:rPr>
        <w:t xml:space="preserve">　咨询人不得泄露与本合同规定业务活动有关的保密资料。</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委托人的义务</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第八条</w:t>
      </w:r>
      <w:r>
        <w:rPr>
          <w:rFonts w:hint="eastAsia" w:ascii="宋体" w:hAnsi="宋体" w:cs="宋体"/>
          <w:color w:val="000000"/>
          <w:sz w:val="24"/>
          <w:szCs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第九条</w:t>
      </w:r>
      <w:r>
        <w:rPr>
          <w:rFonts w:hint="eastAsia" w:ascii="宋体" w:hAnsi="宋体" w:cs="宋体"/>
          <w:color w:val="000000"/>
          <w:sz w:val="24"/>
          <w:szCs w:val="24"/>
          <w:highlight w:val="none"/>
        </w:rPr>
        <w:t xml:space="preserve">　委托人在约定的时间内，免费向咨询人提供与本项目咨询业务有关的资料。并对资料的真实性、完整性负责。</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第十条</w:t>
      </w:r>
      <w:r>
        <w:rPr>
          <w:rFonts w:hint="eastAsia" w:ascii="宋体" w:hAnsi="宋体" w:cs="宋体"/>
          <w:color w:val="000000"/>
          <w:sz w:val="24"/>
          <w:szCs w:val="24"/>
          <w:highlight w:val="none"/>
        </w:rPr>
        <w:t xml:space="preserve"> 委托人在约定的时间内就咨询人书面提交并要求做出答复的事宜做出书面答复。　　</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第十一条</w:t>
      </w:r>
      <w:r>
        <w:rPr>
          <w:rFonts w:hint="eastAsia" w:ascii="宋体" w:hAnsi="宋体" w:cs="宋体"/>
          <w:color w:val="000000"/>
          <w:sz w:val="24"/>
          <w:szCs w:val="24"/>
          <w:highlight w:val="none"/>
        </w:rPr>
        <w:t xml:space="preserve">　委托人应当按合同条款规定及时支付咨询费用。</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咨询人的权利</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第十二条</w:t>
      </w:r>
      <w:r>
        <w:rPr>
          <w:rFonts w:hint="eastAsia" w:ascii="宋体" w:hAnsi="宋体" w:cs="宋体"/>
          <w:color w:val="000000"/>
          <w:sz w:val="24"/>
          <w:szCs w:val="24"/>
          <w:highlight w:val="none"/>
        </w:rPr>
        <w:t xml:space="preserve">　咨询人在咨询过程中，如委托人提供的资料不明确时可向委托人提出书面报告。</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第十三条</w:t>
      </w:r>
      <w:r>
        <w:rPr>
          <w:rFonts w:hint="eastAsia" w:ascii="宋体" w:hAnsi="宋体" w:cs="宋体"/>
          <w:color w:val="000000"/>
          <w:sz w:val="24"/>
          <w:szCs w:val="24"/>
          <w:highlight w:val="none"/>
        </w:rPr>
        <w:t xml:space="preserve">  咨询人在咨询过程中，有权对与本咨询业务有关的问题进行核对或查问，以及到工程现场勘察。</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第十四条</w:t>
      </w:r>
      <w:r>
        <w:rPr>
          <w:rFonts w:hint="eastAsia" w:ascii="宋体" w:hAnsi="宋体" w:cs="宋体"/>
          <w:color w:val="000000"/>
          <w:sz w:val="24"/>
          <w:szCs w:val="24"/>
          <w:highlight w:val="none"/>
        </w:rPr>
        <w:t xml:space="preserve">  咨询人在咨询过程中，由于委托人原因造成咨询人无法继续履行合同时，咨询人有权解除合同并要求委托人承担相应赔偿。</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第十五条</w:t>
      </w:r>
      <w:r>
        <w:rPr>
          <w:rFonts w:hint="eastAsia" w:ascii="宋体" w:hAnsi="宋体" w:cs="宋体"/>
          <w:color w:val="000000"/>
          <w:sz w:val="24"/>
          <w:szCs w:val="24"/>
          <w:highlight w:val="none"/>
        </w:rPr>
        <w:t xml:space="preserve">  咨询人在咨询过程中，有独立执行工程造价咨询业务工作的权利。</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咨询人有权拒绝委托人提出的有失公平、公正及违反法律法规的要求，由此原因造成的咨询合同终止咨询人免责。对于造成咨询人损失的，由委托人给予赔偿。</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委托人的权利</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第十六条</w:t>
      </w:r>
      <w:r>
        <w:rPr>
          <w:rFonts w:hint="eastAsia" w:ascii="宋体" w:hAnsi="宋体" w:cs="宋体"/>
          <w:color w:val="000000"/>
          <w:sz w:val="24"/>
          <w:szCs w:val="24"/>
          <w:highlight w:val="none"/>
        </w:rPr>
        <w:t xml:space="preserve">　委托人有权向咨询人询问工作进展情况及相关的内容。</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第十七条</w:t>
      </w:r>
      <w:r>
        <w:rPr>
          <w:rFonts w:hint="eastAsia" w:ascii="宋体" w:hAnsi="宋体" w:cs="宋体"/>
          <w:color w:val="000000"/>
          <w:sz w:val="24"/>
          <w:szCs w:val="24"/>
          <w:highlight w:val="none"/>
        </w:rPr>
        <w:t xml:space="preserve">  委托人有权阐述对具体问题的意见和建议。</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第十八条</w:t>
      </w:r>
      <w:r>
        <w:rPr>
          <w:rFonts w:hint="eastAsia" w:ascii="宋体" w:hAnsi="宋体" w:cs="宋体"/>
          <w:color w:val="000000"/>
          <w:sz w:val="24"/>
          <w:szCs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第十九条</w:t>
      </w:r>
      <w:r>
        <w:rPr>
          <w:rFonts w:hint="eastAsia" w:ascii="宋体" w:hAnsi="宋体" w:cs="宋体"/>
          <w:color w:val="000000"/>
          <w:sz w:val="24"/>
          <w:szCs w:val="24"/>
          <w:highlight w:val="none"/>
        </w:rPr>
        <w:t xml:space="preserve">  当委托人认定咨询人执行的专业咨询业务不符合相关规范时，有向行业主管部门申诉的权利。</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咨询人的责任</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第二十条</w:t>
      </w:r>
      <w:r>
        <w:rPr>
          <w:rFonts w:hint="eastAsia" w:ascii="宋体" w:hAnsi="宋体" w:cs="宋体"/>
          <w:color w:val="000000"/>
          <w:sz w:val="24"/>
          <w:szCs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第二十一条</w:t>
      </w:r>
      <w:r>
        <w:rPr>
          <w:rFonts w:hint="eastAsia" w:ascii="宋体" w:hAnsi="宋体" w:cs="宋体"/>
          <w:color w:val="000000"/>
          <w:sz w:val="24"/>
          <w:szCs w:val="24"/>
          <w:highlight w:val="none"/>
        </w:rPr>
        <w:t xml:space="preserve">　咨询人对委托人或第三人所提出的咨询业务范围内的问题不能及时核对或答复，导致合同不能全部或部分履行，咨询人应承担相应的责任。</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第二十二条</w:t>
      </w:r>
      <w:r>
        <w:rPr>
          <w:rFonts w:hint="eastAsia" w:ascii="宋体" w:hAnsi="宋体" w:cs="宋体"/>
          <w:color w:val="000000"/>
          <w:sz w:val="24"/>
          <w:szCs w:val="24"/>
          <w:highlight w:val="none"/>
        </w:rPr>
        <w:t xml:space="preserve">　咨询人向委托人提出赔偿要求不能成立时，则应补偿由于该赔偿或其他要求所导致委托人的各种费用的支出。</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委托人的责任</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第二十三条</w:t>
      </w:r>
      <w:r>
        <w:rPr>
          <w:rFonts w:hint="eastAsia" w:ascii="宋体" w:hAnsi="宋体" w:cs="宋体"/>
          <w:color w:val="000000"/>
          <w:sz w:val="24"/>
          <w:szCs w:val="24"/>
          <w:highlight w:val="none"/>
        </w:rPr>
        <w:t xml:space="preserve">　委托人应当履行建设工程造价咨询合同约定的义务，如有违反则应当承担违约责任，赔偿给咨询人造成的损失。</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第二十四条</w:t>
      </w:r>
      <w:r>
        <w:rPr>
          <w:rFonts w:hint="eastAsia" w:ascii="宋体" w:hAnsi="宋体" w:cs="宋体"/>
          <w:color w:val="000000"/>
          <w:sz w:val="24"/>
          <w:szCs w:val="24"/>
          <w:highlight w:val="none"/>
        </w:rPr>
        <w:t xml:space="preserve">　委托人如果向咨询人提出赔偿或其他要求不能成立时，则应补偿由于该赔偿或其他要求所导致咨询人的各种费用的支出。</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合同生效、变更与终止</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第二十五条</w:t>
      </w:r>
      <w:r>
        <w:rPr>
          <w:rFonts w:hint="eastAsia" w:ascii="宋体" w:hAnsi="宋体" w:cs="宋体"/>
          <w:color w:val="000000"/>
          <w:sz w:val="24"/>
          <w:szCs w:val="24"/>
          <w:highlight w:val="none"/>
        </w:rPr>
        <w:t xml:space="preserve">　本合同自双方签字盖章之日起生效。</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第二十六条</w:t>
      </w:r>
      <w:r>
        <w:rPr>
          <w:rFonts w:hint="eastAsia" w:ascii="宋体" w:hAnsi="宋体" w:cs="宋体"/>
          <w:color w:val="000000"/>
          <w:sz w:val="24"/>
          <w:szCs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第二十七条</w:t>
      </w:r>
      <w:r>
        <w:rPr>
          <w:rFonts w:hint="eastAsia" w:ascii="宋体" w:hAnsi="宋体" w:cs="宋体"/>
          <w:color w:val="000000"/>
          <w:sz w:val="24"/>
          <w:szCs w:val="24"/>
          <w:highlight w:val="none"/>
        </w:rPr>
        <w:t xml:space="preserve">　当事人一方要求变更或解除合同时，则应当在7个工作日前通知对方；因变更或解除合同使一方遭受损失的，应由责任方负责赔偿。</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第二十八条</w:t>
      </w:r>
      <w:r>
        <w:rPr>
          <w:rFonts w:hint="eastAsia" w:ascii="宋体" w:hAnsi="宋体" w:cs="宋体"/>
          <w:color w:val="000000"/>
          <w:sz w:val="24"/>
          <w:szCs w:val="24"/>
          <w:highlight w:val="none"/>
        </w:rPr>
        <w:t xml:space="preserve">　咨询人由于非自身原因暂停或中止执行建设工程造价咨询业务，由此而增加的恢复执行建设工程造价咨询业务的工作，应视为额外服务，有权得到额外的时间和酬金。</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第二十九条</w:t>
      </w:r>
      <w:r>
        <w:rPr>
          <w:rFonts w:hint="eastAsia" w:ascii="宋体" w:hAnsi="宋体" w:cs="宋体"/>
          <w:color w:val="000000"/>
          <w:sz w:val="24"/>
          <w:szCs w:val="24"/>
          <w:highlight w:val="none"/>
        </w:rPr>
        <w:t xml:space="preserve">　变更或解除合同的通知或协议应当采取书面形式，新的协议未达成之前，原合同仍然有效。</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咨询业务酬金</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第三十条</w:t>
      </w:r>
      <w:r>
        <w:rPr>
          <w:rFonts w:hint="eastAsia" w:ascii="宋体" w:hAnsi="宋体" w:cs="宋体"/>
          <w:color w:val="000000"/>
          <w:sz w:val="24"/>
          <w:szCs w:val="24"/>
          <w:highlight w:val="none"/>
        </w:rPr>
        <w:t xml:space="preserve">　正常服务，附加服务和额外服务的酬金，按照建设工程造价咨询合同专用条款约定的方法计取，并按约定的时间、数额和币种支付。</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第三十一条</w:t>
      </w:r>
      <w:r>
        <w:rPr>
          <w:rFonts w:hint="eastAsia" w:ascii="宋体" w:hAnsi="宋体" w:cs="宋体"/>
          <w:color w:val="000000"/>
          <w:sz w:val="24"/>
          <w:szCs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第三十二条</w:t>
      </w:r>
      <w:r>
        <w:rPr>
          <w:rFonts w:hint="eastAsia" w:ascii="宋体" w:hAnsi="宋体" w:cs="宋体"/>
          <w:color w:val="000000"/>
          <w:sz w:val="24"/>
          <w:szCs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第三十三条</w:t>
      </w:r>
      <w:r>
        <w:rPr>
          <w:rFonts w:hint="eastAsia" w:ascii="宋体" w:hAnsi="宋体" w:cs="宋体"/>
          <w:color w:val="000000"/>
          <w:sz w:val="24"/>
          <w:szCs w:val="24"/>
          <w:highlight w:val="none"/>
        </w:rPr>
        <w:t xml:space="preserve">　支付建设工程造价咨询酬金所采取的货币币种、汇率由合同专用条款约定。</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　　他</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第三十四条　</w:t>
      </w:r>
      <w:r>
        <w:rPr>
          <w:rFonts w:hint="eastAsia" w:ascii="宋体" w:hAnsi="宋体" w:cs="宋体"/>
          <w:color w:val="000000"/>
          <w:sz w:val="24"/>
          <w:szCs w:val="24"/>
          <w:highlight w:val="none"/>
        </w:rPr>
        <w:t xml:space="preserve">因建设工程造价咨询业务的需要，咨询人在合同约定外的外出考察，经委托人同意，其所需费用由委托人负责。</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第三十五条</w:t>
      </w:r>
      <w:r>
        <w:rPr>
          <w:rFonts w:hint="eastAsia" w:ascii="宋体" w:hAnsi="宋体" w:cs="宋体"/>
          <w:color w:val="000000"/>
          <w:sz w:val="24"/>
          <w:szCs w:val="24"/>
          <w:highlight w:val="none"/>
        </w:rPr>
        <w:t xml:space="preserve">　咨询人如需外聘专家协助，在委托的建设工程造价咨询业务范围内其费用由咨询人承担；在委托的建设工程造价咨询业务范围以外经委托人认可其费用由委托人承担。</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第三十六条</w:t>
      </w:r>
      <w:r>
        <w:rPr>
          <w:rFonts w:hint="eastAsia" w:ascii="宋体" w:hAnsi="宋体" w:cs="宋体"/>
          <w:color w:val="000000"/>
          <w:sz w:val="24"/>
          <w:szCs w:val="24"/>
          <w:highlight w:val="none"/>
        </w:rPr>
        <w:t xml:space="preserve">　未经对方的书面同意，各方均不得转让合同约定的权利和义务。</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第三十七条</w:t>
      </w:r>
      <w:r>
        <w:rPr>
          <w:rFonts w:hint="eastAsia" w:ascii="宋体" w:hAnsi="宋体" w:cs="宋体"/>
          <w:color w:val="000000"/>
          <w:sz w:val="24"/>
          <w:szCs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hint="eastAsia" w:ascii="宋体" w:hAnsi="宋体" w:cs="宋体"/>
          <w:color w:val="000000"/>
          <w:sz w:val="24"/>
          <w:szCs w:val="24"/>
          <w:highlight w:val="none"/>
        </w:rPr>
      </w:r>
      <w:r/>
    </w:p>
    <w:p>
      <w:pPr>
        <w:pStyle w:val="809"/>
        <w:ind w:firstLine="480"/>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合同争议的解决</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第三十九条</w:t>
      </w:r>
      <w:r>
        <w:rPr>
          <w:rFonts w:hint="eastAsia" w:ascii="宋体" w:hAnsi="宋体" w:cs="宋体"/>
          <w:color w:val="000000"/>
          <w:sz w:val="24"/>
          <w:szCs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ind w:firstLine="482"/>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ind w:firstLine="482"/>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ind w:firstLine="482"/>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ind w:firstLine="482"/>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r>
      <w:r/>
    </w:p>
    <w:p>
      <w:pPr>
        <w:pStyle w:val="809"/>
        <w:ind w:firstLine="482"/>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第三部分  建设工程造价咨询合同专用条款</w:t>
      </w:r>
      <w:r>
        <w:rPr>
          <w:rFonts w:hint="eastAsia" w:ascii="宋体" w:hAnsi="宋体" w:cs="宋体"/>
          <w:b/>
          <w:color w:val="000000"/>
          <w:sz w:val="24"/>
          <w:szCs w:val="24"/>
          <w:highlight w:val="none"/>
        </w:rPr>
      </w:r>
      <w:r/>
    </w:p>
    <w:p>
      <w:pPr>
        <w:pStyle w:val="809"/>
        <w:ind w:firstLine="482"/>
        <w:spacing w:line="460" w:lineRule="exact"/>
        <w:tabs>
          <w:tab w:val="left" w:pos="1260" w:leader="none"/>
        </w:tabs>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第一条</w:t>
      </w:r>
      <w:r>
        <w:rPr>
          <w:rFonts w:hint="eastAsia" w:ascii="宋体" w:hAnsi="宋体" w:cs="宋体"/>
          <w:color w:val="000000"/>
          <w:sz w:val="24"/>
          <w:szCs w:val="24"/>
          <w:highlight w:val="none"/>
        </w:rPr>
        <w:t xml:space="preserve">  本合同适用的法律、法规及工程造价计价办法和规定</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 适用法律和法规：</w:t>
      </w:r>
      <w:r>
        <w:rPr>
          <w:rFonts w:hint="eastAsia" w:ascii="宋体" w:hAnsi="宋体" w:cs="宋体"/>
          <w:color w:val="000000"/>
          <w:sz w:val="24"/>
          <w:szCs w:val="24"/>
          <w:highlight w:val="none"/>
          <w:u w:val="single"/>
        </w:rPr>
        <w:t xml:space="preserve"> 工程造价的相关法律、法规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 工程造价计价办法：</w:t>
      </w:r>
      <w:r>
        <w:rPr>
          <w:rFonts w:hint="eastAsia" w:ascii="宋体" w:hAnsi="宋体" w:cs="宋体"/>
          <w:color w:val="000000"/>
          <w:sz w:val="24"/>
          <w:szCs w:val="24"/>
          <w:highlight w:val="none"/>
          <w:u w:val="single"/>
        </w:rPr>
        <w:t xml:space="preserve"> 工程量清单计价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 标准规范：</w:t>
      </w:r>
      <w:r>
        <w:rPr>
          <w:rFonts w:hint="eastAsia" w:ascii="宋体" w:hAnsi="宋体" w:cs="宋体"/>
          <w:color w:val="000000"/>
          <w:sz w:val="24"/>
          <w:szCs w:val="24"/>
          <w:highlight w:val="none"/>
          <w:u w:val="single"/>
        </w:rPr>
        <w:t xml:space="preserve">国家和地方交通行政主管部门颁布的《公路工程建设项目概算预算编制办法》（JTG3830-2018）、《公路工程预算定额》（JTG-T3832-2018）、《公路工程机械台班费用定额》（JTG-T3833-2018）、《公路工程概算定额》（JTG-T3831-2018）、《公路工程建设项目投资估算编制办法》（JTG3820-2018）、江苏省、盐城市相关计价文件、政策性调整文件和国家有关法律、法规以及本项目关于工程造价咨询服务的相关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809"/>
        <w:ind w:left="113" w:firstLine="482"/>
        <w:jc w:val="left"/>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第二条  </w:t>
      </w:r>
      <w:r>
        <w:rPr>
          <w:rFonts w:hint="eastAsia" w:ascii="宋体" w:hAnsi="宋体" w:cs="宋体"/>
          <w:color w:val="000000"/>
          <w:sz w:val="24"/>
          <w:szCs w:val="24"/>
          <w:highlight w:val="none"/>
        </w:rPr>
        <w:t xml:space="preserve">本合同咨询项目负责人由</w:t>
      </w:r>
      <w:r>
        <w:rPr>
          <w:rFonts w:hint="eastAsia" w:ascii="宋体" w:hAnsi="宋体" w:cs="宋体"/>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担任，负责本咨询项目的具体实施及与委托方的联系等事宜。 </w:t>
      </w:r>
      <w:r>
        <w:rPr>
          <w:rFonts w:hint="eastAsia" w:ascii="宋体" w:hAnsi="宋体" w:cs="宋体"/>
          <w:color w:val="000000"/>
          <w:sz w:val="24"/>
          <w:szCs w:val="24"/>
          <w:highlight w:val="none"/>
        </w:rPr>
      </w:r>
      <w:r/>
    </w:p>
    <w:p>
      <w:pPr>
        <w:pStyle w:val="809"/>
        <w:ind w:left="113" w:firstLine="482"/>
        <w:jc w:val="left"/>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第三条</w:t>
      </w:r>
      <w:r>
        <w:rPr>
          <w:rFonts w:hint="eastAsia" w:ascii="宋体" w:hAnsi="宋体" w:cs="宋体"/>
          <w:color w:val="000000"/>
          <w:sz w:val="24"/>
          <w:szCs w:val="24"/>
          <w:highlight w:val="none"/>
        </w:rPr>
        <w:t xml:space="preserve">　建设工程造价咨询业务范围及内容</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1．委托工程造价咨询的工程范围：</w:t>
      </w:r>
      <w:r>
        <w:rPr>
          <w:rFonts w:hint="eastAsia" w:ascii="宋体" w:hAnsi="宋体" w:cs="宋体"/>
          <w:bCs/>
          <w:color w:val="000000"/>
          <w:sz w:val="24"/>
          <w:szCs w:val="24"/>
          <w:highlight w:val="none"/>
          <w:u w:val="single"/>
          <w:lang w:eastAsia="zh-CN"/>
        </w:rPr>
        <w:t xml:space="preserve">2026年盐城普通国省道路面预防和修复养护工程全过程造价控制及竣工决算审计</w:t>
      </w:r>
      <w:r>
        <w:rPr>
          <w:rFonts w:hint="eastAsia" w:ascii="宋体" w:hAnsi="宋体" w:cs="宋体"/>
          <w:color w:val="000000"/>
          <w:sz w:val="24"/>
          <w:szCs w:val="24"/>
          <w:highlight w:val="none"/>
          <w:u w:val="single"/>
        </w:rPr>
        <w:t xml:space="preserve">，具体内容详见采购文件项目需求</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2.委托工程造价咨询业务的内容（下列内容有委托的在□中打√）：　 </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 建设工程造价咨询业务</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投资决策阶段</w:t>
      </w:r>
      <w:r>
        <w:rPr>
          <w:rFonts w:hint="eastAsia" w:ascii="宋体" w:hAnsi="宋体" w:cs="宋体"/>
          <w:b/>
          <w:color w:val="000000"/>
          <w:sz w:val="24"/>
          <w:szCs w:val="24"/>
          <w:highlight w:val="none"/>
        </w:rPr>
      </w:r>
      <w:r/>
    </w:p>
    <w:p>
      <w:pPr>
        <w:pStyle w:val="809"/>
        <w:ind w:firstLine="480"/>
        <w:spacing w:line="460" w:lineRule="exact"/>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□编制建设工程投资估算       □审核建设工程投资估算</w:t>
      </w:r>
      <w:r>
        <w:rPr>
          <w:rFonts w:hint="eastAsia" w:ascii="宋体" w:hAnsi="宋体" w:cs="宋体"/>
          <w:color w:val="000000"/>
          <w:sz w:val="24"/>
          <w:szCs w:val="24"/>
          <w:highlight w:val="none"/>
        </w:rPr>
      </w:r>
      <w:r/>
    </w:p>
    <w:p>
      <w:pPr>
        <w:pStyle w:val="809"/>
        <w:ind w:firstLine="480"/>
        <w:spacing w:line="460" w:lineRule="exact"/>
        <w:tabs>
          <w:tab w:val="left" w:pos="4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□建设工程项目经济评价       □其它</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工程设计阶段</w:t>
      </w:r>
      <w:r>
        <w:rPr>
          <w:rFonts w:hint="eastAsia" w:ascii="宋体" w:hAnsi="宋体" w:cs="宋体"/>
          <w:b/>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□编制建设工程概算        □审核建设工程概算</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□编制建设工程预算        □审核建设工程预算</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□设计方案经济比较        □其它</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工程发承包/招投标阶段</w:t>
      </w:r>
      <w:r>
        <w:rPr>
          <w:rFonts w:hint="eastAsia" w:ascii="宋体" w:hAnsi="宋体" w:cs="宋体"/>
          <w:b/>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□审核招标文件造价控制条款</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□编制工程量清单   □编制招标控制价/发包工程预算（标底）              </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□审核工程量清单   □审核招标控制价</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□参与审查经济标   □参与合同磋商，协助起草合同文本</w:t>
      </w:r>
      <w:r>
        <w:rPr>
          <w:rFonts w:hint="eastAsia" w:ascii="宋体" w:hAnsi="宋体" w:cs="宋体"/>
          <w:bCs/>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□其它   </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工程施工阶段</w:t>
      </w:r>
      <w:r>
        <w:rPr>
          <w:rFonts w:hint="eastAsia" w:ascii="宋体" w:hAnsi="宋体" w:cs="宋体"/>
          <w:b/>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□分析合同价款（投标报价/发包工程预算），确定工程造价控制目标，编制资金使用计划       </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☑审核工程计量与价款支付        ☑审核工程索赔与签证费用</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☑审核工程价款调整              ☑业主分包的专业工程招标咨询，材料设备询价</w:t>
      </w:r>
      <w:r>
        <w:rPr>
          <w:rFonts w:hint="eastAsia" w:ascii="宋体" w:hAnsi="宋体" w:cs="宋体"/>
          <w:bCs/>
          <w:color w:val="000000"/>
          <w:sz w:val="24"/>
          <w:szCs w:val="24"/>
          <w:highlight w:val="none"/>
        </w:rPr>
      </w:r>
      <w:r/>
    </w:p>
    <w:p>
      <w:pPr>
        <w:pStyle w:val="809"/>
        <w:ind w:firstLine="480"/>
        <w:spacing w:line="460" w:lineRule="exact"/>
        <w:tabs>
          <w:tab w:val="left" w:pos="0" w:leader="none"/>
        </w:tabs>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☑分析工程投资偏差，调整工程造价控制目标     ☑其它       </w:t>
      </w:r>
      <w:r>
        <w:rPr>
          <w:rFonts w:hint="eastAsia" w:ascii="宋体" w:hAnsi="宋体" w:cs="宋体"/>
          <w:color w:val="000000"/>
          <w:sz w:val="24"/>
          <w:szCs w:val="24"/>
          <w:highlight w:val="none"/>
          <w:u w:val="singl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工程竣工阶段</w:t>
      </w:r>
      <w:r>
        <w:rPr>
          <w:rFonts w:hint="eastAsia" w:ascii="宋体" w:hAnsi="宋体" w:cs="宋体"/>
          <w:b/>
          <w:color w:val="000000"/>
          <w:sz w:val="24"/>
          <w:szCs w:val="24"/>
          <w:highlight w:val="none"/>
        </w:rPr>
      </w:r>
      <w:r/>
    </w:p>
    <w:p>
      <w:pPr>
        <w:pStyle w:val="809"/>
        <w:ind w:firstLine="480"/>
        <w:spacing w:line="460" w:lineRule="exact"/>
        <w:tabs>
          <w:tab w:val="left" w:pos="0" w:leader="none"/>
        </w:tabs>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□编制工程竣工结算书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审核工程竣工结算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其它            </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造价咨询其它业务</w:t>
      </w:r>
      <w:r>
        <w:rPr>
          <w:rFonts w:hint="eastAsia" w:ascii="宋体" w:hAnsi="宋体" w:cs="宋体"/>
          <w:b/>
          <w:color w:val="000000"/>
          <w:sz w:val="24"/>
          <w:szCs w:val="24"/>
          <w:highlight w:val="none"/>
        </w:rPr>
      </w:r>
      <w:r/>
    </w:p>
    <w:p>
      <w:pPr>
        <w:pStyle w:val="809"/>
        <w:ind w:firstLine="480"/>
        <w:spacing w:line="460" w:lineRule="exact"/>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□工程造价鉴定及仲裁咨询   □编制工程造价计价依据</w:t>
      </w:r>
      <w:r>
        <w:rPr>
          <w:rFonts w:hint="eastAsia" w:ascii="宋体" w:hAnsi="宋体" w:cs="宋体"/>
          <w:color w:val="000000"/>
          <w:sz w:val="24"/>
          <w:szCs w:val="24"/>
          <w:highlight w:val="none"/>
        </w:rPr>
      </w:r>
      <w:r/>
    </w:p>
    <w:p>
      <w:pPr>
        <w:pStyle w:val="809"/>
        <w:ind w:firstLine="480"/>
        <w:spacing w:line="460" w:lineRule="exact"/>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□提供工程造价信息服务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其它</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第四条</w:t>
      </w:r>
      <w:r>
        <w:rPr>
          <w:rFonts w:hint="eastAsia" w:ascii="宋体" w:hAnsi="宋体" w:cs="宋体"/>
          <w:color w:val="000000"/>
          <w:sz w:val="24"/>
          <w:szCs w:val="24"/>
          <w:highlight w:val="none"/>
        </w:rPr>
        <w:t xml:space="preserve">  实施工程施工阶段造价咨询业务，要求咨询人常驻施工现场时，由委托人提供下列必要的办公条件：</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第五条</w:t>
      </w:r>
      <w:r>
        <w:rPr>
          <w:rFonts w:hint="eastAsia" w:ascii="宋体" w:hAnsi="宋体" w:cs="宋体"/>
          <w:color w:val="000000"/>
          <w:sz w:val="24"/>
          <w:szCs w:val="24"/>
          <w:highlight w:val="none"/>
        </w:rPr>
        <w:t xml:space="preserve">  双方约定的委托人应提供的建设工程造价咨询材料及提供时间：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按委托人要求的时间和咨询人承诺的时间。　　　　　　</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第六条</w:t>
      </w:r>
      <w:r>
        <w:rPr>
          <w:rFonts w:hint="eastAsia" w:ascii="宋体" w:hAnsi="宋体" w:cs="宋体"/>
          <w:color w:val="000000"/>
          <w:sz w:val="24"/>
          <w:szCs w:val="24"/>
          <w:highlight w:val="none"/>
        </w:rPr>
        <w:t xml:space="preserve">  委托人应在</w:t>
      </w:r>
      <w:r>
        <w:rPr>
          <w:rFonts w:hint="eastAsia" w:ascii="宋体" w:hAnsi="宋体" w:cs="宋体"/>
          <w:color w:val="000000"/>
          <w:sz w:val="24"/>
          <w:szCs w:val="24"/>
          <w:highlight w:val="none"/>
          <w:u w:val="single"/>
        </w:rPr>
        <w:t xml:space="preserve">　10  </w:t>
      </w:r>
      <w:r>
        <w:rPr>
          <w:rFonts w:hint="eastAsia" w:ascii="宋体" w:hAnsi="宋体" w:cs="宋体"/>
          <w:color w:val="000000"/>
          <w:sz w:val="24"/>
          <w:szCs w:val="24"/>
          <w:highlight w:val="none"/>
        </w:rPr>
        <w:t xml:space="preserve">日内对咨询人书面提交并要求做出答复的事宜做出书面答复。</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第七条</w:t>
      </w:r>
      <w:r>
        <w:rPr>
          <w:rFonts w:hint="eastAsia" w:ascii="宋体" w:hAnsi="宋体" w:cs="宋体"/>
          <w:color w:val="000000"/>
          <w:sz w:val="24"/>
          <w:szCs w:val="24"/>
          <w:highlight w:val="none"/>
        </w:rPr>
        <w:t xml:space="preserve">  委托人授权为本咨询业务的代表，负责与咨询人联系。</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第八条</w:t>
      </w:r>
      <w:r>
        <w:rPr>
          <w:rFonts w:hint="eastAsia" w:ascii="宋体" w:hAnsi="宋体" w:cs="宋体"/>
          <w:color w:val="000000"/>
          <w:sz w:val="24"/>
          <w:szCs w:val="24"/>
          <w:highlight w:val="none"/>
        </w:rPr>
        <w:t xml:space="preserve">  咨询人在其责任期内如果因自身原因给委托方造成经济损失时，同意按以下办法承担责任，向委托方支付赔偿金：赔偿金=直接经济损失×酬金比率（扣除税金）,最高额度为工程咨询费的100%。</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第九条</w:t>
      </w:r>
      <w:r>
        <w:rPr>
          <w:rFonts w:hint="eastAsia" w:ascii="宋体" w:hAnsi="宋体" w:cs="宋体"/>
          <w:color w:val="000000"/>
          <w:sz w:val="24"/>
          <w:szCs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第十条</w:t>
      </w:r>
      <w:r>
        <w:rPr>
          <w:rFonts w:hint="eastAsia" w:ascii="宋体" w:hAnsi="宋体" w:cs="宋体"/>
          <w:color w:val="000000"/>
          <w:sz w:val="24"/>
          <w:szCs w:val="24"/>
          <w:highlight w:val="none"/>
        </w:rPr>
        <w:t xml:space="preserve">  咨询人发生额外工作包括：</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□由于委托人提供的图纸等条件资料不全或发生变化，咨询人根据变化的条件资料发生的重复咨询工作；</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□实施工程施工阶段造价咨询业务，由于委托人或第三人的原因工程建设周期延长；</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□其它。</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第十一条</w:t>
      </w:r>
      <w:r>
        <w:rPr>
          <w:rFonts w:hint="eastAsia" w:ascii="宋体" w:hAnsi="宋体" w:cs="宋体"/>
          <w:color w:val="000000"/>
          <w:sz w:val="24"/>
          <w:szCs w:val="24"/>
          <w:highlight w:val="none"/>
        </w:rPr>
        <w:t xml:space="preserve">  委托人同意按以下的计算方法、支付时间与金额，支付咨询人的正常服务酬金：</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1、正常酬金计算方法</w:t>
      </w:r>
      <w:r>
        <w:rPr>
          <w:rFonts w:hint="eastAsia" w:ascii="宋体" w:hAnsi="宋体" w:cs="宋体"/>
          <w:b/>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u w:val="single"/>
          <w:shd w:val="clear" w:color="auto" w:fill="ffffff"/>
        </w:rPr>
        <w:t xml:space="preserve">结算服务费=中标价（¥      元）</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u w:val="single"/>
          <w:shd w:val="clear" w:color="auto" w:fill="ffffff"/>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2、正常酬金支付方式</w:t>
      </w:r>
      <w:r>
        <w:rPr>
          <w:rFonts w:hint="eastAsia" w:ascii="宋体" w:hAnsi="宋体" w:cs="宋体"/>
          <w:b/>
          <w:color w:val="000000"/>
          <w:sz w:val="24"/>
          <w:szCs w:val="24"/>
          <w:highlight w:val="none"/>
        </w:rPr>
      </w:r>
      <w:r/>
    </w:p>
    <w:p>
      <w:pPr>
        <w:pStyle w:val="809"/>
        <w:ind w:firstLine="480"/>
        <w:spacing w:line="4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2.1、预付款支付时间：合同签订</w:t>
      </w:r>
      <w:r>
        <w:rPr>
          <w:rFonts w:hint="eastAsia" w:ascii="宋体" w:hAnsi="宋体" w:cs="宋体"/>
          <w:color w:val="000000"/>
          <w:sz w:val="24"/>
          <w:szCs w:val="24"/>
          <w:highlight w:val="none"/>
          <w:lang w:val="zh-CN"/>
        </w:rPr>
        <w:t xml:space="preserve">后，甲方收到预付款发票后10个工作日内，预付款支付比例：合同金额的30%（在签订合同时，如乙方明确书面表示无需预付款或者主动要求降低预付款比例的，经双方协商甲方可就预付款比例作相应调整）。</w:t>
      </w:r>
      <w:r>
        <w:rPr>
          <w:rFonts w:hint="eastAsia" w:ascii="宋体" w:hAnsi="宋体" w:cs="宋体"/>
          <w:color w:val="000000"/>
          <w:sz w:val="24"/>
          <w:szCs w:val="24"/>
          <w:highlight w:val="none"/>
          <w:lang w:val="zh-CN"/>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尾款支付时间：项目审计结束且出具审定单以及工程造价咨询报告，经甲方同意审核结论后，一次性付清合同金额的剩余服务费；如有乙方有违约情况，则扣除违约金后一次性付清服务费，以上付款均不计利息。</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3、其他约定</w:t>
      </w:r>
      <w:r>
        <w:rPr>
          <w:rFonts w:hint="eastAsia" w:ascii="宋体" w:hAnsi="宋体" w:cs="宋体"/>
          <w:b/>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本合同无履约保证金。</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第十二条</w:t>
      </w:r>
      <w:r>
        <w:rPr>
          <w:rFonts w:hint="eastAsia" w:ascii="宋体" w:hAnsi="宋体" w:cs="宋体"/>
          <w:color w:val="000000"/>
          <w:sz w:val="24"/>
          <w:szCs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详见附加条款。</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第十三条</w:t>
      </w:r>
      <w:r>
        <w:rPr>
          <w:rFonts w:hint="eastAsia" w:ascii="宋体" w:hAnsi="宋体" w:cs="宋体"/>
          <w:color w:val="000000"/>
          <w:sz w:val="24"/>
          <w:szCs w:val="24"/>
          <w:highlight w:val="none"/>
        </w:rPr>
        <w:t xml:space="preserve">  建设工程造价咨询合同在履行过程中发生争议，委托人与咨询人应及时协商解决；如未能达成一致，可提交有关主管部门调解；协商或调解不成的，提交委托人所属地区法院解决。</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第十四条、本合同的建设工程造价咨询业务：从合同签订之日起至整个项目竣工验收合格，同时移交全部审计资料至采购人为止。若委托人提供咨询资料延后则时间相应顺延，若增加工作内容具体完成时间另行约定。</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第十五条、委托人提供的建设工程造价咨询材料齐全后，咨询人应在30日内完成咨询工作，出具审定单及提供完整的咨询报告。</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附加协议条款：</w:t>
      </w:r>
      <w:r>
        <w:rPr>
          <w:rFonts w:hint="eastAsia" w:ascii="宋体" w:hAnsi="宋体" w:cs="宋体"/>
          <w:b/>
          <w:color w:val="000000"/>
          <w:sz w:val="24"/>
          <w:szCs w:val="24"/>
          <w:highlight w:val="none"/>
        </w:rPr>
      </w:r>
      <w:r/>
    </w:p>
    <w:p>
      <w:pPr>
        <w:pStyle w:val="809"/>
        <w:ind w:firstLine="482"/>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（一）跟审单位现场跟审要求：</w:t>
      </w:r>
      <w:r>
        <w:rPr>
          <w:rFonts w:hint="eastAsia" w:ascii="宋体" w:hAnsi="宋体" w:cs="宋体"/>
          <w:b/>
          <w:bCs/>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1、跟审单位人员配置：在合同有效期内，跟审单位须确保每周至少有四名具备相应资质的审计人员全职驻场进行跟踪审计工作。</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跟审人员名单与资质：跟审单位应在合同生效后三日内，向采购人提交常驻审计人员名单及其从业资质证明文件（如相关执业证书复印件），并经采购人书面确认。如需更换驻场人员，跟审单位应至少提前七个工作日书面通知采购人，并提供拟替换人员的资质证明，获得采购人书面同意后方可更换。</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跟审单位安排在施工场地的协审人员应与承诺的名单一致，并保持相对稳定；尽管跟审单位已按承诺派遣了上述各类人员，但若这些人员仍不能满足合同进度计划和（或）质量要求时，发包人有权要求跟审单位继续增派或雇用这类人员，并书面通知审计单位。审计单位不得无故拖延，由此增加的费用由审计单位承担。</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3、跟审人员考勤：跟审单位驻场人员应严格遵守采购人的现场管理制度，并在每月底提交签到考勤表，考勤记录将作为判定跟审单位是否满足人员配置要求的主要依据。</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 跟审工作进度报告：</w:t>
      </w:r>
      <w:r>
        <w:rPr>
          <w:rFonts w:hint="eastAsia" w:ascii="宋体" w:hAnsi="宋体" w:cs="宋体"/>
          <w:b/>
          <w:bCs/>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跟审报告周期与时限：跟审单位须于每月五日（如遇节假日则顺延至下一个工作日），向采购人提交当月（上月一日至上月月末）的审计工作进度书面报告（以下简称“月报”）。</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1、跟审报告内容：月报内容应至少包括；</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2、当月完成的主要审计工作内容、成果及关键发现；</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3、计划完成情况与实际完成情况的对比分析（需对照双方确认的月度/阶段性工作计划）；</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4、存在的问题、风险及解决方案/建议；</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5、下月工作计划及需采购人协调的事项；</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6、当月的现场人员考勤汇总表（需负责人签字并加盖跟审单位公章）。</w:t>
      </w:r>
      <w:r>
        <w:rPr>
          <w:rFonts w:hint="eastAsia" w:ascii="宋体" w:hAnsi="宋体" w:cs="宋体"/>
          <w:color w:val="000000"/>
          <w:sz w:val="24"/>
          <w:szCs w:val="24"/>
          <w:highlight w:val="none"/>
        </w:rPr>
      </w:r>
      <w:r/>
    </w:p>
    <w:p>
      <w:pPr>
        <w:pStyle w:val="809"/>
        <w:ind w:firstLine="241"/>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 (三)跟审单位履约保证与违约责任：</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跟审单位未达现场人员要求：若跟审单位未能满足第1条（现场跟审要求）中关于每周最低驻场人数（四人）的要求（第1条第四款允许调整的情形除外），则视为跟审单位违约一次。采购人有权按每次违约500元人民币的标准向跟审单位收取违约金（罚款）。</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跟审单位的协审人员必须到岗到位，保证每月不少于22天在工地现场，并每月底按时提交考勤记录。在合同期内，投标文件中所列的项目经理及协审人员没有按时进场，或进场后，未经批准又离开工地，发包人将按500元/人•天扣除违约金，直至缺员进场为止。协审人员未经批准擅自离岗连续15天或者累计30天及以上，发包人有权解除合同。</w:t>
      </w:r>
      <w:r>
        <w:rPr>
          <w:rFonts w:hint="eastAsia" w:ascii="宋体" w:hAnsi="宋体" w:cs="宋体"/>
          <w:color w:val="000000"/>
          <w:sz w:val="24"/>
          <w:szCs w:val="24"/>
          <w:highlight w:val="none"/>
          <w:u w:val="singl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跟审单位未按时提交进度报告：若跟审单位未能按照第2条（工作进度报告）的要求按时提交完整、合格的跟审月报（包括未按时提交、提交内容严重缺失或不符合要求），则视为跟审单位违约一次。采购人有权按每次违约1000元人民币的标准向跟审单位收取违约金（罚款）。</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4、如未经采购人同意擅自更换项目经理或协审人员，视为违约一次，采购人有权按每次违约10000元/人的标准向跟审单位收取违约金（罚款）。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5、违约金（罚款）的执行：</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违约金（罚款）按次计算（每周人数不足计一次，每月报告延迟或不合格计一次）。</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1）采购人在发现违约情况后三个工作日内，向跟审单位发出书面违约通知单，载明违约事实、依据及应支付的违约金（罚款）金额。</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2）跟审单位在合同期内收到通知单后累计的违约金（罚款）从采购人应付跟审单位的合同款项中直接扣除。</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3）跟审单位支付违约金（罚款）不免除其继续履行合同义务（如补足人员、补交合格报告）的责任。</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6、累积违约责任：</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1）同一自然月内，因跟审人员累计发生违约达到不足二次，或跟审报告延迟/不合格累计达到一次，或累计违约总次数达到三次，采购人有权发出书面警告。</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合同期内，累计收到采购人三次书面警告，或单次严重违约（连续两周以上人员严重不足、连续两个月未提交报告）对项目造成重大影响，采购人有权单方面解除合同，并保留进一步追究跟审单位违约责任（包括但不限于赔偿损失）的权利。</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（四）咨询人在实施审核过程中：</w:t>
      </w:r>
      <w:r>
        <w:rPr>
          <w:rFonts w:hint="eastAsia" w:ascii="宋体" w:hAnsi="宋体" w:cs="宋体"/>
          <w:color w:val="000000"/>
          <w:sz w:val="24"/>
          <w:szCs w:val="24"/>
          <w:highlight w:val="none"/>
        </w:rPr>
        <w:t xml:space="preserve">在接到委托人通知通常在委托人规定的时间内完成项目结算审核，并出具审核报告。如因不能及时提供完成，导致工作不能顺利开展的，将开具书面通知单，接受委托人5000元/次的处罚。</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咨询人出具的结算审核报告结果必须确保准确性。如经委托人委托的第三方再行复核，发现咨询人出具的结算审核报告结果误差率大于等于1.5%的，委托人有权终止合同，并有权拒付所有服务费，咨询人赔偿由此行为给委托人造成的全部损失。</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（六）安全生产事故责任内容</w:t>
      </w:r>
      <w:r>
        <w:rPr>
          <w:rFonts w:hint="eastAsia" w:ascii="宋体" w:hAnsi="宋体" w:cs="宋体"/>
          <w:b/>
          <w:bCs/>
          <w:color w:val="000000"/>
          <w:sz w:val="24"/>
          <w:szCs w:val="24"/>
          <w:highlight w:val="none"/>
        </w:rPr>
      </w:r>
      <w:r/>
    </w:p>
    <w:p>
      <w:pPr>
        <w:pStyle w:val="809"/>
        <w:ind w:left="47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跟审单位在项目实施期间发生的一切生产和人身安全事故责任由跟审单位承担，与发包人无关。</w:t>
      </w:r>
      <w:r>
        <w:rPr>
          <w:rFonts w:hint="eastAsia" w:ascii="宋体" w:hAnsi="宋体" w:cs="宋体"/>
          <w:color w:val="000000"/>
          <w:sz w:val="24"/>
          <w:szCs w:val="24"/>
          <w:highlight w:val="none"/>
        </w:rPr>
      </w:r>
      <w:r/>
    </w:p>
    <w:p>
      <w:pPr>
        <w:pStyle w:val="809"/>
        <w:ind w:left="479"/>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（七）项目发生以下情形时，委托人有权解除合同的内容。</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1.咨询人未按合同约定（或委托人针对项目提出合理情形要求）的进度、质量标准、服务要求履行委托职责，经委托人书面催告后，合理期限内仍未整改到位，影响项目推进或导致项目不达标。</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2.咨询人未经委托人书面同意，擅自变更委托范围、工作方案，或擅自将委托义务转让给第三方，增加委托人成本、影响项目质量。</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3.咨询人超越合同约定权限，擅自对外签约、作出承诺，或处置与项目相关的财产、权利，给委托人造成损失或潜在风险。</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4.咨询人无故拖延或停止履行项目工作，或拒绝听从委托人合理指导导致项目停滞，无法实现委托目的。</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5.咨询人与第三方恶意串通，或违反国家法律法规、项目相关规定，给委托人带来损失、行政处罚或法律纠纷。</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6.若委托审计项目出现外因情况取消的，本审计合同自动终止。</w:t>
      </w:r>
      <w:r>
        <w:rPr>
          <w:rFonts w:hint="eastAsia" w:ascii="宋体" w:hAnsi="宋体" w:cs="宋体"/>
          <w:color w:val="000000"/>
          <w:sz w:val="24"/>
          <w:szCs w:val="24"/>
          <w:highlight w:val="none"/>
        </w:rPr>
      </w:r>
      <w:r/>
    </w:p>
    <w:p>
      <w:pPr>
        <w:pStyle w:val="809"/>
        <w:ind w:firstLine="482"/>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八</w:t>
      </w:r>
      <w:r>
        <w:rPr>
          <w:rFonts w:hint="eastAsia" w:ascii="宋体" w:hAnsi="宋体" w:cs="宋体"/>
          <w:b/>
          <w:bCs/>
          <w:color w:val="000000"/>
          <w:sz w:val="24"/>
          <w:szCs w:val="24"/>
          <w:highlight w:val="none"/>
        </w:rPr>
        <w:t xml:space="preserve">）项</w:t>
      </w:r>
      <w:r>
        <w:rPr>
          <w:rFonts w:hint="eastAsia" w:ascii="宋体" w:hAnsi="宋体" w:eastAsia="宋体" w:cs="宋体"/>
          <w:b/>
          <w:bCs/>
          <w:color w:val="000000"/>
          <w:sz w:val="24"/>
          <w:szCs w:val="24"/>
          <w:highlight w:val="none"/>
        </w:rPr>
        <w:t xml:space="preserve">目验收</w:t>
      </w:r>
      <w:r>
        <w:rPr>
          <w:rFonts w:hint="eastAsia" w:ascii="宋体" w:hAnsi="宋体" w:cs="宋体"/>
          <w:b/>
          <w:bCs/>
          <w:color w:val="000000"/>
          <w:sz w:val="24"/>
          <w:szCs w:val="24"/>
          <w:highlight w:val="none"/>
        </w:rPr>
      </w:r>
      <w:r/>
    </w:p>
    <w:p>
      <w:pPr>
        <w:pStyle w:val="80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本次验收是对2026年盐城普通国省道路面预防和修复养护工程全过程造价控制及竣工决算审计进行履约验收，对于未通过验收的，甲方有权暂缓支付审计服务费。</w:t>
      </w:r>
      <w:r>
        <w:rPr>
          <w:rFonts w:hint="eastAsia" w:ascii="宋体" w:hAnsi="宋体" w:eastAsia="宋体" w:cs="宋体"/>
          <w:color w:val="000000"/>
          <w:sz w:val="24"/>
          <w:szCs w:val="24"/>
          <w:highlight w:val="none"/>
        </w:rPr>
      </w:r>
      <w:r/>
    </w:p>
    <w:p>
      <w:pPr>
        <w:pStyle w:val="80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全部满足以下验收条件方可启动：</w:t>
      </w:r>
      <w:r>
        <w:rPr>
          <w:rFonts w:hint="eastAsia" w:ascii="宋体" w:hAnsi="宋体" w:eastAsia="宋体" w:cs="宋体"/>
          <w:color w:val="000000"/>
          <w:sz w:val="24"/>
          <w:szCs w:val="24"/>
          <w:highlight w:val="none"/>
        </w:rPr>
      </w:r>
      <w:r/>
    </w:p>
    <w:p>
      <w:pPr>
        <w:pStyle w:val="809"/>
        <w:numPr>
          <w:ilvl w:val="0"/>
          <w:numId w:val="6"/>
        </w:num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工程已完成交工验收手续；（2）供应商出具加盖执业印章的正式竣工结算跟踪审计报告；（3）全过程跟踪审计发现的造价、程序、资金管理问题全部完成整改闭环，附完整整改回复、佐证资料，经甲方确认；（4）供应商移交全套完整纸质、电子审计成果档案，目录清晰、分类归档；（5）合同约定全部跟踪审计服务内容履行完毕，无人员脱岗、违规执业、资料泄密、重大审核差错未处置情形；（6）无未解决的造价争议、审计服务纠纷。</w:t>
      </w:r>
      <w:r>
        <w:rPr>
          <w:rFonts w:hint="eastAsia" w:ascii="宋体" w:hAnsi="宋体" w:eastAsia="宋体" w:cs="宋体"/>
          <w:color w:val="000000"/>
          <w:sz w:val="24"/>
          <w:szCs w:val="24"/>
          <w:highlight w:val="none"/>
        </w:rPr>
      </w:r>
      <w:r/>
    </w:p>
    <w:p>
      <w:pPr>
        <w:pStyle w:val="809"/>
        <w:ind w:firstLine="482"/>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rPr>
        <w:t xml:space="preserve">验收组织与实施程序</w:t>
      </w:r>
      <w:r>
        <w:rPr>
          <w:rFonts w:hint="eastAsia" w:ascii="宋体" w:hAnsi="宋体" w:eastAsia="宋体" w:cs="宋体"/>
          <w:b/>
          <w:bCs/>
          <w:color w:val="000000"/>
          <w:sz w:val="24"/>
          <w:szCs w:val="24"/>
          <w:highlight w:val="none"/>
        </w:rPr>
      </w:r>
      <w:r/>
    </w:p>
    <w:p>
      <w:pPr>
        <w:pStyle w:val="809"/>
        <w:ind w:firstLine="480"/>
        <w:spacing w:line="420" w:lineRule="exact"/>
        <w:rPr>
          <w:rFonts w:ascii="宋体" w:hAnsi="宋体" w:eastAsia="宋体" w:cs="宋体"/>
          <w:sz w:val="24"/>
        </w:rPr>
      </w:pPr>
      <w:r>
        <w:rPr>
          <w:rFonts w:hint="eastAsia" w:ascii="宋体" w:hAnsi="宋体" w:eastAsia="宋体" w:cs="宋体"/>
          <w:sz w:val="24"/>
        </w:rPr>
        <w:t xml:space="preserve">验收主体：</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组建验收小组，发起《政府采购履约验收通知单》</w:t>
      </w:r>
      <w:r>
        <w:rPr>
          <w:rFonts w:ascii="宋体" w:hAnsi="宋体" w:eastAsia="宋体" w:cs="宋体"/>
          <w:sz w:val="24"/>
        </w:rPr>
      </w:r>
      <w:r/>
    </w:p>
    <w:p>
      <w:pPr>
        <w:pStyle w:val="809"/>
        <w:ind w:firstLine="480"/>
        <w:spacing w:line="420" w:lineRule="exact"/>
        <w:rPr>
          <w:rFonts w:ascii="宋体" w:hAnsi="宋体" w:eastAsia="宋体" w:cs="宋体"/>
          <w:sz w:val="24"/>
        </w:rPr>
      </w:pPr>
      <w:r>
        <w:rPr>
          <w:rFonts w:hint="eastAsia" w:ascii="宋体" w:hAnsi="宋体" w:eastAsia="宋体" w:cs="宋体"/>
          <w:sz w:val="24"/>
        </w:rPr>
        <w:t xml:space="preserve">验收方案内容：（1）人员履约核查：核对驻场考勤、项目负责人及造价师在岗记录、人员更换审批手续、现场核量到场记录；（2）工作内容核查：逐项核对前期、施工、结算全流程跟踪工作是否全覆盖；（3）成果资料核验：逐套核查报告、底稿、影像、认价、签证、进度款审核资料完整性。</w:t>
      </w:r>
      <w:r>
        <w:rPr>
          <w:rFonts w:ascii="宋体" w:hAnsi="宋体" w:eastAsia="宋体" w:cs="宋体"/>
          <w:sz w:val="24"/>
        </w:rPr>
        <w:t xml:space="preserve"> </w:t>
      </w:r>
      <w:r>
        <w:rPr>
          <w:rFonts w:ascii="宋体" w:hAnsi="宋体" w:eastAsia="宋体" w:cs="宋体"/>
          <w:sz w:val="24"/>
        </w:rPr>
      </w:r>
      <w:r/>
    </w:p>
    <w:p>
      <w:pPr>
        <w:pStyle w:val="809"/>
        <w:ind w:firstLine="480"/>
        <w:spacing w:line="420" w:lineRule="exact"/>
        <w:rPr>
          <w:rFonts w:ascii="宋体" w:hAnsi="宋体" w:eastAsia="宋体" w:cs="宋体"/>
          <w:sz w:val="24"/>
        </w:rPr>
      </w:pPr>
      <w:r>
        <w:rPr>
          <w:rFonts w:hint="eastAsia" w:ascii="宋体" w:hAnsi="宋体" w:eastAsia="宋体" w:cs="宋体"/>
          <w:sz w:val="24"/>
        </w:rPr>
        <w:t xml:space="preserve">验收结论出具：验收完成后</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出具《项目验收报告》、《政府采购履约验收书 (服务类)》，明确验收合格、限期整改、不予验收三种结论。</w:t>
      </w:r>
      <w:r>
        <w:rPr>
          <w:rFonts w:ascii="宋体" w:hAnsi="宋体" w:eastAsia="宋体" w:cs="宋体"/>
          <w:sz w:val="24"/>
        </w:rPr>
      </w:r>
      <w:r/>
    </w:p>
    <w:p>
      <w:pPr>
        <w:pStyle w:val="821"/>
        <w:numPr>
          <w:ilvl w:val="0"/>
          <w:numId w:val="0"/>
        </w:numPr>
        <w:ind w:firstLine="480"/>
        <w:rPr>
          <w:rFonts w:hint="eastAsia"/>
        </w:rPr>
      </w:pPr>
      <w:r>
        <w:rPr>
          <w:rFonts w:hint="eastAsia" w:ascii="宋体" w:hAnsi="宋体" w:eastAsia="宋体" w:cs="宋体"/>
          <w:sz w:val="24"/>
        </w:rPr>
        <w:t xml:space="preserve">对验收意见存在异议的，</w:t>
      </w:r>
      <w:r>
        <w:rPr>
          <w:rFonts w:hint="eastAsia" w:ascii="宋体" w:hAnsi="宋体" w:eastAsia="宋体" w:cs="宋体"/>
          <w:sz w:val="24"/>
          <w:lang w:val="en-US" w:eastAsia="zh-CN"/>
        </w:rPr>
        <w:t xml:space="preserve">甲方</w:t>
      </w:r>
      <w:r>
        <w:rPr>
          <w:rFonts w:hint="eastAsia" w:ascii="宋体" w:hAnsi="宋体" w:eastAsia="宋体" w:cs="宋体"/>
          <w:sz w:val="24"/>
        </w:rPr>
        <w:t xml:space="preserve">与</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双方可以协商解决，或通过法律途径解决。</w:t>
      </w:r>
      <w:r>
        <w:rPr>
          <w:rFonts w:hint="eastAsia"/>
        </w:rPr>
      </w:r>
      <w:r/>
    </w:p>
    <w:p>
      <w:pPr>
        <w:pStyle w:val="809"/>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9"/>
        <w:ind w:firstLine="2168"/>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ind w:firstLine="2168"/>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ind w:firstLine="2168"/>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9"/>
        <w:jc w:val="center"/>
        <w:spacing w:line="46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廉政合同</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为切实加强党风廉政建设，有效预防违法违纪违规行为和腐败问题的发生，根据国家有关廉政建设的规定，本项目的委托人</w:t>
      </w:r>
      <w:r>
        <w:rPr>
          <w:rFonts w:hint="eastAsia" w:ascii="宋体" w:hAnsi="宋体" w:cs="宋体"/>
          <w:color w:val="000000"/>
          <w:sz w:val="24"/>
          <w:szCs w:val="24"/>
          <w:highlight w:val="none"/>
          <w:u w:val="single"/>
        </w:rPr>
        <w:t xml:space="preserve">盐城市公路事业发展中心</w:t>
      </w:r>
      <w:r>
        <w:rPr>
          <w:rFonts w:hint="eastAsia" w:ascii="宋体" w:hAnsi="宋体" w:cs="宋体"/>
          <w:color w:val="000000"/>
          <w:sz w:val="24"/>
          <w:szCs w:val="24"/>
          <w:highlight w:val="none"/>
        </w:rPr>
        <w:t xml:space="preserve">（以下简称“甲方”）与咨询人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（以下简称“乙方”），订立如下合同。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一、甲方的权利和义务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（1）严格执行党的政策纪律、国家法律法规和各项规章制度，建立并落实廉政责任制。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建立健全廉政教育制度，设立廉政告示牌，公布举报电话， 监督并严肃查处违法违纪行为。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实施过程中，如发现乙方及其工作人员存在任何违法违纪违规行为，甲方有权向乙方上级有关部门举报、建议给予处理并要求告知处理结果；情节严重的，甲方有权视情节给予乙方经济处罚、暂停支付合同款、取消中标资格、中止合同的处罚，并建议盐城市有关主管部门禁止乙方在一至三年内进入盐城市场，涉嫌犯罪的，移送司法机关依法处理。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w:t>
      </w:r>
      <w:r>
        <w:rPr>
          <w:rFonts w:hint="eastAsia" w:ascii="宋体" w:hAnsi="宋体" w:cs="宋体"/>
          <w:color w:val="000000"/>
          <w:sz w:val="24"/>
          <w:szCs w:val="24"/>
          <w:highlight w:val="none"/>
        </w:rPr>
        <w:t xml:space="preserve">、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分包、劳务等经济活动；不得违规为本人、亲友、身边工作人员和特定关系人承接或投资、入股重大项目相关的业务；不准违规进行变更签证或以虚假计量等手段虚报高垃圾运输量；不准与相关项目单位发生借贷、租赁或合伙经营等个人经济关系。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二、乙方的权利和义务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（1）有权依照国家法律、法规和规章制度，开展生产经营活动。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实施过程中，如发现甲方及其工作人员和受甲方委托从事招标代理、监理、跟踪审计等单位的人员存在“吃拿卡要”等违法违纪违规行为，有权在第一时间向上级监督部门口头或书面反映并要求告知处理结果。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（3）严格执行党的政策纪律、国家法律法规和各项规章制度，建立并落实廉政责任制，严格遵守职业道德。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（4）建立健全廉政教育制度，定期开展廉政警示教育活动，教育引导自身工作人员遵守行为规范。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（5）不得以任何理由向甲</w:t>
      </w:r>
      <w:r>
        <w:rPr>
          <w:rFonts w:hint="eastAsia" w:ascii="宋体" w:hAnsi="宋体" w:cs="宋体"/>
          <w:color w:val="000000"/>
          <w:sz w:val="24"/>
          <w:szCs w:val="24"/>
          <w:highlight w:val="none"/>
        </w:rPr>
        <w:t xml:space="preserve">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三、本合同有效期为甲乙双方签署之日起至该项目款全部拨付完成后止。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四、本合同作为</w:t>
      </w:r>
      <w:r>
        <w:rPr>
          <w:rFonts w:hint="eastAsia" w:ascii="宋体" w:hAnsi="宋体" w:cs="宋体"/>
          <w:bCs/>
          <w:color w:val="000000"/>
          <w:sz w:val="24"/>
          <w:szCs w:val="24"/>
          <w:highlight w:val="none"/>
          <w:u w:val="single"/>
          <w:lang w:eastAsia="zh-CN"/>
        </w:rPr>
        <w:t xml:space="preserve">2026年盐城普通国省道路面预防和修复养护工程全过程造价控制及竣工决算审计</w:t>
      </w:r>
      <w:r>
        <w:rPr>
          <w:rFonts w:hint="eastAsia" w:ascii="宋体" w:hAnsi="宋体" w:cs="宋体"/>
          <w:color w:val="000000"/>
          <w:sz w:val="24"/>
          <w:szCs w:val="24"/>
          <w:highlight w:val="none"/>
          <w:u w:val="single"/>
        </w:rPr>
        <w:t xml:space="preserve">（采购包：  ）</w:t>
      </w:r>
      <w:r>
        <w:rPr>
          <w:rFonts w:hint="eastAsia" w:ascii="宋体" w:hAnsi="宋体" w:cs="宋体"/>
          <w:color w:val="000000"/>
          <w:sz w:val="24"/>
          <w:szCs w:val="24"/>
          <w:highlight w:val="none"/>
        </w:rPr>
        <w:t xml:space="preserve">合同的附件，与合同具有同等的法律效力。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五、本合同作为主合同附件，正本和副本份数与本主合同的约定相同。由双方法定代表人或其授权的代理人签名与加盖公章后生效。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(盖公章)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法定代表人或委托人:            (签字)</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                     (盖公章)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法定代表人或委托人:            (签字)</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0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rPr>
          <w:rFonts w:hint="eastAsia" w:ascii="宋体" w:hAnsi="宋体" w:cs="宋体"/>
          <w:color w:val="000000"/>
          <w:highlight w:val="none"/>
        </w:rPr>
      </w:pPr>
      <w:r>
        <w:rPr>
          <w:rFonts w:hint="eastAsia" w:ascii="宋体" w:hAnsi="宋体" w:cs="宋体"/>
          <w:color w:val="000000"/>
          <w:highlight w:val="none"/>
        </w:rPr>
      </w:r>
      <w:r/>
    </w:p>
    <w:p>
      <w:pPr>
        <w:pStyle w:val="843"/>
        <w:ind w:firstLine="480"/>
        <w:jc w:val="center"/>
        <w:spacing w:line="6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932"/>
        <w:ind w:firstLine="0"/>
        <w:jc w:val="center"/>
        <w:spacing w:before="147" w:line="460" w:lineRule="exact"/>
        <w:rPr>
          <w:rFonts w:ascii="宋体" w:hAnsi="宋体"/>
          <w:b/>
          <w:color w:val="000000"/>
          <w:szCs w:val="24"/>
          <w:highlight w:val="none"/>
        </w:rPr>
      </w:pPr>
      <w:r/>
      <w:bookmarkStart w:id="174" w:name="_Hlt16619350"/>
      <w:r/>
      <w:bookmarkStart w:id="175" w:name="_Toc120614244"/>
      <w:r/>
      <w:bookmarkStart w:id="176" w:name="_Toc16938590"/>
      <w:r/>
      <w:bookmarkStart w:id="177" w:name="_Toc20823346"/>
      <w:r/>
      <w:bookmarkStart w:id="178" w:name="_Toc462564139"/>
      <w:r/>
      <w:bookmarkStart w:id="179" w:name="_Toc49090575"/>
      <w:r/>
      <w:bookmarkStart w:id="180" w:name="_Toc26554093"/>
      <w:r/>
      <w:bookmarkStart w:id="181" w:name="_Toc479757211"/>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74"/>
      <w:r>
        <w:rPr>
          <w:rFonts w:hint="eastAsia" w:ascii="黑体" w:eastAsia="黑体"/>
          <w:bCs/>
          <w:color w:val="000000"/>
          <w:sz w:val="44"/>
          <w:highlight w:val="none"/>
        </w:rPr>
        <w:t xml:space="preserve">四章 项目需求</w:t>
      </w:r>
      <w:bookmarkEnd w:id="175"/>
      <w:r/>
      <w:bookmarkEnd w:id="176"/>
      <w:r/>
      <w:bookmarkEnd w:id="177"/>
      <w:r>
        <w:rPr>
          <w:rFonts w:ascii="宋体" w:hAnsi="宋体"/>
          <w:b/>
          <w:color w:val="000000"/>
          <w:szCs w:val="24"/>
          <w:highlight w:val="none"/>
        </w:rPr>
      </w:r>
      <w:r/>
    </w:p>
    <w:p>
      <w:pPr>
        <w:pStyle w:val="809"/>
        <w:ind w:firstLine="480"/>
        <w:spacing w:line="440" w:lineRule="exact"/>
        <w:rPr>
          <w:color w:val="000000"/>
          <w:sz w:val="24"/>
          <w:szCs w:val="24"/>
          <w:highlight w:val="none"/>
        </w:rPr>
      </w:pPr>
      <w:r>
        <w:rPr>
          <w:rFonts w:hint="eastAsia"/>
          <w:color w:val="000000"/>
          <w:sz w:val="24"/>
          <w:szCs w:val="24"/>
          <w:highlight w:val="none"/>
        </w:rPr>
        <w:t xml:space="preserve">项目属性：服务类项目。</w:t>
      </w:r>
      <w:r>
        <w:rPr>
          <w:color w:val="000000"/>
          <w:sz w:val="24"/>
          <w:szCs w:val="24"/>
          <w:highlight w:val="none"/>
        </w:rPr>
      </w:r>
      <w:r/>
    </w:p>
    <w:p>
      <w:pPr>
        <w:pStyle w:val="809"/>
        <w:spacing w:line="440" w:lineRule="exact"/>
        <w:rPr>
          <w:rFonts w:ascii="黑体" w:hAnsi="黑体" w:eastAsia="黑体"/>
          <w:vanish/>
          <w:color w:val="000000"/>
          <w:sz w:val="24"/>
          <w:szCs w:val="24"/>
          <w:highlight w:val="none"/>
        </w:rPr>
      </w:pPr>
      <w:r>
        <w:rPr>
          <w:rFonts w:ascii="黑体" w:hAnsi="黑体" w:eastAsia="黑体"/>
          <w:vanish/>
          <w:color w:val="000000"/>
          <w:sz w:val="24"/>
          <w:szCs w:val="24"/>
          <w:highlight w:val="none"/>
        </w:rPr>
      </w:r>
      <w:r/>
    </w:p>
    <w:p>
      <w:pPr>
        <w:pStyle w:val="923"/>
        <w:ind w:left="0"/>
        <w:spacing w:line="440" w:lineRule="exact"/>
        <w:rPr>
          <w:rStyle w:val="924"/>
          <w:rFonts w:hint="eastAsia" w:ascii="宋体" w:hAnsi="宋体" w:cs="宋体"/>
          <w:b/>
          <w:color w:val="000000"/>
          <w:sz w:val="24"/>
          <w:szCs w:val="24"/>
          <w:highlight w:val="none"/>
        </w:rPr>
      </w:pPr>
      <w:r>
        <w:rPr>
          <w:rStyle w:val="924"/>
          <w:rFonts w:hint="eastAsia" w:ascii="宋体" w:hAnsi="宋体" w:cs="宋体"/>
          <w:b/>
          <w:color w:val="000000"/>
          <w:sz w:val="24"/>
          <w:szCs w:val="24"/>
          <w:highlight w:val="none"/>
        </w:rPr>
        <w:t xml:space="preserve">一、项目背景</w:t>
      </w:r>
      <w:r>
        <w:rPr>
          <w:rStyle w:val="924"/>
          <w:rFonts w:hint="eastAsia" w:ascii="宋体" w:hAnsi="宋体" w:cs="宋体"/>
          <w:b/>
          <w:color w:val="000000"/>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根据省财政厅和省交通运输厅《关于提前下达2026年中央对成品油税费改革转移支付资金的通知》苏财建【2025】225号文，对我市养护工作需要，及时将资金拨付至项目实施，切实加快资金支出进度，确保养护工作顺利开展。同时按要求开展绩效监控和绩效评价，不断提升资金使用绩效，确保绩效目标如期实现。</w:t>
      </w:r>
      <w:r>
        <w:rPr>
          <w:rFonts w:ascii="宋体" w:hAnsi="宋体" w:cs="宋体"/>
          <w:color w:val="000000"/>
          <w:spacing w:val="-1"/>
          <w:sz w:val="24"/>
          <w:szCs w:val="24"/>
          <w:highlight w:val="none"/>
        </w:rPr>
      </w:r>
      <w:r/>
    </w:p>
    <w:p>
      <w:pPr>
        <w:pStyle w:val="923"/>
        <w:ind w:left="0"/>
        <w:spacing w:line="440" w:lineRule="exact"/>
        <w:rPr>
          <w:rStyle w:val="924"/>
          <w:rFonts w:hint="eastAsia" w:ascii="宋体" w:hAnsi="宋体" w:cs="宋体"/>
          <w:b/>
          <w:color w:val="000000"/>
          <w:sz w:val="24"/>
          <w:szCs w:val="24"/>
          <w:highlight w:val="none"/>
        </w:rPr>
      </w:pPr>
      <w:r>
        <w:rPr>
          <w:rStyle w:val="924"/>
          <w:rFonts w:hint="eastAsia" w:ascii="宋体" w:hAnsi="宋体" w:cs="宋体"/>
          <w:b/>
          <w:color w:val="000000"/>
          <w:sz w:val="24"/>
          <w:szCs w:val="24"/>
          <w:highlight w:val="none"/>
        </w:rPr>
        <w:t xml:space="preserve">二、采购需求</w:t>
      </w:r>
      <w:r>
        <w:rPr>
          <w:rStyle w:val="924"/>
          <w:rFonts w:hint="eastAsia" w:ascii="宋体" w:hAnsi="宋体" w:cs="宋体"/>
          <w:b/>
          <w:color w:val="000000"/>
          <w:sz w:val="24"/>
          <w:szCs w:val="24"/>
          <w:highlight w:val="none"/>
        </w:rPr>
      </w:r>
      <w:r/>
    </w:p>
    <w:p>
      <w:pPr>
        <w:pStyle w:val="923"/>
        <w:ind w:left="0" w:firstLine="480"/>
        <w:spacing w:line="460" w:lineRule="exact"/>
        <w:rPr>
          <w:rFonts w:ascii="宋体" w:hAnsi="宋体" w:cs="宋体"/>
          <w:color w:val="000000"/>
          <w:spacing w:val="-1"/>
          <w:sz w:val="24"/>
          <w:szCs w:val="24"/>
          <w:highlight w:val="none"/>
        </w:rPr>
      </w:pPr>
      <w:r>
        <w:rPr>
          <w:rFonts w:hint="eastAsia" w:ascii="宋体" w:hAnsi="宋体"/>
          <w:bCs/>
          <w:color w:val="000000"/>
          <w:sz w:val="24"/>
          <w:szCs w:val="24"/>
          <w:highlight w:val="none"/>
        </w:rPr>
        <w:t xml:space="preserve">1.本项目分为3个采购包，分别为：采购包1、采购包2、采购包3。投标人可</w:t>
      </w:r>
      <w:r>
        <w:rPr>
          <w:rFonts w:ascii="宋体" w:hAnsi="宋体" w:cs="宋体"/>
          <w:color w:val="000000"/>
          <w:spacing w:val="-1"/>
          <w:sz w:val="24"/>
          <w:szCs w:val="24"/>
          <w:highlight w:val="none"/>
        </w:rPr>
        <w:t xml:space="preserve">以根据自身能力及条件选择一个或几个采购包进行投标，但中标只能中其中一个采购包，即可兼投但不可兼中。</w:t>
      </w:r>
      <w:r>
        <w:rPr>
          <w:rFonts w:ascii="宋体" w:hAnsi="宋体" w:cs="宋体"/>
          <w:color w:val="000000"/>
          <w:spacing w:val="-1"/>
          <w:sz w:val="24"/>
          <w:szCs w:val="24"/>
          <w:highlight w:val="none"/>
        </w:rPr>
      </w:r>
      <w:r/>
    </w:p>
    <w:p>
      <w:pPr>
        <w:pStyle w:val="92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2.工程概况</w:t>
      </w:r>
      <w:r>
        <w:rPr>
          <w:rFonts w:hint="eastAsia" w:ascii="宋体" w:hAnsi="宋体" w:cs="宋体"/>
          <w:b/>
          <w:bCs/>
          <w:color w:val="000000"/>
          <w:spacing w:val="-1"/>
          <w:sz w:val="24"/>
          <w:szCs w:val="24"/>
          <w:highlight w:val="none"/>
        </w:rPr>
      </w:r>
      <w:r/>
    </w:p>
    <w:p>
      <w:pPr>
        <w:pStyle w:val="923"/>
        <w:ind w:left="0" w:firstLine="478"/>
        <w:spacing w:line="460" w:lineRule="exact"/>
        <w:rPr>
          <w:rFonts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采购包1：</w:t>
      </w:r>
      <w:r>
        <w:rPr>
          <w:rFonts w:ascii="宋体" w:hAnsi="宋体" w:cs="宋体"/>
          <w:b/>
          <w:bCs/>
          <w:color w:val="000000"/>
          <w:spacing w:val="-1"/>
          <w:sz w:val="24"/>
          <w:szCs w:val="24"/>
          <w:highlight w:val="none"/>
        </w:rPr>
      </w:r>
      <w:r/>
    </w:p>
    <w:p>
      <w:pPr>
        <w:pStyle w:val="923"/>
        <w:ind w:left="0" w:firstLine="480"/>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负责滨海县24车道公里路面预防性养护工程和42.1车道公里路面修复性养护工程及阜宁县8车道公里路面修复性养护工程的全过程造价控制和竣工决算审计工作，工作量8218万元。</w:t>
      </w:r>
      <w:r>
        <w:rPr>
          <w:rFonts w:hint="eastAsia" w:ascii="宋体" w:hAnsi="宋体" w:cs="宋体"/>
          <w:color w:val="000000"/>
          <w:spacing w:val="-1"/>
          <w:sz w:val="24"/>
          <w:szCs w:val="24"/>
          <w:highlight w:val="none"/>
        </w:rPr>
      </w:r>
      <w:r/>
    </w:p>
    <w:p>
      <w:pPr>
        <w:pStyle w:val="92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采购包2：</w:t>
      </w:r>
      <w:r>
        <w:rPr>
          <w:rFonts w:hint="eastAsia" w:ascii="宋体" w:hAnsi="宋体" w:cs="宋体"/>
          <w:b/>
          <w:bCs/>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负责射阳县34.5车道公里路面预防性养护工程和15车道公里路面修复性养护工程及大丰区42车道公里路面修复性养护工程的全过程造价控制和竣工决算审计工作，工作量为9220万元</w:t>
      </w:r>
      <w:r>
        <w:rPr>
          <w:rFonts w:ascii="宋体" w:hAnsi="宋体" w:cs="宋体"/>
          <w:color w:val="000000"/>
          <w:spacing w:val="-1"/>
          <w:sz w:val="24"/>
          <w:szCs w:val="24"/>
          <w:highlight w:val="none"/>
        </w:rPr>
        <w:t xml:space="preserve">。</w:t>
      </w:r>
      <w:r>
        <w:rPr>
          <w:rFonts w:ascii="宋体" w:hAnsi="宋体" w:cs="宋体"/>
          <w:color w:val="000000"/>
          <w:spacing w:val="-1"/>
          <w:sz w:val="24"/>
          <w:szCs w:val="24"/>
          <w:highlight w:val="none"/>
        </w:rPr>
      </w:r>
      <w:r/>
    </w:p>
    <w:p>
      <w:pPr>
        <w:pStyle w:val="92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采购包3：</w:t>
      </w:r>
      <w:r>
        <w:rPr>
          <w:rFonts w:hint="eastAsia" w:ascii="宋体" w:hAnsi="宋体" w:cs="宋体"/>
          <w:b/>
          <w:bCs/>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负责负责响水县19.8车道公里路面修复性养护工程、建湖县15.2车道公里路面修复性养护工程及东台市19.2车道公里路面修复性养护工程的全过程造价控制和竣工决算审计工作，工作量为6417万元。</w:t>
      </w:r>
      <w:r>
        <w:rPr>
          <w:rFonts w:ascii="宋体" w:hAnsi="宋体" w:cs="宋体"/>
          <w:color w:val="000000"/>
          <w:spacing w:val="-1"/>
          <w:sz w:val="24"/>
          <w:szCs w:val="24"/>
          <w:highlight w:val="none"/>
        </w:rPr>
      </w:r>
      <w:r/>
    </w:p>
    <w:p>
      <w:pPr>
        <w:pStyle w:val="923"/>
        <w:ind w:left="480"/>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3.项目技术要求：</w:t>
      </w:r>
      <w:r>
        <w:rPr>
          <w:rFonts w:hint="eastAsia" w:ascii="宋体" w:hAnsi="宋体" w:cs="宋体"/>
          <w:b/>
          <w:bCs/>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为保证审核质量，中标后拟派项目组的常驻现场注册造价工程师在中标项目现场跟踪审核期间不得承接其他现场跟踪审核项目。采购人保留对投标人提供的该名常驻注册造价工程师投标时全过程跟踪审核项目（在审）材料（附件项目人员配置清单）进行外调核查的权利。经查实，常驻注册造价工程师不符合上述要求的，采购人有权依法解除协议，并报相关监管部门处理。</w:t>
      </w:r>
      <w:r>
        <w:rPr>
          <w:rFonts w:ascii="宋体" w:hAnsi="宋体" w:cs="宋体"/>
          <w:color w:val="000000"/>
          <w:spacing w:val="-1"/>
          <w:sz w:val="24"/>
          <w:szCs w:val="24"/>
          <w:highlight w:val="none"/>
        </w:rPr>
      </w:r>
      <w:r/>
    </w:p>
    <w:p>
      <w:pPr>
        <w:pStyle w:val="923"/>
        <w:ind w:left="420"/>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4.人员配置要求：</w:t>
      </w:r>
      <w:r>
        <w:rPr>
          <w:rFonts w:hint="eastAsia" w:ascii="宋体" w:hAnsi="宋体" w:cs="宋体"/>
          <w:b/>
          <w:bCs/>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本项目投标人需根据项目的专业特点组成项目组，并报拟派项目人员配置名单（不得含有返聘、临聘及已退休人员），拟派人员原则上不得变更。采购人有权根据工程特点要求中标单位配备符合项目需要的专业审核人员，中标单位须无条件服务采购人安排。</w:t>
      </w:r>
      <w:r>
        <w:rPr>
          <w:rFonts w:ascii="宋体" w:hAnsi="宋体" w:cs="宋体"/>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合同签订后，采购人有权对中标供应商的履约能力进行审查，在履行合同期限内，如发现中标供应商未能按照投标承诺提供相应人员服务的，则采购人有权依法解除协审服务合同，并通报行业主管部门或其他相关部门进行处理，并将相关情况报政府采购监督管理部门作为其虚假投标的证据，进行处理。</w:t>
      </w:r>
      <w:r>
        <w:rPr>
          <w:rFonts w:ascii="宋体" w:hAnsi="宋体" w:cs="宋体"/>
          <w:color w:val="000000"/>
          <w:spacing w:val="-1"/>
          <w:sz w:val="24"/>
          <w:szCs w:val="24"/>
          <w:highlight w:val="none"/>
        </w:rPr>
      </w:r>
      <w:r/>
    </w:p>
    <w:p>
      <w:pPr>
        <w:pStyle w:val="92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拟派项目人员资质及驻场要求具体为（最低人员数量配置要求）：</w:t>
      </w:r>
      <w:r>
        <w:rPr>
          <w:rFonts w:ascii="宋体" w:hAnsi="宋体" w:cs="宋体"/>
          <w:color w:val="000000"/>
          <w:spacing w:val="-1"/>
          <w:sz w:val="24"/>
          <w:szCs w:val="24"/>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9"/>
        <w:gridCol w:w="992"/>
        <w:gridCol w:w="1470"/>
        <w:gridCol w:w="1440"/>
        <w:gridCol w:w="2745"/>
        <w:gridCol w:w="2540"/>
      </w:tblGrid>
      <w:tr>
        <w:trPr>
          <w:cantSplit/>
          <w:trHeight w:val="418"/>
        </w:trPr>
        <w:tc>
          <w:tcPr>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采购包</w:t>
            </w:r>
            <w:r>
              <w:rPr>
                <w:rFonts w:ascii="宋体" w:hAnsi="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拟派总人员</w:t>
            </w:r>
            <w:r>
              <w:rPr>
                <w:rFonts w:ascii="宋体" w:hAnsi="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pStyle w:val="809"/>
              <w:jc w:val="center"/>
              <w:spacing w:line="400" w:lineRule="exact"/>
              <w:widowControl/>
              <w:rPr>
                <w:rFonts w:ascii="宋体" w:hAnsi="宋体" w:cs="宋体"/>
                <w:b/>
                <w:color w:val="000000"/>
                <w:sz w:val="24"/>
                <w:szCs w:val="24"/>
                <w:highlight w:val="none"/>
              </w:rPr>
            </w:pPr>
            <w:r>
              <w:rPr>
                <w:rFonts w:hint="eastAsia" w:ascii="宋体" w:hAnsi="宋体"/>
                <w:b/>
                <w:bCs/>
                <w:color w:val="000000"/>
                <w:sz w:val="24"/>
                <w:szCs w:val="24"/>
                <w:highlight w:val="none"/>
              </w:rPr>
              <w:t xml:space="preserve">一级注册造价工程师</w:t>
            </w:r>
            <w:r>
              <w:rPr>
                <w:rFonts w:ascii="宋体" w:hAnsi="宋体" w:cs="宋体"/>
                <w:b/>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2745" w:type="dxa"/>
            <w:vAlign w:val="center"/>
            <w:vMerge w:val="restart"/>
            <w:textDirection w:val="lrTb"/>
            <w:noWrap w:val="false"/>
          </w:tcPr>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常驻现场驻场时间</w:t>
            </w:r>
            <w:r>
              <w:rPr>
                <w:rFonts w:ascii="宋体" w:hAnsi="宋体" w:cs="宋体"/>
                <w:b/>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2540" w:type="dxa"/>
            <w:vAlign w:val="center"/>
            <w:vMerge w:val="restart"/>
            <w:textDirection w:val="lrTb"/>
            <w:noWrap w:val="false"/>
          </w:tcPr>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隐蔽工程、晚间施工等关键环节</w:t>
            </w:r>
            <w:r>
              <w:rPr>
                <w:rFonts w:ascii="宋体" w:hAnsi="宋体" w:cs="宋体"/>
                <w:b/>
                <w:color w:val="000000"/>
                <w:sz w:val="24"/>
                <w:szCs w:val="24"/>
                <w:highlight w:val="none"/>
              </w:rPr>
            </w:r>
            <w:r/>
          </w:p>
        </w:tc>
      </w:tr>
      <w:tr>
        <w:trPr>
          <w:cantSplit/>
          <w:trHeight w:val="418"/>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pStyle w:val="809"/>
              <w:jc w:val="left"/>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09"/>
              <w:jc w:val="left"/>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pStyle w:val="809"/>
              <w:jc w:val="center"/>
              <w:spacing w:line="4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常驻</w:t>
            </w:r>
            <w:r>
              <w:rPr>
                <w:rFonts w:hint="eastAsia" w:ascii="宋体" w:hAnsi="宋体" w:cs="宋体"/>
                <w:b/>
                <w:color w:val="000000"/>
                <w:sz w:val="24"/>
                <w:szCs w:val="24"/>
                <w:highlight w:val="none"/>
              </w:rPr>
            </w:r>
            <w:r/>
          </w:p>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项目负责人</w:t>
            </w:r>
            <w:r>
              <w:rPr>
                <w:rFonts w:ascii="宋体" w:hAnsi="宋体" w:cs="宋体"/>
                <w:b/>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1440" w:type="dxa"/>
            <w:vAlign w:val="center"/>
            <w:textDirection w:val="lrTb"/>
            <w:noWrap w:val="false"/>
          </w:tcPr>
          <w:p>
            <w:pPr>
              <w:pStyle w:val="809"/>
              <w:jc w:val="center"/>
              <w:spacing w:line="4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常驻</w:t>
            </w:r>
            <w:r>
              <w:rPr>
                <w:rFonts w:hint="eastAsia" w:ascii="宋体" w:hAnsi="宋体" w:cs="宋体"/>
                <w:b/>
                <w:color w:val="000000"/>
                <w:sz w:val="24"/>
                <w:szCs w:val="24"/>
                <w:highlight w:val="none"/>
              </w:rPr>
            </w:r>
            <w:r/>
          </w:p>
          <w:p>
            <w:pPr>
              <w:pStyle w:val="809"/>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协审人员</w:t>
            </w:r>
            <w:r>
              <w:rPr>
                <w:rFonts w:ascii="宋体" w:hAnsi="宋体" w:cs="宋体"/>
                <w:b/>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2745" w:type="dxa"/>
            <w:vAlign w:val="center"/>
            <w:vMerge w:val="continue"/>
            <w:textDirection w:val="lrTb"/>
            <w:noWrap w:val="false"/>
          </w:tcPr>
          <w:p>
            <w:pPr>
              <w:pStyle w:val="809"/>
              <w:jc w:val="center"/>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2540" w:type="dxa"/>
            <w:vAlign w:val="center"/>
            <w:vMerge w:val="continue"/>
            <w:textDirection w:val="lrTb"/>
            <w:noWrap w:val="false"/>
          </w:tcPr>
          <w:p>
            <w:pPr>
              <w:pStyle w:val="809"/>
              <w:jc w:val="center"/>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09"/>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09"/>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r>
        <w:trPr>
          <w:trHeight w:val="109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09"/>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09"/>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r>
        <w:trPr>
          <w:trHeight w:val="122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809"/>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09"/>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809"/>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bl>
    <w:p>
      <w:pPr>
        <w:pStyle w:val="809"/>
        <w:rPr>
          <w:color w:val="000000"/>
          <w:highlight w:val="none"/>
        </w:rPr>
      </w:pPr>
      <w:r>
        <w:rPr>
          <w:color w:val="000000"/>
          <w:highlight w:val="none"/>
        </w:rPr>
      </w:r>
      <w:r/>
    </w:p>
    <w:p>
      <w:pPr>
        <w:pStyle w:val="923"/>
        <w:ind w:left="0" w:firstLine="478"/>
        <w:spacing w:line="460" w:lineRule="exact"/>
        <w:rPr>
          <w:rFonts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5.服务成果要求：</w:t>
      </w:r>
      <w:r>
        <w:rPr>
          <w:rFonts w:hint="eastAsia" w:ascii="宋体" w:hAnsi="宋体" w:cs="宋体"/>
          <w:color w:val="000000"/>
          <w:spacing w:val="-1"/>
          <w:sz w:val="24"/>
          <w:szCs w:val="24"/>
          <w:highlight w:val="none"/>
        </w:rPr>
        <w:t xml:space="preserve">编制结算审计报告,共计1套（一式五份交付），结算审计报告应符合盐城市审计局审计相关要求。</w:t>
      </w:r>
      <w:r>
        <w:rPr>
          <w:rFonts w:ascii="宋体" w:hAnsi="宋体" w:cs="宋体"/>
          <w:color w:val="000000"/>
          <w:spacing w:val="-1"/>
          <w:sz w:val="24"/>
          <w:szCs w:val="24"/>
          <w:highlight w:val="none"/>
        </w:rPr>
      </w:r>
      <w:r/>
    </w:p>
    <w:p>
      <w:pPr>
        <w:pStyle w:val="923"/>
        <w:ind w:left="0"/>
        <w:rPr>
          <w:rStyle w:val="924"/>
          <w:rFonts w:hint="eastAsia" w:ascii="宋体" w:hAnsi="宋体" w:cs="宋体"/>
          <w:b/>
          <w:color w:val="000000"/>
          <w:sz w:val="24"/>
          <w:szCs w:val="24"/>
          <w:highlight w:val="none"/>
        </w:rPr>
      </w:pPr>
      <w:r>
        <w:rPr>
          <w:rStyle w:val="924"/>
          <w:rFonts w:hint="eastAsia" w:ascii="宋体" w:hAnsi="宋体" w:cs="宋体"/>
          <w:b/>
          <w:color w:val="000000"/>
          <w:sz w:val="24"/>
          <w:szCs w:val="24"/>
          <w:highlight w:val="none"/>
        </w:rPr>
        <w:t xml:space="preserve">三、合同履行期限（服务期）：</w:t>
      </w:r>
      <w:r>
        <w:rPr>
          <w:rStyle w:val="924"/>
          <w:rFonts w:hint="eastAsia" w:ascii="宋体" w:hAnsi="宋体" w:cs="宋体"/>
          <w:b/>
          <w:color w:val="000000"/>
          <w:sz w:val="24"/>
          <w:szCs w:val="24"/>
          <w:highlight w:val="none"/>
        </w:rPr>
      </w:r>
      <w:r/>
    </w:p>
    <w:p>
      <w:pPr>
        <w:pStyle w:val="809"/>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施工工期约为100天，具体服务时间从合同签订之日起至整个项目交工验收后60日内，移交全部审计资料至采购人为止。</w:t>
      </w:r>
      <w:r>
        <w:rPr>
          <w:rFonts w:hint="eastAsia" w:ascii="宋体" w:hAnsi="宋体" w:cs="宋体"/>
          <w:color w:val="000000"/>
          <w:sz w:val="24"/>
          <w:szCs w:val="24"/>
          <w:highlight w:val="none"/>
        </w:rPr>
      </w:r>
      <w:r/>
    </w:p>
    <w:p>
      <w:pPr>
        <w:pStyle w:val="923"/>
        <w:ind w:left="0"/>
        <w:rPr>
          <w:rStyle w:val="924"/>
          <w:rFonts w:hint="eastAsia" w:ascii="宋体" w:hAnsi="宋体" w:cs="宋体"/>
          <w:b/>
          <w:color w:val="000000"/>
          <w:sz w:val="24"/>
          <w:szCs w:val="24"/>
          <w:highlight w:val="none"/>
        </w:rPr>
      </w:pPr>
      <w:r>
        <w:rPr>
          <w:rStyle w:val="924"/>
          <w:rFonts w:hint="eastAsia" w:ascii="宋体" w:hAnsi="宋体" w:cs="宋体"/>
          <w:b/>
          <w:color w:val="000000"/>
          <w:sz w:val="24"/>
          <w:szCs w:val="24"/>
          <w:highlight w:val="none"/>
        </w:rPr>
        <w:t xml:space="preserve">四、服务内容</w:t>
      </w:r>
      <w:r>
        <w:rPr>
          <w:rStyle w:val="924"/>
          <w:rFonts w:hint="eastAsia" w:ascii="宋体" w:hAnsi="宋体" w:cs="宋体"/>
          <w:b/>
          <w:color w:val="000000"/>
          <w:sz w:val="24"/>
          <w:szCs w:val="24"/>
          <w:highlight w:val="none"/>
        </w:rPr>
      </w:r>
      <w:r/>
    </w:p>
    <w:p>
      <w:pPr>
        <w:pStyle w:val="923"/>
        <w:ind w:left="0" w:firstLine="478"/>
        <w:spacing w:line="440" w:lineRule="exact"/>
        <w:rPr>
          <w:rFonts w:hint="eastAsia"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1.审计内容：</w:t>
      </w:r>
      <w:r>
        <w:rPr>
          <w:rFonts w:hint="eastAsia" w:ascii="宋体" w:hAnsi="宋体" w:cs="宋体"/>
          <w:color w:val="000000"/>
          <w:sz w:val="24"/>
          <w:szCs w:val="24"/>
          <w:highlight w:val="none"/>
          <w:lang w:eastAsia="zh-CN"/>
        </w:rPr>
        <w:t xml:space="preserve">2026年盐城普通国省道路面预防和修复养护工程全过程造价控制及竣工决算审计</w:t>
      </w:r>
      <w:r>
        <w:rPr>
          <w:rFonts w:hint="eastAsia" w:ascii="宋体" w:hAnsi="宋体" w:cs="宋体"/>
          <w:color w:val="000000"/>
          <w:spacing w:val="-1"/>
          <w:sz w:val="24"/>
          <w:szCs w:val="24"/>
          <w:highlight w:val="none"/>
        </w:rPr>
        <w:t xml:space="preserve">，主要服务内容包括（但不限于）：全过程造价控制审核、工程竣工结算审核、出具审核报告、审核资料的归档等。</w:t>
      </w:r>
      <w:r>
        <w:rPr>
          <w:rFonts w:hint="eastAsia" w:ascii="宋体" w:hAnsi="宋体" w:cs="宋体"/>
          <w:color w:val="000000"/>
          <w:spacing w:val="-1"/>
          <w:sz w:val="24"/>
          <w:szCs w:val="24"/>
          <w:highlight w:val="none"/>
        </w:rPr>
      </w:r>
      <w:r/>
    </w:p>
    <w:p>
      <w:pPr>
        <w:pStyle w:val="923"/>
        <w:ind w:left="0" w:firstLine="480"/>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2.协审内容：</w:t>
      </w:r>
      <w:r>
        <w:rPr>
          <w:rFonts w:hint="eastAsia" w:ascii="宋体" w:hAnsi="宋体" w:cs="宋体"/>
          <w:b/>
          <w:bCs/>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1）制定造价控制的实施细则，确定控制目标；</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2）参与工程造价控制有关的工作会议；</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3）负责对施工单位上报的每月完成工作量月报进行审核，编制标段月报或者项目月报，作为支付当月进度款的依据；</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4）项目承包方提出索赔时，为采购人提供咨询意见；</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5）根据需要，协助采购人及时审核设计变更、现场签证等发生的费用，相应调整造价控制目标；并向采购人提供造价控制动态分析报告；</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6）及时核定分阶段完工的分部工程结算；完成所委托项目的结算审核工作，提供整套结算报告交采购人归档；</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7）通过对送审竣工结算的严格审计，出具工程竣工结算初审意见，同招标人沟通并同施工单位谈判达成一致意见后，形成三方定案成果文件，出具工程竣工结算审计报告。</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8）配合政府审计等相关协审工作。</w:t>
      </w:r>
      <w:r>
        <w:rPr>
          <w:rFonts w:hint="eastAsia" w:ascii="宋体" w:hAnsi="宋体" w:cs="宋体"/>
          <w:color w:val="000000"/>
          <w:spacing w:val="-1"/>
          <w:sz w:val="24"/>
          <w:szCs w:val="24"/>
          <w:highlight w:val="none"/>
        </w:rPr>
      </w:r>
      <w:r/>
    </w:p>
    <w:p>
      <w:pPr>
        <w:pStyle w:val="923"/>
        <w:ind w:left="0" w:firstLine="480"/>
        <w:spacing w:line="440" w:lineRule="exact"/>
        <w:rPr>
          <w:rFonts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3.跟审单位现场跟审要求：</w:t>
      </w:r>
      <w:r>
        <w:rPr>
          <w:rFonts w:ascii="宋体" w:hAnsi="宋体" w:cs="宋体"/>
          <w:b/>
          <w:bCs/>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1）跟审单位人员配置：在合同有效期内，跟审单位须确保每周至少有四名具备相应资质的审计人员全职驻场进行跟踪审计工作。</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跟审人员名单与资质：跟审单位应在合同生效后三日内，向采购人提交常驻审计人员名单及其从业资质证明文件（如相关执业证书复印件），并经采购人书面确认。如需更换驻场人员，跟审单位应至少提前七个工作日书面通知采购人，并提供拟替换人员的资质证明，获得采购人书面同意后方可更换。</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跟审人员考勤：施工工期约为100天，跟审单位驻场人员应每日到场不少于7小时，严格遵守采购人的现场管理制度，并每日在采购人指定的考勤签到表上进行实名登记。考勤记录将作为判定跟审单位是否满足人员配置要求的主要依据。</w:t>
      </w:r>
      <w:r>
        <w:rPr>
          <w:rFonts w:hint="eastAsia" w:ascii="宋体" w:hAnsi="宋体" w:cs="宋体"/>
          <w:color w:val="000000"/>
          <w:spacing w:val="-1"/>
          <w:sz w:val="24"/>
          <w:szCs w:val="24"/>
          <w:highlight w:val="none"/>
        </w:rPr>
      </w:r>
      <w:r/>
    </w:p>
    <w:p>
      <w:pPr>
        <w:pStyle w:val="923"/>
        <w:ind w:left="0" w:firstLine="480"/>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4.跟审工作进度报告：</w:t>
      </w:r>
      <w:r>
        <w:rPr>
          <w:rFonts w:hint="eastAsia" w:ascii="宋体" w:hAnsi="宋体" w:cs="宋体"/>
          <w:b/>
          <w:bCs/>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跟审报告周期与时限：跟审单位须于每月五日（如遇节假日则顺延至下一个工作日），向采购人提交当月（上月一日至上月月末）的审计工作进度书面报告（以下简称“月报”）。</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1）跟审报告内容：应至少包括月报内容；</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2）当月完成的主要审计工作内容、成果及关键发现；</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3）计划完成情况与实际完成情况的对比分析（需对照双方确认的月度/阶段性工作计划）；</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4）存在的问题、风险及解决方案/建议；</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5）下月工作计划及需采购人协调的事项；</w:t>
      </w:r>
      <w:r>
        <w:rPr>
          <w:rFonts w:hint="eastAsia" w:ascii="宋体" w:hAnsi="宋体" w:cs="宋体"/>
          <w:color w:val="000000"/>
          <w:spacing w:val="-1"/>
          <w:sz w:val="24"/>
          <w:szCs w:val="24"/>
          <w:highlight w:val="none"/>
        </w:rPr>
      </w:r>
      <w:r/>
    </w:p>
    <w:p>
      <w:pPr>
        <w:pStyle w:val="923"/>
        <w:ind w:left="0" w:firstLine="476"/>
        <w:spacing w:line="440" w:lineRule="exact"/>
        <w:widowControl/>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6）当月的现场人员考勤汇总表（需负责人签字并加盖跟审单位公章）。</w:t>
      </w:r>
      <w:r>
        <w:rPr>
          <w:rFonts w:hint="eastAsia" w:ascii="宋体" w:hAnsi="宋体" w:cs="宋体"/>
          <w:color w:val="000000"/>
          <w:spacing w:val="-1"/>
          <w:sz w:val="24"/>
          <w:szCs w:val="24"/>
          <w:highlight w:val="none"/>
        </w:rPr>
      </w:r>
      <w:r/>
    </w:p>
    <w:p>
      <w:pPr>
        <w:pStyle w:val="809"/>
        <w:spacing w:line="440" w:lineRule="exact"/>
        <w:rPr>
          <w:rStyle w:val="924"/>
          <w:rFonts w:ascii="黑体" w:hAnsi="黑体" w:eastAsia="黑体" w:cs="宋体"/>
          <w:b/>
          <w:color w:val="000000"/>
          <w:sz w:val="24"/>
          <w:szCs w:val="24"/>
          <w:highlight w:val="none"/>
        </w:rPr>
      </w:pPr>
      <w:r>
        <w:rPr>
          <w:rStyle w:val="924"/>
          <w:rFonts w:hint="eastAsia" w:ascii="黑体" w:hAnsi="黑体" w:eastAsia="黑体" w:cs="宋体"/>
          <w:b/>
          <w:color w:val="000000"/>
          <w:sz w:val="24"/>
          <w:szCs w:val="24"/>
          <w:highlight w:val="none"/>
        </w:rPr>
        <w:t xml:space="preserve">五、技术方案要求</w:t>
      </w:r>
      <w:r>
        <w:rPr>
          <w:rStyle w:val="924"/>
          <w:rFonts w:ascii="黑体" w:hAnsi="黑体" w:eastAsia="黑体" w:cs="宋体"/>
          <w:b/>
          <w:color w:val="000000"/>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技术服务方案整体要求内容准确、全面，结合本项目特征，具备可操作性、合规性、安全性、经济性、针对性等，方案要点如下，具体量化指标可参考：</w:t>
      </w:r>
      <w:r>
        <w:rPr>
          <w:rFonts w:hint="eastAsia" w:ascii="宋体" w:hAnsi="宋体" w:cs="宋体"/>
          <w:color w:val="000000"/>
          <w:spacing w:val="-1"/>
          <w:sz w:val="24"/>
          <w:szCs w:val="24"/>
          <w:highlight w:val="none"/>
        </w:rPr>
      </w:r>
      <w:r/>
    </w:p>
    <w:p>
      <w:pPr>
        <w:pStyle w:val="923"/>
        <w:ind w:left="0" w:firstLine="478"/>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5.1协审实施大纲</w:t>
      </w:r>
      <w:r>
        <w:rPr>
          <w:rFonts w:hint="eastAsia" w:ascii="宋体" w:hAnsi="宋体" w:cs="宋体"/>
          <w:b/>
          <w:bCs/>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本项目涉及到盐城市公路事业发展中心对2026年盐城境内的公路日常巡查、桥梁日常巡查、边坡整修、路肩割草、路面清扫保洁等基价类项目和路基、路面、桥梁、沿线设施、绿化等养护单价类项目以及应急养护工程进行跟踪审计、竣工决算审计工作。供应商需根据服务内容制定合理的实施大纲。制定内容至少要包括以下几个方面(1)协审人员管理；（2）造价控制流程；（3）造价审核方法；（4）关键环节控制；(5)协审质量及效率保证措施；(6)档案管理；(7)廉洁管理。</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5.1.1协审人员管理</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按项目各个采购包规模与专业需求配备公路（道路）、桥梁等专职造价协审人员，实行项目负责人负责制。协审人员须具备相应执业、从业资格，熟悉计价规范、合同、图纸及现场管理。人员一经确定，原则上不得随意更换；确需调整须书面报批并完成工作交接。协审人员与施工、监理、供应商等存在利害关系可能影响公正审核的，必须主动申请回避。</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5.1.2造价控制流程</w:t>
      </w:r>
      <w:r>
        <w:rPr>
          <w:rFonts w:hint="eastAsia" w:ascii="宋体" w:hAnsi="宋体" w:cs="宋体"/>
          <w:color w:val="000000"/>
          <w:spacing w:val="-1"/>
          <w:sz w:val="24"/>
          <w:szCs w:val="24"/>
          <w:highlight w:val="none"/>
        </w:rPr>
      </w:r>
      <w:r/>
    </w:p>
    <w:p>
      <w:pPr>
        <w:pStyle w:val="809"/>
        <w:ind w:firstLine="480"/>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实行全过程、闭环式、可追溯造价控制，做到先审核后实施、先审批后支付、先核对后结算。坚持依据充分、程序合规、计量准确、计价合理、资料完整。所有流程节点留痕管理：签字、盖章、纪要、影像、台账齐全。</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5.1.3造价审核方法</w:t>
      </w:r>
      <w:r>
        <w:rPr>
          <w:rFonts w:hint="eastAsia" w:ascii="宋体" w:hAnsi="宋体" w:cs="宋体"/>
          <w:color w:val="000000"/>
          <w:spacing w:val="-1"/>
          <w:sz w:val="24"/>
          <w:szCs w:val="24"/>
          <w:highlight w:val="none"/>
        </w:rPr>
      </w:r>
      <w:r/>
    </w:p>
    <w:p>
      <w:pPr>
        <w:pStyle w:val="809"/>
        <w:ind w:firstLine="480"/>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坚持合法合规、依据充分、客观公正、数据可溯。采用多种方法组合使用，根据审核对象、资料条件、风险等级灵活选用。所有审核方法执行过程留痕、结果可复核、问题可追溯。</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5.1.4关键环节控制</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坚持事前控制、过程把关、闭环管理，对造价影响大、风险高、易产生争议的环节实行重点管控，做到程序合规、依据充分、签字齐全、现场核实、不留后患。</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5.1.5协审质量及效率保证措施</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质量保证措施：</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①严格执行三级复核制度：实行初审→专业复核→项目负责人终审，层层把关，确保工程量、单价、取费、资料完整无误。</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②统一审核标准与口径：执行统一的计价依据、取费标准、材料价格、组价原则，做到同项目、同标准、同口径。</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③依据充分、成果可追溯：所有审核必须有合同、图纸、变更、签证、认价单、现场记录等支撑，无依据不审核、无依据不出结论。</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效率保证措施</w:t>
      </w:r>
      <w:r>
        <w:rPr>
          <w:rFonts w:hint="eastAsia" w:ascii="宋体" w:hAnsi="宋体" w:cs="宋体"/>
          <w:color w:val="000000"/>
          <w:sz w:val="24"/>
          <w:szCs w:val="24"/>
          <w:highlight w:val="none"/>
        </w:rPr>
        <w:t xml:space="preserve">：</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①明确时限管理：资料齐全后严格按约定时限完成审核，实行限时办结、超时预警。</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②一次性告知补正资料：资料接收时一次性检查完整性，不反复、不遗漏、不拖延，减少来回补件。</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③台账化、流程化推进：建立项目进度台账，明确节点、责任人、完成情况，实现全过程可跟踪、可督促。</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5.1.6档案管理</w:t>
      </w:r>
      <w:r>
        <w:rPr>
          <w:rFonts w:hint="eastAsia" w:ascii="宋体" w:hAnsi="宋体" w:cs="宋体"/>
          <w:color w:val="000000"/>
          <w:spacing w:val="-1"/>
          <w:sz w:val="24"/>
          <w:szCs w:val="24"/>
          <w:highlight w:val="none"/>
        </w:rPr>
      </w:r>
      <w:r/>
    </w:p>
    <w:p>
      <w:pPr>
        <w:pStyle w:val="809"/>
        <w:ind w:firstLine="480"/>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遵循谁承办、谁整理、谁归档原则，做到一案一档、资料齐全、分类清晰、电子+纸质双归档、可检索、可追溯。档案必须真实、完整、规范、安全，满足审核、复查、审计、检查、验收要求。</w:t>
      </w:r>
      <w:r>
        <w:rPr>
          <w:rFonts w:ascii="宋体" w:hAnsi="宋体" w:cs="宋体"/>
          <w:color w:val="000000"/>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5.1.7廉洁管理</w:t>
      </w:r>
      <w:r>
        <w:rPr>
          <w:rFonts w:hint="eastAsia" w:ascii="宋体" w:hAnsi="宋体" w:cs="宋体"/>
          <w:color w:val="000000"/>
          <w:spacing w:val="-1"/>
          <w:sz w:val="24"/>
          <w:szCs w:val="24"/>
          <w:highlight w:val="none"/>
        </w:rPr>
      </w:r>
      <w:r/>
    </w:p>
    <w:p>
      <w:pPr>
        <w:pStyle w:val="809"/>
        <w:ind w:firstLine="480"/>
        <w:spacing w:line="440" w:lineRule="exact"/>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坚持依法依规、客观公正、廉洁自律、诚实守信原则，严格遵守国家法律法规及廉政建设各项规定，杜绝一切违规违纪行为，确保协审工作干净、公正、安全。</w:t>
      </w:r>
      <w:r>
        <w:rPr>
          <w:rFonts w:hint="eastAsia" w:ascii="宋体" w:hAnsi="宋体" w:cs="宋体"/>
          <w:color w:val="000000"/>
          <w:spacing w:val="-1"/>
          <w:sz w:val="24"/>
          <w:szCs w:val="24"/>
          <w:highlight w:val="none"/>
        </w:rPr>
      </w:r>
      <w:r/>
    </w:p>
    <w:p>
      <w:pPr>
        <w:pStyle w:val="923"/>
        <w:ind w:left="0" w:firstLine="478"/>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5.2思路及建议</w:t>
      </w:r>
      <w:r>
        <w:rPr>
          <w:rFonts w:hint="eastAsia" w:ascii="宋体" w:hAnsi="宋体" w:cs="宋体"/>
          <w:b/>
          <w:bCs/>
          <w:color w:val="000000"/>
          <w:spacing w:val="-1"/>
          <w:sz w:val="24"/>
          <w:szCs w:val="24"/>
          <w:highlight w:val="none"/>
        </w:rPr>
      </w:r>
      <w:r/>
    </w:p>
    <w:p>
      <w:pPr>
        <w:pStyle w:val="923"/>
        <w:ind w:left="0" w:firstLine="476"/>
        <w:widowControl/>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结合同类工程的专业特点，针对本项目各个采购包的实施要求，对有可能的迁移、路基、预制箱梁及安装、沥青面层、附属工程（导改、照明、智能化、交安、交通导改、声屏障、绿化）等专业，剖析本次招标项目的实施具体要求至少要包括四个方面:(1)审核重点；(2)审核难点，并提出本项目；(3)造价控制精细化管理思路；(4)合理化建议。</w:t>
      </w:r>
      <w:r>
        <w:rPr>
          <w:rFonts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5.2.1审核重点</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坚持依据为先、程序合规、量价准确、风险可控，聚焦高风险、高金额、高频次事项，做到重点突出、逐项核查、不留死角、有据可查。</w:t>
      </w:r>
      <w:r>
        <w:rPr>
          <w:rFonts w:hint="eastAsia" w:ascii="宋体" w:hAnsi="宋体" w:cs="宋体"/>
          <w:color w:val="000000"/>
          <w:spacing w:val="-1"/>
          <w:sz w:val="24"/>
          <w:szCs w:val="24"/>
          <w:highlight w:val="none"/>
        </w:rPr>
      </w:r>
      <w:r/>
    </w:p>
    <w:p>
      <w:pPr>
        <w:pStyle w:val="923"/>
        <w:ind w:left="0" w:firstLine="476"/>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5.2.2审核难点</w:t>
      </w:r>
      <w:r>
        <w:rPr>
          <w:rFonts w:ascii="宋体" w:hAnsi="宋体" w:cs="宋体"/>
          <w:color w:val="000000"/>
          <w:spacing w:val="-1"/>
          <w:sz w:val="24"/>
          <w:szCs w:val="24"/>
          <w:highlight w:val="none"/>
        </w:rPr>
      </w:r>
      <w:r/>
    </w:p>
    <w:p>
      <w:pPr>
        <w:pStyle w:val="923"/>
        <w:ind w:left="0" w:firstLine="476"/>
        <w:widowControl/>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清单漏项、项目特征描述不清，不平衡报价难以识别，合同条款约定不严谨。变更签证程序不规范、先施工后补签，真实性、必要性难以核实；隐蔽工程事后无法复核。新型材料、定制设备价格不透明，市场价与信息价差异大，价格认定争议多。施工、监理、验收资料缺失或前后矛盾，造价追溯与审核依据不足。</w:t>
      </w:r>
      <w:r>
        <w:rPr>
          <w:rFonts w:hint="eastAsia" w:ascii="宋体" w:hAnsi="宋体" w:cs="宋体"/>
          <w:color w:val="000000"/>
          <w:spacing w:val="-1"/>
          <w:sz w:val="24"/>
          <w:szCs w:val="24"/>
          <w:highlight w:val="none"/>
        </w:rPr>
      </w:r>
      <w:r/>
    </w:p>
    <w:p>
      <w:pPr>
        <w:pStyle w:val="923"/>
        <w:ind w:left="0" w:firstLine="476"/>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5.2.3 造价控制精细化管理思路</w:t>
      </w:r>
      <w:r>
        <w:rPr>
          <w:rFonts w:ascii="宋体" w:hAnsi="宋体" w:cs="宋体"/>
          <w:color w:val="000000"/>
          <w:spacing w:val="-1"/>
          <w:sz w:val="24"/>
          <w:szCs w:val="24"/>
          <w:highlight w:val="none"/>
        </w:rPr>
      </w:r>
      <w:r/>
    </w:p>
    <w:p>
      <w:pPr>
        <w:pStyle w:val="923"/>
        <w:ind w:left="0" w:firstLine="480"/>
        <w:widowControl/>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以概算、预算为刚性控制红线，分解各阶段造价指标，落实限额控制。建立动态投资台账，实时对比偏差，做到早预警、早纠偏。</w:t>
      </w:r>
      <w:r>
        <w:rPr>
          <w:rFonts w:hint="eastAsia" w:ascii="宋体" w:hAnsi="宋体" w:cs="宋体"/>
          <w:color w:val="000000"/>
          <w:spacing w:val="-1"/>
          <w:sz w:val="24"/>
          <w:szCs w:val="24"/>
          <w:highlight w:val="none"/>
        </w:rPr>
      </w:r>
      <w:r/>
    </w:p>
    <w:p>
      <w:pPr>
        <w:pStyle w:val="92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5.2.4 合理化建议</w:t>
      </w:r>
      <w:r>
        <w:rPr>
          <w:rFonts w:ascii="宋体" w:hAnsi="宋体" w:cs="宋体"/>
          <w:color w:val="000000"/>
          <w:sz w:val="24"/>
          <w:szCs w:val="24"/>
          <w:highlight w:val="none"/>
        </w:rPr>
      </w:r>
      <w:r/>
    </w:p>
    <w:p>
      <w:pPr>
        <w:pStyle w:val="92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 强化前期策划精准度：完善可研、初设评审机制，邀请造价、技术、审计多方参与，明确项目功能定位，细化投资估算指标，将概算作为刚性控制红线，杜绝“边设计、边决策、边调整”，从源头减少后期变更。</w:t>
      </w:r>
      <w:r>
        <w:rPr>
          <w:rFonts w:ascii="宋体" w:hAnsi="宋体" w:cs="宋体"/>
          <w:color w:val="000000"/>
          <w:sz w:val="24"/>
          <w:szCs w:val="24"/>
          <w:highlight w:val="none"/>
        </w:rPr>
      </w:r>
      <w:r/>
    </w:p>
    <w:p>
      <w:pPr>
        <w:pStyle w:val="92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提前介入清单编制：设计阶段同步启动清单编制筹备工作，加强图纸会审与清单预审，明确项目特征、计量规则，避免清单漏项、歧义。</w:t>
      </w:r>
      <w:r>
        <w:rPr>
          <w:rFonts w:ascii="宋体" w:hAnsi="宋体" w:cs="宋体"/>
          <w:color w:val="000000"/>
          <w:sz w:val="24"/>
          <w:szCs w:val="24"/>
          <w:highlight w:val="none"/>
        </w:rPr>
      </w:r>
      <w:r/>
    </w:p>
    <w:p>
      <w:pPr>
        <w:pStyle w:val="923"/>
        <w:ind w:left="0" w:firstLine="476"/>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5.3案例总结报告</w:t>
      </w:r>
      <w:r>
        <w:rPr>
          <w:rFonts w:hint="eastAsia" w:ascii="宋体" w:hAnsi="宋体" w:cs="宋体"/>
          <w:b/>
          <w:bCs/>
          <w:color w:val="000000"/>
          <w:spacing w:val="-1"/>
          <w:sz w:val="24"/>
          <w:szCs w:val="24"/>
          <w:highlight w:val="none"/>
        </w:rPr>
      </w:r>
      <w:r/>
    </w:p>
    <w:p>
      <w:pPr>
        <w:pStyle w:val="923"/>
        <w:ind w:left="0" w:firstLine="476"/>
        <w:rPr>
          <w:rFonts w:hint="eastAsia" w:ascii="宋体" w:hAnsi="宋体"/>
          <w:color w:val="000000"/>
          <w:sz w:val="24"/>
          <w:szCs w:val="24"/>
          <w:highlight w:val="none"/>
        </w:rPr>
      </w:pPr>
      <w:r>
        <w:rPr>
          <w:rFonts w:hint="eastAsia" w:ascii="宋体" w:hAnsi="宋体"/>
          <w:color w:val="000000"/>
          <w:sz w:val="24"/>
          <w:szCs w:val="24"/>
          <w:highlight w:val="none"/>
        </w:rPr>
        <w:t xml:space="preserve">以某个已完成的同类项目跟踪审核、全过程跟踪审核（含结算审核）、结算审核为例，如实总结工程相应环节好的</w:t>
      </w:r>
      <w:bookmarkStart w:id="182" w:name="OLE_LINK45"/>
      <w:r>
        <w:rPr>
          <w:rFonts w:hint="eastAsia" w:ascii="宋体" w:hAnsi="宋体"/>
          <w:color w:val="000000"/>
          <w:sz w:val="24"/>
          <w:szCs w:val="24"/>
          <w:highlight w:val="none"/>
        </w:rPr>
        <w:t xml:space="preserve">做法</w:t>
      </w:r>
      <w:bookmarkEnd w:id="182"/>
      <w:r>
        <w:rPr>
          <w:rFonts w:hint="eastAsia" w:ascii="宋体" w:hAnsi="宋体"/>
          <w:color w:val="000000"/>
          <w:sz w:val="24"/>
          <w:szCs w:val="24"/>
          <w:highlight w:val="none"/>
        </w:rPr>
        <w:t xml:space="preserve">，制定总结报告内容至少要包括四个方面：（1）概算控制；（2）招标控制价审核；（3）项目变更、签证审核；（4）工程结算审核。</w:t>
      </w:r>
      <w:r>
        <w:rPr>
          <w:rFonts w:hint="eastAsia" w:ascii="宋体" w:hAnsi="宋体"/>
          <w:color w:val="000000"/>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5.3.1</w:t>
      </w:r>
      <w:r>
        <w:rPr>
          <w:rFonts w:hint="eastAsia" w:ascii="宋体" w:hAnsi="宋体"/>
          <w:color w:val="000000"/>
          <w:sz w:val="24"/>
          <w:szCs w:val="24"/>
          <w:highlight w:val="none"/>
        </w:rPr>
        <w:t xml:space="preserve">概算控制</w:t>
      </w:r>
      <w:r>
        <w:rPr>
          <w:rFonts w:hint="eastAsia" w:ascii="宋体" w:hAnsi="宋体" w:cs="宋体"/>
          <w:color w:val="000000"/>
          <w:spacing w:val="-1"/>
          <w:sz w:val="24"/>
          <w:szCs w:val="24"/>
          <w:highlight w:val="none"/>
        </w:rPr>
      </w:r>
      <w:r/>
    </w:p>
    <w:p>
      <w:pPr>
        <w:pStyle w:val="809"/>
        <w:ind w:firstLine="480"/>
        <w:jc w:val="left"/>
        <w:widowControl/>
        <w:rPr>
          <w:rFonts w:hint="eastAsia" w:ascii="宋体" w:hAnsi="宋体" w:cs="宋体"/>
          <w:color w:val="000000"/>
          <w:spacing w:val="-1"/>
          <w:sz w:val="24"/>
          <w:szCs w:val="24"/>
          <w:highlight w:val="none"/>
        </w:rPr>
      </w:pPr>
      <w:r>
        <w:rPr>
          <w:rFonts w:hint="eastAsia" w:ascii="宋体" w:hAnsi="宋体"/>
          <w:color w:val="000000"/>
          <w:sz w:val="24"/>
          <w:szCs w:val="24"/>
          <w:highlight w:val="none"/>
        </w:rPr>
        <w:t xml:space="preserve">将概算作为项目投资的刚性控制红线，贯穿项目决策、设计、招标、施工、竣工决算全生命周期，任何环节不得擅自突破概算，确需调整的，必须严格履行审批程序，严禁“先突破、后审批”。</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5.3.2</w:t>
      </w:r>
      <w:r>
        <w:rPr>
          <w:rFonts w:hint="eastAsia" w:ascii="宋体" w:hAnsi="宋体"/>
          <w:color w:val="000000"/>
          <w:sz w:val="24"/>
          <w:szCs w:val="24"/>
          <w:highlight w:val="none"/>
        </w:rPr>
        <w:t xml:space="preserve">招标控制价审核</w:t>
      </w:r>
      <w:r>
        <w:rPr>
          <w:rFonts w:hint="eastAsia" w:ascii="宋体" w:hAnsi="宋体" w:cs="宋体"/>
          <w:color w:val="000000"/>
          <w:spacing w:val="-1"/>
          <w:sz w:val="24"/>
          <w:szCs w:val="24"/>
          <w:highlight w:val="none"/>
        </w:rPr>
      </w:r>
      <w:r/>
    </w:p>
    <w:p>
      <w:pPr>
        <w:pStyle w:val="923"/>
        <w:ind w:left="0" w:firstLine="480"/>
        <w:rPr>
          <w:rFonts w:hint="eastAsia" w:ascii="宋体" w:hAnsi="宋体" w:cs="宋体"/>
          <w:color w:val="000000"/>
          <w:spacing w:val="-1"/>
          <w:sz w:val="24"/>
          <w:szCs w:val="24"/>
          <w:highlight w:val="none"/>
        </w:rPr>
      </w:pPr>
      <w:r>
        <w:rPr>
          <w:rFonts w:hint="eastAsia" w:ascii="宋体" w:hAnsi="宋体"/>
          <w:color w:val="000000"/>
          <w:sz w:val="24"/>
          <w:szCs w:val="24"/>
          <w:highlight w:val="none"/>
        </w:rPr>
        <w:t xml:space="preserve">招标控制价审核需坚守概算刚性约束，以批准的项目概算为核心管控上限，严格遵循现行计价规范、定额标准及项目相关约定，秉持“合法合规、精准严谨、闭环可追溯”原则，杜绝违规计价、虚增费用，确保招标控制价科学合理，为招投标工作提供合规依据。</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5.3.3</w:t>
      </w:r>
      <w:r>
        <w:rPr>
          <w:rFonts w:hint="eastAsia" w:ascii="宋体" w:hAnsi="宋体"/>
          <w:color w:val="000000"/>
          <w:sz w:val="24"/>
          <w:szCs w:val="24"/>
          <w:highlight w:val="none"/>
        </w:rPr>
        <w:t xml:space="preserve">项目变更、签证审核</w:t>
      </w:r>
      <w:r>
        <w:rPr>
          <w:rFonts w:hint="eastAsia" w:ascii="宋体" w:hAnsi="宋体" w:cs="宋体"/>
          <w:color w:val="000000"/>
          <w:spacing w:val="-1"/>
          <w:sz w:val="24"/>
          <w:szCs w:val="24"/>
          <w:highlight w:val="none"/>
        </w:rPr>
      </w:r>
      <w:r/>
    </w:p>
    <w:p>
      <w:pPr>
        <w:pStyle w:val="923"/>
        <w:ind w:left="0"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变更、签证审核需坚守“概算刚性约束、先审批后实施、真实合规、闭环可追溯”原则，贯穿变更签证提出、审批、实施、验收、计价全流程，严控不合理变更、虚假签证，防范因变更签证导致的概算超支、审计争议，确保变更签证符合项目实际需求和造价管控要求。</w:t>
      </w:r>
      <w:r>
        <w:rPr>
          <w:rFonts w:hint="eastAsia" w:ascii="宋体" w:hAnsi="宋体"/>
          <w:color w:val="000000"/>
          <w:sz w:val="24"/>
          <w:szCs w:val="24"/>
          <w:highlight w:val="none"/>
        </w:rPr>
      </w:r>
      <w:r/>
    </w:p>
    <w:p>
      <w:pPr>
        <w:pStyle w:val="923"/>
        <w:rPr>
          <w:rFonts w:hint="eastAsia" w:ascii="宋体" w:hAnsi="宋体"/>
          <w:color w:val="000000"/>
          <w:sz w:val="24"/>
          <w:szCs w:val="24"/>
          <w:highlight w:val="none"/>
        </w:rPr>
      </w:pPr>
      <w:r>
        <w:rPr>
          <w:rFonts w:hint="eastAsia" w:ascii="宋体" w:hAnsi="宋体" w:cs="宋体"/>
          <w:color w:val="000000"/>
          <w:spacing w:val="-1"/>
          <w:sz w:val="24"/>
          <w:szCs w:val="24"/>
          <w:highlight w:val="none"/>
        </w:rPr>
        <w:t xml:space="preserve">5.3.4</w:t>
      </w:r>
      <w:r>
        <w:rPr>
          <w:rFonts w:hint="eastAsia" w:ascii="宋体" w:hAnsi="宋体"/>
          <w:color w:val="000000"/>
          <w:sz w:val="24"/>
          <w:szCs w:val="24"/>
          <w:highlight w:val="none"/>
        </w:rPr>
        <w:t xml:space="preserve">工程结算审核</w:t>
      </w:r>
      <w:r>
        <w:rPr>
          <w:rFonts w:hint="eastAsia" w:ascii="宋体" w:hAnsi="宋体"/>
          <w:color w:val="000000"/>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计量规则：严格按合同、计价规范、竣工图纸执行，确保计量口径一致；</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计算准确性：重点审核造价占比超5%的分项，采用“图纸核对+现场实测”，计算误差不超过3%；</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现场核查：常规分项抽测比例不低于10%（不少于3处），隐蔽工程、大额分项（≥50万元）、复杂工程核查比例100%，三方共同参与并留存记录；</w:t>
      </w:r>
      <w:r>
        <w:rPr>
          <w:rFonts w:hint="eastAsia" w:ascii="宋体" w:hAnsi="宋体" w:cs="宋体"/>
          <w:color w:val="000000"/>
          <w:spacing w:val="-1"/>
          <w:sz w:val="24"/>
          <w:szCs w:val="24"/>
          <w:highlight w:val="none"/>
        </w:rPr>
      </w:r>
      <w:r/>
    </w:p>
    <w:p>
      <w:pPr>
        <w:pStyle w:val="809"/>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异常核查：对比各阶段工程量数据，对增减幅度超 10% 的，需施工单位提供说明及佐证，无依据则核减。</w:t>
      </w:r>
      <w:r>
        <w:rPr>
          <w:rFonts w:hint="eastAsia" w:ascii="宋体" w:hAnsi="宋体" w:cs="宋体"/>
          <w:color w:val="000000"/>
          <w:spacing w:val="-1"/>
          <w:sz w:val="24"/>
          <w:szCs w:val="24"/>
          <w:highlight w:val="none"/>
        </w:rPr>
      </w:r>
      <w:r/>
    </w:p>
    <w:p>
      <w:pPr>
        <w:pStyle w:val="809"/>
        <w:ind w:firstLine="478"/>
        <w:spacing w:line="440" w:lineRule="exact"/>
        <w:rPr>
          <w:rFonts w:hint="eastAsia"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5.4内控制度：</w:t>
      </w:r>
      <w:r>
        <w:rPr>
          <w:rFonts w:hint="eastAsia" w:ascii="宋体" w:hAnsi="宋体" w:cs="宋体"/>
          <w:color w:val="000000"/>
          <w:spacing w:val="-1"/>
          <w:sz w:val="24"/>
          <w:szCs w:val="24"/>
          <w:highlight w:val="none"/>
        </w:rPr>
        <w:t xml:space="preserve">至少要包括四个方面：（1）业务流程规范；（2）审核质量；（3）审核效率；（4）风险防控。</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5.4.1业务流程规范</w:t>
      </w:r>
      <w:r>
        <w:rPr>
          <w:rFonts w:hint="eastAsia" w:ascii="宋体" w:hAnsi="宋体" w:cs="宋体"/>
          <w:color w:val="000000"/>
          <w:spacing w:val="-1"/>
          <w:sz w:val="24"/>
          <w:szCs w:val="24"/>
          <w:highlight w:val="none"/>
        </w:rPr>
      </w:r>
      <w:r/>
    </w:p>
    <w:p>
      <w:pPr>
        <w:pStyle w:val="809"/>
        <w:ind w:firstLine="476"/>
        <w:jc w:val="left"/>
        <w:widowControl/>
        <w:rPr>
          <w:color w:val="000000"/>
          <w:highlight w:val="none"/>
        </w:rPr>
      </w:pPr>
      <w:r>
        <w:rPr>
          <w:rFonts w:hint="eastAsia" w:ascii="宋体" w:hAnsi="宋体" w:cs="宋体"/>
          <w:color w:val="000000"/>
          <w:spacing w:val="-1"/>
          <w:sz w:val="24"/>
          <w:szCs w:val="24"/>
          <w:highlight w:val="none"/>
        </w:rPr>
        <w:t xml:space="preserve">常驻项目组全体审计人员及相关协作人员必须严格按照本大纲及具体审计内控业务流程规范开展工作，不得擅自简化流程、跳过环节、违规操作，不得干预审计工作的客观性和公正性。</w:t>
      </w:r>
      <w:r>
        <w:rPr>
          <w:rFonts w:ascii="宋体" w:hAnsi="宋体" w:cs="宋体"/>
          <w:color w:val="000000"/>
          <w:sz w:val="24"/>
          <w:szCs w:val="24"/>
          <w:highlight w:val="none"/>
          <w:lang w:bidi="ar"/>
        </w:rPr>
        <w:t xml:space="preserve">流程执行过程中，提交的资料、记录、审计证据需真实、准确、完整、合规，严禁伪造、篡改、遗漏相关信息，确保审计结论有可靠依据</w:t>
      </w:r>
      <w:r>
        <w:rPr>
          <w:rFonts w:hint="eastAsia" w:ascii="宋体" w:hAnsi="宋体" w:cs="宋体"/>
          <w:color w:val="000000"/>
          <w:sz w:val="24"/>
          <w:szCs w:val="24"/>
          <w:highlight w:val="none"/>
          <w:lang w:bidi="ar"/>
        </w:rPr>
        <w:t xml:space="preserve">。</w:t>
      </w:r>
      <w:r>
        <w:rPr>
          <w:color w:val="000000"/>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5.4.2审核质量</w:t>
      </w:r>
      <w:r>
        <w:rPr>
          <w:rFonts w:hint="eastAsia" w:ascii="宋体" w:hAnsi="宋体" w:cs="宋体"/>
          <w:color w:val="000000"/>
          <w:spacing w:val="-1"/>
          <w:sz w:val="24"/>
          <w:szCs w:val="24"/>
          <w:highlight w:val="none"/>
        </w:rPr>
      </w:r>
      <w:r/>
    </w:p>
    <w:p>
      <w:pPr>
        <w:pStyle w:val="923"/>
        <w:ind w:left="0" w:firstLine="480"/>
        <w:rPr>
          <w:rFonts w:hint="eastAsia" w:ascii="宋体" w:hAnsi="宋体" w:cs="宋体"/>
          <w:color w:val="000000"/>
          <w:spacing w:val="-1"/>
          <w:sz w:val="24"/>
          <w:szCs w:val="24"/>
          <w:highlight w:val="none"/>
        </w:rPr>
      </w:pPr>
      <w:r>
        <w:rPr>
          <w:rFonts w:hint="eastAsia" w:ascii="宋体" w:hAnsi="宋体" w:cs="宋体"/>
          <w:color w:val="000000"/>
          <w:sz w:val="24"/>
          <w:szCs w:val="24"/>
          <w:highlight w:val="none"/>
        </w:rPr>
        <w:t xml:space="preserve">投标单位</w:t>
      </w:r>
      <w:r>
        <w:rPr>
          <w:rFonts w:ascii="宋体" w:hAnsi="宋体" w:cs="宋体"/>
          <w:color w:val="000000"/>
          <w:sz w:val="24"/>
          <w:szCs w:val="24"/>
          <w:highlight w:val="none"/>
        </w:rPr>
        <w:t xml:space="preserve">审计部门</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自查、内控部门常态化检查、管理层定期督查相结合，重点核查审核流程的合规性、审核记录的完整性、问题整改的有效性，及时发现审核质量隐患。</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5.4.3审核效率</w:t>
      </w:r>
      <w:r>
        <w:rPr>
          <w:rFonts w:hint="eastAsia" w:ascii="宋体" w:hAnsi="宋体" w:cs="宋体"/>
          <w:color w:val="000000"/>
          <w:spacing w:val="-1"/>
          <w:sz w:val="24"/>
          <w:szCs w:val="24"/>
          <w:highlight w:val="none"/>
        </w:rPr>
      </w:r>
      <w:r/>
    </w:p>
    <w:p>
      <w:pPr>
        <w:pStyle w:val="923"/>
        <w:ind w:left="0" w:firstLine="480"/>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梳理现有审核流程，删减重复审核、无效审批环节，明确各审核层级的核心职责（如一级复核侧重基础合规性、二级复核侧重质量把控、终审侧重结论把关），避免多层级重复核查。按审计项目类型（常规、重大）、审核内容（证据、底稿、报告），明确各环节审核时限（如常规项目证据审核 3 个工作日、报告审核 5 个工作日），设置时限预警，杜绝拖延推诿。</w:t>
      </w:r>
      <w:r>
        <w:rPr>
          <w:rFonts w:hint="eastAsia" w:ascii="宋体" w:hAnsi="宋体" w:cs="宋体"/>
          <w:color w:val="000000"/>
          <w:spacing w:val="-1"/>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5.4.4风险防控</w:t>
      </w:r>
      <w:r>
        <w:rPr>
          <w:rFonts w:hint="eastAsia" w:ascii="宋体" w:hAnsi="宋体" w:cs="宋体"/>
          <w:color w:val="000000"/>
          <w:spacing w:val="-1"/>
          <w:sz w:val="24"/>
          <w:szCs w:val="24"/>
          <w:highlight w:val="none"/>
        </w:rPr>
      </w:r>
      <w:r/>
    </w:p>
    <w:p>
      <w:pPr>
        <w:pStyle w:val="923"/>
        <w:ind w:left="0" w:firstLine="480"/>
        <w:rPr>
          <w:rFonts w:ascii="宋体" w:hAnsi="宋体" w:cs="宋体"/>
          <w:color w:val="000000"/>
          <w:sz w:val="24"/>
          <w:szCs w:val="24"/>
          <w:highlight w:val="none"/>
        </w:rPr>
      </w:pPr>
      <w:r>
        <w:rPr>
          <w:rFonts w:ascii="宋体" w:hAnsi="宋体" w:cs="宋体"/>
          <w:color w:val="000000"/>
          <w:sz w:val="24"/>
          <w:szCs w:val="24"/>
          <w:highlight w:val="none"/>
          <w:lang w:bidi="ar"/>
        </w:rPr>
        <w:t xml:space="preserve">严格落实审计证据收集、审核标准，确保证据真实、充分、相关；规范审计工作底稿编制，实行多级复核机制；明确审计方法标准，加强审计人员专业能力培训，提升审计精准度；定期开展审计质量自查，及时整改质量隐患</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09"/>
        <w:spacing w:line="440" w:lineRule="exact"/>
        <w:rPr>
          <w:rFonts w:ascii="黑体" w:hAnsi="黑体" w:eastAsia="黑体" w:cs="宋体"/>
          <w:b/>
          <w:bCs/>
          <w:color w:val="000000"/>
          <w:sz w:val="24"/>
          <w:szCs w:val="24"/>
          <w:highlight w:val="none"/>
        </w:rPr>
      </w:pPr>
      <w:r>
        <w:rPr>
          <w:rFonts w:hint="eastAsia" w:ascii="黑体" w:hAnsi="黑体" w:eastAsia="黑体" w:cs="宋体"/>
          <w:b/>
          <w:bCs/>
          <w:color w:val="000000"/>
          <w:sz w:val="24"/>
          <w:szCs w:val="24"/>
          <w:highlight w:val="none"/>
        </w:rPr>
        <w:t xml:space="preserve">六、项目费用报价及其他事项</w:t>
      </w:r>
      <w:r>
        <w:rPr>
          <w:rFonts w:ascii="黑体" w:hAnsi="黑体" w:eastAsia="黑体" w:cs="宋体"/>
          <w:b/>
          <w:bCs/>
          <w:color w:val="000000"/>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1.本项目为“固定总价”合同。</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2.服务费用的支付期限：</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（1）预付款支付时间：合同签订后，</w:t>
      </w:r>
      <w:r>
        <w:rPr>
          <w:rFonts w:hint="eastAsia" w:ascii="宋体" w:hAnsi="宋体" w:cs="宋体"/>
          <w:color w:val="000000"/>
          <w:sz w:val="24"/>
          <w:szCs w:val="24"/>
          <w:highlight w:val="none"/>
          <w:lang w:val="zh-CN"/>
        </w:rPr>
        <w:t xml:space="preserve">甲方收到预付款发票后10个工作日内，预付款支付比例：合同金额的30%（在签订合同时，如乙方明确书面表示无需预付款或者主动要求降低预付款比例的，经双方协商甲方可就预付款比例作相应调整）。</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尾款支付时间：项目审计结束且出具审定单以及工程造价咨询报告，经甲方同意审核结论后，一次性付清合同金额的剩余服务费；如有乙方有违约情况，则扣除违约金后一次性付清服务费，以上付款均不计利息。</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3.跟审单位履约保证与违约责任</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单位未达现场人员要求：若跟审单位未能满足第1条（现场跟审要求）中关于每周最低驻场人数（四人）的要求（第1条第四款允许调整的情形除外），则视为跟审单位违约一次。采购人有权按每次违约500元人民币的标准向跟审单位收取违约金（罚款）。</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跟审单位未按时提交进度报告：若跟审单位未能按照第2条（工作进度报告）的要求按时提交完整、合格的跟审月报（包括未按时提交、提交内容严重缺失或不符合要求），则视为跟审单位违约一次。采购人有权按每次违约1000元人民币的标准向跟审单位收取违约金（罚款）。</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3）如未经采购人同意擅自更换驻场人员，视为违约一次，采购人有权按每次违约10000元人民币的标准向跟审单位收取违约金（罚款）。  </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4）违约金（罚款）的执行：</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违约金（罚款）按次计算（每周人数不足计一次，每月报告延迟或不合格计一次）。</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①采购人在发现违约情况后三个工作日内，向跟审单位发出书面违约通知单，载明违约事实、依据及应支付的违约金（罚款）金额。</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②跟审单位在合同期内收到通知单后累计的违约金（罚款）从采购人应付跟审单位的合同款项中直接扣除。</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③跟审单位支付违约金（罚款）不免除其继续履行合同义务（如补足人员、补交合格报告）的责任。</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4.累积违约责任：</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1）同一自然月内，因跟审人员累计发生违约达到不足二次，或跟审报告延迟/不合格累计达到一次，或累计违约总次数达到三次，采购人有权发出书面警告。</w:t>
      </w:r>
      <w:r>
        <w:rPr>
          <w:rFonts w:hint="eastAsia" w:ascii="宋体" w:hAnsi="宋体" w:cs="宋体"/>
          <w:color w:val="000000"/>
          <w:spacing w:val="-1"/>
          <w:sz w:val="24"/>
          <w:szCs w:val="24"/>
          <w:highlight w:val="none"/>
        </w:rPr>
      </w:r>
      <w:r/>
    </w:p>
    <w:p>
      <w:pPr>
        <w:pStyle w:val="92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在合同期内，累计收到采购人三次书面警告，或单次严重违约（连续两周以上人员严重不足、连续两个月未提交报告）对项目造成重大影响，采购人有权单方面解除合同，并保留进一步追究跟审单位违约责任（包括但不限于赔偿损失）的权利。</w:t>
      </w:r>
      <w:r>
        <w:rPr>
          <w:rFonts w:hint="eastAsia" w:ascii="宋体" w:hAnsi="宋体" w:cs="宋体"/>
          <w:color w:val="000000"/>
          <w:spacing w:val="-1"/>
          <w:sz w:val="24"/>
          <w:szCs w:val="24"/>
          <w:highlight w:val="none"/>
        </w:rPr>
      </w:r>
      <w:r/>
    </w:p>
    <w:p>
      <w:pPr>
        <w:pStyle w:val="92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5.本项目维护费包括所有成本、利润、管理费、保险、风险及利润等一切费用，更换故障设备不另外计费。</w:t>
      </w:r>
      <w:r>
        <w:rPr>
          <w:rFonts w:hint="eastAsia" w:ascii="宋体" w:hAnsi="宋体" w:cs="宋体"/>
          <w:color w:val="000000"/>
          <w:spacing w:val="-1"/>
          <w:sz w:val="24"/>
          <w:szCs w:val="24"/>
          <w:highlight w:val="none"/>
        </w:rPr>
      </w:r>
      <w:r/>
    </w:p>
    <w:p>
      <w:pPr>
        <w:pStyle w:val="923"/>
        <w:ind w:left="0"/>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七、</w:t>
      </w:r>
      <w:bookmarkStart w:id="183" w:name="_Toc120614281"/>
      <w:r>
        <w:rPr>
          <w:rFonts w:hint="eastAsia" w:ascii="黑体" w:hAnsi="黑体" w:eastAsia="黑体" w:cs="宋体"/>
          <w:b/>
          <w:color w:val="000000"/>
          <w:sz w:val="24"/>
          <w:szCs w:val="24"/>
          <w:highlight w:val="none"/>
        </w:rPr>
        <w:t xml:space="preserve">投标人业绩要求</w:t>
      </w:r>
      <w:r>
        <w:rPr>
          <w:rFonts w:ascii="黑体" w:hAnsi="黑体" w:eastAsia="黑体" w:cs="宋体"/>
          <w:b/>
          <w:color w:val="000000"/>
          <w:sz w:val="24"/>
          <w:szCs w:val="24"/>
          <w:highlight w:val="none"/>
        </w:rPr>
      </w:r>
      <w:r/>
    </w:p>
    <w:p>
      <w:pPr>
        <w:pStyle w:val="923"/>
        <w:ind w:left="0" w:firstLine="476"/>
        <w:rPr>
          <w:rFonts w:hint="eastAsia" w:ascii="宋体" w:hAnsi="宋体" w:cs="宋体"/>
          <w:color w:val="000000"/>
          <w:spacing w:val="-1"/>
          <w:sz w:val="24"/>
          <w:szCs w:val="24"/>
          <w:highlight w:val="none"/>
        </w:rPr>
      </w:pPr>
      <w:r>
        <w:rPr>
          <w:rFonts w:ascii="宋体" w:hAnsi="宋体" w:cs="宋体"/>
          <w:color w:val="000000"/>
          <w:spacing w:val="-1"/>
          <w:sz w:val="24"/>
          <w:szCs w:val="24"/>
          <w:highlight w:val="none"/>
        </w:rPr>
        <w:t xml:space="preserve">为保证审核质量，中标后拟派项目组的常驻现场注册造价工程师在中标项目现场跟踪审核期间不得承接其他现场跟踪审核项目。所以投标人自202</w:t>
      </w:r>
      <w:r>
        <w:rPr>
          <w:rFonts w:hint="eastAsia" w:ascii="宋体" w:hAnsi="宋体" w:cs="宋体"/>
          <w:color w:val="000000"/>
          <w:spacing w:val="-1"/>
          <w:sz w:val="24"/>
          <w:szCs w:val="24"/>
          <w:highlight w:val="none"/>
        </w:rPr>
        <w:t xml:space="preserve">1</w:t>
      </w:r>
      <w:r>
        <w:rPr>
          <w:rFonts w:ascii="宋体" w:hAnsi="宋体" w:cs="宋体"/>
          <w:color w:val="000000"/>
          <w:spacing w:val="-1"/>
          <w:sz w:val="24"/>
          <w:szCs w:val="24"/>
          <w:highlight w:val="none"/>
        </w:rPr>
        <w:t xml:space="preserve">年1月1日以来（以合同签订时间为准），独立承担过</w:t>
      </w:r>
      <w:r>
        <w:rPr>
          <w:rFonts w:hint="eastAsia" w:ascii="宋体" w:hAnsi="宋体" w:cs="宋体"/>
          <w:color w:val="000000"/>
          <w:sz w:val="24"/>
          <w:szCs w:val="24"/>
          <w:highlight w:val="none"/>
        </w:rPr>
        <w:t xml:space="preserve">同类工程跟踪审核（必须含结算审核）、或全过程工程造价控制（必须含结算审核）、或结算审核业绩的</w:t>
      </w:r>
      <w:r>
        <w:rPr>
          <w:rFonts w:ascii="宋体" w:hAnsi="宋体" w:cs="宋体"/>
          <w:b/>
          <w:bCs/>
          <w:color w:val="000000"/>
          <w:spacing w:val="-1"/>
          <w:sz w:val="24"/>
          <w:szCs w:val="24"/>
          <w:highlight w:val="none"/>
        </w:rPr>
        <w:t xml:space="preserve">优先</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r>
      <w:r/>
    </w:p>
    <w:p>
      <w:pPr>
        <w:pStyle w:val="809"/>
        <w:spacing w:line="440" w:lineRule="exact"/>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八、拟派项目人员配置</w:t>
      </w:r>
      <w:r>
        <w:rPr>
          <w:rFonts w:ascii="黑体" w:hAnsi="黑体" w:eastAsia="黑体" w:cs="宋体"/>
          <w:b/>
          <w:color w:val="000000"/>
          <w:sz w:val="24"/>
          <w:szCs w:val="24"/>
          <w:highlight w:val="none"/>
        </w:rPr>
      </w:r>
      <w:r/>
    </w:p>
    <w:p>
      <w:pPr>
        <w:pStyle w:val="92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为保证本项目顺利推进实施，拟派项目组成员的技术性和经验性工作非常重要，拟派常驻项目负责人具有工程类中级及以上技术职称的的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；拟派常驻项目负责人</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t xml:space="preserve">或</w:t>
      </w:r>
      <w:r>
        <w:rPr>
          <w:rFonts w:hint="eastAsia" w:ascii="宋体" w:hAnsi="宋体"/>
          <w:color w:val="000000"/>
          <w:sz w:val="24"/>
          <w:szCs w:val="24"/>
          <w:highlight w:val="none"/>
        </w:rPr>
        <w:t xml:space="preserve">常驻协审人员</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t xml:space="preserve">具有一级注册造价工程师</w:t>
      </w:r>
      <w:r>
        <w:rPr>
          <w:rFonts w:hint="eastAsia" w:ascii="宋体" w:hAnsi="宋体" w:cs="宋体"/>
          <w:color w:val="000000"/>
          <w:sz w:val="24"/>
          <w:szCs w:val="24"/>
          <w:highlight w:val="none"/>
        </w:rPr>
        <w:t xml:space="preserve">（交通运输工程专业）</w:t>
      </w:r>
      <w:r>
        <w:rPr>
          <w:rFonts w:hint="eastAsia" w:ascii="宋体" w:hAnsi="宋体" w:cs="宋体"/>
          <w:color w:val="000000"/>
          <w:spacing w:val="-1"/>
          <w:sz w:val="24"/>
          <w:szCs w:val="24"/>
          <w:highlight w:val="none"/>
        </w:rPr>
        <w:t xml:space="preserve">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w:t>
      </w:r>
      <w:r>
        <w:rPr>
          <w:rFonts w:hint="eastAsia" w:ascii="宋体" w:hAnsi="宋体" w:cs="宋体"/>
          <w:color w:val="000000"/>
          <w:sz w:val="24"/>
          <w:szCs w:val="24"/>
          <w:highlight w:val="none"/>
        </w:rPr>
        <w:t xml:space="preserve">拟派常驻项目负责人</w:t>
      </w:r>
      <w:r>
        <w:rPr>
          <w:rFonts w:ascii="宋体" w:hAnsi="宋体" w:cs="宋体"/>
          <w:color w:val="000000"/>
          <w:spacing w:val="-1"/>
          <w:sz w:val="24"/>
          <w:szCs w:val="24"/>
          <w:highlight w:val="none"/>
        </w:rPr>
        <w:t xml:space="preserve">自202</w:t>
      </w:r>
      <w:r>
        <w:rPr>
          <w:rFonts w:hint="eastAsia" w:ascii="宋体" w:hAnsi="宋体" w:cs="宋体"/>
          <w:color w:val="000000"/>
          <w:spacing w:val="-1"/>
          <w:sz w:val="24"/>
          <w:szCs w:val="24"/>
          <w:highlight w:val="none"/>
        </w:rPr>
        <w:t xml:space="preserve">1</w:t>
      </w:r>
      <w:r>
        <w:rPr>
          <w:rFonts w:ascii="宋体" w:hAnsi="宋体" w:cs="宋体"/>
          <w:color w:val="000000"/>
          <w:spacing w:val="-1"/>
          <w:sz w:val="24"/>
          <w:szCs w:val="24"/>
          <w:highlight w:val="none"/>
        </w:rPr>
        <w:t xml:space="preserve">年1月1日以来</w:t>
      </w:r>
      <w:r>
        <w:rPr>
          <w:rFonts w:hint="eastAsia" w:ascii="宋体" w:hAnsi="宋体" w:cs="宋体"/>
          <w:color w:val="000000"/>
          <w:spacing w:val="-1"/>
          <w:sz w:val="24"/>
          <w:szCs w:val="24"/>
          <w:highlight w:val="none"/>
        </w:rPr>
        <w:t xml:space="preserve">，</w:t>
      </w:r>
      <w:r>
        <w:rPr>
          <w:rFonts w:hint="eastAsia" w:ascii="宋体" w:hAnsi="宋体" w:cs="宋体"/>
          <w:color w:val="000000"/>
          <w:sz w:val="24"/>
          <w:szCs w:val="24"/>
          <w:highlight w:val="none"/>
        </w:rPr>
        <w:t xml:space="preserve">担任同类型项目跟踪审核（必须含结算审核）、或全过程工程造价控制（必须含结算审核）、或结算审核业绩的</w:t>
      </w:r>
      <w:r>
        <w:rPr>
          <w:rFonts w:hint="eastAsia" w:ascii="宋体" w:hAnsi="宋体" w:cs="宋体"/>
          <w:b/>
          <w:bCs/>
          <w:color w:val="000000"/>
          <w:sz w:val="24"/>
          <w:szCs w:val="24"/>
          <w:highlight w:val="none"/>
        </w:rPr>
        <w:t xml:space="preserve">优先</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r>
      <w:r/>
    </w:p>
    <w:p>
      <w:pPr>
        <w:pStyle w:val="809"/>
        <w:spacing w:line="440" w:lineRule="exact"/>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九、</w:t>
      </w:r>
      <w:r>
        <w:rPr>
          <w:rFonts w:ascii="黑体" w:hAnsi="黑体" w:eastAsia="黑体" w:cs="宋体"/>
          <w:b/>
          <w:color w:val="000000"/>
          <w:sz w:val="24"/>
          <w:szCs w:val="24"/>
          <w:highlight w:val="none"/>
        </w:rPr>
        <w:t xml:space="preserve">采购标的对应的中小企业划分标准所属行业一览表</w:t>
      </w:r>
      <w:r>
        <w:rPr>
          <w:rFonts w:ascii="黑体" w:hAnsi="黑体" w:eastAsia="黑体" w:cs="宋体"/>
          <w:b/>
          <w:color w:val="000000"/>
          <w:sz w:val="24"/>
          <w:szCs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657"/>
        <w:gridCol w:w="3484"/>
      </w:tblGrid>
      <w:tr>
        <w:trPr>
          <w:trHeight w:val="851" w:hRule="exact"/>
        </w:trPr>
        <w:tc>
          <w:tcPr>
            <w:tcMar>
              <w:left w:w="108" w:type="dxa"/>
              <w:top w:w="0" w:type="dxa"/>
              <w:right w:w="108" w:type="dxa"/>
              <w:bottom w:w="0" w:type="dxa"/>
            </w:tcMar>
            <w:tcW w:w="409" w:type="dxa"/>
            <w:vAlign w:val="center"/>
            <w:textDirection w:val="lrTb"/>
            <w:noWrap w:val="false"/>
          </w:tcPr>
          <w:p>
            <w:pPr>
              <w:pStyle w:val="809"/>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序号</w:t>
            </w:r>
            <w:r>
              <w:rPr>
                <w:b/>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809"/>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采购标的</w:t>
            </w:r>
            <w:r>
              <w:rPr>
                <w:b/>
                <w:color w:val="000000"/>
                <w:sz w:val="24"/>
                <w:szCs w:val="24"/>
                <w:highlight w:val="none"/>
              </w:rPr>
            </w:r>
            <w:r/>
          </w:p>
        </w:tc>
        <w:tc>
          <w:tcPr>
            <w:tcMar>
              <w:left w:w="108" w:type="dxa"/>
              <w:top w:w="0" w:type="dxa"/>
              <w:right w:w="108" w:type="dxa"/>
              <w:bottom w:w="0" w:type="dxa"/>
            </w:tcMar>
            <w:tcW w:w="1749" w:type="dxa"/>
            <w:vAlign w:val="center"/>
            <w:textDirection w:val="lrTb"/>
            <w:noWrap w:val="false"/>
          </w:tcPr>
          <w:p>
            <w:pPr>
              <w:pStyle w:val="809"/>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对应中小企业划分标准所属行业</w:t>
            </w:r>
            <w:r>
              <w:rPr>
                <w:b/>
                <w:color w:val="000000"/>
                <w:sz w:val="24"/>
                <w:szCs w:val="24"/>
                <w:highlight w:val="none"/>
              </w:rPr>
            </w:r>
            <w:r/>
          </w:p>
        </w:tc>
      </w:tr>
      <w:tr>
        <w:trPr>
          <w:trHeight w:val="1505" w:hRule="exact"/>
        </w:trPr>
        <w:tc>
          <w:tcPr>
            <w:tcMar>
              <w:left w:w="108" w:type="dxa"/>
              <w:top w:w="0" w:type="dxa"/>
              <w:right w:w="108" w:type="dxa"/>
              <w:bottom w:w="0" w:type="dxa"/>
            </w:tcMar>
            <w:tcW w:w="409" w:type="dxa"/>
            <w:vAlign w:val="center"/>
            <w:textDirection w:val="lrTb"/>
            <w:noWrap w:val="false"/>
          </w:tcPr>
          <w:p>
            <w:pPr>
              <w:pStyle w:val="809"/>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none"/>
              </w:rPr>
              <w:t xml:space="preserve">1</w:t>
            </w:r>
            <w:r>
              <w:rPr>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809"/>
              <w:jc w:val="center"/>
              <w:spacing w:before="240" w:after="240" w:line="400" w:lineRule="atLeast"/>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2026年盐城普通国省道路面预防和修复养护工程全过程造价控制及竣工决算审计</w:t>
            </w:r>
            <w:r>
              <w:rPr>
                <w:rFonts w:hint="eastAsia" w:eastAsia="宋体"/>
                <w:color w:val="000000"/>
                <w:sz w:val="24"/>
                <w:szCs w:val="24"/>
                <w:highlight w:val="none"/>
                <w:lang w:eastAsia="zh-CN"/>
              </w:rPr>
            </w:r>
            <w:r/>
          </w:p>
        </w:tc>
        <w:tc>
          <w:tcPr>
            <w:tcMar>
              <w:left w:w="108" w:type="dxa"/>
              <w:top w:w="0" w:type="dxa"/>
              <w:right w:w="108" w:type="dxa"/>
              <w:bottom w:w="0" w:type="dxa"/>
            </w:tcMar>
            <w:tcW w:w="1749" w:type="dxa"/>
            <w:vAlign w:val="center"/>
            <w:textDirection w:val="lrTb"/>
            <w:noWrap w:val="false"/>
          </w:tcPr>
          <w:p>
            <w:pPr>
              <w:pStyle w:val="809"/>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其他未列明行业 </w:t>
            </w:r>
            <w:r>
              <w:rPr>
                <w:color w:val="000000"/>
                <w:sz w:val="24"/>
                <w:szCs w:val="24"/>
                <w:highlight w:val="none"/>
              </w:rPr>
            </w:r>
            <w:r/>
          </w:p>
        </w:tc>
      </w:tr>
    </w:tbl>
    <w:p>
      <w:pPr>
        <w:pStyle w:val="809"/>
        <w:ind w:firstLine="880"/>
        <w:jc w:val="center"/>
        <w:spacing w:line="570" w:lineRule="exact"/>
        <w:rPr>
          <w:rFonts w:ascii="黑体" w:eastAsia="黑体"/>
          <w:bCs/>
          <w:color w:val="000000"/>
          <w:sz w:val="44"/>
          <w:highlight w:val="none"/>
        </w:rPr>
      </w:pPr>
      <w:r>
        <w:rPr>
          <w:rFonts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Cs/>
          <w:color w:val="000000"/>
          <w:sz w:val="44"/>
          <w:szCs w:val="28"/>
          <w:highlight w:val="none"/>
        </w:rPr>
        <w:t xml:space="preserve">评标方法与评标标准</w:t>
      </w:r>
      <w:r>
        <w:rPr>
          <w:rFonts w:ascii="黑体" w:eastAsia="黑体"/>
          <w:bCs/>
          <w:color w:val="000000"/>
          <w:sz w:val="44"/>
          <w:highlight w:val="none"/>
        </w:rPr>
      </w:r>
      <w:r/>
    </w:p>
    <w:p>
      <w:pPr>
        <w:pStyle w:val="809"/>
        <w:rPr>
          <w:color w:val="000000"/>
          <w:highlight w:val="none"/>
        </w:rPr>
      </w:pPr>
      <w:r>
        <w:rPr>
          <w:color w:val="000000"/>
          <w:highlight w:val="none"/>
        </w:rPr>
      </w:r>
      <w:r/>
    </w:p>
    <w:p>
      <w:pPr>
        <w:pStyle w:val="809"/>
        <w:spacing w:line="360" w:lineRule="auto"/>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一、定标原则</w:t>
      </w:r>
      <w:r>
        <w:rPr>
          <w:rFonts w:ascii="宋体" w:hAnsi="宋体" w:cs="Courier New"/>
          <w:b/>
          <w:bCs/>
          <w:color w:val="000000"/>
          <w:sz w:val="24"/>
          <w:szCs w:val="24"/>
          <w:highlight w:val="none"/>
        </w:rPr>
      </w:r>
      <w:r/>
    </w:p>
    <w:p>
      <w:pPr>
        <w:pStyle w:val="809"/>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本项目采用</w:t>
      </w:r>
      <w:r>
        <w:rPr>
          <w:rFonts w:hint="eastAsia" w:ascii="宋体" w:hAnsi="宋体" w:cs="Courier New"/>
          <w:bCs/>
          <w:color w:val="000000"/>
          <w:sz w:val="24"/>
          <w:szCs w:val="24"/>
          <w:highlight w:val="none"/>
          <w:u w:val="single"/>
        </w:rPr>
        <w:t xml:space="preserve"> 综合评分 </w:t>
      </w:r>
      <w:r>
        <w:rPr>
          <w:rFonts w:hint="eastAsia" w:ascii="宋体" w:hAnsi="宋体" w:cs="Courier New"/>
          <w:bCs/>
          <w:color w:val="000000"/>
          <w:sz w:val="24"/>
          <w:szCs w:val="24"/>
          <w:highlight w:val="none"/>
        </w:rPr>
        <w:t xml:space="preserve">法。</w:t>
      </w:r>
      <w:r>
        <w:rPr>
          <w:rFonts w:hint="eastAsia" w:ascii="宋体" w:hAnsi="宋体" w:cs="Arial"/>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w:t>
      </w:r>
      <w:r>
        <w:rPr>
          <w:rFonts w:hint="eastAsia" w:ascii="宋体" w:hAnsi="宋体" w:cs="Courier New"/>
          <w:bCs/>
          <w:color w:val="000000"/>
          <w:sz w:val="24"/>
          <w:szCs w:val="24"/>
          <w:highlight w:val="none"/>
        </w:rPr>
        <w:t xml:space="preserve">分最高的投标人为排名第一的中标候选人，本项目选取1名中标候选人。</w:t>
      </w:r>
      <w:r>
        <w:rPr>
          <w:rFonts w:ascii="宋体" w:hAnsi="宋体" w:cs="Courier New"/>
          <w:bCs/>
          <w:color w:val="000000"/>
          <w:sz w:val="24"/>
          <w:szCs w:val="24"/>
          <w:highlight w:val="none"/>
        </w:rPr>
      </w:r>
      <w:r/>
    </w:p>
    <w:p>
      <w:pPr>
        <w:pStyle w:val="809"/>
        <w:ind w:firstLine="480"/>
        <w:spacing w:line="500" w:lineRule="exact"/>
        <w:rPr>
          <w:rStyle w:val="924"/>
          <w:rFonts w:hAnsi="宋体"/>
          <w:b/>
          <w:bCs/>
          <w:color w:val="000000"/>
          <w:sz w:val="24"/>
          <w:szCs w:val="24"/>
          <w:highlight w:val="none"/>
        </w:rPr>
      </w:pPr>
      <w:r>
        <w:rPr>
          <w:rFonts w:hint="eastAsia" w:ascii="宋体" w:hAnsi="宋体" w:cs="宋体"/>
          <w:bCs/>
          <w:color w:val="000000"/>
          <w:sz w:val="24"/>
          <w:szCs w:val="24"/>
          <w:highlight w:val="none"/>
        </w:rPr>
        <w:t xml:space="preserve">注：投标人可以同时投3个采购标包，兼投不兼中。评标顺序按采购标包1→采购标包2→采购标包3。上一采购标包中标的投标单位可继续参与下面采购标包的评审，但不作中标侯选人推荐</w:t>
      </w:r>
      <w:r>
        <w:rPr>
          <w:rStyle w:val="924"/>
          <w:rFonts w:hAnsi="宋体"/>
          <w:b/>
          <w:bCs/>
          <w:color w:val="000000"/>
          <w:sz w:val="24"/>
          <w:szCs w:val="24"/>
          <w:highlight w:val="none"/>
        </w:rPr>
        <w:t xml:space="preserve">。</w:t>
      </w:r>
      <w:r>
        <w:rPr>
          <w:rStyle w:val="924"/>
          <w:rFonts w:hAnsi="宋体"/>
          <w:b/>
          <w:bCs/>
          <w:color w:val="000000"/>
          <w:sz w:val="24"/>
          <w:szCs w:val="24"/>
          <w:highlight w:val="none"/>
        </w:rPr>
      </w:r>
      <w:r/>
    </w:p>
    <w:p>
      <w:pPr>
        <w:pStyle w:val="809"/>
        <w:ind w:firstLine="48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ascii="宋体" w:hAnsi="宋体"/>
          <w:b/>
          <w:color w:val="000000"/>
          <w:sz w:val="24"/>
          <w:szCs w:val="24"/>
          <w:highlight w:val="none"/>
        </w:rPr>
      </w:r>
      <w:r/>
    </w:p>
    <w:p>
      <w:pPr>
        <w:pStyle w:val="809"/>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1、小微型企业价格扣除</w:t>
      </w:r>
      <w:r>
        <w:rPr>
          <w:rFonts w:hint="eastAsia" w:ascii="宋体" w:hAnsi="宋体"/>
          <w:b/>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（1）本项目专门面向中小企业采购，不再对小型和微型企业服务给予价格扣除。</w:t>
      </w:r>
      <w:r>
        <w:rPr>
          <w:rFonts w:hint="eastAsia" w:ascii="宋体" w:hAnsi="宋体" w:cs="Arial"/>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（2）供应商需按照采购文件的要求提供相应的《小微企业声明函》。</w:t>
      </w:r>
      <w:r>
        <w:rPr>
          <w:rFonts w:hint="eastAsia" w:ascii="宋体" w:hAnsi="宋体" w:cs="Arial"/>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（3）企业标准请参照《关于印发中小企业划型标准规定的通知》（工信部联企业[2011]300号）文件规定自行填写。</w:t>
      </w:r>
      <w:r>
        <w:rPr>
          <w:rFonts w:hint="eastAsia" w:ascii="宋体" w:hAnsi="宋体" w:cs="Arial"/>
          <w:color w:val="000000"/>
          <w:sz w:val="24"/>
          <w:szCs w:val="24"/>
          <w:highlight w:val="none"/>
        </w:rPr>
      </w:r>
      <w:r/>
    </w:p>
    <w:p>
      <w:pPr>
        <w:pStyle w:val="809"/>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2、残疾人福利单位价格扣除</w:t>
      </w:r>
      <w:r>
        <w:rPr>
          <w:rFonts w:hint="eastAsia" w:ascii="宋体" w:hAnsi="宋体"/>
          <w:b/>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（1）本项目对残疾人福利性单位视同小型、微型企业，给予20%的价格扣除。</w:t>
      </w:r>
      <w:r>
        <w:rPr>
          <w:rFonts w:hint="eastAsia" w:ascii="宋体" w:hAnsi="宋体" w:cs="Arial"/>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（2）残疾人福利单位需按照采购文件的要求提供《残疾人福利性单位声明函》。</w:t>
      </w:r>
      <w:r>
        <w:rPr>
          <w:rFonts w:hint="eastAsia" w:ascii="宋体" w:hAnsi="宋体" w:cs="Arial"/>
          <w:color w:val="000000"/>
          <w:sz w:val="24"/>
          <w:szCs w:val="24"/>
          <w:highlight w:val="none"/>
        </w:rPr>
      </w:r>
      <w:r/>
    </w:p>
    <w:p>
      <w:pPr>
        <w:pStyle w:val="809"/>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（3）残疾人福利单位标准请参照《关于促进残疾人就业政府采购政策的通知》（财库〔2017〕141号）。</w:t>
      </w:r>
      <w:r>
        <w:rPr>
          <w:rFonts w:hint="eastAsia" w:ascii="宋体" w:hAnsi="宋体" w:cs="Arial"/>
          <w:color w:val="000000"/>
          <w:sz w:val="24"/>
          <w:szCs w:val="24"/>
          <w:highlight w:val="none"/>
        </w:rPr>
      </w:r>
      <w:r/>
    </w:p>
    <w:p>
      <w:pPr>
        <w:pStyle w:val="809"/>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3、监狱和戒毒企业价格扣除</w:t>
      </w:r>
      <w:r>
        <w:rPr>
          <w:rFonts w:hint="eastAsia" w:ascii="宋体" w:hAnsi="宋体"/>
          <w:b/>
          <w:color w:val="000000"/>
          <w:sz w:val="24"/>
          <w:szCs w:val="24"/>
          <w:highlight w:val="none"/>
        </w:rPr>
      </w:r>
      <w:r/>
    </w:p>
    <w:p>
      <w:pPr>
        <w:pStyle w:val="80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（1）本项目对监狱和戒毒企业（简称监狱企业）视同小型、微型企业，给予20%的价格扣除。</w:t>
      </w:r>
      <w:r>
        <w:rPr>
          <w:rFonts w:hint="eastAsia" w:ascii="宋体" w:hAnsi="宋体"/>
          <w:bCs/>
          <w:color w:val="000000"/>
          <w:sz w:val="24"/>
          <w:szCs w:val="24"/>
          <w:highlight w:val="none"/>
        </w:rPr>
      </w:r>
      <w:r/>
    </w:p>
    <w:p>
      <w:pPr>
        <w:pStyle w:val="80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color w:val="000000"/>
          <w:sz w:val="24"/>
          <w:szCs w:val="24"/>
          <w:highlight w:val="none"/>
        </w:rPr>
      </w:r>
      <w:r/>
    </w:p>
    <w:p>
      <w:pPr>
        <w:pStyle w:val="80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（3）监狱企业标准请参照《关于政府采购支持监狱企业发展有关问题的通知》（财库[2014]68号）。</w:t>
      </w:r>
      <w:r>
        <w:rPr>
          <w:rFonts w:hint="eastAsia" w:ascii="宋体" w:hAnsi="宋体"/>
          <w:bCs/>
          <w:color w:val="000000"/>
          <w:sz w:val="24"/>
          <w:szCs w:val="24"/>
          <w:highlight w:val="none"/>
        </w:rPr>
      </w:r>
      <w:r/>
    </w:p>
    <w:p>
      <w:pPr>
        <w:pStyle w:val="80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5、采购本国产品的支持政策</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5.3 供应商需按照招标文件的要求提供《关于符合本国产品标准的声明函》（以下简称《声明函》），如不提供将不享受本国产品价格评审优惠。</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bCs/>
          <w:color w:val="000000"/>
          <w:sz w:val="24"/>
          <w:szCs w:val="24"/>
          <w:highlight w:val="none"/>
        </w:rPr>
      </w:r>
      <w:r/>
    </w:p>
    <w:p>
      <w:pPr>
        <w:pStyle w:val="809"/>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6、严格执行政府采购关于支持</w:t>
      </w:r>
      <w:r>
        <w:rPr>
          <w:rFonts w:hint="eastAsia" w:ascii="宋体" w:hAnsi="宋体"/>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Cs/>
          <w:color w:val="000000"/>
          <w:sz w:val="24"/>
          <w:szCs w:val="24"/>
          <w:highlight w:val="none"/>
        </w:rPr>
      </w:r>
      <w:r/>
    </w:p>
    <w:p>
      <w:pPr>
        <w:pStyle w:val="809"/>
        <w:spacing w:line="500" w:lineRule="exact"/>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二、评标标准</w:t>
      </w:r>
      <w:r>
        <w:rPr>
          <w:rFonts w:ascii="宋体" w:hAnsi="宋体" w:cs="Courier New"/>
          <w:b/>
          <w:bCs/>
          <w:color w:val="000000"/>
          <w:sz w:val="24"/>
          <w:szCs w:val="24"/>
          <w:highlight w:val="none"/>
        </w:rPr>
      </w:r>
      <w:r/>
    </w:p>
    <w:p>
      <w:pPr>
        <w:pStyle w:val="809"/>
        <w:ind w:firstLine="480"/>
        <w:spacing w:line="500" w:lineRule="exact"/>
        <w:rPr>
          <w:rFonts w:ascii="宋体" w:hAnsi="宋体" w:cs="Courier New"/>
          <w:bCs/>
          <w:color w:val="000000"/>
          <w:sz w:val="24"/>
          <w:szCs w:val="24"/>
          <w:highlight w:val="none"/>
        </w:rPr>
      </w:pPr>
      <w:r>
        <w:rPr>
          <w:rFonts w:ascii="宋体" w:hAnsi="宋体" w:cs="Courier New"/>
          <w:bCs/>
          <w:color w:val="000000"/>
          <w:sz w:val="24"/>
          <w:szCs w:val="24"/>
          <w:highlight w:val="none"/>
        </w:rPr>
        <w:t xml:space="preserve">本项目评分总分值为100分。</w:t>
      </w:r>
      <w:r>
        <w:rPr>
          <w:rFonts w:ascii="宋体" w:hAnsi="宋体" w:cs="Courier New"/>
          <w:bCs/>
          <w:color w:val="000000"/>
          <w:sz w:val="24"/>
          <w:szCs w:val="24"/>
          <w:highlight w:val="none"/>
        </w:rPr>
      </w:r>
      <w:r/>
    </w:p>
    <w:tbl>
      <w:tblPr>
        <w:tblW w:w="4990" w:type="pct"/>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689"/>
        <w:gridCol w:w="934"/>
        <w:gridCol w:w="7211"/>
      </w:tblGrid>
      <w:tr>
        <w:trPr>
          <w:trHeight w:val="475"/>
          <w:tblHeader/>
        </w:trPr>
        <w:tc>
          <w:tcPr>
            <w:tcMar>
              <w:left w:w="57" w:type="dxa"/>
              <w:right w:w="57" w:type="dxa"/>
            </w:tcMar>
            <w:tcW w:w="859" w:type="dxa"/>
            <w:vAlign w:val="center"/>
            <w:textDirection w:val="lrTb"/>
            <w:noWrap w:val="false"/>
          </w:tcPr>
          <w:p>
            <w:pPr>
              <w:pStyle w:val="809"/>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类别</w:t>
            </w:r>
            <w:r>
              <w:rPr>
                <w:rFonts w:ascii="宋体" w:hAnsi="宋体" w:cs="宋体"/>
                <w:b/>
                <w:bCs/>
                <w:color w:val="000000"/>
                <w:sz w:val="24"/>
                <w:szCs w:val="24"/>
                <w:highlight w:val="none"/>
                <w:lang w:val="zh-CN"/>
              </w:rPr>
            </w:r>
            <w:r/>
          </w:p>
        </w:tc>
        <w:tc>
          <w:tcPr>
            <w:tcMar>
              <w:left w:w="57" w:type="dxa"/>
              <w:right w:w="57" w:type="dxa"/>
            </w:tcMar>
            <w:tcW w:w="475" w:type="dxa"/>
            <w:vAlign w:val="center"/>
            <w:textDirection w:val="lrTb"/>
            <w:noWrap w:val="false"/>
          </w:tcPr>
          <w:p>
            <w:pPr>
              <w:pStyle w:val="809"/>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分值</w:t>
            </w:r>
            <w:r>
              <w:rPr>
                <w:rFonts w:ascii="宋体" w:hAnsi="宋体" w:cs="宋体"/>
                <w:b/>
                <w:bCs/>
                <w:color w:val="000000"/>
                <w:sz w:val="24"/>
                <w:szCs w:val="24"/>
                <w:highlight w:val="none"/>
                <w:lang w:val="zh-CN"/>
              </w:rPr>
            </w:r>
            <w:r/>
          </w:p>
        </w:tc>
        <w:tc>
          <w:tcPr>
            <w:tcMar>
              <w:left w:w="57" w:type="dxa"/>
              <w:right w:w="57" w:type="dxa"/>
            </w:tcMar>
            <w:tcW w:w="3665" w:type="dxa"/>
            <w:vAlign w:val="center"/>
            <w:textDirection w:val="lrTb"/>
            <w:noWrap w:val="false"/>
          </w:tcPr>
          <w:p>
            <w:pPr>
              <w:pStyle w:val="809"/>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评分细则</w:t>
            </w:r>
            <w:r>
              <w:rPr>
                <w:rFonts w:ascii="宋体" w:hAnsi="宋体" w:cs="宋体"/>
                <w:b/>
                <w:bCs/>
                <w:color w:val="000000"/>
                <w:sz w:val="24"/>
                <w:szCs w:val="24"/>
                <w:highlight w:val="none"/>
                <w:lang w:val="zh-CN"/>
              </w:rPr>
            </w:r>
            <w:r/>
          </w:p>
        </w:tc>
      </w:tr>
      <w:tr>
        <w:trPr>
          <w:trHeight w:val="1117"/>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投标报价</w:t>
            </w:r>
            <w:r>
              <w:rPr>
                <w:rFonts w:hint="eastAsia" w:ascii="宋体" w:hAnsi="宋体" w:cs="宋体"/>
                <w:b/>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满足招标文件要求且投标价格最低的投标报价为评标基准价，其价格分为满分。</w:t>
            </w:r>
            <w:r>
              <w:rPr>
                <w:rFonts w:hint="eastAsia" w:ascii="宋体" w:hAnsi="宋体" w:cs="宋体"/>
                <w:color w:val="000000"/>
                <w:sz w:val="24"/>
                <w:szCs w:val="24"/>
                <w:highlight w:val="none"/>
                <w:lang w:val="zh-CN"/>
              </w:rPr>
            </w:r>
            <w:r/>
          </w:p>
          <w:p>
            <w:pPr>
              <w:pStyle w:val="809"/>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投标报价得分=（评标基准价/投标报价）×</w:t>
            </w:r>
            <w:r>
              <w:rPr>
                <w:rFonts w:hint="eastAsia" w:ascii="宋体" w:hAnsi="宋体" w:cs="宋体"/>
                <w:color w:val="000000"/>
                <w:sz w:val="24"/>
                <w:szCs w:val="24"/>
                <w:highlight w:val="none"/>
              </w:rPr>
              <w:t xml:space="preserve">10（保留两位小数）。</w:t>
            </w:r>
            <w:r>
              <w:rPr>
                <w:rFonts w:hint="eastAsia" w:ascii="宋体" w:hAnsi="宋体" w:cs="宋体"/>
                <w:color w:val="000000"/>
                <w:sz w:val="24"/>
                <w:szCs w:val="24"/>
                <w:highlight w:val="none"/>
              </w:rPr>
            </w:r>
            <w:r/>
          </w:p>
        </w:tc>
      </w:tr>
      <w:tr>
        <w:trPr>
          <w:trHeight w:val="610"/>
        </w:trPr>
        <w:tc>
          <w:tcPr>
            <w:gridSpan w:val="3"/>
            <w:tcMar>
              <w:left w:w="57" w:type="dxa"/>
              <w:right w:w="57" w:type="dxa"/>
            </w:tcMar>
            <w:tcW w:w="9834" w:type="dxa"/>
            <w:vAlign w:val="center"/>
            <w:textDirection w:val="lrTb"/>
            <w:noWrap w:val="false"/>
          </w:tcPr>
          <w:p>
            <w:pPr>
              <w:pStyle w:val="809"/>
              <w:jc w:val="center"/>
              <w:spacing w:line="320" w:lineRule="exact"/>
              <w:rPr>
                <w:rFonts w:cs="宋体"/>
                <w:b/>
                <w:color w:val="000000"/>
                <w:highlight w:val="none"/>
                <w:lang w:val="zh-CN"/>
              </w:rPr>
            </w:pPr>
            <w:r>
              <w:rPr>
                <w:rFonts w:hint="eastAsia" w:ascii="宋体" w:hAnsi="宋体" w:cs="宋体"/>
                <w:b/>
                <w:bCs/>
                <w:color w:val="000000"/>
                <w:sz w:val="24"/>
                <w:szCs w:val="24"/>
                <w:highlight w:val="none"/>
                <w:lang w:val="zh-CN"/>
              </w:rPr>
              <w:t xml:space="preserve">技术部分（</w:t>
            </w:r>
            <w:r>
              <w:rPr>
                <w:rFonts w:hint="eastAsia" w:ascii="宋体" w:hAnsi="宋体" w:cs="宋体"/>
                <w:b/>
                <w:bCs/>
                <w:color w:val="000000"/>
                <w:sz w:val="24"/>
                <w:szCs w:val="24"/>
                <w:highlight w:val="none"/>
              </w:rPr>
              <w:t xml:space="preserve">50</w:t>
            </w:r>
            <w:r>
              <w:rPr>
                <w:rFonts w:hint="eastAsia" w:ascii="宋体" w:hAnsi="宋体" w:cs="宋体"/>
                <w:b/>
                <w:bCs/>
                <w:color w:val="000000"/>
                <w:sz w:val="24"/>
                <w:szCs w:val="24"/>
                <w:highlight w:val="none"/>
                <w:lang w:val="zh-CN"/>
              </w:rPr>
              <w:t xml:space="preserve">分）</w:t>
            </w:r>
            <w:r>
              <w:rPr>
                <w:rFonts w:cs="宋体"/>
                <w:b/>
                <w:color w:val="000000"/>
                <w:highlight w:val="none"/>
                <w:lang w:val="zh-CN"/>
              </w:rPr>
            </w:r>
            <w:r/>
          </w:p>
        </w:tc>
      </w:tr>
      <w:tr>
        <w:trPr>
          <w:trHeight w:val="2137"/>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协审实施大纲</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供应商根据第四章第</w:t>
            </w: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val="zh-CN"/>
              </w:rPr>
              <w:t xml:space="preserve">款的“技术方案要求”，至少要包括</w:t>
            </w:r>
            <w:r>
              <w:rPr>
                <w:rFonts w:hint="eastAsia" w:ascii="宋体" w:hAnsi="宋体"/>
                <w:color w:val="000000"/>
                <w:sz w:val="24"/>
                <w:szCs w:val="24"/>
                <w:highlight w:val="none"/>
              </w:rPr>
              <w:t xml:space="preserve">(1)协审人员管理；（2）造价控制流程；（3）造价审核方法、关键环节控制</w:t>
            </w:r>
            <w:bookmarkStart w:id="184" w:name="OLE_LINK14"/>
            <w:r>
              <w:rPr>
                <w:rFonts w:hint="eastAsia" w:ascii="宋体" w:hAnsi="宋体"/>
                <w:color w:val="000000"/>
                <w:sz w:val="24"/>
                <w:szCs w:val="24"/>
                <w:highlight w:val="none"/>
              </w:rPr>
              <w:t xml:space="preserve">；（4）</w:t>
            </w:r>
            <w:bookmarkEnd w:id="184"/>
            <w:r>
              <w:rPr>
                <w:rFonts w:hint="eastAsia" w:ascii="宋体" w:hAnsi="宋体"/>
                <w:color w:val="000000"/>
                <w:sz w:val="24"/>
                <w:szCs w:val="24"/>
                <w:highlight w:val="none"/>
              </w:rPr>
              <w:t xml:space="preserve">协审质量及效率保证措施</w:t>
            </w:r>
            <w:bookmarkStart w:id="185" w:name="OLE_LINK15"/>
            <w:r>
              <w:rPr>
                <w:rFonts w:hint="eastAsia" w:ascii="宋体" w:hAnsi="宋体"/>
                <w:color w:val="000000"/>
                <w:sz w:val="24"/>
                <w:szCs w:val="24"/>
                <w:highlight w:val="none"/>
              </w:rPr>
              <w:t xml:space="preserve">；(5)</w:t>
            </w:r>
            <w:bookmarkEnd w:id="185"/>
            <w:r>
              <w:rPr>
                <w:rFonts w:hint="eastAsia" w:ascii="宋体" w:hAnsi="宋体"/>
                <w:color w:val="000000"/>
                <w:sz w:val="24"/>
                <w:szCs w:val="24"/>
                <w:highlight w:val="none"/>
              </w:rPr>
              <w:t xml:space="preserve">档案管理；(6)廉洁管理</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09"/>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2155"/>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思路及建议</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供应商根据第四章第五款的“技术方案要求”，至少要包括</w:t>
            </w:r>
            <w:r>
              <w:rPr>
                <w:rFonts w:hint="eastAsia" w:ascii="宋体" w:hAnsi="宋体"/>
                <w:color w:val="000000"/>
                <w:sz w:val="24"/>
                <w:szCs w:val="24"/>
                <w:highlight w:val="none"/>
              </w:rPr>
              <w:t xml:space="preserve">(1)</w:t>
            </w:r>
            <w:bookmarkStart w:id="186" w:name="OLE_LINK64"/>
            <w:r>
              <w:rPr>
                <w:rFonts w:hint="eastAsia" w:ascii="宋体" w:hAnsi="宋体"/>
                <w:color w:val="000000"/>
                <w:sz w:val="24"/>
                <w:szCs w:val="24"/>
                <w:highlight w:val="none"/>
              </w:rPr>
              <w:t xml:space="preserve">审核</w:t>
            </w:r>
            <w:bookmarkEnd w:id="186"/>
            <w:r>
              <w:rPr>
                <w:rFonts w:hint="eastAsia" w:ascii="宋体" w:hAnsi="宋体"/>
                <w:color w:val="000000"/>
                <w:sz w:val="24"/>
                <w:szCs w:val="24"/>
                <w:highlight w:val="none"/>
              </w:rPr>
              <w:t xml:space="preserve">重点；(2)审核难点；(3)造价控制精细化管理思路；(4)合理化建议</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09"/>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rPr>
            </w:r>
            <w:r/>
          </w:p>
        </w:tc>
      </w:tr>
      <w:tr>
        <w:trPr>
          <w:trHeight w:val="2424"/>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lang w:val="zh-CN"/>
              </w:rPr>
            </w:pPr>
            <w:r>
              <w:rPr>
                <w:rFonts w:hint="eastAsia" w:ascii="宋体" w:hAnsi="宋体"/>
                <w:color w:val="000000"/>
                <w:sz w:val="24"/>
                <w:szCs w:val="24"/>
                <w:highlight w:val="none"/>
              </w:rPr>
              <w:t xml:space="preserve">案例总结报告</w:t>
            </w:r>
            <w:r>
              <w:rPr>
                <w:rFonts w:hint="eastAsia" w:ascii="宋体" w:hAnsi="宋体" w:cs="宋体"/>
                <w:color w:val="000000"/>
                <w:sz w:val="24"/>
                <w:szCs w:val="24"/>
                <w:highlight w:val="none"/>
                <w:lang w:val="zh-CN"/>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lang w:val="zh-CN"/>
              </w:rPr>
            </w:r>
            <w:r/>
          </w:p>
        </w:tc>
        <w:tc>
          <w:tcPr>
            <w:tcMar>
              <w:left w:w="57" w:type="dxa"/>
              <w:right w:w="57" w:type="dxa"/>
            </w:tcMar>
            <w:tcW w:w="3665" w:type="dxa"/>
            <w:vAlign w:val="center"/>
            <w:textDirection w:val="lrTb"/>
            <w:noWrap w:val="false"/>
          </w:tcPr>
          <w:p>
            <w:pPr>
              <w:pStyle w:val="809"/>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供应商根据第四章</w:t>
            </w:r>
            <w:r>
              <w:rPr>
                <w:rFonts w:hint="eastAsia" w:ascii="宋体" w:hAnsi="宋体" w:cs="宋体"/>
                <w:color w:val="000000"/>
                <w:sz w:val="24"/>
                <w:szCs w:val="24"/>
                <w:highlight w:val="none"/>
                <w:lang w:val="zh-CN"/>
              </w:rPr>
              <w:t xml:space="preserve">第五款“技术方案要求”，至少要包括</w:t>
            </w:r>
            <w:bookmarkStart w:id="187" w:name="OLE_LINK33"/>
            <w:r>
              <w:rPr>
                <w:rFonts w:hint="eastAsia" w:ascii="宋体" w:hAnsi="宋体"/>
                <w:color w:val="000000"/>
                <w:sz w:val="24"/>
                <w:szCs w:val="24"/>
                <w:highlight w:val="none"/>
              </w:rPr>
              <w:t xml:space="preserve">（1）</w:t>
            </w:r>
            <w:bookmarkEnd w:id="187"/>
            <w:r>
              <w:rPr>
                <w:rFonts w:hint="eastAsia" w:ascii="宋体" w:hAnsi="宋体"/>
                <w:color w:val="000000"/>
                <w:sz w:val="24"/>
                <w:szCs w:val="24"/>
                <w:highlight w:val="none"/>
              </w:rPr>
              <w:t xml:space="preserve">概算控制；（2）招标控制价审核；（3）项目变更、签证审核；（4）工程结算审核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2296"/>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bookmarkStart w:id="188" w:name="OLE_LINK74"/>
            <w:r>
              <w:rPr>
                <w:rFonts w:hint="eastAsia" w:ascii="宋体" w:hAnsi="宋体"/>
                <w:color w:val="000000"/>
                <w:sz w:val="24"/>
                <w:szCs w:val="24"/>
                <w:highlight w:val="none"/>
              </w:rPr>
              <w:t xml:space="preserve">内控制度</w:t>
            </w:r>
            <w:bookmarkEnd w:id="188"/>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供应商根据第四章第五款“技术方案要求”，至少要包括</w:t>
            </w:r>
            <w:r>
              <w:rPr>
                <w:rFonts w:hint="eastAsia" w:ascii="宋体" w:hAnsi="宋体"/>
                <w:color w:val="000000"/>
                <w:sz w:val="24"/>
                <w:szCs w:val="24"/>
                <w:highlight w:val="none"/>
              </w:rPr>
              <w:t xml:space="preserve">（1）业务流程规范；（2）审核质量；（3）审核效率；（4）风险防控</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9"/>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548"/>
        </w:trPr>
        <w:tc>
          <w:tcPr>
            <w:gridSpan w:val="3"/>
            <w:tcMar>
              <w:left w:w="57" w:type="dxa"/>
              <w:right w:w="57" w:type="dxa"/>
            </w:tcMar>
            <w:tcW w:w="9834" w:type="dxa"/>
            <w:vAlign w:val="center"/>
            <w:textDirection w:val="lrTb"/>
            <w:noWrap w:val="false"/>
          </w:tcPr>
          <w:p>
            <w:pPr>
              <w:pStyle w:val="809"/>
              <w:jc w:val="center"/>
              <w:spacing w:line="320" w:lineRule="exact"/>
              <w:rPr>
                <w:rFonts w:ascii="宋体" w:hAnsi="宋体" w:cs="宋体"/>
                <w:b/>
                <w:color w:val="000000"/>
                <w:highlight w:val="none"/>
                <w:lang w:val="zh-TW"/>
              </w:rPr>
            </w:pPr>
            <w:r>
              <w:rPr>
                <w:rFonts w:hint="eastAsia" w:ascii="宋体" w:hAnsi="宋体" w:cs="宋体"/>
                <w:b/>
                <w:color w:val="000000"/>
                <w:sz w:val="24"/>
                <w:szCs w:val="24"/>
                <w:highlight w:val="none"/>
                <w:lang w:val="zh-CN"/>
              </w:rPr>
              <w:t xml:space="preserve">商务部分（</w:t>
            </w:r>
            <w:r>
              <w:rPr>
                <w:rFonts w:hint="eastAsia" w:ascii="宋体" w:hAnsi="宋体" w:cs="宋体"/>
                <w:b/>
                <w:color w:val="000000"/>
                <w:sz w:val="24"/>
                <w:szCs w:val="24"/>
                <w:highlight w:val="none"/>
              </w:rPr>
              <w:t xml:space="preserve">40</w:t>
            </w:r>
            <w:r>
              <w:rPr>
                <w:rFonts w:hint="eastAsia" w:ascii="宋体" w:hAnsi="宋体" w:cs="宋体"/>
                <w:b/>
                <w:color w:val="000000"/>
                <w:sz w:val="24"/>
                <w:szCs w:val="24"/>
                <w:highlight w:val="none"/>
                <w:lang w:val="zh-CN"/>
              </w:rPr>
              <w:t xml:space="preserve">分）</w:t>
            </w:r>
            <w:r>
              <w:rPr>
                <w:rFonts w:ascii="宋体" w:hAnsi="宋体" w:cs="宋体"/>
                <w:b/>
                <w:color w:val="000000"/>
                <w:highlight w:val="none"/>
                <w:lang w:val="zh-TW"/>
              </w:rPr>
            </w:r>
            <w:r/>
          </w:p>
        </w:tc>
      </w:tr>
      <w:tr>
        <w:trPr>
          <w:trHeight w:val="2317"/>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1.投标人自2021年1月1日以来（以合同签订时间为准），独立承担过同类工程跟踪审核（必须含结算审核）、或全过程工程造价控制（必须含结算审核）、或结算审核业绩的，每提供一个得4分，最高得12分。</w:t>
            </w:r>
            <w:r>
              <w:rPr>
                <w:rFonts w:hint="eastAsia" w:ascii="宋体" w:hAnsi="宋体" w:cs="宋体"/>
                <w:color w:val="000000"/>
                <w:sz w:val="24"/>
                <w:szCs w:val="24"/>
                <w:highlight w:val="none"/>
              </w:rPr>
            </w:r>
            <w:r/>
          </w:p>
          <w:p>
            <w:pPr>
              <w:pStyle w:val="809"/>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①投标人至少提供业绩的合同关键页（包含合同首末页、签署页、标的页、签订时间等）复印件加盖投标人公章；合同关键页的内容如不能反映的，另须提供盖有原委托单位公章的证明，否则不予认可。</w:t>
            </w: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同类工程是指路面日常维护、修复养护、新建或改扩建等公路施工工程。</w:t>
            </w:r>
            <w:r>
              <w:rPr>
                <w:rFonts w:ascii="宋体" w:hAnsi="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自2021年1月1日以来（以合同签订时间为准），以项目负责人身份独立承担过同类工程跟踪审核（必须含结算审核）、或全过程工程造价控制（必须含结算审核）、或结算审核业绩的，得4分，该项合计最高得8分。</w:t>
            </w:r>
            <w:r>
              <w:rPr>
                <w:rFonts w:hint="eastAsia" w:ascii="宋体" w:hAnsi="宋体" w:cs="宋体"/>
                <w:color w:val="000000"/>
                <w:sz w:val="24"/>
                <w:szCs w:val="24"/>
                <w:highlight w:val="none"/>
              </w:rPr>
            </w:r>
            <w:r/>
          </w:p>
          <w:p>
            <w:pPr>
              <w:pStyle w:val="809"/>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①投标人至少提供业绩的合同关键页（包含合同首末页、签署页、标的页、签订时间等）复印件加盖投标人公章；合同关键页的内容(或项目负责人姓名的)如不能反映的，另须提供盖有原委托单位公章的证明，否则不予认可。</w:t>
            </w: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同类工程是指路面日常维护、修复养护、新建或改扩建等公路施工工程。③合同须能反映项目名称、主要标的物以及项目负责人名字，签订时间和签章清晰可见。合同内容中不能体现项目负责人名字的，须提供有效的佐证材料。</w:t>
            </w:r>
            <w:r>
              <w:rPr>
                <w:rFonts w:ascii="宋体" w:hAnsi="宋体" w:cs="宋体"/>
                <w:color w:val="000000"/>
                <w:sz w:val="24"/>
                <w:szCs w:val="24"/>
                <w:highlight w:val="none"/>
              </w:rPr>
            </w:r>
            <w:r/>
          </w:p>
        </w:tc>
      </w:tr>
      <w:tr>
        <w:trPr>
          <w:trHeight w:val="438"/>
        </w:trPr>
        <w:tc>
          <w:tcPr>
            <w:tcMar>
              <w:left w:w="57" w:type="dxa"/>
              <w:right w:w="57" w:type="dxa"/>
            </w:tcMar>
            <w:tcW w:w="859" w:type="dxa"/>
            <w:vAlign w:val="center"/>
            <w:textDirection w:val="lrTb"/>
            <w:noWrap w:val="false"/>
          </w:tcPr>
          <w:p>
            <w:pPr>
              <w:pStyle w:val="809"/>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项目团队配置</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809"/>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1.拟派项目负责人</w:t>
            </w:r>
            <w:r>
              <w:rPr>
                <w:rFonts w:hint="eastAsia" w:ascii="宋体" w:hAnsi="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职称：具有工程类高级及以上技术职称得5分；具有工程类中级技术职称得2.5分。</w:t>
            </w:r>
            <w:r>
              <w:rPr>
                <w:rFonts w:hint="eastAsia" w:ascii="宋体" w:hAnsi="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执业资格：</w:t>
            </w:r>
            <w:r>
              <w:rPr>
                <w:rFonts w:ascii="宋体" w:hAnsi="宋体" w:cs="宋体"/>
                <w:color w:val="000000"/>
                <w:sz w:val="24"/>
                <w:szCs w:val="24"/>
                <w:highlight w:val="none"/>
              </w:rPr>
              <w:t xml:space="preserve">具</w:t>
            </w:r>
            <w:r>
              <w:rPr>
                <w:rFonts w:hint="eastAsia" w:ascii="宋体" w:hAnsi="宋体" w:cs="宋体"/>
                <w:color w:val="000000"/>
                <w:sz w:val="24"/>
                <w:szCs w:val="24"/>
                <w:highlight w:val="none"/>
              </w:rPr>
              <w:t xml:space="preserve">有一级注册造价工程师（交通运输工程专业）</w:t>
            </w:r>
            <w:r>
              <w:rPr>
                <w:rFonts w:ascii="宋体" w:hAnsi="宋体" w:cs="宋体"/>
                <w:color w:val="000000"/>
                <w:sz w:val="24"/>
                <w:szCs w:val="24"/>
                <w:highlight w:val="none"/>
              </w:rPr>
              <w:t xml:space="preserve">证书得</w:t>
            </w: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p>
            <w:pPr>
              <w:pStyle w:val="809"/>
              <w:ind w:firstLine="480"/>
              <w:jc w:val="left"/>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依据：提供项目负责人执业注册证书原件扫描件及公路工程造价人员管理系统查询截图、技术职称证书复印件、在本单位近一个月缴纳社保证明；未提供或提供不全的，不得分。上述证明材料为复印件的并同时加盖投标单位公章，进行计分。</w:t>
            </w:r>
            <w:r>
              <w:rPr>
                <w:rFonts w:hint="eastAsia" w:ascii="宋体" w:hAnsi="宋体" w:eastAsia="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2.拟派常驻协审人员</w:t>
            </w:r>
            <w:r>
              <w:rPr>
                <w:rFonts w:hint="eastAsia" w:ascii="宋体" w:hAnsi="宋体" w:cs="宋体"/>
                <w:color w:val="000000"/>
                <w:sz w:val="24"/>
                <w:szCs w:val="24"/>
                <w:highlight w:val="none"/>
              </w:rPr>
            </w:r>
            <w:r/>
          </w:p>
          <w:p>
            <w:pPr>
              <w:pStyle w:val="809"/>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每有1人具有一级注册造价工程师（土建或交通运输工程专业）证书的得2.5分；最高得10分。</w:t>
            </w:r>
            <w:r>
              <w:rPr>
                <w:rFonts w:hint="eastAsia" w:ascii="宋体" w:hAnsi="宋体" w:cs="宋体"/>
                <w:color w:val="000000"/>
                <w:sz w:val="24"/>
                <w:szCs w:val="24"/>
                <w:highlight w:val="none"/>
              </w:rPr>
            </w:r>
            <w:r/>
          </w:p>
          <w:p>
            <w:pPr>
              <w:pStyle w:val="809"/>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评审依据：提供常驻协审人员执业注册证书原件扫描件及全国建筑市场监管公共服务平台(四库一平台)执业注册信息</w:t>
            </w:r>
            <w:r>
              <w:rPr>
                <w:rFonts w:hint="eastAsia" w:ascii="宋体" w:hAnsi="宋体" w:cs="宋体"/>
                <w:color w:val="000000"/>
                <w:sz w:val="24"/>
                <w:szCs w:val="24"/>
                <w:highlight w:val="none"/>
                <w:lang w:val="en-US" w:eastAsia="zh-CN"/>
              </w:rPr>
              <w:t xml:space="preserve">或</w:t>
            </w:r>
            <w:r>
              <w:rPr>
                <w:rFonts w:hint="eastAsia" w:ascii="宋体" w:hAnsi="宋体" w:cs="宋体"/>
                <w:color w:val="000000"/>
                <w:sz w:val="24"/>
                <w:szCs w:val="24"/>
                <w:highlight w:val="none"/>
              </w:rPr>
              <w:t xml:space="preserve">公路工程造价人员管理系统查询截图、在本单位近一个月缴纳社保证明；未提供或提供不全的，不得分。上述证明材料为复印件的并同时加盖投标单位公章，进行计分。</w:t>
            </w:r>
            <w:r>
              <w:rPr>
                <w:rFonts w:ascii="宋体" w:hAnsi="宋体" w:cs="宋体"/>
                <w:color w:val="000000"/>
                <w:sz w:val="24"/>
                <w:szCs w:val="24"/>
                <w:highlight w:val="none"/>
              </w:rPr>
            </w:r>
            <w:r/>
          </w:p>
        </w:tc>
      </w:tr>
    </w:tbl>
    <w:p>
      <w:pPr>
        <w:pStyle w:val="840"/>
        <w:rPr>
          <w:color w:val="000000"/>
          <w:highlight w:val="none"/>
        </w:rPr>
      </w:pPr>
      <w:r>
        <w:rPr>
          <w:color w:val="000000"/>
          <w:highlight w:val="none"/>
        </w:rPr>
      </w:r>
      <w:r/>
    </w:p>
    <w:p>
      <w:pPr>
        <w:pStyle w:val="809"/>
        <w:ind w:firstLine="480"/>
        <w:spacing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说明：</w:t>
      </w:r>
      <w:r>
        <w:rPr>
          <w:rFonts w:hint="eastAsia" w:hAnsi="宋体" w:cs="宋体"/>
          <w:color w:val="000000"/>
          <w:sz w:val="24"/>
          <w:szCs w:val="24"/>
          <w:highlight w:val="none"/>
        </w:rPr>
      </w:r>
      <w:r/>
    </w:p>
    <w:p>
      <w:pPr>
        <w:pStyle w:val="809"/>
        <w:ind w:firstLine="480"/>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1、投标人对所提供资料的真实性负责。招标人保留对中标单位所有资料进行复核的权利。如有弄虚作假者，一经发现，立即取消其中标资格。</w:t>
      </w:r>
      <w:r>
        <w:rPr>
          <w:rFonts w:hAnsi="宋体" w:cs="宋体"/>
          <w:color w:val="000000"/>
          <w:sz w:val="24"/>
          <w:szCs w:val="24"/>
          <w:highlight w:val="none"/>
        </w:rPr>
      </w:r>
      <w:r/>
    </w:p>
    <w:p>
      <w:pPr>
        <w:pStyle w:val="809"/>
        <w:ind w:firstLine="480"/>
        <w:spacing w:line="500" w:lineRule="exact"/>
        <w:rPr>
          <w:rFonts w:ascii="宋体" w:hAnsi="宋体" w:cs="Courier New"/>
          <w:bCs/>
          <w:color w:val="000000"/>
          <w:sz w:val="24"/>
          <w:szCs w:val="24"/>
          <w:highlight w:val="none"/>
        </w:rPr>
      </w:pPr>
      <w:r>
        <w:rPr>
          <w:rFonts w:hint="eastAsia" w:hAnsi="宋体" w:cs="宋体"/>
          <w:color w:val="000000"/>
          <w:sz w:val="24"/>
          <w:szCs w:val="24"/>
          <w:highlight w:val="none"/>
        </w:rPr>
        <w:t xml:space="preserve">2、所有认证、证明等均以有效的并加盖公章的复印件为计分依据。</w:t>
      </w:r>
      <w:r>
        <w:rPr>
          <w:rFonts w:hint="eastAsia" w:ascii="宋体" w:hAnsi="宋体" w:cs="Courier New"/>
          <w:bCs/>
          <w:color w:val="000000"/>
          <w:sz w:val="24"/>
          <w:szCs w:val="24"/>
          <w:highlight w:val="none"/>
        </w:rPr>
        <w:br w:type="page" w:clear="all"/>
      </w:r>
      <w:r>
        <w:rPr>
          <w:rFonts w:ascii="宋体" w:hAnsi="宋体" w:cs="Courier New"/>
          <w:bCs/>
          <w:color w:val="000000"/>
          <w:sz w:val="24"/>
          <w:szCs w:val="24"/>
          <w:highlight w:val="none"/>
        </w:rPr>
      </w:r>
      <w:r/>
    </w:p>
    <w:p>
      <w:pPr>
        <w:pStyle w:val="810"/>
        <w:rPr>
          <w:rFonts w:ascii="黑体" w:eastAsia="黑体"/>
          <w:bCs/>
          <w:color w:val="000000"/>
          <w:sz w:val="44"/>
          <w:highlight w:val="none"/>
        </w:rPr>
      </w:pPr>
      <w:r>
        <w:rPr>
          <w:rFonts w:hint="eastAsia" w:ascii="黑体" w:eastAsia="黑体"/>
          <w:bCs/>
          <w:color w:val="000000"/>
          <w:sz w:val="44"/>
          <w:highlight w:val="none"/>
        </w:rPr>
        <w:t xml:space="preserve">第六章  投标</w:t>
      </w:r>
      <w:bookmarkEnd w:id="179"/>
      <w:r/>
      <w:bookmarkEnd w:id="180"/>
      <w:r/>
      <w:bookmarkEnd w:id="183"/>
      <w:r>
        <w:rPr>
          <w:rFonts w:hint="eastAsia" w:ascii="黑体" w:eastAsia="黑体"/>
          <w:bCs/>
          <w:color w:val="000000"/>
          <w:sz w:val="44"/>
          <w:highlight w:val="none"/>
        </w:rPr>
        <w:t xml:space="preserve">文件格式 </w:t>
      </w:r>
      <w:r>
        <w:rPr>
          <w:rFonts w:ascii="黑体" w:eastAsia="黑体"/>
          <w:bCs/>
          <w:color w:val="000000"/>
          <w:sz w:val="44"/>
          <w:highlight w:val="none"/>
        </w:rPr>
      </w:r>
      <w:r/>
    </w:p>
    <w:p>
      <w:pPr>
        <w:pStyle w:val="809"/>
        <w:jc w:val="center"/>
        <w:rPr>
          <w:rFonts w:ascii="宋体" w:hAnsi="宋体"/>
          <w:b/>
          <w:color w:val="000000"/>
          <w:sz w:val="72"/>
          <w:highlight w:val="none"/>
        </w:rPr>
      </w:pPr>
      <w:r/>
      <w:bookmarkStart w:id="189" w:name="_Toc120614282"/>
      <w:r/>
      <w:bookmarkStart w:id="190" w:name="_Toc49090576"/>
      <w:r/>
      <w:bookmarkStart w:id="191" w:name="_Toc26554094"/>
      <w:r>
        <w:rPr>
          <w:rFonts w:ascii="宋体" w:hAnsi="宋体"/>
          <w:b/>
          <w:color w:val="000000"/>
          <w:sz w:val="72"/>
          <w:highlight w:val="none"/>
        </w:rPr>
      </w:r>
      <w:r/>
    </w:p>
    <w:p>
      <w:pPr>
        <w:pStyle w:val="809"/>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09"/>
        <w:jc w:val="center"/>
        <w:rPr>
          <w:rFonts w:ascii="黑体" w:hAnsi="黑体" w:eastAsia="黑体"/>
          <w:b/>
          <w:color w:val="000000"/>
          <w:sz w:val="36"/>
          <w:highlight w:val="none"/>
        </w:rPr>
      </w:pPr>
      <w:r>
        <w:rPr>
          <w:rFonts w:ascii="黑体" w:hAnsi="黑体" w:eastAsia="黑体"/>
          <w:b/>
          <w:color w:val="000000"/>
          <w:sz w:val="36"/>
          <w:highlight w:val="none"/>
        </w:rPr>
      </w:r>
      <w:r/>
    </w:p>
    <w:p>
      <w:pPr>
        <w:pStyle w:val="809"/>
        <w:jc w:val="center"/>
        <w:rPr>
          <w:rFonts w:ascii="宋体" w:hAnsi="宋体"/>
          <w:b/>
          <w:color w:val="000000"/>
          <w:sz w:val="72"/>
          <w:highlight w:val="none"/>
        </w:rPr>
      </w:pPr>
      <w:r>
        <w:rPr>
          <w:rFonts w:ascii="宋体" w:hAnsi="宋体"/>
          <w:b/>
          <w:color w:val="000000"/>
          <w:sz w:val="72"/>
          <w:highlight w:val="none"/>
        </w:rPr>
      </w:r>
      <w:r/>
    </w:p>
    <w:p>
      <w:pPr>
        <w:pStyle w:val="809"/>
        <w:jc w:val="center"/>
        <w:rPr>
          <w:rFonts w:hint="eastAsia" w:ascii="宋体" w:hAnsi="宋体"/>
          <w:b/>
          <w:color w:val="000000"/>
          <w:sz w:val="72"/>
          <w:highlight w:val="none"/>
        </w:rPr>
      </w:pPr>
      <w:r>
        <w:rPr>
          <w:rFonts w:hint="eastAsia" w:ascii="宋体" w:hAnsi="宋体"/>
          <w:b/>
          <w:color w:val="000000"/>
          <w:sz w:val="72"/>
          <w:highlight w:val="none"/>
        </w:rPr>
      </w:r>
      <w:r/>
    </w:p>
    <w:p>
      <w:pPr>
        <w:pStyle w:val="809"/>
        <w:jc w:val="center"/>
        <w:rPr>
          <w:rFonts w:ascii="宋体" w:hAnsi="宋体"/>
          <w:b/>
          <w:color w:val="000000"/>
          <w:sz w:val="36"/>
          <w:highlight w:val="none"/>
        </w:rPr>
      </w:pPr>
      <w:r>
        <w:rPr>
          <w:rFonts w:ascii="宋体" w:hAnsi="宋体"/>
          <w:b/>
          <w:color w:val="000000"/>
          <w:sz w:val="36"/>
          <w:highlight w:val="none"/>
        </w:rPr>
      </w:r>
      <w:r/>
    </w:p>
    <w:p>
      <w:pPr>
        <w:pStyle w:val="809"/>
        <w:jc w:val="center"/>
        <w:rPr>
          <w:rFonts w:ascii="宋体" w:hAnsi="宋体"/>
          <w:b/>
          <w:color w:val="000000"/>
          <w:sz w:val="36"/>
          <w:highlight w:val="none"/>
        </w:rPr>
      </w:pPr>
      <w:r>
        <w:rPr>
          <w:rFonts w:ascii="宋体" w:hAnsi="宋体"/>
          <w:b/>
          <w:color w:val="000000"/>
          <w:sz w:val="36"/>
          <w:highlight w:val="none"/>
        </w:rPr>
      </w:r>
      <w:r/>
    </w:p>
    <w:p>
      <w:pPr>
        <w:pStyle w:val="809"/>
        <w:jc w:val="center"/>
        <w:rPr>
          <w:rFonts w:ascii="宋体" w:hAnsi="宋体"/>
          <w:b/>
          <w:color w:val="000000"/>
          <w:sz w:val="36"/>
          <w:highlight w:val="none"/>
        </w:rPr>
      </w:pPr>
      <w:r>
        <w:rPr>
          <w:rFonts w:ascii="宋体" w:hAnsi="宋体"/>
          <w:b/>
          <w:color w:val="000000"/>
          <w:sz w:val="36"/>
          <w:highlight w:val="none"/>
        </w:rPr>
      </w:r>
      <w:r/>
    </w:p>
    <w:p>
      <w:pPr>
        <w:pStyle w:val="809"/>
        <w:ind w:firstLine="1084"/>
        <w:rPr>
          <w:rFonts w:ascii="宋体" w:hAnsi="宋体"/>
          <w:b/>
          <w:color w:val="000000"/>
          <w:sz w:val="36"/>
          <w:highlight w:val="none"/>
        </w:rPr>
      </w:pPr>
      <w:r>
        <w:rPr>
          <w:rFonts w:ascii="宋体" w:hAnsi="宋体"/>
          <w:b/>
          <w:color w:val="000000"/>
          <w:sz w:val="36"/>
          <w:highlight w:val="none"/>
        </w:rPr>
      </w:r>
      <w:r/>
    </w:p>
    <w:p>
      <w:pPr>
        <w:pStyle w:val="809"/>
        <w:ind w:firstLine="1084"/>
        <w:rPr>
          <w:rFonts w:ascii="宋体" w:hAnsi="宋体"/>
          <w:b/>
          <w:color w:val="000000"/>
          <w:sz w:val="36"/>
          <w:highlight w:val="none"/>
        </w:rPr>
      </w:pPr>
      <w:r>
        <w:rPr>
          <w:rFonts w:ascii="宋体" w:hAnsi="宋体"/>
          <w:b/>
          <w:color w:val="000000"/>
          <w:sz w:val="36"/>
          <w:highlight w:val="none"/>
        </w:rPr>
      </w:r>
      <w:r/>
    </w:p>
    <w:p>
      <w:pPr>
        <w:pStyle w:val="809"/>
        <w:ind w:firstLine="1084"/>
        <w:spacing w:line="700" w:lineRule="exact"/>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spacing w:line="700" w:lineRule="exact"/>
        <w:rPr>
          <w:rFonts w:hint="eastAsia" w:ascii="宋体" w:hAnsi="宋体"/>
          <w:b/>
          <w:color w:val="000000"/>
          <w:sz w:val="36"/>
          <w:highlight w:val="none"/>
        </w:rPr>
      </w:pPr>
      <w:r>
        <w:rPr>
          <w:rFonts w:hint="eastAsia" w:ascii="宋体" w:hAnsi="宋体"/>
          <w:b/>
          <w:color w:val="000000"/>
          <w:sz w:val="36"/>
          <w:highlight w:val="none"/>
        </w:rPr>
        <w:t xml:space="preserve">      所 投 标 段：</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809"/>
        <w:ind w:firstLine="1084"/>
        <w:spacing w:line="700" w:lineRule="exact"/>
        <w:rPr>
          <w:rFonts w:ascii="宋体" w:hAnsi="宋体"/>
          <w:b/>
          <w:color w:val="000000"/>
          <w:sz w:val="36"/>
          <w:highlight w:val="none"/>
          <w:u w:val="single"/>
        </w:rPr>
      </w:pPr>
      <w:r>
        <w:rPr>
          <w:rFonts w:hint="eastAsia" w:ascii="宋体" w:hAnsi="宋体"/>
          <w:b/>
          <w:color w:val="000000"/>
          <w:sz w:val="36"/>
          <w:highlight w:val="none"/>
        </w:rPr>
        <w:t xml:space="preserve">投标人名称 ：</w:t>
      </w:r>
      <w:r>
        <w:rPr>
          <w:rFonts w:hint="eastAsia"/>
          <w:b/>
          <w:color w:val="000000"/>
          <w:sz w:val="36"/>
          <w:highlight w:val="none"/>
          <w:u w:val="single"/>
        </w:rPr>
        <w:t xml:space="preserve">（加盖CA电子公章）  </w:t>
      </w:r>
      <w:r>
        <w:rPr>
          <w:rFonts w:ascii="宋体" w:hAnsi="宋体"/>
          <w:b/>
          <w:color w:val="000000"/>
          <w:sz w:val="36"/>
          <w:highlight w:val="none"/>
          <w:u w:val="single"/>
        </w:rPr>
      </w:r>
      <w:r/>
    </w:p>
    <w:p>
      <w:pPr>
        <w:pStyle w:val="809"/>
        <w:spacing w:line="700" w:lineRule="exact"/>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9"/>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09"/>
        <w:ind w:firstLine="480"/>
        <w:spacing w:line="440" w:lineRule="exact"/>
        <w:rPr>
          <w:rFonts w:ascii="宋体" w:hAnsi="宋体"/>
          <w:color w:val="000000"/>
          <w:sz w:val="24"/>
          <w:highlight w:val="none"/>
        </w:rPr>
      </w:pPr>
      <w:r>
        <w:rPr>
          <w:rFonts w:ascii="宋体" w:hAnsi="宋体"/>
          <w:color w:val="000000"/>
          <w:sz w:val="24"/>
          <w:highlight w:val="none"/>
        </w:rPr>
      </w:r>
      <w:r/>
    </w:p>
    <w:p>
      <w:pPr>
        <w:pStyle w:val="809"/>
        <w:ind w:firstLine="480"/>
        <w:spacing w:line="440" w:lineRule="exact"/>
        <w:rPr>
          <w:rFonts w:ascii="宋体" w:hAnsi="宋体"/>
          <w:color w:val="000000"/>
          <w:sz w:val="24"/>
          <w:highlight w:val="none"/>
        </w:rPr>
      </w:pPr>
      <w:r>
        <w:rPr>
          <w:rFonts w:ascii="宋体" w:hAnsi="宋体"/>
          <w:color w:val="000000"/>
          <w:sz w:val="24"/>
          <w:highlight w:val="none"/>
        </w:rPr>
      </w:r>
      <w:r/>
    </w:p>
    <w:p>
      <w:pPr>
        <w:pStyle w:val="809"/>
        <w:jc w:val="center"/>
        <w:spacing w:line="440" w:lineRule="exact"/>
        <w:rPr>
          <w:rFonts w:hint="eastAsia"/>
          <w:b/>
          <w:bCs/>
          <w:color w:val="000000"/>
          <w:sz w:val="32"/>
          <w:szCs w:val="32"/>
          <w:highlight w:val="none"/>
        </w:rPr>
      </w:pPr>
      <w:r>
        <w:rPr>
          <w:rFonts w:ascii="宋体" w:hAnsi="宋体"/>
          <w:color w:val="000000"/>
          <w:sz w:val="24"/>
          <w:highlight w:val="none"/>
        </w:rPr>
        <w:br w:type="page" w:clear="all"/>
      </w:r>
      <w:bookmarkEnd w:id="189"/>
      <w:r/>
      <w:bookmarkEnd w:id="190"/>
      <w:r/>
      <w:bookmarkEnd w:id="191"/>
      <w:r>
        <w:rPr>
          <w:rFonts w:hint="eastAsia"/>
          <w:b/>
          <w:bCs/>
          <w:color w:val="000000"/>
          <w:sz w:val="32"/>
          <w:szCs w:val="32"/>
          <w:highlight w:val="none"/>
        </w:rPr>
        <w:t xml:space="preserve">投标主要文件目录</w:t>
      </w:r>
      <w:r>
        <w:rPr>
          <w:rFonts w:hint="eastAsia"/>
          <w:b/>
          <w:bCs/>
          <w:color w:val="000000"/>
          <w:sz w:val="32"/>
          <w:szCs w:val="32"/>
          <w:highlight w:val="none"/>
        </w:rPr>
      </w:r>
      <w:r/>
    </w:p>
    <w:p>
      <w:pPr>
        <w:pStyle w:val="809"/>
        <w:jc w:val="center"/>
        <w:spacing w:line="440" w:lineRule="exact"/>
        <w:rPr>
          <w:rFonts w:hint="eastAsia"/>
          <w:b/>
          <w:bCs/>
          <w:color w:val="000000"/>
          <w:sz w:val="32"/>
          <w:szCs w:val="32"/>
          <w:highlight w:val="none"/>
        </w:rPr>
      </w:pPr>
      <w:r>
        <w:rPr>
          <w:rFonts w:hint="eastAsia"/>
          <w:b/>
          <w:bCs/>
          <w:color w:val="000000"/>
          <w:sz w:val="32"/>
          <w:szCs w:val="32"/>
          <w:highlight w:val="none"/>
        </w:rPr>
      </w:r>
      <w:r/>
    </w:p>
    <w:p>
      <w:pPr>
        <w:pStyle w:val="809"/>
        <w:ind w:firstLine="480"/>
        <w:jc w:val="left"/>
        <w:widowControl/>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rFonts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二、上一年度的财务状况报表（至少提供资产负债表、利润表、现金流量表，</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投标人成立不满一年无需提供）</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三、具备履行合同所必需的设备和专业技术能力的书面声明</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四、依法缴纳税收和社会保障资金的相关材料（提供提交投标文件截止时间</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前一年内至少一个月依法缴纳税收及缴纳社会保障资金的证明材料。投标人依法享受缓缴、免缴税收、社会保障资金的提供证明材料）</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七、法人授权书</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八、投标函</w:t>
      </w:r>
      <w:r>
        <w:rPr>
          <w:rFonts w:hint="eastAsia" w:ascii="宋体" w:hAnsi="宋体" w:cs="宋体"/>
          <w:i/>
          <w:iCs/>
          <w:color w:val="000000"/>
          <w:sz w:val="24"/>
          <w:szCs w:val="24"/>
          <w:highlight w:val="none"/>
          <w:u w:val="singl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九、中小微企业声明函</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十一、技术要求响应及偏离表</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十二、商务要求响应及偏离表</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十三、开标一览表</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十四、项目负责人及服务团队人员一览表</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十五、服务方案</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十六、盐城市政府采购事前信用承诺书</w:t>
      </w:r>
      <w:r>
        <w:rPr>
          <w:rFonts w:hint="eastAsia" w:ascii="宋体" w:hAnsi="宋体" w:cs="宋体"/>
          <w:color w:val="000000"/>
          <w:sz w:val="24"/>
          <w:szCs w:val="24"/>
          <w:highlight w:val="none"/>
        </w:rPr>
      </w:r>
      <w:r/>
    </w:p>
    <w:p>
      <w:pPr>
        <w:pStyle w:val="80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十七、异常低价说明函</w:t>
      </w:r>
      <w:r>
        <w:rPr>
          <w:rFonts w:hint="eastAsia" w:ascii="宋体" w:hAnsi="宋体" w:cs="宋体"/>
          <w:color w:val="000000"/>
          <w:sz w:val="24"/>
          <w:szCs w:val="24"/>
          <w:highlight w:val="none"/>
        </w:rPr>
      </w:r>
      <w:r/>
    </w:p>
    <w:p>
      <w:pPr>
        <w:pStyle w:val="809"/>
        <w:ind w:firstLine="420"/>
        <w:spacing w:line="440" w:lineRule="exact"/>
        <w:rPr>
          <w:color w:val="000000"/>
          <w:highlight w:val="none"/>
        </w:rPr>
      </w:pPr>
      <w:r>
        <w:rPr>
          <w:color w:val="000000"/>
          <w:highlight w:val="none"/>
        </w:rPr>
      </w:r>
      <w:r/>
    </w:p>
    <w:p>
      <w:pPr>
        <w:pStyle w:val="809"/>
        <w:jc w:val="center"/>
        <w:spacing w:before="50" w:after="50"/>
        <w:rPr>
          <w:rFonts w:hint="eastAsia"/>
          <w:b/>
          <w:bCs/>
          <w:i/>
          <w:iCs/>
          <w:color w:val="000000"/>
          <w:sz w:val="30"/>
          <w:szCs w:val="30"/>
          <w:highlight w:val="none"/>
          <w:u w:val="single"/>
        </w:rPr>
      </w:pPr>
      <w:r>
        <w:rPr>
          <w:color w:val="000000"/>
          <w:highlight w:val="none"/>
        </w:rPr>
        <w:br w:type="page" w:clear="all"/>
      </w:r>
      <w:r>
        <w:rPr>
          <w:rFonts w:hint="eastAsia"/>
          <w:b/>
          <w:bCs/>
          <w:i/>
          <w:iCs/>
          <w:color w:val="000000"/>
          <w:sz w:val="30"/>
          <w:szCs w:val="30"/>
          <w:highlight w:val="none"/>
          <w:u w:val="single"/>
        </w:rPr>
        <w:t xml:space="preserve">一、法人或者其他组织的营业执照等证明文件，自然人的身份证明</w:t>
      </w:r>
      <w:r>
        <w:rPr>
          <w:rFonts w:hint="eastAsia"/>
          <w:b/>
          <w:bCs/>
          <w:i/>
          <w:iCs/>
          <w:color w:val="000000"/>
          <w:sz w:val="30"/>
          <w:szCs w:val="30"/>
          <w:highlight w:val="none"/>
          <w:u w:val="single"/>
        </w:rPr>
      </w:r>
      <w:r/>
    </w:p>
    <w:p>
      <w:pPr>
        <w:pStyle w:val="875"/>
        <w:rPr>
          <w:color w:val="000000"/>
          <w:highlight w:val="none"/>
        </w:rPr>
      </w:pPr>
      <w:r>
        <w:rPr>
          <w:rFonts w:hint="eastAsia"/>
          <w:color w:val="000000"/>
          <w:highlight w:val="none"/>
        </w:rPr>
        <w:br w:type="page" w:clear="all"/>
      </w:r>
      <w:r>
        <w:rPr>
          <w:color w:val="000000"/>
          <w:highlight w:val="none"/>
        </w:rPr>
      </w:r>
      <w:r/>
    </w:p>
    <w:p>
      <w:pPr>
        <w:pStyle w:val="809"/>
        <w:jc w:val="center"/>
        <w:spacing w:before="50" w:after="50"/>
        <w:rPr>
          <w:b/>
          <w:bCs/>
          <w:i/>
          <w:iCs/>
          <w:color w:val="000000"/>
          <w:sz w:val="30"/>
          <w:szCs w:val="30"/>
          <w:highlight w:val="none"/>
          <w:u w:val="single"/>
        </w:rPr>
      </w:pPr>
      <w:r>
        <w:rPr>
          <w:rFonts w:hint="eastAsia"/>
          <w:b/>
          <w:bCs/>
          <w:i/>
          <w:iCs/>
          <w:color w:val="000000"/>
          <w:sz w:val="30"/>
          <w:szCs w:val="30"/>
          <w:highlight w:val="none"/>
          <w:u w:val="single"/>
        </w:rPr>
        <w:t xml:space="preserve">二、上一年度的财务状况报表</w:t>
      </w:r>
      <w:r>
        <w:rPr>
          <w:b/>
          <w:bCs/>
          <w:i/>
          <w:iCs/>
          <w:color w:val="000000"/>
          <w:sz w:val="30"/>
          <w:szCs w:val="30"/>
          <w:highlight w:val="none"/>
          <w:u w:val="single"/>
        </w:rPr>
      </w:r>
      <w:r/>
    </w:p>
    <w:p>
      <w:pPr>
        <w:pStyle w:val="812"/>
        <w:ind w:firstLine="480"/>
        <w:spacing w:line="400" w:lineRule="exact"/>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lang w:val="en-US" w:eastAsia="zh-CN"/>
        </w:rPr>
        <w:t xml:space="preserve">投标人</w:t>
      </w:r>
      <w:r>
        <w:rPr>
          <w:rFonts w:hint="eastAsia" w:ascii="Times New Roman" w:hAnsi="Times New Roman" w:eastAsia="宋体" w:cs="Times New Roman"/>
          <w:b w:val="0"/>
          <w:bCs w:val="0"/>
          <w:color w:val="000000"/>
          <w:sz w:val="24"/>
          <w:szCs w:val="24"/>
          <w:highlight w:val="none"/>
        </w:rPr>
        <w:t xml:space="preserve">提供2025年财务状况表未出的，可使用2024年度报表，至少提供资产负债表、利润表、现金流量表，成立不满一年无需提供。</w:t>
      </w:r>
      <w:r>
        <w:rPr>
          <w:rFonts w:hint="eastAsia" w:ascii="Times New Roman" w:hAnsi="Times New Roman" w:eastAsia="宋体" w:cs="Times New Roman"/>
          <w:b w:val="0"/>
          <w:bCs w:val="0"/>
          <w:color w:val="000000"/>
          <w:sz w:val="24"/>
          <w:szCs w:val="24"/>
          <w:highlight w:val="none"/>
        </w:rPr>
      </w:r>
      <w:r/>
    </w:p>
    <w:p>
      <w:pPr>
        <w:pStyle w:val="812"/>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75"/>
        <w:rPr>
          <w:color w:val="000000"/>
          <w:highlight w:val="none"/>
        </w:rPr>
      </w:pPr>
      <w:r>
        <w:rPr>
          <w:color w:val="000000"/>
          <w:highlight w:val="none"/>
        </w:rPr>
      </w:r>
      <w:r/>
    </w:p>
    <w:p>
      <w:pPr>
        <w:pStyle w:val="809"/>
        <w:rPr>
          <w:b/>
          <w:bCs/>
          <w:i/>
          <w:iCs/>
          <w:color w:val="000000"/>
          <w:sz w:val="30"/>
          <w:szCs w:val="30"/>
          <w:highlight w:val="none"/>
          <w:u w:val="single"/>
        </w:rPr>
      </w:pPr>
      <w:r>
        <w:rPr>
          <w:rFonts w:hint="eastAsia"/>
          <w:color w:val="000000"/>
          <w:sz w:val="24"/>
          <w:szCs w:val="24"/>
          <w:highlight w:val="none"/>
        </w:rPr>
        <w:br w:type="page" w:clear="all"/>
      </w:r>
      <w:r>
        <w:rPr>
          <w:rFonts w:hint="eastAsia"/>
          <w:color w:val="000000"/>
          <w:sz w:val="24"/>
          <w:szCs w:val="24"/>
          <w:highlight w:val="none"/>
        </w:rPr>
        <w:t xml:space="preserve">        </w:t>
      </w:r>
      <w:r>
        <w:rPr>
          <w:rFonts w:hint="eastAsia"/>
          <w:b/>
          <w:bCs/>
          <w:i/>
          <w:iCs/>
          <w:color w:val="000000"/>
          <w:sz w:val="30"/>
          <w:szCs w:val="30"/>
          <w:highlight w:val="none"/>
          <w:u w:val="single"/>
        </w:rPr>
        <w:t xml:space="preserve">三、具备履行合同所必需的设备和专业技术能力的书面声明</w:t>
      </w:r>
      <w:r>
        <w:rPr>
          <w:b/>
          <w:bCs/>
          <w:i/>
          <w:iCs/>
          <w:color w:val="000000"/>
          <w:sz w:val="30"/>
          <w:szCs w:val="30"/>
          <w:highlight w:val="none"/>
          <w:u w:val="single"/>
        </w:rPr>
      </w:r>
      <w:r/>
    </w:p>
    <w:p>
      <w:pPr>
        <w:pStyle w:val="812"/>
        <w:spacing w:line="400" w:lineRule="exact"/>
        <w:rPr>
          <w:b w:val="0"/>
          <w:bCs w:val="0"/>
          <w:color w:val="000000"/>
          <w:sz w:val="24"/>
          <w:szCs w:val="24"/>
          <w:highlight w:val="none"/>
        </w:rPr>
      </w:pPr>
      <w:r>
        <w:rPr>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主要设备有：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主要专业技术能力有：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09"/>
        <w:jc w:val="center"/>
        <w:spacing w:before="50" w:after="50"/>
        <w:rPr>
          <w:b/>
          <w:bCs/>
          <w:i/>
          <w:iCs/>
          <w:color w:val="000000"/>
          <w:sz w:val="30"/>
          <w:szCs w:val="30"/>
          <w:highlight w:val="none"/>
          <w:u w:val="single"/>
        </w:rPr>
      </w:pPr>
      <w:r>
        <w:rPr>
          <w:rFonts w:hint="eastAsia"/>
          <w:color w:val="000000"/>
          <w:highlight w:val="none"/>
        </w:rPr>
        <w:br w:type="page" w:clear="all"/>
      </w:r>
      <w:r>
        <w:rPr>
          <w:rFonts w:hint="eastAsia"/>
          <w:b/>
          <w:bCs/>
          <w:i/>
          <w:iCs/>
          <w:color w:val="000000"/>
          <w:sz w:val="30"/>
          <w:szCs w:val="30"/>
          <w:highlight w:val="none"/>
          <w:u w:val="single"/>
        </w:rPr>
        <w:t xml:space="preserve">四、依法缴纳税收和社会保障资金的相关材料</w:t>
      </w:r>
      <w:r>
        <w:rPr>
          <w:b/>
          <w:bCs/>
          <w:i/>
          <w:iCs/>
          <w:color w:val="000000"/>
          <w:sz w:val="30"/>
          <w:szCs w:val="30"/>
          <w:highlight w:val="none"/>
          <w:u w:val="singl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b w:val="0"/>
          <w:bCs w:val="0"/>
          <w:color w:val="000000"/>
          <w:sz w:val="24"/>
          <w:szCs w:val="24"/>
          <w:highlight w:val="none"/>
        </w:rPr>
      </w:r>
      <w:r/>
    </w:p>
    <w:p>
      <w:pPr>
        <w:pStyle w:val="809"/>
        <w:jc w:val="center"/>
        <w:spacing w:before="50" w:after="50"/>
        <w:rPr>
          <w:color w:val="000000"/>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五、参加政府采购活动前 3 年内在经营活动中没有重大违法记录的书面声明</w:t>
      </w:r>
      <w:r>
        <w:rPr>
          <w:color w:val="000000"/>
          <w:highlight w:val="none"/>
        </w:rPr>
      </w:r>
      <w:r/>
    </w:p>
    <w:p>
      <w:pPr>
        <w:pStyle w:val="875"/>
        <w:jc w:val="center"/>
        <w:rPr>
          <w:rFonts w:hint="eastAsia"/>
          <w:b/>
          <w:bCs/>
          <w:color w:val="000000"/>
          <w:sz w:val="30"/>
          <w:szCs w:val="30"/>
          <w:highlight w:val="none"/>
        </w:rPr>
      </w:pPr>
      <w:r>
        <w:rPr>
          <w:rFonts w:hint="eastAsia"/>
          <w:b/>
          <w:bCs/>
          <w:color w:val="000000"/>
          <w:sz w:val="30"/>
          <w:szCs w:val="30"/>
          <w:highlight w:val="none"/>
        </w:rPr>
        <w:t xml:space="preserve">声 明</w:t>
      </w:r>
      <w:r>
        <w:rPr>
          <w:rFonts w:hint="eastAsia"/>
          <w:b/>
          <w:bCs/>
          <w:color w:val="000000"/>
          <w:sz w:val="30"/>
          <w:szCs w:val="30"/>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b w:val="0"/>
          <w:bCs w:val="0"/>
          <w:color w:val="000000"/>
          <w:sz w:val="24"/>
          <w:szCs w:val="24"/>
          <w:highlight w:val="none"/>
        </w:rPr>
      </w:r>
      <w:r/>
    </w:p>
    <w:p>
      <w:pPr>
        <w:pStyle w:val="875"/>
        <w:rPr>
          <w:rFonts w:hint="eastAsia"/>
          <w:color w:val="000000"/>
          <w:highlight w:val="none"/>
        </w:rPr>
      </w:pPr>
      <w:r>
        <w:rPr>
          <w:rFonts w:hint="eastAsia"/>
          <w:color w:val="000000"/>
          <w:highlight w:val="none"/>
        </w:rPr>
      </w:r>
      <w:r/>
    </w:p>
    <w:p>
      <w:pPr>
        <w:pStyle w:val="809"/>
        <w:jc w:val="center"/>
        <w:spacing w:before="50" w:after="50"/>
        <w:rPr>
          <w:rFonts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六、特定资格要求的证明文件</w:t>
      </w:r>
      <w:r>
        <w:rPr>
          <w:rFonts w:ascii="黑体" w:eastAsia="黑体"/>
          <w:color w:val="000000"/>
          <w:sz w:val="32"/>
          <w:szCs w:val="32"/>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如果本项目投标人的特定资格要求中要求提供的，必须提供。</w:t>
      </w:r>
      <w:r>
        <w:rPr>
          <w:rFonts w:hint="eastAsia"/>
          <w:b w:val="0"/>
          <w:bCs w:val="0"/>
          <w:color w:val="000000"/>
          <w:sz w:val="24"/>
          <w:szCs w:val="24"/>
          <w:highlight w:val="none"/>
        </w:rPr>
      </w:r>
      <w:r/>
    </w:p>
    <w:p>
      <w:pPr>
        <w:pStyle w:val="809"/>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七、法人授权书</w:t>
      </w:r>
      <w:r>
        <w:rPr>
          <w:color w:val="000000"/>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本授权书声明：____________（投标人名称）授权________________（被授权人的姓名）为我方就</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号项目采购活动的合法代理人，以本单位名义全权处理一切与该项目采购有关的事务。</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本授权书于______年____月____日起生效，特此声明。</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被授权人身份证号码：</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  </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被授权人联系电话：（手机）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授权单位名称：</w:t>
      </w:r>
      <w:r>
        <w:rPr>
          <w:rFonts w:hint="eastAsia"/>
          <w:b w:val="0"/>
          <w:bCs w:val="0"/>
          <w:color w:val="000000"/>
          <w:sz w:val="24"/>
          <w:szCs w:val="24"/>
          <w:highlight w:val="none"/>
          <w:u w:val="single"/>
        </w:rPr>
        <w:t xml:space="preserve">（加盖CA电子公章）</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单位地址：</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日期：</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812"/>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法定代表人及被授权人身份证正反面：</w:t>
      </w:r>
      <w:r>
        <w:rPr>
          <w:rFonts w:hint="eastAsia"/>
          <w:b w:val="0"/>
          <w:bCs w:val="0"/>
          <w:color w:val="000000"/>
          <w:sz w:val="24"/>
          <w:szCs w:val="24"/>
          <w:highlight w:val="none"/>
        </w:rPr>
      </w:r>
      <w:r/>
    </w:p>
    <w:p>
      <w:pPr>
        <w:pStyle w:val="809"/>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八、投标函</w:t>
      </w:r>
      <w:r>
        <w:rPr>
          <w:color w:val="000000"/>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致：盐城市公路事业发展中心</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根据贵方的</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号招标文件，正式授权下述签字人______(姓名)代表我方______________（投标人的名称），全权处理本次项目投标的有关事宜。</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据此函，__________签字人兹宣布同意如下：</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1.按招标文件规定的各项要求，向买方提供所需服务（包含与服务相关的货物）。</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2.我们完全理解贵方不一定将合同授予最低报价的投标人。</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3.我们已详细审核全部招标文件及其有效补充文件，我们知道必须放弃提出含糊不清或误解问题的权利。</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4.我们同意从规定的开标日期起遵循本投标文件，并在规定的投标有效期期满之前均具有约束力。</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6.一旦我方中标,我方将根据招标文件的规定，严格履行合同的责任和义务,并保证在招标文件规定的时间完成项目，交付买方验收、使用。</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7.与本投标有关的正式通讯地址为：</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地 址：</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邮 编：</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电 话：</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传 真：</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投标人开户行：</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账 号：</w:t>
      </w:r>
      <w:r>
        <w:rPr>
          <w:rFonts w:hint="eastAsia"/>
          <w:b w:val="0"/>
          <w:bCs w:val="0"/>
          <w:color w:val="000000"/>
          <w:sz w:val="24"/>
          <w:szCs w:val="24"/>
          <w:highlight w:val="none"/>
        </w:rPr>
      </w:r>
      <w:r/>
    </w:p>
    <w:p>
      <w:pPr>
        <w:pStyle w:val="812"/>
        <w:ind w:firstLine="480"/>
        <w:spacing w:before="120" w:after="120" w:line="400" w:lineRule="exact"/>
        <w:rPr>
          <w:b w:val="0"/>
          <w:bCs w:val="0"/>
          <w:color w:val="000000"/>
          <w:sz w:val="24"/>
          <w:szCs w:val="24"/>
          <w:highlight w:val="none"/>
        </w:rPr>
      </w:pPr>
      <w:r>
        <w:rPr>
          <w:rFonts w:hint="eastAsia"/>
          <w:b w:val="0"/>
          <w:bCs w:val="0"/>
          <w:color w:val="000000"/>
          <w:sz w:val="24"/>
          <w:szCs w:val="24"/>
          <w:highlight w:val="none"/>
        </w:rPr>
        <w:t xml:space="preserve">日 期：________年____月____日</w:t>
      </w:r>
      <w:r>
        <w:rPr>
          <w:b w:val="0"/>
          <w:bCs w:val="0"/>
          <w:color w:val="000000"/>
          <w:sz w:val="24"/>
          <w:szCs w:val="24"/>
          <w:highlight w:val="none"/>
        </w:rPr>
      </w:r>
      <w:r/>
    </w:p>
    <w:p>
      <w:pPr>
        <w:pStyle w:val="809"/>
        <w:rPr>
          <w:color w:val="000000"/>
          <w:highlight w:val="none"/>
        </w:rPr>
      </w:pPr>
      <w:r>
        <w:rPr>
          <w:color w:val="000000"/>
          <w:highlight w:val="none"/>
        </w:rPr>
      </w:r>
      <w:r/>
    </w:p>
    <w:p>
      <w:pPr>
        <w:pStyle w:val="875"/>
        <w:rPr>
          <w:color w:val="000000"/>
          <w:highlight w:val="none"/>
        </w:rPr>
      </w:pPr>
      <w:r>
        <w:rPr>
          <w:color w:val="000000"/>
          <w:highlight w:val="none"/>
        </w:rPr>
      </w:r>
      <w:r/>
    </w:p>
    <w:p>
      <w:pPr>
        <w:pStyle w:val="809"/>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九、中小微企业声明函（服务）</w:t>
      </w:r>
      <w:r>
        <w:rPr>
          <w:color w:val="000000"/>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本公司（联合体）郑重声明，根据《政府采购促进中小企业发展管理办法》（财库[2020]46号）的规定，本公司（联合体）参加盐城市招标代理有限公司组织的盐城市公路事业发展中心，采购编号为</w:t>
      </w:r>
      <w:r>
        <w:rPr>
          <w:rFonts w:hint="eastAsia" w:ascii="宋体" w:hAnsi="宋体" w:eastAsia="宋体" w:cs="宋体"/>
          <w:b w:val="0"/>
          <w:bCs w:val="0"/>
          <w:color w:val="000000"/>
          <w:sz w:val="24"/>
          <w:szCs w:val="24"/>
          <w:highlight w:val="none"/>
          <w:u w:val="single"/>
          <w:lang w:eastAsia="zh-CN"/>
        </w:rPr>
        <w:t xml:space="preserve">JSZC-320900-SZDL-G2026-0009</w:t>
      </w:r>
      <w:r>
        <w:rPr>
          <w:rFonts w:hint="eastAsia"/>
          <w:b w:val="0"/>
          <w:bCs w:val="0"/>
          <w:color w:val="000000"/>
          <w:sz w:val="24"/>
          <w:szCs w:val="24"/>
          <w:highlight w:val="none"/>
        </w:rPr>
        <w:t xml:space="preserve">，</w:t>
      </w:r>
      <w:r>
        <w:rPr>
          <w:rFonts w:hint="eastAsia" w:ascii="宋体" w:hAnsi="宋体" w:cs="宋体"/>
          <w:b w:val="0"/>
          <w:bCs w:val="0"/>
          <w:color w:val="000000"/>
          <w:sz w:val="24"/>
          <w:szCs w:val="24"/>
          <w:highlight w:val="none"/>
          <w:u w:val="single"/>
          <w:lang w:eastAsia="zh-CN"/>
        </w:rPr>
        <w:t xml:space="preserve">2026年盐城普通国省道路面预防和修复养护工程全过程造价控制及竣工决算审计</w:t>
      </w:r>
      <w:r>
        <w:rPr>
          <w:rFonts w:hint="eastAsia"/>
          <w:b w:val="0"/>
          <w:bCs w:val="0"/>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1.</w:t>
      </w:r>
      <w:r>
        <w:rPr>
          <w:rFonts w:hint="eastAsia"/>
          <w:b w:val="0"/>
          <w:bCs w:val="0"/>
          <w:i/>
          <w:iCs/>
          <w:color w:val="000000"/>
          <w:sz w:val="24"/>
          <w:szCs w:val="24"/>
          <w:highlight w:val="none"/>
          <w:u w:val="single"/>
        </w:rPr>
        <w:t xml:space="preserve">（标的名称）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2.</w:t>
      </w:r>
      <w:r>
        <w:rPr>
          <w:rFonts w:hint="eastAsia"/>
          <w:b w:val="0"/>
          <w:bCs w:val="0"/>
          <w:i/>
          <w:iCs/>
          <w:color w:val="000000"/>
          <w:sz w:val="24"/>
          <w:szCs w:val="24"/>
          <w:highlight w:val="none"/>
          <w:u w:val="single"/>
        </w:rPr>
        <w:t xml:space="preserve"> （标的名称）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以上企业，不属于大企业的分支机构，不存在控股股东为大企业的情形，也不存在与大企业的负责人为同一人的情形。</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本企业对上述声明内容的真实性负责。如有虚假，将依法承担相应责任。</w:t>
      </w:r>
      <w:r>
        <w:rPr>
          <w:rFonts w:hint="eastAsia"/>
          <w:b w:val="0"/>
          <w:bCs w:val="0"/>
          <w:color w:val="000000"/>
          <w:sz w:val="24"/>
          <w:szCs w:val="24"/>
          <w:highlight w:val="none"/>
        </w:rPr>
      </w:r>
      <w:r/>
    </w:p>
    <w:p>
      <w:pPr>
        <w:pStyle w:val="812"/>
        <w:ind w:firstLine="5520"/>
        <w:spacing w:before="120" w:after="120" w:line="460" w:lineRule="exact"/>
        <w:rPr>
          <w:b w:val="0"/>
          <w:bCs w:val="0"/>
          <w:color w:val="000000"/>
          <w:sz w:val="24"/>
          <w:szCs w:val="24"/>
          <w:highlight w:val="none"/>
        </w:rPr>
      </w:pPr>
      <w:r>
        <w:rPr>
          <w:b w:val="0"/>
          <w:bCs w:val="0"/>
          <w:color w:val="000000"/>
          <w:sz w:val="24"/>
          <w:szCs w:val="24"/>
          <w:highlight w:val="none"/>
        </w:rPr>
      </w:r>
      <w:r/>
    </w:p>
    <w:p>
      <w:pPr>
        <w:pStyle w:val="812"/>
        <w:ind w:firstLine="55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企业名称（加盖CA电子公章）：</w:t>
      </w:r>
      <w:r>
        <w:rPr>
          <w:rFonts w:hint="eastAsia"/>
          <w:b w:val="0"/>
          <w:bCs w:val="0"/>
          <w:color w:val="000000"/>
          <w:sz w:val="24"/>
          <w:szCs w:val="24"/>
          <w:highlight w:val="none"/>
        </w:rPr>
      </w:r>
      <w:r/>
    </w:p>
    <w:p>
      <w:pPr>
        <w:pStyle w:val="812"/>
        <w:ind w:firstLine="6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备注1：从业人员、营业收入、资产总额填报上一年度数据，无上一年度数据的新成立企业可不填报。</w:t>
      </w:r>
      <w:r>
        <w:rPr>
          <w:rFonts w:hint="eastAsia"/>
          <w:b w:val="0"/>
          <w:bCs w:val="0"/>
          <w:color w:val="000000"/>
          <w:sz w:val="24"/>
          <w:szCs w:val="24"/>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备注2：投标人如不提供此声明函，价格将不做相应扣除（如项目全面面向中小企业，则资格审查不通过）。</w:t>
      </w:r>
      <w:r>
        <w:rPr>
          <w:rFonts w:hint="eastAsia"/>
          <w:b w:val="0"/>
          <w:bCs w:val="0"/>
          <w:color w:val="000000"/>
          <w:sz w:val="24"/>
          <w:szCs w:val="24"/>
          <w:highlight w:val="none"/>
        </w:rPr>
      </w:r>
      <w:r/>
    </w:p>
    <w:p>
      <w:pPr>
        <w:pStyle w:val="809"/>
        <w:jc w:val="center"/>
        <w:spacing w:before="50" w:after="50"/>
        <w:rPr>
          <w:color w:val="000000"/>
          <w:highlight w:val="none"/>
        </w:rPr>
      </w:pPr>
      <w:r>
        <w:rPr>
          <w:rFonts w:hint="eastAsia"/>
          <w:b/>
          <w:bCs/>
          <w:color w:val="000000"/>
          <w:highlight w:val="none"/>
        </w:rPr>
        <w:br w:type="page" w:clear="all"/>
      </w:r>
      <w:r>
        <w:rPr>
          <w:rFonts w:hint="eastAsia"/>
          <w:b/>
          <w:bCs/>
          <w:color w:val="000000"/>
          <w:sz w:val="30"/>
          <w:szCs w:val="30"/>
          <w:highlight w:val="none"/>
        </w:rPr>
        <w:t xml:space="preserve">十、残疾人福利性单位声明函</w:t>
      </w:r>
      <w:r>
        <w:rPr>
          <w:color w:val="000000"/>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b w:val="0"/>
          <w:bCs w:val="0"/>
          <w:color w:val="000000"/>
          <w:sz w:val="24"/>
          <w:szCs w:val="24"/>
          <w:highlight w:val="none"/>
          <w:u w:val="single"/>
        </w:rPr>
        <w:t xml:space="preserve">盐城市公路事业发展中心</w:t>
      </w:r>
      <w:r>
        <w:rPr>
          <w:rFonts w:hint="eastAsia"/>
          <w:b w:val="0"/>
          <w:bCs w:val="0"/>
          <w:color w:val="000000"/>
          <w:sz w:val="24"/>
          <w:szCs w:val="24"/>
          <w:highlight w:val="none"/>
        </w:rPr>
        <w:t xml:space="preserve">单位的采购文件编号为</w:t>
      </w:r>
      <w:r>
        <w:rPr>
          <w:rFonts w:hint="eastAsia" w:ascii="宋体" w:hAnsi="宋体" w:eastAsia="宋体" w:cs="宋体"/>
          <w:b w:val="0"/>
          <w:bCs w:val="0"/>
          <w:color w:val="000000"/>
          <w:sz w:val="24"/>
          <w:szCs w:val="24"/>
          <w:highlight w:val="none"/>
          <w:u w:val="single"/>
          <w:lang w:eastAsia="zh-CN"/>
        </w:rPr>
        <w:t xml:space="preserve">JSZC-320900-SZDL-G2026-0009</w:t>
      </w:r>
      <w:r>
        <w:rPr>
          <w:rFonts w:hint="eastAsia"/>
          <w:b w:val="0"/>
          <w:bCs w:val="0"/>
          <w:color w:val="000000"/>
          <w:sz w:val="24"/>
          <w:szCs w:val="24"/>
          <w:highlight w:val="none"/>
        </w:rPr>
        <w:t xml:space="preserve">的</w:t>
      </w:r>
      <w:r>
        <w:rPr>
          <w:rFonts w:hint="eastAsia" w:ascii="宋体" w:hAnsi="宋体" w:cs="宋体"/>
          <w:b w:val="0"/>
          <w:bCs w:val="0"/>
          <w:color w:val="000000"/>
          <w:sz w:val="24"/>
          <w:szCs w:val="24"/>
          <w:highlight w:val="none"/>
          <w:u w:val="single"/>
          <w:lang w:eastAsia="zh-CN"/>
        </w:rPr>
        <w:t xml:space="preserve">2026年盐城普通国省道路面预防和修复养护工程全过程造价控制及竣工决算审计</w:t>
      </w:r>
      <w:r>
        <w:rPr>
          <w:rFonts w:hint="eastAsia"/>
          <w:b w:val="0"/>
          <w:bCs w:val="0"/>
          <w:color w:val="000000"/>
          <w:sz w:val="24"/>
          <w:szCs w:val="24"/>
          <w:highlight w:val="none"/>
        </w:rPr>
        <w:t xml:space="preserve">采购活动由本单位提供服务。</w:t>
      </w:r>
      <w:r>
        <w:rPr>
          <w:rFonts w:hint="eastAsia"/>
          <w:b w:val="0"/>
          <w:bCs w:val="0"/>
          <w:color w:val="000000"/>
          <w:sz w:val="24"/>
          <w:szCs w:val="24"/>
          <w:highlight w:val="none"/>
        </w:rPr>
      </w:r>
      <w:r/>
    </w:p>
    <w:p>
      <w:pPr>
        <w:pStyle w:val="812"/>
        <w:ind w:firstLine="480"/>
        <w:spacing w:before="120" w:after="120" w:line="460" w:lineRule="exact"/>
        <w:rPr>
          <w:b w:val="0"/>
          <w:bCs w:val="0"/>
          <w:color w:val="000000"/>
          <w:sz w:val="24"/>
          <w:szCs w:val="24"/>
          <w:highlight w:val="none"/>
        </w:rPr>
      </w:pPr>
      <w:r>
        <w:rPr>
          <w:rFonts w:hint="eastAsia"/>
          <w:b w:val="0"/>
          <w:bCs w:val="0"/>
          <w:color w:val="000000"/>
          <w:sz w:val="24"/>
          <w:szCs w:val="24"/>
          <w:highlight w:val="none"/>
        </w:rPr>
        <w:t xml:space="preserve">本单位对上述声明的真实性负责。如有虚假，将依法承担相应责任。</w:t>
      </w:r>
      <w:r>
        <w:rPr>
          <w:b w:val="0"/>
          <w:bCs w:val="0"/>
          <w:color w:val="000000"/>
          <w:sz w:val="24"/>
          <w:szCs w:val="24"/>
          <w:highlight w:val="none"/>
        </w:rPr>
      </w:r>
      <w:r/>
    </w:p>
    <w:p>
      <w:pPr>
        <w:pStyle w:val="809"/>
        <w:rPr>
          <w:rFonts w:hint="eastAsia"/>
          <w:color w:val="000000"/>
          <w:highlight w:val="none"/>
        </w:rPr>
      </w:pPr>
      <w:r>
        <w:rPr>
          <w:rFonts w:hint="eastAsia"/>
          <w:color w:val="000000"/>
          <w:highlight w:val="none"/>
        </w:rPr>
      </w:r>
      <w:r/>
    </w:p>
    <w:p>
      <w:pPr>
        <w:pStyle w:val="812"/>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备注：1、投标人如不提供此声明函，价格将不做相应扣除（如项目全面面向中小企业，则资格审查不通过）。2、中标人为残疾人福利单位的，此声明函将随中标结果同时公告，接受社会监督。</w:t>
      </w:r>
      <w:r>
        <w:rPr>
          <w:rFonts w:hint="eastAsia"/>
          <w:b w:val="0"/>
          <w:bCs w:val="0"/>
          <w:color w:val="000000"/>
          <w:sz w:val="24"/>
          <w:szCs w:val="24"/>
          <w:highlight w:val="none"/>
        </w:rPr>
      </w:r>
      <w:r/>
    </w:p>
    <w:p>
      <w:pPr>
        <w:pStyle w:val="812"/>
        <w:ind w:right="720" w:firstLine="480"/>
        <w:jc w:val="right"/>
        <w:spacing w:before="120" w:after="120" w:line="460" w:lineRule="exact"/>
        <w:rPr>
          <w:b w:val="0"/>
          <w:bCs w:val="0"/>
          <w:color w:val="000000"/>
          <w:sz w:val="24"/>
          <w:szCs w:val="24"/>
          <w:highlight w:val="none"/>
        </w:rPr>
      </w:pPr>
      <w:r>
        <w:rPr>
          <w:b w:val="0"/>
          <w:bCs w:val="0"/>
          <w:color w:val="000000"/>
          <w:sz w:val="24"/>
          <w:szCs w:val="24"/>
          <w:highlight w:val="none"/>
        </w:rPr>
      </w:r>
      <w:r/>
    </w:p>
    <w:p>
      <w:pPr>
        <w:pStyle w:val="812"/>
        <w:ind w:right="720" w:firstLine="480"/>
        <w:jc w:val="right"/>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投标人全称（加盖CA电子公章）：</w:t>
      </w:r>
      <w:r>
        <w:rPr>
          <w:rFonts w:hint="eastAsia"/>
          <w:b w:val="0"/>
          <w:bCs w:val="0"/>
          <w:color w:val="000000"/>
          <w:sz w:val="24"/>
          <w:szCs w:val="24"/>
          <w:highlight w:val="none"/>
        </w:rPr>
      </w:r>
      <w:r/>
    </w:p>
    <w:p>
      <w:pPr>
        <w:pStyle w:val="812"/>
        <w:ind w:right="960" w:firstLine="67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809"/>
        <w:jc w:val="center"/>
        <w:spacing w:before="50" w:after="50"/>
        <w:rPr>
          <w:b/>
          <w:bCs/>
          <w:color w:val="000000"/>
          <w:sz w:val="30"/>
          <w:szCs w:val="30"/>
          <w:highlight w:val="none"/>
        </w:rPr>
      </w:pPr>
      <w:r>
        <w:rPr>
          <w:rFonts w:hint="eastAsia"/>
          <w:b/>
          <w:bCs/>
          <w:color w:val="000000"/>
          <w:highlight w:val="none"/>
        </w:rPr>
        <w:br w:type="page" w:clear="all"/>
      </w:r>
      <w:r>
        <w:rPr>
          <w:rFonts w:hint="eastAsia"/>
          <w:b/>
          <w:bCs/>
          <w:color w:val="000000"/>
          <w:sz w:val="30"/>
          <w:szCs w:val="30"/>
          <w:highlight w:val="none"/>
        </w:rPr>
        <w:t xml:space="preserve">十一、技术要求响应及偏离表（如有</w:t>
      </w:r>
      <w:r>
        <w:rPr>
          <w:b/>
          <w:bCs/>
          <w:color w:val="000000"/>
          <w:sz w:val="30"/>
          <w:szCs w:val="30"/>
          <w:highlight w:val="none"/>
        </w:rPr>
        <w:t xml:space="preserve">）</w:t>
      </w:r>
      <w:r>
        <w:rPr>
          <w:b/>
          <w:bCs/>
          <w:color w:val="000000"/>
          <w:sz w:val="30"/>
          <w:szCs w:val="30"/>
          <w:highlight w:val="none"/>
        </w:rPr>
      </w:r>
      <w:r/>
    </w:p>
    <w:p>
      <w:pPr>
        <w:pStyle w:val="875"/>
        <w:rPr>
          <w:color w:val="000000"/>
          <w:highlight w:val="none"/>
        </w:rPr>
      </w:pPr>
      <w:r>
        <w:rPr>
          <w:color w:val="000000"/>
          <w:highlight w:val="none"/>
        </w:rPr>
      </w:r>
      <w:r/>
    </w:p>
    <w:p>
      <w:pPr>
        <w:pStyle w:val="809"/>
        <w:rPr>
          <w:color w:val="000000"/>
          <w:highlight w:val="none"/>
        </w:rPr>
      </w:pPr>
      <w:r>
        <w:rPr>
          <w:rFonts w:hint="eastAsia" w:ascii="宋体" w:hAnsi="宋体" w:cs="宋体"/>
          <w:color w:val="000000"/>
          <w:sz w:val="24"/>
          <w:szCs w:val="24"/>
          <w:highlight w:val="none"/>
        </w:rPr>
        <w:t xml:space="preserve">投标人全称（加盖CA电子公章）：      </w:t>
      </w:r>
      <w:r>
        <w:rPr>
          <w:rFonts w:hint="eastAsia"/>
          <w:color w:val="000000"/>
          <w:highlight w:val="non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369"/>
        <w:gridCol w:w="2000"/>
        <w:gridCol w:w="2268"/>
        <w:gridCol w:w="2110"/>
      </w:tblGrid>
      <w:tr>
        <w:trPr>
          <w:cantSplit/>
        </w:trPr>
        <w:tc>
          <w:tcPr>
            <w:tcW w:w="984" w:type="dxa"/>
            <w:vAlign w:val="center"/>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369" w:type="dxa"/>
            <w:vAlign w:val="center"/>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2000" w:type="dxa"/>
            <w:vAlign w:val="center"/>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w:t>
            </w:r>
            <w:r>
              <w:rPr>
                <w:rFonts w:hint="eastAsia" w:ascii="宋体" w:hAnsi="宋体" w:cs="宋体"/>
                <w:color w:val="000000"/>
                <w:sz w:val="24"/>
                <w:szCs w:val="24"/>
                <w:highlight w:val="none"/>
              </w:rPr>
            </w:r>
            <w:r/>
          </w:p>
        </w:tc>
        <w:tc>
          <w:tcPr>
            <w:tcW w:w="2268" w:type="dxa"/>
            <w:vAlign w:val="center"/>
            <w:textDirection w:val="lrTb"/>
            <w:noWrap w:val="false"/>
          </w:tcPr>
          <w:p>
            <w:pPr>
              <w:pStyle w:val="809"/>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响应情况（超出、</w:t>
            </w:r>
            <w:r>
              <w:rPr>
                <w:rFonts w:hint="eastAsia" w:ascii="宋体" w:hAnsi="宋体" w:cs="宋体"/>
                <w:color w:val="000000"/>
                <w:sz w:val="24"/>
                <w:szCs w:val="24"/>
                <w:highlight w:val="none"/>
              </w:rPr>
            </w:r>
            <w:r/>
          </w:p>
          <w:p>
            <w:pPr>
              <w:pStyle w:val="809"/>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符合或偏离）</w:t>
            </w:r>
            <w:r>
              <w:rPr>
                <w:rFonts w:hint="eastAsia" w:ascii="宋体" w:hAnsi="宋体" w:cs="宋体"/>
                <w:color w:val="000000"/>
                <w:sz w:val="24"/>
                <w:szCs w:val="24"/>
                <w:highlight w:val="none"/>
              </w:rPr>
            </w:r>
            <w:r/>
          </w:p>
        </w:tc>
        <w:tc>
          <w:tcPr>
            <w:tcW w:w="2110" w:type="dxa"/>
            <w:vAlign w:val="center"/>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原因</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0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80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0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法定代表人或授权代表签字：</w:t>
      </w:r>
      <w:r>
        <w:rPr>
          <w:rFonts w:hint="eastAsia" w:ascii="宋体" w:hAnsi="宋体" w:cs="宋体"/>
          <w:color w:val="000000"/>
          <w:sz w:val="24"/>
          <w:szCs w:val="24"/>
          <w:highlight w:val="none"/>
        </w:rPr>
      </w:r>
      <w:r/>
    </w:p>
    <w:p>
      <w:pPr>
        <w:pStyle w:val="809"/>
        <w:rPr>
          <w:color w:val="000000"/>
          <w:highlight w:val="none"/>
        </w:rPr>
      </w:pPr>
      <w:r>
        <w:rPr>
          <w:color w:val="000000"/>
          <w:highlight w:val="none"/>
        </w:rPr>
      </w:r>
      <w:r/>
    </w:p>
    <w:p>
      <w:pPr>
        <w:pStyle w:val="809"/>
        <w:jc w:val="center"/>
        <w:spacing w:before="50" w:after="50"/>
        <w:rPr>
          <w:rFonts w:hint="eastAsia"/>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十二、商务要求响应及偏离表（如有</w:t>
      </w:r>
      <w:r>
        <w:rPr>
          <w:b/>
          <w:bCs/>
          <w:color w:val="000000"/>
          <w:sz w:val="30"/>
          <w:szCs w:val="30"/>
          <w:highlight w:val="none"/>
        </w:rPr>
        <w:t xml:space="preserve">）</w:t>
      </w:r>
      <w:r>
        <w:rPr>
          <w:rFonts w:hint="eastAsia"/>
          <w:b/>
          <w:bCs/>
          <w:color w:val="000000"/>
          <w:sz w:val="30"/>
          <w:szCs w:val="30"/>
          <w:highlight w:val="none"/>
        </w:rPr>
      </w:r>
      <w:r/>
    </w:p>
    <w:p>
      <w:pPr>
        <w:pStyle w:val="875"/>
        <w:rPr>
          <w:rFonts w:hint="eastAsia" w:ascii="宋体" w:hAnsi="宋体" w:cs="宋体"/>
          <w:color w:val="000000"/>
          <w:highlight w:val="none"/>
        </w:rPr>
      </w:pPr>
      <w:r>
        <w:rPr>
          <w:rFonts w:hint="eastAsia" w:ascii="宋体" w:hAnsi="宋体" w:cs="宋体"/>
          <w:color w:val="000000"/>
          <w:highlight w:val="none"/>
        </w:rPr>
      </w:r>
      <w:r/>
    </w:p>
    <w:p>
      <w:pPr>
        <w:pStyle w:val="80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投标人全称（加盖CA电子公章）：        </w:t>
      </w:r>
      <w:r>
        <w:rPr>
          <w:rFonts w:hint="eastAsia" w:ascii="宋体" w:hAnsi="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2889"/>
        <w:gridCol w:w="1347"/>
        <w:gridCol w:w="3234"/>
      </w:tblGrid>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tc>
        <w:tc>
          <w:tcPr>
            <w:tcW w:w="1450"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676"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是否响应</w:t>
            </w:r>
            <w:r>
              <w:rPr>
                <w:rFonts w:hint="eastAsia" w:ascii="宋体" w:hAnsi="宋体" w:cs="宋体"/>
                <w:color w:val="000000"/>
                <w:sz w:val="24"/>
                <w:szCs w:val="24"/>
                <w:highlight w:val="none"/>
              </w:rPr>
            </w:r>
            <w:r/>
          </w:p>
        </w:tc>
        <w:tc>
          <w:tcPr>
            <w:tcW w:w="1623"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投标人的承诺或说明</w:t>
            </w: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服务期限</w:t>
            </w: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w:t>
            </w: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投标货币</w:t>
            </w: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809"/>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75"/>
        <w:rPr>
          <w:rFonts w:hint="eastAsia" w:ascii="宋体" w:hAnsi="宋体" w:cs="宋体"/>
          <w:color w:val="000000"/>
          <w:highlight w:val="none"/>
        </w:rPr>
      </w:pPr>
      <w:r>
        <w:rPr>
          <w:rFonts w:hint="eastAsia" w:ascii="宋体" w:hAnsi="宋体" w:cs="宋体"/>
          <w:color w:val="000000"/>
          <w:highlight w:val="none"/>
        </w:rPr>
        <w:t xml:space="preserve">法定代表人或授权代表签字：</w:t>
      </w:r>
      <w:r>
        <w:rPr>
          <w:rFonts w:hint="eastAsia" w:ascii="宋体" w:hAnsi="宋体" w:cs="宋体"/>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09"/>
        <w:jc w:val="center"/>
        <w:spacing w:before="50" w:after="50"/>
        <w:rPr>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十三、开标一览表</w:t>
      </w:r>
      <w:r>
        <w:rPr>
          <w:b/>
          <w:bCs/>
          <w:color w:val="000000"/>
          <w:sz w:val="30"/>
          <w:szCs w:val="30"/>
          <w:highlight w:val="none"/>
        </w:rPr>
      </w:r>
      <w:r/>
    </w:p>
    <w:p>
      <w:pPr>
        <w:pStyle w:val="875"/>
        <w:rPr>
          <w:color w:val="000000"/>
          <w:highlight w:val="none"/>
        </w:rPr>
      </w:pPr>
      <w:r>
        <w:rPr>
          <w:color w:val="000000"/>
          <w:highlight w:val="none"/>
        </w:rPr>
      </w:r>
      <w:r/>
    </w:p>
    <w:p>
      <w:pPr>
        <w:pStyle w:val="875"/>
        <w:rPr>
          <w:rFonts w:ascii="宋体" w:hAnsi="宋体" w:cs="宋体"/>
          <w:color w:val="000000"/>
          <w:highlight w:val="none"/>
          <w:u w:val="single"/>
        </w:rPr>
      </w:pPr>
      <w:r>
        <w:rPr>
          <w:color w:val="000000"/>
          <w:highlight w:val="none"/>
        </w:rPr>
        <w:t xml:space="preserve">项目编号：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875"/>
        <w:rPr>
          <w:rFonts w:hint="eastAsia"/>
          <w:color w:val="000000"/>
          <w:highlight w:val="none"/>
        </w:rPr>
      </w:pPr>
      <w:r>
        <w:rPr>
          <w:rFonts w:hint="eastAsia"/>
          <w:color w:val="000000"/>
          <w:highlight w:val="none"/>
        </w:rPr>
        <w:t xml:space="preserve">采购包</w:t>
      </w:r>
      <w:r>
        <w:rPr>
          <w:color w:val="000000"/>
          <w:highlight w:val="none"/>
        </w:rPr>
        <w:t xml:space="preserve">：</w:t>
      </w:r>
      <w:r>
        <w:rPr>
          <w:rFonts w:hint="eastAsia" w:ascii="宋体" w:hAnsi="宋体" w:cs="宋体"/>
          <w:color w:val="000000"/>
          <w:highlight w:val="none"/>
          <w:u w:val="single"/>
        </w:rPr>
        <w:t xml:space="preserve">              </w:t>
      </w:r>
      <w:r>
        <w:rPr>
          <w:rFonts w:hint="eastAsia"/>
          <w:color w:val="000000"/>
          <w:highlight w:val="none"/>
        </w:rPr>
      </w:r>
      <w:r/>
    </w:p>
    <w:p>
      <w:pPr>
        <w:pStyle w:val="875"/>
        <w:rPr>
          <w:color w:val="000000"/>
          <w:highlight w:val="none"/>
        </w:rPr>
      </w:pPr>
      <w:r>
        <w:rPr>
          <w:color w:val="000000"/>
          <w:highlight w:val="none"/>
        </w:rPr>
        <w:t xml:space="preserve">货币单位：人民币元</w:t>
      </w:r>
      <w:r>
        <w:rPr>
          <w:color w:val="000000"/>
          <w:highlight w:val="none"/>
        </w:rPr>
      </w:r>
      <w:r/>
    </w:p>
    <w:p>
      <w:pPr>
        <w:pStyle w:val="875"/>
        <w:rPr>
          <w:color w:val="000000"/>
          <w:highlight w:val="none"/>
        </w:rPr>
      </w:pPr>
      <w:r>
        <w:rPr>
          <w:color w:val="000000"/>
          <w:highlight w:val="none"/>
        </w:rPr>
        <w:t xml:space="preserve"> </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16"/>
        <w:gridCol w:w="2821"/>
        <w:gridCol w:w="3319"/>
      </w:tblGrid>
      <w:tr>
        <w:trPr>
          <w:trHeight w:val="1134" w:hRule="exact"/>
        </w:trPr>
        <w:tc>
          <w:tcPr>
            <w:tcW w:w="3816" w:type="dxa"/>
            <w:vAlign w:val="center"/>
            <w:textDirection w:val="lrTb"/>
            <w:noWrap w:val="false"/>
          </w:tcPr>
          <w:p>
            <w:pPr>
              <w:pStyle w:val="875"/>
              <w:jc w:val="center"/>
              <w:rPr>
                <w:color w:val="000000"/>
                <w:highlight w:val="none"/>
              </w:rPr>
            </w:pPr>
            <w:r>
              <w:rPr>
                <w:rFonts w:hint="eastAsia"/>
                <w:color w:val="000000"/>
                <w:highlight w:val="none"/>
              </w:rPr>
              <w:t xml:space="preserve">项目名称</w:t>
            </w:r>
            <w:r>
              <w:rPr>
                <w:color w:val="000000"/>
                <w:highlight w:val="none"/>
              </w:rPr>
            </w:r>
            <w:r/>
          </w:p>
        </w:tc>
        <w:tc>
          <w:tcPr>
            <w:tcW w:w="2821" w:type="dxa"/>
            <w:vAlign w:val="center"/>
            <w:textDirection w:val="lrTb"/>
            <w:noWrap w:val="false"/>
          </w:tcPr>
          <w:p>
            <w:pPr>
              <w:pStyle w:val="875"/>
              <w:jc w:val="center"/>
              <w:rPr>
                <w:color w:val="000000"/>
                <w:highlight w:val="none"/>
              </w:rPr>
            </w:pPr>
            <w:r>
              <w:rPr>
                <w:rFonts w:hint="eastAsia"/>
                <w:color w:val="000000"/>
                <w:highlight w:val="none"/>
              </w:rPr>
              <w:t xml:space="preserve">项目内容</w:t>
            </w:r>
            <w:r>
              <w:rPr>
                <w:color w:val="000000"/>
                <w:highlight w:val="none"/>
              </w:rPr>
            </w:r>
            <w:r/>
          </w:p>
        </w:tc>
        <w:tc>
          <w:tcPr>
            <w:tcW w:w="3319" w:type="dxa"/>
            <w:vAlign w:val="center"/>
            <w:textDirection w:val="lrTb"/>
            <w:noWrap w:val="false"/>
          </w:tcPr>
          <w:p>
            <w:pPr>
              <w:pStyle w:val="875"/>
              <w:jc w:val="center"/>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2654" w:hRule="exact"/>
        </w:trPr>
        <w:tc>
          <w:tcPr>
            <w:tcW w:w="3816" w:type="dxa"/>
            <w:vAlign w:val="center"/>
            <w:textDirection w:val="lrTb"/>
            <w:noWrap w:val="false"/>
          </w:tcPr>
          <w:p>
            <w:pPr>
              <w:pStyle w:val="875"/>
              <w:jc w:val="both"/>
              <w:rPr>
                <w:rFonts w:hint="eastAsia" w:eastAsia="宋体"/>
                <w:color w:val="000000"/>
                <w:highlight w:val="none"/>
                <w:lang w:eastAsia="zh-CN"/>
              </w:rPr>
            </w:pPr>
            <w:r>
              <w:rPr>
                <w:rFonts w:hint="eastAsia" w:ascii="宋体" w:hAnsi="宋体" w:cs="宋体"/>
                <w:color w:val="000000"/>
                <w:highlight w:val="none"/>
                <w:lang w:eastAsia="zh-CN"/>
              </w:rPr>
              <w:t xml:space="preserve">2026年盐城普通国省道路面预防和修复养护工程全过程造价控制及竣工决算审计</w:t>
            </w:r>
            <w:r>
              <w:rPr>
                <w:rFonts w:hint="eastAsia" w:eastAsia="宋体"/>
                <w:color w:val="000000"/>
                <w:highlight w:val="none"/>
                <w:lang w:eastAsia="zh-CN"/>
              </w:rPr>
            </w:r>
            <w:r/>
          </w:p>
        </w:tc>
        <w:tc>
          <w:tcPr>
            <w:tcW w:w="2821" w:type="dxa"/>
            <w:vAlign w:val="center"/>
            <w:textDirection w:val="lrTb"/>
            <w:noWrap w:val="false"/>
          </w:tcPr>
          <w:p>
            <w:pPr>
              <w:pStyle w:val="875"/>
              <w:jc w:val="both"/>
              <w:rPr>
                <w:color w:val="000000"/>
                <w:highlight w:val="none"/>
              </w:rPr>
            </w:pPr>
            <w:r>
              <w:rPr>
                <w:rFonts w:hint="eastAsia"/>
                <w:color w:val="000000"/>
                <w:highlight w:val="none"/>
              </w:rPr>
              <w:t xml:space="preserve">详见投标文件</w:t>
            </w:r>
            <w:r>
              <w:rPr>
                <w:color w:val="000000"/>
                <w:highlight w:val="none"/>
              </w:rPr>
            </w:r>
            <w:r/>
          </w:p>
        </w:tc>
        <w:tc>
          <w:tcPr>
            <w:tcW w:w="3319" w:type="dxa"/>
            <w:vAlign w:val="center"/>
            <w:textDirection w:val="lrTb"/>
            <w:noWrap w:val="false"/>
          </w:tcPr>
          <w:p>
            <w:pPr>
              <w:pStyle w:val="875"/>
              <w:jc w:val="both"/>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tc>
      </w:tr>
      <w:tr>
        <w:trPr>
          <w:trHeight w:val="1134" w:hRule="exact"/>
        </w:trPr>
        <w:tc>
          <w:tcPr>
            <w:tcW w:w="3816" w:type="dxa"/>
            <w:vAlign w:val="center"/>
            <w:textDirection w:val="lrTb"/>
            <w:noWrap w:val="false"/>
          </w:tcPr>
          <w:p>
            <w:pPr>
              <w:pStyle w:val="875"/>
              <w:jc w:val="both"/>
              <w:rPr>
                <w:color w:val="000000"/>
                <w:highlight w:val="none"/>
              </w:rPr>
            </w:pPr>
            <w:r>
              <w:rPr>
                <w:rFonts w:hint="eastAsia"/>
                <w:color w:val="000000"/>
                <w:highlight w:val="none"/>
              </w:rPr>
              <w:t xml:space="preserve">总价（大写）</w:t>
            </w:r>
            <w:r>
              <w:rPr>
                <w:color w:val="000000"/>
                <w:highlight w:val="none"/>
              </w:rPr>
            </w:r>
            <w:r/>
          </w:p>
        </w:tc>
        <w:tc>
          <w:tcPr>
            <w:gridSpan w:val="2"/>
            <w:tcW w:w="6140" w:type="dxa"/>
            <w:vAlign w:val="center"/>
            <w:textDirection w:val="lrTb"/>
            <w:noWrap w:val="false"/>
          </w:tcPr>
          <w:p>
            <w:pPr>
              <w:pStyle w:val="875"/>
              <w:jc w:val="both"/>
              <w:rPr>
                <w:color w:val="000000"/>
                <w:highlight w:val="none"/>
              </w:rPr>
            </w:pPr>
            <w:r>
              <w:rPr>
                <w:rFonts w:hint="eastAsia"/>
                <w:color w:val="000000"/>
                <w:highlight w:val="none"/>
              </w:rPr>
              <w:t xml:space="preserve">金额大写</w:t>
            </w:r>
            <w:r>
              <w:rPr>
                <w:color w:val="000000"/>
                <w:highlight w:val="none"/>
              </w:rPr>
            </w:r>
            <w:r/>
          </w:p>
        </w:tc>
      </w:tr>
    </w:tbl>
    <w:p>
      <w:pPr>
        <w:pStyle w:val="875"/>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875"/>
        <w:jc w:val="right"/>
        <w:rPr>
          <w:color w:val="000000"/>
          <w:highlight w:val="none"/>
        </w:rPr>
      </w:pPr>
      <w:r>
        <w:rPr>
          <w:color w:val="000000"/>
          <w:highlight w:val="none"/>
        </w:rPr>
      </w:r>
      <w:r/>
    </w:p>
    <w:p>
      <w:pPr>
        <w:pStyle w:val="875"/>
        <w:jc w:val="right"/>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875"/>
        <w:jc w:val="right"/>
        <w:rPr>
          <w:color w:val="000000"/>
          <w:highlight w:val="none"/>
        </w:rPr>
      </w:pPr>
      <w:r>
        <w:rPr>
          <w:color w:val="000000"/>
          <w:highlight w:val="none"/>
        </w:rPr>
      </w:r>
      <w:r/>
    </w:p>
    <w:p>
      <w:pPr>
        <w:pStyle w:val="809"/>
        <w:jc w:val="center"/>
        <w:rPr>
          <w:rFonts w:ascii="黑体" w:hAnsi="宋体" w:eastAsia="黑体" w:cs="黑体"/>
          <w:b/>
          <w:i/>
          <w:color w:val="000000"/>
          <w:sz w:val="32"/>
          <w:szCs w:val="32"/>
          <w:highlight w:val="none"/>
          <w:u w:val="single"/>
        </w:rPr>
      </w:pPr>
      <w:r>
        <w:rPr>
          <w:rFonts w:hint="eastAsia" w:ascii="宋体" w:hAnsi="宋体"/>
          <w:b/>
          <w:bCs/>
          <w:color w:val="000000"/>
          <w:sz w:val="32"/>
          <w:szCs w:val="32"/>
          <w:highlight w:val="none"/>
        </w:rPr>
        <w:br w:type="page" w:clear="all"/>
      </w:r>
      <w:r>
        <w:rPr>
          <w:rFonts w:hint="eastAsia"/>
          <w:b/>
          <w:bCs/>
          <w:color w:val="000000"/>
          <w:sz w:val="30"/>
          <w:szCs w:val="30"/>
          <w:highlight w:val="none"/>
        </w:rPr>
        <w:t xml:space="preserve">十四、</w:t>
      </w:r>
      <w:r>
        <w:rPr>
          <w:rFonts w:hint="eastAsia" w:ascii="黑体" w:hAnsi="宋体" w:eastAsia="黑体" w:cs="黑体"/>
          <w:b/>
          <w:iCs/>
          <w:color w:val="000000"/>
          <w:sz w:val="32"/>
          <w:szCs w:val="32"/>
          <w:highlight w:val="none"/>
        </w:rPr>
        <w:t xml:space="preserve">项目负责人及服务团队人员一览表</w:t>
      </w:r>
      <w:r>
        <w:rPr>
          <w:rFonts w:ascii="黑体" w:hAnsi="宋体" w:eastAsia="黑体" w:cs="黑体"/>
          <w:b/>
          <w:i/>
          <w:color w:val="000000"/>
          <w:sz w:val="32"/>
          <w:szCs w:val="32"/>
          <w:highlight w:val="none"/>
          <w:u w:val="single"/>
        </w:rPr>
      </w:r>
      <w:r/>
    </w:p>
    <w:p>
      <w:pPr>
        <w:pStyle w:val="809"/>
        <w:jc w:val="center"/>
        <w:rPr>
          <w:rFonts w:ascii="Calibri" w:hAnsi="Calibri"/>
          <w:iCs/>
          <w:color w:val="000000"/>
          <w:sz w:val="24"/>
          <w:szCs w:val="24"/>
          <w:highlight w:val="none"/>
        </w:rPr>
      </w:pPr>
      <w:r>
        <w:rPr>
          <w:rFonts w:ascii="Calibri" w:hAnsi="Calibri"/>
          <w:iCs/>
          <w:color w:val="000000"/>
          <w:sz w:val="24"/>
          <w:szCs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202"/>
        <w:gridCol w:w="1718"/>
        <w:gridCol w:w="1632"/>
        <w:gridCol w:w="2826"/>
        <w:gridCol w:w="1664"/>
      </w:tblGrid>
      <w:tr>
        <w:trPr>
          <w:trHeight w:val="1134" w:hRule="exact"/>
        </w:trPr>
        <w:tc>
          <w:tcPr>
            <w:tcW w:w="455" w:type="dxa"/>
            <w:vAlign w:val="center"/>
            <w:textDirection w:val="lrTb"/>
            <w:noWrap w:val="false"/>
          </w:tcPr>
          <w:p>
            <w:pPr>
              <w:pStyle w:val="809"/>
              <w:jc w:val="center"/>
              <w:spacing w:before="50" w:after="50"/>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604" w:type="dxa"/>
            <w:vAlign w:val="center"/>
            <w:textDirection w:val="lrTb"/>
            <w:noWrap w:val="false"/>
          </w:tcPr>
          <w:p>
            <w:pPr>
              <w:pStyle w:val="809"/>
              <w:jc w:val="center"/>
              <w:spacing w:before="50" w:after="50"/>
              <w:rPr>
                <w:color w:val="000000"/>
                <w:sz w:val="24"/>
                <w:szCs w:val="24"/>
                <w:highlight w:val="none"/>
              </w:rPr>
            </w:pPr>
            <w:r>
              <w:rPr>
                <w:rFonts w:hint="eastAsia"/>
                <w:color w:val="000000"/>
                <w:sz w:val="24"/>
                <w:szCs w:val="24"/>
                <w:highlight w:val="none"/>
              </w:rPr>
              <w:t xml:space="preserve">姓名</w:t>
            </w:r>
            <w:r>
              <w:rPr>
                <w:color w:val="000000"/>
                <w:sz w:val="24"/>
                <w:szCs w:val="24"/>
                <w:highlight w:val="none"/>
              </w:rPr>
            </w:r>
            <w:r/>
          </w:p>
        </w:tc>
        <w:tc>
          <w:tcPr>
            <w:tcW w:w="863" w:type="dxa"/>
            <w:vAlign w:val="center"/>
            <w:textDirection w:val="lrTb"/>
            <w:noWrap w:val="false"/>
          </w:tcPr>
          <w:p>
            <w:pPr>
              <w:pStyle w:val="809"/>
              <w:jc w:val="center"/>
              <w:spacing w:before="50" w:after="50"/>
              <w:rPr>
                <w:color w:val="000000"/>
                <w:sz w:val="24"/>
                <w:szCs w:val="24"/>
                <w:highlight w:val="none"/>
              </w:rPr>
            </w:pPr>
            <w:r>
              <w:rPr>
                <w:rFonts w:hint="eastAsia"/>
                <w:color w:val="000000"/>
                <w:sz w:val="24"/>
                <w:szCs w:val="24"/>
                <w:highlight w:val="none"/>
              </w:rPr>
              <w:t xml:space="preserve">证书名称</w:t>
            </w:r>
            <w:r>
              <w:rPr>
                <w:color w:val="000000"/>
                <w:sz w:val="24"/>
                <w:szCs w:val="24"/>
                <w:highlight w:val="none"/>
              </w:rPr>
            </w:r>
            <w:r/>
          </w:p>
        </w:tc>
        <w:tc>
          <w:tcPr>
            <w:tcW w:w="820" w:type="dxa"/>
            <w:vAlign w:val="center"/>
            <w:textDirection w:val="lrTb"/>
            <w:noWrap w:val="false"/>
          </w:tcPr>
          <w:p>
            <w:pPr>
              <w:pStyle w:val="809"/>
              <w:jc w:val="center"/>
              <w:spacing w:before="50" w:after="50"/>
              <w:rPr>
                <w:color w:val="000000"/>
                <w:sz w:val="24"/>
                <w:szCs w:val="24"/>
                <w:highlight w:val="none"/>
              </w:rPr>
            </w:pPr>
            <w:r>
              <w:rPr>
                <w:rFonts w:hint="eastAsia"/>
                <w:color w:val="000000"/>
                <w:sz w:val="24"/>
                <w:szCs w:val="24"/>
                <w:highlight w:val="none"/>
              </w:rPr>
              <w:t xml:space="preserve">证书编号</w:t>
            </w:r>
            <w:r>
              <w:rPr>
                <w:color w:val="000000"/>
                <w:sz w:val="24"/>
                <w:szCs w:val="24"/>
                <w:highlight w:val="none"/>
              </w:rPr>
            </w:r>
            <w:r/>
          </w:p>
        </w:tc>
        <w:tc>
          <w:tcPr>
            <w:tcW w:w="1420" w:type="dxa"/>
            <w:vAlign w:val="center"/>
            <w:textDirection w:val="lrTb"/>
            <w:noWrap w:val="false"/>
          </w:tcPr>
          <w:p>
            <w:pPr>
              <w:pStyle w:val="809"/>
              <w:jc w:val="center"/>
              <w:spacing w:before="50" w:after="50"/>
              <w:rPr>
                <w:color w:val="000000"/>
                <w:sz w:val="24"/>
                <w:szCs w:val="24"/>
                <w:highlight w:val="none"/>
              </w:rPr>
            </w:pPr>
            <w:r>
              <w:rPr>
                <w:rFonts w:hint="eastAsia"/>
                <w:color w:val="000000"/>
                <w:sz w:val="24"/>
                <w:szCs w:val="24"/>
                <w:highlight w:val="none"/>
              </w:rPr>
              <w:t xml:space="preserve">在服务团队担任职务</w:t>
            </w:r>
            <w:r>
              <w:rPr>
                <w:color w:val="000000"/>
                <w:sz w:val="24"/>
                <w:szCs w:val="24"/>
                <w:highlight w:val="none"/>
              </w:rPr>
            </w:r>
            <w:r/>
          </w:p>
        </w:tc>
        <w:tc>
          <w:tcPr>
            <w:tcW w:w="836" w:type="dxa"/>
            <w:vAlign w:val="center"/>
            <w:textDirection w:val="lrTb"/>
            <w:noWrap w:val="false"/>
          </w:tcPr>
          <w:p>
            <w:pPr>
              <w:pStyle w:val="809"/>
              <w:jc w:val="center"/>
              <w:spacing w:before="50" w:after="50"/>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w:t>
            </w: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809"/>
              <w:jc w:val="center"/>
              <w:spacing w:before="50" w:after="50"/>
              <w:rPr>
                <w:color w:val="000000"/>
                <w:sz w:val="24"/>
                <w:szCs w:val="24"/>
                <w:highlight w:val="none"/>
              </w:rPr>
            </w:pPr>
            <w:r>
              <w:rPr>
                <w:color w:val="000000"/>
                <w:sz w:val="24"/>
                <w:szCs w:val="24"/>
                <w:highlight w:val="none"/>
              </w:rPr>
            </w:r>
            <w:r/>
          </w:p>
        </w:tc>
      </w:tr>
    </w:tbl>
    <w:p>
      <w:pPr>
        <w:pStyle w:val="809"/>
        <w:jc w:val="center"/>
        <w:spacing w:before="50" w:after="50"/>
        <w:rPr>
          <w:color w:val="000000"/>
          <w:sz w:val="24"/>
          <w:szCs w:val="24"/>
          <w:highlight w:val="none"/>
        </w:rPr>
      </w:pPr>
      <w:r>
        <w:rPr>
          <w:color w:val="000000"/>
          <w:sz w:val="24"/>
          <w:szCs w:val="24"/>
          <w:highlight w:val="none"/>
        </w:rPr>
      </w:r>
      <w:r/>
    </w:p>
    <w:p>
      <w:pPr>
        <w:pStyle w:val="809"/>
        <w:jc w:val="left"/>
        <w:spacing w:before="50" w:after="50"/>
        <w:rPr>
          <w:color w:val="000000"/>
          <w:sz w:val="24"/>
          <w:szCs w:val="24"/>
          <w:highlight w:val="none"/>
        </w:rPr>
      </w:pPr>
      <w:r>
        <w:rPr>
          <w:rFonts w:hint="eastAsia"/>
          <w:color w:val="000000"/>
          <w:sz w:val="24"/>
          <w:szCs w:val="24"/>
          <w:highlight w:val="none"/>
        </w:rPr>
        <w:t xml:space="preserve">注：格式可作参考或自拟。</w:t>
      </w:r>
      <w:r>
        <w:rPr>
          <w:color w:val="000000"/>
          <w:sz w:val="24"/>
          <w:szCs w:val="24"/>
          <w:highlight w:val="none"/>
        </w:rPr>
      </w:r>
      <w:r/>
    </w:p>
    <w:p>
      <w:pPr>
        <w:pStyle w:val="875"/>
        <w:jc w:val="center"/>
        <w:rPr>
          <w:rFonts w:hint="eastAsia"/>
          <w:b/>
          <w:bCs/>
          <w:color w:val="000000"/>
          <w:sz w:val="30"/>
          <w:szCs w:val="30"/>
          <w:highlight w:val="none"/>
        </w:rPr>
      </w:pPr>
      <w:r>
        <w:rPr>
          <w:rFonts w:hint="eastAsia"/>
          <w:b/>
          <w:bCs/>
          <w:color w:val="000000"/>
          <w:sz w:val="30"/>
          <w:szCs w:val="30"/>
          <w:highlight w:val="none"/>
        </w:rPr>
      </w:r>
      <w:r/>
    </w:p>
    <w:p>
      <w:pPr>
        <w:pStyle w:val="875"/>
        <w:jc w:val="center"/>
        <w:rPr>
          <w:b/>
          <w:bCs/>
          <w:color w:val="000000"/>
          <w:sz w:val="30"/>
          <w:szCs w:val="30"/>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十五、服务方案</w:t>
      </w:r>
      <w:r>
        <w:rPr>
          <w:b/>
          <w:bCs/>
          <w:color w:val="000000"/>
          <w:sz w:val="30"/>
          <w:szCs w:val="30"/>
          <w:highlight w:val="none"/>
        </w:rPr>
      </w:r>
      <w:r/>
    </w:p>
    <w:p>
      <w:pPr>
        <w:pStyle w:val="809"/>
        <w:jc w:val="center"/>
        <w:spacing w:before="50" w:after="50"/>
        <w:rPr>
          <w:rFonts w:hint="eastAsia"/>
          <w:b/>
          <w:bCs/>
          <w:color w:val="000000"/>
          <w:sz w:val="30"/>
          <w:szCs w:val="30"/>
          <w:highlight w:val="none"/>
        </w:rPr>
      </w:pPr>
      <w:r>
        <w:rPr>
          <w:rFonts w:hint="eastAsia"/>
          <w:b/>
          <w:bCs/>
          <w:color w:val="000000"/>
          <w:sz w:val="30"/>
          <w:szCs w:val="30"/>
          <w:highlight w:val="none"/>
        </w:rPr>
        <w:t xml:space="preserve">（根据评分标准自行编制）</w:t>
      </w:r>
      <w:r>
        <w:rPr>
          <w:rFonts w:hint="eastAsia"/>
          <w:b/>
          <w:bCs/>
          <w:color w:val="000000"/>
          <w:sz w:val="30"/>
          <w:szCs w:val="30"/>
          <w:highlight w:val="none"/>
        </w:rPr>
      </w:r>
      <w:r/>
    </w:p>
    <w:p>
      <w:pPr>
        <w:pStyle w:val="875"/>
        <w:rPr>
          <w:color w:val="000000"/>
          <w:highlight w:val="none"/>
        </w:rPr>
      </w:pPr>
      <w:r>
        <w:rPr>
          <w:color w:val="000000"/>
          <w:highlight w:val="none"/>
        </w:rPr>
      </w:r>
      <w:r/>
    </w:p>
    <w:p>
      <w:pPr>
        <w:pStyle w:val="809"/>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十六、盐城市政府采购事前信用承诺书</w:t>
      </w:r>
      <w:r>
        <w:rPr>
          <w:color w:val="000000"/>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为营造我市公开、公平、公正、诚实守信的政府采购交易环境，树立诚信守法的投标人形象，本人代表本单位作出以下承诺：</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（三）严格依照国家和省、市关于政府采购的法律、法规、规章、规范性文件，参加政府采购投标活动；积极履行社会责任，促进廉政建设；</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（四）严格遵守即时信息公示规定，及时维护和更新维护和更新盐城市政府采购网中与本单位相关的信息；</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（六）自觉接受政府、行业组织、社会公众、新闻舆论的监督；</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b w:val="0"/>
          <w:bCs w:val="0"/>
          <w:color w:val="000000"/>
          <w:sz w:val="24"/>
          <w:szCs w:val="24"/>
          <w:highlight w:val="none"/>
        </w:rPr>
      </w:r>
      <w:r/>
    </w:p>
    <w:p>
      <w:pPr>
        <w:pStyle w:val="812"/>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（八）本人已认真阅读了上述承诺，并向本单位员工作了宣传教育。</w:t>
      </w:r>
      <w:r>
        <w:rPr>
          <w:rFonts w:hint="eastAsia"/>
          <w:b w:val="0"/>
          <w:bCs w:val="0"/>
          <w:color w:val="000000"/>
          <w:sz w:val="24"/>
          <w:szCs w:val="24"/>
          <w:highlight w:val="none"/>
        </w:rPr>
      </w:r>
      <w:r/>
    </w:p>
    <w:p>
      <w:pPr>
        <w:pStyle w:val="812"/>
        <w:ind w:firstLine="480"/>
        <w:spacing w:before="120" w:after="120" w:line="400" w:lineRule="exact"/>
        <w:rPr>
          <w:b w:val="0"/>
          <w:bCs w:val="0"/>
          <w:color w:val="000000"/>
          <w:sz w:val="24"/>
          <w:szCs w:val="24"/>
          <w:highlight w:val="none"/>
        </w:rPr>
      </w:pPr>
      <w:r>
        <w:rPr>
          <w:b w:val="0"/>
          <w:bCs w:val="0"/>
          <w:color w:val="000000"/>
          <w:sz w:val="24"/>
          <w:szCs w:val="24"/>
          <w:highlight w:val="none"/>
        </w:rPr>
      </w:r>
      <w:r/>
    </w:p>
    <w:p>
      <w:pPr>
        <w:pStyle w:val="812"/>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法定代表人签名：</w:t>
      </w:r>
      <w:r>
        <w:rPr>
          <w:rFonts w:hint="eastAsia"/>
          <w:b w:val="0"/>
          <w:bCs w:val="0"/>
          <w:color w:val="000000"/>
          <w:sz w:val="24"/>
          <w:szCs w:val="24"/>
          <w:highlight w:val="none"/>
        </w:rPr>
      </w:r>
      <w:r/>
    </w:p>
    <w:p>
      <w:pPr>
        <w:pStyle w:val="812"/>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单位名称（盖章）：</w:t>
      </w:r>
      <w:r>
        <w:rPr>
          <w:rFonts w:hint="eastAsia"/>
          <w:b w:val="0"/>
          <w:bCs w:val="0"/>
          <w:color w:val="000000"/>
          <w:sz w:val="24"/>
          <w:szCs w:val="24"/>
          <w:highlight w:val="none"/>
        </w:rPr>
      </w:r>
      <w:r/>
    </w:p>
    <w:p>
      <w:pPr>
        <w:pStyle w:val="812"/>
        <w:ind w:firstLine="552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年   月   日</w:t>
      </w:r>
      <w:r>
        <w:rPr>
          <w:rFonts w:hint="eastAsia"/>
          <w:b w:val="0"/>
          <w:bCs w:val="0"/>
          <w:color w:val="000000"/>
          <w:sz w:val="24"/>
          <w:szCs w:val="24"/>
          <w:highlight w:val="none"/>
        </w:rPr>
      </w:r>
      <w:r/>
    </w:p>
    <w:p>
      <w:pPr>
        <w:pStyle w:val="875"/>
        <w:rPr>
          <w:rFonts w:hint="eastAsia"/>
          <w:color w:val="000000"/>
          <w:highlight w:val="none"/>
        </w:rPr>
      </w:pPr>
      <w:r>
        <w:rPr>
          <w:rFonts w:hint="eastAsia"/>
          <w:color w:val="000000"/>
          <w:highlight w:val="none"/>
        </w:rPr>
      </w:r>
      <w:r/>
    </w:p>
    <w:p>
      <w:pPr>
        <w:pStyle w:val="809"/>
        <w:jc w:val="left"/>
        <w:spacing w:line="500" w:lineRule="exact"/>
        <w:widowControl/>
        <w:rPr>
          <w:rFonts w:ascii="黑体" w:eastAsia="黑体"/>
          <w:color w:val="000000"/>
          <w:sz w:val="32"/>
          <w:szCs w:val="32"/>
          <w:highlight w:val="none"/>
        </w:rPr>
      </w:pPr>
      <w:r>
        <w:rPr>
          <w:rFonts w:ascii="黑体" w:eastAsia="黑体"/>
          <w:color w:val="000000"/>
          <w:sz w:val="32"/>
          <w:szCs w:val="32"/>
          <w:highlight w:val="none"/>
        </w:rPr>
      </w:r>
      <w:r/>
    </w:p>
    <w:p>
      <w:pPr>
        <w:pStyle w:val="809"/>
        <w:jc w:val="center"/>
        <w:spacing w:line="360" w:lineRule="auto"/>
        <w:widowControl/>
        <w:rPr>
          <w:color w:val="000000"/>
          <w:sz w:val="32"/>
          <w:szCs w:val="32"/>
          <w:highlight w:val="none"/>
        </w:rPr>
      </w:pPr>
      <w:r/>
      <w:bookmarkEnd w:id="178"/>
      <w:r/>
      <w:bookmarkEnd w:id="181"/>
      <w:r>
        <w:rPr>
          <w:b/>
          <w:bCs/>
          <w:color w:val="000000"/>
          <w:sz w:val="30"/>
          <w:szCs w:val="30"/>
          <w:highlight w:val="none"/>
        </w:rPr>
        <w:br w:type="page" w:clear="all"/>
      </w:r>
      <w:r>
        <w:rPr>
          <w:rFonts w:hint="eastAsia"/>
          <w:b/>
          <w:bCs/>
          <w:color w:val="000000"/>
          <w:sz w:val="30"/>
          <w:szCs w:val="30"/>
          <w:highlight w:val="none"/>
        </w:rPr>
        <w:t xml:space="preserve">十七、</w:t>
      </w:r>
      <w:r>
        <w:rPr>
          <w:rFonts w:hint="eastAsia" w:ascii="宋体" w:hAnsi="宋体" w:cs="宋体"/>
          <w:b/>
          <w:bCs/>
          <w:color w:val="000000"/>
          <w:sz w:val="32"/>
          <w:szCs w:val="32"/>
          <w:highlight w:val="none"/>
        </w:rPr>
        <w:t xml:space="preserve">异常低价说明函</w:t>
      </w:r>
      <w:r>
        <w:rPr>
          <w:color w:val="000000"/>
          <w:sz w:val="32"/>
          <w:szCs w:val="32"/>
          <w:highlight w:val="none"/>
        </w:rPr>
      </w:r>
      <w:r/>
    </w:p>
    <w:p>
      <w:pPr>
        <w:pStyle w:val="809"/>
        <w:ind w:firstLine="480"/>
        <w:rPr>
          <w:rFonts w:ascii="宋体" w:hAnsi="宋体" w:cs="宋体"/>
          <w:color w:val="000000"/>
          <w:sz w:val="24"/>
          <w:highlight w:val="none"/>
          <w:u w:val="single"/>
        </w:rPr>
      </w:pPr>
      <w:r>
        <w:rPr>
          <w:rStyle w:val="924"/>
          <w:rFonts w:hAnsi="宋体"/>
          <w:bCs/>
          <w:color w:val="000000"/>
          <w:sz w:val="24"/>
          <w:szCs w:val="24"/>
          <w:highlight w:val="none"/>
        </w:rPr>
        <w:t xml:space="preserve">（提供项目具体成本测算与报价合理性相关的书面说明及相关证明材料，对投标（响应）价格作出解释</w:t>
      </w:r>
      <w:r>
        <w:rPr>
          <w:rFonts w:hint="eastAsia" w:ascii="宋体" w:hAnsi="宋体" w:cs="宋体"/>
          <w:color w:val="000000"/>
          <w:sz w:val="24"/>
          <w:highlight w:val="none"/>
        </w:rPr>
        <w:t xml:space="preserve">。</w:t>
      </w:r>
      <w:r>
        <w:rPr>
          <w:rStyle w:val="924"/>
          <w:rFonts w:hAnsi="宋体"/>
          <w:bCs/>
          <w:color w:val="000000"/>
          <w:sz w:val="24"/>
          <w:szCs w:val="24"/>
          <w:highlight w:val="none"/>
        </w:rPr>
        <w:t xml:space="preserve">）</w:t>
      </w:r>
      <w:r>
        <w:rPr>
          <w:rFonts w:ascii="宋体" w:hAnsi="宋体" w:cs="宋体"/>
          <w:color w:val="000000"/>
          <w:sz w:val="24"/>
          <w:highlight w:val="none"/>
          <w:u w:val="single"/>
        </w:rPr>
      </w:r>
      <w:r/>
    </w:p>
    <w:p>
      <w:pPr>
        <w:pStyle w:val="809"/>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809"/>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809"/>
        <w:ind w:firstLine="480"/>
        <w:jc w:val="right"/>
        <w:rPr>
          <w:rFonts w:ascii="宋体" w:hAnsi="宋体" w:cs="宋体"/>
          <w:color w:val="000000"/>
          <w:sz w:val="24"/>
          <w:highlight w:val="none"/>
        </w:rPr>
      </w:pPr>
      <w:r>
        <w:rPr>
          <w:rFonts w:hint="eastAsia" w:ascii="宋体" w:hAnsi="宋体" w:cs="宋体"/>
          <w:color w:val="000000"/>
          <w:sz w:val="24"/>
          <w:szCs w:val="24"/>
          <w:highlight w:val="none"/>
        </w:rPr>
        <w:t xml:space="preserve">单位名称（盖章）：</w:t>
      </w:r>
      <w:r>
        <w:rPr>
          <w:rFonts w:ascii="宋体" w:hAnsi="宋体" w:cs="宋体"/>
          <w:color w:val="000000"/>
          <w:sz w:val="24"/>
          <w:highlight w:val="none"/>
        </w:rPr>
      </w:r>
      <w:r/>
    </w:p>
    <w:p>
      <w:pPr>
        <w:pStyle w:val="809"/>
        <w:ind w:firstLine="5520"/>
        <w:jc w:val="left"/>
        <w:spacing w:line="36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szCs w:val="24"/>
          <w:highlight w:val="none"/>
        </w:rPr>
        <w:t xml:space="preserve">法定代表人签名：</w:t>
      </w:r>
      <w:r>
        <w:rPr>
          <w:rFonts w:ascii="宋体" w:hAnsi="宋体" w:cs="宋体"/>
          <w:color w:val="000000"/>
          <w:sz w:val="24"/>
          <w:szCs w:val="24"/>
          <w:highlight w:val="none"/>
        </w:rPr>
      </w:r>
      <w:r/>
    </w:p>
    <w:p>
      <w:pPr>
        <w:pStyle w:val="809"/>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09"/>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809"/>
        <w:jc w:val="center"/>
        <w:spacing w:before="50" w:after="50" w:line="380" w:lineRule="exact"/>
        <w:rPr>
          <w:rFonts w:hint="eastAsia"/>
          <w:color w:val="000000"/>
          <w:szCs w:val="28"/>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质疑函范本</w:t>
      </w:r>
      <w:r>
        <w:rPr>
          <w:rFonts w:hint="eastAsia"/>
          <w:color w:val="000000"/>
          <w:szCs w:val="28"/>
          <w:highlight w:val="none"/>
        </w:rPr>
      </w:r>
      <w:r/>
    </w:p>
    <w:p>
      <w:pPr>
        <w:pStyle w:val="862"/>
        <w:jc w:val="both"/>
        <w:spacing w:before="290" w:beforeAutospacing="0" w:afterAutospacing="0" w:line="380" w:lineRule="exact"/>
        <w:rPr>
          <w:rFonts w:hint="eastAsia"/>
          <w:b/>
          <w:bCs/>
          <w:color w:val="000000"/>
          <w:highlight w:val="none"/>
        </w:rPr>
      </w:pPr>
      <w:r>
        <w:rPr>
          <w:rFonts w:hint="eastAsia"/>
          <w:bCs/>
          <w:color w:val="000000"/>
          <w:highlight w:val="none"/>
        </w:rPr>
        <w:t xml:space="preserve">一、质疑供应商基本信息</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质疑供应商：</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rPr>
      </w:r>
      <w:r/>
    </w:p>
    <w:p>
      <w:pPr>
        <w:pStyle w:val="86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u w:val="singl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联系人：</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授权代表：</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 </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二、质疑项目基本情况</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质疑项目的名称：</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质疑项目的编号：</w:t>
      </w:r>
      <w:r>
        <w:rPr>
          <w:rFonts w:hint="eastAsia"/>
          <w:bCs/>
          <w:color w:val="000000"/>
          <w:highlight w:val="none"/>
          <w:u w:val="single"/>
        </w:rPr>
        <w:t xml:space="preserve">                            </w:t>
      </w:r>
      <w:r>
        <w:rPr>
          <w:rFonts w:hint="eastAsia"/>
          <w:b/>
          <w:bCs/>
          <w:color w:val="000000"/>
          <w:highlight w:val="none"/>
          <w:u w:val="singl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包号：</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采购人名称：</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采购文件获取日期：</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三、质疑事项具体内容</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质疑事项1：</w:t>
      </w:r>
      <w:r>
        <w:rPr>
          <w:rFonts w:hint="eastAsia"/>
          <w:bCs/>
          <w:color w:val="000000"/>
          <w:highlight w:val="none"/>
          <w:u w:val="single"/>
        </w:rPr>
        <w:t xml:space="preserve">                                </w:t>
      </w:r>
      <w:r>
        <w:rPr>
          <w:rFonts w:hint="eastAsia"/>
          <w:b/>
          <w:bCs/>
          <w:color w:val="000000"/>
          <w:highlight w:val="none"/>
        </w:rPr>
      </w:r>
      <w:r/>
    </w:p>
    <w:p>
      <w:pPr>
        <w:pStyle w:val="862"/>
        <w:spacing w:beforeAutospacing="0" w:afterAutospacing="0" w:line="380" w:lineRule="exact"/>
        <w:rPr>
          <w:rFonts w:hint="eastAsia"/>
          <w:b/>
          <w:bCs/>
          <w:color w:val="000000"/>
          <w:highlight w:val="none"/>
        </w:rPr>
      </w:pPr>
      <w:r>
        <w:rPr>
          <w:rFonts w:hint="eastAsia"/>
          <w:bCs/>
          <w:color w:val="000000"/>
          <w:highlight w:val="none"/>
        </w:rPr>
        <w:t xml:space="preserve">事实依据：</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法律依据：</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质疑事项2</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四、与质疑事项相关的质疑请求</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请求：</w:t>
      </w:r>
      <w:r>
        <w:rPr>
          <w:rFonts w:hint="eastAsia"/>
          <w:bCs/>
          <w:color w:val="000000"/>
          <w:highlight w:val="none"/>
          <w:u w:val="single"/>
        </w:rPr>
        <w:t xml:space="preserve">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签字(签章)：                 公章：               日期：    </w:t>
      </w:r>
      <w:r>
        <w:rPr>
          <w:rFonts w:hint="eastAsia"/>
          <w:b/>
          <w:bCs/>
          <w:color w:val="000000"/>
          <w:highlight w:val="none"/>
        </w:rPr>
      </w:r>
      <w:r/>
    </w:p>
    <w:p>
      <w:pPr>
        <w:pStyle w:val="862"/>
        <w:jc w:val="both"/>
        <w:spacing w:beforeAutospacing="0" w:afterAutospacing="0" w:line="380" w:lineRule="exact"/>
        <w:rPr>
          <w:rFonts w:hint="eastAsia"/>
          <w:b/>
          <w:bCs/>
          <w:color w:val="000000"/>
          <w:highlight w:val="none"/>
        </w:rPr>
      </w:pPr>
      <w:r>
        <w:rPr>
          <w:rFonts w:hint="eastAsia"/>
          <w:bCs/>
          <w:color w:val="000000"/>
          <w:highlight w:val="none"/>
        </w:rPr>
        <w:t xml:space="preserve">质疑函制作说明：</w:t>
      </w:r>
      <w:r>
        <w:rPr>
          <w:rFonts w:hint="eastAsia"/>
          <w:b/>
          <w:bCs/>
          <w:color w:val="000000"/>
          <w:highlight w:val="none"/>
        </w:rPr>
      </w:r>
      <w:r/>
    </w:p>
    <w:p>
      <w:pPr>
        <w:pStyle w:val="862"/>
        <w:ind w:firstLine="480"/>
        <w:spacing w:beforeAutospacing="0" w:afterAutospacing="0" w:line="380" w:lineRule="exact"/>
        <w:rPr>
          <w:rFonts w:hint="eastAsia"/>
          <w:b/>
          <w:bCs/>
          <w:color w:val="000000"/>
          <w:highlight w:val="none"/>
        </w:rPr>
      </w:pPr>
      <w:r>
        <w:rPr>
          <w:rFonts w:hint="eastAsia"/>
          <w:bCs/>
          <w:color w:val="000000"/>
          <w:highlight w:val="none"/>
        </w:rPr>
        <w:t xml:space="preserve">1.供应商提出质疑时，应提交质疑函和必要的证明材料。</w:t>
      </w:r>
      <w:r>
        <w:rPr>
          <w:rFonts w:hint="eastAsia"/>
          <w:b/>
          <w:bCs/>
          <w:color w:val="000000"/>
          <w:highlight w:val="none"/>
        </w:rPr>
      </w:r>
      <w:r/>
    </w:p>
    <w:p>
      <w:pPr>
        <w:pStyle w:val="862"/>
        <w:ind w:firstLine="480"/>
        <w:spacing w:beforeAutospacing="0" w:afterAutospacing="0" w:line="380" w:lineRule="exact"/>
        <w:rPr>
          <w:rFonts w:hint="eastAsia"/>
          <w:b/>
          <w:bCs/>
          <w:color w:val="000000"/>
          <w:highlight w:val="none"/>
        </w:rPr>
      </w:pPr>
      <w:r>
        <w:rPr>
          <w:rFonts w:hint="eastAsia"/>
          <w:bCs/>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b/>
          <w:bCs/>
          <w:color w:val="000000"/>
          <w:highlight w:val="none"/>
        </w:rPr>
      </w:r>
      <w:r/>
    </w:p>
    <w:p>
      <w:pPr>
        <w:pStyle w:val="862"/>
        <w:ind w:firstLine="480"/>
        <w:spacing w:beforeAutospacing="0" w:afterAutospacing="0" w:line="380" w:lineRule="exact"/>
        <w:rPr>
          <w:rFonts w:hint="eastAsia"/>
          <w:bCs/>
          <w:color w:val="000000"/>
          <w:highlight w:val="none"/>
        </w:rPr>
      </w:pPr>
      <w:r>
        <w:rPr>
          <w:rFonts w:hint="eastAsia"/>
          <w:bCs/>
          <w:color w:val="000000"/>
          <w:highlight w:val="none"/>
        </w:rPr>
        <w:t xml:space="preserve">3.质疑供应商若对项目的某一分包进行质疑，质疑函中应列明具体分包号。</w:t>
      </w:r>
      <w:r>
        <w:rPr>
          <w:rFonts w:hint="eastAsia"/>
          <w:bCs/>
          <w:color w:val="000000"/>
          <w:highlight w:val="none"/>
        </w:rPr>
      </w:r>
      <w:r/>
    </w:p>
    <w:p>
      <w:pPr>
        <w:pStyle w:val="862"/>
        <w:ind w:firstLine="480"/>
        <w:spacing w:beforeAutospacing="0" w:afterAutospacing="0" w:line="380" w:lineRule="exact"/>
        <w:rPr>
          <w:rFonts w:hint="eastAsia"/>
          <w:bCs/>
          <w:color w:val="000000"/>
          <w:highlight w:val="none"/>
        </w:rPr>
      </w:pPr>
      <w:r>
        <w:rPr>
          <w:rFonts w:hint="eastAsia"/>
          <w:bCs/>
          <w:color w:val="000000"/>
          <w:highlight w:val="none"/>
        </w:rPr>
        <w:t xml:space="preserve">4.质疑函的质疑事项应具体、明确，并有必要的事实依据和法律依据。</w:t>
      </w:r>
      <w:r>
        <w:rPr>
          <w:rFonts w:hint="eastAsia"/>
          <w:bCs/>
          <w:color w:val="000000"/>
          <w:highlight w:val="none"/>
        </w:rPr>
      </w:r>
      <w:r/>
    </w:p>
    <w:p>
      <w:pPr>
        <w:pStyle w:val="862"/>
        <w:ind w:firstLine="480"/>
        <w:spacing w:beforeAutospacing="0" w:afterAutospacing="0" w:line="380" w:lineRule="exact"/>
        <w:rPr>
          <w:rFonts w:hint="eastAsia"/>
          <w:bCs/>
          <w:color w:val="000000"/>
          <w:highlight w:val="none"/>
        </w:rPr>
      </w:pPr>
      <w:r>
        <w:rPr>
          <w:rFonts w:hint="eastAsia"/>
          <w:bCs/>
          <w:color w:val="000000"/>
          <w:highlight w:val="none"/>
        </w:rPr>
        <w:t xml:space="preserve">5.质疑函的质疑请求应与质疑事项相关。</w:t>
      </w:r>
      <w:r>
        <w:rPr>
          <w:rFonts w:hint="eastAsia"/>
          <w:bCs/>
          <w:color w:val="000000"/>
          <w:highlight w:val="none"/>
        </w:rPr>
      </w:r>
      <w:r/>
    </w:p>
    <w:p>
      <w:pPr>
        <w:pStyle w:val="862"/>
        <w:ind w:firstLine="480"/>
        <w:spacing w:beforeAutospacing="0" w:afterAutospacing="0" w:line="380" w:lineRule="exact"/>
        <w:rPr>
          <w:rFonts w:hint="eastAsia"/>
          <w:bCs/>
          <w:color w:val="000000"/>
          <w:highlight w:val="none"/>
        </w:rPr>
      </w:pPr>
      <w:r>
        <w:rPr>
          <w:rFonts w:hint="eastAsia"/>
          <w:bCs/>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bCs/>
          <w:color w:val="000000"/>
          <w:highlight w:val="none"/>
        </w:rPr>
      </w:r>
      <w:r/>
    </w:p>
    <w:sectPr>
      <w:headerReference w:type="default" r:id="rId12"/>
      <w:footnotePr/>
      <w:endnotePr/>
      <w:type w:val="nextPage"/>
      <w:pgSz w:w="11906" w:h="16838" w:orient="portrait"/>
      <w:pgMar w:top="1440" w:right="1083" w:bottom="1440"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809"/>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w:t>
                    </w:r>
                    <w:r>
                      <w:fldChar w:fldCharType="end"/>
                    </w:r>
                    <w:r>
                      <w:t xml:space="preserve"> 页</w:t>
                    </w:r>
                    <w:r/>
                  </w:p>
                  <w:p>
                    <w:pPr>
                      <w:pStyle w:val="809"/>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4153" w:leader="none"/>
                              <w:tab w:val="clear" w:pos="8306" w:leader="none"/>
                            </w:tabs>
                          </w:pPr>
                          <w:r>
                            <w:rPr>
                              <w:rFonts w:hint="eastAsia"/>
                            </w:rPr>
                            <w:t xml:space="preserve">38</w:t>
                          </w:r>
                          <w:r/>
                        </w:p>
                        <w:p>
                          <w:pPr>
                            <w:pStyle w:val="80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rPr>
                        <w:rFonts w:hint="eastAsia"/>
                      </w:rPr>
                      <w:t xml:space="preserve">38</w:t>
                    </w:r>
                    <w:r/>
                  </w:p>
                  <w:p>
                    <w:pPr>
                      <w:pStyle w:val="8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752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75285" cy="131445"/>
                      </a:xfrm>
                      <a:prstGeom prst="rect">
                        <a:avLst/>
                      </a:prstGeom>
                      <a:noFill/>
                      <a:ln>
                        <a:noFill/>
                      </a:ln>
                    </wps:spPr>
                    <wps:txbx>
                      <w:txbxContent>
                        <w:p>
                          <w:pPr>
                            <w:pStyle w:val="849"/>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35</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71</w:t>
                          </w:r>
                          <w:r>
                            <w:rPr>
                              <w:b/>
                              <w:bCs/>
                              <w:lang w:val="zh-CN"/>
                            </w:rPr>
                            <w:fldChar w:fldCharType="end"/>
                          </w:r>
                          <w:r/>
                        </w:p>
                        <w:p>
                          <w:pPr>
                            <w:pStyle w:val="809"/>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29.5pt;height:10.3pt;mso-wrap-distance-left:9.0pt;mso-wrap-distance-top:0.0pt;mso-wrap-distance-right:9.0pt;mso-wrap-distance-bottom:0.0pt;visibility:visible;" filled="f" stroked="f">
              <v:textbox inset="0,0,0,0">
                <w:txbxContent>
                  <w:p>
                    <w:pPr>
                      <w:pStyle w:val="849"/>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35</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71</w:t>
                    </w:r>
                    <w:r>
                      <w:rPr>
                        <w:b/>
                        <w:bCs/>
                        <w:lang w:val="zh-CN"/>
                      </w:rPr>
                      <w:fldChar w:fldCharType="end"/>
                    </w:r>
                    <w:r/>
                  </w:p>
                  <w:p>
                    <w:pPr>
                      <w:pStyle w:val="8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rPr>
        <w:rFonts w:eastAsia="隶书"/>
        <w:color w:val="ff0000"/>
        <w:spacing w:val="40"/>
        <w:sz w:val="21"/>
        <w:szCs w:val="21"/>
      </w:rPr>
    </w:pPr>
    <w:r>
      <w:rPr>
        <w:rFonts w:eastAsia="隶书"/>
        <w:color w:val="000000"/>
        <w:spacing w:val="40"/>
        <w:sz w:val="21"/>
        <w:szCs w:val="21"/>
      </w:rPr>
      <w:t xml:space="preserve">政府采购招标文件</w:t>
    </w:r>
    <w:r>
      <w:rPr>
        <w:rFonts w:eastAsia="隶书"/>
        <w:color w:val="ff0000"/>
        <w:spacing w:val="40"/>
        <w:sz w:val="21"/>
        <w:szCs w:val="21"/>
      </w:rPr>
    </w:r>
    <w:r/>
  </w:p>
  <w:p>
    <w:pPr>
      <w:pStyle w:val="8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07"/>
      <w:isLgl w:val="false"/>
      <w:suff w:val="tab"/>
      <w:lvlText w:val="附录%1."/>
      <w:lvlJc w:val="left"/>
      <w:pPr>
        <w:pStyle w:val="8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2"/>
      <w:isLgl w:val="false"/>
      <w:suff w:val="tab"/>
      <w:lvlText w:val="%1."/>
      <w:lvlJc w:val="left"/>
      <w:pPr>
        <w:pStyle w:val="809"/>
        <w:ind w:left="709" w:hanging="709"/>
        <w:tabs>
          <w:tab w:val="num" w:pos="709" w:leader="none"/>
        </w:tabs>
      </w:pPr>
      <w:rPr>
        <w:rFonts w:hint="eastAsia"/>
      </w:rPr>
    </w:lvl>
    <w:lvl w:ilvl="1">
      <w:start w:val="1"/>
      <w:numFmt w:val="decimal"/>
      <w:isLgl w:val="false"/>
      <w:suff w:val="tab"/>
      <w:lvlText w:val="%1.%2"/>
      <w:lvlJc w:val="left"/>
      <w:pPr>
        <w:pStyle w:val="809"/>
        <w:ind w:left="709" w:hanging="709"/>
        <w:tabs>
          <w:tab w:val="num" w:pos="709" w:leader="none"/>
        </w:tabs>
      </w:pPr>
      <w:rPr>
        <w:rFonts w:hint="eastAsia"/>
      </w:rPr>
    </w:lvl>
    <w:lvl w:ilvl="2">
      <w:start w:val="1"/>
      <w:numFmt w:val="decimal"/>
      <w:isLgl w:val="false"/>
      <w:suff w:val="tab"/>
      <w:lvlText w:val="%1.%2.%3."/>
      <w:lvlJc w:val="left"/>
      <w:pPr>
        <w:pStyle w:val="809"/>
        <w:ind w:left="425" w:hanging="425"/>
        <w:tabs>
          <w:tab w:val="num" w:pos="425" w:leader="none"/>
        </w:tabs>
      </w:pPr>
      <w:rPr>
        <w:rFonts w:hint="eastAsia"/>
      </w:rPr>
    </w:lvl>
    <w:lvl w:ilvl="3">
      <w:start w:val="1"/>
      <w:numFmt w:val="decimal"/>
      <w:isLgl w:val="false"/>
      <w:suff w:val="tab"/>
      <w:lvlText w:val="%1.%2.%3.%4."/>
      <w:lvlJc w:val="left"/>
      <w:pPr>
        <w:pStyle w:val="809"/>
        <w:ind w:left="851" w:hanging="851"/>
        <w:tabs>
          <w:tab w:val="num" w:pos="851" w:leader="none"/>
        </w:tabs>
      </w:pPr>
      <w:rPr>
        <w:rFonts w:hint="eastAsia"/>
      </w:rPr>
    </w:lvl>
    <w:lvl w:ilvl="4">
      <w:start w:val="1"/>
      <w:numFmt w:val="decimal"/>
      <w:isLgl w:val="false"/>
      <w:suff w:val="tab"/>
      <w:lvlText w:val="%1.%2.%3.%4.%5."/>
      <w:lvlJc w:val="left"/>
      <w:pPr>
        <w:pStyle w:val="809"/>
        <w:ind w:left="992" w:hanging="992"/>
        <w:tabs>
          <w:tab w:val="num" w:pos="992" w:leader="none"/>
        </w:tabs>
      </w:pPr>
      <w:rPr>
        <w:rFonts w:hint="eastAsia"/>
      </w:rPr>
    </w:lvl>
    <w:lvl w:ilvl="5">
      <w:start w:val="1"/>
      <w:numFmt w:val="decimal"/>
      <w:isLgl w:val="false"/>
      <w:suff w:val="tab"/>
      <w:lvlText w:val="%1.%2.%3.%4.%5.%6."/>
      <w:lvlJc w:val="left"/>
      <w:pPr>
        <w:pStyle w:val="809"/>
        <w:ind w:left="1134" w:hanging="1134"/>
        <w:tabs>
          <w:tab w:val="num" w:pos="1134" w:leader="none"/>
        </w:tabs>
      </w:pPr>
      <w:rPr>
        <w:rFonts w:hint="eastAsia"/>
      </w:rPr>
    </w:lvl>
    <w:lvl w:ilvl="6">
      <w:start w:val="1"/>
      <w:numFmt w:val="decimal"/>
      <w:isLgl w:val="false"/>
      <w:suff w:val="tab"/>
      <w:lvlText w:val="%1.%2.%3.%4.%5.%6.%7."/>
      <w:lvlJc w:val="left"/>
      <w:pPr>
        <w:pStyle w:val="809"/>
        <w:ind w:left="1276" w:hanging="1276"/>
        <w:tabs>
          <w:tab w:val="num" w:pos="1276" w:leader="none"/>
        </w:tabs>
      </w:pPr>
      <w:rPr>
        <w:rFonts w:hint="eastAsia"/>
      </w:rPr>
    </w:lvl>
    <w:lvl w:ilvl="7">
      <w:start w:val="1"/>
      <w:numFmt w:val="decimal"/>
      <w:isLgl w:val="false"/>
      <w:suff w:val="tab"/>
      <w:lvlText w:val="%1.%2.%3.%4.%5.%6.%7.%8."/>
      <w:lvlJc w:val="left"/>
      <w:pPr>
        <w:pStyle w:val="809"/>
        <w:ind w:left="1418" w:hanging="1418"/>
        <w:tabs>
          <w:tab w:val="num" w:pos="1418" w:leader="none"/>
        </w:tabs>
      </w:pPr>
      <w:rPr>
        <w:rFonts w:hint="eastAsia"/>
      </w:rPr>
    </w:lvl>
    <w:lvl w:ilvl="8">
      <w:start w:val="1"/>
      <w:numFmt w:val="decimal"/>
      <w:isLgl w:val="false"/>
      <w:suff w:val="tab"/>
      <w:lvlText w:val="%1.%2.%3.%4.%5.%6.%7.%8.%9."/>
      <w:lvlJc w:val="left"/>
      <w:pPr>
        <w:pStyle w:val="809"/>
        <w:ind w:left="1559" w:hanging="1559"/>
        <w:tabs>
          <w:tab w:val="num" w:pos="1559" w:leader="none"/>
        </w:tabs>
      </w:pPr>
      <w:rPr>
        <w:rFonts w:hint="eastAsia"/>
      </w:rPr>
    </w:lvl>
  </w:abstractNum>
  <w:abstractNum w:abstractNumId="2">
    <w:multiLevelType w:val="hybridMultilevel"/>
    <w:lvl w:ilvl="0">
      <w:start w:val="1"/>
      <w:numFmt w:val="decimal"/>
      <w:isLgl w:val="false"/>
      <w:suff w:val="nothing"/>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09"/>
        <w:ind w:left="0" w:firstLine="0"/>
      </w:pPr>
      <w:rPr>
        <w:rFonts w:hint="eastAsia"/>
      </w:rPr>
    </w:lvl>
    <w:lvl w:ilvl="1">
      <w:start w:val="1"/>
      <w:numFmt w:val="decimal"/>
      <w:isLgl w:val="false"/>
      <w:suff w:val="nothing"/>
      <w:lvlText w:val="%2、"/>
      <w:lvlJc w:val="left"/>
      <w:pPr>
        <w:pStyle w:val="809"/>
        <w:ind w:left="0" w:firstLine="0"/>
      </w:pPr>
      <w:rPr>
        <w:rFonts w:hint="eastAsia"/>
      </w:rPr>
    </w:lvl>
    <w:lvl w:ilvl="2">
      <w:start w:val="1"/>
      <w:numFmt w:val="decimal"/>
      <w:isLgl w:val="false"/>
      <w:suff w:val="nothing"/>
      <w:lvlText w:val="%2.%3 "/>
      <w:lvlJc w:val="left"/>
      <w:pPr>
        <w:pStyle w:val="809"/>
        <w:ind w:left="0" w:firstLine="0"/>
      </w:pPr>
      <w:rPr>
        <w:rFonts w:hint="eastAsia"/>
      </w:rPr>
    </w:lvl>
    <w:lvl w:ilvl="3">
      <w:start w:val="1"/>
      <w:numFmt w:val="decimal"/>
      <w:isLgl w:val="false"/>
      <w:suff w:val="nothing"/>
      <w:lvlText w:val="%2.%3.%4 "/>
      <w:lvlJc w:val="left"/>
      <w:pPr>
        <w:pStyle w:val="809"/>
        <w:ind w:left="0" w:firstLine="0"/>
      </w:pPr>
      <w:rPr>
        <w:rFonts w:hint="eastAsia"/>
      </w:rPr>
    </w:lvl>
    <w:lvl w:ilvl="4">
      <w:start w:val="1"/>
      <w:numFmt w:val="decimal"/>
      <w:isLgl w:val="false"/>
      <w:suff w:val="nothing"/>
      <w:lvlText w:val="%2.%3.%4.%5 "/>
      <w:lvlJc w:val="left"/>
      <w:pPr>
        <w:pStyle w:val="809"/>
        <w:ind w:left="0" w:firstLine="0"/>
      </w:pPr>
      <w:rPr>
        <w:rFonts w:hint="eastAsia"/>
      </w:rPr>
    </w:lvl>
    <w:lvl w:ilvl="5">
      <w:start w:val="1"/>
      <w:numFmt w:val="decimal"/>
      <w:pStyle w:val="815"/>
      <w:isLgl w:val="false"/>
      <w:suff w:val="nothing"/>
      <w:lvlText w:val=""/>
      <w:lvlJc w:val="left"/>
      <w:pPr>
        <w:pStyle w:val="809"/>
        <w:ind w:left="0" w:firstLine="0"/>
      </w:pPr>
      <w:rPr>
        <w:rFonts w:hint="eastAsia"/>
      </w:rPr>
    </w:lvl>
    <w:lvl w:ilvl="6">
      <w:start w:val="1"/>
      <w:numFmt w:val="decimal"/>
      <w:pStyle w:val="816"/>
      <w:isLgl w:val="false"/>
      <w:suff w:val="nothing"/>
      <w:lvlText w:val=""/>
      <w:lvlJc w:val="left"/>
      <w:pPr>
        <w:pStyle w:val="809"/>
        <w:ind w:left="0" w:firstLine="0"/>
      </w:pPr>
      <w:rPr>
        <w:rFonts w:hint="eastAsia"/>
      </w:rPr>
    </w:lvl>
    <w:lvl w:ilvl="7">
      <w:start w:val="1"/>
      <w:numFmt w:val="decimal"/>
      <w:pStyle w:val="817"/>
      <w:isLgl w:val="false"/>
      <w:suff w:val="nothing"/>
      <w:lvlText w:val=""/>
      <w:lvlJc w:val="left"/>
      <w:pPr>
        <w:pStyle w:val="809"/>
        <w:ind w:left="0" w:firstLine="0"/>
      </w:pPr>
      <w:rPr>
        <w:rFonts w:hint="eastAsia"/>
      </w:rPr>
    </w:lvl>
    <w:lvl w:ilvl="8">
      <w:start w:val="1"/>
      <w:numFmt w:val="decimal"/>
      <w:pStyle w:val="818"/>
      <w:isLgl w:val="false"/>
      <w:suff w:val="nothing"/>
      <w:lvlText w:val=""/>
      <w:lvlJc w:val="left"/>
      <w:pPr>
        <w:pStyle w:val="809"/>
        <w:ind w:left="0" w:firstLine="0"/>
      </w:pPr>
      <w:rPr>
        <w:rFonts w:hint="eastAsia"/>
      </w:rPr>
    </w:lvl>
  </w:abstractNum>
  <w:abstractNum w:abstractNumId="4">
    <w:multiLevelType w:val="hybridMultilevel"/>
    <w:lvl w:ilvl="0">
      <w:start w:val="1"/>
      <w:numFmt w:val="bullet"/>
      <w:pStyle w:val="839"/>
      <w:isLgl w:val="false"/>
      <w:suff w:val="tab"/>
      <w:lvlText w:val=""/>
      <w:lvlJc w:val="left"/>
      <w:pPr>
        <w:pStyle w:val="80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809"/>
        <w:ind w:left="1581" w:hanging="1440"/>
        <w:tabs>
          <w:tab w:val="num" w:pos="1581" w:leader="none"/>
        </w:tabs>
      </w:pPr>
      <w:rPr>
        <w:rFonts w:hint="eastAsia" w:ascii="方正小标宋_GBK" w:eastAsia="方正小标宋_GBK"/>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21"/>
    <w:link w:val="809"/>
    <w:qFormat/>
    <w:pPr>
      <w:jc w:val="both"/>
      <w:widowControl w:val="off"/>
    </w:pPr>
    <w:rPr>
      <w:sz w:val="21"/>
      <w:szCs w:val="21"/>
      <w:lang w:val="en-US" w:eastAsia="zh-CN" w:bidi="ar-SA"/>
    </w:rPr>
  </w:style>
  <w:style w:type="paragraph" w:styleId="810">
    <w:name w:val="标题 1"/>
    <w:basedOn w:val="809"/>
    <w:next w:val="809"/>
    <w:link w:val="826"/>
    <w:qFormat/>
    <w:pPr>
      <w:jc w:val="center"/>
      <w:keepNext/>
      <w:outlineLvl w:val="0"/>
    </w:pPr>
    <w:rPr>
      <w:rFonts w:ascii="楷体_GB2312" w:eastAsia="楷体_GB2312"/>
      <w:sz w:val="28"/>
      <w:szCs w:val="28"/>
    </w:rPr>
  </w:style>
  <w:style w:type="paragraph" w:styleId="811">
    <w:name w:val="标题 2"/>
    <w:basedOn w:val="809"/>
    <w:next w:val="809"/>
    <w:link w:val="809"/>
    <w:qFormat/>
    <w:pPr>
      <w:jc w:val="center"/>
      <w:keepLines/>
      <w:keepNext/>
      <w:spacing w:before="260" w:after="260" w:line="416" w:lineRule="auto"/>
      <w:outlineLvl w:val="1"/>
    </w:pPr>
    <w:rPr>
      <w:rFonts w:ascii="Arial" w:hAnsi="Arial" w:eastAsia="幼圆" w:cs="Arial"/>
      <w:b/>
      <w:bCs/>
      <w:sz w:val="44"/>
      <w:szCs w:val="44"/>
    </w:rPr>
  </w:style>
  <w:style w:type="paragraph" w:styleId="812">
    <w:name w:val="标题 3"/>
    <w:basedOn w:val="809"/>
    <w:next w:val="828"/>
    <w:link w:val="827"/>
    <w:qFormat/>
    <w:pPr>
      <w:keepLines/>
      <w:keepNext/>
      <w:spacing w:before="260" w:after="260" w:line="416" w:lineRule="auto"/>
      <w:outlineLvl w:val="2"/>
    </w:pPr>
    <w:rPr>
      <w:b/>
      <w:bCs/>
      <w:sz w:val="32"/>
      <w:szCs w:val="32"/>
    </w:rPr>
  </w:style>
  <w:style w:type="paragraph" w:styleId="813">
    <w:name w:val="标题 4"/>
    <w:basedOn w:val="809"/>
    <w:next w:val="809"/>
    <w:link w:val="809"/>
    <w:qFormat/>
    <w:pPr>
      <w:keepLines/>
      <w:keepNext/>
      <w:spacing w:before="280" w:after="290" w:line="376" w:lineRule="auto"/>
      <w:outlineLvl w:val="3"/>
    </w:pPr>
    <w:rPr>
      <w:rFonts w:ascii="Arial" w:hAnsi="Arial" w:eastAsia="黑体" w:cs="Arial"/>
      <w:b/>
      <w:bCs/>
      <w:sz w:val="28"/>
      <w:szCs w:val="28"/>
    </w:rPr>
  </w:style>
  <w:style w:type="paragraph" w:styleId="814">
    <w:name w:val="标题 5"/>
    <w:basedOn w:val="809"/>
    <w:next w:val="828"/>
    <w:link w:val="809"/>
    <w:qFormat/>
    <w:pPr>
      <w:keepNext/>
      <w:outlineLvl w:val="4"/>
    </w:pPr>
    <w:rPr>
      <w:rFonts w:ascii="宋体"/>
      <w:color w:val="000000"/>
      <w:sz w:val="28"/>
      <w:szCs w:val="28"/>
    </w:rPr>
  </w:style>
  <w:style w:type="paragraph" w:styleId="815">
    <w:name w:val="标题 6"/>
    <w:basedOn w:val="809"/>
    <w:next w:val="809"/>
    <w:link w:val="809"/>
    <w:qFormat/>
    <w:pPr>
      <w:numPr>
        <w:ilvl w:val="5"/>
        <w:numId w:val="1"/>
      </w:numPr>
      <w:keepLines/>
      <w:keepNext/>
      <w:spacing w:before="240" w:after="64" w:line="320" w:lineRule="auto"/>
      <w:outlineLvl w:val="5"/>
    </w:pPr>
    <w:rPr>
      <w:rFonts w:ascii="Arial" w:hAnsi="Arial" w:eastAsia="黑体"/>
      <w:b/>
      <w:bCs/>
      <w:sz w:val="24"/>
      <w:szCs w:val="24"/>
    </w:rPr>
  </w:style>
  <w:style w:type="paragraph" w:styleId="816">
    <w:name w:val="标题 7"/>
    <w:basedOn w:val="809"/>
    <w:next w:val="809"/>
    <w:link w:val="809"/>
    <w:qFormat/>
    <w:pPr>
      <w:numPr>
        <w:ilvl w:val="6"/>
        <w:numId w:val="1"/>
      </w:numPr>
      <w:keepLines/>
      <w:keepNext/>
      <w:spacing w:before="240" w:after="64" w:line="320" w:lineRule="auto"/>
      <w:outlineLvl w:val="6"/>
    </w:pPr>
    <w:rPr>
      <w:b/>
      <w:bCs/>
      <w:sz w:val="24"/>
      <w:szCs w:val="24"/>
    </w:rPr>
  </w:style>
  <w:style w:type="paragraph" w:styleId="817">
    <w:name w:val="标题 8"/>
    <w:basedOn w:val="809"/>
    <w:next w:val="809"/>
    <w:link w:val="809"/>
    <w:qFormat/>
    <w:pPr>
      <w:numPr>
        <w:ilvl w:val="7"/>
        <w:numId w:val="1"/>
      </w:numPr>
      <w:keepLines/>
      <w:keepNext/>
      <w:spacing w:before="240" w:after="64" w:line="320" w:lineRule="auto"/>
      <w:outlineLvl w:val="7"/>
    </w:pPr>
    <w:rPr>
      <w:rFonts w:ascii="Arial" w:hAnsi="Arial" w:eastAsia="黑体"/>
      <w:sz w:val="24"/>
      <w:szCs w:val="24"/>
    </w:rPr>
  </w:style>
  <w:style w:type="paragraph" w:styleId="818">
    <w:name w:val="标题 9"/>
    <w:basedOn w:val="809"/>
    <w:next w:val="809"/>
    <w:link w:val="809"/>
    <w:qFormat/>
    <w:pPr>
      <w:numPr>
        <w:ilvl w:val="8"/>
        <w:numId w:val="1"/>
      </w:numPr>
      <w:keepLines/>
      <w:keepNext/>
      <w:spacing w:before="240" w:after="64" w:line="320" w:lineRule="auto"/>
      <w:outlineLvl w:val="8"/>
    </w:pPr>
    <w:rPr>
      <w:rFonts w:ascii="Arial" w:hAnsi="Arial" w:eastAsia="黑体"/>
    </w:rPr>
  </w:style>
  <w:style w:type="character" w:styleId="819">
    <w:name w:val="默认段落字体"/>
    <w:next w:val="819"/>
    <w:link w:val="809"/>
    <w:uiPriority w:val="1"/>
    <w:unhideWhenUsed/>
  </w:style>
  <w:style w:type="table" w:styleId="820">
    <w:name w:val="普通表格"/>
    <w:next w:val="820"/>
    <w:link w:val="809"/>
    <w:uiPriority w:val="99"/>
    <w:unhideWhenUsed/>
    <w:tblPr/>
  </w:style>
  <w:style w:type="paragraph" w:styleId="821">
    <w:name w:val="正文首行缩进 21"/>
    <w:basedOn w:val="822"/>
    <w:next w:val="825"/>
    <w:link w:val="809"/>
    <w:qFormat/>
    <w:pPr>
      <w:ind w:firstLine="420"/>
    </w:pPr>
  </w:style>
  <w:style w:type="paragraph" w:styleId="822">
    <w:name w:val="正文文本缩进1"/>
    <w:basedOn w:val="809"/>
    <w:next w:val="823"/>
    <w:link w:val="809"/>
    <w:qFormat/>
    <w:pPr>
      <w:ind w:left="420"/>
      <w:spacing w:after="120"/>
    </w:pPr>
  </w:style>
  <w:style w:type="paragraph" w:styleId="823">
    <w:name w:val="寄信人地址1"/>
    <w:basedOn w:val="824"/>
    <w:next w:val="823"/>
    <w:link w:val="809"/>
    <w:qFormat/>
    <w:rPr>
      <w:rFonts w:ascii="Arial" w:hAnsi="Arial"/>
    </w:rPr>
  </w:style>
  <w:style w:type="paragraph" w:styleId="824">
    <w:name w:val="正文111"/>
    <w:next w:val="809"/>
    <w:link w:val="809"/>
    <w:qFormat/>
    <w:pPr>
      <w:jc w:val="both"/>
      <w:widowControl w:val="off"/>
    </w:pPr>
    <w:rPr>
      <w:rFonts w:ascii="Times New Roman" w:hAnsi="Times New Roman" w:eastAsia="宋体" w:cs="Times New Roman"/>
      <w:sz w:val="21"/>
      <w:szCs w:val="24"/>
      <w:lang w:val="en-US" w:eastAsia="zh-CN" w:bidi="ar-SA"/>
    </w:rPr>
  </w:style>
  <w:style w:type="paragraph" w:styleId="825">
    <w:name w:val="正文缩进1"/>
    <w:basedOn w:val="809"/>
    <w:next w:val="825"/>
    <w:link w:val="809"/>
    <w:qFormat/>
    <w:pPr>
      <w:ind w:firstLine="420"/>
    </w:pPr>
    <w:rPr>
      <w:szCs w:val="21"/>
    </w:rPr>
  </w:style>
  <w:style w:type="character" w:styleId="826">
    <w:name w:val="标题 1 Char1"/>
    <w:next w:val="826"/>
    <w:link w:val="810"/>
    <w:rPr>
      <w:rFonts w:ascii="楷体_GB2312" w:eastAsia="楷体_GB2312"/>
      <w:sz w:val="28"/>
      <w:szCs w:val="28"/>
    </w:rPr>
  </w:style>
  <w:style w:type="character" w:styleId="827">
    <w:name w:val="标题 3 Char"/>
    <w:next w:val="827"/>
    <w:link w:val="812"/>
    <w:qFormat/>
    <w:rPr>
      <w:rFonts w:eastAsia="宋体"/>
      <w:b/>
      <w:bCs/>
      <w:sz w:val="32"/>
      <w:szCs w:val="32"/>
      <w:lang w:val="en-US" w:eastAsia="zh-CN" w:bidi="ar-SA"/>
    </w:rPr>
  </w:style>
  <w:style w:type="paragraph" w:styleId="828">
    <w:name w:val="正文缩进"/>
    <w:basedOn w:val="809"/>
    <w:next w:val="828"/>
    <w:link w:val="829"/>
    <w:uiPriority w:val="99"/>
    <w:qFormat/>
    <w:pPr>
      <w:ind w:firstLine="420"/>
    </w:pPr>
  </w:style>
  <w:style w:type="character" w:styleId="829">
    <w:name w:val="正文缩进 Char"/>
    <w:next w:val="829"/>
    <w:link w:val="828"/>
    <w:qFormat/>
    <w:rPr>
      <w:sz w:val="21"/>
      <w:szCs w:val="21"/>
    </w:rPr>
  </w:style>
  <w:style w:type="paragraph" w:styleId="830">
    <w:name w:val="列表 3"/>
    <w:basedOn w:val="809"/>
    <w:next w:val="830"/>
    <w:link w:val="809"/>
    <w:qFormat/>
    <w:pPr>
      <w:ind w:left="100" w:hanging="200"/>
    </w:pPr>
  </w:style>
  <w:style w:type="paragraph" w:styleId="831">
    <w:name w:val="目录 7"/>
    <w:basedOn w:val="809"/>
    <w:next w:val="809"/>
    <w:link w:val="809"/>
    <w:semiHidden/>
    <w:qFormat/>
    <w:pPr>
      <w:ind w:left="1260"/>
      <w:jc w:val="left"/>
    </w:pPr>
  </w:style>
  <w:style w:type="paragraph" w:styleId="832">
    <w:name w:val="文档结构图"/>
    <w:basedOn w:val="809"/>
    <w:next w:val="832"/>
    <w:link w:val="833"/>
    <w:semiHidden/>
    <w:qFormat/>
    <w:pPr>
      <w:shd w:val="clear" w:color="auto" w:fill="000080"/>
    </w:pPr>
  </w:style>
  <w:style w:type="character" w:styleId="833">
    <w:name w:val="文档结构图 Char"/>
    <w:next w:val="833"/>
    <w:link w:val="832"/>
    <w:qFormat/>
    <w:rPr>
      <w:rFonts w:eastAsia="宋体"/>
      <w:sz w:val="21"/>
      <w:szCs w:val="21"/>
      <w:lang w:val="en-US" w:eastAsia="zh-CN" w:bidi="ar-SA"/>
    </w:rPr>
  </w:style>
  <w:style w:type="paragraph" w:styleId="834">
    <w:name w:val="批注文字"/>
    <w:basedOn w:val="809"/>
    <w:next w:val="834"/>
    <w:link w:val="809"/>
    <w:semiHidden/>
    <w:qFormat/>
    <w:pPr>
      <w:jc w:val="left"/>
    </w:pPr>
  </w:style>
  <w:style w:type="paragraph" w:styleId="835">
    <w:name w:val="正文文本 3"/>
    <w:basedOn w:val="809"/>
    <w:next w:val="835"/>
    <w:link w:val="809"/>
    <w:qFormat/>
    <w:rPr>
      <w:rFonts w:ascii="仿宋_GB2312" w:hAnsi="Arial" w:eastAsia="仿宋_GB2312"/>
      <w:sz w:val="32"/>
      <w:szCs w:val="32"/>
    </w:rPr>
  </w:style>
  <w:style w:type="paragraph" w:styleId="836">
    <w:name w:val="正文文本"/>
    <w:basedOn w:val="809"/>
    <w:next w:val="809"/>
    <w:link w:val="809"/>
    <w:qFormat/>
    <w:rPr>
      <w:rFonts w:ascii="楷体_GB2312" w:hAnsi="Arial" w:eastAsia="楷体_GB2312"/>
      <w:sz w:val="28"/>
      <w:szCs w:val="28"/>
    </w:rPr>
  </w:style>
  <w:style w:type="paragraph" w:styleId="837">
    <w:name w:val="正文文本缩进"/>
    <w:basedOn w:val="809"/>
    <w:next w:val="837"/>
    <w:link w:val="809"/>
    <w:qFormat/>
    <w:pPr>
      <w:ind w:firstLine="645"/>
    </w:pPr>
    <w:rPr>
      <w:rFonts w:ascii="楷体_GB2312" w:eastAsia="楷体_GB2312"/>
      <w:sz w:val="32"/>
      <w:szCs w:val="32"/>
    </w:rPr>
  </w:style>
  <w:style w:type="paragraph" w:styleId="838">
    <w:name w:val="列表 2"/>
    <w:basedOn w:val="809"/>
    <w:next w:val="838"/>
    <w:link w:val="809"/>
    <w:qFormat/>
    <w:pPr>
      <w:ind w:left="100" w:hanging="200"/>
    </w:pPr>
  </w:style>
  <w:style w:type="paragraph" w:styleId="839">
    <w:name w:val="列表项目符号 2"/>
    <w:basedOn w:val="809"/>
    <w:next w:val="839"/>
    <w:link w:val="809"/>
    <w:qFormat/>
    <w:pPr>
      <w:numPr>
        <w:ilvl w:val="0"/>
        <w:numId w:val="2"/>
      </w:numPr>
      <w:tabs>
        <w:tab w:val="left" w:pos="780" w:leader="none"/>
      </w:tabs>
    </w:pPr>
  </w:style>
  <w:style w:type="paragraph" w:styleId="840">
    <w:name w:val="索引 4"/>
    <w:basedOn w:val="809"/>
    <w:next w:val="809"/>
    <w:link w:val="809"/>
    <w:semiHidden/>
    <w:qFormat/>
    <w:pPr>
      <w:ind w:left="1260"/>
    </w:pPr>
  </w:style>
  <w:style w:type="paragraph" w:styleId="841">
    <w:name w:val="目录 5"/>
    <w:basedOn w:val="809"/>
    <w:next w:val="809"/>
    <w:link w:val="809"/>
    <w:semiHidden/>
    <w:qFormat/>
    <w:pPr>
      <w:ind w:left="840"/>
      <w:jc w:val="left"/>
    </w:pPr>
  </w:style>
  <w:style w:type="paragraph" w:styleId="842">
    <w:name w:val="目录 3"/>
    <w:basedOn w:val="809"/>
    <w:next w:val="809"/>
    <w:link w:val="809"/>
    <w:semiHidden/>
    <w:qFormat/>
    <w:pPr>
      <w:ind w:left="420"/>
      <w:jc w:val="left"/>
    </w:pPr>
    <w:rPr>
      <w:i/>
      <w:iCs/>
      <w:szCs w:val="24"/>
    </w:rPr>
  </w:style>
  <w:style w:type="paragraph" w:styleId="843">
    <w:name w:val="纯文本"/>
    <w:basedOn w:val="809"/>
    <w:next w:val="843"/>
    <w:link w:val="844"/>
    <w:qFormat/>
    <w:rPr>
      <w:rFonts w:ascii="宋体" w:hAnsi="Courier New"/>
    </w:rPr>
  </w:style>
  <w:style w:type="character" w:styleId="844">
    <w:name w:val="纯文本 Char"/>
    <w:next w:val="844"/>
    <w:link w:val="843"/>
    <w:uiPriority w:val="99"/>
    <w:qFormat/>
    <w:rPr>
      <w:rFonts w:ascii="宋体" w:hAnsi="Courier New" w:cs="Courier New"/>
      <w:sz w:val="21"/>
      <w:szCs w:val="21"/>
    </w:rPr>
  </w:style>
  <w:style w:type="paragraph" w:styleId="845">
    <w:name w:val="目录 8"/>
    <w:basedOn w:val="809"/>
    <w:next w:val="809"/>
    <w:link w:val="809"/>
    <w:semiHidden/>
    <w:qFormat/>
    <w:pPr>
      <w:ind w:left="1470"/>
      <w:jc w:val="left"/>
    </w:pPr>
  </w:style>
  <w:style w:type="paragraph" w:styleId="846">
    <w:name w:val="日期"/>
    <w:basedOn w:val="809"/>
    <w:next w:val="809"/>
    <w:link w:val="809"/>
    <w:qFormat/>
    <w:rPr>
      <w:sz w:val="24"/>
      <w:szCs w:val="24"/>
    </w:rPr>
  </w:style>
  <w:style w:type="paragraph" w:styleId="847">
    <w:name w:val="正文文本缩进 2"/>
    <w:basedOn w:val="809"/>
    <w:next w:val="847"/>
    <w:link w:val="809"/>
    <w:qFormat/>
    <w:pPr>
      <w:ind w:left="630" w:firstLine="645"/>
    </w:pPr>
    <w:rPr>
      <w:rFonts w:ascii="Arial" w:hAnsi="Arial" w:eastAsia="仿宋_GB2312" w:cs="Arial"/>
      <w:sz w:val="32"/>
      <w:szCs w:val="32"/>
    </w:rPr>
  </w:style>
  <w:style w:type="paragraph" w:styleId="848">
    <w:name w:val="批注框文本"/>
    <w:basedOn w:val="809"/>
    <w:next w:val="848"/>
    <w:link w:val="809"/>
    <w:semiHidden/>
    <w:qFormat/>
    <w:rPr>
      <w:sz w:val="18"/>
      <w:szCs w:val="18"/>
    </w:rPr>
  </w:style>
  <w:style w:type="paragraph" w:styleId="849">
    <w:name w:val="页脚"/>
    <w:basedOn w:val="809"/>
    <w:next w:val="849"/>
    <w:link w:val="850"/>
    <w:uiPriority w:val="99"/>
    <w:qFormat/>
    <w:pPr>
      <w:jc w:val="left"/>
      <w:tabs>
        <w:tab w:val="center" w:pos="4153" w:leader="none"/>
        <w:tab w:val="right" w:pos="8306" w:leader="none"/>
      </w:tabs>
    </w:pPr>
    <w:rPr>
      <w:sz w:val="18"/>
      <w:szCs w:val="18"/>
    </w:rPr>
  </w:style>
  <w:style w:type="character" w:styleId="850">
    <w:name w:val="页脚 Char"/>
    <w:next w:val="850"/>
    <w:link w:val="849"/>
    <w:uiPriority w:val="99"/>
    <w:qFormat/>
    <w:rPr>
      <w:sz w:val="18"/>
      <w:szCs w:val="18"/>
    </w:rPr>
  </w:style>
  <w:style w:type="paragraph" w:styleId="851">
    <w:name w:val="页眉"/>
    <w:basedOn w:val="809"/>
    <w:next w:val="851"/>
    <w:link w:val="852"/>
    <w:uiPriority w:val="99"/>
    <w:qFormat/>
    <w:pPr>
      <w:jc w:val="center"/>
      <w:tabs>
        <w:tab w:val="center" w:pos="4153" w:leader="none"/>
        <w:tab w:val="right" w:pos="8306" w:leader="none"/>
      </w:tabs>
      <w:pBdr>
        <w:bottom w:val="single" w:color="000000" w:sz="6" w:space="1"/>
      </w:pBdr>
    </w:pPr>
    <w:rPr>
      <w:sz w:val="18"/>
      <w:szCs w:val="18"/>
    </w:rPr>
  </w:style>
  <w:style w:type="character" w:styleId="852">
    <w:name w:val="页眉 Char"/>
    <w:next w:val="852"/>
    <w:link w:val="851"/>
    <w:uiPriority w:val="99"/>
    <w:qFormat/>
    <w:rPr>
      <w:sz w:val="18"/>
      <w:szCs w:val="18"/>
    </w:rPr>
  </w:style>
  <w:style w:type="paragraph" w:styleId="853">
    <w:name w:val="目录 1"/>
    <w:basedOn w:val="809"/>
    <w:next w:val="809"/>
    <w:link w:val="809"/>
    <w:semiHidden/>
    <w:qFormat/>
    <w:pPr>
      <w:jc w:val="left"/>
      <w:spacing w:before="120" w:after="120" w:line="400" w:lineRule="exact"/>
      <w:tabs>
        <w:tab w:val="right" w:pos="8720" w:leader="dot"/>
      </w:tabs>
    </w:pPr>
    <w:rPr>
      <w:rFonts w:ascii="宋体" w:hAnsi="宋体"/>
      <w:caps/>
      <w:sz w:val="24"/>
      <w:szCs w:val="24"/>
    </w:rPr>
  </w:style>
  <w:style w:type="paragraph" w:styleId="854">
    <w:name w:val="目录 4"/>
    <w:basedOn w:val="809"/>
    <w:next w:val="809"/>
    <w:link w:val="809"/>
    <w:semiHidden/>
    <w:qFormat/>
    <w:pPr>
      <w:ind w:left="630"/>
      <w:jc w:val="left"/>
    </w:pPr>
  </w:style>
  <w:style w:type="paragraph" w:styleId="855">
    <w:name w:val="列表"/>
    <w:basedOn w:val="809"/>
    <w:next w:val="855"/>
    <w:link w:val="809"/>
    <w:qFormat/>
    <w:pPr>
      <w:ind w:left="200" w:hanging="200"/>
    </w:pPr>
  </w:style>
  <w:style w:type="paragraph" w:styleId="856">
    <w:name w:val="目录 6"/>
    <w:basedOn w:val="809"/>
    <w:next w:val="809"/>
    <w:link w:val="809"/>
    <w:semiHidden/>
    <w:qFormat/>
    <w:pPr>
      <w:ind w:left="1050"/>
      <w:jc w:val="left"/>
    </w:pPr>
  </w:style>
  <w:style w:type="paragraph" w:styleId="857">
    <w:name w:val="正文文本缩进 3"/>
    <w:basedOn w:val="809"/>
    <w:next w:val="857"/>
    <w:link w:val="809"/>
    <w:qFormat/>
    <w:pPr>
      <w:ind w:left="645" w:firstLine="645"/>
    </w:pPr>
    <w:rPr>
      <w:rFonts w:ascii="Arial" w:hAnsi="Arial" w:eastAsia="仿宋_GB2312" w:cs="Arial"/>
      <w:color w:val="ffff00"/>
      <w:sz w:val="32"/>
      <w:szCs w:val="32"/>
    </w:rPr>
  </w:style>
  <w:style w:type="paragraph" w:styleId="858">
    <w:name w:val="图表目录"/>
    <w:basedOn w:val="809"/>
    <w:next w:val="809"/>
    <w:link w:val="809"/>
    <w:semiHidden/>
    <w:qFormat/>
    <w:pPr>
      <w:ind w:left="840" w:hanging="420"/>
    </w:pPr>
  </w:style>
  <w:style w:type="paragraph" w:styleId="859">
    <w:name w:val="目录 2"/>
    <w:basedOn w:val="809"/>
    <w:next w:val="809"/>
    <w:link w:val="809"/>
    <w:semiHidden/>
    <w:qFormat/>
    <w:pPr>
      <w:ind w:left="210"/>
      <w:jc w:val="left"/>
    </w:pPr>
    <w:rPr>
      <w:smallCaps/>
      <w:szCs w:val="24"/>
    </w:rPr>
  </w:style>
  <w:style w:type="paragraph" w:styleId="860">
    <w:name w:val="目录 9"/>
    <w:basedOn w:val="809"/>
    <w:next w:val="809"/>
    <w:link w:val="809"/>
    <w:semiHidden/>
    <w:qFormat/>
    <w:pPr>
      <w:ind w:left="1680"/>
      <w:jc w:val="left"/>
    </w:pPr>
  </w:style>
  <w:style w:type="paragraph" w:styleId="861">
    <w:name w:val="正文文本 2"/>
    <w:basedOn w:val="809"/>
    <w:next w:val="861"/>
    <w:link w:val="809"/>
    <w:qFormat/>
    <w:pPr>
      <w:jc w:val="center"/>
      <w:widowControl/>
    </w:pPr>
    <w:rPr>
      <w:rFonts w:ascii="楷体_GB2312" w:eastAsia="楷体_GB2312"/>
      <w:sz w:val="28"/>
      <w:szCs w:val="28"/>
    </w:rPr>
  </w:style>
  <w:style w:type="paragraph" w:styleId="862">
    <w:name w:val="普通(网站)"/>
    <w:basedOn w:val="809"/>
    <w:next w:val="862"/>
    <w:link w:val="863"/>
    <w:uiPriority w:val="99"/>
    <w:qFormat/>
    <w:pPr>
      <w:jc w:val="left"/>
      <w:spacing w:before="100" w:beforeAutospacing="1" w:after="100" w:afterAutospacing="1"/>
      <w:widowControl/>
    </w:pPr>
    <w:rPr>
      <w:rFonts w:ascii="宋体" w:hAnsi="宋体" w:cs="宋体"/>
      <w:sz w:val="24"/>
      <w:szCs w:val="24"/>
    </w:rPr>
  </w:style>
  <w:style w:type="character" w:styleId="863">
    <w:name w:val="普通(网站) Char"/>
    <w:next w:val="863"/>
    <w:link w:val="862"/>
    <w:qFormat/>
    <w:rPr>
      <w:rFonts w:ascii="宋体" w:hAnsi="宋体" w:cs="宋体"/>
      <w:sz w:val="24"/>
      <w:szCs w:val="24"/>
    </w:rPr>
  </w:style>
  <w:style w:type="paragraph" w:styleId="864">
    <w:name w:val="索引 1"/>
    <w:basedOn w:val="809"/>
    <w:next w:val="809"/>
    <w:link w:val="809"/>
    <w:semiHidden/>
    <w:qFormat/>
    <w:pPr>
      <w:spacing w:line="240" w:lineRule="atLeast"/>
    </w:pPr>
    <w:rPr>
      <w:b/>
      <w:bCs/>
    </w:rPr>
  </w:style>
  <w:style w:type="paragraph" w:styleId="865">
    <w:name w:val="标题"/>
    <w:basedOn w:val="809"/>
    <w:next w:val="809"/>
    <w:link w:val="809"/>
    <w:uiPriority w:val="10"/>
    <w:qFormat/>
    <w:pPr>
      <w:ind w:firstLine="640"/>
      <w:jc w:val="left"/>
      <w:spacing w:line="560" w:lineRule="exact"/>
      <w:outlineLvl w:val="0"/>
    </w:pPr>
    <w:rPr>
      <w:rFonts w:ascii="方正仿宋_GBK" w:hAnsi="方正仿宋_GBK" w:eastAsia="方正仿宋_GBK"/>
    </w:rPr>
  </w:style>
  <w:style w:type="paragraph" w:styleId="866">
    <w:name w:val="批注主题"/>
    <w:basedOn w:val="834"/>
    <w:next w:val="834"/>
    <w:link w:val="809"/>
    <w:semiHidden/>
    <w:qFormat/>
    <w:rPr>
      <w:b/>
      <w:bCs/>
    </w:rPr>
  </w:style>
  <w:style w:type="paragraph" w:styleId="867">
    <w:name w:val="正文首行缩进"/>
    <w:basedOn w:val="836"/>
    <w:next w:val="867"/>
    <w:link w:val="809"/>
    <w:qFormat/>
    <w:pPr>
      <w:ind w:firstLine="200"/>
      <w:spacing w:line="360" w:lineRule="auto"/>
    </w:pPr>
    <w:rPr>
      <w:rFonts w:ascii="仿宋_GB2312" w:eastAsia="仿宋_GB2312"/>
      <w:sz w:val="30"/>
      <w:szCs w:val="30"/>
    </w:rPr>
  </w:style>
  <w:style w:type="paragraph" w:styleId="868">
    <w:name w:val="正文首行缩进 2"/>
    <w:basedOn w:val="837"/>
    <w:next w:val="868"/>
    <w:link w:val="809"/>
    <w:qFormat/>
    <w:pPr>
      <w:ind w:firstLine="420"/>
      <w:spacing w:line="360" w:lineRule="auto"/>
    </w:pPr>
    <w:rPr>
      <w:rFonts w:ascii="宋体" w:hAnsi="宋体" w:eastAsia="宋体"/>
      <w:sz w:val="21"/>
      <w:szCs w:val="20"/>
    </w:rPr>
  </w:style>
  <w:style w:type="table" w:styleId="869">
    <w:name w:val="网格型"/>
    <w:basedOn w:val="820"/>
    <w:next w:val="869"/>
    <w:link w:val="809"/>
    <w:qFormat/>
    <w:pPr>
      <w:jc w:val="both"/>
      <w:widowControl w:val="off"/>
    </w:pPr>
    <w:tblPr/>
  </w:style>
  <w:style w:type="character" w:styleId="870">
    <w:name w:val="要点"/>
    <w:next w:val="870"/>
    <w:link w:val="809"/>
    <w:qFormat/>
    <w:rPr>
      <w:b/>
      <w:bCs/>
    </w:rPr>
  </w:style>
  <w:style w:type="character" w:styleId="871">
    <w:name w:val="页码"/>
    <w:next w:val="871"/>
    <w:link w:val="809"/>
    <w:qFormat/>
  </w:style>
  <w:style w:type="character" w:styleId="872">
    <w:name w:val="已访问的超链接"/>
    <w:next w:val="872"/>
    <w:link w:val="809"/>
    <w:uiPriority w:val="99"/>
    <w:qFormat/>
    <w:rPr>
      <w:rFonts w:hint="eastAsia" w:ascii="宋体" w:hAnsi="宋体" w:eastAsia="宋体" w:cs="宋体"/>
      <w:color w:val="000000"/>
      <w:sz w:val="12"/>
      <w:szCs w:val="12"/>
      <w:u w:val="none"/>
    </w:rPr>
  </w:style>
  <w:style w:type="character" w:styleId="873">
    <w:name w:val="超链接"/>
    <w:next w:val="873"/>
    <w:link w:val="809"/>
    <w:uiPriority w:val="99"/>
    <w:qFormat/>
    <w:rPr>
      <w:rFonts w:hint="eastAsia" w:ascii="宋体" w:hAnsi="宋体" w:eastAsia="宋体" w:cs="宋体"/>
      <w:color w:val="000000"/>
      <w:sz w:val="12"/>
      <w:szCs w:val="12"/>
      <w:u w:val="none"/>
    </w:rPr>
  </w:style>
  <w:style w:type="character" w:styleId="874">
    <w:name w:val="批注引用"/>
    <w:next w:val="874"/>
    <w:link w:val="809"/>
    <w:semiHidden/>
    <w:qFormat/>
    <w:rPr>
      <w:sz w:val="21"/>
      <w:szCs w:val="21"/>
    </w:rPr>
  </w:style>
  <w:style w:type="paragraph" w:styleId="875">
    <w:name w:val="Default"/>
    <w:next w:val="875"/>
    <w:link w:val="809"/>
    <w:qFormat/>
    <w:pPr>
      <w:widowControl w:val="off"/>
    </w:pPr>
    <w:rPr>
      <w:color w:val="000000"/>
      <w:sz w:val="24"/>
      <w:szCs w:val="24"/>
      <w:lang w:val="en-US" w:eastAsia="zh-CN" w:bidi="ar-SA"/>
    </w:rPr>
  </w:style>
  <w:style w:type="paragraph" w:styleId="876">
    <w:name w:val="Heading11"/>
    <w:next w:val="809"/>
    <w:link w:val="809"/>
    <w:qFormat/>
    <w:pPr>
      <w:jc w:val="both"/>
      <w:keepNext/>
      <w:widowControl w:val="off"/>
    </w:pPr>
    <w:rPr>
      <w:rFonts w:ascii="等线 Light" w:eastAsia="等线 Light"/>
      <w:sz w:val="28"/>
      <w:lang w:val="en-US" w:eastAsia="zh-CN" w:bidi="ar-SA"/>
    </w:rPr>
  </w:style>
  <w:style w:type="character" w:styleId="877">
    <w:name w:val="普通正文 Char"/>
    <w:next w:val="877"/>
    <w:link w:val="878"/>
    <w:qFormat/>
    <w:rPr>
      <w:rFonts w:ascii="Arial" w:hAnsi="Arial"/>
      <w:sz w:val="24"/>
      <w:szCs w:val="24"/>
    </w:rPr>
  </w:style>
  <w:style w:type="paragraph" w:styleId="878">
    <w:name w:val="普通正文"/>
    <w:basedOn w:val="809"/>
    <w:next w:val="878"/>
    <w:link w:val="877"/>
    <w:qFormat/>
    <w:pPr>
      <w:ind w:firstLine="480"/>
      <w:jc w:val="left"/>
      <w:spacing w:before="120" w:after="120" w:line="360" w:lineRule="auto"/>
    </w:pPr>
    <w:rPr>
      <w:rFonts w:ascii="Arial" w:hAnsi="Arial"/>
      <w:sz w:val="24"/>
      <w:szCs w:val="24"/>
    </w:rPr>
  </w:style>
  <w:style w:type="character" w:styleId="879">
    <w:name w:val="列出段落 Char"/>
    <w:next w:val="879"/>
    <w:link w:val="880"/>
    <w:qFormat/>
    <w:rPr>
      <w:rFonts w:ascii="Calibri" w:hAnsi="Calibri"/>
      <w:sz w:val="24"/>
      <w:szCs w:val="24"/>
      <w:lang w:eastAsia="en-US" w:bidi="en-US"/>
    </w:rPr>
  </w:style>
  <w:style w:type="paragraph" w:styleId="880">
    <w:name w:val="列出段落1"/>
    <w:basedOn w:val="809"/>
    <w:next w:val="880"/>
    <w:link w:val="879"/>
    <w:qFormat/>
    <w:pPr>
      <w:contextualSpacing/>
      <w:ind w:left="720"/>
      <w:jc w:val="left"/>
      <w:widowControl/>
    </w:pPr>
    <w:rPr>
      <w:sz w:val="24"/>
      <w:szCs w:val="24"/>
      <w:lang w:eastAsia="en-US" w:bidi="en-US"/>
    </w:rPr>
  </w:style>
  <w:style w:type="character" w:styleId="881">
    <w:name w:val="二级目录 Char"/>
    <w:next w:val="881"/>
    <w:link w:val="882"/>
    <w:qFormat/>
    <w:rPr>
      <w:b/>
      <w:sz w:val="30"/>
      <w:szCs w:val="28"/>
    </w:rPr>
  </w:style>
  <w:style w:type="paragraph" w:styleId="882">
    <w:name w:val="二级目录"/>
    <w:next w:val="809"/>
    <w:link w:val="881"/>
    <w:qFormat/>
    <w:pPr>
      <w:ind w:left="907" w:hanging="907"/>
      <w:tabs>
        <w:tab w:val="left" w:pos="907" w:leader="none"/>
        <w:tab w:val="left" w:pos="1145" w:leader="none"/>
      </w:tabs>
      <w:outlineLvl w:val="1"/>
    </w:pPr>
    <w:rPr>
      <w:b/>
      <w:sz w:val="30"/>
      <w:szCs w:val="28"/>
      <w:lang w:val="en-US" w:eastAsia="zh-CN" w:bidi="ar-SA"/>
    </w:rPr>
  </w:style>
  <w:style w:type="character" w:styleId="883">
    <w:name w:val="apple-converted-space"/>
    <w:next w:val="883"/>
    <w:link w:val="809"/>
    <w:uiPriority w:val="99"/>
    <w:qFormat/>
  </w:style>
  <w:style w:type="character" w:styleId="884">
    <w:name w:val="Char Char Char Char Char"/>
    <w:next w:val="884"/>
    <w:link w:val="885"/>
    <w:qFormat/>
    <w:rPr>
      <w:rFonts w:ascii="Tahoma" w:hAnsi="Tahoma" w:eastAsia="宋体"/>
      <w:sz w:val="24"/>
      <w:szCs w:val="24"/>
      <w:lang w:val="en-US" w:eastAsia="zh-CN" w:bidi="ar-SA"/>
    </w:rPr>
  </w:style>
  <w:style w:type="paragraph" w:styleId="885">
    <w:name w:val="Char Char Char Char"/>
    <w:basedOn w:val="832"/>
    <w:next w:val="885"/>
    <w:link w:val="884"/>
    <w:qFormat/>
    <w:pPr>
      <w:spacing w:line="360" w:lineRule="auto"/>
    </w:pPr>
    <w:rPr>
      <w:rFonts w:ascii="Tahoma" w:hAnsi="Tahoma"/>
      <w:sz w:val="24"/>
      <w:szCs w:val="24"/>
    </w:rPr>
  </w:style>
  <w:style w:type="character" w:styleId="886">
    <w:name w:val="font5 Char"/>
    <w:next w:val="886"/>
    <w:link w:val="809"/>
    <w:qFormat/>
    <w:rPr>
      <w:rFonts w:ascii="宋体" w:hAnsi="宋体" w:eastAsia="宋体"/>
      <w:sz w:val="28"/>
      <w:szCs w:val="28"/>
      <w:lang w:val="en-US" w:eastAsia="zh-CN" w:bidi="ar-SA"/>
    </w:rPr>
  </w:style>
  <w:style w:type="character" w:styleId="887">
    <w:name w:val="font11"/>
    <w:next w:val="887"/>
    <w:link w:val="809"/>
    <w:qFormat/>
    <w:rPr>
      <w:rFonts w:hint="eastAsia" w:ascii="宋体" w:hAnsi="宋体" w:eastAsia="宋体" w:cs="宋体"/>
      <w:color w:val="000000"/>
      <w:sz w:val="21"/>
      <w:szCs w:val="21"/>
      <w:u w:val="none"/>
    </w:rPr>
  </w:style>
  <w:style w:type="paragraph" w:styleId="888">
    <w:name w:val="标题3"/>
    <w:basedOn w:val="809"/>
    <w:next w:val="809"/>
    <w:link w:val="809"/>
    <w:qFormat/>
    <w:pPr>
      <w:ind w:firstLine="624"/>
      <w:spacing w:line="590" w:lineRule="atLeast"/>
    </w:pPr>
    <w:rPr>
      <w:rFonts w:ascii="方正黑体_GBK" w:eastAsia="方正黑体_GBK"/>
      <w:sz w:val="32"/>
      <w:szCs w:val="32"/>
    </w:rPr>
  </w:style>
  <w:style w:type="paragraph" w:styleId="889">
    <w:name w:val="4"/>
    <w:basedOn w:val="809"/>
    <w:next w:val="857"/>
    <w:link w:val="809"/>
    <w:uiPriority w:val="99"/>
    <w:qFormat/>
    <w:pPr>
      <w:ind w:firstLine="420"/>
      <w:spacing w:line="360" w:lineRule="auto"/>
    </w:pPr>
    <w:rPr>
      <w:color w:val="ff0000"/>
      <w:sz w:val="24"/>
      <w:szCs w:val="24"/>
    </w:rPr>
  </w:style>
  <w:style w:type="paragraph" w:styleId="890">
    <w:name w:val="Char"/>
    <w:basedOn w:val="832"/>
    <w:next w:val="890"/>
    <w:link w:val="809"/>
    <w:qFormat/>
    <w:rPr>
      <w:rFonts w:ascii="Tahoma" w:hAnsi="Tahoma"/>
      <w:sz w:val="24"/>
      <w:szCs w:val="24"/>
    </w:rPr>
  </w:style>
  <w:style w:type="paragraph" w:styleId="891">
    <w:name w:val="table_lines"/>
    <w:basedOn w:val="809"/>
    <w:next w:val="891"/>
    <w:link w:val="809"/>
    <w:qFormat/>
    <w:pPr>
      <w:jc w:val="left"/>
      <w:widowControl/>
    </w:pPr>
    <w:rPr>
      <w:sz w:val="20"/>
      <w:szCs w:val="20"/>
      <w:lang w:val="de-DE" w:eastAsia="de-DE"/>
    </w:rPr>
  </w:style>
  <w:style w:type="paragraph" w:styleId="892">
    <w:name w:val="样式1"/>
    <w:basedOn w:val="809"/>
    <w:next w:val="892"/>
    <w:link w:val="809"/>
    <w:qFormat/>
    <w:pPr>
      <w:numPr>
        <w:ilvl w:val="0"/>
        <w:numId w:val="3"/>
      </w:numPr>
      <w:tabs>
        <w:tab w:val="left" w:pos="709" w:leader="none"/>
      </w:tabs>
    </w:pPr>
    <w:rPr>
      <w:rFonts w:ascii="宋体" w:hAnsi="宋体"/>
    </w:rPr>
  </w:style>
  <w:style w:type="paragraph" w:styleId="893">
    <w:name w:val="xl27"/>
    <w:basedOn w:val="809"/>
    <w:next w:val="893"/>
    <w:link w:val="8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name w:val="Char Char Char Char Char Char Char Char Char Char"/>
    <w:basedOn w:val="809"/>
    <w:next w:val="894"/>
    <w:link w:val="809"/>
    <w:qFormat/>
    <w:pPr>
      <w:spacing w:line="360" w:lineRule="auto"/>
    </w:pPr>
    <w:rPr>
      <w:sz w:val="24"/>
      <w:szCs w:val="20"/>
    </w:rPr>
  </w:style>
  <w:style w:type="paragraph" w:styleId="895">
    <w:name w:val="Char Char Char Char1"/>
    <w:basedOn w:val="832"/>
    <w:next w:val="895"/>
    <w:link w:val="809"/>
    <w:qFormat/>
    <w:pPr>
      <w:spacing w:line="360" w:lineRule="auto"/>
    </w:pPr>
    <w:rPr>
      <w:rFonts w:ascii="Tahoma" w:hAnsi="Tahoma"/>
      <w:sz w:val="24"/>
      <w:szCs w:val="24"/>
    </w:rPr>
  </w:style>
  <w:style w:type="paragraph" w:styleId="896">
    <w:name w:val="xl26"/>
    <w:basedOn w:val="809"/>
    <w:next w:val="896"/>
    <w:link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7">
    <w:name w:val="列出段落"/>
    <w:basedOn w:val="809"/>
    <w:next w:val="834"/>
    <w:link w:val="809"/>
    <w:uiPriority w:val="34"/>
    <w:qFormat/>
    <w:pPr>
      <w:contextualSpacing/>
      <w:ind w:left="720"/>
      <w:jc w:val="left"/>
      <w:widowControl/>
    </w:pPr>
    <w:rPr>
      <w:rFonts w:ascii="Calibri" w:hAnsi="Calibri"/>
      <w:sz w:val="24"/>
      <w:szCs w:val="24"/>
      <w:lang w:eastAsia="en-US" w:bidi="en-US"/>
    </w:rPr>
  </w:style>
  <w:style w:type="paragraph" w:styleId="898">
    <w:name w:val="正文 A"/>
    <w:next w:val="899"/>
    <w:link w:val="809"/>
    <w:qFormat/>
    <w:pPr>
      <w:jc w:val="both"/>
      <w:widowControl w:val="off"/>
    </w:pPr>
    <w:rPr>
      <w:rFonts w:eastAsia="Times New Roman" w:cs="Calibri"/>
      <w:color w:val="000000"/>
      <w:sz w:val="21"/>
      <w:szCs w:val="21"/>
      <w:lang w:val="en-US" w:eastAsia="zh-CN" w:bidi="ar-SA"/>
    </w:rPr>
  </w:style>
  <w:style w:type="paragraph" w:styleId="899">
    <w:name w:val="段"/>
    <w:next w:val="898"/>
    <w:link w:val="809"/>
    <w:qFormat/>
    <w:pPr>
      <w:ind w:firstLine="200"/>
      <w:jc w:val="both"/>
    </w:pPr>
    <w:rPr>
      <w:rFonts w:ascii="宋体"/>
      <w:sz w:val="21"/>
      <w:lang w:val="en-US" w:eastAsia="zh-CN" w:bidi="ar-SA"/>
    </w:rPr>
  </w:style>
  <w:style w:type="paragraph" w:styleId="900">
    <w:name w:val="正文（绿盟科技）"/>
    <w:next w:val="900"/>
    <w:link w:val="809"/>
    <w:qFormat/>
    <w:pPr>
      <w:spacing w:line="300" w:lineRule="auto"/>
    </w:pPr>
    <w:rPr>
      <w:rFonts w:ascii="Arial" w:hAnsi="Arial"/>
      <w:sz w:val="21"/>
      <w:szCs w:val="21"/>
      <w:lang w:val="en-US" w:eastAsia="zh-CN" w:bidi="ar-SA"/>
    </w:rPr>
  </w:style>
  <w:style w:type="paragraph" w:styleId="901">
    <w:name w:val="Char1"/>
    <w:basedOn w:val="809"/>
    <w:next w:val="901"/>
    <w:link w:val="809"/>
    <w:qFormat/>
    <w:pPr>
      <w:ind w:firstLine="200"/>
      <w:tabs>
        <w:tab w:val="left" w:pos="360" w:leader="none"/>
      </w:tabs>
    </w:pPr>
    <w:rPr>
      <w:sz w:val="28"/>
      <w:szCs w:val="30"/>
    </w:rPr>
  </w:style>
  <w:style w:type="paragraph" w:styleId="902">
    <w:name w:val="标题1"/>
    <w:basedOn w:val="809"/>
    <w:next w:val="809"/>
    <w:link w:val="80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03">
    <w:name w:val="xl29"/>
    <w:basedOn w:val="809"/>
    <w:next w:val="903"/>
    <w:link w:val="80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4">
    <w:name w:val="xl25"/>
    <w:basedOn w:val="809"/>
    <w:next w:val="904"/>
    <w:link w:val="80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5">
    <w:name w:val="font5"/>
    <w:basedOn w:val="809"/>
    <w:next w:val="905"/>
    <w:link w:val="809"/>
    <w:qFormat/>
    <w:pPr>
      <w:jc w:val="left"/>
      <w:spacing w:before="100" w:beforeAutospacing="1" w:after="100" w:afterAutospacing="1"/>
      <w:widowControl/>
    </w:pPr>
    <w:rPr>
      <w:rFonts w:hint="eastAsia" w:ascii="宋体" w:hAnsi="宋体"/>
      <w:sz w:val="28"/>
      <w:szCs w:val="28"/>
    </w:rPr>
  </w:style>
  <w:style w:type="paragraph" w:styleId="906">
    <w:name w:val="正文首行缩进（绿盟科技）"/>
    <w:basedOn w:val="900"/>
    <w:next w:val="906"/>
    <w:link w:val="809"/>
    <w:qFormat/>
    <w:pPr>
      <w:ind w:firstLine="200"/>
      <w:spacing w:after="50"/>
    </w:pPr>
  </w:style>
  <w:style w:type="paragraph" w:styleId="907">
    <w:name w:val="附录1"/>
    <w:next w:val="907"/>
    <w:link w:val="809"/>
    <w:qFormat/>
    <w:pPr>
      <w:numPr>
        <w:ilvl w:val="0"/>
        <w:numId w:val="4"/>
      </w:numPr>
      <w:spacing w:before="240" w:line="600" w:lineRule="atLeast"/>
      <w:tabs>
        <w:tab w:val="left" w:pos="907" w:leader="none"/>
      </w:tabs>
    </w:pPr>
    <w:rPr>
      <w:b/>
      <w:i/>
      <w:sz w:val="28"/>
      <w:lang w:val="en-US" w:eastAsia="zh-CN" w:bidi="ar-SA"/>
    </w:rPr>
  </w:style>
  <w:style w:type="paragraph" w:styleId="908">
    <w:name w:val="Body Text(ch)"/>
    <w:basedOn w:val="809"/>
    <w:next w:val="836"/>
    <w:link w:val="809"/>
    <w:qFormat/>
    <w:pPr>
      <w:spacing w:after="120"/>
    </w:pPr>
    <w:rPr>
      <w:rFonts w:ascii="宋体" w:hAnsi="Arial"/>
      <w:bCs/>
      <w:iCs/>
      <w:szCs w:val="24"/>
    </w:rPr>
  </w:style>
  <w:style w:type="paragraph" w:styleId="909">
    <w:name w:val="font7"/>
    <w:basedOn w:val="809"/>
    <w:next w:val="909"/>
    <w:link w:val="809"/>
    <w:qFormat/>
    <w:pPr>
      <w:jc w:val="left"/>
      <w:spacing w:before="100" w:beforeAutospacing="1" w:after="100" w:afterAutospacing="1"/>
      <w:widowControl/>
    </w:pPr>
    <w:rPr>
      <w:rFonts w:hint="eastAsia" w:ascii="宋体" w:hAnsi="宋体"/>
      <w:sz w:val="18"/>
      <w:szCs w:val="18"/>
    </w:rPr>
  </w:style>
  <w:style w:type="paragraph" w:styleId="910">
    <w:name w:val="xl28"/>
    <w:basedOn w:val="809"/>
    <w:next w:val="910"/>
    <w:link w:val="8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1">
    <w:name w:val="图标"/>
    <w:basedOn w:val="809"/>
    <w:next w:val="809"/>
    <w:link w:val="80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2">
    <w:name w:val="xl24"/>
    <w:basedOn w:val="809"/>
    <w:next w:val="912"/>
    <w:link w:val="80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3">
    <w:name w:val="table_1stline"/>
    <w:basedOn w:val="809"/>
    <w:next w:val="913"/>
    <w:link w:val="809"/>
    <w:qFormat/>
    <w:pPr>
      <w:jc w:val="left"/>
      <w:spacing w:before="120"/>
      <w:widowControl/>
    </w:pPr>
    <w:rPr>
      <w:bCs/>
      <w:sz w:val="20"/>
      <w:szCs w:val="20"/>
      <w:lang w:val="de-DE" w:eastAsia="de-DE"/>
    </w:rPr>
  </w:style>
  <w:style w:type="paragraph" w:styleId="914">
    <w:name w:val="普通 (Web)"/>
    <w:basedOn w:val="809"/>
    <w:next w:val="914"/>
    <w:link w:val="809"/>
    <w:qFormat/>
    <w:pPr>
      <w:jc w:val="left"/>
      <w:spacing w:before="100" w:beforeAutospacing="1" w:after="100" w:afterAutospacing="1"/>
      <w:widowControl/>
    </w:pPr>
    <w:rPr>
      <w:rFonts w:ascii="宋体" w:hAnsi="宋体"/>
      <w:sz w:val="24"/>
      <w:szCs w:val="24"/>
    </w:rPr>
  </w:style>
  <w:style w:type="paragraph" w:styleId="915">
    <w:name w:val="Table Paragraph"/>
    <w:basedOn w:val="809"/>
    <w:next w:val="915"/>
    <w:link w:val="809"/>
    <w:uiPriority w:val="1"/>
    <w:qFormat/>
    <w:rPr>
      <w:rFonts w:ascii="宋体" w:hAnsi="宋体" w:cs="宋体"/>
      <w:lang w:val="zh-CN" w:bidi="zh-CN"/>
    </w:rPr>
  </w:style>
  <w:style w:type="paragraph" w:styleId="916">
    <w:name w:val="**正文"/>
    <w:basedOn w:val="809"/>
    <w:next w:val="916"/>
    <w:link w:val="809"/>
    <w:qFormat/>
    <w:pPr>
      <w:ind w:firstLine="480"/>
      <w:spacing w:line="360" w:lineRule="auto"/>
    </w:pPr>
    <w:rPr>
      <w:sz w:val="20"/>
      <w:szCs w:val="32"/>
    </w:rPr>
  </w:style>
  <w:style w:type="paragraph" w:styleId="917">
    <w:name w:val="Char Char Char Char Char Char Char Char"/>
    <w:basedOn w:val="809"/>
    <w:next w:val="917"/>
    <w:link w:val="809"/>
    <w:qFormat/>
    <w:pPr>
      <w:jc w:val="left"/>
      <w:spacing w:after="160" w:line="240" w:lineRule="exact"/>
      <w:widowControl/>
    </w:pPr>
    <w:rPr>
      <w:rFonts w:ascii="Verdana" w:hAnsi="Verdana"/>
      <w:sz w:val="20"/>
      <w:szCs w:val="20"/>
      <w:lang w:eastAsia="en-US"/>
    </w:rPr>
  </w:style>
  <w:style w:type="paragraph" w:styleId="918">
    <w:name w:val="xl30"/>
    <w:basedOn w:val="809"/>
    <w:next w:val="918"/>
    <w:link w:val="809"/>
    <w:qFormat/>
    <w:pPr>
      <w:jc w:val="center"/>
      <w:spacing w:before="100" w:beforeAutospacing="1" w:after="100" w:afterAutospacing="1"/>
      <w:widowControl/>
    </w:pPr>
    <w:rPr>
      <w:rFonts w:ascii="宋体" w:hAnsi="宋体"/>
      <w:b/>
      <w:bCs/>
      <w:sz w:val="36"/>
      <w:szCs w:val="36"/>
    </w:rPr>
  </w:style>
  <w:style w:type="paragraph" w:styleId="919">
    <w:name w:val="font6"/>
    <w:basedOn w:val="809"/>
    <w:next w:val="919"/>
    <w:link w:val="809"/>
    <w:qFormat/>
    <w:pPr>
      <w:jc w:val="left"/>
      <w:spacing w:before="100" w:beforeAutospacing="1" w:after="100" w:afterAutospacing="1"/>
      <w:widowControl/>
    </w:pPr>
    <w:rPr>
      <w:rFonts w:hint="eastAsia" w:ascii="宋体" w:hAnsi="宋体"/>
      <w:sz w:val="28"/>
      <w:szCs w:val="28"/>
      <w:u w:val="single"/>
    </w:rPr>
  </w:style>
  <w:style w:type="paragraph" w:styleId="920">
    <w:name w:val="Char Char Char Char Char Char Char Char1"/>
    <w:basedOn w:val="809"/>
    <w:next w:val="920"/>
    <w:link w:val="809"/>
    <w:qFormat/>
    <w:pPr>
      <w:jc w:val="left"/>
      <w:spacing w:after="160" w:line="240" w:lineRule="exact"/>
      <w:widowControl/>
    </w:pPr>
    <w:rPr>
      <w:rFonts w:ascii="Verdana" w:hAnsi="Verdana"/>
      <w:sz w:val="20"/>
      <w:szCs w:val="20"/>
      <w:lang w:eastAsia="en-US"/>
    </w:rPr>
  </w:style>
  <w:style w:type="paragraph" w:styleId="921">
    <w:name w:val="列出段落2"/>
    <w:basedOn w:val="809"/>
    <w:next w:val="921"/>
    <w:link w:val="809"/>
    <w:uiPriority w:val="34"/>
    <w:qFormat/>
    <w:pPr>
      <w:ind w:firstLine="420"/>
    </w:pPr>
  </w:style>
  <w:style w:type="paragraph" w:styleId="922">
    <w:name w:val="首行缩进"/>
    <w:basedOn w:val="809"/>
    <w:next w:val="922"/>
    <w:link w:val="809"/>
    <w:qFormat/>
    <w:pPr>
      <w:ind w:firstLine="420"/>
      <w:spacing w:line="360" w:lineRule="auto"/>
    </w:pPr>
  </w:style>
  <w:style w:type="paragraph" w:styleId="923">
    <w:name w:val="Index41"/>
    <w:basedOn w:val="809"/>
    <w:next w:val="809"/>
    <w:link w:val="809"/>
    <w:semiHidden/>
    <w:qFormat/>
    <w:pPr>
      <w:ind w:left="600"/>
    </w:pPr>
  </w:style>
  <w:style w:type="character" w:styleId="924">
    <w:name w:val="NormalCharacter1"/>
    <w:next w:val="924"/>
    <w:link w:val="925"/>
    <w:semiHidden/>
    <w:qFormat/>
    <w:rPr>
      <w:rFonts w:ascii="Wingdings 2" w:hAnsi="Wingdings 2"/>
    </w:rPr>
  </w:style>
  <w:style w:type="paragraph" w:styleId="925">
    <w:name w:val="UserStyle_0"/>
    <w:basedOn w:val="809"/>
    <w:next w:val="925"/>
    <w:link w:val="924"/>
    <w:qFormat/>
    <w:rPr>
      <w:rFonts w:ascii="Wingdings 2" w:hAnsi="Wingdings 2"/>
    </w:rPr>
  </w:style>
  <w:style w:type="paragraph" w:styleId="926">
    <w:name w:val="报告正文"/>
    <w:basedOn w:val="809"/>
    <w:next w:val="926"/>
    <w:link w:val="809"/>
    <w:qFormat/>
    <w:pPr>
      <w:ind w:firstLine="200"/>
      <w:spacing w:line="360" w:lineRule="auto"/>
    </w:pPr>
    <w:rPr>
      <w:rFonts w:ascii="宋体" w:hAnsi="宋体"/>
      <w:sz w:val="24"/>
      <w:szCs w:val="44"/>
    </w:rPr>
  </w:style>
  <w:style w:type="paragraph" w:styleId="927">
    <w:name w:val="检测报告正文"/>
    <w:basedOn w:val="809"/>
    <w:next w:val="927"/>
    <w:link w:val="809"/>
    <w:qFormat/>
    <w:pPr>
      <w:ind w:firstLine="200"/>
      <w:jc w:val="left"/>
      <w:spacing w:line="360" w:lineRule="auto"/>
    </w:pPr>
    <w:rPr>
      <w:rFonts w:ascii="仿宋_GB2312" w:eastAsia="仿宋_GB2312"/>
      <w:sz w:val="24"/>
      <w:szCs w:val="20"/>
    </w:rPr>
  </w:style>
  <w:style w:type="paragraph" w:styleId="928">
    <w:name w:val="7 表格内文字"/>
    <w:basedOn w:val="809"/>
    <w:next w:val="928"/>
    <w:link w:val="809"/>
    <w:qFormat/>
    <w:pPr>
      <w:jc w:val="center"/>
      <w:widowControl/>
    </w:pPr>
    <w:rPr>
      <w:rFonts w:ascii="宋体" w:hAnsi="宋体"/>
      <w:sz w:val="24"/>
    </w:rPr>
  </w:style>
  <w:style w:type="paragraph" w:styleId="929">
    <w:name w:val="ZDY正文"/>
    <w:basedOn w:val="809"/>
    <w:next w:val="929"/>
    <w:link w:val="809"/>
    <w:qFormat/>
    <w:pPr>
      <w:ind w:firstLine="480"/>
      <w:spacing w:line="360" w:lineRule="auto"/>
    </w:pPr>
    <w:rPr>
      <w:sz w:val="24"/>
    </w:rPr>
  </w:style>
  <w:style w:type="paragraph" w:styleId="930">
    <w:name w:val="修订"/>
    <w:next w:val="930"/>
    <w:link w:val="809"/>
    <w:uiPriority w:val="99"/>
    <w:unhideWhenUsed/>
    <w:rPr>
      <w:sz w:val="21"/>
      <w:szCs w:val="21"/>
      <w:lang w:val="en-US" w:eastAsia="zh-CN" w:bidi="ar-SA"/>
    </w:rPr>
  </w:style>
  <w:style w:type="character" w:styleId="931">
    <w:name w:val="grame"/>
    <w:next w:val="931"/>
    <w:link w:val="809"/>
  </w:style>
  <w:style w:type="paragraph" w:styleId="932">
    <w:name w:val="正文格式"/>
    <w:basedOn w:val="809"/>
    <w:next w:val="932"/>
    <w:link w:val="809"/>
    <w:qFormat/>
    <w:pPr>
      <w:ind w:firstLine="482"/>
      <w:spacing w:line="360" w:lineRule="auto"/>
      <w:widowControl/>
    </w:pPr>
    <w:rPr>
      <w:rFonts w:ascii="Calibri" w:hAnsi="Calibri"/>
      <w:sz w:val="24"/>
      <w:szCs w:val="22"/>
    </w:rPr>
  </w:style>
  <w:style w:type="character" w:styleId="933">
    <w:name w:val="页脚 字符"/>
    <w:next w:val="933"/>
    <w:link w:val="809"/>
    <w:uiPriority w:val="99"/>
  </w:style>
  <w:style w:type="character" w:styleId="934">
    <w:name w:val="font51"/>
    <w:next w:val="934"/>
    <w:link w:val="809"/>
    <w:rPr>
      <w:rFonts w:hint="eastAsia" w:ascii="仿宋_GB2312" w:eastAsia="仿宋_GB2312"/>
      <w:color w:val="000000"/>
      <w:sz w:val="20"/>
      <w:szCs w:val="20"/>
      <w:u w:val="none"/>
    </w:rPr>
  </w:style>
  <w:style w:type="character" w:styleId="935">
    <w:name w:val="font61"/>
    <w:next w:val="935"/>
    <w:link w:val="809"/>
    <w:rPr>
      <w:rFonts w:hint="eastAsia" w:ascii="宋体" w:hAnsi="宋体" w:eastAsia="宋体"/>
      <w:color w:val="000000"/>
      <w:sz w:val="20"/>
      <w:szCs w:val="20"/>
      <w:u w:val="none"/>
    </w:rPr>
  </w:style>
  <w:style w:type="character" w:styleId="936">
    <w:name w:val="font41"/>
    <w:next w:val="936"/>
    <w:link w:val="809"/>
    <w:rPr>
      <w:rFonts w:hint="eastAsia" w:ascii="仿宋_GB2312" w:eastAsia="仿宋_GB2312" w:cs="仿宋_GB2312"/>
      <w:i w:val="0"/>
      <w:iCs w:val="0"/>
      <w:color w:val="000000"/>
      <w:sz w:val="24"/>
      <w:szCs w:val="24"/>
      <w:u w:val="none"/>
    </w:rPr>
  </w:style>
  <w:style w:type="character" w:styleId="937">
    <w:name w:val="font81"/>
    <w:next w:val="937"/>
    <w:link w:val="809"/>
    <w:rPr>
      <w:rFonts w:hint="eastAsia" w:ascii="宋体" w:hAnsi="宋体" w:eastAsia="宋体" w:cs="宋体"/>
      <w:i w:val="0"/>
      <w:iCs w:val="0"/>
      <w:color w:val="000000"/>
      <w:sz w:val="24"/>
      <w:szCs w:val="24"/>
      <w:u w:val="none"/>
    </w:rPr>
  </w:style>
  <w:style w:type="character" w:styleId="938">
    <w:name w:val="font91"/>
    <w:next w:val="938"/>
    <w:link w:val="809"/>
    <w:rPr>
      <w:rFonts w:hint="eastAsia" w:ascii="宋体" w:hAnsi="宋体" w:eastAsia="宋体" w:cs="宋体"/>
      <w:i w:val="0"/>
      <w:iCs w:val="0"/>
      <w:color w:val="000000"/>
      <w:sz w:val="24"/>
      <w:szCs w:val="24"/>
      <w:u w:val="none"/>
    </w:rPr>
  </w:style>
  <w:style w:type="character" w:styleId="939">
    <w:name w:val="font71"/>
    <w:next w:val="939"/>
    <w:link w:val="809"/>
    <w:rPr>
      <w:rFonts w:hint="eastAsia" w:ascii="仿宋_GB2312" w:eastAsia="仿宋_GB2312" w:cs="仿宋_GB2312"/>
      <w:i w:val="0"/>
      <w:iCs w:val="0"/>
      <w:color w:val="000000"/>
      <w:sz w:val="24"/>
      <w:szCs w:val="24"/>
      <w:u w:val="none"/>
    </w:rPr>
  </w:style>
  <w:style w:type="character" w:styleId="940">
    <w:name w:val="font101"/>
    <w:next w:val="940"/>
    <w:link w:val="809"/>
    <w:rPr>
      <w:rFonts w:hint="eastAsia" w:ascii="宋体" w:hAnsi="宋体" w:eastAsia="宋体" w:cs="宋体"/>
      <w:i w:val="0"/>
      <w:iCs w:val="0"/>
      <w:color w:val="000000"/>
      <w:sz w:val="24"/>
      <w:szCs w:val="24"/>
      <w:u w:val="none"/>
    </w:rPr>
  </w:style>
  <w:style w:type="character" w:styleId="941">
    <w:name w:val="未处理的提及"/>
    <w:next w:val="941"/>
    <w:link w:val="809"/>
    <w:uiPriority w:val="99"/>
    <w:unhideWhenUsed/>
    <w:rPr>
      <w:color w:val="605e5c"/>
      <w:shd w:val="clear" w:color="auto" w:fill="e1dfdd"/>
    </w:rPr>
  </w:style>
  <w:style w:type="character" w:styleId="942">
    <w:name w:val="标题 1 Char"/>
    <w:next w:val="942"/>
    <w:link w:val="809"/>
    <w:rPr>
      <w:rFonts w:ascii="楷体_GB2312" w:eastAsia="楷体_GB2312"/>
      <w:sz w:val="28"/>
      <w:szCs w:val="28"/>
    </w:rPr>
  </w:style>
  <w:style w:type="paragraph" w:styleId="943">
    <w:name w:val="Table Text"/>
    <w:basedOn w:val="809"/>
    <w:next w:val="943"/>
    <w:link w:val="809"/>
    <w:semiHidden/>
    <w:qFormat/>
    <w:rPr>
      <w:rFonts w:ascii="宋体" w:hAnsi="宋体" w:eastAsia="宋体" w:cs="宋体"/>
    </w:rPr>
  </w:style>
  <w:style w:type="table" w:styleId="944">
    <w:name w:val="Table Normal"/>
    <w:next w:val="944"/>
    <w:link w:val="809"/>
    <w:unhideWhenUsed/>
    <w:qFormat/>
    <w:rPr>
      <w:lang w:val="en-US" w:eastAsia="zh-CN" w:bidi="ar-SA"/>
    </w:rPr>
    <w:tblPr/>
  </w:style>
  <w:style w:type="character" w:styleId="9183" w:default="1">
    <w:name w:val="Default Paragraph Font"/>
    <w:uiPriority w:val="1"/>
    <w:semiHidden/>
    <w:unhideWhenUsed/>
  </w:style>
  <w:style w:type="numbering" w:styleId="9184" w:default="1">
    <w:name w:val="No List"/>
    <w:uiPriority w:val="99"/>
    <w:semiHidden/>
    <w:unhideWhenUsed/>
  </w:style>
  <w:style w:type="table" w:styleId="9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滕玉宝</cp:lastModifiedBy>
  <cp:revision>3</cp:revision>
  <dcterms:created xsi:type="dcterms:W3CDTF">2026-06-16T09:04:00Z</dcterms:created>
  <dcterms:modified xsi:type="dcterms:W3CDTF">2026-07-08T07:21:20Z</dcterms:modified>
</cp:coreProperties>
</file>