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8D618">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ascii="Arial" w:hAnsi="Arial" w:cs="Arial"/>
          <w:b/>
          <w:color w:val="000000"/>
          <w:sz w:val="84"/>
          <w:szCs w:val="84"/>
          <w:highlight w:val="none"/>
        </w:rPr>
      </w:pPr>
      <w:r>
        <w:rPr>
          <w:highlight w:val="none"/>
        </w:rPr>
        <w:t> </w:t>
      </w:r>
      <w:r>
        <w:rPr>
          <w:rFonts w:ascii="Arial" w:hAnsi="Arial" w:cs="Arial"/>
          <w:b/>
          <w:color w:val="000000"/>
          <w:sz w:val="84"/>
          <w:szCs w:val="84"/>
          <w:highlight w:val="none"/>
        </w:rPr>
        <w:t>招 标 文 件</w:t>
      </w:r>
    </w:p>
    <w:p w14:paraId="30485342">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ascii="Arial" w:hAnsi="Arial" w:cs="Arial"/>
          <w:b/>
          <w:color w:val="000000"/>
          <w:sz w:val="84"/>
          <w:szCs w:val="84"/>
          <w:highlight w:val="none"/>
        </w:rPr>
      </w:pPr>
    </w:p>
    <w:p w14:paraId="53CCD73E">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hint="eastAsia" w:ascii="Arial" w:hAnsi="Arial" w:cs="Arial"/>
          <w:b/>
          <w:color w:val="auto"/>
          <w:sz w:val="32"/>
          <w:szCs w:val="32"/>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江苏滨海经济开发区沿海工业园地下水污染风险管控第三方监理(环境监理等)服务项目</w:t>
      </w:r>
    </w:p>
    <w:p w14:paraId="06A6D659">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hint="eastAsia" w:ascii="Arial" w:hAnsi="Arial" w:cs="Arial"/>
          <w:b/>
          <w:color w:val="auto"/>
          <w:sz w:val="32"/>
          <w:szCs w:val="32"/>
          <w:highlight w:val="none"/>
          <w:lang w:eastAsia="zh-CN"/>
        </w:rPr>
      </w:pPr>
    </w:p>
    <w:p w14:paraId="7C61ED93">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hint="eastAsia" w:ascii="Arial" w:hAnsi="Arial" w:cs="Arial"/>
          <w:b/>
          <w:color w:val="auto"/>
          <w:sz w:val="32"/>
          <w:szCs w:val="32"/>
          <w:highlight w:val="none"/>
          <w:lang w:eastAsia="zh-CN"/>
        </w:rPr>
      </w:pPr>
    </w:p>
    <w:p w14:paraId="693AAD55">
      <w:pPr>
        <w:pStyle w:val="13"/>
        <w:keepNext w:val="0"/>
        <w:keepLines w:val="0"/>
        <w:pageBreakBefore w:val="0"/>
        <w:widowControl w:val="0"/>
        <w:kinsoku/>
        <w:wordWrap w:val="0"/>
        <w:overflowPunct/>
        <w:topLinePunct w:val="0"/>
        <w:bidi w:val="0"/>
        <w:spacing w:beforeAutospacing="0" w:afterAutospacing="0"/>
        <w:jc w:val="center"/>
        <w:rPr>
          <w:rFonts w:hint="eastAsia"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rPr>
        <w:t>JSZC-320922-YCSH-G2026-0004</w:t>
      </w:r>
    </w:p>
    <w:p w14:paraId="6F53CC27">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062C3A68">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24182504">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3C13D1EC">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68483B32">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5C4F9B91">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0A36C5D0">
      <w:pPr>
        <w:pStyle w:val="13"/>
        <w:keepNext w:val="0"/>
        <w:keepLines w:val="0"/>
        <w:pageBreakBefore w:val="0"/>
        <w:widowControl w:val="0"/>
        <w:kinsoku/>
        <w:wordWrap w:val="0"/>
        <w:overflowPunct/>
        <w:topLinePunct w:val="0"/>
        <w:bidi w:val="0"/>
        <w:spacing w:beforeAutospacing="0" w:afterAutospacing="0" w:line="360" w:lineRule="auto"/>
        <w:rPr>
          <w:color w:val="auto"/>
          <w:highlight w:val="none"/>
        </w:rPr>
      </w:pPr>
      <w:r>
        <w:rPr>
          <w:color w:val="auto"/>
          <w:highlight w:val="none"/>
        </w:rPr>
        <w:t> </w:t>
      </w:r>
    </w:p>
    <w:p w14:paraId="6C6F6F85">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w:t>
      </w:r>
      <w:r>
        <w:rPr>
          <w:rFonts w:hint="eastAsia" w:ascii="Arial" w:hAnsi="Arial" w:cs="Arial"/>
          <w:b/>
          <w:color w:val="auto"/>
          <w:sz w:val="32"/>
          <w:szCs w:val="32"/>
          <w:highlight w:val="none"/>
          <w:lang w:val="en-US" w:eastAsia="zh-CN"/>
        </w:rPr>
        <w:t>江苏滨海经济开发区沿海工业园管理委员会</w:t>
      </w:r>
    </w:p>
    <w:p w14:paraId="3470C2F0">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rFonts w:hint="eastAsia" w:ascii="Arial" w:hAnsi="Arial" w:cs="Arial"/>
          <w:b/>
          <w:color w:val="auto"/>
          <w:sz w:val="32"/>
          <w:szCs w:val="32"/>
          <w:highlight w:val="none"/>
          <w:lang w:val="en-US" w:eastAsia="zh-CN"/>
        </w:rPr>
      </w:pPr>
    </w:p>
    <w:p w14:paraId="4FD243CB">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08</w:t>
      </w:r>
      <w:r>
        <w:rPr>
          <w:rFonts w:ascii="Arial" w:hAnsi="Arial" w:cs="Arial"/>
          <w:b/>
          <w:color w:val="auto"/>
          <w:sz w:val="32"/>
          <w:szCs w:val="32"/>
          <w:highlight w:val="none"/>
        </w:rPr>
        <w:t>月</w:t>
      </w:r>
    </w:p>
    <w:p w14:paraId="07289AF9">
      <w:pPr>
        <w:pStyle w:val="13"/>
        <w:keepNext w:val="0"/>
        <w:keepLines w:val="0"/>
        <w:pageBreakBefore w:val="0"/>
        <w:widowControl w:val="0"/>
        <w:kinsoku/>
        <w:wordWrap w:val="0"/>
        <w:overflowPunct/>
        <w:topLinePunct w:val="0"/>
        <w:bidi w:val="0"/>
        <w:spacing w:before="120" w:beforeAutospacing="0" w:after="120" w:afterAutospacing="0" w:line="360" w:lineRule="auto"/>
        <w:rPr>
          <w:color w:val="auto"/>
          <w:highlight w:val="none"/>
        </w:rPr>
      </w:pPr>
      <w:r>
        <w:rPr>
          <w:rFonts w:ascii="Arial" w:hAnsi="Arial" w:cs="Arial"/>
          <w:color w:val="auto"/>
          <w:highlight w:val="none"/>
        </w:rPr>
        <w:t xml:space="preserve">                        </w:t>
      </w:r>
    </w:p>
    <w:p w14:paraId="77109889">
      <w:pPr>
        <w:pStyle w:val="13"/>
        <w:keepNext w:val="0"/>
        <w:keepLines w:val="0"/>
        <w:pageBreakBefore w:val="0"/>
        <w:widowControl w:val="0"/>
        <w:kinsoku/>
        <w:wordWrap w:val="0"/>
        <w:overflowPunct/>
        <w:topLinePunct w:val="0"/>
        <w:bidi w:val="0"/>
        <w:spacing w:before="120" w:beforeAutospacing="0" w:after="120" w:afterAutospacing="0" w:line="360" w:lineRule="auto"/>
        <w:jc w:val="center"/>
        <w:rPr>
          <w:color w:val="auto"/>
          <w:highlight w:val="none"/>
        </w:rPr>
      </w:pPr>
      <w:r>
        <w:rPr>
          <w:color w:val="auto"/>
          <w:highlight w:val="none"/>
        </w:rPr>
        <w:t> </w:t>
      </w:r>
    </w:p>
    <w:p w14:paraId="1C306D57">
      <w:pPr>
        <w:pStyle w:val="13"/>
        <w:keepNext w:val="0"/>
        <w:keepLines w:val="0"/>
        <w:pageBreakBefore w:val="0"/>
        <w:widowControl w:val="0"/>
        <w:kinsoku/>
        <w:wordWrap w:val="0"/>
        <w:overflowPunct/>
        <w:topLinePunct w:val="0"/>
        <w:bidi w:val="0"/>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6938516"/>
      <w:bookmarkStart w:id="1" w:name="_Toc479757206"/>
      <w:bookmarkStart w:id="2" w:name="_Toc513029200"/>
      <w:bookmarkStart w:id="3" w:name="_Toc120614210"/>
      <w:bookmarkStart w:id="4" w:name="_Toc523127445"/>
      <w:bookmarkStart w:id="5" w:name="_Toc20823272"/>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EB96C7E">
      <w:pPr>
        <w:pStyle w:val="13"/>
        <w:keepNext w:val="0"/>
        <w:keepLines w:val="0"/>
        <w:pageBreakBefore w:val="0"/>
        <w:widowControl w:val="0"/>
        <w:kinsoku/>
        <w:wordWrap w:val="0"/>
        <w:overflowPunct/>
        <w:topLinePunct w:val="0"/>
        <w:bidi w:val="0"/>
        <w:spacing w:beforeAutospacing="0" w:afterAutospacing="0" w:line="480" w:lineRule="auto"/>
        <w:jc w:val="both"/>
        <w:rPr>
          <w:color w:val="auto"/>
          <w:highlight w:val="none"/>
        </w:rPr>
      </w:pPr>
      <w:r>
        <w:rPr>
          <w:color w:val="auto"/>
          <w:highlight w:val="none"/>
        </w:rPr>
        <w:t> </w:t>
      </w:r>
    </w:p>
    <w:p w14:paraId="19F599AC">
      <w:pPr>
        <w:pStyle w:val="13"/>
        <w:keepNext w:val="0"/>
        <w:keepLines w:val="0"/>
        <w:pageBreakBefore w:val="0"/>
        <w:widowControl w:val="0"/>
        <w:tabs>
          <w:tab w:val="left" w:pos="1441"/>
        </w:tabs>
        <w:kinsoku/>
        <w:wordWrap w:val="0"/>
        <w:overflowPunct/>
        <w:topLinePunct w:val="0"/>
        <w:bidi w:val="0"/>
        <w:spacing w:beforeAutospacing="0" w:afterAutospacing="0" w:line="480" w:lineRule="auto"/>
        <w:ind w:left="2160" w:hanging="1440"/>
        <w:jc w:val="both"/>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p>
    <w:p w14:paraId="3F048C29">
      <w:pPr>
        <w:pStyle w:val="13"/>
        <w:keepNext w:val="0"/>
        <w:keepLines w:val="0"/>
        <w:pageBreakBefore w:val="0"/>
        <w:widowControl w:val="0"/>
        <w:tabs>
          <w:tab w:val="left" w:pos="1441"/>
        </w:tabs>
        <w:kinsoku/>
        <w:wordWrap w:val="0"/>
        <w:overflowPunct/>
        <w:topLinePunct w:val="0"/>
        <w:bidi w:val="0"/>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36557F5B">
      <w:pPr>
        <w:pStyle w:val="13"/>
        <w:keepNext w:val="0"/>
        <w:keepLines w:val="0"/>
        <w:pageBreakBefore w:val="0"/>
        <w:widowControl w:val="0"/>
        <w:tabs>
          <w:tab w:val="left" w:pos="1441"/>
        </w:tabs>
        <w:kinsoku/>
        <w:wordWrap w:val="0"/>
        <w:overflowPunct/>
        <w:topLinePunct w:val="0"/>
        <w:bidi w:val="0"/>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合同文本……………………………………</w:t>
      </w:r>
    </w:p>
    <w:p w14:paraId="76DCD7D4">
      <w:pPr>
        <w:pStyle w:val="13"/>
        <w:keepNext w:val="0"/>
        <w:keepLines w:val="0"/>
        <w:pageBreakBefore w:val="0"/>
        <w:widowControl w:val="0"/>
        <w:tabs>
          <w:tab w:val="left" w:pos="1441"/>
        </w:tabs>
        <w:kinsoku/>
        <w:wordWrap w:val="0"/>
        <w:overflowPunct/>
        <w:topLinePunct w:val="0"/>
        <w:bidi w:val="0"/>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620E178A">
      <w:pPr>
        <w:pStyle w:val="13"/>
        <w:keepNext w:val="0"/>
        <w:keepLines w:val="0"/>
        <w:pageBreakBefore w:val="0"/>
        <w:widowControl w:val="0"/>
        <w:tabs>
          <w:tab w:val="left" w:pos="1441"/>
        </w:tabs>
        <w:kinsoku/>
        <w:wordWrap w:val="0"/>
        <w:overflowPunct/>
        <w:topLinePunct w:val="0"/>
        <w:bidi w:val="0"/>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6D203C59">
      <w:pPr>
        <w:pStyle w:val="13"/>
        <w:keepNext w:val="0"/>
        <w:keepLines w:val="0"/>
        <w:pageBreakBefore w:val="0"/>
        <w:widowControl w:val="0"/>
        <w:tabs>
          <w:tab w:val="left" w:pos="1441"/>
        </w:tabs>
        <w:kinsoku/>
        <w:wordWrap w:val="0"/>
        <w:overflowPunct/>
        <w:topLinePunct w:val="0"/>
        <w:bidi w:val="0"/>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64341C45">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6364196">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1556BE8">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7B29980D">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611712B">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69FAA169">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4182AF71">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71654CC7">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04037430">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781B204C">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267F7F03">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27498963">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46A18BE9">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4328D0A4">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6222989F">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6612821">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34917203">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2132A022">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403C6B04">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4D3F100B">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7F92285B">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D73C107">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726FF3B9">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2DA54E0E">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20FE1C4E">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2659AB6A">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07F56FFF">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9390A04">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320F4AD2">
      <w:pPr>
        <w:pStyle w:val="13"/>
        <w:keepNext w:val="0"/>
        <w:keepLines w:val="0"/>
        <w:pageBreakBefore w:val="0"/>
        <w:widowControl w:val="0"/>
        <w:kinsoku/>
        <w:wordWrap w:val="0"/>
        <w:overflowPunct/>
        <w:topLinePunct w:val="0"/>
        <w:bidi w:val="0"/>
        <w:spacing w:beforeAutospacing="0" w:afterAutospacing="0"/>
        <w:jc w:val="both"/>
        <w:rPr>
          <w:color w:val="auto"/>
          <w:highlight w:val="none"/>
        </w:rPr>
        <w:sectPr>
          <w:pgSz w:w="11906" w:h="16838"/>
          <w:pgMar w:top="1440" w:right="1800" w:bottom="1440" w:left="1800" w:header="851" w:footer="992" w:gutter="0"/>
          <w:cols w:space="425" w:num="1"/>
          <w:docGrid w:type="lines" w:linePitch="312" w:charSpace="0"/>
        </w:sectPr>
      </w:pPr>
    </w:p>
    <w:p w14:paraId="485CAADD">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46154823">
      <w:pPr>
        <w:pStyle w:val="13"/>
        <w:keepNext w:val="0"/>
        <w:keepLines w:val="0"/>
        <w:pageBreakBefore w:val="0"/>
        <w:widowControl w:val="0"/>
        <w:kinsoku/>
        <w:wordWrap w:val="0"/>
        <w:overflowPunct/>
        <w:topLinePunct w:val="0"/>
        <w:bidi w:val="0"/>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3A37393B">
      <w:pPr>
        <w:pStyle w:val="13"/>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val="0"/>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项目概况</w:t>
      </w:r>
    </w:p>
    <w:p w14:paraId="54A8B89E">
      <w:pPr>
        <w:pStyle w:val="13"/>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val="0"/>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eastAsia="zh-CN"/>
        </w:rPr>
        <w:t>江苏滨海经济开发区沿海工业园地下水污染风险管控第三方监理(环境监理等)服务项目</w:t>
      </w:r>
      <w:r>
        <w:rPr>
          <w:rFonts w:hint="eastAsia" w:ascii="宋体" w:hAnsi="宋体" w:eastAsia="宋体" w:cs="宋体"/>
          <w:color w:val="auto"/>
          <w:sz w:val="22"/>
          <w:szCs w:val="22"/>
          <w:highlight w:val="none"/>
        </w:rPr>
        <w:t>招标项目的潜在投标人可在</w:t>
      </w:r>
      <w:r>
        <w:rPr>
          <w:rFonts w:hint="eastAsia" w:ascii="宋体" w:hAnsi="宋体" w:eastAsia="宋体" w:cs="宋体"/>
          <w:i w:val="0"/>
          <w:iCs w:val="0"/>
          <w:caps w:val="0"/>
          <w:color w:val="auto"/>
          <w:spacing w:val="0"/>
          <w:sz w:val="22"/>
          <w:szCs w:val="22"/>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2"/>
          <w:szCs w:val="22"/>
          <w:highlight w:val="none"/>
        </w:rPr>
        <w:t>，并于</w:t>
      </w:r>
      <w:r>
        <w:rPr>
          <w:rFonts w:hint="eastAsia" w:ascii="宋体" w:hAnsi="宋体" w:eastAsia="宋体" w:cs="宋体"/>
          <w:color w:val="auto"/>
          <w:sz w:val="22"/>
          <w:szCs w:val="22"/>
          <w:highlight w:val="none"/>
          <w:u w:val="single"/>
          <w:lang w:val="en-US" w:eastAsia="zh-CN"/>
        </w:rPr>
        <w:t>2026</w:t>
      </w:r>
      <w:r>
        <w:rPr>
          <w:rFonts w:hint="eastAsia" w:ascii="宋体" w:hAnsi="宋体" w:eastAsia="宋体" w:cs="宋体"/>
          <w:color w:val="auto"/>
          <w:sz w:val="22"/>
          <w:szCs w:val="22"/>
          <w:highlight w:val="none"/>
          <w:u w:val="single"/>
        </w:rPr>
        <w:t>年</w:t>
      </w:r>
      <w:r>
        <w:rPr>
          <w:rFonts w:hint="eastAsia" w:ascii="宋体" w:hAnsi="宋体" w:eastAsia="宋体" w:cs="宋体"/>
          <w:color w:val="auto"/>
          <w:sz w:val="22"/>
          <w:szCs w:val="22"/>
          <w:highlight w:val="none"/>
          <w:u w:val="single"/>
          <w:lang w:val="en-US" w:eastAsia="zh-CN"/>
        </w:rPr>
        <w:t>9</w:t>
      </w:r>
      <w:r>
        <w:rPr>
          <w:rFonts w:hint="eastAsia" w:ascii="宋体" w:hAnsi="宋体" w:eastAsia="宋体" w:cs="宋体"/>
          <w:color w:val="auto"/>
          <w:sz w:val="22"/>
          <w:szCs w:val="22"/>
          <w:highlight w:val="none"/>
          <w:u w:val="single"/>
        </w:rPr>
        <w:t>月</w:t>
      </w:r>
      <w:r>
        <w:rPr>
          <w:rFonts w:hint="eastAsia" w:ascii="宋体" w:hAnsi="宋体" w:eastAsia="宋体" w:cs="宋体"/>
          <w:color w:val="auto"/>
          <w:sz w:val="22"/>
          <w:szCs w:val="22"/>
          <w:highlight w:val="none"/>
          <w:u w:val="single"/>
          <w:lang w:val="en-US" w:eastAsia="zh-CN"/>
        </w:rPr>
        <w:t>3</w:t>
      </w:r>
      <w:r>
        <w:rPr>
          <w:rFonts w:hint="eastAsia" w:ascii="宋体" w:hAnsi="宋体" w:eastAsia="宋体" w:cs="宋体"/>
          <w:color w:val="auto"/>
          <w:sz w:val="22"/>
          <w:szCs w:val="22"/>
          <w:highlight w:val="none"/>
          <w:u w:val="single"/>
        </w:rPr>
        <w:t>日</w:t>
      </w:r>
      <w:r>
        <w:rPr>
          <w:rFonts w:hint="eastAsia" w:ascii="宋体" w:hAnsi="宋体" w:eastAsia="宋体" w:cs="宋体"/>
          <w:color w:val="auto"/>
          <w:sz w:val="22"/>
          <w:szCs w:val="22"/>
          <w:highlight w:val="none"/>
          <w:u w:val="single"/>
          <w:lang w:val="en-US" w:eastAsia="zh-CN"/>
        </w:rPr>
        <w:t>15</w:t>
      </w:r>
      <w:r>
        <w:rPr>
          <w:rFonts w:hint="eastAsia" w:ascii="宋体" w:hAnsi="宋体" w:eastAsia="宋体" w:cs="宋体"/>
          <w:color w:val="auto"/>
          <w:sz w:val="22"/>
          <w:szCs w:val="22"/>
          <w:highlight w:val="none"/>
          <w:u w:val="single"/>
        </w:rPr>
        <w:t>点</w:t>
      </w:r>
      <w:r>
        <w:rPr>
          <w:rFonts w:hint="eastAsia" w:ascii="宋体" w:hAnsi="宋体" w:eastAsia="宋体" w:cs="宋体"/>
          <w:color w:val="auto"/>
          <w:sz w:val="22"/>
          <w:szCs w:val="22"/>
          <w:highlight w:val="none"/>
          <w:u w:val="single"/>
          <w:lang w:val="en-US" w:eastAsia="zh-CN"/>
        </w:rPr>
        <w:t>00</w:t>
      </w:r>
      <w:r>
        <w:rPr>
          <w:rFonts w:hint="eastAsia" w:ascii="宋体" w:hAnsi="宋体" w:eastAsia="宋体" w:cs="宋体"/>
          <w:color w:val="auto"/>
          <w:sz w:val="22"/>
          <w:szCs w:val="22"/>
          <w:highlight w:val="none"/>
          <w:u w:val="single"/>
        </w:rPr>
        <w:t>分（</w:t>
      </w:r>
      <w:r>
        <w:rPr>
          <w:rFonts w:hint="eastAsia" w:ascii="宋体" w:hAnsi="宋体" w:eastAsia="宋体" w:cs="宋体"/>
          <w:color w:val="auto"/>
          <w:sz w:val="22"/>
          <w:szCs w:val="22"/>
          <w:highlight w:val="none"/>
        </w:rPr>
        <w:t>北京时间）前递交投标文件。</w:t>
      </w:r>
    </w:p>
    <w:p w14:paraId="5C0F5791">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bookmarkStart w:id="6" w:name="_Toc35393621"/>
      <w:bookmarkStart w:id="7" w:name="_Toc38985263"/>
      <w:bookmarkStart w:id="8" w:name="_Hlk24379207"/>
      <w:bookmarkStart w:id="9" w:name="_Toc28359079"/>
      <w:bookmarkStart w:id="10" w:name="_Toc35393790"/>
      <w:bookmarkStart w:id="11" w:name="_Toc28359002"/>
      <w:r>
        <w:rPr>
          <w:rFonts w:hint="eastAsia" w:ascii="宋体" w:hAnsi="宋体" w:eastAsia="宋体" w:cs="宋体"/>
          <w:b/>
          <w:color w:val="auto"/>
          <w:sz w:val="22"/>
          <w:szCs w:val="22"/>
          <w:highlight w:val="none"/>
        </w:rPr>
        <w:t>一、项目基本情况</w:t>
      </w:r>
      <w:bookmarkEnd w:id="6"/>
      <w:bookmarkEnd w:id="7"/>
      <w:bookmarkEnd w:id="8"/>
      <w:bookmarkEnd w:id="9"/>
      <w:bookmarkEnd w:id="10"/>
      <w:bookmarkEnd w:id="11"/>
    </w:p>
    <w:p w14:paraId="6E8C93EC">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1.项目编号：JSZC-320922-YCSH-G2026-0004</w:t>
      </w:r>
    </w:p>
    <w:p w14:paraId="724DA292">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2.项目名称：</w:t>
      </w:r>
      <w:r>
        <w:rPr>
          <w:rFonts w:hint="eastAsia" w:ascii="宋体" w:hAnsi="宋体" w:eastAsia="宋体" w:cs="宋体"/>
          <w:color w:val="auto"/>
          <w:sz w:val="22"/>
          <w:szCs w:val="22"/>
          <w:highlight w:val="none"/>
          <w:lang w:eastAsia="zh-CN"/>
        </w:rPr>
        <w:t>江苏滨海经济开发区沿海工业园地下水污染风险管控第三方监理(环境监理等)服务项目</w:t>
      </w:r>
    </w:p>
    <w:p w14:paraId="35EBDC8A">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auto"/>
          <w:spacing w:val="0"/>
          <w:sz w:val="22"/>
          <w:szCs w:val="22"/>
          <w:highlight w:val="none"/>
          <w:shd w:val="clear" w:fill="FFFFFF"/>
          <w:lang w:val="en-US" w:eastAsia="zh-CN"/>
        </w:rPr>
        <w:t>3.</w:t>
      </w:r>
      <w:r>
        <w:rPr>
          <w:rFonts w:hint="eastAsia" w:ascii="宋体" w:hAnsi="宋体" w:eastAsia="宋体" w:cs="宋体"/>
          <w:i w:val="0"/>
          <w:iCs w:val="0"/>
          <w:caps w:val="0"/>
          <w:color w:val="auto"/>
          <w:spacing w:val="0"/>
          <w:sz w:val="22"/>
          <w:szCs w:val="22"/>
          <w:highlight w:val="none"/>
          <w:shd w:val="clear" w:fill="FFFFFF"/>
        </w:rPr>
        <w:t>采购方式：</w:t>
      </w:r>
      <w:r>
        <w:rPr>
          <w:rFonts w:hint="eastAsia" w:ascii="宋体" w:hAnsi="宋体" w:eastAsia="宋体" w:cs="宋体"/>
          <w:i w:val="0"/>
          <w:iCs w:val="0"/>
          <w:caps w:val="0"/>
          <w:color w:val="auto"/>
          <w:spacing w:val="0"/>
          <w:sz w:val="22"/>
          <w:szCs w:val="22"/>
          <w:highlight w:val="none"/>
          <w:shd w:val="clear" w:fill="FFFFFF"/>
          <w:lang w:val="en-US" w:eastAsia="zh-CN"/>
        </w:rPr>
        <w:t>公开招标</w:t>
      </w:r>
    </w:p>
    <w:p w14:paraId="45211976">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.预算金额：项目预算</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小写</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2097400</w:t>
      </w:r>
      <w:r>
        <w:rPr>
          <w:rFonts w:hint="eastAsia" w:ascii="宋体" w:hAnsi="宋体" w:eastAsia="宋体" w:cs="宋体"/>
          <w:color w:val="auto"/>
          <w:sz w:val="22"/>
          <w:szCs w:val="22"/>
          <w:highlight w:val="none"/>
        </w:rPr>
        <w:t>元</w:t>
      </w:r>
    </w:p>
    <w:p w14:paraId="638F2993">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最高限价（如有）：</w:t>
      </w:r>
      <w:r>
        <w:rPr>
          <w:rFonts w:hint="eastAsia" w:ascii="宋体" w:hAnsi="宋体" w:eastAsia="宋体" w:cs="宋体"/>
          <w:color w:val="auto"/>
          <w:sz w:val="22"/>
          <w:szCs w:val="22"/>
          <w:highlight w:val="none"/>
          <w:lang w:val="en-US" w:eastAsia="zh-CN"/>
        </w:rPr>
        <w:t>209.74万元</w:t>
      </w:r>
    </w:p>
    <w:p w14:paraId="2F3263F6">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采购需求（简介）：根据生态环境部《化工园地下水污染专项整治工作方案》要求和园区地下水调查评估结果，江苏滨海经济开发区沿海工业园亟需开展地下水污染风险管控及相关配套服务等工作。拟通过政府采购聘请第三方环境监理单位对风险管控项目开展沿海工业园地下水污染风险管控项目的环境监理、监督检测、工程有关监理、其他有关的技术服务等第三方监理服务等。（详细内容见本</w:t>
      </w:r>
      <w:r>
        <w:rPr>
          <w:rFonts w:hint="eastAsia" w:ascii="宋体" w:hAnsi="宋体" w:eastAsia="宋体" w:cs="宋体"/>
          <w:color w:val="auto"/>
          <w:sz w:val="22"/>
          <w:szCs w:val="22"/>
          <w:highlight w:val="none"/>
          <w:lang w:val="en-US" w:eastAsia="zh-CN"/>
        </w:rPr>
        <w:t>招标</w:t>
      </w:r>
      <w:r>
        <w:rPr>
          <w:rFonts w:hint="eastAsia" w:ascii="宋体" w:hAnsi="宋体" w:eastAsia="宋体" w:cs="宋体"/>
          <w:color w:val="auto"/>
          <w:sz w:val="22"/>
          <w:szCs w:val="22"/>
          <w:highlight w:val="none"/>
        </w:rPr>
        <w:t>文件第四章）</w:t>
      </w:r>
    </w:p>
    <w:p w14:paraId="71E59D54">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.合同履行期限：自合同签订之日起3年内完成全部服务工作，实际环境监理服务期与管控服务期同步</w:t>
      </w:r>
      <w:r>
        <w:rPr>
          <w:rFonts w:hint="eastAsia" w:ascii="宋体" w:hAnsi="宋体" w:eastAsia="宋体" w:cs="宋体"/>
          <w:color w:val="auto"/>
          <w:sz w:val="22"/>
          <w:szCs w:val="22"/>
          <w:highlight w:val="none"/>
          <w:lang w:eastAsia="zh-CN"/>
        </w:rPr>
        <w:t>。</w:t>
      </w:r>
    </w:p>
    <w:p w14:paraId="0D95F988">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bookmarkStart w:id="12" w:name="_Toc35393791"/>
      <w:bookmarkStart w:id="13" w:name="_Toc38985264"/>
      <w:bookmarkStart w:id="14" w:name="_Toc28359080"/>
      <w:bookmarkStart w:id="15" w:name="_Toc35393622"/>
      <w:bookmarkStart w:id="16" w:name="_Toc28359003"/>
      <w:r>
        <w:rPr>
          <w:rFonts w:hint="eastAsia" w:ascii="宋体" w:hAnsi="宋体" w:eastAsia="宋体" w:cs="宋体"/>
          <w:b/>
          <w:color w:val="auto"/>
          <w:sz w:val="22"/>
          <w:szCs w:val="22"/>
          <w:highlight w:val="none"/>
        </w:rPr>
        <w:t>二、申请人的资格要求</w:t>
      </w:r>
      <w:bookmarkEnd w:id="12"/>
      <w:bookmarkEnd w:id="13"/>
      <w:bookmarkEnd w:id="14"/>
      <w:bookmarkEnd w:id="15"/>
      <w:bookmarkEnd w:id="16"/>
    </w:p>
    <w:p w14:paraId="349C9E6D">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1.满足《中华人民共和国政府采购法》第二十二条规定，并提供下列材料：</w:t>
      </w:r>
    </w:p>
    <w:p w14:paraId="486355D8">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1.1 法人或者其他组织的营业执照等证明文件，自然人的身份证明；</w:t>
      </w:r>
    </w:p>
    <w:p w14:paraId="69B8D00C">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1.2上一年度的财务状况报告（成立不满一年无需提供）；</w:t>
      </w:r>
    </w:p>
    <w:p w14:paraId="3F1D9DEC">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1.3具备履行合同所必需的设备和专业技术能力的书面声明；</w:t>
      </w:r>
    </w:p>
    <w:p w14:paraId="052C2DB9">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CA631E7">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1.5参加政府采购活动前3年内在经营活动中没有重大违法记录的书面声明。</w:t>
      </w:r>
    </w:p>
    <w:p w14:paraId="77D20003">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2.落实政府采购政策需满足的资格要求：本项目（是/否）属于专门面向中小企业采购的项目：</w:t>
      </w:r>
      <w:r>
        <w:rPr>
          <w:rFonts w:hint="eastAsia" w:ascii="宋体" w:hAnsi="宋体" w:eastAsia="宋体" w:cs="宋体"/>
          <w:b w:val="0"/>
          <w:bCs w:val="0"/>
          <w:color w:val="auto"/>
          <w:sz w:val="22"/>
          <w:szCs w:val="22"/>
          <w:highlight w:val="none"/>
          <w:u w:val="single"/>
        </w:rPr>
        <w:t>否。</w:t>
      </w:r>
    </w:p>
    <w:p w14:paraId="2631B7B3">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3.本项目的特定资格要求：</w:t>
      </w:r>
    </w:p>
    <w:p w14:paraId="11F0A3CB">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3.1未被“信用中国”网站（www.creditchina.gov.cn）列入失信被执行人、重大税收违法案件当事人名单、政府采购严重失信行为记录名单。</w:t>
      </w:r>
    </w:p>
    <w:p w14:paraId="1BF4C453">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3.2单位负责人为同一人或者存在直接控股、管理关系的不同供应商，不得参加同一合同项下的政府采购活动。</w:t>
      </w:r>
    </w:p>
    <w:p w14:paraId="3FCEDBE1">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3.3本项目（是/否）接受联合体投标：否。</w:t>
      </w:r>
    </w:p>
    <w:p w14:paraId="63754E56">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三、获取招标文件</w:t>
      </w:r>
    </w:p>
    <w:p w14:paraId="15F91AA5">
      <w:pPr>
        <w:keepNext w:val="0"/>
        <w:keepLines w:val="0"/>
        <w:pageBreakBefore w:val="0"/>
        <w:widowControl w:val="0"/>
        <w:suppressLineNumbers w:val="0"/>
        <w:kinsoku/>
        <w:wordWrap w:val="0"/>
        <w:overflowPunct/>
        <w:topLinePunct w:val="0"/>
        <w:autoSpaceDE/>
        <w:autoSpaceDN/>
        <w:bidi w:val="0"/>
        <w:adjustRightInd/>
        <w:snapToGrid/>
        <w:spacing w:line="400" w:lineRule="exact"/>
        <w:ind w:firstLine="420" w:firstLineChars="0"/>
        <w:jc w:val="left"/>
        <w:textAlignment w:val="auto"/>
        <w:rPr>
          <w:rFonts w:hint="eastAsia" w:ascii="宋体" w:hAnsi="宋体" w:eastAsia="宋体" w:cs="宋体"/>
          <w:color w:val="auto"/>
          <w:kern w:val="0"/>
          <w:sz w:val="22"/>
          <w:szCs w:val="22"/>
          <w:highlight w:val="none"/>
          <w:lang w:val="en-US" w:eastAsia="zh-CN" w:bidi="ar-SA"/>
        </w:rPr>
      </w:pPr>
      <w:bookmarkStart w:id="17" w:name="_Toc38985266"/>
      <w:bookmarkStart w:id="18" w:name="_Toc28359005"/>
      <w:bookmarkStart w:id="19" w:name="_Toc35393793"/>
      <w:bookmarkStart w:id="20" w:name="_Toc28359082"/>
      <w:bookmarkStart w:id="21" w:name="_Toc35393624"/>
      <w:r>
        <w:rPr>
          <w:rFonts w:hint="eastAsia" w:ascii="宋体" w:hAnsi="宋体" w:eastAsia="宋体" w:cs="宋体"/>
          <w:color w:val="auto"/>
          <w:sz w:val="22"/>
          <w:szCs w:val="22"/>
          <w:highlight w:val="none"/>
        </w:rPr>
        <w:t>1.时间</w:t>
      </w:r>
      <w:r>
        <w:rPr>
          <w:rFonts w:hint="eastAsia" w:ascii="宋体" w:hAnsi="宋体" w:eastAsia="宋体" w:cs="宋体"/>
          <w:color w:val="auto"/>
          <w:kern w:val="0"/>
          <w:sz w:val="22"/>
          <w:szCs w:val="22"/>
          <w:highlight w:val="none"/>
          <w:lang w:val="en-US" w:eastAsia="zh-CN" w:bidi="ar-SA"/>
        </w:rPr>
        <w:t>：</w:t>
      </w:r>
      <w:bookmarkEnd w:id="17"/>
      <w:bookmarkEnd w:id="18"/>
      <w:bookmarkEnd w:id="19"/>
      <w:bookmarkEnd w:id="20"/>
      <w:bookmarkEnd w:id="21"/>
      <w:r>
        <w:rPr>
          <w:rFonts w:hint="eastAsia" w:ascii="宋体" w:hAnsi="宋体" w:eastAsia="宋体" w:cs="宋体"/>
          <w:color w:val="auto"/>
          <w:kern w:val="0"/>
          <w:sz w:val="22"/>
          <w:szCs w:val="22"/>
          <w:highlight w:val="none"/>
          <w:lang w:val="en-US" w:eastAsia="zh-CN" w:bidi="ar-SA"/>
        </w:rPr>
        <w:t>自招标文件公告发布之日起5个工作日。</w:t>
      </w:r>
    </w:p>
    <w:p w14:paraId="3FE7E4A2">
      <w:pPr>
        <w:keepNext w:val="0"/>
        <w:keepLines w:val="0"/>
        <w:pageBreakBefore w:val="0"/>
        <w:widowControl w:val="0"/>
        <w:suppressLineNumbers w:val="0"/>
        <w:kinsoku/>
        <w:wordWrap w:val="0"/>
        <w:overflowPunct/>
        <w:topLinePunct w:val="0"/>
        <w:autoSpaceDE/>
        <w:autoSpaceDN/>
        <w:bidi w:val="0"/>
        <w:adjustRightInd/>
        <w:snapToGrid/>
        <w:spacing w:line="400" w:lineRule="exact"/>
        <w:ind w:firstLine="420" w:firstLineChars="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val="0"/>
        <w:suppressLineNumbers w:val="0"/>
        <w:kinsoku/>
        <w:wordWrap w:val="0"/>
        <w:overflowPunct/>
        <w:topLinePunct w:val="0"/>
        <w:autoSpaceDE/>
        <w:autoSpaceDN/>
        <w:bidi w:val="0"/>
        <w:adjustRightInd/>
        <w:snapToGrid/>
        <w:spacing w:line="400" w:lineRule="exact"/>
        <w:ind w:firstLine="420" w:firstLineChars="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 xml:space="preserve">3.方式：本项目采用网上注册登记方式。 </w:t>
      </w:r>
    </w:p>
    <w:p w14:paraId="31F3C5CF">
      <w:pPr>
        <w:keepNext w:val="0"/>
        <w:keepLines w:val="0"/>
        <w:pageBreakBefore w:val="0"/>
        <w:widowControl w:val="0"/>
        <w:suppressLineNumbers w:val="0"/>
        <w:kinsoku/>
        <w:wordWrap w:val="0"/>
        <w:overflowPunct/>
        <w:topLinePunct w:val="0"/>
        <w:autoSpaceDE/>
        <w:autoSpaceDN/>
        <w:bidi w:val="0"/>
        <w:adjustRightInd/>
        <w:snapToGrid/>
        <w:spacing w:line="400" w:lineRule="exact"/>
        <w:ind w:firstLine="420" w:firstLineChars="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4.售价：0元</w:t>
      </w:r>
    </w:p>
    <w:p w14:paraId="48944B76">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四、提交投标文件截止时间、开标时间和地点</w:t>
      </w:r>
    </w:p>
    <w:p w14:paraId="681BEBED">
      <w:pPr>
        <w:keepNext w:val="0"/>
        <w:keepLines w:val="0"/>
        <w:pageBreakBefore w:val="0"/>
        <w:widowControl w:val="0"/>
        <w:suppressLineNumbers w:val="0"/>
        <w:kinsoku/>
        <w:wordWrap w:val="0"/>
        <w:overflowPunct/>
        <w:topLinePunct w:val="0"/>
        <w:autoSpaceDE/>
        <w:autoSpaceDN/>
        <w:bidi w:val="0"/>
        <w:adjustRightInd/>
        <w:snapToGrid/>
        <w:spacing w:line="400" w:lineRule="exact"/>
        <w:ind w:firstLine="420" w:firstLineChars="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sz w:val="22"/>
          <w:szCs w:val="22"/>
          <w:highlight w:val="none"/>
        </w:rPr>
        <w:t>1.</w:t>
      </w:r>
      <w:r>
        <w:rPr>
          <w:rFonts w:hint="eastAsia" w:ascii="宋体" w:hAnsi="宋体" w:eastAsia="宋体" w:cs="宋体"/>
          <w:color w:val="auto"/>
          <w:kern w:val="0"/>
          <w:sz w:val="22"/>
          <w:szCs w:val="22"/>
          <w:highlight w:val="none"/>
          <w:lang w:val="en-US" w:eastAsia="zh-CN" w:bidi="ar-SA"/>
        </w:rPr>
        <w:t>时间：</w:t>
      </w:r>
      <w:r>
        <w:rPr>
          <w:rFonts w:hint="eastAsia" w:ascii="宋体" w:hAnsi="宋体" w:eastAsia="宋体" w:cs="宋体"/>
          <w:color w:val="auto"/>
          <w:kern w:val="0"/>
          <w:sz w:val="22"/>
          <w:szCs w:val="22"/>
          <w:highlight w:val="none"/>
          <w:u w:val="single"/>
          <w:lang w:val="en-US" w:eastAsia="zh-CN" w:bidi="ar-SA"/>
        </w:rPr>
        <w:t>2026年9月3日15时00分00秒</w:t>
      </w:r>
      <w:r>
        <w:rPr>
          <w:rFonts w:hint="eastAsia" w:ascii="宋体" w:hAnsi="宋体" w:eastAsia="宋体" w:cs="宋体"/>
          <w:color w:val="auto"/>
          <w:kern w:val="0"/>
          <w:sz w:val="22"/>
          <w:szCs w:val="22"/>
          <w:highlight w:val="none"/>
          <w:u w:val="none"/>
          <w:lang w:val="en-US" w:eastAsia="zh-CN" w:bidi="ar-SA"/>
        </w:rPr>
        <w:t>前</w:t>
      </w:r>
      <w:r>
        <w:rPr>
          <w:rFonts w:hint="eastAsia" w:ascii="宋体" w:hAnsi="宋体" w:eastAsia="宋体" w:cs="宋体"/>
          <w:color w:val="auto"/>
          <w:kern w:val="0"/>
          <w:sz w:val="22"/>
          <w:szCs w:val="22"/>
          <w:highlight w:val="none"/>
          <w:lang w:val="en-US" w:eastAsia="zh-CN" w:bidi="ar-SA"/>
        </w:rPr>
        <w:t>（北京时间）</w:t>
      </w:r>
    </w:p>
    <w:p w14:paraId="2DD14093">
      <w:pPr>
        <w:keepNext w:val="0"/>
        <w:keepLines w:val="0"/>
        <w:pageBreakBefore w:val="0"/>
        <w:widowControl w:val="0"/>
        <w:suppressLineNumbers w:val="0"/>
        <w:kinsoku/>
        <w:wordWrap w:val="0"/>
        <w:overflowPunct/>
        <w:topLinePunct w:val="0"/>
        <w:autoSpaceDE/>
        <w:autoSpaceDN/>
        <w:bidi w:val="0"/>
        <w:adjustRightInd/>
        <w:snapToGrid/>
        <w:spacing w:line="400" w:lineRule="exact"/>
        <w:ind w:firstLine="420" w:firstLineChars="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2.地点：苏采云“不见面”开标大厅 。</w:t>
      </w:r>
    </w:p>
    <w:p w14:paraId="24E0C040">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bookmarkStart w:id="22" w:name="_Toc35393794"/>
      <w:bookmarkStart w:id="23" w:name="_Toc35393625"/>
      <w:bookmarkStart w:id="24" w:name="_Toc38985267"/>
      <w:bookmarkStart w:id="25" w:name="_Toc28359084"/>
      <w:bookmarkStart w:id="26" w:name="_Toc28359007"/>
      <w:r>
        <w:rPr>
          <w:rFonts w:hint="eastAsia" w:ascii="宋体" w:hAnsi="宋体" w:eastAsia="宋体" w:cs="宋体"/>
          <w:b/>
          <w:color w:val="auto"/>
          <w:sz w:val="22"/>
          <w:szCs w:val="22"/>
          <w:highlight w:val="none"/>
        </w:rPr>
        <w:t>五、公告期限</w:t>
      </w:r>
      <w:bookmarkEnd w:id="22"/>
      <w:bookmarkEnd w:id="23"/>
      <w:bookmarkEnd w:id="24"/>
      <w:bookmarkEnd w:id="25"/>
      <w:bookmarkEnd w:id="26"/>
    </w:p>
    <w:p w14:paraId="7C2197F9">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Autospacing="0" w:line="400" w:lineRule="exact"/>
        <w:ind w:left="0" w:right="0" w:firstLine="420" w:firstLineChars="0"/>
        <w:jc w:val="both"/>
        <w:textAlignment w:val="auto"/>
        <w:rPr>
          <w:rFonts w:hint="eastAsia" w:ascii="宋体" w:hAnsi="宋体" w:eastAsia="宋体" w:cs="宋体"/>
          <w:i w:val="0"/>
          <w:iCs w:val="0"/>
          <w:caps w:val="0"/>
          <w:color w:val="auto"/>
          <w:spacing w:val="0"/>
          <w:sz w:val="22"/>
          <w:szCs w:val="22"/>
          <w:highlight w:val="none"/>
          <w:shd w:val="clear" w:fill="FFFFFF"/>
          <w:lang w:val="en-US" w:eastAsia="zh-CN"/>
        </w:rPr>
      </w:pPr>
      <w:bookmarkStart w:id="27" w:name="_Toc35393795"/>
      <w:bookmarkStart w:id="28" w:name="_Toc38985268"/>
      <w:bookmarkStart w:id="29" w:name="_Toc35393626"/>
      <w:r>
        <w:rPr>
          <w:rFonts w:hint="eastAsia" w:ascii="宋体" w:hAnsi="宋体" w:eastAsia="宋体" w:cs="宋体"/>
          <w:i w:val="0"/>
          <w:iCs w:val="0"/>
          <w:caps w:val="0"/>
          <w:color w:val="auto"/>
          <w:spacing w:val="0"/>
          <w:sz w:val="22"/>
          <w:szCs w:val="22"/>
          <w:highlight w:val="none"/>
          <w:shd w:val="clear" w:fill="FFFFFF"/>
          <w:lang w:val="en-US" w:eastAsia="zh-CN"/>
        </w:rPr>
        <w:t>自本公告发布之日起5个工作日。</w:t>
      </w:r>
      <w:bookmarkEnd w:id="27"/>
      <w:bookmarkEnd w:id="28"/>
      <w:bookmarkEnd w:id="29"/>
    </w:p>
    <w:p w14:paraId="637476BB">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2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六、其他补充事宜</w:t>
      </w:r>
    </w:p>
    <w:p w14:paraId="6CB183CA">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bookmarkStart w:id="30" w:name="_Toc28359018"/>
      <w:bookmarkStart w:id="31" w:name="_Toc28359009"/>
      <w:r>
        <w:rPr>
          <w:rFonts w:hint="eastAsia" w:ascii="宋体" w:hAnsi="宋体" w:eastAsia="宋体" w:cs="宋体"/>
          <w:color w:val="333333"/>
          <w:kern w:val="0"/>
          <w:sz w:val="22"/>
          <w:szCs w:val="22"/>
          <w:shd w:val="clear" w:color="auto" w:fill="FFFFFF"/>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059545A">
      <w:pPr>
        <w:spacing w:line="440" w:lineRule="exact"/>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rPr>
        <w:t>领取CA和办理电子签章（</w:t>
      </w:r>
      <w:r>
        <w:rPr>
          <w:rFonts w:hint="eastAsia" w:ascii="宋体" w:hAnsi="宋体" w:eastAsia="宋体" w:cs="宋体"/>
          <w:sz w:val="22"/>
          <w:szCs w:val="22"/>
        </w:rPr>
        <w:t>请至</w:t>
      </w:r>
      <w:r>
        <w:rPr>
          <w:rFonts w:hint="eastAsia" w:ascii="宋体" w:hAnsi="宋体" w:eastAsia="宋体" w:cs="宋体"/>
          <w:color w:val="FF0000"/>
          <w:sz w:val="22"/>
          <w:szCs w:val="22"/>
        </w:rPr>
        <w:t>盐城市府西路1号盐城市公共资源交易中心四楼大厅10号，11号窗口</w:t>
      </w:r>
      <w:r>
        <w:rPr>
          <w:rFonts w:hint="eastAsia" w:ascii="宋体" w:hAnsi="宋体" w:eastAsia="宋体" w:cs="宋体"/>
          <w:sz w:val="22"/>
          <w:szCs w:val="22"/>
        </w:rPr>
        <w:t>办理</w:t>
      </w:r>
      <w:r>
        <w:rPr>
          <w:rFonts w:hint="eastAsia" w:ascii="宋体" w:hAnsi="宋体" w:eastAsia="宋体" w:cs="宋体"/>
          <w:color w:val="333333"/>
          <w:sz w:val="22"/>
          <w:szCs w:val="22"/>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3A8D718">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2. 潜在供应商访问电子招标响应交易平台的网络地址和方法： </w:t>
      </w:r>
    </w:p>
    <w:p w14:paraId="4180E044">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2.2 潜在投标人访问“苏采云”系统方法：江苏省政府采购网首页-“苏采云”链接。 </w:t>
      </w:r>
    </w:p>
    <w:p w14:paraId="0A77E18D">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2.3 采购文件（后缀名为“.kedt”）、供应商操作手册及政府采购客户端 工具可通过“苏采云”系统相应链接进行下载。 </w:t>
      </w:r>
    </w:p>
    <w:p w14:paraId="1DBBD6DF">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2.4 采购代理机构将数据电文形式的采购文件加载至“苏采云”系统，供潜在供应商下载或者查阅。 </w:t>
      </w:r>
    </w:p>
    <w:p w14:paraId="652A283A">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2.5 请潜在投标单位提前安装相应的控件（详见《“苏采云”系统供应商操作手册》）并使用谷歌浏览器登录“苏采云”系统参与不见面开评标。 </w:t>
      </w:r>
    </w:p>
    <w:p w14:paraId="332962D5">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如潜在投标人未按上述要求操作，将自行承担所产生的风险。</w:t>
      </w:r>
    </w:p>
    <w:p w14:paraId="1CF288CE">
      <w:pPr>
        <w:widowControl/>
        <w:spacing w:line="440" w:lineRule="exact"/>
        <w:ind w:firstLine="440" w:firstLineChars="2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3.有关本次招标的事项若存在变动或修改，敬请及时关注盐城市政府采购中心在“中国政府采购网”“江苏政府采购网”“盐城市政府采购网”发布的更正公告。</w:t>
      </w:r>
    </w:p>
    <w:p w14:paraId="2141E40D">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4.本次招标不收取投标保证金，不收取质量保证金。</w:t>
      </w:r>
    </w:p>
    <w:p w14:paraId="4206240F">
      <w:pPr>
        <w:widowControl/>
        <w:shd w:val="clear" w:color="auto" w:fill="FFFFFF"/>
        <w:spacing w:beforeAutospacing="0" w:afterAutospacing="0" w:line="440" w:lineRule="exact"/>
        <w:ind w:firstLine="442" w:firstLineChars="200"/>
        <w:jc w:val="both"/>
        <w:outlineLvl w:val="1"/>
        <w:rPr>
          <w:rFonts w:hint="eastAsia" w:ascii="宋体" w:hAnsi="宋体" w:eastAsia="宋体" w:cs="宋体"/>
          <w:b/>
          <w:bCs/>
          <w:color w:val="333333"/>
          <w:kern w:val="0"/>
          <w:sz w:val="22"/>
          <w:szCs w:val="22"/>
          <w:lang w:val="en-US" w:eastAsia="zh-CN" w:bidi="ar-SA"/>
        </w:rPr>
      </w:pPr>
      <w:r>
        <w:rPr>
          <w:rFonts w:hint="eastAsia" w:ascii="宋体" w:hAnsi="宋体" w:eastAsia="宋体" w:cs="宋体"/>
          <w:b/>
          <w:bCs/>
          <w:color w:val="333333"/>
          <w:kern w:val="0"/>
          <w:sz w:val="22"/>
          <w:szCs w:val="22"/>
          <w:shd w:val="clear" w:color="auto" w:fill="FFFFFF"/>
          <w:lang w:val="en-US" w:eastAsia="zh-CN" w:bidi="ar-SA"/>
        </w:rPr>
        <w:t>七、对本次招标提出询问，请按以下方式联系</w:t>
      </w:r>
      <w:bookmarkEnd w:id="30"/>
    </w:p>
    <w:p w14:paraId="60165544">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1.采购人信息</w:t>
      </w:r>
    </w:p>
    <w:p w14:paraId="23294355">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 xml:space="preserve">名 称：江苏滨海经济开发区沿海工业园管理委员会  </w:t>
      </w:r>
    </w:p>
    <w:p w14:paraId="6B4D14AE">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 xml:space="preserve">地址：江苏滨海经济开发区沿海工业园管理委员会大楼  </w:t>
      </w:r>
    </w:p>
    <w:p w14:paraId="4E61B984">
      <w:pPr>
        <w:widowControl/>
        <w:shd w:val="clear" w:color="auto" w:fill="FFFFFF"/>
        <w:spacing w:beforeAutospacing="0" w:afterAutospacing="0" w:line="440" w:lineRule="exact"/>
        <w:ind w:firstLine="480"/>
        <w:jc w:val="both"/>
        <w:rPr>
          <w:rFonts w:hint="default"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联系人：郑先生</w:t>
      </w:r>
    </w:p>
    <w:p w14:paraId="7328E5CB">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highlight w:val="none"/>
          <w:shd w:val="clear" w:color="auto" w:fill="FFFFFF"/>
          <w:lang w:val="en-US" w:eastAsia="zh-CN" w:bidi="ar-SA"/>
        </w:rPr>
      </w:pPr>
      <w:r>
        <w:rPr>
          <w:rFonts w:hint="eastAsia" w:ascii="宋体" w:hAnsi="宋体" w:eastAsia="宋体" w:cs="宋体"/>
          <w:color w:val="333333"/>
          <w:kern w:val="0"/>
          <w:sz w:val="22"/>
          <w:szCs w:val="22"/>
          <w:highlight w:val="none"/>
          <w:shd w:val="clear" w:color="auto" w:fill="FFFFFF"/>
          <w:lang w:val="en-US" w:eastAsia="zh-CN" w:bidi="ar-SA"/>
        </w:rPr>
        <w:t xml:space="preserve">联系方式：13961946499 </w:t>
      </w:r>
    </w:p>
    <w:p w14:paraId="711621E7">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2.采购代理机构信息</w:t>
      </w:r>
    </w:p>
    <w:p w14:paraId="2AEE2F29">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 xml:space="preserve">名 称：盐城市弘盛招标代理有限公司 </w:t>
      </w:r>
    </w:p>
    <w:p w14:paraId="7988D60B">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地 址：滨海县政务服务中心（育才西路166号）2楼2112室</w:t>
      </w:r>
    </w:p>
    <w:p w14:paraId="74252089">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联系人：李女士</w:t>
      </w:r>
    </w:p>
    <w:p w14:paraId="31B404BF">
      <w:pPr>
        <w:widowControl/>
        <w:shd w:val="clear" w:color="auto" w:fill="FFFFFF"/>
        <w:spacing w:beforeAutospacing="0" w:afterAutospacing="0" w:line="440" w:lineRule="exact"/>
        <w:ind w:firstLine="480"/>
        <w:jc w:val="both"/>
        <w:rPr>
          <w:rFonts w:hint="default"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联系方式：18921813656</w:t>
      </w:r>
    </w:p>
    <w:p w14:paraId="067DED1C">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bookmarkStart w:id="32" w:name="_Toc28359021"/>
      <w:r>
        <w:rPr>
          <w:rFonts w:hint="eastAsia" w:ascii="宋体" w:hAnsi="宋体" w:eastAsia="宋体" w:cs="宋体"/>
          <w:color w:val="333333"/>
          <w:kern w:val="0"/>
          <w:sz w:val="22"/>
          <w:szCs w:val="22"/>
          <w:shd w:val="clear" w:color="auto" w:fill="FFFFFF"/>
          <w:lang w:val="en-US" w:eastAsia="zh-CN" w:bidi="ar-SA"/>
        </w:rPr>
        <w:t>3.</w:t>
      </w:r>
      <w:bookmarkEnd w:id="32"/>
      <w:r>
        <w:rPr>
          <w:rFonts w:hint="eastAsia" w:ascii="宋体" w:hAnsi="宋体" w:eastAsia="宋体" w:cs="宋体"/>
          <w:color w:val="333333"/>
          <w:kern w:val="0"/>
          <w:sz w:val="22"/>
          <w:szCs w:val="22"/>
          <w:shd w:val="clear" w:color="auto" w:fill="FFFFFF"/>
          <w:lang w:val="en-US" w:eastAsia="zh-CN" w:bidi="ar-SA"/>
        </w:rPr>
        <w:t>项目联系方式</w:t>
      </w:r>
    </w:p>
    <w:p w14:paraId="2D4F81B7">
      <w:pPr>
        <w:widowControl/>
        <w:shd w:val="clear" w:color="auto" w:fill="FFFFFF"/>
        <w:spacing w:beforeAutospacing="0" w:afterAutospacing="0" w:line="440" w:lineRule="exact"/>
        <w:ind w:firstLine="480"/>
        <w:jc w:val="both"/>
        <w:rPr>
          <w:rFonts w:hint="eastAsia" w:ascii="宋体" w:hAnsi="宋体" w:eastAsia="宋体" w:cs="宋体"/>
          <w:color w:val="333333"/>
          <w:kern w:val="0"/>
          <w:sz w:val="22"/>
          <w:szCs w:val="22"/>
          <w:shd w:val="clear" w:color="auto" w:fill="FFFFFF"/>
          <w:lang w:val="en-US" w:eastAsia="zh-CN" w:bidi="ar-SA"/>
        </w:rPr>
      </w:pPr>
      <w:r>
        <w:rPr>
          <w:rFonts w:hint="eastAsia" w:ascii="宋体" w:hAnsi="宋体" w:eastAsia="宋体" w:cs="宋体"/>
          <w:color w:val="333333"/>
          <w:kern w:val="0"/>
          <w:sz w:val="22"/>
          <w:szCs w:val="22"/>
          <w:shd w:val="clear" w:color="auto" w:fill="FFFFFF"/>
          <w:lang w:val="en-US" w:eastAsia="zh-CN" w:bidi="ar-SA"/>
        </w:rPr>
        <w:t>项目联系人：李女士</w:t>
      </w:r>
    </w:p>
    <w:p w14:paraId="5AA0D518">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Autospacing="0" w:line="400" w:lineRule="exact"/>
        <w:ind w:left="0" w:right="0" w:firstLine="420" w:firstLineChars="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color w:val="333333"/>
          <w:kern w:val="0"/>
          <w:sz w:val="22"/>
          <w:szCs w:val="22"/>
          <w:shd w:val="clear" w:color="auto" w:fill="FFFFFF"/>
          <w:lang w:val="en-US" w:eastAsia="zh-CN" w:bidi="ar-SA"/>
        </w:rPr>
        <w:t>联系方式：18921813656</w:t>
      </w:r>
      <w:r>
        <w:rPr>
          <w:rFonts w:hint="eastAsia" w:ascii="宋体" w:hAnsi="宋体" w:eastAsia="宋体" w:cs="宋体"/>
          <w:color w:val="333333"/>
          <w:kern w:val="0"/>
          <w:sz w:val="24"/>
          <w:szCs w:val="24"/>
          <w:shd w:val="clear" w:color="auto" w:fill="FFFFFF"/>
          <w:lang w:val="en-US" w:eastAsia="zh-CN" w:bidi="ar-SA"/>
        </w:rPr>
        <w:t>　　　　　　</w:t>
      </w:r>
      <w:r>
        <w:rPr>
          <w:rFonts w:hint="eastAsia" w:ascii="宋体" w:hAnsi="宋体" w:eastAsia="宋体" w:cs="宋体"/>
          <w:i w:val="0"/>
          <w:iCs w:val="0"/>
          <w:caps w:val="0"/>
          <w:color w:val="auto"/>
          <w:spacing w:val="0"/>
          <w:sz w:val="24"/>
          <w:szCs w:val="24"/>
          <w:highlight w:val="none"/>
          <w:shd w:val="clear" w:fill="FFFFFF"/>
          <w:lang w:val="en-US" w:eastAsia="zh-CN"/>
        </w:rPr>
        <w:t>　　　　　　　　　　　　</w:t>
      </w:r>
    </w:p>
    <w:p w14:paraId="2CEFCD0D">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D80FD0B">
      <w:pPr>
        <w:pStyle w:val="13"/>
        <w:keepNext w:val="0"/>
        <w:keepLines w:val="0"/>
        <w:pageBreakBefore w:val="0"/>
        <w:widowControl w:val="0"/>
        <w:kinsoku/>
        <w:wordWrap w:val="0"/>
        <w:overflowPunct/>
        <w:topLinePunct w:val="0"/>
        <w:bidi w:val="0"/>
        <w:spacing w:beforeAutospacing="0" w:afterAutospacing="0"/>
        <w:ind w:right="840"/>
        <w:jc w:val="both"/>
        <w:rPr>
          <w:color w:val="auto"/>
          <w:highlight w:val="none"/>
        </w:rPr>
      </w:pPr>
      <w:r>
        <w:rPr>
          <w:rFonts w:hint="eastAsia" w:ascii="宋体" w:hAnsi="宋体" w:eastAsia="宋体" w:cs="宋体"/>
          <w:color w:val="auto"/>
          <w:sz w:val="24"/>
          <w:szCs w:val="24"/>
          <w:highlight w:val="none"/>
        </w:rPr>
        <w:br w:type="page"/>
      </w:r>
    </w:p>
    <w:p w14:paraId="01CD31E3">
      <w:pPr>
        <w:pStyle w:val="13"/>
        <w:keepNext w:val="0"/>
        <w:keepLines w:val="0"/>
        <w:pageBreakBefore w:val="0"/>
        <w:widowControl w:val="0"/>
        <w:kinsoku/>
        <w:wordWrap w:val="0"/>
        <w:overflowPunct/>
        <w:topLinePunct w:val="0"/>
        <w:bidi w:val="0"/>
        <w:spacing w:before="260" w:beforeAutospacing="0" w:after="260" w:afterAutospacing="0" w:line="415" w:lineRule="auto"/>
        <w:ind w:firstLine="2429"/>
        <w:jc w:val="both"/>
        <w:rPr>
          <w:color w:val="auto"/>
          <w:highlight w:val="none"/>
        </w:rPr>
      </w:pPr>
      <w:bookmarkStart w:id="33" w:name="_Toc120614211"/>
      <w:r>
        <w:rPr>
          <w:rFonts w:hint="eastAsia" w:ascii="黑体" w:hAnsi="宋体" w:eastAsia="黑体" w:cs="黑体"/>
          <w:b/>
          <w:color w:val="auto"/>
          <w:sz w:val="44"/>
          <w:szCs w:val="44"/>
          <w:highlight w:val="none"/>
        </w:rPr>
        <w:t xml:space="preserve">第二章  </w:t>
      </w:r>
      <w:bookmarkEnd w:id="33"/>
      <w:bookmarkStart w:id="34" w:name="_Toc20823274"/>
      <w:bookmarkStart w:id="35" w:name="_Toc513029202"/>
      <w:bookmarkStart w:id="36" w:name="_Toc120614213"/>
      <w:bookmarkStart w:id="37" w:name="_Toc16938518"/>
      <w:r>
        <w:rPr>
          <w:rFonts w:hint="eastAsia" w:ascii="黑体" w:hAnsi="宋体" w:eastAsia="黑体" w:cs="黑体"/>
          <w:b/>
          <w:color w:val="auto"/>
          <w:sz w:val="44"/>
          <w:szCs w:val="44"/>
          <w:highlight w:val="none"/>
        </w:rPr>
        <w:t>投标人须知</w:t>
      </w:r>
      <w:bookmarkEnd w:id="34"/>
      <w:bookmarkEnd w:id="35"/>
      <w:bookmarkEnd w:id="36"/>
      <w:bookmarkEnd w:id="37"/>
    </w:p>
    <w:p w14:paraId="2D4D494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38" w:name="_Toc513029203"/>
      <w:bookmarkStart w:id="39" w:name="_Toc120614214"/>
      <w:bookmarkStart w:id="40" w:name="_Toc20823275"/>
      <w:bookmarkStart w:id="41" w:name="_Toc16938519"/>
      <w:r>
        <w:rPr>
          <w:rFonts w:hint="eastAsia" w:ascii="宋体" w:hAnsi="宋体" w:eastAsia="宋体" w:cs="宋体"/>
          <w:b/>
          <w:color w:val="auto"/>
          <w:sz w:val="22"/>
          <w:szCs w:val="22"/>
          <w:highlight w:val="none"/>
        </w:rPr>
        <w:t>一、总则</w:t>
      </w:r>
      <w:bookmarkEnd w:id="38"/>
      <w:bookmarkEnd w:id="39"/>
      <w:bookmarkEnd w:id="40"/>
      <w:bookmarkEnd w:id="41"/>
    </w:p>
    <w:p w14:paraId="48E0581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42" w:name="_Toc16938520"/>
      <w:bookmarkStart w:id="43" w:name="_Toc458694821"/>
      <w:bookmarkStart w:id="44" w:name="_Toc20823276"/>
      <w:bookmarkStart w:id="45" w:name="_Toc513029204"/>
      <w:bookmarkStart w:id="46" w:name="_Hlt16619475"/>
      <w:r>
        <w:rPr>
          <w:rFonts w:hint="eastAsia" w:ascii="宋体" w:hAnsi="宋体" w:eastAsia="宋体" w:cs="宋体"/>
          <w:color w:val="auto"/>
          <w:sz w:val="22"/>
          <w:szCs w:val="22"/>
          <w:highlight w:val="none"/>
        </w:rPr>
        <w:t>1</w:t>
      </w:r>
      <w:bookmarkEnd w:id="42"/>
      <w:r>
        <w:rPr>
          <w:rFonts w:hint="eastAsia" w:ascii="宋体" w:hAnsi="宋体" w:eastAsia="宋体" w:cs="宋体"/>
          <w:color w:val="auto"/>
          <w:sz w:val="22"/>
          <w:szCs w:val="22"/>
          <w:highlight w:val="none"/>
        </w:rPr>
        <w:t>、招标方式</w:t>
      </w:r>
      <w:bookmarkEnd w:id="43"/>
      <w:bookmarkEnd w:id="44"/>
      <w:bookmarkEnd w:id="45"/>
    </w:p>
    <w:p w14:paraId="496D2DA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1.1本次招标采取公开招标方式，本招标文件仅适用于招标公告中所述项目。</w:t>
      </w:r>
    </w:p>
    <w:p w14:paraId="7EFF346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47" w:name="_Toc513029205"/>
      <w:bookmarkStart w:id="48" w:name="_Toc16938521"/>
      <w:bookmarkStart w:id="49" w:name="_Toc20823277"/>
      <w:r>
        <w:rPr>
          <w:rFonts w:hint="eastAsia" w:ascii="宋体" w:hAnsi="宋体" w:eastAsia="宋体" w:cs="宋体"/>
          <w:color w:val="auto"/>
          <w:sz w:val="22"/>
          <w:szCs w:val="22"/>
          <w:highlight w:val="none"/>
        </w:rPr>
        <w:t>2、合格的投标人</w:t>
      </w:r>
      <w:bookmarkEnd w:id="47"/>
      <w:bookmarkEnd w:id="48"/>
      <w:bookmarkEnd w:id="49"/>
    </w:p>
    <w:p w14:paraId="575CB15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2.1满足招标公告中供应商的资格要求的规定。</w:t>
      </w:r>
    </w:p>
    <w:p w14:paraId="053B99F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2.2满足本文件实质性要求和条件的规定。</w:t>
      </w:r>
    </w:p>
    <w:p w14:paraId="4170807A">
      <w:pPr>
        <w:keepNext w:val="0"/>
        <w:keepLines w:val="0"/>
        <w:pageBreakBefore w:val="0"/>
        <w:widowControl w:val="0"/>
        <w:kinsoku/>
        <w:wordWrap w:val="0"/>
        <w:overflowPunct/>
        <w:topLinePunct w:val="0"/>
        <w:autoSpaceDE/>
        <w:autoSpaceDN/>
        <w:bidi w:val="0"/>
        <w:adjustRightInd/>
        <w:snapToGrid/>
        <w:spacing w:line="360" w:lineRule="auto"/>
        <w:ind w:left="0" w:firstLine="440" w:firstLineChars="200"/>
        <w:textAlignment w:val="auto"/>
        <w:rPr>
          <w:rFonts w:hint="eastAsia" w:ascii="方正魏碑_GBK" w:hAnsi="方正魏碑_GBK" w:eastAsia="方正魏碑_GBK" w:cs="方正魏碑_GBK"/>
          <w:color w:val="auto"/>
          <w:sz w:val="22"/>
          <w:szCs w:val="20"/>
        </w:rPr>
      </w:pPr>
      <w:bookmarkStart w:id="50" w:name="_Toc16938522"/>
      <w:bookmarkStart w:id="51" w:name="_Toc513029206"/>
      <w:bookmarkStart w:id="52" w:name="_Toc20823278"/>
      <w:bookmarkStart w:id="53" w:name="_Toc20823279"/>
      <w:bookmarkStart w:id="54" w:name="_Toc513029207"/>
      <w:bookmarkStart w:id="55" w:name="_Toc462564067"/>
      <w:bookmarkStart w:id="56" w:name="_Toc16938523"/>
      <w:r>
        <w:rPr>
          <w:rFonts w:hint="eastAsia" w:ascii="方正魏碑_GBK" w:hAnsi="方正魏碑_GBK" w:eastAsia="方正魏碑_GBK" w:cs="方正魏碑_GBK"/>
          <w:color w:val="auto"/>
          <w:sz w:val="22"/>
          <w:szCs w:val="20"/>
        </w:rPr>
        <w:t>3、适用法律</w:t>
      </w:r>
      <w:bookmarkEnd w:id="50"/>
      <w:bookmarkEnd w:id="51"/>
      <w:bookmarkEnd w:id="52"/>
      <w:r>
        <w:rPr>
          <w:rFonts w:hint="eastAsia" w:ascii="方正魏碑_GBK" w:hAnsi="方正魏碑_GBK" w:eastAsia="方正魏碑_GBK" w:cs="方正魏碑_GBK"/>
          <w:color w:val="auto"/>
          <w:sz w:val="22"/>
          <w:szCs w:val="20"/>
        </w:rPr>
        <w:t>和标准</w:t>
      </w:r>
    </w:p>
    <w:p w14:paraId="60757E9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 本次招标及由此产生的合同受中华人民共和国有关的法律法规制约和保护。</w:t>
      </w:r>
    </w:p>
    <w:p w14:paraId="7F9D1500">
      <w:pPr>
        <w:keepNext w:val="0"/>
        <w:keepLines w:val="0"/>
        <w:pageBreakBefore w:val="0"/>
        <w:widowControl w:val="0"/>
        <w:kinsoku/>
        <w:wordWrap w:val="0"/>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auto"/>
          <w:sz w:val="22"/>
          <w:szCs w:val="22"/>
          <w:highlight w:val="none"/>
        </w:rPr>
      </w:pPr>
      <w:r>
        <w:rPr>
          <w:rFonts w:hint="eastAsia" w:ascii="方正魏碑_GBK" w:hAnsi="方正魏碑_GBK" w:eastAsia="方正魏碑_GBK" w:cs="方正魏碑_GBK"/>
          <w:color w:val="auto"/>
          <w:sz w:val="22"/>
          <w:szCs w:val="20"/>
        </w:rPr>
        <w:t>3.2 在本项目政府采购活动过程中，如果所执行的标准有更新的，按照最新标准执行。</w:t>
      </w:r>
    </w:p>
    <w:p w14:paraId="36533D3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4、投标费用</w:t>
      </w:r>
      <w:bookmarkEnd w:id="53"/>
      <w:bookmarkEnd w:id="54"/>
      <w:bookmarkEnd w:id="55"/>
      <w:bookmarkEnd w:id="56"/>
    </w:p>
    <w:p w14:paraId="23EE288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4.1投标人应自行承担所有与参加投标有关的费用，无论投标过程中的做法和结果如何，</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在任何情况下均无义务和责任承担这些费用。</w:t>
      </w:r>
    </w:p>
    <w:p w14:paraId="1BF18AA5">
      <w:pPr>
        <w:pStyle w:val="13"/>
        <w:keepNext w:val="0"/>
        <w:keepLines w:val="0"/>
        <w:pageBreakBefore w:val="0"/>
        <w:widowControl w:val="0"/>
        <w:kinsoku/>
        <w:wordWrap w:val="0"/>
        <w:overflowPunct/>
        <w:topLinePunct w:val="0"/>
        <w:bidi w:val="0"/>
        <w:spacing w:beforeAutospacing="0" w:afterAutospacing="0"/>
        <w:ind w:firstLine="480"/>
        <w:jc w:val="both"/>
        <w:rPr>
          <w:rFonts w:hint="eastAsia" w:ascii="宋体" w:hAnsi="宋体" w:eastAsia="宋体" w:cs="宋体"/>
          <w:color w:val="auto"/>
          <w:sz w:val="22"/>
          <w:szCs w:val="22"/>
        </w:rPr>
      </w:pPr>
      <w:r>
        <w:rPr>
          <w:rFonts w:hint="eastAsia" w:ascii="宋体" w:hAnsi="宋体" w:eastAsia="宋体" w:cs="宋体"/>
          <w:color w:val="auto"/>
          <w:sz w:val="22"/>
          <w:szCs w:val="22"/>
        </w:rPr>
        <w:t>4.2本次招标采购中心和采购人不收取标书工本费与中标服务费。</w:t>
      </w:r>
    </w:p>
    <w:p w14:paraId="3170A5D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5、</w:t>
      </w:r>
      <w:r>
        <w:rPr>
          <w:rFonts w:hint="eastAsia" w:ascii="宋体" w:hAnsi="宋体" w:eastAsia="宋体" w:cs="宋体"/>
          <w:color w:val="auto"/>
          <w:sz w:val="22"/>
          <w:szCs w:val="22"/>
          <w:highlight w:val="none"/>
        </w:rPr>
        <w:t>招标文件的约束力</w:t>
      </w:r>
    </w:p>
    <w:p w14:paraId="34C8BA9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5.1投标人一旦参加本项目采购活动，即被认为接受了本招标文件的规定和约束。</w:t>
      </w:r>
    </w:p>
    <w:p w14:paraId="43832C2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57" w:name="_Toc120614215"/>
      <w:bookmarkStart w:id="58" w:name="_Toc20823281"/>
      <w:bookmarkStart w:id="59" w:name="_Toc513029209"/>
      <w:bookmarkStart w:id="60" w:name="_Toc16938525"/>
      <w:r>
        <w:rPr>
          <w:rFonts w:hint="eastAsia" w:ascii="宋体" w:hAnsi="宋体" w:eastAsia="宋体" w:cs="宋体"/>
          <w:b/>
          <w:color w:val="auto"/>
          <w:sz w:val="22"/>
          <w:szCs w:val="22"/>
          <w:highlight w:val="none"/>
        </w:rPr>
        <w:t>二、招标文件</w:t>
      </w:r>
      <w:bookmarkEnd w:id="57"/>
      <w:bookmarkEnd w:id="58"/>
      <w:bookmarkEnd w:id="59"/>
      <w:bookmarkEnd w:id="60"/>
    </w:p>
    <w:p w14:paraId="68ED197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61" w:name="_Toc513029210"/>
      <w:bookmarkStart w:id="62" w:name="_Toc20823282"/>
      <w:bookmarkStart w:id="63" w:name="_Toc16938526"/>
      <w:r>
        <w:rPr>
          <w:rFonts w:hint="eastAsia" w:ascii="宋体" w:hAnsi="宋体" w:eastAsia="宋体" w:cs="宋体"/>
          <w:color w:val="auto"/>
          <w:sz w:val="22"/>
          <w:szCs w:val="22"/>
          <w:highlight w:val="none"/>
        </w:rPr>
        <w:t>6、招标文件构成</w:t>
      </w:r>
      <w:bookmarkEnd w:id="61"/>
      <w:bookmarkEnd w:id="62"/>
      <w:bookmarkEnd w:id="63"/>
    </w:p>
    <w:p w14:paraId="3A8430B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6.1 招标文件由以下部分组成：</w:t>
      </w:r>
    </w:p>
    <w:p w14:paraId="7CAD8D0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招标公告</w:t>
      </w:r>
    </w:p>
    <w:p w14:paraId="65867A5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（2）投标人须知</w:t>
      </w:r>
    </w:p>
    <w:p w14:paraId="5794307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（3）合同文本</w:t>
      </w:r>
    </w:p>
    <w:p w14:paraId="2179FCE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（4）采购需求</w:t>
      </w:r>
    </w:p>
    <w:p w14:paraId="552F510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（5）评标方法与评标标准</w:t>
      </w:r>
    </w:p>
    <w:p w14:paraId="35C39FD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（6）投标文件格式</w:t>
      </w:r>
    </w:p>
    <w:p w14:paraId="4BF7395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请仔细检查招标文件是否齐全，如有缺漏请立即与</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联系解决。</w:t>
      </w:r>
    </w:p>
    <w:p w14:paraId="6CE2222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64" w:name="_Toc513029211"/>
      <w:bookmarkStart w:id="65" w:name="_Toc20823283"/>
      <w:bookmarkStart w:id="66" w:name="_Toc462564070"/>
      <w:bookmarkStart w:id="67" w:name="_Toc16938527"/>
      <w:r>
        <w:rPr>
          <w:rFonts w:hint="eastAsia" w:ascii="宋体" w:hAnsi="宋体" w:eastAsia="宋体" w:cs="宋体"/>
          <w:color w:val="auto"/>
          <w:sz w:val="22"/>
          <w:szCs w:val="22"/>
          <w:highlight w:val="none"/>
        </w:rPr>
        <w:t>7、招标文件的澄清</w:t>
      </w:r>
      <w:bookmarkEnd w:id="64"/>
      <w:bookmarkEnd w:id="65"/>
      <w:bookmarkEnd w:id="66"/>
      <w:bookmarkEnd w:id="67"/>
    </w:p>
    <w:p w14:paraId="51C9CA8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7.1任何要求对招标文件进行澄清的投标人，应在投标截止期</w:t>
      </w:r>
      <w:r>
        <w:rPr>
          <w:rFonts w:hint="eastAsia" w:ascii="宋体" w:hAnsi="宋体" w:eastAsia="宋体" w:cs="宋体"/>
          <w:b/>
          <w:color w:val="auto"/>
          <w:sz w:val="22"/>
          <w:szCs w:val="22"/>
          <w:highlight w:val="none"/>
        </w:rPr>
        <w:t>十日</w:t>
      </w:r>
      <w:r>
        <w:rPr>
          <w:rFonts w:hint="eastAsia" w:ascii="宋体" w:hAnsi="宋体" w:eastAsia="宋体" w:cs="宋体"/>
          <w:color w:val="auto"/>
          <w:sz w:val="22"/>
          <w:szCs w:val="22"/>
          <w:highlight w:val="none"/>
        </w:rPr>
        <w:t>前按招标公告中的通讯地址，以书面形式通知</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w:t>
      </w:r>
    </w:p>
    <w:p w14:paraId="64D93D1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68" w:name="_Toc20823284"/>
      <w:bookmarkStart w:id="69" w:name="_Toc513029212"/>
      <w:bookmarkStart w:id="70" w:name="_Toc462564071"/>
      <w:bookmarkStart w:id="71" w:name="_Toc16938528"/>
      <w:r>
        <w:rPr>
          <w:rFonts w:hint="eastAsia" w:ascii="宋体" w:hAnsi="宋体" w:eastAsia="宋体" w:cs="宋体"/>
          <w:color w:val="auto"/>
          <w:sz w:val="22"/>
          <w:szCs w:val="22"/>
          <w:highlight w:val="none"/>
        </w:rPr>
        <w:t>8、招标文件的修改</w:t>
      </w:r>
      <w:bookmarkEnd w:id="68"/>
      <w:bookmarkEnd w:id="69"/>
      <w:bookmarkEnd w:id="70"/>
      <w:bookmarkEnd w:id="71"/>
    </w:p>
    <w:p w14:paraId="79F7581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8.1在投标截止时间前，</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可以对招标文件进行修改。</w:t>
      </w:r>
    </w:p>
    <w:p w14:paraId="6C5CE64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8.2</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有权按照法定的要求推迟投标截止日期和开标日期。</w:t>
      </w:r>
    </w:p>
    <w:p w14:paraId="47FD8A9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8.3招标文件的修改将在</w:t>
      </w:r>
      <w:r>
        <w:rPr>
          <w:rFonts w:hint="eastAsia" w:ascii="宋体" w:hAnsi="宋体" w:eastAsia="宋体" w:cs="宋体"/>
          <w:color w:val="auto"/>
          <w:kern w:val="0"/>
          <w:sz w:val="22"/>
          <w:szCs w:val="22"/>
          <w:highlight w:val="none"/>
          <w:lang w:val="en-US" w:eastAsia="zh-CN" w:bidi="ar-SA"/>
        </w:rPr>
        <w:t>中国政府采购网</w:t>
      </w:r>
      <w:r>
        <w:rPr>
          <w:rFonts w:hint="eastAsia" w:ascii="宋体" w:hAnsi="宋体" w:eastAsia="宋体" w:cs="宋体"/>
          <w:i w:val="0"/>
          <w:iCs w:val="0"/>
          <w:caps w:val="0"/>
          <w:color w:val="auto"/>
          <w:spacing w:val="0"/>
          <w:sz w:val="22"/>
          <w:szCs w:val="22"/>
          <w:highlight w:val="none"/>
          <w:shd w:val="clear" w:fill="FFFFFF"/>
          <w:lang w:val="en-US" w:eastAsia="zh-CN"/>
        </w:rPr>
        <w:t>、</w:t>
      </w:r>
      <w:r>
        <w:rPr>
          <w:rFonts w:hint="eastAsia" w:ascii="宋体" w:hAnsi="宋体" w:eastAsia="宋体" w:cs="宋体"/>
          <w:color w:val="auto"/>
          <w:sz w:val="22"/>
          <w:szCs w:val="22"/>
          <w:highlight w:val="none"/>
        </w:rPr>
        <w:t>江苏政府采购网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盐城市政府采购网公布，补充文件将作为招标文件的组成部分，并对投标人具有约束力。</w:t>
      </w:r>
    </w:p>
    <w:p w14:paraId="00278C9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72" w:name="_Toc20823285"/>
      <w:bookmarkStart w:id="73" w:name="_Toc462564072"/>
      <w:bookmarkStart w:id="74" w:name="_Toc120614216"/>
      <w:bookmarkStart w:id="75" w:name="_Toc16938529"/>
      <w:bookmarkStart w:id="76" w:name="_Toc513029213"/>
      <w:r>
        <w:rPr>
          <w:rFonts w:hint="eastAsia" w:ascii="宋体" w:hAnsi="宋体" w:eastAsia="宋体" w:cs="宋体"/>
          <w:b/>
          <w:color w:val="auto"/>
          <w:sz w:val="22"/>
          <w:szCs w:val="22"/>
          <w:highlight w:val="none"/>
        </w:rPr>
        <w:t>三、投标文件的编制</w:t>
      </w:r>
      <w:bookmarkEnd w:id="72"/>
      <w:bookmarkEnd w:id="73"/>
      <w:bookmarkEnd w:id="74"/>
      <w:bookmarkEnd w:id="75"/>
      <w:bookmarkEnd w:id="76"/>
    </w:p>
    <w:p w14:paraId="3958D52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77" w:name="_Toc16938530"/>
      <w:bookmarkStart w:id="78" w:name="_Toc462564073"/>
      <w:bookmarkStart w:id="79" w:name="_Toc513029214"/>
      <w:bookmarkStart w:id="80" w:name="_Toc20823286"/>
      <w:r>
        <w:rPr>
          <w:rFonts w:hint="eastAsia" w:ascii="宋体" w:hAnsi="宋体" w:eastAsia="宋体" w:cs="宋体"/>
          <w:color w:val="auto"/>
          <w:sz w:val="22"/>
          <w:szCs w:val="22"/>
          <w:highlight w:val="none"/>
        </w:rPr>
        <w:t>9、投标文件的语言及度量衡单位</w:t>
      </w:r>
      <w:bookmarkEnd w:id="77"/>
      <w:bookmarkEnd w:id="78"/>
      <w:bookmarkEnd w:id="79"/>
      <w:bookmarkEnd w:id="80"/>
    </w:p>
    <w:p w14:paraId="4F02069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9.1投标人提交的投标文件以及投标人与</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就有关投标的所有来往通知、函件和文件均应使用</w:t>
      </w:r>
      <w:r>
        <w:rPr>
          <w:rFonts w:hint="eastAsia" w:ascii="宋体" w:hAnsi="宋体" w:eastAsia="宋体" w:cs="宋体"/>
          <w:b/>
          <w:color w:val="auto"/>
          <w:sz w:val="22"/>
          <w:szCs w:val="22"/>
          <w:highlight w:val="none"/>
        </w:rPr>
        <w:t>简体中文</w:t>
      </w:r>
      <w:r>
        <w:rPr>
          <w:rFonts w:hint="eastAsia" w:ascii="宋体" w:hAnsi="宋体" w:eastAsia="宋体" w:cs="宋体"/>
          <w:color w:val="auto"/>
          <w:sz w:val="22"/>
          <w:szCs w:val="22"/>
          <w:highlight w:val="none"/>
        </w:rPr>
        <w:t>。</w:t>
      </w:r>
    </w:p>
    <w:p w14:paraId="4BFB97B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9.2除技术性能另有规定外，投标文件所使用的度量衡单位，均须采用国家法定计量单位。</w:t>
      </w:r>
    </w:p>
    <w:p w14:paraId="5A005DB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81" w:name="_Toc20823287"/>
      <w:bookmarkStart w:id="82" w:name="_Toc513029215"/>
      <w:bookmarkStart w:id="83" w:name="_Toc462564074"/>
      <w:bookmarkStart w:id="84" w:name="_Toc16938531"/>
      <w:r>
        <w:rPr>
          <w:rFonts w:hint="eastAsia" w:ascii="宋体" w:hAnsi="宋体" w:eastAsia="宋体" w:cs="宋体"/>
          <w:color w:val="auto"/>
          <w:sz w:val="22"/>
          <w:szCs w:val="22"/>
          <w:highlight w:val="none"/>
        </w:rPr>
        <w:t>10、投标文件构成</w:t>
      </w:r>
      <w:bookmarkEnd w:id="81"/>
      <w:bookmarkEnd w:id="82"/>
      <w:bookmarkEnd w:id="83"/>
      <w:bookmarkEnd w:id="84"/>
    </w:p>
    <w:p w14:paraId="2CDE719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10.2如标书制作工具中格式和内容与</w:t>
      </w:r>
      <w:r>
        <w:rPr>
          <w:rFonts w:hint="eastAsia" w:ascii="宋体" w:hAnsi="宋体" w:eastAsia="宋体" w:cs="宋体"/>
          <w:i w:val="0"/>
          <w:iCs w:val="0"/>
          <w:caps w:val="0"/>
          <w:color w:val="auto"/>
          <w:spacing w:val="0"/>
          <w:sz w:val="22"/>
          <w:szCs w:val="22"/>
          <w:highlight w:val="none"/>
          <w:shd w:val="clear" w:fill="FFFFFF"/>
          <w:lang w:val="en-US" w:eastAsia="zh-CN"/>
        </w:rPr>
        <w:t>“</w:t>
      </w:r>
      <w:r>
        <w:rPr>
          <w:rFonts w:hint="eastAsia" w:ascii="宋体" w:hAnsi="宋体" w:eastAsia="宋体" w:cs="宋体"/>
          <w:color w:val="auto"/>
          <w:kern w:val="0"/>
          <w:sz w:val="22"/>
          <w:szCs w:val="22"/>
          <w:highlight w:val="none"/>
          <w:lang w:val="en-US" w:eastAsia="zh-CN" w:bidi="ar-SA"/>
        </w:rPr>
        <w:t>中国政府采购网”“</w:t>
      </w:r>
      <w:r>
        <w:rPr>
          <w:rFonts w:hint="eastAsia" w:ascii="宋体" w:hAnsi="宋体" w:eastAsia="宋体" w:cs="宋体"/>
          <w:color w:val="auto"/>
          <w:sz w:val="22"/>
          <w:szCs w:val="22"/>
          <w:highlight w:val="none"/>
        </w:rPr>
        <w:t>江苏政府采购网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盐城市政府采购网”发布的招标文件不一致，请以</w:t>
      </w:r>
      <w:r>
        <w:rPr>
          <w:rFonts w:hint="eastAsia" w:ascii="宋体" w:hAnsi="宋体" w:eastAsia="宋体" w:cs="宋体"/>
          <w:i w:val="0"/>
          <w:iCs w:val="0"/>
          <w:caps w:val="0"/>
          <w:color w:val="auto"/>
          <w:spacing w:val="0"/>
          <w:sz w:val="22"/>
          <w:szCs w:val="22"/>
          <w:highlight w:val="none"/>
          <w:shd w:val="clear" w:fill="FFFFFF"/>
          <w:lang w:val="en-US" w:eastAsia="zh-CN"/>
        </w:rPr>
        <w:t>“</w:t>
      </w:r>
      <w:r>
        <w:rPr>
          <w:rFonts w:hint="eastAsia" w:ascii="宋体" w:hAnsi="宋体" w:eastAsia="宋体" w:cs="宋体"/>
          <w:color w:val="auto"/>
          <w:kern w:val="0"/>
          <w:sz w:val="22"/>
          <w:szCs w:val="22"/>
          <w:highlight w:val="none"/>
          <w:lang w:val="en-US" w:eastAsia="zh-CN" w:bidi="ar-SA"/>
        </w:rPr>
        <w:t>中国政府采购网”“</w:t>
      </w:r>
      <w:r>
        <w:rPr>
          <w:rFonts w:hint="eastAsia" w:ascii="宋体" w:hAnsi="宋体" w:eastAsia="宋体" w:cs="宋体"/>
          <w:color w:val="auto"/>
          <w:sz w:val="22"/>
          <w:szCs w:val="22"/>
          <w:highlight w:val="none"/>
        </w:rPr>
        <w:t>江苏政府采购网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盐城市政府采购网”发布的招标文件为准。</w:t>
      </w:r>
    </w:p>
    <w:p w14:paraId="58AAE2F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85" w:name="_Toc49090509"/>
      <w:bookmarkStart w:id="86" w:name="_Toc513029216"/>
      <w:bookmarkStart w:id="87" w:name="_Toc513029219"/>
      <w:bookmarkStart w:id="88" w:name="_Toc49090507"/>
      <w:bookmarkStart w:id="89" w:name="_Toc14577357"/>
      <w:bookmarkStart w:id="90" w:name="_Toc14577354"/>
      <w:bookmarkStart w:id="91" w:name="_Hlt26954838"/>
      <w:bookmarkStart w:id="92" w:name="_Hlt26670360"/>
      <w:bookmarkStart w:id="93" w:name="_Hlt26668975"/>
      <w:r>
        <w:rPr>
          <w:rFonts w:hint="eastAsia" w:ascii="宋体" w:hAnsi="宋体" w:eastAsia="宋体" w:cs="宋体"/>
          <w:color w:val="auto"/>
          <w:sz w:val="22"/>
          <w:szCs w:val="22"/>
          <w:highlight w:val="none"/>
        </w:rPr>
        <w:t>11、证明投标人及投标标的符合招标文件规定的文件</w:t>
      </w:r>
      <w:bookmarkEnd w:id="85"/>
      <w:bookmarkEnd w:id="86"/>
      <w:bookmarkEnd w:id="87"/>
      <w:bookmarkEnd w:id="88"/>
      <w:bookmarkEnd w:id="89"/>
      <w:bookmarkEnd w:id="90"/>
    </w:p>
    <w:p w14:paraId="7BCF26D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94" w:name="_Toc49090508"/>
      <w:bookmarkStart w:id="95" w:name="_Toc14577355"/>
      <w:r>
        <w:rPr>
          <w:rFonts w:hint="eastAsia" w:ascii="宋体" w:hAnsi="宋体" w:eastAsia="宋体" w:cs="宋体"/>
          <w:color w:val="auto"/>
          <w:sz w:val="22"/>
          <w:szCs w:val="22"/>
          <w:highlight w:val="none"/>
        </w:rPr>
        <w:t>11.1投标人应按照法律、法规、规章和规范性文件以及招标文件要求提交证明文件，证明其及投标标的符合招标文件规定。</w:t>
      </w:r>
      <w:bookmarkEnd w:id="94"/>
      <w:bookmarkEnd w:id="95"/>
    </w:p>
    <w:p w14:paraId="68EBD42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11.2招标文件对证明文件无明确形式要求的，证明文件可以以文字资料、图纸和数据等形式提交。</w:t>
      </w:r>
    </w:p>
    <w:p w14:paraId="7C62A90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12、投标分项报价</w:t>
      </w:r>
      <w:bookmarkStart w:id="96" w:name="_Hlt26670373"/>
      <w:r>
        <w:rPr>
          <w:rFonts w:hint="eastAsia" w:ascii="宋体" w:hAnsi="宋体" w:eastAsia="宋体" w:cs="宋体"/>
          <w:color w:val="auto"/>
          <w:sz w:val="22"/>
          <w:szCs w:val="22"/>
          <w:highlight w:val="none"/>
        </w:rPr>
        <w:t>表</w:t>
      </w:r>
    </w:p>
    <w:p w14:paraId="54CA8B6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12.1投</w:t>
      </w:r>
      <w:bookmarkStart w:id="97" w:name="_Hlt26954840"/>
      <w:r>
        <w:rPr>
          <w:rFonts w:hint="eastAsia" w:ascii="宋体" w:hAnsi="宋体" w:eastAsia="宋体" w:cs="宋体"/>
          <w:color w:val="auto"/>
          <w:sz w:val="22"/>
          <w:szCs w:val="22"/>
          <w:highlight w:val="none"/>
        </w:rPr>
        <w:t>标人应按照招标文件规定格式填报投标分项报价表</w:t>
      </w:r>
      <w:bookmarkStart w:id="98" w:name="_Hlt26670399"/>
      <w:r>
        <w:rPr>
          <w:rFonts w:hint="eastAsia" w:ascii="宋体" w:hAnsi="宋体" w:eastAsia="宋体" w:cs="宋体"/>
          <w:color w:val="auto"/>
          <w:sz w:val="22"/>
          <w:szCs w:val="22"/>
          <w:highlight w:val="none"/>
        </w:rPr>
        <w:t>。</w:t>
      </w:r>
    </w:p>
    <w:p w14:paraId="25F1AFE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12.2投标货币。投标文件中的单价和</w:t>
      </w:r>
      <w:r>
        <w:rPr>
          <w:rFonts w:hint="eastAsia" w:ascii="宋体" w:hAnsi="宋体" w:eastAsia="宋体" w:cs="宋体"/>
          <w:color w:val="000000"/>
          <w:sz w:val="22"/>
          <w:szCs w:val="22"/>
          <w:highlight w:val="none"/>
        </w:rPr>
        <w:t>总价无特殊规定的采用人民币报价，以元为单位标注。招标文件中另有规定的按规定执行。</w:t>
      </w:r>
    </w:p>
    <w:p w14:paraId="3E71C8A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bookmarkStart w:id="99" w:name="_Hlt26954848"/>
      <w:bookmarkStart w:id="100" w:name="_Hlt26954846"/>
      <w:bookmarkStart w:id="101" w:name="_Hlt26954842"/>
      <w:bookmarkStart w:id="102" w:name="_Hlt26668983"/>
      <w:bookmarkStart w:id="103" w:name="_Hlt26670403"/>
      <w:bookmarkStart w:id="104" w:name="_Hlt26670425"/>
      <w:bookmarkStart w:id="105" w:name="_Hlt26670486"/>
      <w:bookmarkStart w:id="106" w:name="_Hlt26954731"/>
      <w:bookmarkStart w:id="107" w:name="_Hlt26954844"/>
      <w:bookmarkStart w:id="108" w:name="_Hlt26670482"/>
      <w:r>
        <w:rPr>
          <w:rFonts w:hint="eastAsia" w:ascii="宋体" w:hAnsi="宋体" w:eastAsia="宋体" w:cs="宋体"/>
          <w:color w:val="000000"/>
          <w:sz w:val="22"/>
          <w:szCs w:val="22"/>
          <w:highlight w:val="none"/>
        </w:rPr>
        <w:t>13、技术要求响应及偏离表、商务要求响应及偏离表</w:t>
      </w:r>
    </w:p>
    <w:p w14:paraId="7633F01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13.1投标人需对招标文件中的技术要求与商务要求逐项作出响应或偏离，并说明原因。</w:t>
      </w:r>
    </w:p>
    <w:p w14:paraId="39ED4825">
      <w:pPr>
        <w:pStyle w:val="13"/>
        <w:keepNext w:val="0"/>
        <w:keepLines w:val="0"/>
        <w:pageBreakBefore w:val="0"/>
        <w:widowControl w:val="0"/>
        <w:tabs>
          <w:tab w:val="left" w:pos="1036"/>
        </w:tabs>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13.2投标人可在投标文件中提供认为需要的其他技术文件或说明。</w:t>
      </w:r>
    </w:p>
    <w:p w14:paraId="3BCCF77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09" w:name="_Toc49090510"/>
      <w:bookmarkStart w:id="110" w:name="_Toc14577359"/>
      <w:r>
        <w:rPr>
          <w:rFonts w:hint="eastAsia" w:ascii="宋体" w:hAnsi="宋体" w:eastAsia="宋体" w:cs="宋体"/>
          <w:color w:val="auto"/>
          <w:sz w:val="22"/>
          <w:szCs w:val="22"/>
          <w:highlight w:val="none"/>
        </w:rPr>
        <w:t>14、投标函和开标一览表</w:t>
      </w:r>
      <w:bookmarkEnd w:id="109"/>
      <w:bookmarkEnd w:id="110"/>
    </w:p>
    <w:p w14:paraId="1BEB9EC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14.1投标人应按照招标文件中提供的格式完整、正确填写投标函、开标一览表。</w:t>
      </w:r>
    </w:p>
    <w:p w14:paraId="63A6187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2"/>
          <w:szCs w:val="22"/>
          <w:highlight w:val="none"/>
        </w:rPr>
        <w:t>。</w:t>
      </w:r>
    </w:p>
    <w:p w14:paraId="53CB025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11" w:name="_Toc14577360"/>
      <w:bookmarkStart w:id="112" w:name="_Toc49090511"/>
      <w:bookmarkStart w:id="113" w:name="_Hlt26954734"/>
      <w:bookmarkStart w:id="114" w:name="_Hlt26954850"/>
      <w:bookmarkStart w:id="115" w:name="_Hlt26670489"/>
      <w:r>
        <w:rPr>
          <w:rFonts w:hint="eastAsia" w:ascii="宋体" w:hAnsi="宋体" w:eastAsia="宋体" w:cs="宋体"/>
          <w:color w:val="auto"/>
          <w:sz w:val="22"/>
          <w:szCs w:val="22"/>
          <w:highlight w:val="none"/>
        </w:rPr>
        <w:t>15、投标有效期</w:t>
      </w:r>
      <w:bookmarkEnd w:id="111"/>
      <w:bookmarkEnd w:id="112"/>
    </w:p>
    <w:p w14:paraId="6CB8DD6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15.1投标有效期为</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规定的开标之日后</w:t>
      </w:r>
      <w:r>
        <w:rPr>
          <w:rFonts w:hint="eastAsia" w:ascii="宋体" w:hAnsi="宋体" w:eastAsia="宋体" w:cs="宋体"/>
          <w:b/>
          <w:color w:val="auto"/>
          <w:sz w:val="22"/>
          <w:szCs w:val="22"/>
          <w:highlight w:val="none"/>
          <w:u w:val="single"/>
          <w:lang w:val="en-US" w:eastAsia="zh-CN"/>
        </w:rPr>
        <w:t>九</w:t>
      </w:r>
      <w:r>
        <w:rPr>
          <w:rFonts w:hint="eastAsia" w:ascii="宋体" w:hAnsi="宋体" w:eastAsia="宋体" w:cs="宋体"/>
          <w:b/>
          <w:color w:val="auto"/>
          <w:sz w:val="22"/>
          <w:szCs w:val="22"/>
          <w:highlight w:val="none"/>
          <w:u w:val="single"/>
        </w:rPr>
        <w:t>十（</w:t>
      </w:r>
      <w:r>
        <w:rPr>
          <w:rFonts w:hint="eastAsia" w:ascii="宋体" w:hAnsi="宋体" w:eastAsia="宋体" w:cs="宋体"/>
          <w:b/>
          <w:color w:val="auto"/>
          <w:sz w:val="22"/>
          <w:szCs w:val="22"/>
          <w:highlight w:val="none"/>
          <w:u w:val="single"/>
          <w:lang w:val="en-US" w:eastAsia="zh-CN"/>
        </w:rPr>
        <w:t>9</w:t>
      </w:r>
      <w:r>
        <w:rPr>
          <w:rFonts w:hint="eastAsia" w:ascii="宋体" w:hAnsi="宋体" w:eastAsia="宋体" w:cs="宋体"/>
          <w:b/>
          <w:color w:val="auto"/>
          <w:sz w:val="22"/>
          <w:szCs w:val="22"/>
          <w:highlight w:val="none"/>
          <w:u w:val="single"/>
        </w:rPr>
        <w:t>0）天</w:t>
      </w:r>
      <w:r>
        <w:rPr>
          <w:rFonts w:hint="eastAsia" w:ascii="宋体" w:hAnsi="宋体" w:eastAsia="宋体" w:cs="宋体"/>
          <w:color w:val="auto"/>
          <w:sz w:val="22"/>
          <w:szCs w:val="22"/>
          <w:highlight w:val="none"/>
        </w:rPr>
        <w:t>。投标有效期比规定短的将被视为未实质性响应招标文件而予以拒绝。</w:t>
      </w:r>
    </w:p>
    <w:p w14:paraId="0A08692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16、投标有效期的延长</w:t>
      </w:r>
    </w:p>
    <w:p w14:paraId="580C2F5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16.1在特殊情况下，</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的这一要求而放弃投标。同意延长投标有效期的投标人既不能要求也不允许修改其投标文件，同时受投标有效期约束的所有权利与义务均延长至新的有效期。</w:t>
      </w:r>
    </w:p>
    <w:p w14:paraId="1E06A6B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116" w:name="_Toc20823296"/>
      <w:bookmarkStart w:id="117" w:name="_Toc16938540"/>
      <w:bookmarkStart w:id="118" w:name="_Toc513029224"/>
      <w:bookmarkStart w:id="119" w:name="_Toc120614217"/>
      <w:bookmarkStart w:id="120" w:name="_Hlt26954739"/>
      <w:bookmarkStart w:id="121" w:name="_Hlt26954852"/>
      <w:r>
        <w:rPr>
          <w:rFonts w:hint="eastAsia" w:ascii="宋体" w:hAnsi="宋体" w:eastAsia="宋体" w:cs="宋体"/>
          <w:b/>
          <w:color w:val="auto"/>
          <w:sz w:val="22"/>
          <w:szCs w:val="22"/>
          <w:highlight w:val="none"/>
        </w:rPr>
        <w:t>四、投标文件的递交</w:t>
      </w:r>
      <w:bookmarkEnd w:id="116"/>
      <w:bookmarkEnd w:id="117"/>
      <w:bookmarkEnd w:id="118"/>
      <w:bookmarkEnd w:id="119"/>
    </w:p>
    <w:p w14:paraId="4C633EA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22" w:name="_Toc20823297"/>
      <w:bookmarkStart w:id="123" w:name="_Toc16938541"/>
      <w:bookmarkStart w:id="124" w:name="_Toc513029225"/>
      <w:bookmarkStart w:id="125" w:name="_Toc462564084"/>
      <w:r>
        <w:rPr>
          <w:rFonts w:hint="eastAsia" w:ascii="宋体" w:hAnsi="宋体" w:eastAsia="宋体" w:cs="宋体"/>
          <w:color w:val="auto"/>
          <w:sz w:val="22"/>
          <w:szCs w:val="22"/>
          <w:highlight w:val="none"/>
        </w:rPr>
        <w:t>17、投标文件</w:t>
      </w:r>
      <w:bookmarkEnd w:id="122"/>
      <w:bookmarkEnd w:id="123"/>
      <w:bookmarkEnd w:id="124"/>
      <w:bookmarkEnd w:id="125"/>
      <w:r>
        <w:rPr>
          <w:rFonts w:hint="eastAsia" w:ascii="宋体" w:hAnsi="宋体" w:eastAsia="宋体" w:cs="宋体"/>
          <w:color w:val="auto"/>
          <w:sz w:val="22"/>
          <w:szCs w:val="22"/>
          <w:highlight w:val="none"/>
        </w:rPr>
        <w:t>的递交</w:t>
      </w:r>
    </w:p>
    <w:p w14:paraId="26BFC67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17.1 电子投标文件的递交</w:t>
      </w:r>
    </w:p>
    <w:p w14:paraId="65F6134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投标人应当按照《操作手册》规定，在投标截止时间前制作并上传电子投标文件。</w:t>
      </w:r>
      <w:bookmarkStart w:id="126" w:name="_Toc16938542"/>
      <w:bookmarkEnd w:id="126"/>
      <w:bookmarkStart w:id="127" w:name="_Toc20823298"/>
      <w:bookmarkEnd w:id="127"/>
      <w:bookmarkStart w:id="128" w:name="_Toc513029226"/>
    </w:p>
    <w:p w14:paraId="4F21A69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18、投标截止时间</w:t>
      </w:r>
    </w:p>
    <w:p w14:paraId="674070D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b/>
          <w:bCs/>
          <w:color w:val="auto"/>
          <w:sz w:val="22"/>
          <w:szCs w:val="22"/>
          <w:highlight w:val="none"/>
        </w:rPr>
      </w:pPr>
      <w:r>
        <w:rPr>
          <w:rFonts w:hint="eastAsia" w:ascii="宋体" w:hAnsi="宋体" w:eastAsia="宋体" w:cs="宋体"/>
          <w:b/>
          <w:bCs/>
          <w:i/>
          <w:color w:val="auto"/>
          <w:sz w:val="22"/>
          <w:szCs w:val="22"/>
          <w:highlight w:val="none"/>
          <w:u w:val="single"/>
        </w:rPr>
        <w:t>18.1投标人上传电子投标文件的时间不得迟于招标公告中规定的投标截止时间。</w:t>
      </w:r>
    </w:p>
    <w:p w14:paraId="237BBC0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18.2</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可以按照规定，通过修改招标文件酌情延长投标截止时间，在此情况下，投标人的所有权利和义务以及投标人受制的截止时间均应以延长后新的截止时间为准。</w:t>
      </w:r>
    </w:p>
    <w:p w14:paraId="3AECB74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29" w:name="_Toc513029227"/>
      <w:bookmarkStart w:id="130" w:name="_Toc20823299"/>
      <w:bookmarkStart w:id="131" w:name="_Toc16938543"/>
      <w:r>
        <w:rPr>
          <w:rFonts w:hint="eastAsia" w:ascii="宋体" w:hAnsi="宋体" w:eastAsia="宋体" w:cs="宋体"/>
          <w:color w:val="auto"/>
          <w:sz w:val="22"/>
          <w:szCs w:val="22"/>
          <w:highlight w:val="none"/>
        </w:rPr>
        <w:t>19、投标文件</w:t>
      </w:r>
      <w:bookmarkEnd w:id="129"/>
      <w:bookmarkEnd w:id="130"/>
      <w:bookmarkEnd w:id="131"/>
      <w:r>
        <w:rPr>
          <w:rFonts w:hint="eastAsia" w:ascii="宋体" w:hAnsi="宋体" w:eastAsia="宋体" w:cs="宋体"/>
          <w:color w:val="auto"/>
          <w:sz w:val="22"/>
          <w:szCs w:val="22"/>
          <w:highlight w:val="none"/>
        </w:rPr>
        <w:t>的拒收</w:t>
      </w:r>
    </w:p>
    <w:p w14:paraId="2B48FBB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19.1</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拒绝接收在其规定的投标截止时间后上传的任何投标文件。</w:t>
      </w:r>
    </w:p>
    <w:p w14:paraId="6520AEC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32" w:name="_Toc16938544"/>
      <w:bookmarkStart w:id="133" w:name="_Toc20823300"/>
      <w:bookmarkStart w:id="134" w:name="_Toc513029228"/>
      <w:r>
        <w:rPr>
          <w:rFonts w:hint="eastAsia" w:ascii="宋体" w:hAnsi="宋体" w:eastAsia="宋体" w:cs="宋体"/>
          <w:color w:val="auto"/>
          <w:sz w:val="22"/>
          <w:szCs w:val="22"/>
          <w:highlight w:val="none"/>
        </w:rPr>
        <w:t>20、投标文件的撤回和修改</w:t>
      </w:r>
      <w:bookmarkEnd w:id="132"/>
      <w:bookmarkEnd w:id="133"/>
      <w:bookmarkEnd w:id="134"/>
    </w:p>
    <w:p w14:paraId="2C6476A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20.1投标文件的撤回</w:t>
      </w:r>
    </w:p>
    <w:p w14:paraId="72EBA9C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.1.1电子投标文件的撤回</w:t>
      </w:r>
    </w:p>
    <w:p w14:paraId="26CBD29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投标人可在投标截止时间前，撤回其电子投标文件，具体操作方法见《操作手册》。</w:t>
      </w:r>
    </w:p>
    <w:p w14:paraId="3ED5148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.1.2投标人撤回电子投标文件，则认为其不再参与本项目投标活动。</w:t>
      </w:r>
    </w:p>
    <w:p w14:paraId="090FC03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20.2 投标文件的修改</w:t>
      </w:r>
    </w:p>
    <w:p w14:paraId="053F4E4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20.2.1投标人可在投标截止时间前，对其电子投标文件进行修改，具体操作方法见《操作手册》。</w:t>
      </w:r>
    </w:p>
    <w:p w14:paraId="7AABAAF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20.2.2在投标截止时间之后，投标人不得对其电子投标文件作任何修改。</w:t>
      </w:r>
    </w:p>
    <w:p w14:paraId="1BEFAE9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20.3在投标截止时间至招标文件中规定的投标有效期满之间的这段时间内，投标人不得撤回其投标。</w:t>
      </w:r>
    </w:p>
    <w:p w14:paraId="1BB2362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135" w:name="_Toc513029229"/>
      <w:bookmarkStart w:id="136" w:name="_Toc16938545"/>
      <w:bookmarkStart w:id="137" w:name="_Toc20823301"/>
      <w:bookmarkStart w:id="138" w:name="_Toc120614218"/>
      <w:r>
        <w:rPr>
          <w:rFonts w:hint="eastAsia" w:ascii="宋体" w:hAnsi="宋体" w:eastAsia="宋体" w:cs="宋体"/>
          <w:b/>
          <w:color w:val="auto"/>
          <w:sz w:val="22"/>
          <w:szCs w:val="22"/>
          <w:highlight w:val="none"/>
        </w:rPr>
        <w:t>五、开标与评标</w:t>
      </w:r>
      <w:bookmarkEnd w:id="135"/>
      <w:bookmarkEnd w:id="136"/>
      <w:bookmarkEnd w:id="137"/>
      <w:bookmarkEnd w:id="138"/>
    </w:p>
    <w:p w14:paraId="2C4C772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39" w:name="_Toc16938546"/>
      <w:bookmarkStart w:id="140" w:name="_Toc513029230"/>
      <w:bookmarkStart w:id="141" w:name="_Toc20823302"/>
      <w:r>
        <w:rPr>
          <w:rFonts w:hint="eastAsia" w:ascii="宋体" w:hAnsi="宋体" w:eastAsia="宋体" w:cs="宋体"/>
          <w:color w:val="auto"/>
          <w:sz w:val="22"/>
          <w:szCs w:val="22"/>
          <w:highlight w:val="none"/>
        </w:rPr>
        <w:t>21、开标</w:t>
      </w:r>
      <w:bookmarkEnd w:id="139"/>
      <w:bookmarkEnd w:id="140"/>
      <w:bookmarkEnd w:id="141"/>
    </w:p>
    <w:p w14:paraId="3FFA491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21.1</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将在招标公告中规定的时间和地点组织公开开标。投标人应当按照《操作手册》规定，参加开标活动和在苏采云系统规定的时间内对投标文件进行解密。</w:t>
      </w:r>
    </w:p>
    <w:p w14:paraId="01390B0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21.2开标仪式由</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组织。苏采云系统将自动对项目进行开标，并宣布各投标人名称和投标价格。</w:t>
      </w:r>
    </w:p>
    <w:p w14:paraId="24D42C9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21.3投标人在开标过程中涉及到的投标文件解密、开标结果确认等工作，应按照《操作手册》规定执行。</w:t>
      </w:r>
    </w:p>
    <w:p w14:paraId="6DF31ED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21.4投标人如果对开标过程和开标记录有疑义，应当根据《操作手册》规定提出，如苏采云系统中《开标记录表》宣布后5分钟内未提出的，视同认可开标结果。</w:t>
      </w:r>
    </w:p>
    <w:p w14:paraId="388DE53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42" w:name="_Toc20823303"/>
      <w:bookmarkStart w:id="143" w:name="_Toc513029231"/>
      <w:bookmarkStart w:id="144" w:name="_Toc16938547"/>
      <w:r>
        <w:rPr>
          <w:rFonts w:hint="eastAsia" w:ascii="宋体" w:hAnsi="宋体" w:eastAsia="宋体" w:cs="宋体"/>
          <w:color w:val="auto"/>
          <w:sz w:val="22"/>
          <w:szCs w:val="22"/>
          <w:highlight w:val="none"/>
        </w:rPr>
        <w:t>22、评标委员会</w:t>
      </w:r>
      <w:bookmarkEnd w:id="142"/>
      <w:bookmarkEnd w:id="143"/>
      <w:bookmarkEnd w:id="144"/>
    </w:p>
    <w:p w14:paraId="2A74467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22.1开标后，</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将立即组织评标委员会（以下简称评委会）进行评标。</w:t>
      </w:r>
    </w:p>
    <w:p w14:paraId="20656C3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22.2评委会由采购人代表和有关技术、经济等方面的专家组成，且人员构成符合政府采购有关规定。</w:t>
      </w:r>
    </w:p>
    <w:p w14:paraId="1DF8D94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22.3评委会独立工作，负责评审所有投标文件并确定中标</w:t>
      </w:r>
      <w:r>
        <w:rPr>
          <w:rFonts w:hint="eastAsia" w:ascii="宋体" w:hAnsi="宋体" w:eastAsia="宋体" w:cs="宋体"/>
          <w:color w:val="auto"/>
          <w:sz w:val="22"/>
          <w:szCs w:val="22"/>
          <w:highlight w:val="none"/>
          <w:lang w:eastAsia="zh-CN"/>
        </w:rPr>
        <w:t>候选人</w:t>
      </w:r>
      <w:r>
        <w:rPr>
          <w:rFonts w:hint="eastAsia" w:ascii="宋体" w:hAnsi="宋体" w:eastAsia="宋体" w:cs="宋体"/>
          <w:color w:val="auto"/>
          <w:sz w:val="22"/>
          <w:szCs w:val="22"/>
          <w:highlight w:val="none"/>
        </w:rPr>
        <w:t>。</w:t>
      </w:r>
    </w:p>
    <w:p w14:paraId="28C925D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23、评标过程的保密与公正</w:t>
      </w:r>
    </w:p>
    <w:p w14:paraId="57F459E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23.1凡是与审查、澄清、评价和比较投标的有关资料以及授标建议等，采购人、评委、</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均不得向投标人或与评标无关的其他人员透露。</w:t>
      </w:r>
    </w:p>
    <w:p w14:paraId="390A3B5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23.2在评标过程中，投标人不得以任何行为影响评标过程，否则其投标文件将被作为无效投标文件。</w:t>
      </w:r>
    </w:p>
    <w:p w14:paraId="50BCF12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23.3</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和评标委员会不向未中标的投标人解释未中标原因，也不公布评标过程中的相关细节。</w:t>
      </w:r>
    </w:p>
    <w:p w14:paraId="5811AC5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23.4采用综合评分法的项目，未中标的投标人可于中标结果公告期限届满之日起通过苏采云系统查看自己的评审得分及排序情况。</w:t>
      </w:r>
    </w:p>
    <w:p w14:paraId="54153DD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45" w:name="_Toc513029232"/>
      <w:bookmarkStart w:id="146" w:name="_Toc16938548"/>
      <w:bookmarkStart w:id="147" w:name="_Toc20823304"/>
      <w:r>
        <w:rPr>
          <w:rFonts w:hint="eastAsia" w:ascii="宋体" w:hAnsi="宋体" w:eastAsia="宋体" w:cs="宋体"/>
          <w:color w:val="auto"/>
          <w:sz w:val="22"/>
          <w:szCs w:val="22"/>
          <w:highlight w:val="none"/>
        </w:rPr>
        <w:t>24、投标文件的澄清</w:t>
      </w:r>
      <w:bookmarkEnd w:id="145"/>
      <w:bookmarkEnd w:id="146"/>
      <w:bookmarkEnd w:id="147"/>
    </w:p>
    <w:p w14:paraId="26A54FE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24.1评标期间，评委会对投标文件中含义不明确、同类问题表述不一致或者有明显文字和计算错误的内容，有权要求投标人作出必要的澄清、说明或者补正。</w:t>
      </w:r>
    </w:p>
    <w:p w14:paraId="29F4FB7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投标人的澄清、说明或者补正不得超出投标文件的范围或者改变投标文件的实质性内容。</w:t>
      </w:r>
    </w:p>
    <w:p w14:paraId="3B1C070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评标委员会并非对每个投标人都做澄清要求。</w:t>
      </w:r>
    </w:p>
    <w:p w14:paraId="36C4B1E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AB8EB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24.3接到评委会澄清、说明和补正要求的投标人如未按规定</w:t>
      </w:r>
      <w:r>
        <w:rPr>
          <w:rFonts w:hint="eastAsia" w:ascii="宋体" w:hAnsi="宋体" w:eastAsia="宋体" w:cs="宋体"/>
          <w:color w:val="auto"/>
          <w:sz w:val="22"/>
          <w:szCs w:val="22"/>
          <w:highlight w:val="none"/>
          <w:lang w:eastAsia="zh-CN"/>
        </w:rPr>
        <w:t>作出</w:t>
      </w:r>
      <w:r>
        <w:rPr>
          <w:rFonts w:hint="eastAsia" w:ascii="宋体" w:hAnsi="宋体" w:eastAsia="宋体" w:cs="宋体"/>
          <w:color w:val="auto"/>
          <w:sz w:val="22"/>
          <w:szCs w:val="22"/>
          <w:highlight w:val="none"/>
        </w:rPr>
        <w:t>澄清、说明和补正，其风险由投标人自行承担。</w:t>
      </w:r>
    </w:p>
    <w:p w14:paraId="6E30B69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48" w:name="_Toc513029233"/>
      <w:bookmarkStart w:id="149" w:name="_Toc16938549"/>
      <w:bookmarkStart w:id="150" w:name="_Toc20823305"/>
      <w:r>
        <w:rPr>
          <w:rFonts w:hint="eastAsia" w:ascii="宋体" w:hAnsi="宋体" w:eastAsia="宋体" w:cs="宋体"/>
          <w:color w:val="auto"/>
          <w:sz w:val="22"/>
          <w:szCs w:val="22"/>
          <w:highlight w:val="none"/>
        </w:rPr>
        <w:t>25、对投标文件的初审</w:t>
      </w:r>
      <w:bookmarkEnd w:id="148"/>
      <w:bookmarkEnd w:id="149"/>
      <w:bookmarkEnd w:id="150"/>
    </w:p>
    <w:p w14:paraId="71756E3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25.1投标文件初审分为资格审查和符合性审查。</w:t>
      </w:r>
    </w:p>
    <w:p w14:paraId="18F44AD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25.1.1资格审查：依据法律法规和招标文件的规定，由采购人对投标文件中的资格证明文件进行审查。资格审查的结论，采购人以书面形式向评委会进行反馈。</w:t>
      </w:r>
    </w:p>
    <w:p w14:paraId="6A4B860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采购人在进行资格性审查的同时，将在“信用中国”网站（www.creditchina.gov.cn）查询投标人的信用记录，以确定投标人是否具备投标资格,查询结果留存并归档。</w:t>
      </w:r>
    </w:p>
    <w:p w14:paraId="45C5179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25.1.2符合性审查：依据招标文件的规定，由评委会从投标文件的有效性、完整性和对招标文件的响应程度进行审查，以确定是否对招标文件的实质性要求作出响应。</w:t>
      </w:r>
    </w:p>
    <w:p w14:paraId="0FC7AF8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25.1.3未通过资格审查或符合性审查的投标人，</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将在苏采云系统中告知未通过资格审查或符合性审查的原因，评标结束后，</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将不再告知未通过资格审查和符合性审查的原因。</w:t>
      </w:r>
    </w:p>
    <w:p w14:paraId="21A80F1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25.3如果投标文件实质上没有响应招标文件的要求，评委会将予以拒绝，投标人不得通过修改或撤销不合要求的偏离或保留而使其投标成为实质性响应的投标。</w:t>
      </w:r>
    </w:p>
    <w:p w14:paraId="4FCA664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25.4评委会将对确定为实质性响应的投标进行进一步审核，确定其是否有计算上或累加上的算术错误，修正错误的原则如下：</w:t>
      </w:r>
    </w:p>
    <w:p w14:paraId="463946E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（1）投标文件中开标一览表内容与投标文件中相应内容不一致的，以开标一览表为准。</w:t>
      </w:r>
    </w:p>
    <w:p w14:paraId="4AA7B77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（2）大写金额和小写金额不一致的，以大写金额为准。</w:t>
      </w:r>
    </w:p>
    <w:p w14:paraId="44F56D6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（3）单价金额小数点或者百分比有明显错位的，以开标一览表的总价为准，并修改单价。</w:t>
      </w:r>
    </w:p>
    <w:p w14:paraId="0157CF2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（4）总价金额与按单价汇总金额不一致的，以单价金额计算结果为准。</w:t>
      </w:r>
    </w:p>
    <w:p w14:paraId="2D36D6C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同时出现两种以上错误的，按照前款规定的顺序修正。</w:t>
      </w:r>
    </w:p>
    <w:p w14:paraId="1143D9A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51" w:name="_Toc513029234"/>
      <w:bookmarkStart w:id="152" w:name="_Toc20823306"/>
      <w:bookmarkStart w:id="153" w:name="_Toc16938550"/>
      <w:r>
        <w:rPr>
          <w:rFonts w:hint="eastAsia" w:ascii="宋体" w:hAnsi="宋体" w:eastAsia="宋体" w:cs="宋体"/>
          <w:color w:val="auto"/>
          <w:sz w:val="22"/>
          <w:szCs w:val="22"/>
          <w:highlight w:val="none"/>
        </w:rPr>
        <w:t>25.6投标人在开、评标全过程中应</w:t>
      </w:r>
      <w:r>
        <w:rPr>
          <w:rFonts w:hint="eastAsia" w:ascii="宋体" w:hAnsi="宋体" w:eastAsia="宋体" w:cs="宋体"/>
          <w:color w:val="auto"/>
          <w:sz w:val="22"/>
          <w:szCs w:val="22"/>
          <w:highlight w:val="none"/>
          <w:lang w:eastAsia="zh-CN"/>
        </w:rPr>
        <w:t>保持通信畅通</w:t>
      </w:r>
      <w:r>
        <w:rPr>
          <w:rFonts w:hint="eastAsia" w:ascii="宋体" w:hAnsi="宋体" w:eastAsia="宋体" w:cs="宋体"/>
          <w:color w:val="auto"/>
          <w:sz w:val="22"/>
          <w:szCs w:val="22"/>
          <w:highlight w:val="none"/>
        </w:rPr>
        <w:t>，及时登录苏采云系统查阅、答复相关信息，并安排专人与</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及评标委员会联系。</w:t>
      </w:r>
      <w:bookmarkEnd w:id="151"/>
      <w:bookmarkEnd w:id="152"/>
      <w:bookmarkEnd w:id="153"/>
    </w:p>
    <w:p w14:paraId="25F3BE2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26、无效投标条款和废标条款</w:t>
      </w:r>
    </w:p>
    <w:p w14:paraId="7FB1268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54" w:name="_Toc16938551"/>
      <w:bookmarkStart w:id="155" w:name="_Toc513029235"/>
      <w:bookmarkStart w:id="156" w:name="_Toc20823307"/>
      <w:r>
        <w:rPr>
          <w:rFonts w:hint="eastAsia" w:ascii="宋体" w:hAnsi="宋体" w:eastAsia="宋体" w:cs="宋体"/>
          <w:color w:val="auto"/>
          <w:sz w:val="22"/>
          <w:szCs w:val="22"/>
          <w:highlight w:val="none"/>
        </w:rPr>
        <w:t>26.1无效投标条款</w:t>
      </w:r>
      <w:bookmarkEnd w:id="154"/>
      <w:bookmarkEnd w:id="155"/>
      <w:bookmarkEnd w:id="156"/>
    </w:p>
    <w:p w14:paraId="53B8CA9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26.1.1投标人在苏采云系统规定的时间内未成功解密电子投标文件的。</w:t>
      </w:r>
    </w:p>
    <w:p w14:paraId="66D8985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26.1.2投标人未按照招标文件要求上传电子投标文件的。</w:t>
      </w:r>
    </w:p>
    <w:p w14:paraId="435C93E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26.1.3同一投标人提交两个（含两个）以上不同的投标报价的。</w:t>
      </w:r>
    </w:p>
    <w:p w14:paraId="2DA1CF5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26.1.4投标人不具备招标文件中规定资格要求的。</w:t>
      </w:r>
    </w:p>
    <w:p w14:paraId="3BA9591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26.1.5投标人的报价超过了采购预算或最高限价的。</w:t>
      </w:r>
    </w:p>
    <w:p w14:paraId="05DAFB3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26.1.6未通过符合性审查的。</w:t>
      </w:r>
    </w:p>
    <w:p w14:paraId="41A1E49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26.1.7不符合招标文件中规定的实质性要求和条件的（</w:t>
      </w:r>
      <w:r>
        <w:rPr>
          <w:rFonts w:hint="eastAsia" w:ascii="宋体" w:hAnsi="宋体" w:eastAsia="宋体" w:cs="宋体"/>
          <w:i/>
          <w:color w:val="auto"/>
          <w:sz w:val="22"/>
          <w:szCs w:val="22"/>
          <w:highlight w:val="none"/>
          <w:u w:val="single"/>
        </w:rPr>
        <w:t>本招标文件中斜体且有下划线部分为实质性要求和条件）。</w:t>
      </w:r>
    </w:p>
    <w:p w14:paraId="43387AC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26.1.9投标文件含有采购人不能接受的附加条件的。</w:t>
      </w:r>
    </w:p>
    <w:p w14:paraId="30278C4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26.1.10投标人不能证明其报价合理性的，评</w:t>
      </w:r>
      <w:r>
        <w:rPr>
          <w:rFonts w:hint="eastAsia" w:ascii="宋体" w:hAnsi="宋体" w:eastAsia="宋体" w:cs="宋体"/>
          <w:color w:val="auto"/>
          <w:sz w:val="22"/>
          <w:szCs w:val="22"/>
          <w:highlight w:val="none"/>
          <w:lang w:val="en-US" w:eastAsia="zh-CN"/>
        </w:rPr>
        <w:t>标</w:t>
      </w:r>
      <w:r>
        <w:rPr>
          <w:rFonts w:hint="eastAsia" w:ascii="宋体" w:hAnsi="宋体" w:eastAsia="宋体" w:cs="宋体"/>
          <w:color w:val="auto"/>
          <w:sz w:val="22"/>
          <w:szCs w:val="22"/>
          <w:highlight w:val="none"/>
        </w:rPr>
        <w:t>委员会应当将其作为无效投标处理。</w:t>
      </w:r>
    </w:p>
    <w:p w14:paraId="6F27A04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b/>
          <w:bCs/>
          <w:color w:val="auto"/>
          <w:kern w:val="0"/>
          <w:sz w:val="22"/>
          <w:szCs w:val="22"/>
          <w:highlight w:val="none"/>
          <w:lang w:val="en-US" w:eastAsia="zh-CN" w:bidi="ar-SA"/>
        </w:rPr>
        <w:t>（一）评审过程中出现下列情形之一的，评标委员会应当启动异常低价投标审查程序：</w:t>
      </w:r>
    </w:p>
    <w:p w14:paraId="029D404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1.投标（响应）报价低于全部通过符合性审查供应商投标（响应）报价平均值</w:t>
      </w:r>
      <w:r>
        <w:rPr>
          <w:rFonts w:hint="eastAsia" w:ascii="宋体" w:hAnsi="宋体" w:eastAsia="宋体" w:cs="宋体"/>
          <w:b/>
          <w:bCs/>
          <w:color w:val="auto"/>
          <w:sz w:val="22"/>
          <w:szCs w:val="22"/>
          <w:highlight w:val="none"/>
          <w:u w:val="single"/>
          <w:lang w:val="en-US" w:eastAsia="zh-CN" w:bidi="ar-SA"/>
        </w:rPr>
        <w:t>65</w:t>
      </w:r>
      <w:r>
        <w:rPr>
          <w:rFonts w:hint="eastAsia" w:ascii="宋体" w:hAnsi="宋体" w:eastAsia="宋体" w:cs="宋体"/>
          <w:b/>
          <w:bCs/>
          <w:color w:val="auto"/>
          <w:sz w:val="22"/>
          <w:szCs w:val="22"/>
          <w:highlight w:val="none"/>
          <w:lang w:val="en-US" w:eastAsia="zh-CN" w:bidi="ar-SA"/>
        </w:rPr>
        <w:t>%的，即投标（响应）报价&lt;全部通过符合性审查供应商投标（响应）报价平均值×</w:t>
      </w:r>
      <w:r>
        <w:rPr>
          <w:rFonts w:hint="eastAsia" w:ascii="宋体" w:hAnsi="宋体" w:eastAsia="宋体" w:cs="宋体"/>
          <w:b/>
          <w:bCs/>
          <w:color w:val="auto"/>
          <w:sz w:val="22"/>
          <w:szCs w:val="22"/>
          <w:highlight w:val="none"/>
          <w:u w:val="single"/>
          <w:lang w:val="en-US" w:eastAsia="zh-CN" w:bidi="ar-SA"/>
        </w:rPr>
        <w:t>65</w:t>
      </w:r>
      <w:r>
        <w:rPr>
          <w:rFonts w:hint="eastAsia" w:ascii="宋体" w:hAnsi="宋体" w:eastAsia="宋体" w:cs="宋体"/>
          <w:b/>
          <w:bCs/>
          <w:color w:val="auto"/>
          <w:sz w:val="22"/>
          <w:szCs w:val="22"/>
          <w:highlight w:val="none"/>
          <w:lang w:val="en-US" w:eastAsia="zh-CN" w:bidi="ar-SA"/>
        </w:rPr>
        <w:t>%；</w:t>
      </w:r>
    </w:p>
    <w:p w14:paraId="191012D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2.投标（响应）报价低于通过符合性审查的次低报价供应商投标（响应）报价</w:t>
      </w:r>
      <w:r>
        <w:rPr>
          <w:rFonts w:hint="eastAsia" w:ascii="宋体" w:hAnsi="宋体" w:eastAsia="宋体" w:cs="宋体"/>
          <w:b/>
          <w:bCs/>
          <w:color w:val="auto"/>
          <w:sz w:val="22"/>
          <w:szCs w:val="22"/>
          <w:highlight w:val="none"/>
          <w:u w:val="single"/>
          <w:lang w:val="en-US" w:eastAsia="zh-CN" w:bidi="ar-SA"/>
        </w:rPr>
        <w:t>65</w:t>
      </w:r>
      <w:r>
        <w:rPr>
          <w:rFonts w:hint="eastAsia" w:ascii="宋体" w:hAnsi="宋体" w:eastAsia="宋体" w:cs="宋体"/>
          <w:b/>
          <w:bCs/>
          <w:color w:val="auto"/>
          <w:sz w:val="22"/>
          <w:szCs w:val="22"/>
          <w:highlight w:val="none"/>
          <w:lang w:val="en-US" w:eastAsia="zh-CN" w:bidi="ar-SA"/>
        </w:rPr>
        <w:t>%的，即投标（响应）报价&lt;通过符合性审查的次低报价供应商投标（响应）报价×</w:t>
      </w:r>
      <w:r>
        <w:rPr>
          <w:rFonts w:hint="eastAsia" w:ascii="宋体" w:hAnsi="宋体" w:eastAsia="宋体" w:cs="宋体"/>
          <w:b/>
          <w:bCs/>
          <w:color w:val="auto"/>
          <w:sz w:val="22"/>
          <w:szCs w:val="22"/>
          <w:highlight w:val="none"/>
          <w:u w:val="single"/>
          <w:lang w:val="en-US" w:eastAsia="zh-CN" w:bidi="ar-SA"/>
        </w:rPr>
        <w:t>65</w:t>
      </w:r>
      <w:r>
        <w:rPr>
          <w:rFonts w:hint="eastAsia" w:ascii="宋体" w:hAnsi="宋体" w:eastAsia="宋体" w:cs="宋体"/>
          <w:b/>
          <w:bCs/>
          <w:color w:val="auto"/>
          <w:sz w:val="22"/>
          <w:szCs w:val="22"/>
          <w:highlight w:val="none"/>
          <w:lang w:val="en-US" w:eastAsia="zh-CN" w:bidi="ar-SA"/>
        </w:rPr>
        <w:t>%；</w:t>
      </w:r>
    </w:p>
    <w:p w14:paraId="08E2626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3.投标（响应）报价低于采购项目最高限价</w:t>
      </w:r>
      <w:r>
        <w:rPr>
          <w:rFonts w:hint="eastAsia" w:ascii="宋体" w:hAnsi="宋体" w:eastAsia="宋体" w:cs="宋体"/>
          <w:b/>
          <w:bCs/>
          <w:color w:val="auto"/>
          <w:sz w:val="22"/>
          <w:szCs w:val="22"/>
          <w:highlight w:val="none"/>
          <w:u w:val="single"/>
          <w:lang w:val="en-US" w:eastAsia="zh-CN" w:bidi="ar-SA"/>
        </w:rPr>
        <w:t>65</w:t>
      </w:r>
      <w:r>
        <w:rPr>
          <w:rFonts w:hint="eastAsia" w:ascii="宋体" w:hAnsi="宋体" w:eastAsia="宋体" w:cs="宋体"/>
          <w:b/>
          <w:bCs/>
          <w:color w:val="auto"/>
          <w:sz w:val="22"/>
          <w:szCs w:val="22"/>
          <w:highlight w:val="none"/>
          <w:lang w:val="en-US" w:eastAsia="zh-CN" w:bidi="ar-SA"/>
        </w:rPr>
        <w:t>%的，即投标（响应）报价&lt;采购项目最高限价×</w:t>
      </w:r>
      <w:r>
        <w:rPr>
          <w:rFonts w:hint="eastAsia" w:ascii="宋体" w:hAnsi="宋体" w:eastAsia="宋体" w:cs="宋体"/>
          <w:b/>
          <w:bCs/>
          <w:color w:val="auto"/>
          <w:sz w:val="22"/>
          <w:szCs w:val="22"/>
          <w:highlight w:val="none"/>
          <w:u w:val="single"/>
          <w:lang w:val="en-US" w:eastAsia="zh-CN" w:bidi="ar-SA"/>
        </w:rPr>
        <w:t>65</w:t>
      </w:r>
      <w:r>
        <w:rPr>
          <w:rFonts w:hint="eastAsia" w:ascii="宋体" w:hAnsi="宋体" w:eastAsia="宋体" w:cs="宋体"/>
          <w:b/>
          <w:bCs/>
          <w:color w:val="auto"/>
          <w:sz w:val="22"/>
          <w:szCs w:val="22"/>
          <w:highlight w:val="none"/>
          <w:lang w:val="en-US" w:eastAsia="zh-CN" w:bidi="ar-SA"/>
        </w:rPr>
        <w:t>%；</w:t>
      </w:r>
    </w:p>
    <w:p w14:paraId="6B93ED4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4.评审委员会基于专业判断，认为供应商报价过低，有可能影响产品质量或者不能诚信履约的其他情形。</w:t>
      </w:r>
    </w:p>
    <w:p w14:paraId="4BE739D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2"/>
          <w:szCs w:val="22"/>
          <w:highlight w:val="none"/>
          <w:lang w:val="en-US" w:eastAsia="zh-CN" w:bidi="ar-SA"/>
        </w:rPr>
        <w:t>。</w:t>
      </w:r>
    </w:p>
    <w:p w14:paraId="6E14DBF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相关法律法规对供应商报价有规定的，从其规定。</w:t>
      </w:r>
    </w:p>
    <w:p w14:paraId="209516A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right="0" w:firstLine="442" w:firstLineChars="200"/>
        <w:jc w:val="both"/>
        <w:textAlignment w:val="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26.1.11投标文件未按照招标文件要求加盖CA电子公章的。</w:t>
      </w:r>
    </w:p>
    <w:p w14:paraId="742E7BA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26.1.12其他法律、法规及本招标文件规定的属无效投标的情形。</w:t>
      </w:r>
    </w:p>
    <w:p w14:paraId="2ACAC68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26.2废标条款</w:t>
      </w:r>
    </w:p>
    <w:p w14:paraId="5626BAE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26.2.1符合专业条件的供应商或者对招标文件作实质响应的供应商不足三家的。</w:t>
      </w:r>
    </w:p>
    <w:p w14:paraId="76ABCD2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26.2.2出现影响采购公正的违法、违规行为的。</w:t>
      </w:r>
    </w:p>
    <w:p w14:paraId="6837BF2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26.2.3因重大变故，采购任务取消的。</w:t>
      </w:r>
    </w:p>
    <w:p w14:paraId="571B12E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26.2.4评标委员会认定招标文件存在歧义、重大缺陷导致评审工作无法进行。</w:t>
      </w:r>
    </w:p>
    <w:p w14:paraId="233CF4F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26.2.5因苏采云系统系统故障原因造成开标不成功的。</w:t>
      </w:r>
    </w:p>
    <w:p w14:paraId="25998E9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26.3 投标截止时间结束后参加投标的供应商不足三家的处理：</w:t>
      </w:r>
    </w:p>
    <w:p w14:paraId="6F8D70A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26.3.1如出现投标截止时间结束后参加投标的供应商或者在评标期间对招标文件做出实质响应的供应商不足三家情况，按政府采购相关规定执行。</w:t>
      </w:r>
    </w:p>
    <w:p w14:paraId="54251A4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157" w:name="_Toc120614219"/>
      <w:r>
        <w:rPr>
          <w:rFonts w:hint="eastAsia" w:ascii="宋体" w:hAnsi="宋体" w:eastAsia="宋体" w:cs="宋体"/>
          <w:b/>
          <w:color w:val="auto"/>
          <w:sz w:val="22"/>
          <w:szCs w:val="22"/>
          <w:highlight w:val="none"/>
        </w:rPr>
        <w:t>六、定标</w:t>
      </w:r>
      <w:bookmarkEnd w:id="157"/>
    </w:p>
    <w:p w14:paraId="609C833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58" w:name="_Toc20823310"/>
      <w:bookmarkStart w:id="159" w:name="_Toc16938554"/>
      <w:bookmarkStart w:id="160" w:name="_Toc513029238"/>
      <w:r>
        <w:rPr>
          <w:rFonts w:hint="eastAsia" w:ascii="宋体" w:hAnsi="宋体" w:eastAsia="宋体" w:cs="宋体"/>
          <w:color w:val="auto"/>
          <w:sz w:val="22"/>
          <w:szCs w:val="22"/>
          <w:highlight w:val="none"/>
        </w:rPr>
        <w:t>27、</w:t>
      </w:r>
      <w:bookmarkEnd w:id="158"/>
      <w:r>
        <w:rPr>
          <w:rFonts w:hint="eastAsia" w:ascii="宋体" w:hAnsi="宋体" w:eastAsia="宋体" w:cs="宋体"/>
          <w:color w:val="auto"/>
          <w:sz w:val="22"/>
          <w:szCs w:val="22"/>
          <w:highlight w:val="none"/>
        </w:rPr>
        <w:t>确定</w:t>
      </w:r>
      <w:bookmarkEnd w:id="159"/>
      <w:bookmarkEnd w:id="160"/>
      <w:r>
        <w:rPr>
          <w:rFonts w:hint="eastAsia" w:ascii="宋体" w:hAnsi="宋体" w:eastAsia="宋体" w:cs="宋体"/>
          <w:color w:val="auto"/>
          <w:sz w:val="22"/>
          <w:szCs w:val="22"/>
          <w:highlight w:val="none"/>
        </w:rPr>
        <w:t>中标单位</w:t>
      </w:r>
    </w:p>
    <w:p w14:paraId="2AB6A90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27.1中标候选人的选取原则和数量见招标文件第五章规定。 </w:t>
      </w:r>
    </w:p>
    <w:p w14:paraId="17FFA72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27.2采购人应根据评委会推荐的中标候选人确定中标人。</w:t>
      </w:r>
    </w:p>
    <w:p w14:paraId="1FD1F37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27.3</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将在</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中国政府采购网”“</w:t>
      </w:r>
      <w:r>
        <w:rPr>
          <w:rFonts w:hint="eastAsia" w:ascii="宋体" w:hAnsi="宋体" w:eastAsia="宋体" w:cs="宋体"/>
          <w:color w:val="auto"/>
          <w:sz w:val="22"/>
          <w:szCs w:val="22"/>
          <w:highlight w:val="none"/>
        </w:rPr>
        <w:t>江苏政府采购网</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盐城市政府采购网”发布中标公告，公告期限为1个工作日。</w:t>
      </w:r>
    </w:p>
    <w:p w14:paraId="41C3973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27.4若有充分证据证明，中标人出现下列情况之一的，一经查实，将被取消中标资格：</w:t>
      </w:r>
    </w:p>
    <w:p w14:paraId="685A758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27.4.1提供虚假材料谋取中标的。</w:t>
      </w:r>
    </w:p>
    <w:p w14:paraId="5973AA0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27.4.2向采购人、</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行贿或者提供其他不正当利益的。</w:t>
      </w:r>
    </w:p>
    <w:p w14:paraId="42C47A6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27.4.3属于本文件规定的无效条件，但在评标过程中又未被评委会发现的。</w:t>
      </w:r>
    </w:p>
    <w:p w14:paraId="2557B7C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27.4.4与采购人或者其他供应商恶意串通的。</w:t>
      </w:r>
    </w:p>
    <w:p w14:paraId="39DB40B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27.4.5采取不正当手段诋毁、排挤其他供应商的。</w:t>
      </w:r>
    </w:p>
    <w:p w14:paraId="359F1DB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61" w:name="_Toc200451960"/>
      <w:r>
        <w:rPr>
          <w:rFonts w:hint="eastAsia" w:ascii="宋体" w:hAnsi="宋体" w:eastAsia="宋体" w:cs="宋体"/>
          <w:color w:val="auto"/>
          <w:sz w:val="22"/>
          <w:szCs w:val="22"/>
          <w:highlight w:val="none"/>
        </w:rPr>
        <w:t>27.5 有下列情形之一的，视为投标人串通投标，投标无效：</w:t>
      </w:r>
      <w:bookmarkEnd w:id="161"/>
    </w:p>
    <w:p w14:paraId="4A4B8D9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27.5.1不同投标人的投标文件由同一单位或者个人编制。</w:t>
      </w:r>
    </w:p>
    <w:p w14:paraId="59209E4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27.5.2不同投标人委托同一单位或者个人办理投标事宜。</w:t>
      </w:r>
    </w:p>
    <w:p w14:paraId="2A2191C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27.5.3不同投标人的投标文件载明的项目管理成员或者联系人员为同一人。</w:t>
      </w:r>
    </w:p>
    <w:p w14:paraId="1D9D00B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27.5.4不同投标人的投标文件异常一致或者投标报价呈规律性差异。</w:t>
      </w:r>
    </w:p>
    <w:p w14:paraId="1FA357F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28、质疑处理</w:t>
      </w:r>
    </w:p>
    <w:p w14:paraId="4C279A9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28.1提出质疑的供应商应当是参与所质疑项目采购活动的供应商。潜在供应商依法获取其可质疑的采购文件的，可以对采购文件提出质疑。</w:t>
      </w:r>
    </w:p>
    <w:p w14:paraId="717781A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或采购人提出质疑。上述应知其权益受到损害之日，是指：</w:t>
      </w:r>
    </w:p>
    <w:p w14:paraId="686E0D9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28.2.1对可以质疑的采购文件提出质疑的，为收到采购文件之日或者采购文件公告期限届满之日；</w:t>
      </w:r>
    </w:p>
    <w:p w14:paraId="6BCE34B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28.2.2对采购过程提出质疑的，为各采购程序环节结束之日；</w:t>
      </w:r>
    </w:p>
    <w:p w14:paraId="5B79733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28.2.3对中标或者成交结果提出质疑的，为中标或者成交结果公告期限届满之日。</w:t>
      </w:r>
    </w:p>
    <w:p w14:paraId="2D25EC6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、采购人将只对供应商第一次质疑作出答复。</w:t>
      </w:r>
    </w:p>
    <w:p w14:paraId="76A90D9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提出，由</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负责答复。</w:t>
      </w:r>
    </w:p>
    <w:p w14:paraId="3DD6E26E">
      <w:pPr>
        <w:keepNext w:val="0"/>
        <w:keepLines w:val="0"/>
        <w:pageBreakBefore w:val="0"/>
        <w:widowControl w:val="0"/>
        <w:tabs>
          <w:tab w:val="left" w:pos="1331"/>
        </w:tabs>
        <w:kinsoku/>
        <w:wordWrap w:val="0"/>
        <w:overflowPunct/>
        <w:topLinePunct w:val="0"/>
        <w:autoSpaceDE/>
        <w:autoSpaceDN/>
        <w:bidi w:val="0"/>
        <w:adjustRightInd/>
        <w:snapToGrid/>
        <w:spacing w:line="360" w:lineRule="auto"/>
        <w:ind w:left="0" w:firstLine="440" w:firstLineChars="200"/>
        <w:jc w:val="left"/>
        <w:textAlignment w:val="auto"/>
        <w:rPr>
          <w:rFonts w:hint="default"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SA"/>
        </w:rPr>
        <w:t>采购代理机构及采购人只接收以纸质原件形式送达的质疑,采购人和采购代理机构不接受未填写快递运单的快件。质疑接收地址详见招标公告联系方式。</w:t>
      </w:r>
    </w:p>
    <w:p w14:paraId="37E616A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 以下情形的质疑不予受理</w:t>
      </w:r>
    </w:p>
    <w:p w14:paraId="7555758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28.5.1内容不符合《政府采购质疑和投诉办法》第十二条规定的质疑。</w:t>
      </w:r>
    </w:p>
    <w:p w14:paraId="3875B54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28.5.2超出政府采购法定期限的质疑。</w:t>
      </w:r>
    </w:p>
    <w:p w14:paraId="78004B9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28.5.3以传真、电子邮件等方式递交的非原件形式的质疑。</w:t>
      </w:r>
    </w:p>
    <w:p w14:paraId="355CA4D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28.5.4未参加投标活动的供应商或在投标活动中自身权益未受到损害的供应商所提出的质疑。</w:t>
      </w:r>
    </w:p>
    <w:p w14:paraId="111544C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28.5.5供应商组成联合体参加投标，联合体中任何一方或多方未按要求签字、盖章、加盖公章的质疑。</w:t>
      </w:r>
    </w:p>
    <w:p w14:paraId="457CF03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28.6供应商提出书面质疑必须有理、有据，不得捏造事实、提供虚假材料进行恶意质疑。否则，一经查实，</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有权依据政府采购的有关规定，报请政府采购监管部门对该供应商进行相应的行政处罚和记录该供应商的失信信息。</w:t>
      </w:r>
    </w:p>
    <w:p w14:paraId="03A91BD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29、中标通知书</w:t>
      </w:r>
    </w:p>
    <w:p w14:paraId="3BFBC94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29.l中标结果确定后，</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29.2中标通知书将是合同的一个组成部分。对采购人和中标人均具有法律效力。中标通知书发出后，采购人改变中标结果的，或者中标人放弃中标项目的，应当依法承担法律责任。</w:t>
      </w:r>
    </w:p>
    <w:p w14:paraId="64DAAC8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2" w:firstLineChars="200"/>
        <w:jc w:val="both"/>
        <w:textAlignment w:val="auto"/>
        <w:rPr>
          <w:rFonts w:hint="eastAsia" w:ascii="宋体" w:hAnsi="宋体" w:eastAsia="宋体" w:cs="宋体"/>
          <w:color w:val="auto"/>
          <w:sz w:val="22"/>
          <w:szCs w:val="22"/>
          <w:highlight w:val="none"/>
        </w:rPr>
      </w:pPr>
      <w:bookmarkStart w:id="162" w:name="_Toc20823308"/>
      <w:bookmarkStart w:id="163" w:name="_Toc120614220"/>
      <w:bookmarkStart w:id="164" w:name="_Toc16938552"/>
      <w:bookmarkStart w:id="165" w:name="_Toc513029236"/>
      <w:r>
        <w:rPr>
          <w:rFonts w:hint="eastAsia" w:ascii="宋体" w:hAnsi="宋体" w:eastAsia="宋体" w:cs="宋体"/>
          <w:b/>
          <w:color w:val="auto"/>
          <w:sz w:val="22"/>
          <w:szCs w:val="22"/>
          <w:highlight w:val="none"/>
        </w:rPr>
        <w:t>七、授予合同</w:t>
      </w:r>
      <w:bookmarkEnd w:id="162"/>
      <w:bookmarkEnd w:id="163"/>
      <w:bookmarkEnd w:id="164"/>
      <w:bookmarkEnd w:id="165"/>
    </w:p>
    <w:p w14:paraId="6ACCED81">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bookmarkStart w:id="166" w:name="_Toc20823309"/>
      <w:bookmarkStart w:id="167" w:name="_Toc16938553"/>
      <w:bookmarkStart w:id="168" w:name="_Toc513029237"/>
      <w:r>
        <w:rPr>
          <w:rFonts w:hint="eastAsia" w:ascii="宋体" w:hAnsi="宋体" w:eastAsia="宋体" w:cs="宋体"/>
          <w:color w:val="auto"/>
          <w:sz w:val="22"/>
          <w:szCs w:val="22"/>
          <w:highlight w:val="none"/>
        </w:rPr>
        <w:t>30.签订合同</w:t>
      </w:r>
      <w:bookmarkEnd w:id="166"/>
      <w:bookmarkEnd w:id="167"/>
      <w:bookmarkEnd w:id="168"/>
    </w:p>
    <w:p w14:paraId="49272DD0">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30.l中标人应当在中标通知书发出之日起三十日内，按照招标文件确定的事项与采购人签订政府采购合同。</w:t>
      </w:r>
    </w:p>
    <w:p w14:paraId="00518D9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color w:val="auto"/>
          <w:sz w:val="22"/>
          <w:szCs w:val="22"/>
          <w:highlight w:val="none"/>
        </w:rPr>
        <w:t>30.2招标文件、中标人的投标文件及招标过程中有关澄清、承诺文件均应作为合同</w:t>
      </w:r>
      <w:r>
        <w:rPr>
          <w:rFonts w:hint="eastAsia" w:ascii="宋体" w:hAnsi="宋体" w:eastAsia="宋体" w:cs="宋体"/>
          <w:color w:val="000000"/>
          <w:sz w:val="22"/>
          <w:szCs w:val="22"/>
          <w:highlight w:val="none"/>
        </w:rPr>
        <w:t>附件。</w:t>
      </w:r>
    </w:p>
    <w:p w14:paraId="32E1DE5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30.3签订合同后，</w:t>
      </w:r>
      <w:r>
        <w:rPr>
          <w:rFonts w:hint="eastAsia" w:ascii="宋体" w:hAnsi="宋体" w:eastAsia="宋体" w:cs="宋体"/>
          <w:i/>
          <w:color w:val="000000"/>
          <w:sz w:val="22"/>
          <w:szCs w:val="22"/>
          <w:highlight w:val="none"/>
          <w:u w:val="single"/>
        </w:rPr>
        <w:t>中标人不得将合同标的进行转包</w:t>
      </w:r>
      <w:r>
        <w:rPr>
          <w:rFonts w:hint="eastAsia" w:ascii="宋体" w:hAnsi="宋体" w:eastAsia="宋体" w:cs="宋体"/>
          <w:color w:val="000000"/>
          <w:sz w:val="22"/>
          <w:szCs w:val="22"/>
          <w:highlight w:val="none"/>
        </w:rPr>
        <w:t>。未经采购人同意，中标人也不得采用分包的形式履行合同，否则采购人有权终止合同。</w:t>
      </w:r>
      <w:r>
        <w:rPr>
          <w:rFonts w:hint="eastAsia" w:ascii="宋体" w:hAnsi="宋体" w:eastAsia="宋体" w:cs="宋体"/>
          <w:color w:val="000000"/>
          <w:sz w:val="22"/>
          <w:szCs w:val="22"/>
          <w:highlight w:val="none"/>
          <w:lang w:val="en-US" w:eastAsia="zh-CN"/>
        </w:rPr>
        <w:t>确需专业分包的部分，须经采购人同意方可履行。</w:t>
      </w:r>
      <w:r>
        <w:rPr>
          <w:rFonts w:hint="eastAsia" w:ascii="宋体" w:hAnsi="宋体" w:eastAsia="宋体" w:cs="宋体"/>
          <w:color w:val="000000"/>
          <w:sz w:val="22"/>
          <w:szCs w:val="22"/>
          <w:highlight w:val="none"/>
        </w:rPr>
        <w:t>转包或分包造成采购人损失的，中标人应承担相应赔偿责任。</w:t>
      </w:r>
    </w:p>
    <w:p w14:paraId="77BCD65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31、服务（包含与服务相关的货物）的追加</w:t>
      </w:r>
    </w:p>
    <w:p w14:paraId="3B7551A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32.政府采购政策功能落实</w:t>
      </w:r>
    </w:p>
    <w:p w14:paraId="3EA2C72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32.1</w:t>
      </w:r>
      <w:r>
        <w:rPr>
          <w:rFonts w:hint="eastAsia" w:ascii="宋体" w:hAnsi="宋体" w:eastAsia="宋体" w:cs="宋体"/>
          <w:color w:val="000000"/>
          <w:sz w:val="22"/>
          <w:szCs w:val="22"/>
          <w:highlight w:val="none"/>
        </w:rPr>
        <w:t>政府采购</w:t>
      </w:r>
      <w:r>
        <w:rPr>
          <w:rFonts w:hint="eastAsia" w:ascii="宋体" w:hAnsi="宋体" w:eastAsia="宋体" w:cs="宋体"/>
          <w:color w:val="000000"/>
          <w:sz w:val="22"/>
          <w:szCs w:val="22"/>
          <w:highlight w:val="none"/>
          <w:lang w:eastAsia="zh-CN"/>
        </w:rPr>
        <w:t>线上合同信用融资</w:t>
      </w:r>
      <w:r>
        <w:rPr>
          <w:rFonts w:hint="eastAsia" w:ascii="宋体" w:hAnsi="宋体" w:eastAsia="宋体" w:cs="宋体"/>
          <w:color w:val="000000"/>
          <w:sz w:val="22"/>
          <w:szCs w:val="22"/>
          <w:highlight w:val="none"/>
        </w:rPr>
        <w:t>政策</w:t>
      </w:r>
    </w:p>
    <w:p w14:paraId="7831DEF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2"/>
          <w:szCs w:val="22"/>
          <w:highlight w:val="none"/>
          <w:lang w:val="en-US" w:eastAsia="zh-CN"/>
        </w:rPr>
        <w:t>江苏省</w:t>
      </w:r>
      <w:r>
        <w:rPr>
          <w:rFonts w:hint="eastAsia" w:ascii="宋体" w:hAnsi="宋体" w:eastAsia="宋体" w:cs="宋体"/>
          <w:color w:val="000000"/>
          <w:sz w:val="22"/>
          <w:szCs w:val="22"/>
          <w:highlight w:val="none"/>
        </w:rPr>
        <w:t>政府采购网“政采贷”栏目）申请贷款，相关金融机构按照双方自愿的原则提供便捷、优惠的贷款服务；具体操作流程请参考苏采云系统中操作手册。 </w:t>
      </w:r>
    </w:p>
    <w:p w14:paraId="05A8ADEB">
      <w:pPr>
        <w:keepNext w:val="0"/>
        <w:keepLines w:val="0"/>
        <w:pageBreakBefore w:val="0"/>
        <w:widowControl w:val="0"/>
        <w:tabs>
          <w:tab w:val="left" w:pos="1381"/>
        </w:tabs>
        <w:kinsoku/>
        <w:wordWrap w:val="0"/>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32.2进口产品</w:t>
      </w:r>
    </w:p>
    <w:p w14:paraId="5E25FDB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进口产品</w:t>
      </w:r>
      <w:r>
        <w:rPr>
          <w:rFonts w:hint="eastAsia" w:ascii="宋体" w:hAnsi="宋体" w:eastAsia="宋体" w:cs="宋体"/>
          <w:color w:val="000000"/>
          <w:sz w:val="22"/>
          <w:szCs w:val="22"/>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keepNext w:val="0"/>
        <w:keepLines w:val="0"/>
        <w:pageBreakBefore w:val="0"/>
        <w:widowControl w:val="0"/>
        <w:tabs>
          <w:tab w:val="left" w:pos="1381"/>
        </w:tabs>
        <w:kinsoku/>
        <w:wordWrap w:val="0"/>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32.3中小企业、监狱企业及残疾人福利性单位</w:t>
      </w:r>
    </w:p>
    <w:p w14:paraId="63807B9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32.3.1中小企业定义：</w:t>
      </w:r>
    </w:p>
    <w:p w14:paraId="4C9CBD8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32.3.2供应商提供的货物、工程或者服务符合下列情形的，享受中小企业扶持政策：</w:t>
      </w:r>
    </w:p>
    <w:p w14:paraId="6761BEF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32.3.2.1在货物采购项目中，货物由中小企业制造，即货物由中小企业生产且使用该中小企业商号或者注册商标；</w:t>
      </w:r>
    </w:p>
    <w:p w14:paraId="31163D4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32.3.2.2在工程采购项目中，工程由中小企业承建，即工程施工单位为中小企业；</w:t>
      </w:r>
    </w:p>
    <w:p w14:paraId="4DFC19B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32.3.2.3在服务采购项目中，服务由中小企业承接，即提供服务的人员为中小企业依照《中华人民共和国劳动合同法》订立劳动合同的从业人员。</w:t>
      </w:r>
    </w:p>
    <w:p w14:paraId="3EA95C7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32.3.3在货物采购项目中，供应商提供的货物既有中小企业制造货物，也有大型企业制造货物的，不享受中小企业扶持政策。</w:t>
      </w:r>
    </w:p>
    <w:p w14:paraId="18C13D1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32.3.6残疾人福利单位定义：享受政府采购支持政策的残疾人福利性单位应当同时满足以下条件：</w:t>
      </w:r>
    </w:p>
    <w:p w14:paraId="2C10A4F6">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32.3.6.1安置的残疾人占本单位在职职工人数的比例不低于25%（含25%），并且安置的残疾人人数不少于10 人（含10 人）；</w:t>
      </w:r>
    </w:p>
    <w:p w14:paraId="273AB3B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32.3.6.2依法与安置的每位残疾人签订了一年以上（含一年）的劳动合同或服务协议；</w:t>
      </w:r>
    </w:p>
    <w:p w14:paraId="25054FF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32.3.6.3为安置的每位残疾人按月足额缴纳了基本养老保险、基本医疗保险、失业保险、工伤保险和生育保险等社会保险费；</w:t>
      </w:r>
    </w:p>
    <w:p w14:paraId="2B08B5C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32.3.6.4通过银行等金融机构向安置的每位残疾人，按月支付了不低于单位所在区县适用的经省级人民政府批准的月最低工资标准的工资；</w:t>
      </w:r>
    </w:p>
    <w:p w14:paraId="20CB233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32.3.7本项目是否专门面向中小企业预留采购份额见第一章《</w:t>
      </w:r>
      <w:r>
        <w:rPr>
          <w:rFonts w:hint="eastAsia" w:ascii="宋体" w:hAnsi="宋体" w:eastAsia="宋体" w:cs="宋体"/>
          <w:color w:val="auto"/>
          <w:sz w:val="22"/>
          <w:szCs w:val="22"/>
          <w:highlight w:val="none"/>
          <w:lang w:val="en-US" w:eastAsia="zh-CN"/>
        </w:rPr>
        <w:t>招标公告</w:t>
      </w:r>
      <w:r>
        <w:rPr>
          <w:rFonts w:hint="eastAsia" w:ascii="宋体" w:hAnsi="宋体" w:eastAsia="宋体" w:cs="宋体"/>
          <w:color w:val="000000"/>
          <w:sz w:val="22"/>
          <w:szCs w:val="22"/>
          <w:highlight w:val="none"/>
          <w:lang w:val="en-US" w:eastAsia="zh-CN"/>
        </w:rPr>
        <w:t>》。</w:t>
      </w:r>
    </w:p>
    <w:p w14:paraId="66321B5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32.3.8采购标的对应的中小企业划分标准所属行业见第四章《采购需求》。</w:t>
      </w:r>
    </w:p>
    <w:p w14:paraId="3CD37815">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32.3.9小微企业价格评审优惠的政策：见第五章《评标方法和评标标准》。</w:t>
      </w:r>
    </w:p>
    <w:p w14:paraId="2413029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32.4政府采购节能产品、环境标志产品</w:t>
      </w:r>
    </w:p>
    <w:p w14:paraId="56196F7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32.5绿色包装</w:t>
      </w:r>
    </w:p>
    <w:p w14:paraId="3C828DB7">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keepNext w:val="0"/>
        <w:keepLines w:val="0"/>
        <w:pageBreakBefore w:val="0"/>
        <w:widowControl w:val="0"/>
        <w:tabs>
          <w:tab w:val="left" w:pos="1381"/>
        </w:tabs>
        <w:kinsoku/>
        <w:wordWrap w:val="0"/>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32.6政府采购创新产品</w:t>
      </w:r>
    </w:p>
    <w:p w14:paraId="2D9B3368">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采购人优先采购各级政府部门公开发布的有效期内的创新产品、创新服务、首台套、首购首用等《目录》的创新产品。</w:t>
      </w:r>
    </w:p>
    <w:p w14:paraId="57947BB5">
      <w:pPr>
        <w:keepNext w:val="0"/>
        <w:keepLines w:val="0"/>
        <w:pageBreakBefore w:val="0"/>
        <w:widowControl w:val="0"/>
        <w:tabs>
          <w:tab w:val="left" w:pos="1381"/>
        </w:tabs>
        <w:kinsoku/>
        <w:wordWrap w:val="0"/>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 xml:space="preserve">32.7绿色数据中心政策 </w:t>
      </w:r>
    </w:p>
    <w:p w14:paraId="722A8D3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keepNext w:val="0"/>
        <w:keepLines w:val="0"/>
        <w:pageBreakBefore w:val="0"/>
        <w:widowControl w:val="0"/>
        <w:kinsoku/>
        <w:wordWrap w:val="0"/>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olor w:val="FF0000"/>
          <w:kern w:val="0"/>
          <w:sz w:val="22"/>
          <w:szCs w:val="22"/>
          <w:highlight w:val="none"/>
          <w:lang w:val="en-US" w:eastAsia="zh-CN" w:bidi="ar-SA"/>
        </w:rPr>
      </w:pPr>
      <w:r>
        <w:rPr>
          <w:rFonts w:hint="eastAsia" w:ascii="宋体" w:hAnsi="宋体" w:eastAsia="宋体" w:cs="宋体"/>
          <w:b/>
          <w:bCs/>
          <w:color w:val="FF0000"/>
          <w:kern w:val="0"/>
          <w:sz w:val="22"/>
          <w:szCs w:val="22"/>
          <w:highlight w:val="none"/>
          <w:lang w:val="en-US" w:eastAsia="zh-CN" w:bidi="ar-SA"/>
        </w:rPr>
        <w:t>32.8实施本国产品标准及相关政策</w:t>
      </w:r>
    </w:p>
    <w:p w14:paraId="510E6799">
      <w:pPr>
        <w:keepNext w:val="0"/>
        <w:keepLines w:val="0"/>
        <w:pageBreakBefore w:val="0"/>
        <w:widowControl w:val="0"/>
        <w:kinsoku/>
        <w:wordWrap w:val="0"/>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olor w:val="FF0000"/>
          <w:kern w:val="0"/>
          <w:sz w:val="22"/>
          <w:szCs w:val="22"/>
          <w:highlight w:val="none"/>
          <w:lang w:val="en-US" w:eastAsia="zh-CN" w:bidi="ar-SA"/>
        </w:rPr>
      </w:pPr>
      <w:r>
        <w:rPr>
          <w:rFonts w:hint="eastAsia" w:ascii="宋体" w:hAnsi="宋体" w:eastAsia="宋体" w:cs="宋体"/>
          <w:b/>
          <w:bCs/>
          <w:color w:val="FF0000"/>
          <w:kern w:val="0"/>
          <w:sz w:val="22"/>
          <w:szCs w:val="22"/>
          <w:highlight w:val="none"/>
          <w:lang w:val="en-US" w:eastAsia="zh-CN" w:bidi="ar-SA"/>
        </w:rPr>
        <w:t>1.本项目对采购本国产品给予政策支持，具体内容见招标文件“第五章 评标方法与评标标准”。</w:t>
      </w:r>
    </w:p>
    <w:p w14:paraId="6E8BCEDC">
      <w:pPr>
        <w:keepNext w:val="0"/>
        <w:keepLines w:val="0"/>
        <w:pageBreakBefore w:val="0"/>
        <w:widowControl w:val="0"/>
        <w:kinsoku/>
        <w:wordWrap w:val="0"/>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olor w:val="FF0000"/>
          <w:kern w:val="0"/>
          <w:sz w:val="22"/>
          <w:szCs w:val="22"/>
          <w:highlight w:val="none"/>
          <w:lang w:val="en-US" w:eastAsia="zh-CN" w:bidi="ar-SA"/>
        </w:rPr>
      </w:pPr>
      <w:r>
        <w:rPr>
          <w:rFonts w:hint="eastAsia" w:ascii="宋体" w:hAnsi="宋体" w:eastAsia="宋体" w:cs="宋体"/>
          <w:b/>
          <w:bCs/>
          <w:color w:val="FF0000"/>
          <w:kern w:val="0"/>
          <w:sz w:val="22"/>
          <w:szCs w:val="22"/>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keepNext w:val="0"/>
        <w:keepLines w:val="0"/>
        <w:pageBreakBefore w:val="0"/>
        <w:widowControl w:val="0"/>
        <w:kinsoku/>
        <w:wordWrap w:val="0"/>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color w:val="FF0000"/>
          <w:kern w:val="0"/>
          <w:sz w:val="22"/>
          <w:szCs w:val="22"/>
          <w:highlight w:val="none"/>
          <w:lang w:val="en-US" w:eastAsia="zh-CN" w:bidi="ar-SA"/>
        </w:rPr>
      </w:pPr>
      <w:r>
        <w:rPr>
          <w:rFonts w:hint="eastAsia" w:ascii="宋体" w:hAnsi="宋体" w:eastAsia="宋体" w:cs="宋体"/>
          <w:b/>
          <w:bCs/>
          <w:color w:val="FF0000"/>
          <w:kern w:val="0"/>
          <w:sz w:val="22"/>
          <w:szCs w:val="22"/>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firstLine="442" w:firstLineChars="200"/>
        <w:textAlignment w:val="auto"/>
        <w:rPr>
          <w:rFonts w:hint="eastAsia" w:ascii="宋体" w:hAnsi="宋体" w:eastAsia="宋体" w:cs="宋体"/>
          <w:b/>
          <w:bCs/>
          <w:color w:val="FF0000"/>
          <w:kern w:val="0"/>
          <w:sz w:val="22"/>
          <w:szCs w:val="22"/>
          <w:highlight w:val="none"/>
          <w:lang w:val="en-US" w:eastAsia="zh-CN" w:bidi="ar-SA"/>
        </w:rPr>
      </w:pPr>
      <w:r>
        <w:rPr>
          <w:rFonts w:hint="eastAsia" w:ascii="宋体" w:hAnsi="宋体" w:eastAsia="宋体" w:cs="宋体"/>
          <w:b/>
          <w:bCs/>
          <w:color w:val="FF0000"/>
          <w:kern w:val="0"/>
          <w:sz w:val="22"/>
          <w:szCs w:val="22"/>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2"/>
          <w:szCs w:val="22"/>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keepNext w:val="0"/>
        <w:keepLines w:val="0"/>
        <w:pageBreakBefore w:val="0"/>
        <w:widowControl w:val="0"/>
        <w:tabs>
          <w:tab w:val="left" w:pos="1381"/>
        </w:tabs>
        <w:kinsoku/>
        <w:wordWrap w:val="0"/>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color w:val="000000"/>
          <w:kern w:val="0"/>
          <w:sz w:val="22"/>
          <w:szCs w:val="22"/>
          <w:highlight w:val="none"/>
          <w:lang w:val="en-US" w:eastAsia="zh-CN" w:bidi="ar-SA"/>
        </w:rPr>
        <w:t>32.9履约保证金政策</w:t>
      </w:r>
    </w:p>
    <w:p w14:paraId="40F02B3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确需收取履约保证金的，履约保证金的缴纳形式：</w:t>
      </w:r>
    </w:p>
    <w:p w14:paraId="5EB031AC">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 如以履约保函（保险）形式缴纳履约保证金，供应商可通过政府采购电子履约保函（保险）平台（www.jsdzbh.com）在线申请履约保函（保险）。</w:t>
      </w:r>
    </w:p>
    <w:p w14:paraId="57E6C93D">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33. 预付款制度</w:t>
      </w:r>
    </w:p>
    <w:p w14:paraId="23108FD2">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本项目落实预付款制度，预付款比例为</w:t>
      </w:r>
      <w:r>
        <w:rPr>
          <w:rFonts w:hint="eastAsia" w:ascii="宋体" w:hAnsi="宋体" w:eastAsia="宋体" w:cs="宋体"/>
          <w:color w:val="000000"/>
          <w:sz w:val="22"/>
          <w:szCs w:val="22"/>
          <w:highlight w:val="none"/>
          <w:u w:val="single"/>
          <w:lang w:val="en-US" w:eastAsia="zh-CN"/>
        </w:rPr>
        <w:t>30</w:t>
      </w:r>
      <w:r>
        <w:rPr>
          <w:rFonts w:hint="eastAsia" w:ascii="宋体" w:hAnsi="宋体" w:eastAsia="宋体" w:cs="宋体"/>
          <w:color w:val="000000"/>
          <w:sz w:val="22"/>
          <w:szCs w:val="22"/>
          <w:highlight w:val="none"/>
          <w:lang w:val="en-US" w:eastAsia="zh-CN"/>
        </w:rPr>
        <w:t>%。在签订合同时，中标、成交供应商明确书面表示无需预付款或者主动要求降低预付款比例的，采购人可就预付款比例作相应调整。</w:t>
      </w:r>
    </w:p>
    <w:p w14:paraId="4005ACA6">
      <w:pPr>
        <w:keepNext w:val="0"/>
        <w:keepLines w:val="0"/>
        <w:pageBreakBefore w:val="0"/>
        <w:widowControl w:val="0"/>
        <w:kinsoku/>
        <w:wordWrap w:val="0"/>
        <w:overflowPunct/>
        <w:topLinePunct w:val="0"/>
        <w:bidi w:val="0"/>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br w:type="page"/>
      </w:r>
    </w:p>
    <w:p w14:paraId="0D5A4711">
      <w:pPr>
        <w:pStyle w:val="13"/>
        <w:keepNext w:val="0"/>
        <w:keepLines w:val="0"/>
        <w:pageBreakBefore w:val="0"/>
        <w:widowControl w:val="0"/>
        <w:kinsoku/>
        <w:wordWrap w:val="0"/>
        <w:overflowPunct/>
        <w:topLinePunct w:val="0"/>
        <w:bidi w:val="0"/>
        <w:spacing w:before="260" w:beforeAutospacing="0" w:after="260" w:afterAutospacing="0" w:line="415" w:lineRule="auto"/>
        <w:ind w:firstLine="2429"/>
        <w:jc w:val="both"/>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第三章  合同文本</w:t>
      </w:r>
    </w:p>
    <w:p w14:paraId="055425B8">
      <w:pPr>
        <w:pStyle w:val="13"/>
        <w:keepNext w:val="0"/>
        <w:keepLines w:val="0"/>
        <w:pageBreakBefore w:val="0"/>
        <w:widowControl w:val="0"/>
        <w:kinsoku/>
        <w:wordWrap w:val="0"/>
        <w:overflowPunct/>
        <w:topLinePunct w:val="0"/>
        <w:autoSpaceDE/>
        <w:autoSpaceDN/>
        <w:bidi w:val="0"/>
        <w:adjustRightInd/>
        <w:snapToGrid/>
        <w:spacing w:beforeAutospacing="0" w:afterAutospacing="0" w:line="400" w:lineRule="exact"/>
        <w:ind w:firstLine="480"/>
        <w:jc w:val="both"/>
        <w:textAlignment w:val="auto"/>
        <w:rPr>
          <w:sz w:val="21"/>
          <w:szCs w:val="21"/>
          <w:highlight w:val="none"/>
        </w:rPr>
      </w:pPr>
      <w:bookmarkStart w:id="169" w:name="_Toc16938559"/>
      <w:bookmarkStart w:id="170" w:name="_Toc513029243"/>
      <w:bookmarkStart w:id="171" w:name="_Toc20823315"/>
      <w:r>
        <w:rPr>
          <w:rFonts w:hint="eastAsia" w:ascii="宋体" w:hAnsi="宋体" w:eastAsia="宋体" w:cs="宋体"/>
          <w:color w:val="000000"/>
          <w:sz w:val="21"/>
          <w:szCs w:val="21"/>
          <w:highlight w:val="none"/>
        </w:rPr>
        <w:t>以下为中标后</w:t>
      </w:r>
      <w:r>
        <w:rPr>
          <w:rFonts w:hint="eastAsia" w:ascii="宋体" w:hAnsi="宋体" w:eastAsia="宋体" w:cs="宋体"/>
          <w:color w:val="000000"/>
          <w:sz w:val="21"/>
          <w:szCs w:val="21"/>
          <w:highlight w:val="none"/>
          <w:lang w:eastAsia="zh-CN"/>
        </w:rPr>
        <w:t>签订</w:t>
      </w:r>
      <w:r>
        <w:rPr>
          <w:rFonts w:hint="eastAsia" w:ascii="宋体" w:hAnsi="宋体" w:eastAsia="宋体" w:cs="宋体"/>
          <w:color w:val="000000"/>
          <w:sz w:val="21"/>
          <w:szCs w:val="21"/>
          <w:highlight w:val="none"/>
        </w:rPr>
        <w:t>本项目合同的通用条款，中标人不得提出实质性的修改。</w:t>
      </w:r>
      <w:bookmarkEnd w:id="169"/>
      <w:bookmarkEnd w:id="170"/>
      <w:bookmarkEnd w:id="171"/>
    </w:p>
    <w:p w14:paraId="6848ED5D">
      <w:pPr>
        <w:pStyle w:val="13"/>
        <w:keepNext w:val="0"/>
        <w:keepLines w:val="0"/>
        <w:pageBreakBefore w:val="0"/>
        <w:widowControl w:val="0"/>
        <w:kinsoku/>
        <w:wordWrap w:val="0"/>
        <w:overflowPunct/>
        <w:topLinePunct w:val="0"/>
        <w:autoSpaceDE/>
        <w:autoSpaceDN/>
        <w:bidi w:val="0"/>
        <w:adjustRightInd/>
        <w:snapToGrid/>
        <w:spacing w:before="145" w:beforeAutospacing="0" w:after="145" w:afterAutospacing="0" w:line="400" w:lineRule="exact"/>
        <w:jc w:val="center"/>
        <w:textAlignment w:val="auto"/>
        <w:rPr>
          <w:sz w:val="21"/>
          <w:szCs w:val="21"/>
          <w:highlight w:val="none"/>
        </w:rPr>
      </w:pPr>
      <w:r>
        <w:rPr>
          <w:sz w:val="21"/>
          <w:szCs w:val="21"/>
          <w:highlight w:val="none"/>
        </w:rPr>
        <w:t> </w:t>
      </w:r>
    </w:p>
    <w:p w14:paraId="356B55B0">
      <w:pPr>
        <w:pStyle w:val="13"/>
        <w:keepNext w:val="0"/>
        <w:keepLines w:val="0"/>
        <w:pageBreakBefore w:val="0"/>
        <w:widowControl w:val="0"/>
        <w:kinsoku/>
        <w:wordWrap w:val="0"/>
        <w:overflowPunct/>
        <w:topLinePunct w:val="0"/>
        <w:autoSpaceDE/>
        <w:autoSpaceDN/>
        <w:bidi w:val="0"/>
        <w:adjustRightInd/>
        <w:snapToGrid/>
        <w:spacing w:before="145" w:beforeAutospacing="0" w:after="145" w:afterAutospacing="0" w:line="400" w:lineRule="exact"/>
        <w:jc w:val="center"/>
        <w:textAlignment w:val="auto"/>
        <w:rPr>
          <w:color w:val="auto"/>
          <w:kern w:val="2"/>
          <w:sz w:val="28"/>
          <w:szCs w:val="28"/>
          <w:highlight w:val="none"/>
        </w:rPr>
      </w:pPr>
      <w:r>
        <w:rPr>
          <w:rFonts w:hint="eastAsia" w:ascii="宋体" w:hAnsi="宋体" w:eastAsia="宋体" w:cs="宋体"/>
          <w:b/>
          <w:color w:val="000000"/>
          <w:sz w:val="28"/>
          <w:szCs w:val="28"/>
          <w:highlight w:val="none"/>
        </w:rPr>
        <w:t>盐城市政府采购合同（服务）（合同编号）</w:t>
      </w:r>
      <w:bookmarkStart w:id="172" w:name="_Toc479757211"/>
      <w:bookmarkStart w:id="173" w:name="_Toc16938590"/>
      <w:bookmarkStart w:id="174" w:name="_Toc120614244"/>
      <w:bookmarkStart w:id="175" w:name="_Hlt16619350"/>
      <w:bookmarkStart w:id="176" w:name="_Toc462564139"/>
      <w:bookmarkStart w:id="177" w:name="_Toc20823346"/>
      <w:bookmarkStart w:id="178" w:name="_Hlt16619369"/>
    </w:p>
    <w:p w14:paraId="7AC9D5D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甲方（采购人）：</w:t>
      </w:r>
    </w:p>
    <w:p w14:paraId="727F3160">
      <w:pPr>
        <w:keepNext w:val="0"/>
        <w:keepLines w:val="0"/>
        <w:pageBreakBefore w:val="0"/>
        <w:widowControl w:val="0"/>
        <w:tabs>
          <w:tab w:val="left" w:pos="1890"/>
          <w:tab w:val="left" w:pos="360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w:t>
      </w:r>
    </w:p>
    <w:p w14:paraId="46D1482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p w14:paraId="494C9396">
      <w:pPr>
        <w:keepNext w:val="0"/>
        <w:keepLines w:val="0"/>
        <w:pageBreakBefore w:val="0"/>
        <w:widowControl w:val="0"/>
        <w:tabs>
          <w:tab w:val="left" w:pos="1890"/>
          <w:tab w:val="left" w:pos="360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w:t>
      </w:r>
    </w:p>
    <w:p w14:paraId="565B9EF0">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lang w:val="en-US" w:eastAsia="zh-CN"/>
        </w:rPr>
      </w:pPr>
    </w:p>
    <w:p w14:paraId="0B60C01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乙方（成交供应商）：</w:t>
      </w:r>
    </w:p>
    <w:p w14:paraId="6AB01173">
      <w:pPr>
        <w:keepNext w:val="0"/>
        <w:keepLines w:val="0"/>
        <w:pageBreakBefore w:val="0"/>
        <w:widowControl w:val="0"/>
        <w:tabs>
          <w:tab w:val="left" w:pos="1890"/>
          <w:tab w:val="left" w:pos="360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w:t>
      </w:r>
    </w:p>
    <w:p w14:paraId="68E0671B">
      <w:pPr>
        <w:keepNext w:val="0"/>
        <w:keepLines w:val="0"/>
        <w:pageBreakBefore w:val="0"/>
        <w:widowControl w:val="0"/>
        <w:tabs>
          <w:tab w:val="left" w:pos="1890"/>
          <w:tab w:val="left" w:pos="360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p w14:paraId="3ADB4C78">
      <w:pPr>
        <w:keepNext w:val="0"/>
        <w:keepLines w:val="0"/>
        <w:pageBreakBefore w:val="0"/>
        <w:widowControl w:val="0"/>
        <w:tabs>
          <w:tab w:val="left" w:pos="1890"/>
          <w:tab w:val="left" w:pos="360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w:t>
      </w:r>
    </w:p>
    <w:p w14:paraId="0DFA5FCB">
      <w:pPr>
        <w:keepNext w:val="0"/>
        <w:keepLines w:val="0"/>
        <w:pageBreakBefore w:val="0"/>
        <w:widowControl w:val="0"/>
        <w:tabs>
          <w:tab w:val="left" w:pos="1890"/>
        </w:tabs>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sz w:val="22"/>
          <w:szCs w:val="22"/>
          <w:highlight w:val="none"/>
        </w:rPr>
      </w:pPr>
    </w:p>
    <w:p w14:paraId="2F1F2A8C">
      <w:pPr>
        <w:pStyle w:val="13"/>
        <w:keepNext w:val="0"/>
        <w:keepLines w:val="0"/>
        <w:pageBreakBefore w:val="0"/>
        <w:widowControl w:val="0"/>
        <w:kinsoku/>
        <w:wordWrap w:val="0"/>
        <w:overflowPunct/>
        <w:topLinePunct w:val="0"/>
        <w:autoSpaceDE/>
        <w:autoSpaceDN/>
        <w:bidi w:val="0"/>
        <w:adjustRightInd/>
        <w:snapToGrid/>
        <w:spacing w:before="145" w:beforeAutospacing="0" w:after="145" w:afterAutospacing="0" w:line="400" w:lineRule="exact"/>
        <w:jc w:val="center"/>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第一部分 合同一般条款</w:t>
      </w:r>
    </w:p>
    <w:p w14:paraId="3231BA0C">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一、合同文件</w:t>
      </w:r>
    </w:p>
    <w:p w14:paraId="44A130B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合同文件适用法律</w:t>
      </w:r>
    </w:p>
    <w:p w14:paraId="0681B9E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  适用于合同文件的法律是中华人民共和国现行法律、法规及甲方所在地的地方性法规。</w:t>
      </w:r>
    </w:p>
    <w:p w14:paraId="21DD482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二、合同文件组成和解释顺序</w:t>
      </w:r>
    </w:p>
    <w:p w14:paraId="3AE3E8E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  合同文件的组成和解释顺序如下：</w:t>
      </w:r>
    </w:p>
    <w:p w14:paraId="7605E9F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2.1.1合同履行过程中形成的洽商、变更等明确双方权利义务的纪要、协议（该等洽商、变更需要经过甲方盖章确认方可生效）</w:t>
      </w:r>
    </w:p>
    <w:p w14:paraId="757B627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2.1.2合同的特殊性条款</w:t>
      </w:r>
    </w:p>
    <w:p w14:paraId="74C0550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2.1.3采购文件、响应文件和成交通知书</w:t>
      </w:r>
    </w:p>
    <w:p w14:paraId="299B934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2.1.4合同的一般性条款</w:t>
      </w:r>
    </w:p>
    <w:p w14:paraId="570A6FE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2.1.5标准、规范和其它有关技术资料、技术要求</w:t>
      </w:r>
    </w:p>
    <w:p w14:paraId="0ACB863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2.1.6有关图纸</w:t>
      </w:r>
    </w:p>
    <w:p w14:paraId="7D8E687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 合同的特殊性条款的效力优于合同的一般性条款的效力</w:t>
      </w:r>
    </w:p>
    <w:p w14:paraId="7CBF782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三、 合同文件使用文字</w:t>
      </w:r>
    </w:p>
    <w:p w14:paraId="2BA41C0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 合同文件使用中文书写、解释和说明</w:t>
      </w:r>
    </w:p>
    <w:p w14:paraId="26ECFA3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p>
    <w:p w14:paraId="510F68B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四、双方责任及义务</w:t>
      </w:r>
    </w:p>
    <w:p w14:paraId="59DB3C7C">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4.1甲方的责任及义务</w:t>
      </w:r>
    </w:p>
    <w:p w14:paraId="78F2CA1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甲方不得要求乙方违反国家有关标准、法规、导则进行监理。</w:t>
      </w:r>
    </w:p>
    <w:p w14:paraId="410CE3D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甲方应及时按合同准备资金，验收并支付乙方项目款项。</w:t>
      </w:r>
    </w:p>
    <w:p w14:paraId="724FCB5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4.2乙方责任及义务：</w:t>
      </w:r>
    </w:p>
    <w:p w14:paraId="0A49388C">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4.21乙方应自己负责实施合同期间其工作人员的食宿、通讯、差旅、交通水电、资料收集等一切费用。</w:t>
      </w:r>
    </w:p>
    <w:p w14:paraId="1D6A039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4.22乙方应按国家技术规范、标准、导则及甲方提出的要求进行监理。</w:t>
      </w:r>
    </w:p>
    <w:p w14:paraId="4458E74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4.23乙方按本合同主要内容要求，提交阶段和全部监理报告及文件，并对其负责。</w:t>
      </w:r>
    </w:p>
    <w:p w14:paraId="2663277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4.24乙方应保护甲方的知识产权，不得向第三人泄露、转让甲方提交的资料。如发生以上情况并给甲方造成经济损失，甲方有权向乙方索赔。</w:t>
      </w:r>
    </w:p>
    <w:p w14:paraId="6E5FCBC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4.25乙方负责其工作人员的人身安全的义务。</w:t>
      </w:r>
    </w:p>
    <w:p w14:paraId="54EB016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4.26乙方派驻现场的总监理工程师和监理工程师必须和采购文件约定的人员一致。</w:t>
      </w:r>
    </w:p>
    <w:p w14:paraId="296A826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4.27本监理工程建立考勤制度。</w:t>
      </w:r>
    </w:p>
    <w:p w14:paraId="54A30C4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4.28协议执行期间，如发现乙方有以下违约行为之一，甲方有权终止本协议并取消乙方环境监理服务资格，并按有关法律法规追究其相应责任：</w:t>
      </w:r>
    </w:p>
    <w:p w14:paraId="3F708CFD">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4.28.1提供虚假信息、误导或欺骗委托人单位，以谋取非法利益；</w:t>
      </w:r>
    </w:p>
    <w:p w14:paraId="2C42F46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4.28.2违反了诚实信用和投标承诺，没有严格执行相关法规导则，损害委托人单位的利益；</w:t>
      </w:r>
    </w:p>
    <w:p w14:paraId="5043940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4.28.3拒绝接受甲方及相关部门监督、检查的；</w:t>
      </w:r>
    </w:p>
    <w:p w14:paraId="2220526D">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4.28.4出现信用危机、财务危机、生产经营危机甚至破产、倒闭，无法继续履行合同；</w:t>
      </w:r>
    </w:p>
    <w:p w14:paraId="4AFBE1A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4.28.5采用非法手段进行不正当竞争的，构成恶劣影响；</w:t>
      </w:r>
    </w:p>
    <w:p w14:paraId="5994C2B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4.28.6投标过程中所使用的相关资质被降级或吊销的。</w:t>
      </w:r>
    </w:p>
    <w:p w14:paraId="4A8E88D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五、合同价款和支付</w:t>
      </w:r>
    </w:p>
    <w:p w14:paraId="79479570">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合同价款和支付</w:t>
      </w:r>
    </w:p>
    <w:p w14:paraId="462E5240">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 本合同的结算货币为人民币，单位元。</w:t>
      </w:r>
    </w:p>
    <w:p w14:paraId="654BBE8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 乙方应按照双方签订的合同规定履行监理职责，并在合同特殊条款规定的期限内持下列单据结算合同款。</w:t>
      </w:r>
    </w:p>
    <w:p w14:paraId="28D468A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1.2.1正式的发票。</w:t>
      </w:r>
    </w:p>
    <w:p w14:paraId="3D706A9C">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1.2.2 甲方认可的相关进度款材料。</w:t>
      </w:r>
    </w:p>
    <w:p w14:paraId="21A056E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 甲方应按合同特殊条款规定的期限和方式付款。</w:t>
      </w:r>
    </w:p>
    <w:p w14:paraId="486BB0F8">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 除特别约定外，根据现行税法对甲方征收的与本合同有关的一切税费均由甲方承担；根据现行税法对乙方征收的与本合同有关的一切税费均由乙方承担。</w:t>
      </w:r>
    </w:p>
    <w:p w14:paraId="27AD4F78">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六、违约责任</w:t>
      </w:r>
    </w:p>
    <w:p w14:paraId="719FCB0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1.违约责任</w:t>
      </w:r>
    </w:p>
    <w:p w14:paraId="6262D51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合同乙方不履行合同义务或者履行合同义务不符合规定的，应当承担继续履行、采取补救措施或者赔偿损失等违约责任。</w:t>
      </w:r>
    </w:p>
    <w:p w14:paraId="4F864E8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2.甲方违约责任</w:t>
      </w:r>
    </w:p>
    <w:p w14:paraId="18C70F5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甲方违反合同规定，拒绝接受乙方交付的合格成果，应当承担乙方由此造成的损失。</w:t>
      </w:r>
    </w:p>
    <w:p w14:paraId="77A869B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3.乙方违约责任</w:t>
      </w:r>
    </w:p>
    <w:p w14:paraId="3A40E31D">
      <w:pPr>
        <w:keepNext w:val="0"/>
        <w:keepLines w:val="0"/>
        <w:pageBreakBefore w:val="0"/>
        <w:widowControl w:val="0"/>
        <w:tabs>
          <w:tab w:val="left" w:pos="426"/>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乙方不能提交成果（逾期超过30天视为不能提交），或提交不合格从而影响甲方按期正常使用的，应向甲方偿付合同总价款5%的违约金，违约金不足以补偿损失的甲方有权要求乙方补足。</w:t>
      </w:r>
    </w:p>
    <w:p w14:paraId="6AF9BCBC">
      <w:pPr>
        <w:keepNext w:val="0"/>
        <w:keepLines w:val="0"/>
        <w:pageBreakBefore w:val="0"/>
        <w:widowControl w:val="0"/>
        <w:tabs>
          <w:tab w:val="left" w:pos="426"/>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乙方逾期提交成果，应在提交前与甲方和政府采购管理部门协商，甲方仍需求的，乙方应立即提交并应按照逾期提交部分的合同金额的每天万分之壹支付逾期交货违约金，同时承担甲方因此遭致的损失费。</w:t>
      </w:r>
    </w:p>
    <w:p w14:paraId="39D005C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4.索赔</w:t>
      </w:r>
    </w:p>
    <w:p w14:paraId="48F43AEA">
      <w:pPr>
        <w:keepNext w:val="0"/>
        <w:keepLines w:val="0"/>
        <w:pageBreakBefore w:val="0"/>
        <w:widowControl w:val="0"/>
        <w:tabs>
          <w:tab w:val="left" w:pos="426"/>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4.1甲方有权根据法规导则向乙方提出索赔。</w:t>
      </w:r>
    </w:p>
    <w:p w14:paraId="4A1F86E3">
      <w:pPr>
        <w:keepNext w:val="0"/>
        <w:keepLines w:val="0"/>
        <w:pageBreakBefore w:val="0"/>
        <w:widowControl w:val="0"/>
        <w:tabs>
          <w:tab w:val="left" w:pos="426"/>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4.2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0FEF15F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七、合同的解除和转让</w:t>
      </w:r>
    </w:p>
    <w:p w14:paraId="5E7DCBB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合同的解除</w:t>
      </w:r>
    </w:p>
    <w:p w14:paraId="414B574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 甲方和乙方协商一致，可以解除合同；</w:t>
      </w:r>
    </w:p>
    <w:p w14:paraId="1E628E6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 有下列情形之一，合同一方可以解除合同：</w:t>
      </w:r>
    </w:p>
    <w:p w14:paraId="3D1E191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1.2.1 因不可抗力致使不能实现合同目的，未受不可抗力影响的一方有权解除合同；</w:t>
      </w:r>
    </w:p>
    <w:p w14:paraId="2C7F7E0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1.2.2 因合同一方违约导致合同不能履行，另一方有权解除合同；</w:t>
      </w:r>
    </w:p>
    <w:p w14:paraId="212BDF2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 有权解除合同的一方，应当在违约事实或不可抗力发生之后三十天内书面通知对方以主张解除合同，合同在书面通知到达对方时解除。</w:t>
      </w:r>
    </w:p>
    <w:p w14:paraId="39D9286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  合同的转让</w:t>
      </w:r>
    </w:p>
    <w:p w14:paraId="4DC1294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合同的部分和全部都不得转让。</w:t>
      </w:r>
    </w:p>
    <w:p w14:paraId="718151F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八、合同的生效</w:t>
      </w:r>
    </w:p>
    <w:p w14:paraId="46DDF66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合同的生效</w:t>
      </w:r>
    </w:p>
    <w:p w14:paraId="754C47F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本合同经双方法定（授权）代表人签字（或盖章）并盖单位公章后生效，同时须送代理机构备案。</w:t>
      </w:r>
    </w:p>
    <w:p w14:paraId="791C8C3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九、争议解决</w:t>
      </w:r>
    </w:p>
    <w:p w14:paraId="7B67EF7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争议解决</w:t>
      </w:r>
    </w:p>
    <w:p w14:paraId="175EB11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甲乙双方因合同发生争议，应进行调解，协商不成，任何一方可以向甲方所在地人民法院起诉。</w:t>
      </w:r>
    </w:p>
    <w:p w14:paraId="093AB01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十、附则</w:t>
      </w:r>
    </w:p>
    <w:p w14:paraId="62EDF55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  合同份数。</w:t>
      </w:r>
    </w:p>
    <w:p w14:paraId="4A97E45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本合同一式柒份，甲方叁份，乙方叁份，采购代理壹份，各份具有同等法律效力</w:t>
      </w:r>
      <w:r>
        <w:rPr>
          <w:rFonts w:hint="eastAsia" w:ascii="宋体" w:hAnsi="宋体" w:eastAsia="宋体" w:cs="宋体"/>
          <w:color w:val="auto"/>
          <w:sz w:val="22"/>
          <w:szCs w:val="22"/>
          <w:highlight w:val="none"/>
        </w:rPr>
        <w:t>。</w:t>
      </w:r>
    </w:p>
    <w:p w14:paraId="3CE47D5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  未尽事宜</w:t>
      </w:r>
    </w:p>
    <w:p w14:paraId="5057F7C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本合同未尽事宜应按《中华人民共和国民法典》、《中华人民共和国政府采购法》之规定解释。</w:t>
      </w:r>
    </w:p>
    <w:p w14:paraId="68474BB6">
      <w:pPr>
        <w:pStyle w:val="13"/>
        <w:keepNext w:val="0"/>
        <w:keepLines w:val="0"/>
        <w:pageBreakBefore w:val="0"/>
        <w:widowControl w:val="0"/>
        <w:kinsoku/>
        <w:wordWrap w:val="0"/>
        <w:overflowPunct/>
        <w:topLinePunct w:val="0"/>
        <w:autoSpaceDE/>
        <w:autoSpaceDN/>
        <w:bidi w:val="0"/>
        <w:adjustRightInd/>
        <w:snapToGrid/>
        <w:spacing w:before="145" w:beforeAutospacing="0" w:after="145" w:afterAutospacing="0" w:line="400" w:lineRule="exact"/>
        <w:jc w:val="center"/>
        <w:textAlignment w:va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第二部分 合同</w:t>
      </w:r>
      <w:r>
        <w:rPr>
          <w:rFonts w:hint="eastAsia" w:ascii="宋体" w:hAnsi="宋体" w:eastAsia="宋体" w:cs="宋体"/>
          <w:b/>
          <w:color w:val="000000"/>
          <w:sz w:val="28"/>
          <w:szCs w:val="28"/>
          <w:highlight w:val="none"/>
          <w:lang w:val="en-US" w:eastAsia="zh-CN"/>
        </w:rPr>
        <w:t>专用</w:t>
      </w:r>
      <w:r>
        <w:rPr>
          <w:rFonts w:hint="eastAsia" w:ascii="宋体" w:hAnsi="宋体" w:eastAsia="宋体" w:cs="宋体"/>
          <w:b/>
          <w:color w:val="000000"/>
          <w:sz w:val="28"/>
          <w:szCs w:val="28"/>
          <w:highlight w:val="none"/>
        </w:rPr>
        <w:t>条款</w:t>
      </w:r>
    </w:p>
    <w:p w14:paraId="41111472">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根据采购编号</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采购文件及乙方的响应文件和成交通知书，甲乙双方就此次成交的</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江苏滨海经济开发区沿海工业园地下水污染风险管控第三方监理(环境监理等)服务项目</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事宜，签订本合同书。</w:t>
      </w:r>
    </w:p>
    <w:p w14:paraId="5DE5039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一、合同内容：</w:t>
      </w:r>
    </w:p>
    <w:p w14:paraId="20073F6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甲方向乙方采购内容要求如下：</w:t>
      </w:r>
      <w:r>
        <w:rPr>
          <w:rFonts w:hint="eastAsia" w:ascii="宋体" w:hAnsi="宋体" w:eastAsia="宋体" w:cs="宋体"/>
          <w:color w:val="auto"/>
          <w:sz w:val="22"/>
          <w:szCs w:val="22"/>
          <w:highlight w:val="none"/>
          <w:u w:val="single"/>
          <w:lang w:eastAsia="zh-CN"/>
        </w:rPr>
        <w:t>江苏滨海经济开发区沿海工业园地下水污染风险管控第三方监理(环境监理等)服务项目</w:t>
      </w:r>
      <w:r>
        <w:rPr>
          <w:rFonts w:hint="eastAsia" w:ascii="宋体" w:hAnsi="宋体" w:eastAsia="宋体" w:cs="宋体"/>
          <w:color w:val="auto"/>
          <w:sz w:val="22"/>
          <w:szCs w:val="22"/>
          <w:highlight w:val="none"/>
        </w:rPr>
        <w:t>；</w:t>
      </w:r>
    </w:p>
    <w:p w14:paraId="17FE247B">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以采购文件要求及成交单位响应文件响应情况为准。</w:t>
      </w:r>
    </w:p>
    <w:p w14:paraId="5946D0D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二、下列文件为本合同不可分割部分：</w:t>
      </w:r>
    </w:p>
    <w:p w14:paraId="347C2D91">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①成交通知书；</w:t>
      </w:r>
    </w:p>
    <w:p w14:paraId="6D0DA8EC">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②采购文件；</w:t>
      </w:r>
    </w:p>
    <w:p w14:paraId="7DA96049">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③乙方成交的响应文件；</w:t>
      </w:r>
    </w:p>
    <w:p w14:paraId="396A9FAE">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④乙方在采购过程中所作的其它承诺、声明、书面澄清等。</w:t>
      </w:r>
    </w:p>
    <w:p w14:paraId="5E7AE01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三、价格与支付：</w:t>
      </w:r>
    </w:p>
    <w:p w14:paraId="44EE655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1、价格：</w:t>
      </w:r>
      <w:r>
        <w:rPr>
          <w:rFonts w:hint="eastAsia" w:ascii="宋体" w:hAnsi="宋体" w:eastAsia="宋体" w:cs="宋体"/>
          <w:b/>
          <w:color w:val="auto"/>
          <w:sz w:val="22"/>
          <w:szCs w:val="22"/>
          <w:highlight w:val="none"/>
          <w:u w:val="single"/>
        </w:rPr>
        <w:t xml:space="preserve"> 人民币              元整（￥:     ）</w:t>
      </w:r>
      <w:r>
        <w:rPr>
          <w:rFonts w:hint="eastAsia" w:ascii="宋体" w:hAnsi="宋体" w:eastAsia="宋体" w:cs="宋体"/>
          <w:color w:val="auto"/>
          <w:sz w:val="22"/>
          <w:szCs w:val="22"/>
          <w:highlight w:val="none"/>
        </w:rPr>
        <w:t>，包括但不限于在服务期内完成合格服务所需的人工、餐费、耗材、通讯、服装、办公设备、巡检器材、各种税费、保险、劳保、维护、利润、税金、政策性文件规定及合同包含的所有风险、责任等各项应有费用。本项目为固定总价合同，合同总额包括了可能发生的所有风险和额外费用。除甲方要求变更外，合同实施期间内合同总价将不予调整。</w:t>
      </w:r>
    </w:p>
    <w:p w14:paraId="67B44AE0">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2、付款步骤：</w:t>
      </w:r>
    </w:p>
    <w:p w14:paraId="311979F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预付款：合同签订后支付合同额的30%作为项目预付款（中标人向招标人提供等额预付款保函）（预付款部分在首次支付时予以抵扣</w:t>
      </w:r>
      <w:r>
        <w:rPr>
          <w:rFonts w:hint="eastAsia" w:eastAsia="宋体" w:cs="宋体"/>
          <w:color w:val="auto"/>
          <w:sz w:val="22"/>
          <w:szCs w:val="22"/>
          <w:highlight w:val="none"/>
          <w:lang w:eastAsia="zh-CN"/>
        </w:rPr>
        <w:t>，</w:t>
      </w:r>
      <w:r>
        <w:rPr>
          <w:rFonts w:hint="eastAsia" w:eastAsia="宋体" w:cs="宋体"/>
          <w:color w:val="auto"/>
          <w:sz w:val="22"/>
          <w:szCs w:val="22"/>
          <w:highlight w:val="none"/>
          <w:lang w:val="en-US" w:eastAsia="zh-CN"/>
        </w:rPr>
        <w:t>同时退还预付款保函</w:t>
      </w:r>
      <w:r>
        <w:rPr>
          <w:rFonts w:hint="eastAsia" w:ascii="宋体" w:hAnsi="宋体" w:eastAsia="宋体" w:cs="宋体"/>
          <w:color w:val="auto"/>
          <w:sz w:val="22"/>
          <w:szCs w:val="22"/>
          <w:highlight w:val="none"/>
        </w:rPr>
        <w:t>）；</w:t>
      </w:r>
    </w:p>
    <w:p w14:paraId="60BFB5DC">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①</w:t>
      </w:r>
      <w:r>
        <w:rPr>
          <w:rFonts w:hint="eastAsia" w:ascii="宋体" w:hAnsi="宋体" w:eastAsia="宋体" w:cs="宋体"/>
          <w:color w:val="auto"/>
          <w:sz w:val="22"/>
          <w:szCs w:val="22"/>
          <w:highlight w:val="none"/>
        </w:rPr>
        <w:t>B区（土水风险不可接受区域）现场服务工作全部完成（经效果评估单位阶段性验收）后支付至合同额的50%；</w:t>
      </w:r>
    </w:p>
    <w:p w14:paraId="770D336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②</w:t>
      </w:r>
      <w:r>
        <w:rPr>
          <w:rFonts w:hint="eastAsia" w:ascii="宋体" w:hAnsi="宋体" w:eastAsia="宋体" w:cs="宋体"/>
          <w:color w:val="auto"/>
          <w:sz w:val="22"/>
          <w:szCs w:val="22"/>
          <w:highlight w:val="none"/>
        </w:rPr>
        <w:t>C区（存在潜在迁移扩散风险的区域）地下水抽出量达到设计量的50%（经监理单位确认）时支付至合同额的70%；</w:t>
      </w:r>
    </w:p>
    <w:p w14:paraId="588B06E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③</w:t>
      </w:r>
      <w:r>
        <w:rPr>
          <w:rFonts w:hint="eastAsia" w:ascii="宋体" w:hAnsi="宋体" w:eastAsia="宋体" w:cs="宋体"/>
          <w:color w:val="auto"/>
          <w:sz w:val="22"/>
          <w:szCs w:val="22"/>
          <w:highlight w:val="none"/>
        </w:rPr>
        <w:t>现场全部服务工作完成时支付至合同额的90%；</w:t>
      </w:r>
    </w:p>
    <w:p w14:paraId="0D796B7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④</w:t>
      </w:r>
      <w:r>
        <w:rPr>
          <w:rFonts w:hint="eastAsia" w:ascii="宋体" w:hAnsi="宋体" w:eastAsia="宋体" w:cs="宋体"/>
          <w:color w:val="auto"/>
          <w:sz w:val="22"/>
          <w:szCs w:val="22"/>
          <w:highlight w:val="none"/>
        </w:rPr>
        <w:t>项目通过采购人组织的履约验收或效果评估后一次性付清余款。</w:t>
      </w:r>
    </w:p>
    <w:p w14:paraId="65364622">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注：</w:t>
      </w:r>
      <w:r>
        <w:rPr>
          <w:rFonts w:hint="eastAsia" w:ascii="宋体" w:hAnsi="宋体" w:eastAsia="宋体" w:cs="宋体"/>
          <w:color w:val="auto"/>
          <w:sz w:val="22"/>
          <w:szCs w:val="22"/>
          <w:highlight w:val="none"/>
        </w:rPr>
        <w:t>甲方每次付款时，乙方需</w:t>
      </w:r>
      <w:r>
        <w:rPr>
          <w:rFonts w:hint="eastAsia" w:ascii="宋体" w:hAnsi="宋体" w:cs="宋体"/>
          <w:color w:val="auto"/>
          <w:sz w:val="22"/>
          <w:szCs w:val="22"/>
          <w:highlight w:val="none"/>
          <w:lang w:val="en-US" w:eastAsia="zh-CN"/>
        </w:rPr>
        <w:t>提供</w:t>
      </w:r>
      <w:r>
        <w:rPr>
          <w:rFonts w:hint="eastAsia" w:ascii="宋体" w:hAnsi="宋体" w:eastAsia="宋体" w:cs="宋体"/>
          <w:color w:val="auto"/>
          <w:sz w:val="22"/>
          <w:szCs w:val="22"/>
          <w:highlight w:val="none"/>
        </w:rPr>
        <w:t>等额</w:t>
      </w:r>
      <w:r>
        <w:rPr>
          <w:rFonts w:hint="eastAsia" w:ascii="宋体" w:hAnsi="宋体" w:cs="宋体"/>
          <w:color w:val="auto"/>
          <w:sz w:val="22"/>
          <w:szCs w:val="22"/>
          <w:highlight w:val="none"/>
          <w:lang w:val="en-US" w:eastAsia="zh-CN"/>
        </w:rPr>
        <w:t>税务发票</w:t>
      </w:r>
      <w:r>
        <w:rPr>
          <w:rFonts w:hint="eastAsia" w:ascii="宋体" w:hAnsi="宋体" w:eastAsia="宋体" w:cs="宋体"/>
          <w:color w:val="auto"/>
          <w:sz w:val="22"/>
          <w:szCs w:val="22"/>
          <w:highlight w:val="none"/>
        </w:rPr>
        <w:t>。</w:t>
      </w:r>
    </w:p>
    <w:p w14:paraId="512C5B9D">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3、付款方式：银行汇票或转帐支票、网银汇款。</w:t>
      </w:r>
    </w:p>
    <w:p w14:paraId="6B866E9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2"/>
          <w:szCs w:val="22"/>
          <w:highlight w:val="none"/>
        </w:rPr>
        <w:t>四、</w:t>
      </w:r>
      <w:r>
        <w:rPr>
          <w:rFonts w:hint="eastAsia" w:ascii="宋体" w:hAnsi="宋体" w:eastAsia="宋体" w:cs="宋体"/>
          <w:b/>
          <w:bCs/>
          <w:color w:val="auto"/>
          <w:sz w:val="22"/>
          <w:szCs w:val="22"/>
          <w:highlight w:val="none"/>
        </w:rPr>
        <w:t>监理服务期限：</w:t>
      </w:r>
      <w:r>
        <w:rPr>
          <w:rFonts w:hint="eastAsia" w:ascii="宋体" w:hAnsi="宋体" w:eastAsia="宋体" w:cs="宋体"/>
          <w:color w:val="auto"/>
          <w:sz w:val="22"/>
          <w:szCs w:val="22"/>
          <w:highlight w:val="none"/>
        </w:rPr>
        <w:t>自合同签订之日起3年内完成全部服务工作，实际环境监理服务期与管控服务期同步</w:t>
      </w:r>
      <w:r>
        <w:rPr>
          <w:rFonts w:hint="eastAsia" w:eastAsia="宋体" w:cs="宋体"/>
          <w:color w:val="auto"/>
          <w:sz w:val="22"/>
          <w:szCs w:val="22"/>
          <w:highlight w:val="none"/>
          <w:lang w:eastAsia="zh-CN"/>
        </w:rPr>
        <w:t>。</w:t>
      </w:r>
    </w:p>
    <w:p w14:paraId="2F929A18">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五、地点：</w:t>
      </w:r>
      <w:r>
        <w:rPr>
          <w:rFonts w:hint="eastAsia" w:ascii="宋体" w:hAnsi="宋体" w:eastAsia="宋体" w:cs="宋体"/>
          <w:color w:val="auto"/>
          <w:sz w:val="22"/>
          <w:szCs w:val="22"/>
          <w:highlight w:val="none"/>
          <w:lang w:eastAsia="zh-CN"/>
        </w:rPr>
        <w:t>江苏省滨海县沿海工业园境内，采购人指定地点。</w:t>
      </w:r>
    </w:p>
    <w:p w14:paraId="5BC7E11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六、派驻负责人及其他人员</w:t>
      </w:r>
    </w:p>
    <w:p w14:paraId="2BF2D510">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1、乙方项目负责人及监理工程师</w:t>
      </w:r>
    </w:p>
    <w:p w14:paraId="5C529B02">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1.1乙方任命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为本项目</w:t>
      </w:r>
      <w:r>
        <w:rPr>
          <w:rFonts w:hint="eastAsia" w:ascii="宋体" w:hAnsi="宋体" w:eastAsia="宋体" w:cs="宋体"/>
          <w:color w:val="auto"/>
          <w:sz w:val="22"/>
          <w:szCs w:val="22"/>
          <w:highlight w:val="none"/>
          <w:lang w:val="zh-CN"/>
        </w:rPr>
        <w:t>总监理工程师</w:t>
      </w:r>
      <w:r>
        <w:rPr>
          <w:rFonts w:hint="eastAsia" w:ascii="宋体" w:hAnsi="宋体" w:eastAsia="宋体" w:cs="宋体"/>
          <w:color w:val="auto"/>
          <w:sz w:val="22"/>
          <w:szCs w:val="22"/>
          <w:highlight w:val="none"/>
        </w:rPr>
        <w:t>，任命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为</w:t>
      </w:r>
      <w:r>
        <w:rPr>
          <w:rFonts w:hint="eastAsia" w:ascii="宋体" w:hAnsi="宋体" w:eastAsia="宋体" w:cs="宋体"/>
          <w:color w:val="auto"/>
          <w:sz w:val="22"/>
          <w:szCs w:val="22"/>
          <w:highlight w:val="none"/>
          <w:lang w:val="zh-CN"/>
        </w:rPr>
        <w:t>项目技术负责人</w:t>
      </w:r>
      <w:r>
        <w:rPr>
          <w:rFonts w:hint="eastAsia" w:ascii="宋体" w:hAnsi="宋体" w:eastAsia="宋体" w:cs="宋体"/>
          <w:color w:val="auto"/>
          <w:sz w:val="22"/>
          <w:szCs w:val="22"/>
          <w:highlight w:val="none"/>
        </w:rPr>
        <w:t>。在环境监理合同签订后十个工作日内，环境监理单位应根据响应文件及时将环境监理单位的组织形式、人员构成及对总环境监理工程师的任命书面通知业主单位，抄送施工单位和工程监理单位。环境监理单位调换总环境监理工程师时，应征得业主单位书面同意，并书面通知业主单位，抄送施工单位和工程监理单位。未经甲方同意，乙方不得擅自更换上述人员，如确需变更人员的，乙方需提出书面申请，经甲方同意后变更。</w:t>
      </w:r>
    </w:p>
    <w:p w14:paraId="663190F5">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1.2乙方派驻施工现场人员有下列情形之一的，甲方有权提出更换，乙方须在甲方提出要求后24小时内用资格和经验可为甲方接受的人员代替，由此发生的一切费用由乙方承担：</w:t>
      </w:r>
    </w:p>
    <w:p w14:paraId="40380EE7">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a.现场人员不胜任岗位的；</w:t>
      </w:r>
    </w:p>
    <w:p w14:paraId="2CC64E2C">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b.不能积极配合甲方工作的；</w:t>
      </w:r>
    </w:p>
    <w:p w14:paraId="7B788548">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c.违反甲方工地现场管理规定的；</w:t>
      </w:r>
    </w:p>
    <w:p w14:paraId="67EDAF49">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d.与本合同规定人员名称不符的；</w:t>
      </w:r>
    </w:p>
    <w:p w14:paraId="4045B7E2">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e.与本监理无关的人员。</w:t>
      </w:r>
    </w:p>
    <w:p w14:paraId="418C9CD4">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1.3乙方现场监理负责人到岗率须达到80%以上，其他监理人员到岗率须达到100%。</w:t>
      </w:r>
    </w:p>
    <w:p w14:paraId="02747819">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1.4项目负责人、监理员必须参加每次工地例会，因故不能参加例会，应提前24小时向甲方请假并在获得批准后方可缺席。 </w:t>
      </w:r>
    </w:p>
    <w:p w14:paraId="7395BA1C">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1.5．乙方的要求、请求和通知，以书面形式由项目负责人或驻施工现场代表签字后送交甲方代表，甲方在回执上签署姓名和收到时间。</w:t>
      </w:r>
    </w:p>
    <w:p w14:paraId="31C71888">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1.6联系单、通知等签收代表</w:t>
      </w:r>
    </w:p>
    <w:p w14:paraId="7A229FAA">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乙方指派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作为本项目联系单、通知等材料的签收代表，未经甲方同意的，乙方不得变更。如确需变更的，乙方需提出书面申请，经甲方同意后才能变更。</w:t>
      </w:r>
    </w:p>
    <w:p w14:paraId="5BB1BB40">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七、环境监理</w:t>
      </w:r>
      <w:r>
        <w:rPr>
          <w:rFonts w:hint="eastAsia" w:eastAsia="宋体" w:cs="宋体"/>
          <w:b/>
          <w:color w:val="auto"/>
          <w:sz w:val="22"/>
          <w:szCs w:val="22"/>
          <w:highlight w:val="none"/>
          <w:lang w:val="en-US" w:eastAsia="zh-CN"/>
        </w:rPr>
        <w:t>等</w:t>
      </w:r>
      <w:r>
        <w:rPr>
          <w:rFonts w:hint="eastAsia" w:ascii="宋体" w:hAnsi="宋体" w:eastAsia="宋体" w:cs="宋体"/>
          <w:b/>
          <w:color w:val="auto"/>
          <w:sz w:val="22"/>
          <w:szCs w:val="22"/>
          <w:highlight w:val="none"/>
        </w:rPr>
        <w:t>要求：</w:t>
      </w:r>
    </w:p>
    <w:p w14:paraId="129BDF0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1、</w:t>
      </w:r>
      <w:r>
        <w:rPr>
          <w:rFonts w:hint="eastAsia"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过程的环境监理，应根据</w:t>
      </w:r>
      <w:r>
        <w:rPr>
          <w:rFonts w:hint="eastAsia" w:eastAsia="宋体" w:cs="宋体"/>
          <w:color w:val="auto"/>
          <w:sz w:val="22"/>
          <w:szCs w:val="22"/>
          <w:highlight w:val="none"/>
          <w:lang w:eastAsia="zh-CN"/>
        </w:rPr>
        <w:t>风险管控</w:t>
      </w:r>
      <w:r>
        <w:rPr>
          <w:rFonts w:hint="eastAsia" w:ascii="宋体" w:hAnsi="宋体" w:eastAsia="宋体" w:cs="宋体"/>
          <w:color w:val="auto"/>
          <w:sz w:val="22"/>
          <w:szCs w:val="22"/>
          <w:highlight w:val="none"/>
        </w:rPr>
        <w:t>技术方案和施工组织设计方案核实确认</w:t>
      </w:r>
      <w:r>
        <w:rPr>
          <w:rFonts w:hint="eastAsia" w:eastAsia="宋体" w:cs="宋体"/>
          <w:color w:val="auto"/>
          <w:sz w:val="22"/>
          <w:szCs w:val="22"/>
          <w:highlight w:val="none"/>
          <w:lang w:eastAsia="zh-CN"/>
        </w:rPr>
        <w:t>风险管控</w:t>
      </w:r>
      <w:r>
        <w:rPr>
          <w:rFonts w:hint="eastAsia" w:ascii="宋体" w:hAnsi="宋体" w:eastAsia="宋体" w:cs="宋体"/>
          <w:color w:val="auto"/>
          <w:sz w:val="22"/>
          <w:szCs w:val="22"/>
          <w:highlight w:val="none"/>
        </w:rPr>
        <w:t>工程的平面布置，监督现场工作，核实</w:t>
      </w:r>
      <w:r>
        <w:rPr>
          <w:rFonts w:hint="eastAsia"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项目区域与环境敏感区域位置关系是否发生重大变化。严格监督</w:t>
      </w:r>
      <w:r>
        <w:rPr>
          <w:rFonts w:hint="eastAsia" w:ascii="宋体" w:hAnsi="宋体" w:eastAsia="宋体" w:cs="宋体"/>
          <w:color w:val="auto"/>
          <w:sz w:val="22"/>
          <w:szCs w:val="22"/>
          <w:highlight w:val="none"/>
          <w:lang w:eastAsia="zh-CN"/>
        </w:rPr>
        <w:t>风险管控</w:t>
      </w:r>
      <w:r>
        <w:rPr>
          <w:rFonts w:hint="eastAsia" w:ascii="宋体" w:hAnsi="宋体" w:eastAsia="宋体" w:cs="宋体"/>
          <w:color w:val="auto"/>
          <w:sz w:val="22"/>
          <w:szCs w:val="22"/>
          <w:highlight w:val="none"/>
        </w:rPr>
        <w:t>过程，并</w:t>
      </w:r>
      <w:r>
        <w:rPr>
          <w:rFonts w:hint="eastAsia" w:eastAsia="宋体" w:cs="宋体"/>
          <w:color w:val="auto"/>
          <w:sz w:val="22"/>
          <w:szCs w:val="22"/>
          <w:highlight w:val="none"/>
          <w:lang w:val="en-US" w:eastAsia="zh-CN"/>
        </w:rPr>
        <w:t>监督</w:t>
      </w:r>
      <w:r>
        <w:rPr>
          <w:rFonts w:hint="eastAsia" w:ascii="宋体" w:hAnsi="宋体" w:eastAsia="宋体" w:cs="宋体"/>
          <w:color w:val="auto"/>
          <w:sz w:val="22"/>
          <w:szCs w:val="22"/>
          <w:highlight w:val="none"/>
          <w:lang w:eastAsia="zh-CN"/>
        </w:rPr>
        <w:t>风险管控</w:t>
      </w:r>
      <w:r>
        <w:rPr>
          <w:rFonts w:hint="eastAsia" w:ascii="宋体" w:hAnsi="宋体" w:eastAsia="宋体" w:cs="宋体"/>
          <w:color w:val="auto"/>
          <w:sz w:val="22"/>
          <w:szCs w:val="22"/>
          <w:highlight w:val="none"/>
        </w:rPr>
        <w:t>过程中</w:t>
      </w:r>
      <w:r>
        <w:rPr>
          <w:rFonts w:hint="eastAsia" w:eastAsia="宋体" w:cs="宋体"/>
          <w:color w:val="auto"/>
          <w:sz w:val="22"/>
          <w:szCs w:val="22"/>
          <w:highlight w:val="none"/>
          <w:lang w:val="en-US" w:eastAsia="zh-CN"/>
        </w:rPr>
        <w:t>二次污染环境</w:t>
      </w:r>
      <w:r>
        <w:rPr>
          <w:rFonts w:hint="eastAsia" w:ascii="宋体" w:hAnsi="宋体" w:eastAsia="宋体" w:cs="宋体"/>
          <w:color w:val="auto"/>
          <w:sz w:val="22"/>
          <w:szCs w:val="22"/>
          <w:highlight w:val="none"/>
        </w:rPr>
        <w:t>情况</w:t>
      </w:r>
      <w:r>
        <w:rPr>
          <w:rFonts w:hint="eastAsia" w:ascii="宋体" w:hAnsi="宋体" w:eastAsia="宋体" w:cs="宋体"/>
          <w:color w:val="auto"/>
          <w:sz w:val="22"/>
          <w:szCs w:val="22"/>
          <w:highlight w:val="none"/>
          <w:lang w:eastAsia="zh-CN"/>
        </w:rPr>
        <w:t>。</w:t>
      </w:r>
    </w:p>
    <w:p w14:paraId="364BFF7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、严格监督</w:t>
      </w:r>
      <w:r>
        <w:rPr>
          <w:rFonts w:hint="eastAsia"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工作实施过程是否符合技术方案和实施方案要求，跟踪监督</w:t>
      </w:r>
      <w:r>
        <w:rPr>
          <w:rFonts w:hint="eastAsia"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流程及主要环节、核对关键工艺参数。在监理全过程中，环境监理单位应监督施工单位做好全过程污染防治工作，对存在的问题提出整改要求，不得产生二次污染；</w:t>
      </w:r>
    </w:p>
    <w:p w14:paraId="5F9548FD">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、环境监理单位应监理全过程施工场地周边环境质量，避免施工作业影响周边居民的生活；</w:t>
      </w:r>
    </w:p>
    <w:p w14:paraId="31C2D38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40" w:firstLineChars="200"/>
        <w:jc w:val="left"/>
        <w:textAlignment w:val="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zh-CN"/>
        </w:rPr>
        <w:t>监理服务人员要求：总监理工程师1名，项目技术负责人和项目质量负责人各1名；实施过程配备的其他监理员应满足不同施工阶段监理工作的需要；拟派总环境监理工程师在项目实施阶段不得更换；响应监理人员必须与入场人员一致。</w:t>
      </w:r>
    </w:p>
    <w:p w14:paraId="5735B8B6">
      <w:pPr>
        <w:pStyle w:val="6"/>
        <w:keepNext w:val="0"/>
        <w:keepLines w:val="0"/>
        <w:pageBreakBefore w:val="0"/>
        <w:widowControl w:val="0"/>
        <w:kinsoku/>
        <w:wordWrap w:val="0"/>
        <w:overflowPunct/>
        <w:topLinePunct w:val="0"/>
        <w:autoSpaceDE/>
        <w:autoSpaceDN/>
        <w:bidi w:val="0"/>
        <w:adjustRightInd/>
        <w:snapToGrid/>
        <w:spacing w:line="400" w:lineRule="exact"/>
        <w:ind w:left="0" w:firstLine="440" w:firstLineChars="200"/>
        <w:textAlignment w:val="auto"/>
        <w:rPr>
          <w:rFonts w:hint="default" w:eastAsia="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5、对风险管控过程工作量的计量进行审核确认，也包括进度、质量、投资控制等控制措施，安全、信息、风险管理工作，组织协调工作等。</w:t>
      </w:r>
    </w:p>
    <w:p w14:paraId="0835911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八、</w:t>
      </w:r>
      <w:r>
        <w:rPr>
          <w:rFonts w:hint="eastAsia" w:ascii="宋体" w:hAnsi="宋体" w:eastAsia="宋体" w:cs="宋体"/>
          <w:b/>
          <w:bCs/>
          <w:color w:val="auto"/>
          <w:sz w:val="22"/>
          <w:szCs w:val="22"/>
          <w:highlight w:val="none"/>
        </w:rPr>
        <w:t>甲、乙双方的权利与责任</w:t>
      </w:r>
      <w:r>
        <w:rPr>
          <w:rFonts w:hint="eastAsia" w:ascii="宋体" w:hAnsi="宋体" w:eastAsia="宋体" w:cs="宋体"/>
          <w:b/>
          <w:color w:val="auto"/>
          <w:sz w:val="22"/>
          <w:szCs w:val="22"/>
          <w:highlight w:val="none"/>
        </w:rPr>
        <w:t>：</w:t>
      </w:r>
    </w:p>
    <w:p w14:paraId="71F060EC">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1、甲方权利与责任：</w:t>
      </w:r>
    </w:p>
    <w:p w14:paraId="57DC3D2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指定专人作为甲方联系人予以协调工作。加强与乙方勾通，交流情况，互通信息。</w:t>
      </w:r>
    </w:p>
    <w:p w14:paraId="5CA22F8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甲方应积极配合乙方工作人员履行好合同所规定的职责和义务。对甲方人员因使用设备、器材、器械不当而造成的损失与乙方无关。</w:t>
      </w:r>
    </w:p>
    <w:p w14:paraId="5061F60B">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批准或认可乙方的服务工作计划和工程量，为乙方工作人员提供工作上的便利条件，协助乙方开展工作。</w:t>
      </w:r>
    </w:p>
    <w:p w14:paraId="5A6217E2">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甲方对工期、质量、人员、设备、仪器、检测过程和服务进行监督检查，对不符合技术要求的工作，有权要求责任方自费进行返工；</w:t>
      </w:r>
    </w:p>
    <w:p w14:paraId="29212DC0">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根据本合同规定按时付款；</w:t>
      </w:r>
    </w:p>
    <w:p w14:paraId="7965201B">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在约定的时间内就乙方书面提交并要求作出决定的一切事宜作出书面决定；</w:t>
      </w:r>
    </w:p>
    <w:p w14:paraId="5711ED9A">
      <w:pPr>
        <w:pStyle w:val="8"/>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甲方有权否定任何在服务过程中，乙方人员作出损害甲方利益的决定和行为，并有权向乙方人员索赔或追究法律责任；</w:t>
      </w:r>
    </w:p>
    <w:p w14:paraId="793E924C">
      <w:pPr>
        <w:pStyle w:val="6"/>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如乙方不能有效地履行合同职责，或严重违反国家有关法规，甲方有权终止本协议，并追究由此造成的一切损失。</w:t>
      </w:r>
    </w:p>
    <w:p w14:paraId="454AD086">
      <w:pPr>
        <w:pStyle w:val="33"/>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2、乙方权利与责任：</w:t>
      </w:r>
    </w:p>
    <w:p w14:paraId="326B6A1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乙方在从服务工作中应当做到文明工作、安全生产，采取必要的安全防范措施，合同期内若发生安全事故由乙方承担，与甲方无关。</w:t>
      </w:r>
    </w:p>
    <w:p w14:paraId="679287A8">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乙方应及时调整不适应工作需求的人员。如甲方认为该员工不能胜任本职工作的，必须调整。</w:t>
      </w:r>
    </w:p>
    <w:p w14:paraId="37DDF685">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应经常对员工进行岗位职责和安全教育，加强岗位责任考核。因管理不当、违规操作发生设备损坏等安全事故对甲方造成一定损失的，乙方需承担相应的赔偿责任。具体办法于合同签订后经甲乙双方协商后确定。</w:t>
      </w:r>
    </w:p>
    <w:p w14:paraId="3ED13E8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乙方负责派驻点服务人员的人事管理。</w:t>
      </w:r>
    </w:p>
    <w:p w14:paraId="7A1257B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乙方要设立项目负责人，制定适合的详细工作服务流程与方案，制定对服务人员的考核办法。</w:t>
      </w:r>
    </w:p>
    <w:p w14:paraId="30E3DD2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乙方要加强对服务人员的管理与培训，并保证服务人员的稳定性，未经甲方允许不得擅自更换服务人员。</w:t>
      </w:r>
    </w:p>
    <w:p w14:paraId="7070220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服务人员要遵守甲方的劳动考勤纪律及其它相关规章制度，接受甲方的工作安排与指导，做好本职工作。</w:t>
      </w:r>
    </w:p>
    <w:p w14:paraId="7412B88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2.8</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服务人员必须做好相关信息保密工作。不得对外透露在工作中接触到的参保人员及业务相关单位或个人隐私信息。</w:t>
      </w:r>
    </w:p>
    <w:p w14:paraId="6F62D8D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服务人员要忠于职守，坚决维护以</w:t>
      </w:r>
      <w:r>
        <w:rPr>
          <w:rFonts w:hint="eastAsia" w:ascii="宋体" w:hAnsi="宋体" w:eastAsia="宋体" w:cs="宋体"/>
          <w:color w:val="auto"/>
          <w:sz w:val="22"/>
          <w:szCs w:val="22"/>
          <w:highlight w:val="none"/>
          <w:lang w:val="en-US" w:eastAsia="zh-CN"/>
        </w:rPr>
        <w:t>采购人</w:t>
      </w:r>
      <w:r>
        <w:rPr>
          <w:rFonts w:hint="eastAsia" w:ascii="宋体" w:hAnsi="宋体" w:eastAsia="宋体" w:cs="宋体"/>
          <w:color w:val="auto"/>
          <w:sz w:val="22"/>
          <w:szCs w:val="22"/>
          <w:highlight w:val="none"/>
        </w:rPr>
        <w:t>为中心的团队形象，礼貌待人，文明服务，尊重和保护纳税人的权利，依法接受监督。服务人员不得兼职、服务过程中不得向他人透露自己的姓名和个人联系方式、不得谋取不正当利益等等。</w:t>
      </w:r>
    </w:p>
    <w:p w14:paraId="7351930F">
      <w:pPr>
        <w:pStyle w:val="6"/>
        <w:keepNext w:val="0"/>
        <w:keepLines w:val="0"/>
        <w:pageBreakBefore w:val="0"/>
        <w:widowControl w:val="0"/>
        <w:kinsoku/>
        <w:wordWrap w:val="0"/>
        <w:overflowPunct/>
        <w:topLinePunct w:val="0"/>
        <w:autoSpaceDE/>
        <w:autoSpaceDN/>
        <w:bidi w:val="0"/>
        <w:adjustRightInd/>
        <w:snapToGrid/>
        <w:spacing w:line="400" w:lineRule="exact"/>
        <w:ind w:left="0" w:leftChars="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2.10 根据环境监理方案开展监督性检测（现场采样）等，如委外检测机构的，检测报告必须由具有相应资质水平（CMA）的检测的单位出具。乙方应根据相关建设行政规范要求开展施工监理工作，具体包括进度、质量、投资控制等控制措施，安全、信息、风险管理工作，组织协调工作等。如委外的（允许），应委托具体相应专业资质水平的机构提供相应服务、配置注册人员并出具工作总结报告，委外单位或人员应具备相关工作经验和资质，确定后报送采购人。</w:t>
      </w:r>
    </w:p>
    <w:p w14:paraId="263E7E71">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val="en-US" w:eastAsia="zh-CN"/>
        </w:rPr>
        <w:t xml:space="preserve">1 </w:t>
      </w:r>
      <w:r>
        <w:rPr>
          <w:rFonts w:hint="eastAsia" w:ascii="宋体" w:hAnsi="宋体" w:eastAsia="宋体" w:cs="宋体"/>
          <w:color w:val="auto"/>
          <w:sz w:val="22"/>
          <w:szCs w:val="22"/>
          <w:highlight w:val="none"/>
        </w:rPr>
        <w:t>乙方除应为服务人员提供必要的劳动保护条件外，还应为其办理作业时的人身安全保险和意外伤害险。一切安全责任事故均由乙方负责（保险种类由乙方自行选择）。</w:t>
      </w:r>
    </w:p>
    <w:p w14:paraId="566C4411">
      <w:pPr>
        <w:pStyle w:val="12"/>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w:t>
      </w:r>
      <w:r>
        <w:rPr>
          <w:rFonts w:hint="eastAsia" w:ascii="宋体" w:hAnsi="宋体" w:eastAsia="宋体" w:cs="宋体"/>
          <w:color w:val="auto"/>
          <w:sz w:val="22"/>
          <w:szCs w:val="22"/>
          <w:highlight w:val="none"/>
          <w:lang w:val="en-US" w:eastAsia="zh-CN"/>
        </w:rPr>
        <w:t xml:space="preserve">2 </w:t>
      </w:r>
      <w:r>
        <w:rPr>
          <w:rFonts w:hint="eastAsia" w:ascii="宋体" w:hAnsi="宋体" w:eastAsia="宋体" w:cs="宋体"/>
          <w:color w:val="auto"/>
          <w:sz w:val="22"/>
          <w:szCs w:val="22"/>
          <w:highlight w:val="none"/>
        </w:rPr>
        <w:t>乙方应做好职工的安全生产教育，并配备一定的劳动保护必需品以供职工使用。</w:t>
      </w:r>
    </w:p>
    <w:p w14:paraId="2D15FDFA">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九、违约责任：</w:t>
      </w:r>
    </w:p>
    <w:p w14:paraId="4F16D7E4">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1、违约责任</w:t>
      </w:r>
    </w:p>
    <w:p w14:paraId="2A6AB5ED">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合同乙方不履行合同义务或者履行合同义务不符合规定的，应当承担继续履行、采取补救措施或者赔偿损失等违约责任。</w:t>
      </w:r>
    </w:p>
    <w:p w14:paraId="17DCA366">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2、甲方违约责任</w:t>
      </w:r>
    </w:p>
    <w:p w14:paraId="5FE7FD9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2.1</w:t>
      </w:r>
      <w:r>
        <w:rPr>
          <w:rFonts w:hint="eastAsia" w:ascii="宋体" w:hAnsi="宋体" w:eastAsia="宋体" w:cs="宋体"/>
          <w:color w:val="auto"/>
          <w:sz w:val="22"/>
          <w:szCs w:val="22"/>
          <w:highlight w:val="none"/>
        </w:rPr>
        <w:t>甲方违反合同规定，拒绝接受乙方交付的合格成果，应当承担乙方由此造成的损失。</w:t>
      </w:r>
    </w:p>
    <w:p w14:paraId="4DCCC23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eastAsia="宋体" w:cs="宋体"/>
          <w:color w:val="auto"/>
          <w:sz w:val="22"/>
          <w:szCs w:val="22"/>
          <w:highlight w:val="none"/>
          <w:lang w:val="en-US" w:eastAsia="zh-CN"/>
        </w:rPr>
      </w:pPr>
      <w:r>
        <w:rPr>
          <w:rFonts w:hint="eastAsia" w:eastAsia="宋体" w:cs="宋体"/>
          <w:color w:val="auto"/>
          <w:sz w:val="22"/>
          <w:szCs w:val="22"/>
          <w:highlight w:val="none"/>
          <w:lang w:val="en-US" w:eastAsia="zh-CN"/>
        </w:rPr>
        <w:t>2.2甲方未按合同约定支付款项的，每逾期一日，按未付金额的__5__‰向乙方支付违约金，但最高不超过合同总金额的__10__%。</w:t>
      </w:r>
    </w:p>
    <w:p w14:paraId="47738388">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3、乙方违约责任</w:t>
      </w:r>
    </w:p>
    <w:p w14:paraId="7CC30E32">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乙方不能提交成果（逾期超过30天视为不能提交），或提交不合格从而影响甲方按期正常使用的，应向甲方偿付合同总价款5%的违约金，违约金不足以补偿损失的甲方有权要求乙方补足。</w:t>
      </w:r>
    </w:p>
    <w:p w14:paraId="381791BF">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乙方逾期提交成果，应在提交前与甲方和政府采购管理部门协商，甲方仍需求的，乙方应立即提交并应按照逾期提交部分的合同金额的每天万分之壹支付逾期交货违约金，同时承担甲方因此遭致的损失费。</w:t>
      </w:r>
    </w:p>
    <w:p w14:paraId="366F080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乙方因过失而造成甲方经济损失的，乙方除了采取补救措施之外，还应当就甲方因此造成的经济损失进行赔偿。</w:t>
      </w:r>
    </w:p>
    <w:p w14:paraId="7160B0A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乙方环境监理员必须驻场；如未按采购要求驻场，甲方有权作出相应处罚或甲方解除合同，乙方承担相应的违约责任。</w:t>
      </w:r>
    </w:p>
    <w:p w14:paraId="58601607">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十、监理方案要求</w:t>
      </w:r>
    </w:p>
    <w:p w14:paraId="3A70D23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监理开始前，乙方需根据甲方提供的采购文件要求提供详细的环境监理实施方案并经专家论证后方可实行。</w:t>
      </w:r>
    </w:p>
    <w:p w14:paraId="04481DB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十一、合同生效及其它：</w:t>
      </w:r>
    </w:p>
    <w:p w14:paraId="7686BA7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1、本合同经双方法定（授权）代表人签字（或盖章）并盖单位公章后生效。</w:t>
      </w:r>
    </w:p>
    <w:p w14:paraId="3560F63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bidi="ar"/>
        </w:rPr>
        <w:t>本合同一式</w:t>
      </w:r>
      <w:r>
        <w:rPr>
          <w:rFonts w:hint="eastAsia" w:eastAsia="宋体" w:cs="宋体"/>
          <w:color w:val="auto"/>
          <w:sz w:val="22"/>
          <w:szCs w:val="22"/>
          <w:highlight w:val="none"/>
          <w:lang w:val="en-US" w:eastAsia="zh-CN" w:bidi="ar"/>
        </w:rPr>
        <w:t>9</w:t>
      </w:r>
      <w:r>
        <w:rPr>
          <w:rFonts w:hint="eastAsia" w:ascii="宋体" w:hAnsi="宋体" w:eastAsia="宋体" w:cs="宋体"/>
          <w:color w:val="auto"/>
          <w:sz w:val="22"/>
          <w:szCs w:val="22"/>
          <w:highlight w:val="none"/>
          <w:lang w:val="en-US" w:eastAsia="zh-CN" w:bidi="ar"/>
        </w:rPr>
        <w:t>份，甲方</w:t>
      </w:r>
      <w:r>
        <w:rPr>
          <w:rFonts w:hint="eastAsia" w:eastAsia="宋体" w:cs="宋体"/>
          <w:color w:val="auto"/>
          <w:sz w:val="22"/>
          <w:szCs w:val="22"/>
          <w:highlight w:val="none"/>
          <w:lang w:val="en-US" w:eastAsia="zh-CN" w:bidi="ar"/>
        </w:rPr>
        <w:t>4</w:t>
      </w:r>
      <w:r>
        <w:rPr>
          <w:rFonts w:hint="eastAsia" w:ascii="宋体" w:hAnsi="宋体" w:eastAsia="宋体" w:cs="宋体"/>
          <w:color w:val="auto"/>
          <w:sz w:val="22"/>
          <w:szCs w:val="22"/>
          <w:highlight w:val="none"/>
          <w:lang w:val="en-US" w:eastAsia="zh-CN" w:bidi="ar"/>
        </w:rPr>
        <w:t>份，乙方</w:t>
      </w:r>
      <w:r>
        <w:rPr>
          <w:rFonts w:hint="eastAsia" w:eastAsia="宋体" w:cs="宋体"/>
          <w:color w:val="auto"/>
          <w:sz w:val="22"/>
          <w:szCs w:val="22"/>
          <w:highlight w:val="none"/>
          <w:lang w:val="en-US" w:eastAsia="zh-CN" w:bidi="ar"/>
        </w:rPr>
        <w:t>4</w:t>
      </w:r>
      <w:r>
        <w:rPr>
          <w:rFonts w:hint="eastAsia" w:ascii="宋体" w:hAnsi="宋体" w:eastAsia="宋体" w:cs="宋体"/>
          <w:color w:val="auto"/>
          <w:sz w:val="22"/>
          <w:szCs w:val="22"/>
          <w:highlight w:val="none"/>
          <w:lang w:val="en-US" w:eastAsia="zh-CN" w:bidi="ar"/>
        </w:rPr>
        <w:t>份，采购代理公司</w:t>
      </w:r>
      <w:r>
        <w:rPr>
          <w:rFonts w:hint="eastAsia" w:eastAsia="宋体"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份，各份具有同等法律效力</w:t>
      </w:r>
      <w:r>
        <w:rPr>
          <w:rFonts w:hint="eastAsia" w:ascii="宋体" w:hAnsi="宋体" w:eastAsia="宋体" w:cs="宋体"/>
          <w:color w:val="auto"/>
          <w:sz w:val="22"/>
          <w:szCs w:val="22"/>
          <w:highlight w:val="none"/>
        </w:rPr>
        <w:t>。</w:t>
      </w:r>
    </w:p>
    <w:p w14:paraId="1E9972C3">
      <w:pPr>
        <w:pStyle w:val="34"/>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3、合同在执行过程中出现的未尽事宜，双方在不违背本合同和采购文件的原则下协商解决，协商结果以书面形式盖章记录在案，作为本合同的附件，与本合同具有同等效力。</w:t>
      </w:r>
    </w:p>
    <w:p w14:paraId="43C51D7D">
      <w:pPr>
        <w:pStyle w:val="34"/>
        <w:keepNext w:val="0"/>
        <w:keepLines w:val="0"/>
        <w:pageBreakBefore w:val="0"/>
        <w:widowControl w:val="0"/>
        <w:tabs>
          <w:tab w:val="left" w:pos="1890"/>
        </w:tabs>
        <w:kinsoku/>
        <w:wordWrap w:val="0"/>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auto"/>
          <w:sz w:val="22"/>
          <w:szCs w:val="22"/>
          <w:highlight w:val="none"/>
          <w:lang w:val="zh-CN" w:eastAsia="zh-Hans"/>
        </w:rPr>
      </w:pPr>
      <w:r>
        <w:rPr>
          <w:rFonts w:hint="eastAsia" w:ascii="宋体" w:hAnsi="宋体" w:eastAsia="宋体" w:cs="宋体"/>
          <w:color w:val="auto"/>
          <w:sz w:val="22"/>
          <w:szCs w:val="22"/>
          <w:highlight w:val="none"/>
          <w:lang w:val="zh-CN" w:eastAsia="zh-Hans"/>
        </w:rPr>
        <w:t>（</w:t>
      </w:r>
      <w:r>
        <w:rPr>
          <w:rFonts w:hint="eastAsia" w:ascii="宋体" w:hAnsi="宋体" w:eastAsia="宋体" w:cs="宋体"/>
          <w:color w:val="auto"/>
          <w:sz w:val="22"/>
          <w:szCs w:val="22"/>
          <w:highlight w:val="none"/>
          <w:lang w:eastAsia="zh-Hans"/>
        </w:rPr>
        <w:t>以下无正文</w:t>
      </w:r>
      <w:r>
        <w:rPr>
          <w:rFonts w:hint="eastAsia" w:ascii="宋体" w:hAnsi="宋体" w:eastAsia="宋体" w:cs="宋体"/>
          <w:color w:val="auto"/>
          <w:sz w:val="22"/>
          <w:szCs w:val="22"/>
          <w:highlight w:val="none"/>
          <w:lang w:val="zh-CN" w:eastAsia="zh-Hans"/>
        </w:rPr>
        <w:t>）</w:t>
      </w:r>
    </w:p>
    <w:p w14:paraId="2BC40600">
      <w:pPr>
        <w:pStyle w:val="34"/>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40" w:firstLineChars="20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rPr>
        <w:t xml:space="preserve">甲方：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zh-CN"/>
        </w:rPr>
        <w:t xml:space="preserve">  乙方：</w:t>
      </w:r>
      <w:r>
        <w:rPr>
          <w:rFonts w:hint="eastAsia" w:ascii="宋体" w:hAnsi="宋体" w:eastAsia="宋体" w:cs="宋体"/>
          <w:color w:val="auto"/>
          <w:sz w:val="22"/>
          <w:szCs w:val="22"/>
          <w:highlight w:val="none"/>
          <w:lang w:val="en-US" w:eastAsia="zh-CN"/>
        </w:rPr>
        <w:t xml:space="preserve">                     </w:t>
      </w:r>
    </w:p>
    <w:p w14:paraId="34316199">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rPr>
        <w:t xml:space="preserve">（公章或合同专用章）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zh-CN"/>
        </w:rPr>
        <w:t>（公章或合同专用章）</w:t>
      </w:r>
      <w:r>
        <w:rPr>
          <w:rFonts w:hint="eastAsia" w:ascii="宋体" w:hAnsi="宋体" w:eastAsia="宋体" w:cs="宋体"/>
          <w:color w:val="auto"/>
          <w:sz w:val="22"/>
          <w:szCs w:val="22"/>
          <w:highlight w:val="none"/>
          <w:lang w:val="en-US" w:eastAsia="zh-CN"/>
        </w:rPr>
        <w:t xml:space="preserve">      </w:t>
      </w:r>
    </w:p>
    <w:p w14:paraId="7CDF1643">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rPr>
        <w:t xml:space="preserve">法定代表人（授权代表）：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zh-CN"/>
        </w:rPr>
        <w:t xml:space="preserve"> 法定代表人（授权代表）：</w:t>
      </w:r>
      <w:r>
        <w:rPr>
          <w:rFonts w:hint="eastAsia" w:ascii="宋体" w:hAnsi="宋体" w:eastAsia="宋体" w:cs="宋体"/>
          <w:color w:val="auto"/>
          <w:sz w:val="22"/>
          <w:szCs w:val="22"/>
          <w:highlight w:val="none"/>
          <w:lang w:val="en-US" w:eastAsia="zh-CN"/>
        </w:rPr>
        <w:t xml:space="preserve">   </w:t>
      </w:r>
    </w:p>
    <w:p w14:paraId="181B5E1E">
      <w:pPr>
        <w:keepNext w:val="0"/>
        <w:keepLines w:val="0"/>
        <w:pageBreakBefore w:val="0"/>
        <w:widowControl w:val="0"/>
        <w:tabs>
          <w:tab w:val="left" w:pos="1890"/>
        </w:tabs>
        <w:kinsoku/>
        <w:wordWrap w:val="0"/>
        <w:overflowPunct/>
        <w:topLinePunct w:val="0"/>
        <w:autoSpaceDE/>
        <w:autoSpaceDN/>
        <w:bidi w:val="0"/>
        <w:adjustRightInd/>
        <w:snapToGrid/>
        <w:spacing w:line="400" w:lineRule="exact"/>
        <w:ind w:left="0" w:firstLine="440" w:firstLineChars="200"/>
        <w:textAlignment w:val="auto"/>
        <w:rPr>
          <w:color w:val="auto"/>
          <w:sz w:val="28"/>
          <w:szCs w:val="28"/>
          <w:highlight w:val="none"/>
        </w:rPr>
      </w:pPr>
      <w:r>
        <w:rPr>
          <w:rFonts w:hint="eastAsia" w:ascii="宋体" w:hAnsi="宋体" w:eastAsia="宋体" w:cs="宋体"/>
          <w:color w:val="auto"/>
          <w:sz w:val="22"/>
          <w:szCs w:val="22"/>
          <w:highlight w:val="none"/>
          <w:lang w:val="zh-CN"/>
        </w:rPr>
        <w:t xml:space="preserve">签约日期：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zh-CN"/>
        </w:rPr>
        <w:t>签约日期：</w:t>
      </w:r>
      <w:r>
        <w:rPr>
          <w:rFonts w:hint="eastAsia" w:ascii="宋体" w:hAnsi="宋体" w:eastAsia="宋体" w:cs="宋体"/>
          <w:color w:val="auto"/>
          <w:sz w:val="22"/>
          <w:szCs w:val="22"/>
          <w:highlight w:val="none"/>
          <w:lang w:val="zh-CN"/>
        </w:rPr>
        <w:tab/>
      </w:r>
      <w:r>
        <w:rPr>
          <w:rFonts w:hint="eastAsia" w:ascii="宋体" w:hAnsi="宋体" w:eastAsia="宋体" w:cs="宋体"/>
          <w:color w:val="auto"/>
          <w:sz w:val="22"/>
          <w:szCs w:val="22"/>
          <w:highlight w:val="none"/>
          <w:lang w:val="en-US" w:eastAsia="zh-CN"/>
        </w:rPr>
        <w:t xml:space="preserve">              </w:t>
      </w:r>
    </w:p>
    <w:p w14:paraId="3E04FCAA">
      <w:pPr>
        <w:pStyle w:val="13"/>
        <w:keepNext w:val="0"/>
        <w:keepLines w:val="0"/>
        <w:pageBreakBefore w:val="0"/>
        <w:widowControl w:val="0"/>
        <w:kinsoku/>
        <w:wordWrap w:val="0"/>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黑体" w:hAnsi="宋体" w:eastAsia="黑体" w:cs="黑体"/>
          <w:color w:val="000000"/>
          <w:sz w:val="24"/>
          <w:szCs w:val="24"/>
          <w:highlight w:val="none"/>
        </w:rPr>
        <w:br w:type="page"/>
      </w:r>
      <w:r>
        <w:rPr>
          <w:rFonts w:hint="eastAsia" w:ascii="黑体" w:hAnsi="宋体" w:eastAsia="黑体" w:cs="黑体"/>
          <w:color w:val="000000"/>
          <w:sz w:val="44"/>
          <w:szCs w:val="44"/>
          <w:highlight w:val="none"/>
        </w:rPr>
        <w:t> 第</w:t>
      </w:r>
      <w:bookmarkEnd w:id="172"/>
      <w:r>
        <w:rPr>
          <w:rFonts w:hint="eastAsia" w:ascii="黑体" w:hAnsi="宋体" w:eastAsia="黑体" w:cs="黑体"/>
          <w:color w:val="000000"/>
          <w:sz w:val="44"/>
          <w:szCs w:val="44"/>
          <w:highlight w:val="none"/>
        </w:rPr>
        <w:t>四章 采购需求</w:t>
      </w:r>
      <w:bookmarkEnd w:id="173"/>
      <w:bookmarkEnd w:id="174"/>
      <w:bookmarkEnd w:id="175"/>
      <w:bookmarkEnd w:id="176"/>
      <w:bookmarkEnd w:id="177"/>
    </w:p>
    <w:p w14:paraId="73CCA7D3">
      <w:pPr>
        <w:pStyle w:val="13"/>
        <w:keepNext w:val="0"/>
        <w:keepLines w:val="0"/>
        <w:pageBreakBefore w:val="0"/>
        <w:widowControl w:val="0"/>
        <w:kinsoku/>
        <w:wordWrap w:val="0"/>
        <w:overflowPunct/>
        <w:topLinePunct w:val="0"/>
        <w:bidi w:val="0"/>
        <w:spacing w:beforeAutospacing="0" w:afterAutospacing="0" w:line="360" w:lineRule="auto"/>
        <w:jc w:val="both"/>
        <w:rPr>
          <w:rFonts w:hint="eastAsia" w:ascii="宋体" w:hAnsi="宋体" w:eastAsia="宋体" w:cs="宋体"/>
          <w:color w:val="000000"/>
          <w:sz w:val="22"/>
          <w:szCs w:val="22"/>
          <w:highlight w:val="none"/>
          <w:u w:val="none"/>
          <w:lang w:val="en-US" w:eastAsia="zh-CN"/>
        </w:rPr>
      </w:pPr>
      <w:bookmarkStart w:id="179" w:name="_Toc26554093"/>
      <w:bookmarkStart w:id="180" w:name="_Toc49090575"/>
      <w:r>
        <w:rPr>
          <w:rFonts w:hint="eastAsia" w:ascii="宋体" w:hAnsi="宋体" w:eastAsia="宋体" w:cs="宋体"/>
          <w:color w:val="000000"/>
          <w:sz w:val="22"/>
          <w:szCs w:val="22"/>
          <w:highlight w:val="none"/>
          <w:u w:val="none"/>
        </w:rPr>
        <w:t>项目属性:服务类项目。</w:t>
      </w:r>
      <w:bookmarkEnd w:id="179"/>
      <w:bookmarkEnd w:id="180"/>
    </w:p>
    <w:p w14:paraId="12EA13D4">
      <w:pPr>
        <w:pStyle w:val="13"/>
        <w:keepNext w:val="0"/>
        <w:keepLines w:val="0"/>
        <w:pageBreakBefore w:val="0"/>
        <w:widowControl w:val="0"/>
        <w:kinsoku/>
        <w:wordWrap w:val="0"/>
        <w:overflowPunct/>
        <w:topLinePunct w:val="0"/>
        <w:bidi w:val="0"/>
        <w:spacing w:beforeAutospacing="0" w:afterAutospacing="0" w:line="360" w:lineRule="auto"/>
        <w:jc w:val="both"/>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采购标的对应的中小企业划分标准所属行业一览表</w:t>
      </w:r>
    </w:p>
    <w:tbl>
      <w:tblPr>
        <w:tblStyle w:val="14"/>
        <w:tblW w:w="4998" w:type="pct"/>
        <w:jc w:val="center"/>
        <w:tblCellSpacing w:w="0" w:type="dxa"/>
        <w:tblLayout w:type="autofit"/>
        <w:tblCellMar>
          <w:top w:w="0" w:type="dxa"/>
          <w:left w:w="108" w:type="dxa"/>
          <w:bottom w:w="0" w:type="dxa"/>
          <w:right w:w="108" w:type="dxa"/>
        </w:tblCellMar>
      </w:tblPr>
      <w:tblGrid>
        <w:gridCol w:w="826"/>
        <w:gridCol w:w="4136"/>
        <w:gridCol w:w="3577"/>
      </w:tblGrid>
      <w:tr w14:paraId="44625443">
        <w:tblPrEx>
          <w:tblCellMar>
            <w:top w:w="0" w:type="dxa"/>
            <w:left w:w="108" w:type="dxa"/>
            <w:bottom w:w="0" w:type="dxa"/>
            <w:right w:w="108" w:type="dxa"/>
          </w:tblCellMar>
        </w:tblPrEx>
        <w:trPr>
          <w:tblCellSpacing w:w="0" w:type="dxa"/>
          <w:jc w:val="center"/>
        </w:trPr>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1657B">
            <w:pPr>
              <w:pStyle w:val="13"/>
              <w:keepNext w:val="0"/>
              <w:keepLines w:val="0"/>
              <w:pageBreakBefore w:val="0"/>
              <w:widowControl w:val="0"/>
              <w:kinsoku/>
              <w:wordWrap w:val="0"/>
              <w:overflowPunct/>
              <w:topLinePunct w:val="0"/>
              <w:bidi w:val="0"/>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序号</w:t>
            </w:r>
          </w:p>
        </w:tc>
        <w:tc>
          <w:tcPr>
            <w:tcW w:w="2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E6FCA">
            <w:pPr>
              <w:pStyle w:val="13"/>
              <w:keepNext w:val="0"/>
              <w:keepLines w:val="0"/>
              <w:pageBreakBefore w:val="0"/>
              <w:widowControl w:val="0"/>
              <w:kinsoku/>
              <w:wordWrap w:val="0"/>
              <w:overflowPunct/>
              <w:topLinePunct w:val="0"/>
              <w:bidi w:val="0"/>
              <w:spacing w:beforeAutospacing="0" w:afterAutospacing="0"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采购标的</w:t>
            </w:r>
          </w:p>
        </w:tc>
        <w:tc>
          <w:tcPr>
            <w:tcW w:w="20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D9525">
            <w:pPr>
              <w:pStyle w:val="13"/>
              <w:keepNext w:val="0"/>
              <w:keepLines w:val="0"/>
              <w:pageBreakBefore w:val="0"/>
              <w:widowControl w:val="0"/>
              <w:kinsoku/>
              <w:wordWrap w:val="0"/>
              <w:overflowPunct/>
              <w:topLinePunct w:val="0"/>
              <w:bidi w:val="0"/>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对应中小企业划分标准所属行业</w:t>
            </w:r>
          </w:p>
        </w:tc>
      </w:tr>
      <w:tr w14:paraId="52E3ED9F">
        <w:tblPrEx>
          <w:tblCellMar>
            <w:top w:w="0" w:type="dxa"/>
            <w:left w:w="108" w:type="dxa"/>
            <w:bottom w:w="0" w:type="dxa"/>
            <w:right w:w="108" w:type="dxa"/>
          </w:tblCellMar>
        </w:tblPrEx>
        <w:trPr>
          <w:trHeight w:val="291" w:hRule="atLeast"/>
          <w:tblCellSpacing w:w="0" w:type="dxa"/>
          <w:jc w:val="center"/>
        </w:trPr>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A95D0">
            <w:pPr>
              <w:pStyle w:val="13"/>
              <w:keepNext w:val="0"/>
              <w:keepLines w:val="0"/>
              <w:pageBreakBefore w:val="0"/>
              <w:widowControl w:val="0"/>
              <w:kinsoku/>
              <w:wordWrap w:val="0"/>
              <w:overflowPunct/>
              <w:topLinePunct w:val="0"/>
              <w:bidi w:val="0"/>
              <w:spacing w:beforeAutospacing="0" w:afterAutospacing="0" w:line="360" w:lineRule="auto"/>
              <w:ind w:firstLine="480"/>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p>
        </w:tc>
        <w:tc>
          <w:tcPr>
            <w:tcW w:w="2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BF383">
            <w:pPr>
              <w:pStyle w:val="13"/>
              <w:keepNext w:val="0"/>
              <w:keepLines w:val="0"/>
              <w:pageBreakBefore w:val="0"/>
              <w:widowControl w:val="0"/>
              <w:kinsoku/>
              <w:wordWrap w:val="0"/>
              <w:overflowPunct/>
              <w:topLinePunct w:val="0"/>
              <w:bidi w:val="0"/>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江苏滨海经济开发区沿海工业园地下水污染风险管控第三方监理(环境监理等)服务项目</w:t>
            </w:r>
          </w:p>
        </w:tc>
        <w:tc>
          <w:tcPr>
            <w:tcW w:w="20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B457">
            <w:pPr>
              <w:pStyle w:val="13"/>
              <w:keepNext w:val="0"/>
              <w:keepLines w:val="0"/>
              <w:pageBreakBefore w:val="0"/>
              <w:widowControl w:val="0"/>
              <w:kinsoku/>
              <w:wordWrap w:val="0"/>
              <w:overflowPunct/>
              <w:topLinePunct w:val="0"/>
              <w:bidi w:val="0"/>
              <w:spacing w:beforeAutospacing="0" w:afterAutospacing="0" w:line="360" w:lineRule="auto"/>
              <w:jc w:val="both"/>
              <w:rPr>
                <w:rFonts w:hint="eastAsia" w:ascii="宋体" w:hAnsi="宋体" w:eastAsia="宋体" w:cs="宋体"/>
                <w:color w:val="auto"/>
                <w:sz w:val="22"/>
                <w:szCs w:val="22"/>
                <w:highlight w:val="none"/>
                <w:lang w:val="en-US" w:eastAsia="zh-CN"/>
              </w:rPr>
            </w:pPr>
            <w:r>
              <w:rPr>
                <w:rFonts w:hint="default" w:ascii="Times New Roman" w:hAnsi="Times New Roman" w:eastAsia="宋体" w:cs="Times New Roman"/>
                <w:i w:val="0"/>
                <w:iCs w:val="0"/>
                <w:color w:val="auto"/>
                <w:kern w:val="0"/>
                <w:sz w:val="22"/>
                <w:szCs w:val="22"/>
                <w:highlight w:val="none"/>
                <w:u w:val="none"/>
                <w:lang w:val="en-US" w:eastAsia="zh-CN" w:bidi="ar"/>
              </w:rPr>
              <w:t>其他未列明行业</w:t>
            </w:r>
          </w:p>
        </w:tc>
      </w:tr>
    </w:tbl>
    <w:p w14:paraId="006B5C99">
      <w:pPr>
        <w:pStyle w:val="13"/>
        <w:keepNext w:val="0"/>
        <w:keepLines w:val="0"/>
        <w:pageBreakBefore w:val="0"/>
        <w:widowControl w:val="0"/>
        <w:kinsoku/>
        <w:wordWrap w:val="0"/>
        <w:overflowPunct/>
        <w:topLinePunct w:val="0"/>
        <w:bidi w:val="0"/>
        <w:spacing w:beforeAutospacing="0" w:afterAutospacing="0" w:line="360" w:lineRule="auto"/>
        <w:ind w:firstLine="440" w:firstLineChars="200"/>
        <w:jc w:val="both"/>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采购需求包括拟采购的标的及其需要满足的技术、商务要求。</w:t>
      </w:r>
    </w:p>
    <w:p w14:paraId="14AC50FA">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bookmarkStart w:id="181" w:name="_Toc120614281"/>
      <w:r>
        <w:rPr>
          <w:rFonts w:hint="eastAsia" w:ascii="宋体" w:hAnsi="宋体" w:eastAsia="宋体" w:cs="宋体"/>
          <w:b/>
          <w:bCs/>
          <w:color w:val="auto"/>
          <w:sz w:val="22"/>
          <w:szCs w:val="22"/>
          <w:highlight w:val="none"/>
        </w:rPr>
        <w:t>一、项目概述及要求</w:t>
      </w:r>
    </w:p>
    <w:p w14:paraId="715102F1">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1．采购标的项目简述：</w:t>
      </w:r>
      <w:r>
        <w:rPr>
          <w:rFonts w:hint="eastAsia" w:ascii="宋体" w:hAnsi="宋体" w:eastAsia="宋体" w:cs="宋体"/>
          <w:color w:val="auto"/>
          <w:sz w:val="22"/>
          <w:szCs w:val="22"/>
          <w:highlight w:val="none"/>
          <w:u w:val="single"/>
        </w:rPr>
        <w:t>根据生态环境部《化工园地下水污染专项整治工作方案》要求和园区地下水调查评估结果，江苏滨海经济开发区沿海工业园亟需开展地下水污染风险管控及相关配套服务等工作。</w:t>
      </w:r>
      <w:r>
        <w:rPr>
          <w:rFonts w:hint="eastAsia" w:ascii="宋体" w:hAnsi="宋体" w:eastAsia="宋体" w:cs="宋体"/>
          <w:color w:val="auto"/>
          <w:sz w:val="22"/>
          <w:szCs w:val="22"/>
          <w:highlight w:val="none"/>
          <w:u w:val="single"/>
          <w:lang w:val="en-US" w:eastAsia="zh-CN"/>
        </w:rPr>
        <w:t>拟通过政府采购聘请第三方环境监理单位对风险管控项目开展沿海工业园地下水污染风险管控项目的环境监理、工程有关监理、监督检测、其他有关的技术服务等第三方监理服务等。</w:t>
      </w:r>
    </w:p>
    <w:p w14:paraId="2074F975">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2．采购标的服务期要求：</w:t>
      </w:r>
      <w:r>
        <w:rPr>
          <w:rFonts w:hint="eastAsia" w:ascii="宋体" w:hAnsi="宋体" w:eastAsia="宋体" w:cs="宋体"/>
          <w:color w:val="auto"/>
          <w:sz w:val="22"/>
          <w:szCs w:val="22"/>
          <w:highlight w:val="none"/>
          <w:u w:val="single"/>
        </w:rPr>
        <w:t>自合同签订之日起3年内完成全部服务工作</w:t>
      </w:r>
      <w:r>
        <w:rPr>
          <w:rFonts w:hint="eastAsia" w:ascii="宋体" w:hAnsi="宋体" w:eastAsia="宋体" w:cs="宋体"/>
          <w:color w:val="auto"/>
          <w:sz w:val="22"/>
          <w:szCs w:val="22"/>
          <w:highlight w:val="none"/>
          <w:u w:val="single"/>
          <w:lang w:eastAsia="zh-CN"/>
        </w:rPr>
        <w:t>，</w:t>
      </w:r>
      <w:r>
        <w:rPr>
          <w:rFonts w:hint="eastAsia" w:ascii="宋体" w:hAnsi="宋体" w:eastAsia="宋体" w:cs="宋体"/>
          <w:color w:val="auto"/>
          <w:sz w:val="22"/>
          <w:szCs w:val="22"/>
          <w:highlight w:val="none"/>
          <w:u w:val="single"/>
          <w:lang w:val="en-US" w:eastAsia="zh-CN"/>
        </w:rPr>
        <w:t>实际环境监理服务期与管控服务期同步</w:t>
      </w:r>
      <w:r>
        <w:rPr>
          <w:rFonts w:hint="eastAsia" w:ascii="宋体" w:hAnsi="宋体" w:eastAsia="宋体" w:cs="宋体"/>
          <w:color w:val="auto"/>
          <w:sz w:val="22"/>
          <w:szCs w:val="22"/>
          <w:highlight w:val="none"/>
          <w:u w:val="single"/>
        </w:rPr>
        <w:t>。</w:t>
      </w:r>
    </w:p>
    <w:p w14:paraId="7562AF7E">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3.采购标的验收标准：</w:t>
      </w:r>
      <w:r>
        <w:rPr>
          <w:rFonts w:hint="eastAsia" w:ascii="宋体" w:hAnsi="宋体" w:eastAsia="宋体" w:cs="宋体"/>
          <w:color w:val="auto"/>
          <w:sz w:val="22"/>
          <w:szCs w:val="22"/>
          <w:highlight w:val="none"/>
          <w:u w:val="single"/>
        </w:rPr>
        <w:t>通过招标人、</w:t>
      </w:r>
      <w:r>
        <w:rPr>
          <w:rFonts w:hint="eastAsia" w:ascii="宋体" w:hAnsi="宋体" w:eastAsia="宋体" w:cs="宋体"/>
          <w:color w:val="auto"/>
          <w:sz w:val="22"/>
          <w:szCs w:val="22"/>
          <w:highlight w:val="none"/>
          <w:u w:val="single"/>
          <w:lang w:val="en-US" w:eastAsia="zh-CN"/>
        </w:rPr>
        <w:t>第三方效果评估单位</w:t>
      </w:r>
      <w:r>
        <w:rPr>
          <w:rFonts w:hint="eastAsia" w:ascii="宋体" w:hAnsi="宋体" w:eastAsia="宋体" w:cs="宋体"/>
          <w:color w:val="auto"/>
          <w:sz w:val="22"/>
          <w:szCs w:val="22"/>
          <w:highlight w:val="none"/>
          <w:u w:val="single"/>
        </w:rPr>
        <w:t>履约验收</w:t>
      </w:r>
      <w:r>
        <w:rPr>
          <w:rFonts w:hint="eastAsia" w:ascii="宋体" w:hAnsi="宋体" w:eastAsia="宋体" w:cs="宋体"/>
          <w:color w:val="auto"/>
          <w:sz w:val="22"/>
          <w:szCs w:val="22"/>
          <w:highlight w:val="none"/>
        </w:rPr>
        <w:t>。</w:t>
      </w:r>
    </w:p>
    <w:p w14:paraId="0F4C0285">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4.采购标的服务要求：</w:t>
      </w:r>
      <w:r>
        <w:rPr>
          <w:rFonts w:hint="eastAsia" w:ascii="宋体" w:hAnsi="宋体" w:eastAsia="宋体" w:cs="宋体"/>
          <w:color w:val="auto"/>
          <w:sz w:val="22"/>
          <w:szCs w:val="22"/>
          <w:highlight w:val="none"/>
          <w:u w:val="single"/>
        </w:rPr>
        <w:t>详见“二、采购需求及服务内容”</w:t>
      </w:r>
      <w:r>
        <w:rPr>
          <w:rFonts w:hint="eastAsia" w:ascii="宋体" w:hAnsi="宋体" w:eastAsia="宋体" w:cs="宋体"/>
          <w:color w:val="auto"/>
          <w:sz w:val="22"/>
          <w:szCs w:val="22"/>
          <w:highlight w:val="none"/>
        </w:rPr>
        <w:t>。</w:t>
      </w:r>
    </w:p>
    <w:p w14:paraId="6B541495">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5.采购标的质量要求：</w:t>
      </w:r>
      <w:r>
        <w:rPr>
          <w:rFonts w:hint="eastAsia" w:ascii="宋体" w:hAnsi="宋体" w:eastAsia="宋体" w:cs="宋体"/>
          <w:color w:val="auto"/>
          <w:sz w:val="22"/>
          <w:szCs w:val="22"/>
          <w:highlight w:val="none"/>
          <w:u w:val="single"/>
        </w:rPr>
        <w:t>合格</w:t>
      </w:r>
      <w:r>
        <w:rPr>
          <w:rFonts w:hint="eastAsia" w:ascii="宋体" w:hAnsi="宋体" w:eastAsia="宋体" w:cs="宋体"/>
          <w:color w:val="auto"/>
          <w:sz w:val="22"/>
          <w:szCs w:val="22"/>
          <w:highlight w:val="none"/>
        </w:rPr>
        <w:t>。（同招标公告要求）</w:t>
      </w:r>
    </w:p>
    <w:p w14:paraId="1E3EE6C3">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二、采购需求及服务内容</w:t>
      </w:r>
    </w:p>
    <w:p w14:paraId="47D73C16">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1.服务范围：</w:t>
      </w:r>
      <w:r>
        <w:rPr>
          <w:rFonts w:hint="eastAsia" w:ascii="宋体" w:hAnsi="宋体" w:eastAsia="宋体" w:cs="宋体"/>
          <w:color w:val="auto"/>
          <w:sz w:val="22"/>
          <w:szCs w:val="22"/>
          <w:highlight w:val="none"/>
        </w:rPr>
        <w:t>根据生态环境部《化工园地下水污染专项整治工作方案》要求和园区地下水调查评估结果，江苏滨海经济开发区沿海工业园需要开展地下水污染风险管控及相关配套服务等工作。具体包括：公共区域中土水超标10倍但风险可接受区域（A区），实施长期监测预警；公共区域土水风险不可接受区域（B区），采取治理或管控措施；经污染地下水迁移模拟，污染物存在潜在迁移扩散风险的区域（C区），采取源削减措施。</w:t>
      </w:r>
    </w:p>
    <w:p w14:paraId="6EE4CEA3">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需根据《建设用地土壤修复技术导则》（HJ25.4-2019）、《污染地块地下水修复和风险管控技术导则》（HJ25.6-2019）、《污染地块风险管控与土壤修复效果评估技术导则》（HJ25.5-2018）等关于土壤和地下水修复及风险管控相关规定要求，</w:t>
      </w:r>
      <w:r>
        <w:rPr>
          <w:rFonts w:hint="eastAsia" w:ascii="宋体" w:hAnsi="宋体" w:eastAsia="宋体" w:cs="宋体"/>
          <w:color w:val="auto"/>
          <w:sz w:val="22"/>
          <w:szCs w:val="22"/>
          <w:highlight w:val="none"/>
          <w:u w:val="none"/>
          <w:lang w:val="en-US" w:eastAsia="zh-CN"/>
        </w:rPr>
        <w:t>开展沿海工业园地下水污染风险管控项目的环境监理、工程有关监理、监督检测（如需）、其他有关的技术服务等第三方监理服务等</w:t>
      </w:r>
      <w:r>
        <w:rPr>
          <w:rFonts w:hint="eastAsia" w:ascii="宋体" w:hAnsi="宋体" w:eastAsia="宋体" w:cs="宋体"/>
          <w:color w:val="auto"/>
          <w:sz w:val="22"/>
          <w:szCs w:val="22"/>
          <w:highlight w:val="none"/>
          <w:u w:val="none"/>
        </w:rPr>
        <w:t>；</w:t>
      </w:r>
      <w:r>
        <w:rPr>
          <w:rFonts w:hint="eastAsia" w:ascii="宋体" w:hAnsi="宋体" w:eastAsia="宋体" w:cs="宋体"/>
          <w:color w:val="auto"/>
          <w:sz w:val="22"/>
          <w:szCs w:val="22"/>
          <w:highlight w:val="none"/>
        </w:rPr>
        <w:t>投标人应具备土壤地下水修复管控相关管理支撑和技术研发能力，能够为园区土壤地下水环境管理、污染防治、项目申报、环境工程等提供专业技术支持。根据招标人</w:t>
      </w:r>
      <w:r>
        <w:rPr>
          <w:rFonts w:hint="eastAsia" w:ascii="宋体" w:hAnsi="宋体" w:eastAsia="宋体" w:cs="宋体"/>
          <w:color w:val="auto"/>
          <w:sz w:val="22"/>
          <w:szCs w:val="22"/>
          <w:highlight w:val="none"/>
          <w:lang w:val="en-US" w:eastAsia="zh-CN"/>
        </w:rPr>
        <w:t>需求</w:t>
      </w:r>
      <w:r>
        <w:rPr>
          <w:rFonts w:hint="eastAsia" w:ascii="宋体" w:hAnsi="宋体" w:eastAsia="宋体" w:cs="宋体"/>
          <w:color w:val="auto"/>
          <w:sz w:val="22"/>
          <w:szCs w:val="22"/>
          <w:highlight w:val="none"/>
        </w:rPr>
        <w:t>在必要时向招标人提供相关地块土壤</w:t>
      </w:r>
      <w:r>
        <w:rPr>
          <w:rFonts w:hint="eastAsia" w:ascii="宋体" w:hAnsi="宋体" w:eastAsia="宋体" w:cs="宋体"/>
          <w:color w:val="auto"/>
          <w:sz w:val="22"/>
          <w:szCs w:val="22"/>
          <w:highlight w:val="none"/>
          <w:lang w:val="en-US" w:eastAsia="zh-CN"/>
        </w:rPr>
        <w:t>与地下水</w:t>
      </w:r>
      <w:r>
        <w:rPr>
          <w:rFonts w:hint="eastAsia" w:ascii="宋体" w:hAnsi="宋体" w:eastAsia="宋体" w:cs="宋体"/>
          <w:color w:val="auto"/>
          <w:sz w:val="22"/>
          <w:szCs w:val="22"/>
          <w:highlight w:val="none"/>
        </w:rPr>
        <w:t>污染司法鉴定的技术咨询和协助支持。</w:t>
      </w:r>
    </w:p>
    <w:p w14:paraId="092B53B4">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2.服务内容：</w:t>
      </w:r>
    </w:p>
    <w:p w14:paraId="5CC71504">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（1）结合</w:t>
      </w:r>
      <w:r>
        <w:rPr>
          <w:rFonts w:hint="eastAsia" w:ascii="宋体" w:hAnsi="宋体" w:eastAsia="宋体" w:cs="宋体"/>
          <w:color w:val="auto"/>
          <w:sz w:val="22"/>
          <w:szCs w:val="22"/>
          <w:highlight w:val="none"/>
          <w:lang w:val="en-US" w:eastAsia="zh-CN"/>
        </w:rPr>
        <w:t>采购人提供的</w:t>
      </w:r>
      <w:r>
        <w:rPr>
          <w:rFonts w:hint="eastAsia" w:ascii="宋体" w:hAnsi="宋体" w:eastAsia="宋体" w:cs="宋体"/>
          <w:color w:val="auto"/>
          <w:sz w:val="22"/>
          <w:szCs w:val="22"/>
          <w:highlight w:val="none"/>
        </w:rPr>
        <w:t>调查报告、风险评估报告、运移模拟报告和管控方案等基础资料，编制</w:t>
      </w:r>
      <w:r>
        <w:rPr>
          <w:rFonts w:hint="eastAsia" w:ascii="宋体" w:hAnsi="宋体" w:eastAsia="宋体" w:cs="宋体"/>
          <w:color w:val="auto"/>
          <w:sz w:val="22"/>
          <w:szCs w:val="22"/>
          <w:highlight w:val="none"/>
          <w:lang w:val="en-US" w:eastAsia="zh-CN"/>
        </w:rPr>
        <w:t>环境监理等监理</w:t>
      </w:r>
      <w:r>
        <w:rPr>
          <w:rFonts w:hint="eastAsia" w:ascii="宋体" w:hAnsi="宋体" w:eastAsia="宋体" w:cs="宋体"/>
          <w:color w:val="auto"/>
          <w:sz w:val="22"/>
          <w:szCs w:val="22"/>
          <w:highlight w:val="none"/>
        </w:rPr>
        <w:t>服务方案</w:t>
      </w:r>
      <w:r>
        <w:rPr>
          <w:rFonts w:hint="eastAsia" w:ascii="宋体" w:hAnsi="宋体" w:eastAsia="宋体" w:cs="宋体"/>
          <w:color w:val="auto"/>
          <w:sz w:val="22"/>
          <w:szCs w:val="22"/>
          <w:highlight w:val="none"/>
          <w:lang w:val="en-US" w:eastAsia="zh-CN"/>
        </w:rPr>
        <w:t>和实施细则</w:t>
      </w:r>
      <w:r>
        <w:rPr>
          <w:rFonts w:hint="eastAsia" w:ascii="宋体" w:hAnsi="宋体" w:eastAsia="宋体" w:cs="宋体"/>
          <w:color w:val="auto"/>
          <w:sz w:val="22"/>
          <w:szCs w:val="22"/>
          <w:highlight w:val="none"/>
        </w:rPr>
        <w:t>。</w:t>
      </w:r>
    </w:p>
    <w:p w14:paraId="0E304720">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（2）施工准备阶段、工程实施阶段等全过程监理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主要包括：</w:t>
      </w:r>
      <w:r>
        <w:rPr>
          <w:rFonts w:hint="eastAsia" w:ascii="宋体" w:hAnsi="宋体" w:eastAsia="宋体" w:cs="宋体"/>
          <w:color w:val="auto"/>
          <w:sz w:val="22"/>
          <w:szCs w:val="22"/>
          <w:highlight w:val="none"/>
        </w:rPr>
        <w:t>了解具体施工程序及各阶段的环境保护目标，参与</w:t>
      </w:r>
      <w:r>
        <w:rPr>
          <w:rFonts w:hint="eastAsia" w:ascii="宋体" w:hAnsi="宋体" w:eastAsia="宋体" w:cs="宋体"/>
          <w:color w:val="auto"/>
          <w:sz w:val="22"/>
          <w:szCs w:val="22"/>
          <w:highlight w:val="none"/>
          <w:lang w:val="en-US" w:eastAsia="zh-CN"/>
        </w:rPr>
        <w:t>管控</w:t>
      </w:r>
      <w:r>
        <w:rPr>
          <w:rFonts w:hint="eastAsia" w:ascii="宋体" w:hAnsi="宋体" w:eastAsia="宋体" w:cs="宋体"/>
          <w:color w:val="auto"/>
          <w:sz w:val="22"/>
          <w:szCs w:val="22"/>
          <w:highlight w:val="none"/>
        </w:rPr>
        <w:t>工程</w:t>
      </w:r>
      <w:r>
        <w:rPr>
          <w:rFonts w:hint="eastAsia" w:ascii="宋体" w:hAnsi="宋体" w:eastAsia="宋体" w:cs="宋体"/>
          <w:color w:val="auto"/>
          <w:sz w:val="22"/>
          <w:szCs w:val="22"/>
          <w:highlight w:val="none"/>
          <w:lang w:val="en-US" w:eastAsia="zh-CN"/>
        </w:rPr>
        <w:t>总体服务方案</w:t>
      </w:r>
      <w:r>
        <w:rPr>
          <w:rFonts w:hint="eastAsia" w:ascii="宋体" w:hAnsi="宋体" w:eastAsia="宋体" w:cs="宋体"/>
          <w:color w:val="auto"/>
          <w:sz w:val="22"/>
          <w:szCs w:val="22"/>
          <w:highlight w:val="none"/>
        </w:rPr>
        <w:t>的技术审核，协助业主监理完善环保责任体系，建立有效的沟通方式等。工程实施阶段环境监理包括：督促环保措施落实情况、关注</w:t>
      </w:r>
      <w:r>
        <w:rPr>
          <w:rFonts w:hint="eastAsia" w:ascii="宋体" w:hAnsi="宋体" w:eastAsia="宋体" w:cs="宋体"/>
          <w:color w:val="auto"/>
          <w:sz w:val="22"/>
          <w:szCs w:val="22"/>
          <w:highlight w:val="none"/>
          <w:lang w:val="en-US" w:eastAsia="zh-CN"/>
        </w:rPr>
        <w:t>管控</w:t>
      </w:r>
      <w:r>
        <w:rPr>
          <w:rFonts w:hint="eastAsia" w:ascii="宋体" w:hAnsi="宋体" w:eastAsia="宋体" w:cs="宋体"/>
          <w:color w:val="auto"/>
          <w:sz w:val="22"/>
          <w:szCs w:val="22"/>
          <w:highlight w:val="none"/>
        </w:rPr>
        <w:t>工程施工内容变化情况、监督污染达标控制、落实事故应急体系管理制度等。</w:t>
      </w:r>
    </w:p>
    <w:p w14:paraId="300F375C">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（3）针对土壤及地下水</w:t>
      </w:r>
      <w:r>
        <w:rPr>
          <w:rFonts w:hint="eastAsia" w:ascii="宋体" w:hAnsi="宋体" w:eastAsia="宋体" w:cs="宋体"/>
          <w:color w:val="auto"/>
          <w:sz w:val="22"/>
          <w:szCs w:val="22"/>
          <w:highlight w:val="none"/>
          <w:lang w:val="en-US" w:eastAsia="zh-CN"/>
        </w:rPr>
        <w:t>管控</w:t>
      </w:r>
      <w:r>
        <w:rPr>
          <w:rFonts w:hint="eastAsia" w:ascii="宋体" w:hAnsi="宋体" w:eastAsia="宋体" w:cs="宋体"/>
          <w:color w:val="auto"/>
          <w:sz w:val="22"/>
          <w:szCs w:val="22"/>
          <w:highlight w:val="none"/>
        </w:rPr>
        <w:t>主体工程开展有效环境监理。重点关注：</w:t>
      </w:r>
      <w:r>
        <w:rPr>
          <w:rFonts w:hint="eastAsia" w:ascii="宋体" w:hAnsi="宋体"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场地现场异味废气控制及达标排放保障措施，工程施工现场作业对周边环境和周围居民影响的控制措施，</w:t>
      </w:r>
      <w:r>
        <w:rPr>
          <w:rFonts w:hint="eastAsia" w:ascii="宋体" w:hAnsi="宋体" w:eastAsia="宋体" w:cs="宋体"/>
          <w:color w:val="auto"/>
          <w:sz w:val="22"/>
          <w:szCs w:val="22"/>
          <w:highlight w:val="none"/>
          <w:lang w:val="en-US" w:eastAsia="zh-CN"/>
        </w:rPr>
        <w:t>污水厂</w:t>
      </w:r>
      <w:r>
        <w:rPr>
          <w:rFonts w:hint="eastAsia" w:ascii="宋体" w:hAnsi="宋体" w:eastAsia="宋体" w:cs="宋体"/>
          <w:color w:val="auto"/>
          <w:sz w:val="22"/>
          <w:szCs w:val="22"/>
          <w:highlight w:val="none"/>
        </w:rPr>
        <w:t>处理污染地下水的资质和能力控制，污染土壤及地下水</w:t>
      </w:r>
      <w:r>
        <w:rPr>
          <w:rFonts w:hint="eastAsia" w:ascii="宋体" w:hAnsi="宋体"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过程中的风险防范措施的监管、开工前突发环境事故应急预案的监管。</w:t>
      </w:r>
    </w:p>
    <w:p w14:paraId="61ED4780">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（4）风险管控工程环境影响监测</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针对</w:t>
      </w:r>
      <w:r>
        <w:rPr>
          <w:rFonts w:hint="eastAsia" w:ascii="宋体" w:hAnsi="宋体" w:eastAsia="宋体" w:cs="宋体"/>
          <w:color w:val="auto"/>
          <w:sz w:val="22"/>
          <w:szCs w:val="22"/>
          <w:highlight w:val="none"/>
          <w:lang w:val="en-US" w:eastAsia="zh-CN"/>
        </w:rPr>
        <w:t>施工</w:t>
      </w:r>
      <w:r>
        <w:rPr>
          <w:rFonts w:hint="eastAsia" w:ascii="宋体" w:hAnsi="宋体" w:eastAsia="宋体" w:cs="宋体"/>
          <w:color w:val="auto"/>
          <w:sz w:val="22"/>
          <w:szCs w:val="22"/>
          <w:highlight w:val="none"/>
        </w:rPr>
        <w:t>过程中场地土壤及地下水污染物可能带来的环境影响进行有效监控，监测和评价施工过程中污染物排放是否达到有关规定。布点监测大气、水体、固体废物等环境介质中污染物排放情况，同时加强噪声污染源监测。监测点位按照风险管控工程技术设计要求和场地周边敏感目标具体情况布设。</w:t>
      </w:r>
    </w:p>
    <w:p w14:paraId="32BB4E1A">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（5）编制环境监理总结报告。就</w:t>
      </w:r>
      <w:r>
        <w:rPr>
          <w:rFonts w:hint="eastAsia" w:ascii="宋体" w:hAnsi="宋体"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过程中环保设计、实施、运行情况进行总结，反映存在的问题并提出建议，为竣工验收提供材料。内容应包括：工程概况、施工现场及周边水、土、气环境保护执行情况，施工场地环保措施落实情况，环保事故隐患或环保事故、环境监理现存问题及建议等。</w:t>
      </w:r>
    </w:p>
    <w:p w14:paraId="380FA51E">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（6）环境监理单位应在污染土壤及地下水</w:t>
      </w:r>
      <w:r>
        <w:rPr>
          <w:rFonts w:hint="eastAsia" w:ascii="宋体" w:hAnsi="宋体"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工程施工期间对土壤及地下水污染场地现场施工过程二次污染防治、污染土壤及地下水运输过程等。在监理全过程中，环境监理应监理</w:t>
      </w:r>
      <w:r>
        <w:rPr>
          <w:rFonts w:hint="eastAsia" w:ascii="宋体" w:hAnsi="宋体" w:eastAsia="宋体" w:cs="宋体"/>
          <w:color w:val="auto"/>
          <w:sz w:val="22"/>
          <w:szCs w:val="22"/>
          <w:highlight w:val="none"/>
          <w:lang w:eastAsia="zh-CN"/>
        </w:rPr>
        <w:t>风险管控服务单位</w:t>
      </w:r>
      <w:r>
        <w:rPr>
          <w:rFonts w:hint="eastAsia" w:ascii="宋体" w:hAnsi="宋体" w:eastAsia="宋体" w:cs="宋体"/>
          <w:color w:val="auto"/>
          <w:sz w:val="22"/>
          <w:szCs w:val="22"/>
          <w:highlight w:val="none"/>
        </w:rPr>
        <w:t>做好全过程污染防治工作，不得产生二次污染情况；环境监理应监理全过程施工场地周边环境质量，避免施工作业影响周边居民的生活；环境监理应监理</w:t>
      </w:r>
      <w:r>
        <w:rPr>
          <w:rFonts w:hint="eastAsia" w:ascii="宋体" w:hAnsi="宋体" w:eastAsia="宋体" w:cs="宋体"/>
          <w:color w:val="auto"/>
          <w:sz w:val="22"/>
          <w:szCs w:val="22"/>
          <w:highlight w:val="none"/>
          <w:lang w:eastAsia="zh-CN"/>
        </w:rPr>
        <w:t>风险管控服务单位</w:t>
      </w:r>
      <w:r>
        <w:rPr>
          <w:rFonts w:hint="eastAsia" w:ascii="宋体" w:hAnsi="宋体" w:eastAsia="宋体" w:cs="宋体"/>
          <w:color w:val="auto"/>
          <w:sz w:val="22"/>
          <w:szCs w:val="22"/>
          <w:highlight w:val="none"/>
        </w:rPr>
        <w:t>治理全过程，监督</w:t>
      </w:r>
      <w:r>
        <w:rPr>
          <w:rFonts w:hint="eastAsia" w:ascii="宋体" w:hAnsi="宋体" w:eastAsia="宋体" w:cs="宋体"/>
          <w:color w:val="auto"/>
          <w:sz w:val="22"/>
          <w:szCs w:val="22"/>
          <w:highlight w:val="none"/>
          <w:lang w:eastAsia="zh-CN"/>
        </w:rPr>
        <w:t>风险管控服务单位</w:t>
      </w:r>
      <w:r>
        <w:rPr>
          <w:rFonts w:hint="eastAsia" w:ascii="宋体" w:hAnsi="宋体" w:eastAsia="宋体" w:cs="宋体"/>
          <w:color w:val="auto"/>
          <w:sz w:val="22"/>
          <w:szCs w:val="22"/>
          <w:highlight w:val="none"/>
        </w:rPr>
        <w:t>按照</w:t>
      </w:r>
      <w:r>
        <w:rPr>
          <w:rFonts w:hint="eastAsia" w:ascii="宋体" w:hAnsi="宋体" w:eastAsia="宋体" w:cs="宋体"/>
          <w:color w:val="auto"/>
          <w:sz w:val="22"/>
          <w:szCs w:val="22"/>
          <w:highlight w:val="none"/>
          <w:lang w:val="en-US" w:eastAsia="zh-CN"/>
        </w:rPr>
        <w:t>风险管控方案</w:t>
      </w:r>
      <w:r>
        <w:rPr>
          <w:rFonts w:hint="eastAsia" w:ascii="宋体" w:hAnsi="宋体" w:eastAsia="宋体" w:cs="宋体"/>
          <w:color w:val="auto"/>
          <w:sz w:val="22"/>
          <w:szCs w:val="22"/>
          <w:highlight w:val="none"/>
        </w:rPr>
        <w:t>进行</w:t>
      </w:r>
      <w:r>
        <w:rPr>
          <w:rFonts w:hint="eastAsia" w:ascii="宋体" w:hAnsi="宋体" w:eastAsia="宋体" w:cs="宋体"/>
          <w:color w:val="auto"/>
          <w:sz w:val="22"/>
          <w:szCs w:val="22"/>
          <w:highlight w:val="none"/>
          <w:lang w:val="en-US" w:eastAsia="zh-CN"/>
        </w:rPr>
        <w:t>服务</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服务</w:t>
      </w:r>
      <w:r>
        <w:rPr>
          <w:rFonts w:hint="eastAsia" w:ascii="宋体" w:hAnsi="宋体" w:eastAsia="宋体" w:cs="宋体"/>
          <w:color w:val="auto"/>
          <w:sz w:val="22"/>
          <w:szCs w:val="22"/>
          <w:highlight w:val="none"/>
        </w:rPr>
        <w:t>后的土壤和地下水是否达到</w:t>
      </w:r>
      <w:r>
        <w:rPr>
          <w:rFonts w:hint="eastAsia" w:ascii="宋体" w:hAnsi="宋体"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方案中相应的</w:t>
      </w:r>
      <w:r>
        <w:rPr>
          <w:rFonts w:hint="eastAsia" w:ascii="宋体" w:hAnsi="宋体" w:eastAsia="宋体" w:cs="宋体"/>
          <w:color w:val="auto"/>
          <w:sz w:val="22"/>
          <w:szCs w:val="22"/>
          <w:highlight w:val="none"/>
          <w:lang w:val="en-US" w:eastAsia="zh-CN"/>
        </w:rPr>
        <w:t>风险管控</w:t>
      </w:r>
      <w:r>
        <w:rPr>
          <w:rFonts w:hint="eastAsia" w:ascii="宋体" w:hAnsi="宋体" w:eastAsia="宋体" w:cs="宋体"/>
          <w:color w:val="auto"/>
          <w:sz w:val="22"/>
          <w:szCs w:val="22"/>
          <w:highlight w:val="none"/>
        </w:rPr>
        <w:t>目标由后续验收确定。</w:t>
      </w:r>
    </w:p>
    <w:p w14:paraId="1A3FC671">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7）根据相关建设行政规范要求开展施工监理工作，具体包括进度、质量、投资控制等控制措施，安全、信息、风险管理工作，组织协调工作等。如委外的，应委托具体相应专业资质水平的机构提供相应服务、配置注册人员并出具工作总结报告，委外单位或人员应具备相关工作经验。</w:t>
      </w:r>
    </w:p>
    <w:p w14:paraId="241783D1">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根据环境监理方案开展监督性检测（现场采样）等，如委外检测机构的，检测报告必须由具有相应资质水平（CMA）的检测的单位出具。</w:t>
      </w:r>
    </w:p>
    <w:p w14:paraId="21D6AF98">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运用与本项目有关的信息化/智慧化软件或平台系统、必要的硬件设备设施仪器等，对现场有关工作进行高效管理。</w:t>
      </w:r>
      <w:r>
        <w:rPr>
          <w:rFonts w:hint="eastAsia" w:ascii="宋体" w:hAnsi="宋体" w:eastAsia="宋体" w:cs="宋体"/>
          <w:color w:val="auto"/>
          <w:sz w:val="22"/>
          <w:szCs w:val="22"/>
          <w:highlight w:val="none"/>
        </w:rPr>
        <w:t>根据项目现状的复杂性、投标人应匹配组建相应各类专业的人员</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必要的设备仪器</w:t>
      </w:r>
      <w:r>
        <w:rPr>
          <w:rFonts w:hint="eastAsia" w:ascii="宋体" w:hAnsi="宋体" w:eastAsia="宋体" w:cs="宋体"/>
          <w:color w:val="auto"/>
          <w:sz w:val="22"/>
          <w:szCs w:val="22"/>
          <w:highlight w:val="none"/>
        </w:rPr>
        <w:t>以确保满足项目需求。</w:t>
      </w:r>
    </w:p>
    <w:p w14:paraId="7178113F">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8"/>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根据项目需求组建专职专家团队，为本项目生态环境损害鉴定、土壤及地下水的风险管控</w:t>
      </w:r>
      <w:r>
        <w:rPr>
          <w:rFonts w:hint="eastAsia" w:ascii="宋体" w:hAnsi="宋体" w:eastAsia="宋体" w:cs="宋体"/>
          <w:color w:val="auto"/>
          <w:sz w:val="22"/>
          <w:szCs w:val="22"/>
          <w:highlight w:val="none"/>
          <w:lang w:val="en-US" w:eastAsia="zh-CN"/>
        </w:rPr>
        <w:t>监理</w:t>
      </w:r>
      <w:r>
        <w:rPr>
          <w:rFonts w:hint="eastAsia" w:ascii="宋体" w:hAnsi="宋体" w:eastAsia="宋体" w:cs="宋体"/>
          <w:color w:val="auto"/>
          <w:sz w:val="22"/>
          <w:szCs w:val="22"/>
          <w:highlight w:val="none"/>
        </w:rPr>
        <w:t>服务提供专业的专家技术支持，根据招标人需求</w:t>
      </w:r>
      <w:r>
        <w:rPr>
          <w:rFonts w:hint="eastAsia" w:ascii="宋体" w:hAnsi="宋体" w:eastAsia="宋体" w:cs="宋体"/>
          <w:color w:val="auto"/>
          <w:sz w:val="22"/>
          <w:szCs w:val="22"/>
          <w:highlight w:val="none"/>
          <w:lang w:val="en-US" w:eastAsia="zh-CN"/>
        </w:rPr>
        <w:t>组织专家团队</w:t>
      </w:r>
      <w:r>
        <w:rPr>
          <w:rFonts w:hint="eastAsia" w:ascii="宋体" w:hAnsi="宋体" w:eastAsia="宋体" w:cs="宋体"/>
          <w:color w:val="auto"/>
          <w:sz w:val="22"/>
          <w:szCs w:val="22"/>
          <w:highlight w:val="none"/>
        </w:rPr>
        <w:t>为招标人提供必要的咨询、论证等技术</w:t>
      </w:r>
      <w:r>
        <w:rPr>
          <w:rFonts w:hint="eastAsia" w:ascii="宋体" w:hAnsi="宋体" w:eastAsia="宋体" w:cs="宋体"/>
          <w:color w:val="auto"/>
          <w:sz w:val="22"/>
          <w:szCs w:val="22"/>
          <w:highlight w:val="none"/>
          <w:lang w:val="en-US" w:eastAsia="zh-CN"/>
        </w:rPr>
        <w:t>咨询</w:t>
      </w:r>
      <w:r>
        <w:rPr>
          <w:rFonts w:hint="eastAsia" w:ascii="宋体" w:hAnsi="宋体" w:eastAsia="宋体" w:cs="宋体"/>
          <w:color w:val="auto"/>
          <w:sz w:val="22"/>
          <w:szCs w:val="22"/>
          <w:highlight w:val="none"/>
        </w:rPr>
        <w:t>服务。</w:t>
      </w:r>
    </w:p>
    <w:p w14:paraId="774AC857">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11</w:t>
      </w:r>
      <w:r>
        <w:rPr>
          <w:rFonts w:hint="eastAsia" w:ascii="宋体" w:hAnsi="宋体" w:eastAsia="宋体" w:cs="宋体"/>
          <w:color w:val="auto"/>
          <w:sz w:val="22"/>
          <w:szCs w:val="22"/>
          <w:highlight w:val="none"/>
        </w:rPr>
        <w:t>）运用专业技术人员</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技术标准编制经验等</w:t>
      </w:r>
      <w:r>
        <w:rPr>
          <w:rFonts w:hint="eastAsia" w:ascii="宋体" w:hAnsi="宋体" w:eastAsia="宋体" w:cs="宋体"/>
          <w:color w:val="auto"/>
          <w:sz w:val="22"/>
          <w:szCs w:val="22"/>
          <w:highlight w:val="none"/>
        </w:rPr>
        <w:t>为园区可能申报或计划申报的</w:t>
      </w:r>
      <w:r>
        <w:rPr>
          <w:rFonts w:hint="eastAsia" w:ascii="宋体" w:hAnsi="宋体" w:eastAsia="宋体" w:cs="宋体"/>
          <w:color w:val="auto"/>
          <w:sz w:val="22"/>
          <w:szCs w:val="22"/>
          <w:highlight w:val="none"/>
          <w:lang w:val="en-US" w:eastAsia="zh-CN"/>
        </w:rPr>
        <w:t>与本项目相关的科研课题、</w:t>
      </w:r>
      <w:r>
        <w:rPr>
          <w:rFonts w:hint="eastAsia" w:ascii="宋体" w:hAnsi="宋体" w:eastAsia="宋体" w:cs="宋体"/>
          <w:color w:val="auto"/>
          <w:sz w:val="22"/>
          <w:szCs w:val="22"/>
          <w:highlight w:val="none"/>
        </w:rPr>
        <w:t>科研创新项目或生态环境导向开发项目或项目申报奖项提供协助、技术支撑</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服务支撑</w:t>
      </w:r>
      <w:r>
        <w:rPr>
          <w:rFonts w:hint="eastAsia" w:ascii="宋体" w:hAnsi="宋体" w:eastAsia="宋体" w:cs="宋体"/>
          <w:color w:val="auto"/>
          <w:sz w:val="22"/>
          <w:szCs w:val="22"/>
          <w:highlight w:val="none"/>
          <w:lang w:val="en-US" w:eastAsia="zh-CN"/>
        </w:rPr>
        <w:t>和工作辅助指导等</w:t>
      </w:r>
      <w:r>
        <w:rPr>
          <w:rFonts w:hint="eastAsia" w:ascii="宋体" w:hAnsi="宋体" w:eastAsia="宋体" w:cs="宋体"/>
          <w:color w:val="auto"/>
          <w:sz w:val="22"/>
          <w:szCs w:val="22"/>
          <w:highlight w:val="none"/>
        </w:rPr>
        <w:t>。</w:t>
      </w:r>
    </w:p>
    <w:p w14:paraId="72E0FF5E">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3.服务要求：</w:t>
      </w:r>
      <w:r>
        <w:rPr>
          <w:rFonts w:hint="eastAsia" w:ascii="宋体" w:hAnsi="宋体" w:eastAsia="宋体" w:cs="宋体"/>
          <w:color w:val="auto"/>
          <w:sz w:val="22"/>
          <w:szCs w:val="22"/>
          <w:highlight w:val="none"/>
        </w:rPr>
        <w:t>按照国家、江苏省和盐城市土壤和地下水修复治理和风险管控等相关规范、规定，完成</w:t>
      </w:r>
      <w:r>
        <w:rPr>
          <w:rFonts w:hint="eastAsia" w:ascii="宋体" w:hAnsi="宋体" w:eastAsia="宋体" w:cs="宋体"/>
          <w:color w:val="auto"/>
          <w:sz w:val="22"/>
          <w:szCs w:val="22"/>
          <w:highlight w:val="none"/>
          <w:lang w:val="en-US" w:eastAsia="zh-CN"/>
        </w:rPr>
        <w:t>采购人</w:t>
      </w:r>
      <w:r>
        <w:rPr>
          <w:rFonts w:hint="eastAsia" w:ascii="宋体" w:hAnsi="宋体" w:eastAsia="宋体" w:cs="宋体"/>
          <w:color w:val="auto"/>
          <w:sz w:val="22"/>
          <w:szCs w:val="22"/>
          <w:highlight w:val="none"/>
        </w:rPr>
        <w:t>要求</w:t>
      </w:r>
      <w:r>
        <w:rPr>
          <w:rFonts w:hint="eastAsia" w:ascii="宋体" w:hAnsi="宋体" w:eastAsia="宋体" w:cs="宋体"/>
          <w:color w:val="auto"/>
          <w:sz w:val="22"/>
          <w:szCs w:val="22"/>
          <w:highlight w:val="none"/>
          <w:lang w:val="en-US" w:eastAsia="zh-CN"/>
        </w:rPr>
        <w:t>的</w:t>
      </w:r>
      <w:r>
        <w:rPr>
          <w:rFonts w:hint="eastAsia" w:ascii="宋体" w:hAnsi="宋体" w:eastAsia="宋体" w:cs="宋体"/>
          <w:color w:val="auto"/>
          <w:sz w:val="22"/>
          <w:szCs w:val="22"/>
          <w:highlight w:val="none"/>
        </w:rPr>
        <w:t>工作。</w:t>
      </w:r>
    </w:p>
    <w:p w14:paraId="27891660">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4.项目实施依据：</w:t>
      </w:r>
      <w:r>
        <w:rPr>
          <w:rFonts w:hint="eastAsia" w:ascii="宋体" w:hAnsi="宋体" w:eastAsia="宋体" w:cs="宋体"/>
          <w:color w:val="auto"/>
          <w:sz w:val="22"/>
          <w:szCs w:val="22"/>
          <w:highlight w:val="none"/>
        </w:rPr>
        <w:t>《建设用地土壤污染状况调查技术导则》（HJ25.1-2019）、《建设用地土壤污染风险管控和修复监测技术导则》（HJ25.2-2019）、《建设用地土壤污染风险评估技术导则》（HJ25.3-2019）、《建设用地土壤修复技术导则》（HJ25.4-2019）、《地下水环境监测技术规范》（HJ164-2020）、《地下水质量标准》（GB/T 14848-2017）、《土壤环境质量 建设用地土壤污染风险管控标准（试行）》（GB 36600-2018）</w:t>
      </w:r>
      <w:r>
        <w:rPr>
          <w:rFonts w:hint="eastAsia" w:ascii="宋体" w:hAnsi="宋体" w:eastAsia="宋体" w:cs="宋体"/>
          <w:color w:val="auto"/>
          <w:sz w:val="22"/>
          <w:szCs w:val="22"/>
          <w:highlight w:val="none"/>
          <w:lang w:eastAsia="zh-CN"/>
        </w:rPr>
        <w:t>、《建设工程监理规范》（GB/T 50319）‌、《建设工程安全生产管理条例》、《建设工程质量管理条例》‌</w:t>
      </w:r>
      <w:r>
        <w:rPr>
          <w:rFonts w:hint="eastAsia" w:ascii="宋体" w:hAnsi="宋体" w:eastAsia="宋体" w:cs="宋体"/>
          <w:color w:val="auto"/>
          <w:sz w:val="22"/>
          <w:szCs w:val="22"/>
          <w:highlight w:val="none"/>
        </w:rPr>
        <w:t>等文件。</w:t>
      </w:r>
    </w:p>
    <w:p w14:paraId="1AC1B995">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注：如项目实施期间国家或地方或行业发布最新标准的，按最新标准执行，且不增加任何费用（政策另有要求的除外），中标人包干，相关政策及成本风险自行考量自行承担。</w:t>
      </w:r>
    </w:p>
    <w:p w14:paraId="00CB0D82">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5.工作成果</w:t>
      </w:r>
    </w:p>
    <w:p w14:paraId="44663A3D">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主要</w:t>
      </w:r>
      <w:r>
        <w:rPr>
          <w:rFonts w:hint="eastAsia" w:ascii="宋体" w:hAnsi="宋体" w:eastAsia="宋体" w:cs="宋体"/>
          <w:color w:val="auto"/>
          <w:sz w:val="22"/>
          <w:szCs w:val="22"/>
          <w:highlight w:val="none"/>
        </w:rPr>
        <w:t>包括：</w:t>
      </w:r>
    </w:p>
    <w:p w14:paraId="1C9515E4">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（1）</w:t>
      </w:r>
      <w:r>
        <w:rPr>
          <w:rFonts w:hint="eastAsia" w:ascii="宋体" w:hAnsi="宋体" w:eastAsia="宋体" w:cs="宋体"/>
          <w:b/>
          <w:bCs/>
          <w:color w:val="auto"/>
          <w:sz w:val="22"/>
          <w:szCs w:val="22"/>
          <w:highlight w:val="none"/>
          <w:lang w:val="en-US" w:eastAsia="zh-CN"/>
        </w:rPr>
        <w:t>环境监理等服务方案及实施细则</w:t>
      </w:r>
      <w:r>
        <w:rPr>
          <w:rFonts w:hint="eastAsia" w:ascii="宋体" w:hAnsi="宋体" w:eastAsia="宋体" w:cs="宋体"/>
          <w:b/>
          <w:bCs/>
          <w:color w:val="auto"/>
          <w:sz w:val="22"/>
          <w:szCs w:val="22"/>
          <w:highlight w:val="none"/>
        </w:rPr>
        <w:t>；</w:t>
      </w:r>
    </w:p>
    <w:p w14:paraId="220AF5A5">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w:t>
      </w:r>
      <w:r>
        <w:rPr>
          <w:rFonts w:hint="eastAsia" w:ascii="宋体" w:hAnsi="宋体" w:eastAsia="宋体" w:cs="宋体"/>
          <w:b/>
          <w:bCs/>
          <w:color w:val="auto"/>
          <w:sz w:val="22"/>
          <w:szCs w:val="22"/>
          <w:highlight w:val="none"/>
          <w:lang w:val="en-US" w:eastAsia="zh-CN"/>
        </w:rPr>
        <w:t>环境监理等服务工作总结报告</w:t>
      </w:r>
      <w:r>
        <w:rPr>
          <w:rFonts w:hint="eastAsia" w:ascii="宋体" w:hAnsi="宋体" w:eastAsia="宋体" w:cs="宋体"/>
          <w:b/>
          <w:bCs/>
          <w:color w:val="auto"/>
          <w:sz w:val="22"/>
          <w:szCs w:val="22"/>
          <w:highlight w:val="none"/>
        </w:rPr>
        <w:t>；</w:t>
      </w:r>
    </w:p>
    <w:p w14:paraId="3C065126">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（3）</w:t>
      </w:r>
      <w:r>
        <w:rPr>
          <w:rFonts w:hint="eastAsia" w:ascii="宋体" w:hAnsi="宋体" w:eastAsia="宋体" w:cs="宋体"/>
          <w:b/>
          <w:bCs/>
          <w:color w:val="auto"/>
          <w:sz w:val="22"/>
          <w:szCs w:val="22"/>
          <w:highlight w:val="none"/>
          <w:lang w:val="en-US" w:eastAsia="zh-CN"/>
        </w:rPr>
        <w:t>有关专家评审的相关评审报告（资料）</w:t>
      </w:r>
      <w:r>
        <w:rPr>
          <w:rFonts w:hint="eastAsia" w:ascii="宋体" w:hAnsi="宋体" w:eastAsia="宋体" w:cs="宋体"/>
          <w:b/>
          <w:bCs/>
          <w:color w:val="auto"/>
          <w:sz w:val="22"/>
          <w:szCs w:val="22"/>
          <w:highlight w:val="none"/>
        </w:rPr>
        <w:t>；</w:t>
      </w:r>
    </w:p>
    <w:p w14:paraId="33A71ECC">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（4）</w:t>
      </w:r>
      <w:r>
        <w:rPr>
          <w:rFonts w:hint="eastAsia" w:ascii="宋体" w:hAnsi="宋体" w:eastAsia="宋体" w:cs="宋体"/>
          <w:b/>
          <w:bCs/>
          <w:color w:val="auto"/>
          <w:sz w:val="22"/>
          <w:szCs w:val="22"/>
          <w:highlight w:val="none"/>
          <w:lang w:val="en-US" w:eastAsia="zh-CN"/>
        </w:rPr>
        <w:t>监理日志/检测报告（如有）等监理资料文件</w:t>
      </w:r>
      <w:r>
        <w:rPr>
          <w:rFonts w:hint="eastAsia" w:ascii="宋体" w:hAnsi="宋体" w:eastAsia="宋体" w:cs="宋体"/>
          <w:b/>
          <w:bCs/>
          <w:color w:val="auto"/>
          <w:sz w:val="22"/>
          <w:szCs w:val="22"/>
          <w:highlight w:val="none"/>
        </w:rPr>
        <w:t>；</w:t>
      </w:r>
    </w:p>
    <w:p w14:paraId="06C62637">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5）其它招标人要求的服务产生的书面工作成果（如有）。</w:t>
      </w:r>
    </w:p>
    <w:p w14:paraId="33A29029">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三、服务保障</w:t>
      </w:r>
    </w:p>
    <w:p w14:paraId="6906DD6F">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1、供应商应对照采购文件要求，说明所提供已对招标人的需求做出了实质性的响应，或申明与需求的偏差和例外。</w:t>
      </w:r>
    </w:p>
    <w:p w14:paraId="46612B42">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2、供应商可以在投标文件中提出不同的服务标准和保障承诺，使评标委员会相信替代服务相同于或优于原需求，对于具体参数要求的指标，供应商必须提供具体参数值。</w:t>
      </w:r>
    </w:p>
    <w:p w14:paraId="2CF211CD">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3、如果发生因供应商工作失职造成安全事故或其他财产损失和人身伤害，均由供应商承担相关经济和法律责任。</w:t>
      </w:r>
    </w:p>
    <w:p w14:paraId="3BC6F30A">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四、其他管理要求</w:t>
      </w:r>
    </w:p>
    <w:p w14:paraId="7D74A4E9">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中标人应自行承担项目实施期间所产生的交通费、食宿费、通讯费、各种资料的编制、打印、复印和传递费、办公设备和用品费、为当地提供的设施和服务所付的费用）和不可预见费（指在酬金和可报销费用之外，在执行本项目服务任务的过程中所发生的额外的其它所有费用）等一切费用。</w:t>
      </w:r>
    </w:p>
    <w:p w14:paraId="4D7A7806">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2、中标人在服务期间须遵守下列廉洁执业规则：</w:t>
      </w:r>
    </w:p>
    <w:p w14:paraId="60FAB44D">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①不得收受和索取企业的任何报酬、礼品、土特产。</w:t>
      </w:r>
    </w:p>
    <w:p w14:paraId="02B0C83F">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②不得在现场工作期间与企业开展项目洽谈、产品推销、争取赞助等活动。</w:t>
      </w:r>
    </w:p>
    <w:p w14:paraId="171E8747">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③不得在现场工作期间接受企业接待，工作期间一律不得饮酒。</w:t>
      </w:r>
    </w:p>
    <w:p w14:paraId="78C0499F">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④不得泄露企业的技术和商业秘密。</w:t>
      </w:r>
    </w:p>
    <w:p w14:paraId="17A7CDD5">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3、成交供应商不得利用服务区域内的招标人房产、服务、水电等资源从事其他经营或非法活动，不能改变其服务性质。</w:t>
      </w:r>
    </w:p>
    <w:p w14:paraId="5144DBB9">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五、服务开展的原则及奖惩条款</w:t>
      </w:r>
    </w:p>
    <w:p w14:paraId="11A61ABF">
      <w:pPr>
        <w:keepNext w:val="0"/>
        <w:keepLines w:val="0"/>
        <w:pageBreakBefore w:val="0"/>
        <w:widowControl w:val="0"/>
        <w:kinsoku/>
        <w:wordWrap w:val="0"/>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下列条款投标无须单独出具承诺材料，投标即视为承诺相关内容，中标后遵照执行：</w:t>
      </w:r>
    </w:p>
    <w:p w14:paraId="55833497">
      <w:pPr>
        <w:keepNext w:val="0"/>
        <w:keepLines w:val="0"/>
        <w:pageBreakBefore w:val="0"/>
        <w:widowControl w:val="0"/>
        <w:kinsoku/>
        <w:wordWrap w:val="0"/>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1．拟投入本项目人员须专门服务于本项目，且原则上不得更换。中标后，承诺拟投入的人员未按承诺到位或中标单位未经采购单位批准私自更换的，一经发现处罚</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0000元/人·次，同时中标单位仍应按投标响应文件中承诺的将人员配备到位。（投标时无须单独出具承诺材料，投标即视为承诺相关内容。）</w:t>
      </w:r>
    </w:p>
    <w:p w14:paraId="44A1C279">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2．中标单位如需更换项目人员，应向招标人提出书面申请，经招标人批准后方可进行更换，所更换人员资格不得低于其投标文件承诺；中标后由于项目人员现场管理工作不到位，或无法起到应有的作用，视为不称职，招标人将要求中标单位更换项目人员，且所更换人员不得低于其投标响应文件承诺。无论中标单位申请更换或因不称职更换项目组人员均视为中标单位违约行为，招标人将向中标单位收取违约金，项目负责人</w:t>
      </w:r>
      <w:r>
        <w:rPr>
          <w:rFonts w:hint="eastAsia" w:ascii="宋体" w:hAnsi="宋体" w:eastAsia="宋体" w:cs="宋体"/>
          <w:color w:val="auto"/>
          <w:spacing w:val="0"/>
          <w:kern w:val="2"/>
          <w:sz w:val="22"/>
          <w:szCs w:val="22"/>
          <w:highlight w:val="none"/>
          <w:lang w:val="en-US" w:eastAsia="zh-CN"/>
        </w:rPr>
        <w:t>5000</w:t>
      </w:r>
      <w:r>
        <w:rPr>
          <w:rFonts w:hint="eastAsia" w:ascii="宋体" w:hAnsi="宋体" w:eastAsia="宋体" w:cs="宋体"/>
          <w:color w:val="auto"/>
          <w:spacing w:val="0"/>
          <w:kern w:val="2"/>
          <w:sz w:val="22"/>
          <w:szCs w:val="22"/>
          <w:highlight w:val="none"/>
        </w:rPr>
        <w:t>元/人·次；其他相关人员</w:t>
      </w:r>
      <w:r>
        <w:rPr>
          <w:rFonts w:hint="eastAsia" w:ascii="宋体" w:hAnsi="宋体" w:eastAsia="宋体" w:cs="宋体"/>
          <w:color w:val="auto"/>
          <w:spacing w:val="0"/>
          <w:kern w:val="2"/>
          <w:sz w:val="22"/>
          <w:szCs w:val="22"/>
          <w:highlight w:val="none"/>
          <w:lang w:val="en-US" w:eastAsia="zh-CN"/>
        </w:rPr>
        <w:t>1</w:t>
      </w:r>
      <w:r>
        <w:rPr>
          <w:rFonts w:hint="eastAsia" w:ascii="宋体" w:hAnsi="宋体" w:eastAsia="宋体" w:cs="宋体"/>
          <w:color w:val="auto"/>
          <w:spacing w:val="0"/>
          <w:kern w:val="2"/>
          <w:sz w:val="22"/>
          <w:szCs w:val="22"/>
          <w:highlight w:val="none"/>
        </w:rPr>
        <w:t>000元/人·次。（投标时无须单独出具承诺材料，投标即视为承诺相关内容。）</w:t>
      </w:r>
    </w:p>
    <w:p w14:paraId="3A8C5B2F">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3．中标单位的项目负责人原则上应当提供驻场服务和工作指导，如无法全勤驻场的，应当及时主动向招标人出具相关申请材料，经招标人同意予以调整或增加现场驻场联系员或现场负责人，否则一经发现，招标人有权处罚</w:t>
      </w:r>
      <w:r>
        <w:rPr>
          <w:rFonts w:hint="eastAsia" w:ascii="宋体" w:hAnsi="宋体" w:eastAsia="宋体" w:cs="宋体"/>
          <w:color w:val="auto"/>
          <w:spacing w:val="0"/>
          <w:kern w:val="2"/>
          <w:sz w:val="22"/>
          <w:szCs w:val="22"/>
          <w:highlight w:val="none"/>
          <w:lang w:val="en-US" w:eastAsia="zh-CN"/>
        </w:rPr>
        <w:t>5000</w:t>
      </w:r>
      <w:r>
        <w:rPr>
          <w:rFonts w:hint="eastAsia" w:ascii="宋体" w:hAnsi="宋体" w:eastAsia="宋体" w:cs="宋体"/>
          <w:color w:val="auto"/>
          <w:spacing w:val="0"/>
          <w:kern w:val="2"/>
          <w:sz w:val="22"/>
          <w:szCs w:val="22"/>
          <w:highlight w:val="none"/>
        </w:rPr>
        <w:t>元/人·次。（投标时无须单独出具承诺材料，投标即视为承诺相关内容。）</w:t>
      </w:r>
    </w:p>
    <w:p w14:paraId="37A44F5C">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4．本项目服务周期较长，服务项目点位分散，投标人中标后应当在服务区域内设立配置固定的办公场所，配置相应的软硬件设施以满足项目需求，人员办公地点集中化便于人员管理。否则，招标人有权处罚</w:t>
      </w:r>
      <w:r>
        <w:rPr>
          <w:rFonts w:hint="eastAsia" w:ascii="宋体" w:hAnsi="宋体" w:eastAsia="宋体" w:cs="宋体"/>
          <w:color w:val="auto"/>
          <w:spacing w:val="0"/>
          <w:kern w:val="2"/>
          <w:sz w:val="22"/>
          <w:szCs w:val="22"/>
          <w:highlight w:val="none"/>
          <w:lang w:val="en-US" w:eastAsia="zh-CN"/>
        </w:rPr>
        <w:t>5000</w:t>
      </w:r>
      <w:r>
        <w:rPr>
          <w:rFonts w:hint="eastAsia" w:ascii="宋体" w:hAnsi="宋体" w:eastAsia="宋体" w:cs="宋体"/>
          <w:color w:val="auto"/>
          <w:spacing w:val="0"/>
          <w:kern w:val="2"/>
          <w:sz w:val="22"/>
          <w:szCs w:val="22"/>
          <w:highlight w:val="none"/>
        </w:rPr>
        <w:t>元/次。（投标时无须单独出具承诺材料，投标即视为承诺相关内容。）</w:t>
      </w:r>
    </w:p>
    <w:p w14:paraId="3D7AB377">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5．投标单位对招标人提供的数据、材料及检测结果、调查评估结果具有保密义务，如发现投标单位有任何形式的泄密行为，招标人有权解除合同并追究其相关责任。</w:t>
      </w:r>
    </w:p>
    <w:p w14:paraId="79BB9146">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6．投标单位根据招标人的具体要求开展委托工作，并对招标人负责；完成指定项目后，应按招标人要求及时出具相关书面材料，并拟定费用明细，经招标人审核后作为结算凭据。</w:t>
      </w:r>
    </w:p>
    <w:p w14:paraId="3D55954C">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7．投标单位根据招标人的要求开展风险管控服务工作，并做好质量控制。在服务过程中如发现由于客观原因而严重影响项目进度的，由投标单位提出延长项目完成时间的书面申请，经招标人核准后给予时间调整。</w:t>
      </w:r>
    </w:p>
    <w:p w14:paraId="36AFE6D7">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8．投标单位应加强对分包单位的管理。投标单位需按照国家现行法律法规组织并协调分包单位开展相关服务工作，导致服务过程不佳的，由投标单位承担总体责任，招标人将对投标单位予以警告（同时予以</w:t>
      </w:r>
      <w:r>
        <w:rPr>
          <w:rFonts w:hint="eastAsia" w:ascii="宋体" w:hAnsi="宋体" w:eastAsia="宋体" w:cs="宋体"/>
          <w:color w:val="auto"/>
          <w:spacing w:val="0"/>
          <w:kern w:val="2"/>
          <w:sz w:val="22"/>
          <w:szCs w:val="22"/>
          <w:highlight w:val="none"/>
          <w:lang w:val="en-US" w:eastAsia="zh-CN"/>
        </w:rPr>
        <w:t>1</w:t>
      </w:r>
      <w:r>
        <w:rPr>
          <w:rFonts w:hint="eastAsia" w:ascii="宋体" w:hAnsi="宋体" w:eastAsia="宋体" w:cs="宋体"/>
          <w:color w:val="auto"/>
          <w:spacing w:val="0"/>
          <w:kern w:val="2"/>
          <w:sz w:val="22"/>
          <w:szCs w:val="22"/>
          <w:highlight w:val="none"/>
        </w:rPr>
        <w:t>0000元/次的处罚）直至不再对其进行委托或解除合同，并追究造成招标人损失的责任。</w:t>
      </w:r>
    </w:p>
    <w:p w14:paraId="05FA56DA">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9．投标单位应加强对项目服务过程中相关资料的保管，服务工作全面完成后，投标单位应按相关文件及招标人要求备案电子与纸质资料；其余资料，投标单位应按招标人要求存档保管，并应及时响应招标人对评估资料进行调用、审核等要求，纸质材料保管时间为至少三年，电子版材料保管时间至少十年。对档案管理不完善造成资料遗失的供应商，招标人将予以警告直至不再对其进行委托或解除合同。</w:t>
      </w:r>
    </w:p>
    <w:p w14:paraId="554BDA31">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10．投标单位及其委托的分包单位须按照招标人要求配合完成风险管控服务全流程的信息化相关工作并对其负责，包括数据收集、录入、上传、运维及招标人要求的其他相关工作。</w:t>
      </w:r>
    </w:p>
    <w:p w14:paraId="1F0FA849">
      <w:pPr>
        <w:pStyle w:val="25"/>
        <w:keepNext w:val="0"/>
        <w:keepLines w:val="0"/>
        <w:pageBreakBefore w:val="0"/>
        <w:widowControl w:val="0"/>
        <w:kinsoku/>
        <w:wordWrap w:val="0"/>
        <w:overflowPunct/>
        <w:topLinePunct w:val="0"/>
        <w:autoSpaceDE/>
        <w:autoSpaceDN/>
        <w:bidi w:val="0"/>
        <w:adjustRightInd/>
        <w:snapToGrid/>
        <w:spacing w:after="0" w:line="480" w:lineRule="exact"/>
        <w:ind w:firstLine="420"/>
        <w:textAlignment w:val="auto"/>
        <w:rPr>
          <w:rFonts w:hint="eastAsia" w:ascii="宋体" w:hAnsi="宋体" w:eastAsia="宋体" w:cs="宋体"/>
          <w:color w:val="auto"/>
          <w:spacing w:val="0"/>
          <w:kern w:val="2"/>
          <w:sz w:val="22"/>
          <w:szCs w:val="22"/>
          <w:highlight w:val="none"/>
        </w:rPr>
      </w:pPr>
      <w:r>
        <w:rPr>
          <w:rFonts w:hint="eastAsia" w:ascii="宋体" w:hAnsi="宋体" w:eastAsia="宋体" w:cs="宋体"/>
          <w:color w:val="auto"/>
          <w:spacing w:val="0"/>
          <w:kern w:val="2"/>
          <w:sz w:val="22"/>
          <w:szCs w:val="22"/>
          <w:highlight w:val="none"/>
        </w:rPr>
        <w:t>11．投标单位应积极主动配合招标人有关工作，服从管理调配。如服务过程中投标单位不配合招标人工作的，处罚款</w:t>
      </w:r>
      <w:r>
        <w:rPr>
          <w:rFonts w:hint="eastAsia" w:ascii="宋体" w:hAnsi="宋体" w:eastAsia="宋体" w:cs="宋体"/>
          <w:color w:val="auto"/>
          <w:spacing w:val="0"/>
          <w:kern w:val="2"/>
          <w:sz w:val="22"/>
          <w:szCs w:val="22"/>
          <w:highlight w:val="none"/>
          <w:lang w:val="en-US" w:eastAsia="zh-CN"/>
        </w:rPr>
        <w:t>5</w:t>
      </w:r>
      <w:r>
        <w:rPr>
          <w:rFonts w:hint="eastAsia" w:ascii="宋体" w:hAnsi="宋体" w:eastAsia="宋体" w:cs="宋体"/>
          <w:color w:val="auto"/>
          <w:spacing w:val="0"/>
          <w:kern w:val="2"/>
          <w:sz w:val="22"/>
          <w:szCs w:val="22"/>
          <w:highlight w:val="none"/>
        </w:rPr>
        <w:t>000元/次。</w:t>
      </w:r>
    </w:p>
    <w:p w14:paraId="40427C67">
      <w:pPr>
        <w:keepNext w:val="0"/>
        <w:keepLines w:val="0"/>
        <w:pageBreakBefore w:val="0"/>
        <w:widowControl w:val="0"/>
        <w:kinsoku/>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kern w:val="2"/>
          <w:sz w:val="22"/>
          <w:szCs w:val="22"/>
          <w:highlight w:val="none"/>
        </w:rPr>
        <w:t>12．投标单位应对本项目的所有成果材料及请款材料的合法性、规范性、真实性、准确性、完整性负责，加强内容审核，提交至招标人的材料原则上不予替换。由于投标单位原因导致材料需重新提交的，招标人将予以警告直至不再对其进行委托。涉及总体服务方案等方案编制的，方案需依据国家、江苏省、盐城市、滨海县相关文件要求开展，</w:t>
      </w:r>
      <w:r>
        <w:rPr>
          <w:rFonts w:hint="eastAsia" w:ascii="宋体" w:hAnsi="宋体" w:eastAsia="宋体" w:cs="宋体"/>
          <w:color w:val="auto"/>
          <w:spacing w:val="0"/>
          <w:kern w:val="2"/>
          <w:sz w:val="22"/>
          <w:szCs w:val="22"/>
          <w:highlight w:val="none"/>
          <w:lang w:val="en-US" w:eastAsia="zh-CN"/>
        </w:rPr>
        <w:t>应通过专家评审</w:t>
      </w:r>
      <w:r>
        <w:rPr>
          <w:rFonts w:hint="eastAsia" w:ascii="宋体" w:hAnsi="宋体" w:eastAsia="宋体" w:cs="宋体"/>
          <w:color w:val="auto"/>
          <w:spacing w:val="0"/>
          <w:kern w:val="2"/>
          <w:sz w:val="22"/>
          <w:szCs w:val="22"/>
          <w:highlight w:val="none"/>
        </w:rPr>
        <w:t>，作为后续工作的依据。</w:t>
      </w:r>
    </w:p>
    <w:p w14:paraId="2C63ACE4">
      <w:pPr>
        <w:pStyle w:val="13"/>
        <w:keepNext w:val="0"/>
        <w:keepLines w:val="0"/>
        <w:pageBreakBefore w:val="0"/>
        <w:widowControl w:val="0"/>
        <w:kinsoku/>
        <w:wordWrap w:val="0"/>
        <w:overflowPunct/>
        <w:topLinePunct w:val="0"/>
        <w:autoSpaceDE/>
        <w:autoSpaceDN/>
        <w:bidi w:val="0"/>
        <w:adjustRightInd/>
        <w:snapToGrid/>
        <w:spacing w:beforeAutospacing="0" w:afterAutospacing="0"/>
        <w:jc w:val="center"/>
        <w:textAlignment w:val="auto"/>
        <w:rPr>
          <w:highlight w:val="none"/>
        </w:rPr>
      </w:pPr>
      <w:r>
        <w:rPr>
          <w:highlight w:val="none"/>
        </w:rPr>
        <w:t> </w:t>
      </w:r>
    </w:p>
    <w:p w14:paraId="64448486">
      <w:pPr>
        <w:keepNext w:val="0"/>
        <w:keepLines w:val="0"/>
        <w:pageBreakBefore w:val="0"/>
        <w:widowControl w:val="0"/>
        <w:kinsoku/>
        <w:wordWrap w:val="0"/>
        <w:overflowPunct/>
        <w:topLinePunct w:val="0"/>
        <w:bidi w:val="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3880A673">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668FEA9F">
      <w:pPr>
        <w:keepNext w:val="0"/>
        <w:keepLines w:val="0"/>
        <w:pageBreakBefore w:val="0"/>
        <w:widowControl w:val="0"/>
        <w:kinsoku/>
        <w:wordWrap w:val="0"/>
        <w:overflowPunct/>
        <w:topLinePunct w:val="0"/>
        <w:autoSpaceDE/>
        <w:autoSpaceDN/>
        <w:bidi w:val="0"/>
        <w:snapToGrid w:val="0"/>
        <w:spacing w:line="264" w:lineRule="auto"/>
        <w:ind w:firstLine="442" w:firstLineChars="20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一、定标原则</w:t>
      </w:r>
    </w:p>
    <w:p w14:paraId="511C5593">
      <w:pPr>
        <w:keepNext w:val="0"/>
        <w:keepLines w:val="0"/>
        <w:pageBreakBefore w:val="0"/>
        <w:widowControl w:val="0"/>
        <w:kinsoku/>
        <w:wordWrap w:val="0"/>
        <w:overflowPunct/>
        <w:topLinePunct w:val="0"/>
        <w:autoSpaceDE/>
        <w:autoSpaceDN/>
        <w:bidi w:val="0"/>
        <w:snapToGrid w:val="0"/>
        <w:spacing w:line="264" w:lineRule="auto"/>
        <w:ind w:firstLine="440" w:firstLineChars="200"/>
        <w:rPr>
          <w:rFonts w:hint="eastAsia" w:ascii="宋体" w:hAnsi="宋体" w:eastAsia="宋体" w:cs="宋体"/>
          <w:color w:val="000000"/>
          <w:sz w:val="22"/>
          <w:szCs w:val="22"/>
          <w:highlight w:val="none"/>
          <w:lang w:val="en-US" w:eastAsia="zh-CN"/>
        </w:rPr>
      </w:pPr>
      <w:r>
        <w:rPr>
          <w:rFonts w:hint="eastAsia" w:ascii="宋体" w:hAnsi="宋体" w:eastAsia="宋体" w:cs="宋体"/>
          <w:bCs/>
          <w:color w:val="000000"/>
          <w:sz w:val="22"/>
          <w:szCs w:val="22"/>
          <w:highlight w:val="none"/>
        </w:rPr>
        <w:t>本项目采用</w:t>
      </w:r>
      <w:r>
        <w:rPr>
          <w:rFonts w:hint="eastAsia" w:ascii="宋体" w:hAnsi="宋体" w:eastAsia="宋体" w:cs="宋体"/>
          <w:bCs/>
          <w:color w:val="000000"/>
          <w:sz w:val="22"/>
          <w:szCs w:val="22"/>
          <w:highlight w:val="none"/>
          <w:u w:val="single"/>
        </w:rPr>
        <w:t xml:space="preserve"> 综合评分 </w:t>
      </w:r>
      <w:r>
        <w:rPr>
          <w:rFonts w:hint="eastAsia" w:ascii="宋体" w:hAnsi="宋体" w:eastAsia="宋体" w:cs="宋体"/>
          <w:bCs/>
          <w:color w:val="000000"/>
          <w:sz w:val="22"/>
          <w:szCs w:val="22"/>
          <w:highlight w:val="none"/>
        </w:rPr>
        <w:t>法</w:t>
      </w:r>
      <w:r>
        <w:rPr>
          <w:rFonts w:hint="eastAsia" w:ascii="宋体" w:hAnsi="宋体" w:eastAsia="宋体" w:cs="宋体"/>
          <w:bCs/>
          <w:color w:val="000000"/>
          <w:sz w:val="22"/>
          <w:szCs w:val="22"/>
          <w:highlight w:val="none"/>
          <w:lang w:eastAsia="zh-CN"/>
        </w:rPr>
        <w:t>，</w:t>
      </w:r>
      <w:r>
        <w:rPr>
          <w:rFonts w:hint="eastAsia" w:ascii="宋体" w:hAnsi="宋体" w:eastAsia="宋体" w:cs="宋体"/>
          <w:color w:val="000000"/>
          <w:kern w:val="0"/>
          <w:sz w:val="22"/>
          <w:szCs w:val="22"/>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2"/>
          <w:szCs w:val="22"/>
          <w:highlight w:val="none"/>
          <w:lang w:val="en-US" w:eastAsia="zh-CN"/>
        </w:rPr>
        <w:t>并列</w:t>
      </w:r>
      <w:r>
        <w:rPr>
          <w:rFonts w:hint="eastAsia" w:ascii="宋体" w:hAnsi="宋体" w:eastAsia="宋体" w:cs="宋体"/>
          <w:color w:val="000000"/>
          <w:kern w:val="0"/>
          <w:sz w:val="22"/>
          <w:szCs w:val="22"/>
          <w:highlight w:val="none"/>
        </w:rPr>
        <w:t>。投标文件满足招标文件全部实质性要求，且按照评审因素的量化指标评审得分最高的投标人为排名第一的中标候选人，本项目选取1名中标候选人。</w:t>
      </w:r>
    </w:p>
    <w:p w14:paraId="7A676DAE">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41"/>
        <w:rPr>
          <w:rFonts w:hint="eastAsia" w:ascii="宋体" w:hAnsi="宋体" w:eastAsia="宋体" w:cs="宋体"/>
          <w:sz w:val="22"/>
          <w:szCs w:val="22"/>
          <w:highlight w:val="none"/>
        </w:rPr>
      </w:pPr>
      <w:r>
        <w:rPr>
          <w:rFonts w:hint="eastAsia" w:ascii="宋体" w:hAnsi="宋体" w:eastAsia="宋体" w:cs="宋体"/>
          <w:b/>
          <w:color w:val="000000"/>
          <w:sz w:val="22"/>
          <w:szCs w:val="22"/>
          <w:highlight w:val="none"/>
        </w:rPr>
        <w:t>政府采购政策功能落实</w:t>
      </w:r>
    </w:p>
    <w:p w14:paraId="20E729E2">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1、小微型企业价格扣除</w:t>
      </w:r>
    </w:p>
    <w:p w14:paraId="5A19E5A0">
      <w:pPr>
        <w:pStyle w:val="21"/>
        <w:keepNext w:val="0"/>
        <w:keepLines w:val="0"/>
        <w:pageBreakBefore w:val="0"/>
        <w:widowControl w:val="0"/>
        <w:kinsoku/>
        <w:wordWrap w:val="0"/>
        <w:overflowPunct/>
        <w:topLinePunct w:val="0"/>
        <w:autoSpaceDE/>
        <w:autoSpaceDN/>
        <w:bidi w:val="0"/>
        <w:spacing w:line="264" w:lineRule="auto"/>
        <w:ind w:firstLine="330" w:firstLineChars="150"/>
        <w:rPr>
          <w:rFonts w:hint="eastAsia" w:ascii="宋体" w:hAnsi="宋体" w:eastAsia="宋体" w:cs="宋体"/>
          <w:sz w:val="22"/>
          <w:szCs w:val="22"/>
          <w:highlight w:val="none"/>
        </w:rPr>
      </w:pPr>
      <w:r>
        <w:rPr>
          <w:rFonts w:hint="eastAsia" w:ascii="宋体" w:hAnsi="宋体" w:eastAsia="宋体" w:cs="宋体"/>
          <w:sz w:val="22"/>
          <w:szCs w:val="22"/>
          <w:highlight w:val="none"/>
        </w:rPr>
        <w:t>（1）本项目若不专门面向中小企业采购，对</w:t>
      </w:r>
      <w:r>
        <w:rPr>
          <w:rFonts w:hint="eastAsia" w:ascii="宋体" w:hAnsi="宋体" w:eastAsia="宋体" w:cs="宋体"/>
          <w:sz w:val="22"/>
          <w:szCs w:val="22"/>
          <w:highlight w:val="none"/>
          <w:lang w:val="en-US" w:eastAsia="zh-CN"/>
        </w:rPr>
        <w:t>符合规定的</w:t>
      </w:r>
      <w:r>
        <w:rPr>
          <w:rFonts w:hint="eastAsia" w:ascii="宋体" w:hAnsi="宋体" w:eastAsia="宋体" w:cs="宋体"/>
          <w:sz w:val="22"/>
          <w:szCs w:val="22"/>
          <w:highlight w:val="none"/>
        </w:rPr>
        <w:t>小型和微型企业</w:t>
      </w:r>
      <w:r>
        <w:rPr>
          <w:rFonts w:hint="eastAsia" w:ascii="宋体" w:hAnsi="宋体" w:eastAsia="宋体" w:cs="宋体"/>
          <w:sz w:val="22"/>
          <w:szCs w:val="22"/>
          <w:highlight w:val="none"/>
          <w:lang w:val="en-US" w:eastAsia="zh-CN"/>
        </w:rPr>
        <w:t>报价</w:t>
      </w:r>
      <w:r>
        <w:rPr>
          <w:rFonts w:hint="eastAsia" w:ascii="宋体" w:hAnsi="宋体" w:eastAsia="宋体" w:cs="宋体"/>
          <w:sz w:val="22"/>
          <w:szCs w:val="22"/>
          <w:highlight w:val="none"/>
        </w:rPr>
        <w:t>给予20%的扣除价格，用扣除后的价格参与评审；若专门面向中小企业采购，不再对小型和微型企业</w:t>
      </w:r>
      <w:r>
        <w:rPr>
          <w:rFonts w:hint="eastAsia" w:ascii="宋体" w:hAnsi="宋体" w:eastAsia="宋体" w:cs="宋体"/>
          <w:sz w:val="22"/>
          <w:szCs w:val="22"/>
          <w:highlight w:val="none"/>
          <w:lang w:val="en-US" w:eastAsia="zh-CN"/>
        </w:rPr>
        <w:t>报价</w:t>
      </w:r>
      <w:r>
        <w:rPr>
          <w:rFonts w:hint="eastAsia" w:ascii="宋体" w:hAnsi="宋体" w:eastAsia="宋体" w:cs="宋体"/>
          <w:sz w:val="22"/>
          <w:szCs w:val="22"/>
          <w:highlight w:val="none"/>
        </w:rPr>
        <w:t>给予价格扣除。</w:t>
      </w:r>
    </w:p>
    <w:p w14:paraId="73B3C08A">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36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（2）供应商需按照采购文件的要求提供相应的《</w:t>
      </w:r>
      <w:r>
        <w:rPr>
          <w:rFonts w:hint="eastAsia" w:ascii="宋体" w:hAnsi="宋体" w:eastAsia="宋体" w:cs="宋体"/>
          <w:color w:val="auto"/>
          <w:sz w:val="22"/>
          <w:szCs w:val="22"/>
          <w:highlight w:val="none"/>
          <w:lang w:val="en-US" w:eastAsia="zh-CN"/>
        </w:rPr>
        <w:t>中小</w:t>
      </w:r>
      <w:r>
        <w:rPr>
          <w:rFonts w:hint="eastAsia" w:ascii="宋体" w:hAnsi="宋体" w:eastAsia="宋体" w:cs="宋体"/>
          <w:color w:val="auto"/>
          <w:sz w:val="22"/>
          <w:szCs w:val="22"/>
          <w:highlight w:val="none"/>
        </w:rPr>
        <w:t>企业声明函</w:t>
      </w:r>
      <w:r>
        <w:rPr>
          <w:rFonts w:hint="eastAsia" w:ascii="宋体" w:hAnsi="宋体" w:eastAsia="宋体" w:cs="宋体"/>
          <w:color w:val="000000"/>
          <w:sz w:val="22"/>
          <w:szCs w:val="22"/>
          <w:highlight w:val="none"/>
        </w:rPr>
        <w:t>》。</w:t>
      </w:r>
    </w:p>
    <w:p w14:paraId="73ACDBA4">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36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（3）企业标准请参照《关于印发中小企业划型标准规定的通知》（工信部联企业</w:t>
      </w:r>
      <w:r>
        <w:rPr>
          <w:rFonts w:hint="eastAsia" w:ascii="宋体" w:hAnsi="宋体" w:eastAsia="宋体" w:cs="宋体"/>
          <w:color w:val="000000"/>
          <w:sz w:val="22"/>
          <w:szCs w:val="22"/>
          <w:highlight w:val="none"/>
          <w:lang w:eastAsia="zh-CN"/>
        </w:rPr>
        <w:t>〔2011〕300号</w:t>
      </w:r>
      <w:r>
        <w:rPr>
          <w:rFonts w:hint="eastAsia" w:ascii="宋体" w:hAnsi="宋体" w:eastAsia="宋体" w:cs="宋体"/>
          <w:color w:val="000000"/>
          <w:sz w:val="22"/>
          <w:szCs w:val="22"/>
          <w:highlight w:val="none"/>
        </w:rPr>
        <w:t>）文件规定自行填写。</w:t>
      </w:r>
    </w:p>
    <w:p w14:paraId="123A9836">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2、残疾人福利单位价格扣除</w:t>
      </w:r>
    </w:p>
    <w:p w14:paraId="48BAD8C1">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left="120" w:firstLine="360"/>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（1）本项目对残疾人福利性单位视同小型、微型企业，给予</w:t>
      </w:r>
      <w:r>
        <w:rPr>
          <w:rFonts w:hint="eastAsia" w:ascii="宋体" w:hAnsi="宋体" w:eastAsia="宋体" w:cs="宋体"/>
          <w:color w:val="000000"/>
          <w:sz w:val="22"/>
          <w:szCs w:val="22"/>
          <w:highlight w:val="none"/>
          <w:u w:val="single"/>
        </w:rPr>
        <w:t>20%</w:t>
      </w:r>
      <w:r>
        <w:rPr>
          <w:rFonts w:hint="eastAsia" w:ascii="宋体" w:hAnsi="宋体" w:eastAsia="宋体" w:cs="宋体"/>
          <w:color w:val="000000"/>
          <w:sz w:val="22"/>
          <w:szCs w:val="22"/>
          <w:highlight w:val="none"/>
          <w:u w:val="single"/>
          <w:lang w:eastAsia="zh-CN"/>
        </w:rPr>
        <w:t>的价格扣除。</w:t>
      </w:r>
    </w:p>
    <w:p w14:paraId="6DDC4FB5">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left="120" w:firstLine="36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（2）残疾人福利单位需按照采购文件的要求提供《残疾人福利性单位声明函》。</w:t>
      </w:r>
    </w:p>
    <w:p w14:paraId="05D26FC5">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left="120" w:firstLine="36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（3）残疾人福利单位标准请参照《关于促进残疾人就业政府采购政策的通知》（财库〔2017〕141号）。</w:t>
      </w:r>
    </w:p>
    <w:p w14:paraId="04DB8360">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3、监狱和戒毒企业价格扣除</w:t>
      </w:r>
    </w:p>
    <w:p w14:paraId="7D3DF823">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left="120" w:firstLine="360"/>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（1）本项目对监狱和戒毒企业（简称监狱企业）视同小型、微型企业，给予</w:t>
      </w:r>
      <w:r>
        <w:rPr>
          <w:rFonts w:hint="eastAsia" w:ascii="宋体" w:hAnsi="宋体" w:eastAsia="宋体" w:cs="宋体"/>
          <w:color w:val="000000"/>
          <w:sz w:val="22"/>
          <w:szCs w:val="22"/>
          <w:highlight w:val="none"/>
          <w:u w:val="single"/>
        </w:rPr>
        <w:t>20%</w:t>
      </w:r>
      <w:r>
        <w:rPr>
          <w:rFonts w:hint="eastAsia" w:ascii="宋体" w:hAnsi="宋体" w:eastAsia="宋体" w:cs="宋体"/>
          <w:color w:val="000000"/>
          <w:sz w:val="22"/>
          <w:szCs w:val="22"/>
          <w:highlight w:val="none"/>
          <w:u w:val="single"/>
          <w:lang w:eastAsia="zh-CN"/>
        </w:rPr>
        <w:t>的价格扣除。</w:t>
      </w:r>
    </w:p>
    <w:p w14:paraId="734F155E">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（3）监狱企业标准请参照《关于政府采购支持监狱企业发展有关问题的通知》（财库</w:t>
      </w:r>
      <w:r>
        <w:rPr>
          <w:rFonts w:hint="eastAsia" w:ascii="宋体" w:hAnsi="宋体" w:eastAsia="宋体" w:cs="宋体"/>
          <w:color w:val="000000"/>
          <w:sz w:val="22"/>
          <w:szCs w:val="22"/>
          <w:highlight w:val="none"/>
          <w:lang w:eastAsia="zh-CN"/>
        </w:rPr>
        <w:t>〔2014〕68号</w:t>
      </w:r>
      <w:r>
        <w:rPr>
          <w:rFonts w:hint="eastAsia" w:ascii="宋体" w:hAnsi="宋体" w:eastAsia="宋体" w:cs="宋体"/>
          <w:color w:val="000000"/>
          <w:sz w:val="22"/>
          <w:szCs w:val="22"/>
          <w:highlight w:val="none"/>
        </w:rPr>
        <w:t>）。</w:t>
      </w:r>
    </w:p>
    <w:p w14:paraId="70D78B33">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4、残疾人福利单位、监狱企业属于小型、微型企业的，不重复享受政策。</w:t>
      </w:r>
    </w:p>
    <w:p w14:paraId="018A8531">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firstLine="48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2"/>
          <w:szCs w:val="22"/>
          <w:highlight w:val="none"/>
          <w:u w:val="single"/>
        </w:rPr>
        <w:t>6%</w:t>
      </w:r>
      <w:r>
        <w:rPr>
          <w:rFonts w:hint="eastAsia" w:ascii="宋体" w:hAnsi="宋体" w:eastAsia="宋体" w:cs="宋体"/>
          <w:color w:val="000000"/>
          <w:sz w:val="22"/>
          <w:szCs w:val="22"/>
          <w:highlight w:val="none"/>
        </w:rPr>
        <w:t>的价格扣除，用扣除后的价格参与评审。</w:t>
      </w:r>
    </w:p>
    <w:p w14:paraId="2E3EB1FA">
      <w:pPr>
        <w:pStyle w:val="13"/>
        <w:keepNext w:val="0"/>
        <w:keepLines w:val="0"/>
        <w:pageBreakBefore w:val="0"/>
        <w:widowControl w:val="0"/>
        <w:kinsoku/>
        <w:wordWrap w:val="0"/>
        <w:overflowPunct/>
        <w:topLinePunct w:val="0"/>
        <w:autoSpaceDE/>
        <w:autoSpaceDN/>
        <w:bidi w:val="0"/>
        <w:spacing w:before="120" w:beforeAutospacing="0" w:after="120" w:afterAutospacing="0" w:line="264" w:lineRule="auto"/>
        <w:ind w:left="120" w:firstLine="360"/>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6、联合体各方均为小型、微型企业（残疾人福利单位、监狱企业）的，联合体享受</w:t>
      </w:r>
      <w:r>
        <w:rPr>
          <w:rFonts w:hint="eastAsia" w:ascii="宋体" w:hAnsi="宋体" w:eastAsia="宋体" w:cs="宋体"/>
          <w:color w:val="000000"/>
          <w:sz w:val="22"/>
          <w:szCs w:val="22"/>
          <w:highlight w:val="none"/>
          <w:u w:val="single"/>
        </w:rPr>
        <w:t>20%</w:t>
      </w:r>
      <w:r>
        <w:rPr>
          <w:rFonts w:hint="eastAsia" w:ascii="宋体" w:hAnsi="宋体" w:eastAsia="宋体" w:cs="宋体"/>
          <w:color w:val="000000"/>
          <w:sz w:val="22"/>
          <w:szCs w:val="22"/>
          <w:highlight w:val="none"/>
          <w:u w:val="single"/>
          <w:lang w:eastAsia="zh-CN"/>
        </w:rPr>
        <w:t>的价格扣除。</w:t>
      </w:r>
    </w:p>
    <w:p w14:paraId="547A6AC6">
      <w:pPr>
        <w:keepNext w:val="0"/>
        <w:keepLines w:val="0"/>
        <w:pageBreakBefore w:val="0"/>
        <w:widowControl w:val="0"/>
        <w:kinsoku/>
        <w:wordWrap w:val="0"/>
        <w:overflowPunct/>
        <w:topLinePunct w:val="0"/>
        <w:autoSpaceDE/>
        <w:autoSpaceDN/>
        <w:bidi w:val="0"/>
        <w:adjustRightInd w:val="0"/>
        <w:spacing w:line="264" w:lineRule="auto"/>
        <w:ind w:firstLine="442" w:firstLineChars="200"/>
        <w:jc w:val="left"/>
        <w:textAlignment w:val="baseline"/>
        <w:rPr>
          <w:rFonts w:hint="eastAsia" w:ascii="宋体" w:hAnsi="宋体" w:eastAsia="宋体" w:cs="宋体"/>
          <w:b/>
          <w:bCs/>
          <w:color w:val="FF0000"/>
          <w:sz w:val="22"/>
          <w:szCs w:val="22"/>
        </w:rPr>
      </w:pPr>
      <w:r>
        <w:rPr>
          <w:rFonts w:hint="eastAsia" w:ascii="宋体" w:hAnsi="宋体" w:eastAsia="宋体" w:cs="宋体"/>
          <w:b/>
          <w:bCs/>
          <w:color w:val="FF0000"/>
          <w:sz w:val="22"/>
          <w:szCs w:val="22"/>
        </w:rPr>
        <w:t>7、采购本国产品的支持政策</w:t>
      </w:r>
    </w:p>
    <w:p w14:paraId="1B35457D">
      <w:pPr>
        <w:keepNext w:val="0"/>
        <w:keepLines w:val="0"/>
        <w:pageBreakBefore w:val="0"/>
        <w:widowControl w:val="0"/>
        <w:kinsoku/>
        <w:wordWrap w:val="0"/>
        <w:overflowPunct/>
        <w:topLinePunct w:val="0"/>
        <w:autoSpaceDE/>
        <w:autoSpaceDN/>
        <w:bidi w:val="0"/>
        <w:adjustRightInd w:val="0"/>
        <w:spacing w:line="264" w:lineRule="auto"/>
        <w:ind w:firstLine="442" w:firstLineChars="200"/>
        <w:jc w:val="left"/>
        <w:textAlignment w:val="baseline"/>
        <w:rPr>
          <w:rFonts w:hint="eastAsia" w:ascii="宋体" w:hAnsi="宋体" w:eastAsia="宋体" w:cs="宋体"/>
          <w:b/>
          <w:bCs/>
          <w:color w:val="FF0000"/>
          <w:sz w:val="22"/>
          <w:szCs w:val="22"/>
        </w:rPr>
      </w:pPr>
      <w:r>
        <w:rPr>
          <w:rFonts w:hint="eastAsia" w:ascii="宋体" w:hAnsi="宋体" w:eastAsia="宋体" w:cs="宋体"/>
          <w:b/>
          <w:bCs/>
          <w:color w:val="FF0000"/>
          <w:sz w:val="22"/>
          <w:szCs w:val="22"/>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2"/>
          <w:szCs w:val="22"/>
          <w:u w:val="single"/>
        </w:rPr>
        <w:t>20%</w:t>
      </w:r>
      <w:r>
        <w:rPr>
          <w:rFonts w:hint="eastAsia" w:ascii="宋体" w:hAnsi="宋体" w:eastAsia="宋体" w:cs="宋体"/>
          <w:b/>
          <w:bCs/>
          <w:color w:val="FF0000"/>
          <w:sz w:val="22"/>
          <w:szCs w:val="22"/>
        </w:rPr>
        <w:t>的价格扣除，用扣除后的价格参与评审。</w:t>
      </w:r>
    </w:p>
    <w:p w14:paraId="521B83EF">
      <w:pPr>
        <w:keepNext w:val="0"/>
        <w:keepLines w:val="0"/>
        <w:pageBreakBefore w:val="0"/>
        <w:widowControl w:val="0"/>
        <w:kinsoku/>
        <w:wordWrap w:val="0"/>
        <w:overflowPunct/>
        <w:topLinePunct w:val="0"/>
        <w:autoSpaceDE/>
        <w:autoSpaceDN/>
        <w:bidi w:val="0"/>
        <w:adjustRightInd w:val="0"/>
        <w:spacing w:line="264" w:lineRule="auto"/>
        <w:ind w:firstLine="442" w:firstLineChars="200"/>
        <w:jc w:val="left"/>
        <w:textAlignment w:val="baseline"/>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2"/>
          <w:szCs w:val="22"/>
          <w:u w:val="single"/>
        </w:rPr>
        <w:t>80%</w:t>
      </w:r>
      <w:r>
        <w:rPr>
          <w:rFonts w:hint="eastAsia" w:ascii="宋体" w:hAnsi="宋体" w:eastAsia="宋体" w:cs="宋体"/>
          <w:b/>
          <w:bCs/>
          <w:color w:val="FF0000"/>
          <w:sz w:val="22"/>
          <w:szCs w:val="22"/>
        </w:rPr>
        <w:t>以上时（供应商需在“第六章 投标文件格式”的“ 投标分项报价表”中填写比例数</w:t>
      </w:r>
      <w:r>
        <w:rPr>
          <w:rFonts w:hint="eastAsia" w:ascii="宋体" w:hAnsi="宋体" w:eastAsia="宋体" w:cs="宋体"/>
          <w:b/>
          <w:bCs/>
          <w:color w:val="FF0000"/>
          <w:sz w:val="22"/>
          <w:szCs w:val="22"/>
          <w:highlight w:val="none"/>
        </w:rPr>
        <w:t>值），依法对该供应商提供的全部产品给予价格评审优惠，即对该供应商提供的全部产品的总报价给予</w:t>
      </w:r>
      <w:r>
        <w:rPr>
          <w:rFonts w:hint="eastAsia" w:ascii="宋体" w:hAnsi="宋体" w:eastAsia="宋体" w:cs="宋体"/>
          <w:b/>
          <w:bCs/>
          <w:color w:val="FF0000"/>
          <w:sz w:val="22"/>
          <w:szCs w:val="22"/>
          <w:highlight w:val="none"/>
          <w:u w:val="single"/>
        </w:rPr>
        <w:t>20%</w:t>
      </w:r>
      <w:r>
        <w:rPr>
          <w:rFonts w:hint="eastAsia" w:ascii="宋体" w:hAnsi="宋体" w:eastAsia="宋体" w:cs="宋体"/>
          <w:b/>
          <w:bCs/>
          <w:color w:val="FF0000"/>
          <w:sz w:val="22"/>
          <w:szCs w:val="22"/>
          <w:highlight w:val="none"/>
        </w:rPr>
        <w:t>的价格扣除，用扣除后的价格参与评审。供应商未填写比例数值，或比例数值未达到80%的，将不享受本国产品价格评审优惠。</w:t>
      </w:r>
    </w:p>
    <w:p w14:paraId="62AAC6DC">
      <w:pPr>
        <w:keepNext w:val="0"/>
        <w:keepLines w:val="0"/>
        <w:pageBreakBefore w:val="0"/>
        <w:widowControl w:val="0"/>
        <w:kinsoku/>
        <w:wordWrap w:val="0"/>
        <w:overflowPunct/>
        <w:topLinePunct w:val="0"/>
        <w:autoSpaceDE/>
        <w:autoSpaceDN/>
        <w:bidi w:val="0"/>
        <w:adjustRightInd w:val="0"/>
        <w:spacing w:line="264" w:lineRule="auto"/>
        <w:ind w:firstLine="442" w:firstLineChars="200"/>
        <w:jc w:val="left"/>
        <w:textAlignment w:val="baseline"/>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7.3 供应商需按照招标文件的要求提供《关于符合本国产品标准的声明函》（以下简称《声明函》），如不提供将不享受本国产品价格评审优惠。</w:t>
      </w:r>
    </w:p>
    <w:p w14:paraId="7BAC137E">
      <w:pPr>
        <w:keepNext w:val="0"/>
        <w:keepLines w:val="0"/>
        <w:pageBreakBefore w:val="0"/>
        <w:widowControl w:val="0"/>
        <w:kinsoku/>
        <w:wordWrap w:val="0"/>
        <w:overflowPunct/>
        <w:topLinePunct w:val="0"/>
        <w:autoSpaceDE/>
        <w:autoSpaceDN/>
        <w:bidi w:val="0"/>
        <w:adjustRightInd w:val="0"/>
        <w:spacing w:line="264" w:lineRule="auto"/>
        <w:ind w:firstLine="442" w:firstLineChars="200"/>
        <w:jc w:val="left"/>
        <w:textAlignment w:val="baseline"/>
        <w:rPr>
          <w:rFonts w:hint="eastAsia" w:ascii="宋体" w:hAnsi="宋体" w:eastAsia="宋体" w:cs="宋体"/>
          <w:b/>
          <w:bCs/>
          <w:color w:val="FF0000"/>
          <w:sz w:val="22"/>
          <w:szCs w:val="22"/>
        </w:rPr>
      </w:pPr>
      <w:r>
        <w:rPr>
          <w:rFonts w:hint="eastAsia" w:ascii="宋体" w:hAnsi="宋体" w:eastAsia="宋体" w:cs="宋体"/>
          <w:b/>
          <w:bCs/>
          <w:color w:val="FF0000"/>
          <w:sz w:val="22"/>
          <w:szCs w:val="22"/>
          <w:highlight w:val="none"/>
        </w:rPr>
        <w:t>7.4 供应商需在《声明函》中逐一、准确填写产品名称、厂名、生产厂址三项信息（《声明函》中用</w:t>
      </w:r>
      <w:r>
        <w:rPr>
          <w:rFonts w:hint="eastAsia" w:ascii="宋体" w:hAnsi="宋体" w:eastAsia="宋体" w:cs="宋体"/>
          <w:b/>
          <w:bCs/>
          <w:color w:val="FF0000"/>
          <w:sz w:val="22"/>
          <w:szCs w:val="22"/>
          <w:highlight w:val="none"/>
          <w:lang w:val="en-US" w:eastAsia="zh-CN"/>
        </w:rPr>
        <w:t>横</w:t>
      </w:r>
      <w:r>
        <w:rPr>
          <w:rFonts w:hint="eastAsia" w:ascii="宋体" w:hAnsi="宋体" w:eastAsia="宋体" w:cs="宋体"/>
          <w:b/>
          <w:bCs/>
          <w:color w:val="FF0000"/>
          <w:sz w:val="22"/>
          <w:szCs w:val="22"/>
          <w:highlight w:val="none"/>
        </w:rPr>
        <w:t>线划除的地方无需填写），三项信息中任意一项未填写的视为该项产品不符合本国产品标准，不</w:t>
      </w:r>
      <w:r>
        <w:rPr>
          <w:rFonts w:hint="eastAsia" w:ascii="宋体" w:hAnsi="宋体" w:eastAsia="宋体" w:cs="宋体"/>
          <w:b/>
          <w:bCs/>
          <w:color w:val="FF0000"/>
          <w:sz w:val="22"/>
          <w:szCs w:val="22"/>
        </w:rPr>
        <w:t>享受本国产品价格评审优惠。</w:t>
      </w:r>
    </w:p>
    <w:p w14:paraId="142E84B6">
      <w:pPr>
        <w:keepNext w:val="0"/>
        <w:keepLines w:val="0"/>
        <w:pageBreakBefore w:val="0"/>
        <w:widowControl w:val="0"/>
        <w:kinsoku/>
        <w:wordWrap w:val="0"/>
        <w:overflowPunct/>
        <w:topLinePunct w:val="0"/>
        <w:autoSpaceDE/>
        <w:autoSpaceDN/>
        <w:bidi w:val="0"/>
        <w:adjustRightInd w:val="0"/>
        <w:spacing w:line="264" w:lineRule="auto"/>
        <w:ind w:firstLine="442" w:firstLineChars="200"/>
        <w:jc w:val="left"/>
        <w:textAlignment w:val="baseline"/>
        <w:rPr>
          <w:rFonts w:hint="eastAsia" w:ascii="宋体" w:hAnsi="宋体" w:eastAsia="宋体" w:cs="宋体"/>
          <w:color w:val="000000"/>
          <w:sz w:val="22"/>
          <w:szCs w:val="22"/>
          <w:highlight w:val="none"/>
          <w:u w:val="single"/>
          <w:lang w:eastAsia="zh-CN"/>
        </w:rPr>
      </w:pPr>
      <w:r>
        <w:rPr>
          <w:rFonts w:hint="eastAsia" w:ascii="宋体" w:hAnsi="宋体" w:eastAsia="宋体" w:cs="宋体"/>
          <w:b/>
          <w:bCs/>
          <w:color w:val="FF0000"/>
          <w:sz w:val="22"/>
          <w:szCs w:val="22"/>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2"/>
          <w:szCs w:val="22"/>
          <w:lang w:val="en-US" w:eastAsia="zh-CN"/>
        </w:rPr>
        <w:t>在苏采云系统</w:t>
      </w:r>
      <w:r>
        <w:rPr>
          <w:rFonts w:hint="eastAsia" w:ascii="宋体" w:hAnsi="宋体" w:eastAsia="宋体" w:cs="宋体"/>
          <w:b/>
          <w:bCs/>
          <w:color w:val="FF0000"/>
          <w:sz w:val="22"/>
          <w:szCs w:val="22"/>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2"/>
          <w:szCs w:val="22"/>
        </w:rPr>
        <w:t>和招标文件规定的，供应商提供的相关产品视为不符合本国产品标准。</w:t>
      </w:r>
    </w:p>
    <w:p w14:paraId="795098B7">
      <w:pPr>
        <w:keepNext w:val="0"/>
        <w:keepLines w:val="0"/>
        <w:pageBreakBefore w:val="0"/>
        <w:widowControl w:val="0"/>
        <w:kinsoku/>
        <w:wordWrap w:val="0"/>
        <w:overflowPunct/>
        <w:topLinePunct w:val="0"/>
        <w:autoSpaceDE/>
        <w:autoSpaceDN/>
        <w:bidi w:val="0"/>
        <w:spacing w:line="264"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2"/>
          <w:szCs w:val="22"/>
          <w:highlight w:val="none"/>
        </w:rPr>
        <w:t>如属政府强制采购产品未提供认证证书的或认证证书提供不全的将视为未实质性响应采购要求</w:t>
      </w:r>
      <w:r>
        <w:rPr>
          <w:rFonts w:hint="eastAsia" w:ascii="宋体" w:hAnsi="宋体" w:eastAsia="宋体" w:cs="宋体"/>
          <w:i/>
          <w:color w:val="auto"/>
          <w:kern w:val="0"/>
          <w:sz w:val="22"/>
          <w:szCs w:val="22"/>
          <w:highlight w:val="none"/>
        </w:rPr>
        <w:t>。</w:t>
      </w:r>
      <w:r>
        <w:rPr>
          <w:rFonts w:hint="eastAsia" w:ascii="宋体" w:hAnsi="宋体" w:eastAsia="宋体" w:cs="宋体"/>
          <w:color w:val="auto"/>
          <w:kern w:val="0"/>
          <w:sz w:val="22"/>
          <w:szCs w:val="22"/>
          <w:highlight w:val="none"/>
        </w:rPr>
        <w:t>其他条件相同情况下，应当优先采购节能产品、环境标志产品。</w:t>
      </w:r>
    </w:p>
    <w:p w14:paraId="7CC0C503">
      <w:pPr>
        <w:pStyle w:val="13"/>
        <w:keepNext w:val="0"/>
        <w:keepLines w:val="0"/>
        <w:pageBreakBefore w:val="0"/>
        <w:widowControl w:val="0"/>
        <w:kinsoku/>
        <w:wordWrap w:val="0"/>
        <w:overflowPunct/>
        <w:topLinePunct w:val="0"/>
        <w:autoSpaceDE/>
        <w:autoSpaceDN/>
        <w:bidi w:val="0"/>
        <w:adjustRightInd/>
        <w:snapToGrid w:val="0"/>
        <w:spacing w:beforeAutospacing="0" w:afterAutospacing="0" w:line="264" w:lineRule="auto"/>
        <w:jc w:val="left"/>
        <w:textAlignment w:val="auto"/>
        <w:rPr>
          <w:rFonts w:hint="eastAsia" w:ascii="宋体" w:hAnsi="宋体" w:eastAsia="宋体" w:cs="宋体"/>
          <w:sz w:val="22"/>
          <w:szCs w:val="22"/>
          <w:highlight w:val="none"/>
        </w:rPr>
      </w:pPr>
      <w:r>
        <w:rPr>
          <w:rFonts w:hint="eastAsia" w:ascii="宋体" w:hAnsi="宋体" w:eastAsia="宋体" w:cs="宋体"/>
          <w:b/>
          <w:color w:val="000000"/>
          <w:sz w:val="22"/>
          <w:szCs w:val="22"/>
          <w:highlight w:val="none"/>
        </w:rPr>
        <w:t>评标方法与评标标准</w:t>
      </w:r>
    </w:p>
    <w:tbl>
      <w:tblPr>
        <w:tblStyle w:val="14"/>
        <w:tblW w:w="510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4"/>
        <w:gridCol w:w="696"/>
        <w:gridCol w:w="950"/>
        <w:gridCol w:w="5613"/>
        <w:gridCol w:w="745"/>
      </w:tblGrid>
      <w:tr w14:paraId="063AB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blHeader/>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B5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C45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评审项</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5B8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评审细则</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130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分值权重</w:t>
            </w:r>
          </w:p>
        </w:tc>
      </w:tr>
      <w:tr w14:paraId="64007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jc w:val="center"/>
        </w:trPr>
        <w:tc>
          <w:tcPr>
            <w:tcW w:w="3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62A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9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435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价格分</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C81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投标报价分采用最低价优先法计算，即满足招标文件要求且投标报价的最低报价为评标基准价，其报价分为满分，其他投标人的报价分按照下列公式计算：报价得分=（评标基准价/投标报价）×10。</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454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r>
      <w:tr w14:paraId="2979E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71E1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4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6453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商务分</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B73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类似业绩</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DAD1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投标人自2020年01月01日（含）（以合同为准，时间以合同签订时间为准）以来承担过类似项目的环境监理服务业绩，每提供1个得1分，本项最高得5分。</w:t>
            </w:r>
            <w:r>
              <w:rPr>
                <w:rFonts w:hint="eastAsia" w:ascii="宋体" w:hAnsi="宋体" w:eastAsia="宋体" w:cs="宋体"/>
                <w:i w:val="0"/>
                <w:iCs w:val="0"/>
                <w:color w:val="auto"/>
                <w:kern w:val="0"/>
                <w:sz w:val="22"/>
                <w:szCs w:val="22"/>
                <w:u w:val="none"/>
                <w:lang w:val="en-US" w:eastAsia="zh-CN" w:bidi="ar"/>
              </w:rPr>
              <w:br w:type="textWrapping"/>
            </w:r>
            <w:r>
              <w:rPr>
                <w:rStyle w:val="35"/>
                <w:color w:val="auto"/>
                <w:sz w:val="22"/>
                <w:szCs w:val="22"/>
                <w:lang w:val="en-US" w:eastAsia="zh-CN" w:bidi="ar"/>
              </w:rPr>
              <w:t>注1：类似业绩指：地块（或场地）土壤（或地下水）修复（或应急处置工程或风险管控工程）的环境监理服务业绩。与本项目工业污染地块修复或管控技术特征不一致的矿山修复、固体废物处理处置、生活垃圾处理处置、水体修复、生态修复、底泥治理、农田治理等</w:t>
            </w:r>
            <w:r>
              <w:rPr>
                <w:rStyle w:val="35"/>
                <w:rFonts w:hint="eastAsia"/>
                <w:color w:val="auto"/>
                <w:sz w:val="22"/>
                <w:szCs w:val="22"/>
                <w:lang w:val="en-US" w:eastAsia="zh-CN" w:bidi="ar"/>
              </w:rPr>
              <w:t>对应环境监理</w:t>
            </w:r>
            <w:r>
              <w:rPr>
                <w:rStyle w:val="35"/>
                <w:color w:val="auto"/>
                <w:sz w:val="22"/>
                <w:szCs w:val="22"/>
                <w:lang w:val="en-US" w:eastAsia="zh-CN" w:bidi="ar"/>
              </w:rPr>
              <w:t>业绩不作为类似项目业绩。</w:t>
            </w:r>
            <w:r>
              <w:rPr>
                <w:rStyle w:val="35"/>
                <w:color w:val="auto"/>
                <w:sz w:val="22"/>
                <w:szCs w:val="22"/>
                <w:lang w:val="en-US" w:eastAsia="zh-CN" w:bidi="ar"/>
              </w:rPr>
              <w:br w:type="textWrapping"/>
            </w:r>
            <w:r>
              <w:rPr>
                <w:rStyle w:val="35"/>
                <w:color w:val="auto"/>
                <w:sz w:val="22"/>
                <w:szCs w:val="22"/>
                <w:lang w:val="en-US" w:eastAsia="zh-CN" w:bidi="ar"/>
              </w:rPr>
              <w:t>注2：投标时需提供合同扫描件、中标（成交）通知书扫描件（</w:t>
            </w:r>
            <w:r>
              <w:rPr>
                <w:rStyle w:val="35"/>
                <w:rFonts w:hint="eastAsia"/>
                <w:color w:val="auto"/>
                <w:sz w:val="22"/>
                <w:szCs w:val="22"/>
                <w:lang w:val="en-US" w:eastAsia="zh-CN" w:bidi="ar"/>
              </w:rPr>
              <w:t>非招标项</w:t>
            </w:r>
            <w:r>
              <w:rPr>
                <w:rStyle w:val="35"/>
                <w:rFonts w:hint="eastAsia"/>
                <w:color w:val="auto"/>
                <w:sz w:val="22"/>
                <w:szCs w:val="22"/>
                <w:highlight w:val="none"/>
                <w:lang w:val="en-US" w:eastAsia="zh-CN" w:bidi="ar"/>
              </w:rPr>
              <w:t>目可不提供</w:t>
            </w:r>
            <w:r>
              <w:rPr>
                <w:rStyle w:val="35"/>
                <w:color w:val="auto"/>
                <w:sz w:val="22"/>
                <w:szCs w:val="22"/>
                <w:highlight w:val="none"/>
                <w:lang w:val="en-US" w:eastAsia="zh-CN" w:bidi="ar"/>
              </w:rPr>
              <w:t>），所提供业绩材料</w:t>
            </w:r>
            <w:r>
              <w:rPr>
                <w:rStyle w:val="35"/>
                <w:rFonts w:hint="eastAsia"/>
                <w:color w:val="auto"/>
                <w:sz w:val="22"/>
                <w:szCs w:val="22"/>
                <w:highlight w:val="none"/>
                <w:lang w:val="en-US" w:eastAsia="zh-CN" w:bidi="ar"/>
              </w:rPr>
              <w:t>应</w:t>
            </w:r>
            <w:r>
              <w:rPr>
                <w:rStyle w:val="35"/>
                <w:color w:val="auto"/>
                <w:sz w:val="22"/>
                <w:szCs w:val="22"/>
                <w:highlight w:val="none"/>
                <w:lang w:val="en-US" w:eastAsia="zh-CN" w:bidi="ar"/>
              </w:rPr>
              <w:t>反映项目时间、项目类型等项目特征指标，未提供不得分。</w:t>
            </w:r>
            <w:r>
              <w:rPr>
                <w:rStyle w:val="35"/>
                <w:color w:val="auto"/>
                <w:sz w:val="22"/>
                <w:szCs w:val="22"/>
                <w:highlight w:val="none"/>
                <w:lang w:val="en-US" w:eastAsia="zh-CN" w:bidi="ar"/>
              </w:rPr>
              <w:br w:type="textWrapping"/>
            </w:r>
            <w:r>
              <w:rPr>
                <w:rStyle w:val="35"/>
                <w:color w:val="auto"/>
                <w:sz w:val="22"/>
                <w:szCs w:val="22"/>
                <w:highlight w:val="none"/>
                <w:lang w:val="en-US" w:eastAsia="zh-CN" w:bidi="ar"/>
              </w:rPr>
              <w:t>注3：如要求提供的业绩证明材料不能反应项目内容，需提供业绩发包人出具的证明材料扫描件，否则不得分。</w:t>
            </w:r>
            <w:r>
              <w:rPr>
                <w:rStyle w:val="35"/>
                <w:rFonts w:hint="eastAsia"/>
                <w:color w:val="auto"/>
                <w:sz w:val="22"/>
                <w:szCs w:val="22"/>
                <w:highlight w:val="none"/>
                <w:lang w:val="en-US" w:eastAsia="zh-CN" w:bidi="ar"/>
              </w:rPr>
              <w:t>如投标人提供业绩为联合体承接的业绩，合同未反应投标人分工范围的，可同时提供该业绩有关联合体协议书以佐证投标人在业绩中的分工范围。</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9F65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r>
      <w:tr w14:paraId="1A399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C8B8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A730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4F5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CMA检测能力</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B9D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CMA实验室配备评估（3分）：</w:t>
            </w:r>
          </w:p>
          <w:p w14:paraId="3D0215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投标人拟投入本评审项目使用的硬件设施包括CMA认证检测实验室或实验分析中心的按照下述细则进行评审：</w:t>
            </w:r>
          </w:p>
          <w:p w14:paraId="458F73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①投标人具备CMA检测实验室的，得3分；</w:t>
            </w:r>
          </w:p>
          <w:p w14:paraId="49F86C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②投标人不具备CMA认证检测实验室或实验分析中心的，本评审项不得分。</w:t>
            </w:r>
          </w:p>
          <w:p w14:paraId="16BF06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本项最高得3分。</w:t>
            </w:r>
          </w:p>
          <w:p w14:paraId="472AE7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注：投标人的CMA认证检测实验室或实验分析中心须提供质量技术监督部门出具的CMA资质认证证书扫描件，未提供不得分。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6FD6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r>
      <w:tr w14:paraId="6CBFF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F69A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3F6F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9770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技术能力</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03E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投标人参与起草过国家（或地方或团体）有关工业类地块地下水修复有关技术标准（不含企业标准）制定（起草单位前3名以内）的，得4分。</w:t>
            </w:r>
            <w:r>
              <w:rPr>
                <w:rStyle w:val="35"/>
                <w:color w:val="auto"/>
                <w:sz w:val="22"/>
                <w:szCs w:val="22"/>
                <w:highlight w:val="none"/>
                <w:lang w:val="en-US" w:eastAsia="zh-CN" w:bidi="ar"/>
              </w:rPr>
              <w:br w:type="textWrapping"/>
            </w:r>
            <w:r>
              <w:rPr>
                <w:rStyle w:val="35"/>
                <w:color w:val="auto"/>
                <w:sz w:val="22"/>
                <w:szCs w:val="22"/>
                <w:highlight w:val="none"/>
                <w:lang w:val="en-US" w:eastAsia="zh-CN" w:bidi="ar"/>
              </w:rPr>
              <w:t>注：投标时提供标准相关证明材料并加盖投标人公章，未提供不得分。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84B3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r>
      <w:tr w14:paraId="6954F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C49D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E606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423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管理体系</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298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投标人具备有资质的第三方机构颁发的ISO9001质量管理体系认证、ISO14001环境管理体系认证、ISO45001职业健康安全管理体系认证、ISO27001信息安全管理体系认证的，每提供一项得1分。本项最高得4分。</w:t>
            </w:r>
            <w:r>
              <w:rPr>
                <w:rFonts w:hint="eastAsia" w:ascii="宋体" w:hAnsi="宋体" w:eastAsia="宋体" w:cs="宋体"/>
                <w:i w:val="0"/>
                <w:iCs w:val="0"/>
                <w:color w:val="auto"/>
                <w:kern w:val="0"/>
                <w:sz w:val="22"/>
                <w:szCs w:val="22"/>
                <w:u w:val="none"/>
                <w:lang w:val="en-US" w:eastAsia="zh-CN" w:bidi="ar"/>
              </w:rPr>
              <w:br w:type="textWrapping"/>
            </w:r>
            <w:r>
              <w:rPr>
                <w:rStyle w:val="35"/>
                <w:color w:val="auto"/>
                <w:sz w:val="22"/>
                <w:szCs w:val="22"/>
                <w:lang w:val="en-US" w:eastAsia="zh-CN" w:bidi="ar"/>
              </w:rPr>
              <w:t>注：有关体系认证证书应在有效期内，全国认证认可信息公共服务平台可查，认证范围至少包括环保咨询服务等有关内容方可有效，投标时提供认证证书扫描件并加盖投标人公章，否则不予得分。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BA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r>
      <w:tr w14:paraId="21F1A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399" w:type="pct"/>
            <w:vMerge w:val="restart"/>
            <w:tcBorders>
              <w:top w:val="nil"/>
              <w:left w:val="single" w:color="000000" w:sz="4" w:space="0"/>
              <w:bottom w:val="nil"/>
              <w:right w:val="single" w:color="000000" w:sz="4" w:space="0"/>
            </w:tcBorders>
            <w:shd w:val="clear" w:color="auto" w:fill="auto"/>
            <w:vAlign w:val="center"/>
          </w:tcPr>
          <w:p w14:paraId="2F4523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400" w:type="pct"/>
            <w:vMerge w:val="restart"/>
            <w:tcBorders>
              <w:top w:val="nil"/>
              <w:left w:val="single" w:color="000000" w:sz="4" w:space="0"/>
              <w:bottom w:val="nil"/>
              <w:right w:val="single" w:color="000000" w:sz="4" w:space="0"/>
            </w:tcBorders>
            <w:shd w:val="clear" w:color="auto" w:fill="auto"/>
            <w:vAlign w:val="center"/>
          </w:tcPr>
          <w:p w14:paraId="317159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技术分</w:t>
            </w:r>
          </w:p>
        </w:tc>
        <w:tc>
          <w:tcPr>
            <w:tcW w:w="42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91541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技术分编制及评审要求：评标委员会专家根据以下技术分评分点横向对比打分，投标供应商未提供相关方案或提供的方案内容极差严重偏离本项目采购需求的，经评标委员会认定可不予给分。</w:t>
            </w:r>
          </w:p>
        </w:tc>
      </w:tr>
      <w:tr w14:paraId="38DC7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nil"/>
              <w:left w:val="single" w:color="000000" w:sz="4" w:space="0"/>
              <w:bottom w:val="nil"/>
              <w:right w:val="single" w:color="000000" w:sz="4" w:space="0"/>
            </w:tcBorders>
            <w:shd w:val="clear" w:color="auto" w:fill="auto"/>
            <w:vAlign w:val="center"/>
          </w:tcPr>
          <w:p w14:paraId="53C59D8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nil"/>
              <w:left w:val="single" w:color="000000" w:sz="4" w:space="0"/>
              <w:bottom w:val="nil"/>
              <w:right w:val="single" w:color="000000" w:sz="4" w:space="0"/>
            </w:tcBorders>
            <w:shd w:val="clear" w:color="auto" w:fill="auto"/>
            <w:vAlign w:val="center"/>
          </w:tcPr>
          <w:p w14:paraId="6C46106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F39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Times New Roman" w:hAnsi="Times New Roman" w:eastAsia="宋体" w:cs="Times New Roman"/>
                <w:i w:val="0"/>
                <w:iCs w:val="0"/>
                <w:color w:val="auto"/>
                <w:sz w:val="22"/>
                <w:szCs w:val="22"/>
                <w:u w:val="none"/>
              </w:rPr>
            </w:pPr>
            <w:r>
              <w:rPr>
                <w:rStyle w:val="36"/>
                <w:color w:val="auto"/>
                <w:sz w:val="22"/>
                <w:szCs w:val="22"/>
                <w:lang w:val="en-US" w:eastAsia="zh-CN" w:bidi="ar"/>
              </w:rPr>
              <w:t>现状污染情况和风险管控目标方案</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DFA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针对场地污染情况分析进行综合评审，包括但不限于以下内容：</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1</w:t>
            </w:r>
            <w:r>
              <w:rPr>
                <w:rStyle w:val="36"/>
                <w:color w:val="auto"/>
                <w:sz w:val="22"/>
                <w:szCs w:val="22"/>
                <w:lang w:val="en-US" w:eastAsia="zh-CN" w:bidi="ar"/>
              </w:rPr>
              <w:t>）场地资料（如辨识场地变迁的航拍或卫星图片）；</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2</w:t>
            </w:r>
            <w:r>
              <w:rPr>
                <w:rStyle w:val="36"/>
                <w:color w:val="auto"/>
                <w:sz w:val="22"/>
                <w:szCs w:val="22"/>
                <w:lang w:val="en-US" w:eastAsia="zh-CN" w:bidi="ar"/>
              </w:rPr>
              <w:t>）主要污染情况（如主要污染因子调查浓度结果）；</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3</w:t>
            </w:r>
            <w:r>
              <w:rPr>
                <w:rStyle w:val="36"/>
                <w:color w:val="auto"/>
                <w:sz w:val="22"/>
                <w:szCs w:val="22"/>
                <w:lang w:val="en-US" w:eastAsia="zh-CN" w:bidi="ar"/>
              </w:rPr>
              <w:t>）治理目标和治理范围；</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4</w:t>
            </w:r>
            <w:r>
              <w:rPr>
                <w:rStyle w:val="36"/>
                <w:color w:val="auto"/>
                <w:sz w:val="22"/>
                <w:szCs w:val="22"/>
                <w:lang w:val="en-US" w:eastAsia="zh-CN" w:bidi="ar"/>
              </w:rPr>
              <w:t>）周边环境敏感目标（如周围的河流、居民区等敏感目标）。</w:t>
            </w:r>
            <w:r>
              <w:rPr>
                <w:rStyle w:val="37"/>
                <w:rFonts w:eastAsia="宋体"/>
                <w:color w:val="auto"/>
                <w:sz w:val="22"/>
                <w:szCs w:val="22"/>
                <w:lang w:val="en-US" w:eastAsia="zh-CN" w:bidi="ar"/>
              </w:rPr>
              <w:br w:type="textWrapping"/>
            </w:r>
            <w:r>
              <w:rPr>
                <w:rStyle w:val="36"/>
                <w:color w:val="auto"/>
                <w:sz w:val="22"/>
                <w:szCs w:val="22"/>
                <w:lang w:val="en-US" w:eastAsia="zh-CN" w:bidi="ar"/>
              </w:rPr>
              <w:t>评标专家综合评审有关技术方案：技术方案评价为优的得</w:t>
            </w:r>
            <w:r>
              <w:rPr>
                <w:rStyle w:val="37"/>
                <w:rFonts w:eastAsia="宋体"/>
                <w:color w:val="auto"/>
                <w:sz w:val="22"/>
                <w:szCs w:val="22"/>
                <w:lang w:val="en-US" w:eastAsia="zh-CN" w:bidi="ar"/>
              </w:rPr>
              <w:t>7</w:t>
            </w:r>
            <w:r>
              <w:rPr>
                <w:rStyle w:val="36"/>
                <w:color w:val="auto"/>
                <w:sz w:val="22"/>
                <w:szCs w:val="22"/>
                <w:lang w:val="en-US" w:eastAsia="zh-CN" w:bidi="ar"/>
              </w:rPr>
              <w:t>分；技术方案评价基本满足采购需求的得5分；技术方案评价次于采购需求的得3分；技术方案严重负偏离采购需求或未提供技术方案的不得分。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25B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r>
      <w:tr w14:paraId="2BABC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99" w:type="pct"/>
            <w:vMerge w:val="continue"/>
            <w:tcBorders>
              <w:top w:val="nil"/>
              <w:left w:val="single" w:color="000000" w:sz="4" w:space="0"/>
              <w:bottom w:val="nil"/>
              <w:right w:val="single" w:color="000000" w:sz="4" w:space="0"/>
            </w:tcBorders>
            <w:shd w:val="clear" w:color="auto" w:fill="auto"/>
            <w:vAlign w:val="center"/>
          </w:tcPr>
          <w:p w14:paraId="67BF286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nil"/>
              <w:left w:val="single" w:color="000000" w:sz="4" w:space="0"/>
              <w:bottom w:val="nil"/>
              <w:right w:val="single" w:color="000000" w:sz="4" w:space="0"/>
            </w:tcBorders>
            <w:shd w:val="clear" w:color="auto" w:fill="auto"/>
            <w:vAlign w:val="center"/>
          </w:tcPr>
          <w:p w14:paraId="407DD49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436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Times New Roman" w:hAnsi="Times New Roman" w:eastAsia="宋体" w:cs="Times New Roman"/>
                <w:i w:val="0"/>
                <w:iCs w:val="0"/>
                <w:color w:val="auto"/>
                <w:sz w:val="22"/>
                <w:szCs w:val="22"/>
                <w:u w:val="none"/>
              </w:rPr>
            </w:pPr>
            <w:r>
              <w:rPr>
                <w:rStyle w:val="36"/>
                <w:color w:val="auto"/>
                <w:sz w:val="22"/>
                <w:szCs w:val="22"/>
                <w:lang w:val="en-US" w:eastAsia="zh-CN" w:bidi="ar"/>
              </w:rPr>
              <w:t>环境污染防治要点分析方案</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CC67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针对大气、水、固废和噪声的环境监理进行综合评审，包括但不限于以下内容：</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1</w:t>
            </w:r>
            <w:r>
              <w:rPr>
                <w:rStyle w:val="36"/>
                <w:color w:val="auto"/>
                <w:sz w:val="22"/>
                <w:szCs w:val="22"/>
                <w:lang w:val="en-US" w:eastAsia="zh-CN" w:bidi="ar"/>
              </w:rPr>
              <w:t>）大气环境监理（如污染物挥发控制措施及执行标准）；</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2</w:t>
            </w:r>
            <w:r>
              <w:rPr>
                <w:rStyle w:val="36"/>
                <w:color w:val="auto"/>
                <w:sz w:val="22"/>
                <w:szCs w:val="22"/>
                <w:lang w:val="en-US" w:eastAsia="zh-CN" w:bidi="ar"/>
              </w:rPr>
              <w:t>）水环境监理（如污水处理措施及执行标准）；</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3</w:t>
            </w:r>
            <w:r>
              <w:rPr>
                <w:rStyle w:val="36"/>
                <w:color w:val="auto"/>
                <w:sz w:val="22"/>
                <w:szCs w:val="22"/>
                <w:lang w:val="en-US" w:eastAsia="zh-CN" w:bidi="ar"/>
              </w:rPr>
              <w:t>）固废和噪声监理（如固废和噪声控制措施及执行标准）。</w:t>
            </w:r>
            <w:r>
              <w:rPr>
                <w:rStyle w:val="37"/>
                <w:rFonts w:eastAsia="宋体"/>
                <w:color w:val="auto"/>
                <w:sz w:val="22"/>
                <w:szCs w:val="22"/>
                <w:lang w:val="en-US" w:eastAsia="zh-CN" w:bidi="ar"/>
              </w:rPr>
              <w:br w:type="textWrapping"/>
            </w:r>
            <w:r>
              <w:rPr>
                <w:rStyle w:val="36"/>
                <w:color w:val="auto"/>
                <w:sz w:val="22"/>
                <w:szCs w:val="22"/>
                <w:lang w:val="en-US" w:eastAsia="zh-CN" w:bidi="ar"/>
              </w:rPr>
              <w:t>评标专家综合评审有关技术方案：技术方案评价为优的得7分；技术方案评价基本满足采购需求的得5分；技术方案评价次于采购需求的得3分；技术方案严重负偏离采购需求或未提供技术方案的不得分。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D8B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r>
      <w:tr w14:paraId="797B9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nil"/>
              <w:left w:val="single" w:color="000000" w:sz="4" w:space="0"/>
              <w:bottom w:val="nil"/>
              <w:right w:val="single" w:color="000000" w:sz="4" w:space="0"/>
            </w:tcBorders>
            <w:shd w:val="clear" w:color="auto" w:fill="auto"/>
            <w:vAlign w:val="center"/>
          </w:tcPr>
          <w:p w14:paraId="550B355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nil"/>
              <w:left w:val="single" w:color="000000" w:sz="4" w:space="0"/>
              <w:bottom w:val="nil"/>
              <w:right w:val="single" w:color="000000" w:sz="4" w:space="0"/>
            </w:tcBorders>
            <w:shd w:val="clear" w:color="auto" w:fill="auto"/>
            <w:vAlign w:val="center"/>
          </w:tcPr>
          <w:p w14:paraId="52B1388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2F6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Times New Roman" w:hAnsi="Times New Roman" w:eastAsia="宋体" w:cs="Times New Roman"/>
                <w:i w:val="0"/>
                <w:iCs w:val="0"/>
                <w:color w:val="auto"/>
                <w:sz w:val="22"/>
                <w:szCs w:val="22"/>
                <w:u w:val="none"/>
              </w:rPr>
            </w:pPr>
            <w:r>
              <w:rPr>
                <w:rStyle w:val="36"/>
                <w:color w:val="auto"/>
                <w:sz w:val="22"/>
                <w:szCs w:val="22"/>
                <w:lang w:val="en-US" w:eastAsia="zh-CN" w:bidi="ar"/>
              </w:rPr>
              <w:t>施工过程环境监理方案</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4480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针对施工过程环境监理要点描述清晰、措施合理有效，进行综合评审，包括但不限于以下内容：</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1</w:t>
            </w:r>
            <w:r>
              <w:rPr>
                <w:rStyle w:val="36"/>
                <w:color w:val="auto"/>
                <w:sz w:val="22"/>
                <w:szCs w:val="22"/>
                <w:lang w:val="en-US" w:eastAsia="zh-CN" w:bidi="ar"/>
              </w:rPr>
              <w:t>）施工设计阶段环境监理；</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2</w:t>
            </w:r>
            <w:r>
              <w:rPr>
                <w:rStyle w:val="36"/>
                <w:color w:val="auto"/>
                <w:sz w:val="22"/>
                <w:szCs w:val="22"/>
                <w:lang w:val="en-US" w:eastAsia="zh-CN" w:bidi="ar"/>
              </w:rPr>
              <w:t>）施工准备阶段环境监理；</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3</w:t>
            </w:r>
            <w:r>
              <w:rPr>
                <w:rStyle w:val="36"/>
                <w:color w:val="auto"/>
                <w:sz w:val="22"/>
                <w:szCs w:val="22"/>
                <w:lang w:val="en-US" w:eastAsia="zh-CN" w:bidi="ar"/>
              </w:rPr>
              <w:t>）施工阶段环境监理（如挖掘、筛分、运输、存储、恢复等环节的环境监理要点）。</w:t>
            </w:r>
            <w:r>
              <w:rPr>
                <w:rStyle w:val="37"/>
                <w:rFonts w:eastAsia="宋体"/>
                <w:color w:val="auto"/>
                <w:sz w:val="22"/>
                <w:szCs w:val="22"/>
                <w:lang w:val="en-US" w:eastAsia="zh-CN" w:bidi="ar"/>
              </w:rPr>
              <w:br w:type="textWrapping"/>
            </w:r>
            <w:r>
              <w:rPr>
                <w:rStyle w:val="36"/>
                <w:color w:val="auto"/>
                <w:sz w:val="22"/>
                <w:szCs w:val="22"/>
                <w:lang w:val="en-US" w:eastAsia="zh-CN" w:bidi="ar"/>
              </w:rPr>
              <w:t>评标专家综合评审有关技术方案：技术方案评价为优的得</w:t>
            </w:r>
            <w:r>
              <w:rPr>
                <w:rStyle w:val="37"/>
                <w:rFonts w:eastAsia="宋体"/>
                <w:color w:val="auto"/>
                <w:sz w:val="22"/>
                <w:szCs w:val="22"/>
                <w:lang w:val="en-US" w:eastAsia="zh-CN" w:bidi="ar"/>
              </w:rPr>
              <w:t>7</w:t>
            </w:r>
            <w:r>
              <w:rPr>
                <w:rStyle w:val="36"/>
                <w:color w:val="auto"/>
                <w:sz w:val="22"/>
                <w:szCs w:val="22"/>
                <w:lang w:val="en-US" w:eastAsia="zh-CN" w:bidi="ar"/>
              </w:rPr>
              <w:t>分；技术方案评价基本满足采购需求的得</w:t>
            </w:r>
            <w:r>
              <w:rPr>
                <w:rStyle w:val="37"/>
                <w:rFonts w:eastAsia="宋体"/>
                <w:color w:val="auto"/>
                <w:sz w:val="22"/>
                <w:szCs w:val="22"/>
                <w:lang w:val="en-US" w:eastAsia="zh-CN" w:bidi="ar"/>
              </w:rPr>
              <w:t>5</w:t>
            </w:r>
            <w:r>
              <w:rPr>
                <w:rStyle w:val="36"/>
                <w:color w:val="auto"/>
                <w:sz w:val="22"/>
                <w:szCs w:val="22"/>
                <w:lang w:val="en-US" w:eastAsia="zh-CN" w:bidi="ar"/>
              </w:rPr>
              <w:t>分；技术方案评价次于采购需求的得</w:t>
            </w:r>
            <w:r>
              <w:rPr>
                <w:rStyle w:val="37"/>
                <w:rFonts w:eastAsia="宋体"/>
                <w:color w:val="auto"/>
                <w:sz w:val="22"/>
                <w:szCs w:val="22"/>
                <w:lang w:val="en-US" w:eastAsia="zh-CN" w:bidi="ar"/>
              </w:rPr>
              <w:t>3</w:t>
            </w:r>
            <w:r>
              <w:rPr>
                <w:rStyle w:val="36"/>
                <w:color w:val="auto"/>
                <w:sz w:val="22"/>
                <w:szCs w:val="22"/>
                <w:lang w:val="en-US" w:eastAsia="zh-CN" w:bidi="ar"/>
              </w:rPr>
              <w:t>分；技术方案严重负偏离采购需求或未提供技术方案的不得分。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9E9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r>
      <w:tr w14:paraId="4CB4B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nil"/>
              <w:left w:val="single" w:color="000000" w:sz="4" w:space="0"/>
              <w:bottom w:val="nil"/>
              <w:right w:val="single" w:color="000000" w:sz="4" w:space="0"/>
            </w:tcBorders>
            <w:shd w:val="clear" w:color="auto" w:fill="auto"/>
            <w:vAlign w:val="center"/>
          </w:tcPr>
          <w:p w14:paraId="4231528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nil"/>
              <w:left w:val="single" w:color="000000" w:sz="4" w:space="0"/>
              <w:bottom w:val="nil"/>
              <w:right w:val="single" w:color="000000" w:sz="4" w:space="0"/>
            </w:tcBorders>
            <w:shd w:val="clear" w:color="auto" w:fill="auto"/>
            <w:vAlign w:val="center"/>
          </w:tcPr>
          <w:p w14:paraId="47EB525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7D1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Times New Roman" w:hAnsi="Times New Roman" w:eastAsia="宋体" w:cs="Times New Roman"/>
                <w:i w:val="0"/>
                <w:iCs w:val="0"/>
                <w:color w:val="auto"/>
                <w:sz w:val="22"/>
                <w:szCs w:val="22"/>
                <w:u w:val="none"/>
              </w:rPr>
            </w:pPr>
            <w:r>
              <w:rPr>
                <w:rStyle w:val="36"/>
                <w:color w:val="auto"/>
                <w:sz w:val="22"/>
                <w:szCs w:val="22"/>
                <w:lang w:val="en-US" w:eastAsia="zh-CN" w:bidi="ar"/>
              </w:rPr>
              <w:t>监理服务基本工作方案</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A25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针对环境监理基本工作方案进行评审，主要包括以下内容：</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1</w:t>
            </w:r>
            <w:r>
              <w:rPr>
                <w:rStyle w:val="36"/>
                <w:color w:val="auto"/>
                <w:sz w:val="22"/>
                <w:szCs w:val="22"/>
                <w:lang w:val="en-US" w:eastAsia="zh-CN" w:bidi="ar"/>
              </w:rPr>
              <w:t>）环境监理及工程监理的岗位设置及职责；</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2</w:t>
            </w:r>
            <w:r>
              <w:rPr>
                <w:rStyle w:val="36"/>
                <w:color w:val="auto"/>
                <w:sz w:val="22"/>
                <w:szCs w:val="22"/>
                <w:lang w:val="en-US" w:eastAsia="zh-CN" w:bidi="ar"/>
              </w:rPr>
              <w:t>）环境监理及工程监理的基本工作制度及工作方法；</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3</w:t>
            </w:r>
            <w:r>
              <w:rPr>
                <w:rStyle w:val="36"/>
                <w:color w:val="auto"/>
                <w:sz w:val="22"/>
                <w:szCs w:val="22"/>
                <w:lang w:val="en-US" w:eastAsia="zh-CN" w:bidi="ar"/>
              </w:rPr>
              <w:t>）针对现场突发环境紧急事件的应急处理措施及流程等。</w:t>
            </w:r>
            <w:r>
              <w:rPr>
                <w:rStyle w:val="37"/>
                <w:rFonts w:eastAsia="宋体"/>
                <w:color w:val="auto"/>
                <w:sz w:val="22"/>
                <w:szCs w:val="22"/>
                <w:lang w:val="en-US" w:eastAsia="zh-CN" w:bidi="ar"/>
              </w:rPr>
              <w:br w:type="textWrapping"/>
            </w:r>
            <w:r>
              <w:rPr>
                <w:rStyle w:val="36"/>
                <w:color w:val="auto"/>
                <w:sz w:val="22"/>
                <w:szCs w:val="22"/>
                <w:lang w:val="en-US" w:eastAsia="zh-CN" w:bidi="ar"/>
              </w:rPr>
              <w:t>评标专家综合评审有关技术方案：技术方案评价为优的得</w:t>
            </w:r>
            <w:r>
              <w:rPr>
                <w:rStyle w:val="37"/>
                <w:rFonts w:eastAsia="宋体"/>
                <w:color w:val="auto"/>
                <w:sz w:val="22"/>
                <w:szCs w:val="22"/>
                <w:lang w:val="en-US" w:eastAsia="zh-CN" w:bidi="ar"/>
              </w:rPr>
              <w:t>7</w:t>
            </w:r>
            <w:r>
              <w:rPr>
                <w:rStyle w:val="36"/>
                <w:color w:val="auto"/>
                <w:sz w:val="22"/>
                <w:szCs w:val="22"/>
                <w:lang w:val="en-US" w:eastAsia="zh-CN" w:bidi="ar"/>
              </w:rPr>
              <w:t>分；技术方案评价基本满足采购需求的得</w:t>
            </w:r>
            <w:r>
              <w:rPr>
                <w:rStyle w:val="37"/>
                <w:rFonts w:eastAsia="宋体"/>
                <w:color w:val="auto"/>
                <w:sz w:val="22"/>
                <w:szCs w:val="22"/>
                <w:lang w:val="en-US" w:eastAsia="zh-CN" w:bidi="ar"/>
              </w:rPr>
              <w:t>5</w:t>
            </w:r>
            <w:r>
              <w:rPr>
                <w:rStyle w:val="36"/>
                <w:color w:val="auto"/>
                <w:sz w:val="22"/>
                <w:szCs w:val="22"/>
                <w:lang w:val="en-US" w:eastAsia="zh-CN" w:bidi="ar"/>
              </w:rPr>
              <w:t>分；技术方案评价次于采购需求的得</w:t>
            </w:r>
            <w:r>
              <w:rPr>
                <w:rStyle w:val="37"/>
                <w:rFonts w:eastAsia="宋体"/>
                <w:color w:val="auto"/>
                <w:sz w:val="22"/>
                <w:szCs w:val="22"/>
                <w:lang w:val="en-US" w:eastAsia="zh-CN" w:bidi="ar"/>
              </w:rPr>
              <w:t>3</w:t>
            </w:r>
            <w:r>
              <w:rPr>
                <w:rStyle w:val="36"/>
                <w:color w:val="auto"/>
                <w:sz w:val="22"/>
                <w:szCs w:val="22"/>
                <w:lang w:val="en-US" w:eastAsia="zh-CN" w:bidi="ar"/>
              </w:rPr>
              <w:t>分；技术方案严重负偏离采购需求或未提供技术方案的不得分。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8D4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r>
      <w:tr w14:paraId="1D983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99" w:type="pct"/>
            <w:vMerge w:val="continue"/>
            <w:tcBorders>
              <w:top w:val="nil"/>
              <w:left w:val="single" w:color="000000" w:sz="4" w:space="0"/>
              <w:bottom w:val="nil"/>
              <w:right w:val="single" w:color="000000" w:sz="4" w:space="0"/>
            </w:tcBorders>
            <w:shd w:val="clear" w:color="auto" w:fill="auto"/>
            <w:vAlign w:val="center"/>
          </w:tcPr>
          <w:p w14:paraId="12E50D3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nil"/>
              <w:left w:val="single" w:color="000000" w:sz="4" w:space="0"/>
              <w:bottom w:val="nil"/>
              <w:right w:val="single" w:color="000000" w:sz="4" w:space="0"/>
            </w:tcBorders>
            <w:shd w:val="clear" w:color="auto" w:fill="auto"/>
            <w:vAlign w:val="center"/>
          </w:tcPr>
          <w:p w14:paraId="313FE5E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03C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Times New Roman" w:hAnsi="Times New Roman" w:eastAsia="宋体" w:cs="Times New Roman"/>
                <w:i w:val="0"/>
                <w:iCs w:val="0"/>
                <w:color w:val="auto"/>
                <w:sz w:val="22"/>
                <w:szCs w:val="22"/>
                <w:u w:val="none"/>
              </w:rPr>
            </w:pPr>
            <w:r>
              <w:rPr>
                <w:rStyle w:val="36"/>
                <w:color w:val="auto"/>
                <w:sz w:val="22"/>
                <w:szCs w:val="22"/>
                <w:lang w:val="en-US" w:eastAsia="zh-CN" w:bidi="ar"/>
              </w:rPr>
              <w:t>环境监理监测方案</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6D82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针对环境监理监测方案进行综合评审，包括但不限于以下内容</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1</w:t>
            </w:r>
            <w:r>
              <w:rPr>
                <w:rStyle w:val="36"/>
                <w:color w:val="auto"/>
                <w:sz w:val="22"/>
                <w:szCs w:val="22"/>
                <w:lang w:val="en-US" w:eastAsia="zh-CN" w:bidi="ar"/>
              </w:rPr>
              <w:t>）根据治理范围和周边敏感区合理进行点位布设；</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2</w:t>
            </w:r>
            <w:r>
              <w:rPr>
                <w:rStyle w:val="36"/>
                <w:color w:val="auto"/>
                <w:sz w:val="22"/>
                <w:szCs w:val="22"/>
                <w:lang w:val="en-US" w:eastAsia="zh-CN" w:bidi="ar"/>
              </w:rPr>
              <w:t>）现场采样及质量控制有效性；</w:t>
            </w:r>
            <w:r>
              <w:rPr>
                <w:rStyle w:val="37"/>
                <w:rFonts w:eastAsia="宋体"/>
                <w:color w:val="auto"/>
                <w:sz w:val="22"/>
                <w:szCs w:val="22"/>
                <w:lang w:val="en-US" w:eastAsia="zh-CN" w:bidi="ar"/>
              </w:rPr>
              <w:br w:type="textWrapping"/>
            </w:r>
            <w:r>
              <w:rPr>
                <w:rStyle w:val="36"/>
                <w:color w:val="auto"/>
                <w:sz w:val="22"/>
                <w:szCs w:val="22"/>
                <w:lang w:val="en-US" w:eastAsia="zh-CN" w:bidi="ar"/>
              </w:rPr>
              <w:t>（</w:t>
            </w:r>
            <w:r>
              <w:rPr>
                <w:rStyle w:val="37"/>
                <w:rFonts w:eastAsia="宋体"/>
                <w:color w:val="auto"/>
                <w:sz w:val="22"/>
                <w:szCs w:val="22"/>
                <w:lang w:val="en-US" w:eastAsia="zh-CN" w:bidi="ar"/>
              </w:rPr>
              <w:t>3</w:t>
            </w:r>
            <w:r>
              <w:rPr>
                <w:rStyle w:val="36"/>
                <w:color w:val="auto"/>
                <w:sz w:val="22"/>
                <w:szCs w:val="22"/>
                <w:lang w:val="en-US" w:eastAsia="zh-CN" w:bidi="ar"/>
              </w:rPr>
              <w:t>）实验室检测及质量控制有效性。</w:t>
            </w:r>
            <w:r>
              <w:rPr>
                <w:rStyle w:val="37"/>
                <w:rFonts w:eastAsia="宋体"/>
                <w:color w:val="auto"/>
                <w:sz w:val="22"/>
                <w:szCs w:val="22"/>
                <w:lang w:val="en-US" w:eastAsia="zh-CN" w:bidi="ar"/>
              </w:rPr>
              <w:br w:type="textWrapping"/>
            </w:r>
            <w:r>
              <w:rPr>
                <w:rStyle w:val="36"/>
                <w:color w:val="auto"/>
                <w:sz w:val="22"/>
                <w:szCs w:val="22"/>
                <w:lang w:val="en-US" w:eastAsia="zh-CN" w:bidi="ar"/>
              </w:rPr>
              <w:t>评标专家综合评审有关技术方案：技术方案评价为优的得</w:t>
            </w:r>
            <w:r>
              <w:rPr>
                <w:rStyle w:val="37"/>
                <w:rFonts w:eastAsia="宋体"/>
                <w:color w:val="auto"/>
                <w:sz w:val="22"/>
                <w:szCs w:val="22"/>
                <w:lang w:val="en-US" w:eastAsia="zh-CN" w:bidi="ar"/>
              </w:rPr>
              <w:t>7</w:t>
            </w:r>
            <w:r>
              <w:rPr>
                <w:rStyle w:val="36"/>
                <w:color w:val="auto"/>
                <w:sz w:val="22"/>
                <w:szCs w:val="22"/>
                <w:lang w:val="en-US" w:eastAsia="zh-CN" w:bidi="ar"/>
              </w:rPr>
              <w:t>分；技术方案评价基本满足采购需求的得</w:t>
            </w:r>
            <w:r>
              <w:rPr>
                <w:rStyle w:val="37"/>
                <w:rFonts w:eastAsia="宋体"/>
                <w:color w:val="auto"/>
                <w:sz w:val="22"/>
                <w:szCs w:val="22"/>
                <w:lang w:val="en-US" w:eastAsia="zh-CN" w:bidi="ar"/>
              </w:rPr>
              <w:t>5</w:t>
            </w:r>
            <w:r>
              <w:rPr>
                <w:rStyle w:val="36"/>
                <w:color w:val="auto"/>
                <w:sz w:val="22"/>
                <w:szCs w:val="22"/>
                <w:lang w:val="en-US" w:eastAsia="zh-CN" w:bidi="ar"/>
              </w:rPr>
              <w:t>分；技术方案评价次于采购需求的得</w:t>
            </w:r>
            <w:r>
              <w:rPr>
                <w:rStyle w:val="37"/>
                <w:rFonts w:eastAsia="宋体"/>
                <w:color w:val="auto"/>
                <w:sz w:val="22"/>
                <w:szCs w:val="22"/>
                <w:lang w:val="en-US" w:eastAsia="zh-CN" w:bidi="ar"/>
              </w:rPr>
              <w:t>3</w:t>
            </w:r>
            <w:r>
              <w:rPr>
                <w:rStyle w:val="36"/>
                <w:color w:val="auto"/>
                <w:sz w:val="22"/>
                <w:szCs w:val="22"/>
                <w:lang w:val="en-US" w:eastAsia="zh-CN" w:bidi="ar"/>
              </w:rPr>
              <w:t>分；技术方案严重负偏离采购需求或未提供技术方案的不得分。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6C02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r>
      <w:tr w14:paraId="4209A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30EE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40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1737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服务分</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66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服务团队（项目负责人）</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3FE2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投标人拟派项目负责人（1名）具备的专业技术能力按下列标准计分：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（1）环保或环境类正高级（或研究员级或教授级）工程师职称的得1分；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（2）环境影响评价工程师职业资格证书的得1分；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（3）注册环保工程师职业资格证书的得1分；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（4）生态环境部（环保部）或其下属事业机构颁发的环境监理岗位培训（合格）证书的得1分。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本项最高得4分。项目负责人限1名。</w:t>
            </w:r>
            <w:r>
              <w:rPr>
                <w:rFonts w:hint="eastAsia" w:ascii="宋体" w:hAnsi="宋体" w:eastAsia="宋体" w:cs="宋体"/>
                <w:i w:val="0"/>
                <w:iCs w:val="0"/>
                <w:color w:val="auto"/>
                <w:kern w:val="0"/>
                <w:sz w:val="22"/>
                <w:szCs w:val="22"/>
                <w:highlight w:val="none"/>
                <w:u w:val="none"/>
                <w:lang w:val="en-US" w:eastAsia="zh-CN" w:bidi="ar"/>
              </w:rPr>
              <w:br w:type="textWrapping"/>
            </w:r>
            <w:r>
              <w:rPr>
                <w:rStyle w:val="35"/>
                <w:color w:val="auto"/>
                <w:sz w:val="22"/>
                <w:szCs w:val="22"/>
                <w:highlight w:val="none"/>
                <w:lang w:val="en-US" w:eastAsia="zh-CN" w:bidi="ar"/>
              </w:rPr>
              <w:t>注：本项投标时须提供人员职称证书、职业资格证书、岗位培训证书等人员证书扫描件及人员本单位社保（从2026年5月开始至投标截止之日当月至少1个月在本单位缴纳社会保险缴费记录）以证明，未提供不得分。</w:t>
            </w:r>
            <w:r>
              <w:rPr>
                <w:rStyle w:val="35"/>
                <w:rFonts w:hint="eastAsia"/>
                <w:color w:val="auto"/>
                <w:sz w:val="22"/>
                <w:szCs w:val="22"/>
                <w:highlight w:val="none"/>
                <w:lang w:val="en-US" w:eastAsia="zh-CN" w:bidi="ar"/>
              </w:rPr>
              <w:t>项目负责人和技术负责人不得兼任。</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3F1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r>
      <w:tr w14:paraId="35D56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3525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3904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549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服务团队（技术负责人）</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29B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投标人拟派技术负责人（1名）具备的专业技术能力按下列标准计分：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（1）环保或环境类（副高）及以上工程师职称的得1分；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（2）环境影响评价工程师职业资格证书的得1分；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（3）注册环保工程师职业资格证书的得1分；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本项最高得3分。技术负责人限1名。</w:t>
            </w:r>
            <w:r>
              <w:rPr>
                <w:rFonts w:hint="eastAsia" w:ascii="宋体" w:hAnsi="宋体" w:eastAsia="宋体" w:cs="宋体"/>
                <w:i w:val="0"/>
                <w:iCs w:val="0"/>
                <w:color w:val="auto"/>
                <w:kern w:val="0"/>
                <w:sz w:val="22"/>
                <w:szCs w:val="22"/>
                <w:highlight w:val="none"/>
                <w:u w:val="none"/>
                <w:lang w:val="en-US" w:eastAsia="zh-CN" w:bidi="ar"/>
              </w:rPr>
              <w:br w:type="textWrapping"/>
            </w:r>
            <w:r>
              <w:rPr>
                <w:rStyle w:val="35"/>
                <w:color w:val="auto"/>
                <w:sz w:val="22"/>
                <w:szCs w:val="22"/>
                <w:highlight w:val="none"/>
                <w:lang w:val="en-US" w:eastAsia="zh-CN" w:bidi="ar"/>
              </w:rPr>
              <w:t>注：本项投标时须提供人员职称证书、职业资格证书、岗位培训证书等人员证书扫描件及人员本单位社保（从2026年5月开始至投标截止之日当月至少1个月在本单位缴纳社会保险缴费记录）以证明，未提供不得分。</w:t>
            </w:r>
            <w:r>
              <w:rPr>
                <w:rStyle w:val="35"/>
                <w:rFonts w:hint="eastAsia"/>
                <w:color w:val="auto"/>
                <w:sz w:val="22"/>
                <w:szCs w:val="22"/>
                <w:highlight w:val="none"/>
                <w:lang w:val="en-US" w:eastAsia="zh-CN" w:bidi="ar"/>
              </w:rPr>
              <w:t>项目负责人和技术负责人不得兼任。</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50DB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r>
      <w:tr w14:paraId="387CA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7350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5887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B0F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服务团队（环境监理组成员）</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1CA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投标人拟派环境监理组成员（不含项目负责人和技术负责人）具备的专业技术能力按下列标准计分：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（1）环保或环境类高级（副高）及以上工程师职称的得1分；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（2）环境影响评价工程师职业资格证书或注册环保工程师证书的得1分；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（3）生态环境部（环保部）或其下属事业机构颁发的环境监理岗位培训（合格）证书的得1分。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注：本项每人最高得3分，最多对5人计分。</w:t>
            </w:r>
            <w:r>
              <w:rPr>
                <w:rFonts w:hint="eastAsia" w:ascii="宋体" w:hAnsi="宋体" w:eastAsia="宋体" w:cs="宋体"/>
                <w:i w:val="0"/>
                <w:iCs w:val="0"/>
                <w:color w:val="auto"/>
                <w:kern w:val="0"/>
                <w:sz w:val="22"/>
                <w:szCs w:val="22"/>
                <w:u w:val="none"/>
                <w:lang w:val="en-US" w:eastAsia="zh-CN" w:bidi="ar"/>
              </w:rPr>
              <w:br w:type="textWrapping"/>
            </w:r>
            <w:r>
              <w:rPr>
                <w:rStyle w:val="35"/>
                <w:color w:val="auto"/>
                <w:sz w:val="22"/>
                <w:szCs w:val="22"/>
                <w:lang w:val="en-US" w:eastAsia="zh-CN" w:bidi="ar"/>
              </w:rPr>
              <w:t>注：本项投标时须提供人员职称证书、职业资格证书、岗位培训证书等人员证书扫描件及人员本单位社保（从2026年5月开始至投标截止之日当月至少1个月在本单位缴纳社会保险缴费记录材料）以证明，未提供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E9E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r>
      <w:tr w14:paraId="0638F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5FA8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194D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80D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服务团队（专家配置）</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812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服务团队专家配置评估（10分）：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（1）投标人拟派项目组服务团队成员入选省级及以上生态环境行政主管部门组建的生态环境损害鉴定评估与修复效果评估评审专家库的，每配置1人得0.5分，本审项最高得5分。（注：</w:t>
            </w:r>
            <w:r>
              <w:rPr>
                <w:rStyle w:val="35"/>
                <w:color w:val="auto"/>
                <w:sz w:val="22"/>
                <w:szCs w:val="22"/>
                <w:highlight w:val="none"/>
                <w:lang w:val="en-US" w:eastAsia="zh-CN" w:bidi="ar"/>
              </w:rPr>
              <w:t>本评审项须提供生态环境主管部门发布的最近一次入库文件或网站公告（通知）及其名单截图，否则不予认可。</w:t>
            </w:r>
            <w:r>
              <w:rPr>
                <w:rFonts w:hint="eastAsia" w:ascii="宋体" w:hAnsi="宋体" w:eastAsia="宋体" w:cs="宋体"/>
                <w:i w:val="0"/>
                <w:iCs w:val="0"/>
                <w:color w:val="auto"/>
                <w:kern w:val="0"/>
                <w:sz w:val="22"/>
                <w:szCs w:val="22"/>
                <w:highlight w:val="none"/>
                <w:u w:val="none"/>
                <w:lang w:val="en-US" w:eastAsia="zh-CN" w:bidi="ar"/>
              </w:rPr>
              <w:t>）</w:t>
            </w:r>
          </w:p>
          <w:p w14:paraId="33A0E5B5">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投标人拟派项目组服务团队成员具备司法鉴定人执业资格（执业范围至少包括土壤与地下水环境损害鉴定）的，每配置1人得1分，本项最高得5分。（注：本评审项需提供符合范围要求的司法鉴定人执业证书扫描件</w:t>
            </w:r>
            <w:r>
              <w:rPr>
                <w:rStyle w:val="35"/>
                <w:color w:val="auto"/>
                <w:sz w:val="22"/>
                <w:szCs w:val="22"/>
                <w:highlight w:val="none"/>
                <w:lang w:val="en-US" w:eastAsia="zh-CN" w:bidi="ar"/>
              </w:rPr>
              <w:t>，否则不予认可。</w:t>
            </w:r>
            <w:r>
              <w:rPr>
                <w:rFonts w:hint="eastAsia" w:ascii="宋体" w:hAnsi="宋体" w:eastAsia="宋体" w:cs="宋体"/>
                <w:i w:val="0"/>
                <w:iCs w:val="0"/>
                <w:color w:val="auto"/>
                <w:kern w:val="0"/>
                <w:sz w:val="22"/>
                <w:szCs w:val="22"/>
                <w:highlight w:val="none"/>
                <w:u w:val="none"/>
                <w:lang w:val="en-US" w:eastAsia="zh-CN" w:bidi="ar"/>
              </w:rPr>
              <w:t>）</w:t>
            </w:r>
          </w:p>
          <w:p w14:paraId="51141B6C">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本项最高得10分。</w:t>
            </w:r>
            <w:r>
              <w:rPr>
                <w:rFonts w:hint="eastAsia" w:ascii="宋体" w:hAnsi="宋体" w:eastAsia="宋体" w:cs="宋体"/>
                <w:i w:val="0"/>
                <w:iCs w:val="0"/>
                <w:color w:val="auto"/>
                <w:kern w:val="0"/>
                <w:sz w:val="22"/>
                <w:szCs w:val="22"/>
                <w:highlight w:val="none"/>
                <w:u w:val="none"/>
                <w:lang w:val="en-US" w:eastAsia="zh-CN" w:bidi="ar"/>
              </w:rPr>
              <w:br w:type="textWrapping"/>
            </w:r>
            <w:r>
              <w:rPr>
                <w:rStyle w:val="35"/>
                <w:color w:val="auto"/>
                <w:sz w:val="22"/>
                <w:szCs w:val="22"/>
                <w:highlight w:val="none"/>
                <w:lang w:val="en-US" w:eastAsia="zh-CN" w:bidi="ar"/>
              </w:rPr>
              <w:t>注：上述评分项中涉及的人员，</w:t>
            </w:r>
            <w:r>
              <w:rPr>
                <w:rStyle w:val="35"/>
                <w:rFonts w:hint="eastAsia"/>
                <w:color w:val="auto"/>
                <w:sz w:val="22"/>
                <w:szCs w:val="22"/>
                <w:highlight w:val="none"/>
                <w:lang w:val="en-US" w:eastAsia="zh-CN" w:bidi="ar"/>
              </w:rPr>
              <w:t>同时</w:t>
            </w:r>
            <w:r>
              <w:rPr>
                <w:rStyle w:val="35"/>
                <w:color w:val="auto"/>
                <w:sz w:val="22"/>
                <w:szCs w:val="22"/>
                <w:highlight w:val="none"/>
                <w:lang w:val="en-US" w:eastAsia="zh-CN" w:bidi="ar"/>
              </w:rPr>
              <w:t>提供从2026年5月开始至投标截止之日当月至少1个月在本单位缴纳社会保险缴费记录证明，未提供的不得分。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C79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10</w:t>
            </w:r>
          </w:p>
        </w:tc>
      </w:tr>
      <w:tr w14:paraId="0BC68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1D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7D95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372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服务设施（软件设施）</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6CA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投标人拟投入地下水或水质（或水体）或水污染相关的监测监</w:t>
            </w:r>
            <w:r>
              <w:rPr>
                <w:rFonts w:hint="eastAsia" w:ascii="宋体" w:hAnsi="宋体" w:eastAsia="宋体" w:cs="宋体"/>
                <w:i w:val="0"/>
                <w:iCs w:val="0"/>
                <w:color w:val="auto"/>
                <w:kern w:val="0"/>
                <w:sz w:val="22"/>
                <w:szCs w:val="22"/>
                <w:highlight w:val="none"/>
                <w:u w:val="none"/>
                <w:lang w:val="en-US" w:eastAsia="zh-CN" w:bidi="ar"/>
              </w:rPr>
              <w:t>控等系统平台软件提高服务质量或工作效率的，每投入1项得1分，本评审项最高得2分。</w:t>
            </w:r>
            <w:r>
              <w:rPr>
                <w:rFonts w:hint="eastAsia" w:ascii="宋体" w:hAnsi="宋体" w:eastAsia="宋体" w:cs="宋体"/>
                <w:i w:val="0"/>
                <w:iCs w:val="0"/>
                <w:color w:val="auto"/>
                <w:kern w:val="0"/>
                <w:sz w:val="22"/>
                <w:szCs w:val="22"/>
                <w:highlight w:val="none"/>
                <w:u w:val="none"/>
                <w:lang w:val="en-US" w:eastAsia="zh-CN" w:bidi="ar"/>
              </w:rPr>
              <w:br w:type="textWrapping"/>
            </w:r>
            <w:r>
              <w:rPr>
                <w:rStyle w:val="35"/>
                <w:color w:val="auto"/>
                <w:sz w:val="22"/>
                <w:szCs w:val="22"/>
                <w:highlight w:val="none"/>
                <w:lang w:val="en-US" w:eastAsia="zh-CN" w:bidi="ar"/>
              </w:rPr>
              <w:t>注：如为自研软件的，投标时提供软件著作权证书予以佐证；非自研软件的，须同时提供软件厂商（或著作权人）软件著作权证书、软件购买（或使用）合同证明材料方予认可，未提供不得分。</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1C9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r>
      <w:tr w14:paraId="5CA6C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 w:hRule="atLeast"/>
          <w:jc w:val="center"/>
        </w:trPr>
        <w:tc>
          <w:tcPr>
            <w:tcW w:w="3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AF3F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40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40D9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2"/>
                <w:szCs w:val="22"/>
                <w:u w:val="none"/>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B36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服务设施（设备仪器）</w:t>
            </w:r>
          </w:p>
        </w:tc>
        <w:tc>
          <w:tcPr>
            <w:tcW w:w="3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047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2"/>
                <w:szCs w:val="22"/>
                <w:u w:val="none"/>
              </w:rPr>
            </w:pPr>
            <w:bookmarkStart w:id="205" w:name="_GoBack"/>
            <w:r>
              <w:rPr>
                <w:rFonts w:hint="eastAsia" w:ascii="宋体" w:hAnsi="宋体" w:eastAsia="宋体" w:cs="宋体"/>
                <w:i w:val="0"/>
                <w:iCs w:val="0"/>
                <w:color w:val="auto"/>
                <w:kern w:val="0"/>
                <w:sz w:val="22"/>
                <w:szCs w:val="22"/>
                <w:u w:val="none"/>
                <w:lang w:val="en-US" w:eastAsia="zh-CN" w:bidi="ar"/>
              </w:rPr>
              <w:t>1、投标人配备有土壤及地下水采样专业设备（钻机）且土壤及地下水采样专业设备且包含HPT系统及MIP系统的得2分（本项须包含HPT系统、MIP系统，不包含上述系统的不得分，有关系统应在证明材料中体现。）；</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2、投标人配备有X射线荧光分析仪（XRF）现场快速检测设备的得1分；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3、投标人配备有光离子化检测仪（PID或VOC检测仪器）现场快速检测设备的得1分；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4、投标人配备有油水界面尺（仪）的，得1分。</w:t>
            </w:r>
            <w:r>
              <w:rPr>
                <w:rFonts w:hint="eastAsia" w:ascii="宋体" w:hAnsi="宋体" w:eastAsia="宋体" w:cs="宋体"/>
                <w:i w:val="0"/>
                <w:iCs w:val="0"/>
                <w:color w:val="auto"/>
                <w:kern w:val="0"/>
                <w:sz w:val="22"/>
                <w:szCs w:val="22"/>
                <w:u w:val="none"/>
                <w:lang w:val="en-US" w:eastAsia="zh-CN" w:bidi="ar"/>
              </w:rPr>
              <w:br w:type="textWrapping"/>
            </w:r>
            <w:r>
              <w:rPr>
                <w:rStyle w:val="35"/>
                <w:color w:val="auto"/>
                <w:sz w:val="22"/>
                <w:szCs w:val="22"/>
                <w:lang w:val="en-US" w:eastAsia="zh-CN" w:bidi="ar"/>
              </w:rPr>
              <w:t>注：（1）同一设备不重复得分。（2）投标时提供清晰的设备购买发票的扫描件，发票应体现设备具体名称或类型，发票未体现设备名称或类型的须同时提供购置合同以佐证，如所提供的资料均不能体现设备具体名称或类型的，本项不得分。</w:t>
            </w:r>
            <w:bookmarkEnd w:id="205"/>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7E3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r>
      <w:tr w14:paraId="72F27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atLeast"/>
          <w:jc w:val="center"/>
        </w:trPr>
        <w:tc>
          <w:tcPr>
            <w:tcW w:w="457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EE33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514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r>
    </w:tbl>
    <w:p w14:paraId="038F6F9A">
      <w:pPr>
        <w:pStyle w:val="13"/>
        <w:keepNext w:val="0"/>
        <w:keepLines w:val="0"/>
        <w:pageBreakBefore w:val="0"/>
        <w:widowControl w:val="0"/>
        <w:kinsoku/>
        <w:wordWrap w:val="0"/>
        <w:overflowPunct/>
        <w:topLinePunct w:val="0"/>
        <w:bidi w:val="0"/>
        <w:spacing w:beforeAutospacing="0" w:afterAutospacing="0"/>
        <w:jc w:val="both"/>
        <w:rPr>
          <w:rFonts w:hint="eastAsia" w:ascii="宋体" w:hAnsi="宋体" w:eastAsia="宋体" w:cs="宋体"/>
          <w:highlight w:val="none"/>
        </w:rPr>
      </w:pPr>
    </w:p>
    <w:p w14:paraId="74E73B9D">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510655E1">
      <w:pPr>
        <w:keepNext w:val="0"/>
        <w:keepLines w:val="0"/>
        <w:pageBreakBefore w:val="0"/>
        <w:widowControl w:val="0"/>
        <w:kinsoku/>
        <w:wordWrap w:val="0"/>
        <w:overflowPunct/>
        <w:topLinePunct w:val="0"/>
        <w:bidi w:val="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394BDBC7">
      <w:pPr>
        <w:pStyle w:val="13"/>
        <w:keepNext w:val="0"/>
        <w:keepLines w:val="0"/>
        <w:pageBreakBefore w:val="0"/>
        <w:widowControl w:val="0"/>
        <w:kinsoku/>
        <w:wordWrap w:val="0"/>
        <w:overflowPunct/>
        <w:topLinePunct w:val="0"/>
        <w:bidi w:val="0"/>
        <w:spacing w:beforeAutospacing="0" w:afterAutospacing="0" w:line="480" w:lineRule="auto"/>
        <w:jc w:val="center"/>
        <w:rPr>
          <w:highlight w:val="none"/>
        </w:rPr>
      </w:pPr>
      <w:r>
        <w:rPr>
          <w:rFonts w:hint="eastAsia" w:ascii="黑体" w:hAnsi="宋体" w:eastAsia="黑体" w:cs="黑体"/>
          <w:color w:val="000000"/>
          <w:sz w:val="44"/>
          <w:szCs w:val="44"/>
          <w:highlight w:val="none"/>
        </w:rPr>
        <w:t xml:space="preserve">第六章  投标文件格式 </w:t>
      </w:r>
    </w:p>
    <w:p w14:paraId="3FEECC7E">
      <w:pPr>
        <w:pStyle w:val="13"/>
        <w:keepNext w:val="0"/>
        <w:keepLines w:val="0"/>
        <w:pageBreakBefore w:val="0"/>
        <w:widowControl w:val="0"/>
        <w:kinsoku/>
        <w:wordWrap w:val="0"/>
        <w:overflowPunct/>
        <w:topLinePunct w:val="0"/>
        <w:bidi w:val="0"/>
        <w:spacing w:beforeAutospacing="0" w:afterAutospacing="0"/>
        <w:jc w:val="center"/>
        <w:rPr>
          <w:rFonts w:hint="eastAsia" w:ascii="宋体" w:hAnsi="宋体" w:eastAsia="宋体" w:cs="宋体"/>
          <w:b/>
          <w:color w:val="000000"/>
          <w:sz w:val="72"/>
          <w:szCs w:val="72"/>
          <w:highlight w:val="none"/>
        </w:rPr>
      </w:pPr>
      <w:bookmarkStart w:id="182" w:name="_Hlt26671244"/>
      <w:bookmarkEnd w:id="182"/>
      <w:bookmarkStart w:id="183" w:name="_Toc26554094"/>
      <w:bookmarkEnd w:id="183"/>
      <w:bookmarkStart w:id="184" w:name="_Hlt26955039"/>
      <w:bookmarkEnd w:id="184"/>
      <w:bookmarkStart w:id="185" w:name="_Toc49090576"/>
      <w:bookmarkStart w:id="186" w:name="_Toc120614282"/>
    </w:p>
    <w:p w14:paraId="14D7A9D0">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22DEB80C">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71BD0C1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14CECC7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6CF5094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50FB0EBD">
      <w:pPr>
        <w:pStyle w:val="13"/>
        <w:keepNext w:val="0"/>
        <w:keepLines w:val="0"/>
        <w:pageBreakBefore w:val="0"/>
        <w:widowControl w:val="0"/>
        <w:kinsoku/>
        <w:wordWrap w:val="0"/>
        <w:overflowPunct/>
        <w:topLinePunct w:val="0"/>
        <w:bidi w:val="0"/>
        <w:spacing w:beforeAutospacing="0" w:afterAutospacing="0"/>
        <w:jc w:val="center"/>
        <w:rPr>
          <w:highlight w:val="none"/>
        </w:rPr>
      </w:pPr>
    </w:p>
    <w:p w14:paraId="059E7B16">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47A79981">
      <w:pPr>
        <w:pStyle w:val="13"/>
        <w:keepNext w:val="0"/>
        <w:keepLines w:val="0"/>
        <w:pageBreakBefore w:val="0"/>
        <w:widowControl w:val="0"/>
        <w:kinsoku/>
        <w:wordWrap w:val="0"/>
        <w:overflowPunct/>
        <w:topLinePunct w:val="0"/>
        <w:bidi w:val="0"/>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p>
    <w:p w14:paraId="45010DBF">
      <w:pPr>
        <w:pStyle w:val="13"/>
        <w:keepNext w:val="0"/>
        <w:keepLines w:val="0"/>
        <w:pageBreakBefore w:val="0"/>
        <w:widowControl w:val="0"/>
        <w:kinsoku/>
        <w:wordWrap w:val="0"/>
        <w:overflowPunct/>
        <w:topLinePunct w:val="0"/>
        <w:bidi w:val="0"/>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p>
    <w:p w14:paraId="736DE0D4">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0004A50C">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79EF6E88">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13"/>
        <w:keepNext w:val="0"/>
        <w:keepLines w:val="0"/>
        <w:pageBreakBefore w:val="0"/>
        <w:widowControl w:val="0"/>
        <w:kinsoku/>
        <w:wordWrap w:val="0"/>
        <w:overflowPunct/>
        <w:topLinePunct w:val="0"/>
        <w:bidi w:val="0"/>
        <w:spacing w:beforeAutospacing="0" w:afterAutospacing="0" w:line="0" w:lineRule="atLeast"/>
        <w:jc w:val="center"/>
        <w:rPr>
          <w:rFonts w:ascii="宋体" w:hAnsi="宋体" w:eastAsia="宋体" w:cs="宋体"/>
          <w:b/>
          <w:color w:val="000000"/>
          <w:sz w:val="36"/>
          <w:szCs w:val="36"/>
          <w:highlight w:val="none"/>
          <w:u w:val="single"/>
        </w:rPr>
      </w:pPr>
    </w:p>
    <w:p w14:paraId="25F9088A">
      <w:pPr>
        <w:keepNext w:val="0"/>
        <w:keepLines w:val="0"/>
        <w:pageBreakBefore w:val="0"/>
        <w:widowControl w:val="0"/>
        <w:kinsoku/>
        <w:wordWrap w:val="0"/>
        <w:overflowPunct/>
        <w:topLinePunct w:val="0"/>
        <w:bidi w:val="0"/>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r>
    </w:p>
    <w:p w14:paraId="06EE6D9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5713C76E">
      <w:pPr>
        <w:pStyle w:val="13"/>
        <w:keepNext w:val="0"/>
        <w:keepLines w:val="0"/>
        <w:pageBreakBefore w:val="0"/>
        <w:widowControl w:val="0"/>
        <w:kinsoku/>
        <w:wordWrap w:val="0"/>
        <w:overflowPunct/>
        <w:topLinePunct w:val="0"/>
        <w:bidi w:val="0"/>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631C9D2">
      <w:pPr>
        <w:keepNext w:val="0"/>
        <w:keepLines w:val="0"/>
        <w:pageBreakBefore w:val="0"/>
        <w:widowControl w:val="0"/>
        <w:tabs>
          <w:tab w:val="left" w:pos="1331"/>
        </w:tabs>
        <w:kinsoku/>
        <w:wordWrap w:val="0"/>
        <w:overflowPunct/>
        <w:topLinePunct w:val="0"/>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w:t>
      </w:r>
    </w:p>
    <w:p w14:paraId="0C60B884">
      <w:pPr>
        <w:pStyle w:val="13"/>
        <w:keepNext w:val="0"/>
        <w:keepLines w:val="0"/>
        <w:pageBreakBefore w:val="0"/>
        <w:widowControl w:val="0"/>
        <w:kinsoku/>
        <w:wordWrap w:val="0"/>
        <w:overflowPunct/>
        <w:topLinePunct w:val="0"/>
        <w:bidi w:val="0"/>
        <w:spacing w:beforeAutospacing="0" w:afterAutospacing="0"/>
        <w:ind w:left="480"/>
        <w:jc w:val="both"/>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投标人成立不满一年无需提供）</w:t>
      </w:r>
    </w:p>
    <w:p w14:paraId="42ACAE88">
      <w:pPr>
        <w:pStyle w:val="13"/>
        <w:keepNext w:val="0"/>
        <w:keepLines w:val="0"/>
        <w:pageBreakBefore w:val="0"/>
        <w:widowControl w:val="0"/>
        <w:kinsoku/>
        <w:wordWrap w:val="0"/>
        <w:overflowPunct/>
        <w:topLinePunct w:val="0"/>
        <w:bidi w:val="0"/>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13"/>
        <w:keepNext w:val="0"/>
        <w:keepLines w:val="0"/>
        <w:pageBreakBefore w:val="0"/>
        <w:widowControl w:val="0"/>
        <w:kinsoku/>
        <w:wordWrap w:val="0"/>
        <w:overflowPunct/>
        <w:topLinePunct w:val="0"/>
        <w:bidi w:val="0"/>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3"/>
        <w:keepNext w:val="0"/>
        <w:keepLines w:val="0"/>
        <w:pageBreakBefore w:val="0"/>
        <w:widowControl w:val="0"/>
        <w:kinsoku/>
        <w:wordWrap w:val="0"/>
        <w:overflowPunct/>
        <w:topLinePunct w:val="0"/>
        <w:bidi w:val="0"/>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6CFBDE60">
      <w:pPr>
        <w:pStyle w:val="13"/>
        <w:keepNext w:val="0"/>
        <w:keepLines w:val="0"/>
        <w:pageBreakBefore w:val="0"/>
        <w:widowControl w:val="0"/>
        <w:kinsoku/>
        <w:wordWrap w:val="0"/>
        <w:overflowPunct/>
        <w:topLinePunct w:val="0"/>
        <w:bidi w:val="0"/>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3E3E3867">
      <w:pPr>
        <w:pStyle w:val="13"/>
        <w:keepNext w:val="0"/>
        <w:keepLines w:val="0"/>
        <w:pageBreakBefore w:val="0"/>
        <w:widowControl w:val="0"/>
        <w:kinsoku/>
        <w:wordWrap w:val="0"/>
        <w:overflowPunct/>
        <w:topLinePunct w:val="0"/>
        <w:bidi w:val="0"/>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3BDE6B94">
      <w:pPr>
        <w:pStyle w:val="13"/>
        <w:keepNext w:val="0"/>
        <w:keepLines w:val="0"/>
        <w:pageBreakBefore w:val="0"/>
        <w:widowControl w:val="0"/>
        <w:kinsoku/>
        <w:wordWrap w:val="0"/>
        <w:overflowPunct/>
        <w:topLinePunct w:val="0"/>
        <w:bidi w:val="0"/>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5FEA8D1E">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5A16B8B8">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0263EB78">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、联合体协议</w:t>
      </w:r>
    </w:p>
    <w:p w14:paraId="36EABC97">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、投标分项报价表</w:t>
      </w:r>
    </w:p>
    <w:p w14:paraId="260078DA">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、技术要求响应及偏离表</w:t>
      </w:r>
    </w:p>
    <w:p w14:paraId="7D69B72A">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、商务要求响应及偏离表</w:t>
      </w:r>
    </w:p>
    <w:p w14:paraId="48EFFF5A">
      <w:pPr>
        <w:pStyle w:val="13"/>
        <w:keepNext w:val="0"/>
        <w:keepLines w:val="0"/>
        <w:pageBreakBefore w:val="0"/>
        <w:widowControl w:val="0"/>
        <w:kinsoku/>
        <w:wordWrap w:val="0"/>
        <w:overflowPunct/>
        <w:topLinePunct w:val="0"/>
        <w:bidi w:val="0"/>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、开标一览表</w:t>
      </w:r>
    </w:p>
    <w:p w14:paraId="161CCAB1">
      <w:pPr>
        <w:keepNext w:val="0"/>
        <w:keepLines w:val="0"/>
        <w:pageBreakBefore w:val="0"/>
        <w:widowControl w:val="0"/>
        <w:kinsoku/>
        <w:wordWrap w:val="0"/>
        <w:overflowPunct/>
        <w:topLinePunct w:val="0"/>
        <w:bidi w:val="0"/>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七</w:t>
      </w:r>
      <w:r>
        <w:rPr>
          <w:rFonts w:hint="eastAsia" w:ascii="宋体" w:hAnsi="宋体" w:eastAsia="宋体" w:cs="宋体"/>
          <w:i w:val="0"/>
          <w:iCs/>
          <w:color w:val="000000"/>
          <w:kern w:val="0"/>
          <w:sz w:val="24"/>
          <w:highlight w:val="none"/>
          <w:u w:val="none"/>
        </w:rPr>
        <w:t>、技术方案、服务承诺、培训承诺等</w:t>
      </w:r>
    </w:p>
    <w:p w14:paraId="138E25DE">
      <w:pPr>
        <w:pStyle w:val="13"/>
        <w:keepNext w:val="0"/>
        <w:keepLines w:val="0"/>
        <w:pageBreakBefore w:val="0"/>
        <w:widowControl w:val="0"/>
        <w:kinsoku/>
        <w:wordWrap w:val="0"/>
        <w:overflowPunct/>
        <w:topLinePunct w:val="0"/>
        <w:bidi w:val="0"/>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、盐城市政府采购事前信用承诺书</w:t>
      </w:r>
    </w:p>
    <w:p w14:paraId="2B4328CE">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color w:val="000000"/>
          <w:highlight w:val="none"/>
        </w:rPr>
      </w:pPr>
    </w:p>
    <w:p w14:paraId="77C0513D">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ascii="宋体" w:hAnsi="宋体" w:eastAsia="宋体" w:cs="宋体"/>
          <w:color w:val="000000"/>
          <w:highlight w:val="none"/>
        </w:rPr>
      </w:pPr>
    </w:p>
    <w:p w14:paraId="28A2EEB9">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400734C6">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41206A44">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7E08E7EC">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22FD2207">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5C7EF343">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36B01A60">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02254F24">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30F4C93A">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5627AB7D">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058B9450">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4AB0D669">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083788F3">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1EC8B59E">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02056A74">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220C742C">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19D49FFD">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4A7AD10E">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3AFD48EA">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20683007">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31F29E3F">
      <w:pPr>
        <w:pStyle w:val="13"/>
        <w:keepNext w:val="0"/>
        <w:keepLines w:val="0"/>
        <w:pageBreakBefore w:val="0"/>
        <w:widowControl w:val="0"/>
        <w:kinsoku/>
        <w:wordWrap w:val="0"/>
        <w:overflowPunct/>
        <w:topLinePunct w:val="0"/>
        <w:bidi w:val="0"/>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057FE733">
      <w:pPr>
        <w:keepNext w:val="0"/>
        <w:keepLines w:val="0"/>
        <w:pageBreakBefore w:val="0"/>
        <w:widowControl w:val="0"/>
        <w:tabs>
          <w:tab w:val="left" w:pos="1331"/>
        </w:tabs>
        <w:kinsoku/>
        <w:wordWrap w:val="0"/>
        <w:overflowPunct/>
        <w:topLinePunct w:val="0"/>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4778C699">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p>
    <w:p w14:paraId="25FFB547">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63180049">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7F1E7E29">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13"/>
        <w:keepNext w:val="0"/>
        <w:keepLines w:val="0"/>
        <w:pageBreakBefore w:val="0"/>
        <w:widowControl w:val="0"/>
        <w:kinsoku/>
        <w:wordWrap w:val="0"/>
        <w:overflowPunct/>
        <w:topLinePunct w:val="0"/>
        <w:bidi w:val="0"/>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3"/>
        <w:keepNext w:val="0"/>
        <w:keepLines w:val="0"/>
        <w:pageBreakBefore w:val="0"/>
        <w:widowControl w:val="0"/>
        <w:kinsoku/>
        <w:wordWrap w:val="0"/>
        <w:overflowPunct/>
        <w:topLinePunct w:val="0"/>
        <w:bidi w:val="0"/>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13"/>
        <w:keepNext w:val="0"/>
        <w:keepLines w:val="0"/>
        <w:pageBreakBefore w:val="0"/>
        <w:widowControl w:val="0"/>
        <w:kinsoku/>
        <w:wordWrap w:val="0"/>
        <w:overflowPunct/>
        <w:topLinePunct w:val="0"/>
        <w:bidi w:val="0"/>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13"/>
        <w:keepNext w:val="0"/>
        <w:keepLines w:val="0"/>
        <w:pageBreakBefore w:val="0"/>
        <w:widowControl w:val="0"/>
        <w:kinsoku/>
        <w:wordWrap w:val="0"/>
        <w:overflowPunct/>
        <w:topLinePunct w:val="0"/>
        <w:bidi w:val="0"/>
        <w:spacing w:beforeAutospacing="0" w:afterAutospacing="0"/>
        <w:ind w:firstLine="480"/>
        <w:jc w:val="both"/>
        <w:rPr>
          <w:highlight w:val="none"/>
        </w:rPr>
      </w:pPr>
      <w:bookmarkStart w:id="187"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87"/>
    </w:p>
    <w:p w14:paraId="363F6DD6">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41791563">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03822A78">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4C7AE4BB">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4F82CDD6">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18734FE7">
      <w:pPr>
        <w:pStyle w:val="13"/>
        <w:keepNext w:val="0"/>
        <w:keepLines w:val="0"/>
        <w:pageBreakBefore w:val="0"/>
        <w:widowControl w:val="0"/>
        <w:kinsoku/>
        <w:wordWrap w:val="0"/>
        <w:overflowPunct/>
        <w:topLinePunct w:val="0"/>
        <w:bidi w:val="0"/>
        <w:spacing w:beforeAutospacing="0" w:afterAutospacing="0"/>
        <w:jc w:val="center"/>
        <w:rPr>
          <w:rFonts w:ascii="黑体" w:hAnsi="宋体" w:eastAsia="黑体" w:cs="黑体"/>
          <w:i/>
          <w:color w:val="000000"/>
          <w:sz w:val="32"/>
          <w:szCs w:val="32"/>
          <w:highlight w:val="none"/>
          <w:u w:val="single"/>
        </w:rPr>
      </w:pPr>
    </w:p>
    <w:p w14:paraId="3819BF7B">
      <w:pPr>
        <w:pStyle w:val="13"/>
        <w:keepNext w:val="0"/>
        <w:keepLines w:val="0"/>
        <w:pageBreakBefore w:val="0"/>
        <w:widowControl w:val="0"/>
        <w:kinsoku/>
        <w:wordWrap w:val="0"/>
        <w:overflowPunct/>
        <w:topLinePunct w:val="0"/>
        <w:bidi w:val="0"/>
        <w:spacing w:beforeAutospacing="0" w:afterAutospacing="0"/>
        <w:jc w:val="center"/>
        <w:rPr>
          <w:rFonts w:ascii="黑体" w:hAnsi="宋体" w:eastAsia="黑体" w:cs="黑体"/>
          <w:i/>
          <w:color w:val="000000"/>
          <w:sz w:val="32"/>
          <w:szCs w:val="32"/>
          <w:highlight w:val="none"/>
          <w:u w:val="single"/>
        </w:rPr>
      </w:pPr>
    </w:p>
    <w:p w14:paraId="24A61D77">
      <w:pPr>
        <w:pStyle w:val="13"/>
        <w:keepNext w:val="0"/>
        <w:keepLines w:val="0"/>
        <w:pageBreakBefore w:val="0"/>
        <w:widowControl w:val="0"/>
        <w:kinsoku/>
        <w:wordWrap w:val="0"/>
        <w:overflowPunct/>
        <w:topLinePunct w:val="0"/>
        <w:bidi w:val="0"/>
        <w:spacing w:beforeAutospacing="0" w:afterAutospacing="0"/>
        <w:jc w:val="center"/>
        <w:rPr>
          <w:rFonts w:ascii="黑体" w:hAnsi="宋体" w:eastAsia="黑体" w:cs="黑体"/>
          <w:i/>
          <w:color w:val="000000"/>
          <w:sz w:val="32"/>
          <w:szCs w:val="32"/>
          <w:highlight w:val="none"/>
          <w:u w:val="single"/>
        </w:rPr>
      </w:pPr>
    </w:p>
    <w:p w14:paraId="4C5DC193">
      <w:pPr>
        <w:pStyle w:val="13"/>
        <w:keepNext w:val="0"/>
        <w:keepLines w:val="0"/>
        <w:pageBreakBefore w:val="0"/>
        <w:widowControl w:val="0"/>
        <w:kinsoku/>
        <w:wordWrap w:val="0"/>
        <w:overflowPunct/>
        <w:topLinePunct w:val="0"/>
        <w:bidi w:val="0"/>
        <w:spacing w:beforeAutospacing="0" w:afterAutospacing="0"/>
        <w:jc w:val="center"/>
        <w:rPr>
          <w:rFonts w:ascii="黑体" w:hAnsi="宋体" w:eastAsia="黑体" w:cs="黑体"/>
          <w:i/>
          <w:color w:val="000000"/>
          <w:sz w:val="32"/>
          <w:szCs w:val="32"/>
          <w:highlight w:val="none"/>
          <w:u w:val="single"/>
        </w:rPr>
      </w:pPr>
    </w:p>
    <w:p w14:paraId="429D58A5">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75371E96">
      <w:pPr>
        <w:pStyle w:val="13"/>
        <w:keepNext w:val="0"/>
        <w:keepLines w:val="0"/>
        <w:pageBreakBefore w:val="0"/>
        <w:widowControl w:val="0"/>
        <w:tabs>
          <w:tab w:val="left" w:pos="360"/>
        </w:tabs>
        <w:kinsoku/>
        <w:wordWrap w:val="0"/>
        <w:overflowPunct/>
        <w:topLinePunct w:val="0"/>
        <w:bidi w:val="0"/>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本授权书声明：____________（投标人名称）授权________________（被授权人的姓名）为我方就JSZC-320922-YCSH-G2026-0004号项目采购活动的合法代理人，以本单位名义全权处理一切与该项目采购有关的事务。</w:t>
      </w:r>
    </w:p>
    <w:p w14:paraId="3AC9EC25">
      <w:pPr>
        <w:pStyle w:val="13"/>
        <w:keepNext w:val="0"/>
        <w:keepLines w:val="0"/>
        <w:pageBreakBefore w:val="0"/>
        <w:widowControl w:val="0"/>
        <w:tabs>
          <w:tab w:val="left" w:pos="360"/>
        </w:tabs>
        <w:kinsoku/>
        <w:wordWrap w:val="0"/>
        <w:overflowPunct/>
        <w:topLinePunct w:val="0"/>
        <w:bidi w:val="0"/>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2DC53DE8">
      <w:pPr>
        <w:pStyle w:val="13"/>
        <w:keepNext w:val="0"/>
        <w:keepLines w:val="0"/>
        <w:pageBreakBefore w:val="0"/>
        <w:widowControl w:val="0"/>
        <w:tabs>
          <w:tab w:val="left" w:pos="360"/>
        </w:tabs>
        <w:kinsoku/>
        <w:wordWrap w:val="0"/>
        <w:overflowPunct/>
        <w:topLinePunct w:val="0"/>
        <w:bidi w:val="0"/>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75D0F0B5">
      <w:pPr>
        <w:pStyle w:val="13"/>
        <w:keepNext w:val="0"/>
        <w:keepLines w:val="0"/>
        <w:pageBreakBefore w:val="0"/>
        <w:widowControl w:val="0"/>
        <w:tabs>
          <w:tab w:val="left" w:pos="360"/>
        </w:tabs>
        <w:kinsoku/>
        <w:wordWrap w:val="0"/>
        <w:overflowPunct/>
        <w:topLinePunct w:val="0"/>
        <w:bidi w:val="0"/>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13"/>
        <w:keepNext w:val="0"/>
        <w:keepLines w:val="0"/>
        <w:pageBreakBefore w:val="0"/>
        <w:widowControl w:val="0"/>
        <w:tabs>
          <w:tab w:val="left" w:pos="360"/>
        </w:tabs>
        <w:kinsoku/>
        <w:wordWrap w:val="0"/>
        <w:overflowPunct/>
        <w:topLinePunct w:val="0"/>
        <w:bidi w:val="0"/>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659A81C5">
      <w:pPr>
        <w:pStyle w:val="13"/>
        <w:keepNext w:val="0"/>
        <w:keepLines w:val="0"/>
        <w:pageBreakBefore w:val="0"/>
        <w:widowControl w:val="0"/>
        <w:tabs>
          <w:tab w:val="left" w:pos="360"/>
        </w:tabs>
        <w:kinsoku/>
        <w:wordWrap w:val="0"/>
        <w:overflowPunct/>
        <w:topLinePunct w:val="0"/>
        <w:bidi w:val="0"/>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747B88F2">
      <w:pPr>
        <w:pStyle w:val="13"/>
        <w:keepNext w:val="0"/>
        <w:keepLines w:val="0"/>
        <w:pageBreakBefore w:val="0"/>
        <w:widowControl w:val="0"/>
        <w:tabs>
          <w:tab w:val="left" w:pos="360"/>
        </w:tabs>
        <w:kinsoku/>
        <w:wordWrap w:val="0"/>
        <w:overflowPunct/>
        <w:topLinePunct w:val="0"/>
        <w:bidi w:val="0"/>
        <w:spacing w:beforeAutospacing="0" w:afterAutospacing="0"/>
        <w:ind w:firstLine="480"/>
        <w:jc w:val="both"/>
        <w:rPr>
          <w:highlight w:val="none"/>
        </w:rPr>
      </w:pPr>
      <w:r>
        <w:rPr>
          <w:rFonts w:ascii="Times New Roman" w:hAnsi="Times New Roman"/>
          <w:color w:val="000000"/>
          <w:highlight w:val="none"/>
        </w:rPr>
        <w:t>      日期：</w:t>
      </w:r>
      <w:bookmarkStart w:id="188" w:name="_Hlt26955070"/>
      <w:bookmarkStart w:id="189" w:name="_Hlt26671380"/>
      <w:bookmarkStart w:id="190" w:name="_格式3__银行出具的资信证明"/>
      <w:r>
        <w:rPr>
          <w:rFonts w:ascii="Times New Roman" w:hAnsi="Times New Roman"/>
          <w:color w:val="000000"/>
          <w:highlight w:val="none"/>
          <w:u w:val="single"/>
        </w:rPr>
        <w:t xml:space="preserve">                                         </w:t>
      </w:r>
    </w:p>
    <w:p w14:paraId="4434C07B">
      <w:pPr>
        <w:pStyle w:val="13"/>
        <w:keepNext w:val="0"/>
        <w:keepLines w:val="0"/>
        <w:pageBreakBefore w:val="0"/>
        <w:widowControl w:val="0"/>
        <w:kinsoku/>
        <w:wordWrap w:val="0"/>
        <w:overflowPunct/>
        <w:topLinePunct w:val="0"/>
        <w:bidi w:val="0"/>
        <w:spacing w:beforeAutospacing="0" w:afterAutospacing="0"/>
        <w:ind w:firstLine="420"/>
        <w:jc w:val="both"/>
        <w:rPr>
          <w:highlight w:val="none"/>
        </w:rPr>
      </w:pPr>
      <w:r>
        <w:rPr>
          <w:highlight w:val="none"/>
        </w:rPr>
        <w:t> </w:t>
      </w:r>
    </w:p>
    <w:p w14:paraId="54380AE8">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4937D57C">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0F02C396">
      <w:pPr>
        <w:pStyle w:val="13"/>
        <w:keepNext w:val="0"/>
        <w:keepLines w:val="0"/>
        <w:pageBreakBefore w:val="0"/>
        <w:widowControl w:val="0"/>
        <w:kinsoku/>
        <w:wordWrap w:val="0"/>
        <w:overflowPunct/>
        <w:topLinePunct w:val="0"/>
        <w:bidi w:val="0"/>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黑体" w:hAnsi="宋体" w:eastAsia="黑体" w:cs="黑体"/>
          <w:b/>
          <w:color w:val="000000"/>
          <w:sz w:val="32"/>
          <w:szCs w:val="32"/>
          <w:highlight w:val="none"/>
        </w:rPr>
        <w:t>八、投标函</w:t>
      </w:r>
    </w:p>
    <w:p w14:paraId="26D1CCB0">
      <w:pPr>
        <w:pStyle w:val="13"/>
        <w:keepNext w:val="0"/>
        <w:keepLines w:val="0"/>
        <w:pageBreakBefore w:val="0"/>
        <w:widowControl w:val="0"/>
        <w:kinsoku/>
        <w:wordWrap w:val="0"/>
        <w:overflowPunct/>
        <w:topLinePunct w:val="0"/>
        <w:bidi w:val="0"/>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FF0000"/>
          <w:highlight w:val="none"/>
          <w:lang w:eastAsia="zh-CN"/>
        </w:rPr>
        <w:t>采购代理机构</w:t>
      </w:r>
    </w:p>
    <w:p w14:paraId="2DE50441">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根据贵方的JSZC-320922-YCSH-G2026-0004号招标文件，正式授权下述签字人______(姓名)代表我方______________（投标人的名称），全权处理本次项目投标的有关事宜。</w:t>
      </w:r>
    </w:p>
    <w:p w14:paraId="64F87FD4">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3"/>
        <w:keepNext w:val="0"/>
        <w:keepLines w:val="0"/>
        <w:pageBreakBefore w:val="0"/>
        <w:widowControl w:val="0"/>
        <w:kinsoku/>
        <w:wordWrap w:val="0"/>
        <w:overflowPunct/>
        <w:topLinePunct w:val="0"/>
        <w:bidi w:val="0"/>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63F512FF">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40615D05">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6828345E">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AB5B37A">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3DA45C60">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19B2C12A">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4B904C99">
      <w:pPr>
        <w:pStyle w:val="13"/>
        <w:keepNext w:val="0"/>
        <w:keepLines w:val="0"/>
        <w:pageBreakBefore w:val="0"/>
        <w:widowControl w:val="0"/>
        <w:kinsoku/>
        <w:wordWrap w:val="0"/>
        <w:overflowPunct/>
        <w:topLinePunct w:val="0"/>
        <w:bidi w:val="0"/>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517D30F4">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r>
        <w:rPr>
          <w:highlight w:val="none"/>
        </w:rPr>
        <w:t> </w:t>
      </w:r>
    </w:p>
    <w:p w14:paraId="7D02EC5F">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r>
        <w:rPr>
          <w:highlight w:val="none"/>
        </w:rPr>
        <w:t> </w:t>
      </w:r>
    </w:p>
    <w:p w14:paraId="526D8B48">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r>
        <w:rPr>
          <w:highlight w:val="none"/>
        </w:rPr>
        <w:t> </w:t>
      </w:r>
    </w:p>
    <w:p w14:paraId="7D664580">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r>
        <w:rPr>
          <w:highlight w:val="none"/>
        </w:rPr>
        <w:t> </w:t>
      </w:r>
    </w:p>
    <w:p w14:paraId="4CB43A27">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r>
        <w:rPr>
          <w:highlight w:val="none"/>
        </w:rPr>
        <w:t> </w:t>
      </w:r>
    </w:p>
    <w:p w14:paraId="009E3C67">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076B6F71">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3827CC3B">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2B728E37">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4A16AAF8">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69A5DCA0">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0F79A881">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15EC5A70">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048221C4">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3802D699">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2B93E367">
      <w:pPr>
        <w:pStyle w:val="13"/>
        <w:keepNext w:val="0"/>
        <w:keepLines w:val="0"/>
        <w:pageBreakBefore w:val="0"/>
        <w:widowControl w:val="0"/>
        <w:kinsoku/>
        <w:wordWrap w:val="0"/>
        <w:overflowPunct/>
        <w:topLinePunct w:val="0"/>
        <w:bidi w:val="0"/>
        <w:spacing w:beforeAutospacing="0" w:afterAutospacing="0" w:line="0" w:lineRule="atLeast"/>
        <w:ind w:firstLine="240"/>
        <w:jc w:val="center"/>
        <w:rPr>
          <w:highlight w:val="none"/>
        </w:rPr>
      </w:pPr>
    </w:p>
    <w:p w14:paraId="757DE68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76E9D5C9">
      <w:pPr>
        <w:pStyle w:val="13"/>
        <w:keepNext w:val="0"/>
        <w:keepLines w:val="0"/>
        <w:pageBreakBefore w:val="0"/>
        <w:widowControl w:val="0"/>
        <w:kinsoku/>
        <w:wordWrap w:val="0"/>
        <w:overflowPunct/>
        <w:topLinePunct w:val="0"/>
        <w:bidi w:val="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keepNext w:val="0"/>
        <w:keepLines w:val="0"/>
        <w:pageBreakBefore w:val="0"/>
        <w:widowControl w:val="0"/>
        <w:kinsoku/>
        <w:wordWrap w:val="0"/>
        <w:overflowPunct/>
        <w:topLinePunct w:val="0"/>
        <w:bidi w:val="0"/>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FF0000"/>
          <w:sz w:val="24"/>
          <w:highlight w:val="none"/>
          <w:lang w:eastAsia="zh-CN"/>
        </w:rPr>
        <w:t>采购代理机构</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keepNext w:val="0"/>
        <w:keepLines w:val="0"/>
        <w:pageBreakBefore w:val="0"/>
        <w:widowControl w:val="0"/>
        <w:numPr>
          <w:ilvl w:val="0"/>
          <w:numId w:val="2"/>
        </w:numPr>
        <w:kinsoku/>
        <w:wordWrap w:val="0"/>
        <w:overflowPunct/>
        <w:topLinePunct w:val="0"/>
        <w:bidi w:val="0"/>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keepNext w:val="0"/>
        <w:keepLines w:val="0"/>
        <w:pageBreakBefore w:val="0"/>
        <w:widowControl w:val="0"/>
        <w:numPr>
          <w:ilvl w:val="0"/>
          <w:numId w:val="2"/>
        </w:numPr>
        <w:kinsoku/>
        <w:wordWrap w:val="0"/>
        <w:overflowPunct/>
        <w:topLinePunct w:val="0"/>
        <w:bidi w:val="0"/>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keepNext w:val="0"/>
        <w:keepLines w:val="0"/>
        <w:pageBreakBefore w:val="0"/>
        <w:widowControl w:val="0"/>
        <w:numPr>
          <w:ilvl w:val="0"/>
          <w:numId w:val="0"/>
        </w:numPr>
        <w:kinsoku/>
        <w:wordWrap w:val="0"/>
        <w:overflowPunct/>
        <w:topLinePunct w:val="0"/>
        <w:bidi w:val="0"/>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keepNext w:val="0"/>
        <w:keepLines w:val="0"/>
        <w:pageBreakBefore w:val="0"/>
        <w:widowControl w:val="0"/>
        <w:numPr>
          <w:ilvl w:val="0"/>
          <w:numId w:val="0"/>
        </w:numPr>
        <w:kinsoku/>
        <w:wordWrap w:val="0"/>
        <w:overflowPunct/>
        <w:topLinePunct w:val="0"/>
        <w:bidi w:val="0"/>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keepNext w:val="0"/>
        <w:keepLines w:val="0"/>
        <w:pageBreakBefore w:val="0"/>
        <w:widowControl w:val="0"/>
        <w:numPr>
          <w:ilvl w:val="0"/>
          <w:numId w:val="0"/>
        </w:numPr>
        <w:kinsoku/>
        <w:wordWrap w:val="0"/>
        <w:overflowPunct/>
        <w:topLinePunct w:val="0"/>
        <w:bidi w:val="0"/>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3"/>
        <w:keepNext w:val="0"/>
        <w:keepLines w:val="0"/>
        <w:pageBreakBefore w:val="0"/>
        <w:widowControl w:val="0"/>
        <w:kinsoku/>
        <w:wordWrap w:val="0"/>
        <w:overflowPunct/>
        <w:topLinePunct w:val="0"/>
        <w:bidi w:val="0"/>
        <w:spacing w:beforeAutospacing="0" w:afterAutospacing="0" w:line="0" w:lineRule="atLeast"/>
        <w:ind w:right="720"/>
        <w:jc w:val="both"/>
        <w:rPr>
          <w:color w:val="auto"/>
          <w:highlight w:val="none"/>
        </w:rPr>
      </w:pPr>
      <w:r>
        <w:rPr>
          <w:color w:val="auto"/>
          <w:highlight w:val="none"/>
        </w:rPr>
        <w:t> </w:t>
      </w:r>
    </w:p>
    <w:p w14:paraId="6CD49601">
      <w:pPr>
        <w:pStyle w:val="13"/>
        <w:keepNext w:val="0"/>
        <w:keepLines w:val="0"/>
        <w:pageBreakBefore w:val="0"/>
        <w:widowControl w:val="0"/>
        <w:kinsoku/>
        <w:wordWrap w:val="0"/>
        <w:overflowPunct/>
        <w:topLinePunct w:val="0"/>
        <w:bidi w:val="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3"/>
        <w:keepNext w:val="0"/>
        <w:keepLines w:val="0"/>
        <w:pageBreakBefore w:val="0"/>
        <w:widowControl w:val="0"/>
        <w:kinsoku/>
        <w:wordWrap w:val="0"/>
        <w:overflowPunct/>
        <w:topLinePunct w:val="0"/>
        <w:bidi w:val="0"/>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3"/>
        <w:keepNext w:val="0"/>
        <w:keepLines w:val="0"/>
        <w:pageBreakBefore w:val="0"/>
        <w:widowControl w:val="0"/>
        <w:kinsoku/>
        <w:wordWrap w:val="0"/>
        <w:overflowPunct/>
        <w:topLinePunct w:val="0"/>
        <w:bidi w:val="0"/>
        <w:spacing w:beforeAutospacing="0" w:afterAutospacing="0" w:line="0" w:lineRule="atLeast"/>
        <w:ind w:firstLine="240"/>
        <w:jc w:val="both"/>
        <w:rPr>
          <w:color w:val="auto"/>
          <w:highlight w:val="none"/>
        </w:rPr>
      </w:pPr>
      <w:r>
        <w:rPr>
          <w:color w:val="auto"/>
          <w:highlight w:val="none"/>
        </w:rPr>
        <w:t> </w:t>
      </w:r>
    </w:p>
    <w:p w14:paraId="5FD8B9FE">
      <w:pPr>
        <w:pStyle w:val="13"/>
        <w:keepNext w:val="0"/>
        <w:keepLines w:val="0"/>
        <w:pageBreakBefore w:val="0"/>
        <w:widowControl w:val="0"/>
        <w:kinsoku/>
        <w:wordWrap w:val="0"/>
        <w:overflowPunct/>
        <w:topLinePunct w:val="0"/>
        <w:bidi w:val="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3"/>
        <w:keepNext w:val="0"/>
        <w:keepLines w:val="0"/>
        <w:pageBreakBefore w:val="0"/>
        <w:widowControl w:val="0"/>
        <w:kinsoku/>
        <w:wordWrap w:val="0"/>
        <w:overflowPunct/>
        <w:topLinePunct w:val="0"/>
        <w:bidi w:val="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w:t>
      </w:r>
    </w:p>
    <w:p w14:paraId="40AD2CD4">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项目采购活动由本单位提供服务。</w:t>
      </w:r>
    </w:p>
    <w:p w14:paraId="7214428A">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highlight w:val="none"/>
        </w:rPr>
        <w:t> </w:t>
      </w:r>
    </w:p>
    <w:p w14:paraId="2FAF371E">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3"/>
        <w:keepNext w:val="0"/>
        <w:keepLines w:val="0"/>
        <w:pageBreakBefore w:val="0"/>
        <w:widowControl w:val="0"/>
        <w:kinsoku/>
        <w:wordWrap w:val="0"/>
        <w:overflowPunct/>
        <w:topLinePunct w:val="0"/>
        <w:bidi w:val="0"/>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3"/>
        <w:keepNext w:val="0"/>
        <w:keepLines w:val="0"/>
        <w:pageBreakBefore w:val="0"/>
        <w:widowControl w:val="0"/>
        <w:kinsoku/>
        <w:wordWrap w:val="0"/>
        <w:overflowPunct/>
        <w:topLinePunct w:val="0"/>
        <w:bidi w:val="0"/>
        <w:spacing w:beforeAutospacing="0" w:afterAutospacing="0" w:line="0" w:lineRule="atLeast"/>
        <w:ind w:firstLine="624"/>
        <w:jc w:val="both"/>
        <w:rPr>
          <w:highlight w:val="none"/>
        </w:rPr>
      </w:pPr>
      <w:r>
        <w:rPr>
          <w:highlight w:val="none"/>
        </w:rPr>
        <w:t> </w:t>
      </w:r>
    </w:p>
    <w:p w14:paraId="554C9551">
      <w:pPr>
        <w:pStyle w:val="13"/>
        <w:keepNext w:val="0"/>
        <w:keepLines w:val="0"/>
        <w:pageBreakBefore w:val="0"/>
        <w:widowControl w:val="0"/>
        <w:kinsoku/>
        <w:wordWrap w:val="0"/>
        <w:overflowPunct/>
        <w:topLinePunct w:val="0"/>
        <w:bidi w:val="0"/>
        <w:spacing w:beforeAutospacing="0" w:afterAutospacing="0" w:line="0" w:lineRule="atLeast"/>
        <w:ind w:firstLine="624"/>
        <w:jc w:val="both"/>
        <w:rPr>
          <w:highlight w:val="none"/>
        </w:rPr>
      </w:pPr>
    </w:p>
    <w:p w14:paraId="60A470B7">
      <w:pPr>
        <w:pStyle w:val="13"/>
        <w:keepNext w:val="0"/>
        <w:keepLines w:val="0"/>
        <w:pageBreakBefore w:val="0"/>
        <w:widowControl w:val="0"/>
        <w:kinsoku/>
        <w:wordWrap w:val="0"/>
        <w:overflowPunct/>
        <w:topLinePunct w:val="0"/>
        <w:bidi w:val="0"/>
        <w:spacing w:beforeAutospacing="0" w:afterAutospacing="0" w:line="0" w:lineRule="atLeast"/>
        <w:ind w:firstLine="624"/>
        <w:jc w:val="both"/>
        <w:rPr>
          <w:highlight w:val="none"/>
        </w:rPr>
      </w:pPr>
    </w:p>
    <w:p w14:paraId="0A80BD48">
      <w:pPr>
        <w:pStyle w:val="13"/>
        <w:keepNext w:val="0"/>
        <w:keepLines w:val="0"/>
        <w:pageBreakBefore w:val="0"/>
        <w:widowControl w:val="0"/>
        <w:tabs>
          <w:tab w:val="left" w:pos="4864"/>
        </w:tabs>
        <w:kinsoku/>
        <w:wordWrap w:val="0"/>
        <w:overflowPunct/>
        <w:topLinePunct w:val="0"/>
        <w:bidi w:val="0"/>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26FB6E74">
      <w:pPr>
        <w:pStyle w:val="13"/>
        <w:keepNext w:val="0"/>
        <w:keepLines w:val="0"/>
        <w:pageBreakBefore w:val="0"/>
        <w:widowControl w:val="0"/>
        <w:tabs>
          <w:tab w:val="left" w:pos="4864"/>
        </w:tabs>
        <w:kinsoku/>
        <w:wordWrap w:val="0"/>
        <w:overflowPunct/>
        <w:topLinePunct w:val="0"/>
        <w:bidi w:val="0"/>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2B15E9CD">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5B4F30B6">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0BFA54F0">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23548FC4">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7CC18ADA">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3620AEDE">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45D5FEAA">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02551D98">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2E201E66">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26480510">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040A5ABB">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0E4F8989">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33B3D7CE">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47822C90">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09A3985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7FD1136E">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5BEB727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033ACD42">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0E7A7A07">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290ED4BC">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2DE28D4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4C188FB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44A213E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3B49ABBC">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6B3C584E">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61D08AC6">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0251136B">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2F312E3D">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4255723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588DC660">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p w14:paraId="776905E6">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0" w:beforeAutospacing="0" w:after="0" w:afterAutospacing="0"/>
        <w:ind w:left="0" w:right="0"/>
        <w:jc w:val="center"/>
      </w:pPr>
      <w:r>
        <w:rPr>
          <w:rFonts w:ascii="黑体" w:hAnsi="宋体" w:eastAsia="黑体" w:cs="黑体"/>
          <w:b/>
          <w:bCs/>
          <w:color w:val="FF0000"/>
          <w:sz w:val="32"/>
          <w:szCs w:val="32"/>
        </w:rPr>
        <w:t>十一、 关于符合本国产品标准的声明函</w:t>
      </w:r>
    </w:p>
    <w:p w14:paraId="3D48EB6C">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0" w:beforeAutospacing="0" w:after="0" w:afterAutospacing="0"/>
        <w:ind w:left="0" w:firstLine="420"/>
        <w:jc w:val="both"/>
        <w:rPr>
          <w:highlight w:val="cyan"/>
        </w:rPr>
      </w:pPr>
      <w:r>
        <w:rPr>
          <w:rFonts w:ascii="Arial" w:hAnsi="Arial" w:cs="Arial"/>
          <w:color w:val="FF0000"/>
          <w:sz w:val="24"/>
          <w:szCs w:val="24"/>
          <w:highlight w:val="cyan"/>
        </w:rPr>
        <w:t> </w:t>
      </w:r>
    </w:p>
    <w:p w14:paraId="311B4E85">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0" w:beforeAutospacing="0" w:after="0" w:afterAutospacing="0"/>
        <w:ind w:left="0" w:firstLine="420"/>
        <w:jc w:val="both"/>
        <w:rPr>
          <w:b/>
          <w:bCs/>
          <w:highlight w:val="cyan"/>
        </w:rPr>
      </w:pPr>
      <w:r>
        <w:rPr>
          <w:rFonts w:ascii="宋体" w:hAnsi="宋体" w:eastAsia="宋体" w:cs="宋体"/>
          <w:b/>
          <w:bCs/>
          <w:color w:val="FF0000"/>
          <w:sz w:val="24"/>
          <w:szCs w:val="24"/>
          <w:highlight w:val="cyan"/>
        </w:rPr>
        <w:t>本公司（单位）郑重声明，根据《国务院办公厅关于在政府采购中实施本国产品标准及相关政策的通知》（国办发〔2025〕34号）的规定，本公司（单位）提供的以下产品属于本国产品。具体情况如下：</w:t>
      </w:r>
    </w:p>
    <w:p w14:paraId="5A8AFE73">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ind w:left="0" w:firstLine="420"/>
        <w:jc w:val="both"/>
        <w:rPr>
          <w:b/>
          <w:bCs/>
          <w:highlight w:val="cyan"/>
        </w:rPr>
      </w:pPr>
      <w:r>
        <w:rPr>
          <w:rFonts w:ascii="宋体" w:hAnsi="宋体" w:eastAsia="宋体" w:cs="宋体"/>
          <w:b/>
          <w:bCs/>
          <w:color w:val="FF0000"/>
          <w:sz w:val="24"/>
          <w:szCs w:val="24"/>
          <w:highlight w:val="cyan"/>
          <w:shd w:val="clear" w:fill="FFFFFF"/>
        </w:rPr>
        <w:t>1.</w:t>
      </w:r>
      <w:r>
        <w:rPr>
          <w:rFonts w:ascii="宋体" w:hAnsi="宋体" w:eastAsia="宋体" w:cs="宋体"/>
          <w:b/>
          <w:bCs/>
          <w:color w:val="FF0000"/>
          <w:sz w:val="24"/>
          <w:szCs w:val="24"/>
          <w:highlight w:val="cyan"/>
          <w:u w:val="single"/>
          <w:shd w:val="clear" w:fill="FFFFFF"/>
        </w:rPr>
        <w:t>（产品名称1）</w:t>
      </w:r>
      <w:r>
        <w:rPr>
          <w:rFonts w:ascii="宋体" w:hAnsi="宋体" w:eastAsia="宋体" w:cs="宋体"/>
          <w:b/>
          <w:bCs/>
          <w:color w:val="FF0000"/>
          <w:sz w:val="24"/>
          <w:szCs w:val="24"/>
          <w:highlight w:val="cyan"/>
          <w:shd w:val="clear" w:fill="FFFFFF"/>
          <w:vertAlign w:val="superscript"/>
        </w:rPr>
        <w:t>1</w:t>
      </w:r>
      <w:r>
        <w:rPr>
          <w:rFonts w:ascii="宋体" w:hAnsi="宋体" w:eastAsia="宋体" w:cs="宋体"/>
          <w:b/>
          <w:bCs/>
          <w:color w:val="FF0000"/>
          <w:sz w:val="24"/>
          <w:szCs w:val="24"/>
          <w:highlight w:val="cyan"/>
          <w:shd w:val="clear" w:fill="FFFFFF"/>
        </w:rPr>
        <w:t>，生产厂为</w:t>
      </w:r>
      <w:r>
        <w:rPr>
          <w:rFonts w:ascii="宋体" w:hAnsi="宋体" w:eastAsia="宋体" w:cs="宋体"/>
          <w:b/>
          <w:bCs/>
          <w:color w:val="FF0000"/>
          <w:sz w:val="24"/>
          <w:szCs w:val="24"/>
          <w:highlight w:val="cyan"/>
          <w:u w:val="single"/>
          <w:shd w:val="clear" w:fill="FFFFFF"/>
        </w:rPr>
        <w:t>（厂名）</w:t>
      </w:r>
      <w:r>
        <w:rPr>
          <w:rFonts w:ascii="宋体" w:hAnsi="宋体" w:eastAsia="宋体" w:cs="宋体"/>
          <w:b/>
          <w:bCs/>
          <w:color w:val="FF0000"/>
          <w:sz w:val="24"/>
          <w:szCs w:val="24"/>
          <w:highlight w:val="cyan"/>
          <w:shd w:val="clear" w:fill="FFFFFF"/>
          <w:vertAlign w:val="superscript"/>
        </w:rPr>
        <w:t>2</w:t>
      </w:r>
      <w:r>
        <w:rPr>
          <w:rFonts w:ascii="宋体" w:hAnsi="宋体" w:eastAsia="宋体" w:cs="宋体"/>
          <w:b/>
          <w:bCs/>
          <w:color w:val="FF0000"/>
          <w:sz w:val="24"/>
          <w:szCs w:val="24"/>
          <w:highlight w:val="cyan"/>
          <w:shd w:val="clear" w:fill="FFFFFF"/>
        </w:rPr>
        <w:t>，厂址为</w:t>
      </w:r>
      <w:r>
        <w:rPr>
          <w:rFonts w:ascii="宋体" w:hAnsi="宋体" w:eastAsia="宋体" w:cs="宋体"/>
          <w:b/>
          <w:bCs/>
          <w:color w:val="FF0000"/>
          <w:sz w:val="24"/>
          <w:szCs w:val="24"/>
          <w:highlight w:val="cyan"/>
          <w:u w:val="single"/>
          <w:shd w:val="clear" w:fill="FFFFFF"/>
        </w:rPr>
        <w:t>（生产厂址）</w:t>
      </w:r>
      <w:r>
        <w:rPr>
          <w:rFonts w:ascii="宋体" w:hAnsi="宋体" w:eastAsia="宋体" w:cs="宋体"/>
          <w:b/>
          <w:bCs/>
          <w:color w:val="FF0000"/>
          <w:sz w:val="24"/>
          <w:szCs w:val="24"/>
          <w:highlight w:val="cyan"/>
          <w:shd w:val="clear" w:fill="FFFFFF"/>
        </w:rPr>
        <w:t>。</w:t>
      </w:r>
      <w:r>
        <w:rPr>
          <w:rFonts w:ascii="宋体" w:hAnsi="宋体" w:eastAsia="宋体" w:cs="宋体"/>
          <w:b/>
          <w:bCs/>
          <w:strike/>
          <w:dstrike w:val="0"/>
          <w:color w:val="FF0000"/>
          <w:sz w:val="24"/>
          <w:szCs w:val="24"/>
          <w:highlight w:val="cyan"/>
          <w:u w:val="single"/>
          <w:shd w:val="clear" w:fill="FFFFFF"/>
        </w:rPr>
        <w:t> （产品名称1）</w:t>
      </w:r>
      <w:r>
        <w:rPr>
          <w:rFonts w:ascii="宋体" w:hAnsi="宋体" w:eastAsia="宋体" w:cs="宋体"/>
          <w:b/>
          <w:bCs/>
          <w:color w:val="FF0000"/>
          <w:sz w:val="24"/>
          <w:szCs w:val="24"/>
          <w:highlight w:val="cyan"/>
          <w:u w:val="single"/>
          <w:shd w:val="clear" w:fill="FFFFFF"/>
        </w:rPr>
        <w:t> </w:t>
      </w:r>
      <w:r>
        <w:rPr>
          <w:rFonts w:ascii="宋体" w:hAnsi="宋体" w:eastAsia="宋体" w:cs="宋体"/>
          <w:b/>
          <w:bCs/>
          <w:color w:val="FF0000"/>
          <w:sz w:val="24"/>
          <w:szCs w:val="24"/>
          <w:highlight w:val="cyan"/>
          <w:shd w:val="clear" w:fill="FFFFFF"/>
        </w:rPr>
        <w:t>的中国境内生产的组件成本占比≥</w:t>
      </w:r>
      <w:r>
        <w:rPr>
          <w:rFonts w:ascii="宋体" w:hAnsi="宋体" w:eastAsia="宋体" w:cs="宋体"/>
          <w:b/>
          <w:bCs/>
          <w:strike/>
          <w:dstrike w:val="0"/>
          <w:color w:val="FF0000"/>
          <w:sz w:val="24"/>
          <w:szCs w:val="24"/>
          <w:highlight w:val="cyan"/>
          <w:u w:val="single"/>
          <w:shd w:val="clear" w:fill="FFFFFF"/>
        </w:rPr>
        <w:t>（规定比例）</w:t>
      </w:r>
      <w:r>
        <w:rPr>
          <w:rFonts w:ascii="宋体" w:hAnsi="宋体" w:eastAsia="宋体" w:cs="宋体"/>
          <w:b/>
          <w:bCs/>
          <w:strike/>
          <w:dstrike w:val="0"/>
          <w:color w:val="FF0000"/>
          <w:sz w:val="24"/>
          <w:szCs w:val="24"/>
          <w:highlight w:val="cyan"/>
          <w:shd w:val="clear" w:fill="FFFFFF"/>
          <w:vertAlign w:val="superscript"/>
        </w:rPr>
        <w:t>3</w:t>
      </w:r>
      <w:r>
        <w:rPr>
          <w:rFonts w:ascii="宋体" w:hAnsi="宋体" w:eastAsia="宋体" w:cs="宋体"/>
          <w:b/>
          <w:bCs/>
          <w:color w:val="FF0000"/>
          <w:sz w:val="24"/>
          <w:szCs w:val="24"/>
          <w:highlight w:val="cyan"/>
          <w:shd w:val="clear" w:fill="FFFFFF"/>
        </w:rPr>
        <w:t>。</w:t>
      </w:r>
      <w:r>
        <w:rPr>
          <w:rFonts w:ascii="宋体" w:hAnsi="宋体" w:eastAsia="宋体" w:cs="宋体"/>
          <w:b/>
          <w:bCs/>
          <w:strike/>
          <w:dstrike w:val="0"/>
          <w:color w:val="FF0000"/>
          <w:sz w:val="24"/>
          <w:szCs w:val="24"/>
          <w:highlight w:val="cyan"/>
          <w:u w:val="single"/>
          <w:shd w:val="clear" w:fill="FFFFFF"/>
        </w:rPr>
        <w:t>（产品名称1）</w:t>
      </w:r>
      <w:r>
        <w:rPr>
          <w:rFonts w:ascii="宋体" w:hAnsi="宋体" w:eastAsia="宋体" w:cs="宋体"/>
          <w:b/>
          <w:bCs/>
          <w:color w:val="FF0000"/>
          <w:sz w:val="24"/>
          <w:szCs w:val="24"/>
          <w:highlight w:val="cyan"/>
          <w:shd w:val="clear" w:fill="FFFFFF"/>
        </w:rPr>
        <w:t>的</w:t>
      </w:r>
      <w:r>
        <w:rPr>
          <w:rFonts w:ascii="宋体" w:hAnsi="宋体" w:eastAsia="宋体" w:cs="宋体"/>
          <w:b/>
          <w:bCs/>
          <w:strike/>
          <w:dstrike w:val="0"/>
          <w:color w:val="FF0000"/>
          <w:sz w:val="24"/>
          <w:szCs w:val="24"/>
          <w:highlight w:val="cyan"/>
          <w:u w:val="single"/>
          <w:shd w:val="clear" w:fill="FFFFFF"/>
        </w:rPr>
        <w:t>（关键组件）</w:t>
      </w:r>
      <w:r>
        <w:rPr>
          <w:rFonts w:ascii="宋体" w:hAnsi="宋体" w:eastAsia="宋体" w:cs="宋体"/>
          <w:b/>
          <w:bCs/>
          <w:strike/>
          <w:dstrike w:val="0"/>
          <w:color w:val="FF0000"/>
          <w:sz w:val="24"/>
          <w:szCs w:val="24"/>
          <w:highlight w:val="cyan"/>
          <w:shd w:val="clear" w:fill="FFFFFF"/>
          <w:vertAlign w:val="superscript"/>
        </w:rPr>
        <w:t>4</w:t>
      </w:r>
      <w:r>
        <w:rPr>
          <w:rFonts w:ascii="宋体" w:hAnsi="宋体" w:eastAsia="宋体" w:cs="宋体"/>
          <w:b/>
          <w:bCs/>
          <w:color w:val="FF0000"/>
          <w:sz w:val="24"/>
          <w:szCs w:val="24"/>
          <w:highlight w:val="cyan"/>
          <w:shd w:val="clear" w:fill="FFFFFF"/>
        </w:rPr>
        <w:t>在中国境内生产。</w:t>
      </w:r>
      <w:r>
        <w:rPr>
          <w:rFonts w:ascii="宋体" w:hAnsi="宋体" w:eastAsia="宋体" w:cs="宋体"/>
          <w:b/>
          <w:bCs/>
          <w:strike/>
          <w:dstrike w:val="0"/>
          <w:color w:val="FF0000"/>
          <w:sz w:val="24"/>
          <w:szCs w:val="24"/>
          <w:highlight w:val="cyan"/>
          <w:u w:val="single"/>
          <w:shd w:val="clear" w:fill="FFFFFF"/>
        </w:rPr>
        <w:t>（产品名称1）</w:t>
      </w:r>
      <w:r>
        <w:rPr>
          <w:rFonts w:ascii="宋体" w:hAnsi="宋体" w:eastAsia="宋体" w:cs="宋体"/>
          <w:b/>
          <w:bCs/>
          <w:color w:val="FF0000"/>
          <w:sz w:val="24"/>
          <w:szCs w:val="24"/>
          <w:highlight w:val="cyan"/>
          <w:shd w:val="clear" w:fill="FFFFFF"/>
        </w:rPr>
        <w:t>的</w:t>
      </w:r>
      <w:r>
        <w:rPr>
          <w:rFonts w:ascii="宋体" w:hAnsi="宋体" w:eastAsia="宋体" w:cs="宋体"/>
          <w:b/>
          <w:bCs/>
          <w:strike/>
          <w:dstrike w:val="0"/>
          <w:color w:val="FF0000"/>
          <w:sz w:val="24"/>
          <w:szCs w:val="24"/>
          <w:highlight w:val="cyan"/>
          <w:u w:val="single"/>
          <w:shd w:val="clear" w:fill="FFFFFF"/>
        </w:rPr>
        <w:t>（关键工序）</w:t>
      </w:r>
      <w:r>
        <w:rPr>
          <w:rFonts w:ascii="宋体" w:hAnsi="宋体" w:eastAsia="宋体" w:cs="宋体"/>
          <w:b/>
          <w:bCs/>
          <w:strike/>
          <w:dstrike w:val="0"/>
          <w:color w:val="FF0000"/>
          <w:sz w:val="24"/>
          <w:szCs w:val="24"/>
          <w:highlight w:val="cyan"/>
          <w:shd w:val="clear" w:fill="FFFFFF"/>
          <w:vertAlign w:val="superscript"/>
        </w:rPr>
        <w:t>5</w:t>
      </w:r>
      <w:r>
        <w:rPr>
          <w:rFonts w:ascii="宋体" w:hAnsi="宋体" w:eastAsia="宋体" w:cs="宋体"/>
          <w:b/>
          <w:bCs/>
          <w:color w:val="FF0000"/>
          <w:sz w:val="24"/>
          <w:szCs w:val="24"/>
          <w:highlight w:val="cyan"/>
          <w:shd w:val="clear" w:fill="FFFFFF"/>
        </w:rPr>
        <w:t>在中国境内完成。</w:t>
      </w:r>
    </w:p>
    <w:p w14:paraId="20758D95">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ind w:left="0" w:firstLine="420"/>
        <w:jc w:val="both"/>
        <w:rPr>
          <w:b/>
          <w:bCs/>
          <w:highlight w:val="cyan"/>
        </w:rPr>
      </w:pPr>
      <w:r>
        <w:rPr>
          <w:rFonts w:ascii="宋体" w:hAnsi="宋体" w:eastAsia="宋体" w:cs="宋体"/>
          <w:b/>
          <w:bCs/>
          <w:color w:val="FF0000"/>
          <w:sz w:val="24"/>
          <w:szCs w:val="24"/>
          <w:highlight w:val="cyan"/>
          <w:shd w:val="clear" w:fill="FFFFFF"/>
        </w:rPr>
        <w:t>2.</w:t>
      </w:r>
      <w:r>
        <w:rPr>
          <w:rFonts w:ascii="宋体" w:hAnsi="宋体" w:eastAsia="宋体" w:cs="宋体"/>
          <w:b/>
          <w:bCs/>
          <w:color w:val="FF0000"/>
          <w:sz w:val="24"/>
          <w:szCs w:val="24"/>
          <w:highlight w:val="cyan"/>
          <w:u w:val="single"/>
          <w:shd w:val="clear" w:fill="FFFFFF"/>
        </w:rPr>
        <w:t>（产品名称2）</w:t>
      </w:r>
      <w:r>
        <w:rPr>
          <w:rFonts w:ascii="宋体" w:hAnsi="宋体" w:eastAsia="宋体" w:cs="宋体"/>
          <w:b/>
          <w:bCs/>
          <w:color w:val="FF0000"/>
          <w:sz w:val="24"/>
          <w:szCs w:val="24"/>
          <w:highlight w:val="cyan"/>
          <w:shd w:val="clear" w:fill="FFFFFF"/>
        </w:rPr>
        <w:t>，生产厂为</w:t>
      </w:r>
      <w:r>
        <w:rPr>
          <w:rFonts w:ascii="宋体" w:hAnsi="宋体" w:eastAsia="宋体" w:cs="宋体"/>
          <w:b/>
          <w:bCs/>
          <w:color w:val="FF0000"/>
          <w:sz w:val="24"/>
          <w:szCs w:val="24"/>
          <w:highlight w:val="cyan"/>
          <w:u w:val="single"/>
          <w:shd w:val="clear" w:fill="FFFFFF"/>
        </w:rPr>
        <w:t>（厂名）</w:t>
      </w:r>
      <w:r>
        <w:rPr>
          <w:rFonts w:ascii="宋体" w:hAnsi="宋体" w:eastAsia="宋体" w:cs="宋体"/>
          <w:b/>
          <w:bCs/>
          <w:color w:val="FF0000"/>
          <w:sz w:val="24"/>
          <w:szCs w:val="24"/>
          <w:highlight w:val="cyan"/>
          <w:shd w:val="clear" w:fill="FFFFFF"/>
        </w:rPr>
        <w:t>，厂址为</w:t>
      </w:r>
      <w:r>
        <w:rPr>
          <w:rFonts w:ascii="宋体" w:hAnsi="宋体" w:eastAsia="宋体" w:cs="宋体"/>
          <w:b/>
          <w:bCs/>
          <w:color w:val="FF0000"/>
          <w:sz w:val="24"/>
          <w:szCs w:val="24"/>
          <w:highlight w:val="cyan"/>
          <w:u w:val="single"/>
          <w:shd w:val="clear" w:fill="FFFFFF"/>
        </w:rPr>
        <w:t>（生产厂址）</w:t>
      </w:r>
      <w:r>
        <w:rPr>
          <w:rFonts w:ascii="宋体" w:hAnsi="宋体" w:eastAsia="宋体" w:cs="宋体"/>
          <w:b/>
          <w:bCs/>
          <w:color w:val="FF0000"/>
          <w:sz w:val="24"/>
          <w:szCs w:val="24"/>
          <w:highlight w:val="cyan"/>
          <w:shd w:val="clear" w:fill="FFFFFF"/>
        </w:rPr>
        <w:t>。</w:t>
      </w:r>
      <w:r>
        <w:rPr>
          <w:rFonts w:ascii="宋体" w:hAnsi="宋体" w:eastAsia="宋体" w:cs="宋体"/>
          <w:b/>
          <w:bCs/>
          <w:strike/>
          <w:dstrike w:val="0"/>
          <w:color w:val="FF0000"/>
          <w:sz w:val="24"/>
          <w:szCs w:val="24"/>
          <w:highlight w:val="cyan"/>
          <w:u w:val="single"/>
          <w:shd w:val="clear" w:fill="FFFFFF"/>
        </w:rPr>
        <w:t>（产品名称2）</w:t>
      </w:r>
      <w:r>
        <w:rPr>
          <w:rFonts w:ascii="宋体" w:hAnsi="宋体" w:eastAsia="宋体" w:cs="宋体"/>
          <w:b/>
          <w:bCs/>
          <w:color w:val="FF0000"/>
          <w:sz w:val="24"/>
          <w:szCs w:val="24"/>
          <w:highlight w:val="cyan"/>
          <w:shd w:val="clear" w:fill="FFFFFF"/>
        </w:rPr>
        <w:t>的中国境内生产的组件成本占比≥</w:t>
      </w:r>
      <w:r>
        <w:rPr>
          <w:rFonts w:ascii="宋体" w:hAnsi="宋体" w:eastAsia="宋体" w:cs="宋体"/>
          <w:b/>
          <w:bCs/>
          <w:strike/>
          <w:dstrike w:val="0"/>
          <w:color w:val="FF0000"/>
          <w:sz w:val="24"/>
          <w:szCs w:val="24"/>
          <w:highlight w:val="cyan"/>
          <w:u w:val="single"/>
          <w:shd w:val="clear" w:fill="FFFFFF"/>
        </w:rPr>
        <w:t>（规定比例）</w:t>
      </w:r>
      <w:r>
        <w:rPr>
          <w:rFonts w:ascii="宋体" w:hAnsi="宋体" w:eastAsia="宋体" w:cs="宋体"/>
          <w:b/>
          <w:bCs/>
          <w:color w:val="FF0000"/>
          <w:sz w:val="24"/>
          <w:szCs w:val="24"/>
          <w:highlight w:val="cyan"/>
          <w:shd w:val="clear" w:fill="FFFFFF"/>
        </w:rPr>
        <w:t>。</w:t>
      </w:r>
      <w:r>
        <w:rPr>
          <w:rFonts w:ascii="宋体" w:hAnsi="宋体" w:eastAsia="宋体" w:cs="宋体"/>
          <w:b/>
          <w:bCs/>
          <w:strike/>
          <w:dstrike w:val="0"/>
          <w:color w:val="FF0000"/>
          <w:sz w:val="24"/>
          <w:szCs w:val="24"/>
          <w:highlight w:val="cyan"/>
          <w:u w:val="single"/>
          <w:shd w:val="clear" w:fill="FFFFFF"/>
        </w:rPr>
        <w:t>（产品名称2）</w:t>
      </w:r>
      <w:r>
        <w:rPr>
          <w:rFonts w:ascii="宋体" w:hAnsi="宋体" w:eastAsia="宋体" w:cs="宋体"/>
          <w:b/>
          <w:bCs/>
          <w:color w:val="FF0000"/>
          <w:sz w:val="24"/>
          <w:szCs w:val="24"/>
          <w:highlight w:val="cyan"/>
          <w:shd w:val="clear" w:fill="FFFFFF"/>
        </w:rPr>
        <w:t>的</w:t>
      </w:r>
      <w:r>
        <w:rPr>
          <w:rFonts w:ascii="宋体" w:hAnsi="宋体" w:eastAsia="宋体" w:cs="宋体"/>
          <w:b/>
          <w:bCs/>
          <w:strike/>
          <w:dstrike w:val="0"/>
          <w:color w:val="FF0000"/>
          <w:sz w:val="24"/>
          <w:szCs w:val="24"/>
          <w:highlight w:val="cyan"/>
          <w:u w:val="single"/>
          <w:shd w:val="clear" w:fill="FFFFFF"/>
        </w:rPr>
        <w:t>（关键组件）</w:t>
      </w:r>
      <w:r>
        <w:rPr>
          <w:rFonts w:ascii="宋体" w:hAnsi="宋体" w:eastAsia="宋体" w:cs="宋体"/>
          <w:b/>
          <w:bCs/>
          <w:color w:val="FF0000"/>
          <w:sz w:val="24"/>
          <w:szCs w:val="24"/>
          <w:highlight w:val="cyan"/>
          <w:shd w:val="clear" w:fill="FFFFFF"/>
        </w:rPr>
        <w:t>在中国境内生产。</w:t>
      </w:r>
      <w:r>
        <w:rPr>
          <w:rFonts w:ascii="宋体" w:hAnsi="宋体" w:eastAsia="宋体" w:cs="宋体"/>
          <w:b/>
          <w:bCs/>
          <w:strike/>
          <w:dstrike w:val="0"/>
          <w:color w:val="FF0000"/>
          <w:sz w:val="24"/>
          <w:szCs w:val="24"/>
          <w:highlight w:val="cyan"/>
          <w:u w:val="single"/>
          <w:shd w:val="clear" w:fill="FFFFFF"/>
        </w:rPr>
        <w:t>（产品名称1）</w:t>
      </w:r>
      <w:r>
        <w:rPr>
          <w:rFonts w:ascii="宋体" w:hAnsi="宋体" w:eastAsia="宋体" w:cs="宋体"/>
          <w:b/>
          <w:bCs/>
          <w:color w:val="FF0000"/>
          <w:sz w:val="24"/>
          <w:szCs w:val="24"/>
          <w:highlight w:val="cyan"/>
          <w:shd w:val="clear" w:fill="FFFFFF"/>
        </w:rPr>
        <w:t>的</w:t>
      </w:r>
      <w:r>
        <w:rPr>
          <w:rFonts w:ascii="宋体" w:hAnsi="宋体" w:eastAsia="宋体" w:cs="宋体"/>
          <w:b/>
          <w:bCs/>
          <w:strike/>
          <w:dstrike w:val="0"/>
          <w:color w:val="FF0000"/>
          <w:sz w:val="24"/>
          <w:szCs w:val="24"/>
          <w:highlight w:val="cyan"/>
          <w:u w:val="single"/>
          <w:shd w:val="clear" w:fill="FFFFFF"/>
        </w:rPr>
        <w:t>（关键工序）</w:t>
      </w:r>
      <w:r>
        <w:rPr>
          <w:rFonts w:ascii="宋体" w:hAnsi="宋体" w:eastAsia="宋体" w:cs="宋体"/>
          <w:b/>
          <w:bCs/>
          <w:color w:val="FF0000"/>
          <w:sz w:val="24"/>
          <w:szCs w:val="24"/>
          <w:highlight w:val="cyan"/>
          <w:shd w:val="clear" w:fill="FFFFFF"/>
        </w:rPr>
        <w:t>在中国境内完成。</w:t>
      </w:r>
    </w:p>
    <w:p w14:paraId="519DADE7">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ind w:left="0" w:firstLine="420"/>
        <w:jc w:val="both"/>
        <w:rPr>
          <w:b/>
          <w:bCs/>
          <w:highlight w:val="cyan"/>
        </w:rPr>
      </w:pPr>
      <w:r>
        <w:rPr>
          <w:rFonts w:ascii="宋体" w:hAnsi="宋体" w:eastAsia="宋体" w:cs="宋体"/>
          <w:b/>
          <w:bCs/>
          <w:color w:val="FF0000"/>
          <w:sz w:val="24"/>
          <w:szCs w:val="24"/>
          <w:highlight w:val="cyan"/>
          <w:shd w:val="clear" w:fill="FFFFFF"/>
        </w:rPr>
        <w:t>……</w:t>
      </w:r>
    </w:p>
    <w:p w14:paraId="2898E24F">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ind w:left="0" w:firstLine="420"/>
        <w:jc w:val="both"/>
        <w:rPr>
          <w:b/>
          <w:bCs/>
          <w:highlight w:val="cyan"/>
        </w:rPr>
      </w:pPr>
      <w:r>
        <w:rPr>
          <w:rFonts w:ascii="宋体" w:hAnsi="宋体" w:eastAsia="宋体" w:cs="宋体"/>
          <w:b/>
          <w:bCs/>
          <w:color w:val="FF0000"/>
          <w:sz w:val="24"/>
          <w:szCs w:val="24"/>
          <w:highlight w:val="cyan"/>
          <w:shd w:val="clear" w:fill="FFFFFF"/>
        </w:rPr>
        <w:t>本公司（单位）对上述声明内容的真实性负责。如有虚假，愿承担相应法律责任。</w:t>
      </w:r>
    </w:p>
    <w:p w14:paraId="1CAC866F">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b/>
          <w:bCs/>
        </w:rPr>
      </w:pPr>
      <w:r>
        <w:rPr>
          <w:rFonts w:ascii="宋体" w:hAnsi="宋体" w:eastAsia="宋体" w:cs="宋体"/>
          <w:b/>
          <w:bCs/>
          <w:color w:val="FF0000"/>
          <w:sz w:val="24"/>
          <w:szCs w:val="24"/>
        </w:rPr>
        <w:t> </w:t>
      </w:r>
    </w:p>
    <w:p w14:paraId="4B7D6087">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ind w:left="0" w:right="480" w:firstLine="3720"/>
        <w:jc w:val="both"/>
        <w:rPr>
          <w:b/>
          <w:bCs/>
        </w:rPr>
      </w:pPr>
      <w:r>
        <w:rPr>
          <w:rFonts w:ascii="宋体" w:hAnsi="宋体" w:eastAsia="宋体" w:cs="宋体"/>
          <w:b/>
          <w:bCs/>
          <w:color w:val="FF0000"/>
          <w:sz w:val="24"/>
          <w:szCs w:val="24"/>
          <w:shd w:val="clear" w:fill="FFFFFF"/>
        </w:rPr>
        <w:t>公司（单位）名称（盖章）：　</w:t>
      </w:r>
    </w:p>
    <w:p w14:paraId="6C1D1484">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center"/>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                               </w:t>
      </w:r>
    </w:p>
    <w:p w14:paraId="4B86CD8E">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center"/>
        <w:rPr>
          <w:b/>
          <w:bCs/>
        </w:rPr>
      </w:pPr>
      <w:r>
        <w:rPr>
          <w:rFonts w:hint="eastAsia" w:ascii="宋体" w:hAnsi="宋体" w:eastAsia="宋体" w:cs="宋体"/>
          <w:b/>
          <w:bCs/>
          <w:color w:val="FF0000"/>
          <w:sz w:val="24"/>
          <w:szCs w:val="24"/>
          <w:shd w:val="clear" w:fill="FFFFFF"/>
          <w:lang w:val="en-US" w:eastAsia="zh-CN"/>
        </w:rPr>
        <w:t xml:space="preserve">                        </w:t>
      </w:r>
      <w:r>
        <w:rPr>
          <w:rFonts w:ascii="宋体" w:hAnsi="宋体" w:eastAsia="宋体" w:cs="宋体"/>
          <w:b/>
          <w:bCs/>
          <w:color w:val="FF0000"/>
          <w:sz w:val="24"/>
          <w:szCs w:val="24"/>
          <w:shd w:val="clear" w:fill="FFFFFF"/>
        </w:rPr>
        <w:t> 日期：　   年　  月　  日         </w:t>
      </w:r>
    </w:p>
    <w:p w14:paraId="563751CB">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b/>
          <w:bCs/>
        </w:rPr>
      </w:pPr>
      <w:r>
        <w:rPr>
          <w:rFonts w:ascii="宋体" w:hAnsi="宋体" w:eastAsia="宋体" w:cs="宋体"/>
          <w:b/>
          <w:bCs/>
          <w:color w:val="FF0000"/>
          <w:sz w:val="24"/>
          <w:szCs w:val="24"/>
          <w:shd w:val="clear" w:fill="FFFFFF"/>
        </w:rPr>
        <w:t>__________________</w:t>
      </w:r>
    </w:p>
    <w:p w14:paraId="0D130BF1">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b/>
          <w:bCs/>
        </w:rPr>
      </w:pPr>
      <w:r>
        <w:rPr>
          <w:rFonts w:ascii="宋体" w:hAnsi="宋体" w:eastAsia="宋体" w:cs="宋体"/>
          <w:b/>
          <w:bCs/>
          <w:color w:val="FF0000"/>
          <w:sz w:val="24"/>
          <w:szCs w:val="24"/>
          <w:shd w:val="clear" w:fill="FFFFFF"/>
        </w:rPr>
        <w:t>1.产品如有型号，请在“产品名称”栏一并填写。</w:t>
      </w:r>
    </w:p>
    <w:p w14:paraId="3BE63DDD">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b/>
          <w:bCs/>
        </w:rPr>
      </w:pPr>
      <w:r>
        <w:rPr>
          <w:rFonts w:ascii="宋体" w:hAnsi="宋体" w:eastAsia="宋体" w:cs="宋体"/>
          <w:b/>
          <w:bCs/>
          <w:color w:val="FF0000"/>
          <w:sz w:val="24"/>
          <w:szCs w:val="24"/>
          <w:shd w:val="clear" w:fill="FFFFFF"/>
        </w:rPr>
        <w:t>2.生产厂名与厂址应与生产厂营业执照载明的相关信息保持一致。</w:t>
      </w:r>
    </w:p>
    <w:p w14:paraId="187E10C6">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b/>
          <w:bCs/>
        </w:rPr>
      </w:pPr>
      <w:r>
        <w:rPr>
          <w:rFonts w:ascii="宋体" w:hAnsi="宋体" w:eastAsia="宋体" w:cs="宋体"/>
          <w:b/>
          <w:bCs/>
          <w:color w:val="FF0000"/>
          <w:sz w:val="24"/>
          <w:szCs w:val="24"/>
          <w:shd w:val="clear" w:fill="FFFFFF"/>
        </w:rPr>
        <w:t>3.该产品的中国境内生产的组件成本占比相关要求实施前，“规定比例”栏可不填，下同。</w:t>
      </w:r>
    </w:p>
    <w:p w14:paraId="3267BE6A">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b/>
          <w:bCs/>
        </w:rPr>
      </w:pPr>
      <w:r>
        <w:rPr>
          <w:rFonts w:ascii="宋体" w:hAnsi="宋体" w:eastAsia="宋体" w:cs="宋体"/>
          <w:b/>
          <w:bCs/>
          <w:color w:val="FF0000"/>
          <w:sz w:val="24"/>
          <w:szCs w:val="24"/>
          <w:shd w:val="clear" w:fill="FFFFFF"/>
        </w:rPr>
        <w:t>4.该产品的关键组件要求实施前，“关键组件”栏可不填，下同。</w:t>
      </w:r>
    </w:p>
    <w:p w14:paraId="2E60DA6D">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5.该产品的关键工序要求实施前，“关键工序”栏可不填，下同。</w:t>
      </w:r>
    </w:p>
    <w:p w14:paraId="2039D937">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6.用</w:t>
      </w:r>
      <w:r>
        <w:rPr>
          <w:rFonts w:hint="eastAsia" w:ascii="宋体" w:hAnsi="宋体" w:eastAsia="宋体" w:cs="宋体"/>
          <w:b/>
          <w:bCs/>
          <w:color w:val="FF0000"/>
          <w:sz w:val="24"/>
          <w:szCs w:val="24"/>
          <w:shd w:val="clear" w:fill="FFFFFF"/>
          <w:lang w:val="en-US" w:eastAsia="zh-CN"/>
        </w:rPr>
        <w:t>横</w:t>
      </w:r>
      <w:r>
        <w:rPr>
          <w:rFonts w:ascii="宋体" w:hAnsi="宋体" w:eastAsia="宋体" w:cs="宋体"/>
          <w:b/>
          <w:bCs/>
          <w:color w:val="FF0000"/>
          <w:sz w:val="24"/>
          <w:szCs w:val="24"/>
          <w:shd w:val="clear" w:fill="FFFFFF"/>
        </w:rPr>
        <w:t>线划除的地方无需填写。</w:t>
      </w:r>
    </w:p>
    <w:p w14:paraId="1F9D17CB">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812F8E0">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bidi w:val="0"/>
        <w:spacing w:before="30" w:beforeAutospacing="0" w:after="30" w:afterAutospacing="0"/>
        <w:jc w:val="both"/>
        <w:rPr>
          <w:rFonts w:ascii="宋体" w:hAnsi="宋体" w:eastAsia="宋体" w:cs="宋体"/>
          <w:b/>
          <w:bCs/>
          <w:color w:val="FF0000"/>
          <w:sz w:val="24"/>
          <w:szCs w:val="24"/>
          <w:shd w:val="clear" w:fill="FFFFFF"/>
        </w:rPr>
      </w:pPr>
    </w:p>
    <w:p w14:paraId="2CCFA17F">
      <w:pPr>
        <w:keepNext w:val="0"/>
        <w:keepLines w:val="0"/>
        <w:pageBreakBefore w:val="0"/>
        <w:widowControl w:val="0"/>
        <w:kinsoku/>
        <w:wordWrap w:val="0"/>
        <w:overflowPunct/>
        <w:topLinePunct w:val="0"/>
        <w:bidi w:val="0"/>
        <w:jc w:val="center"/>
        <w:rPr>
          <w:rFonts w:hint="eastAsia" w:asciiTheme="minorEastAsia" w:hAnsiTheme="minorEastAsia" w:eastAsiaTheme="minorEastAsia" w:cstheme="minorEastAsia"/>
          <w:b/>
          <w:bCs/>
          <w:color w:val="000000"/>
          <w:sz w:val="24"/>
          <w:szCs w:val="24"/>
        </w:rPr>
      </w:pPr>
    </w:p>
    <w:p w14:paraId="3764C62B">
      <w:pPr>
        <w:keepNext w:val="0"/>
        <w:keepLines w:val="0"/>
        <w:pageBreakBefore w:val="0"/>
        <w:widowControl w:val="0"/>
        <w:kinsoku/>
        <w:wordWrap w:val="0"/>
        <w:overflowPunct/>
        <w:topLinePunct w:val="0"/>
        <w:bidi w:val="0"/>
        <w:spacing w:line="241" w:lineRule="auto"/>
        <w:rPr>
          <w:rFonts w:ascii="Arial"/>
          <w:b/>
          <w:bCs/>
          <w:sz w:val="21"/>
        </w:rPr>
      </w:pPr>
    </w:p>
    <w:p w14:paraId="5C74B25B">
      <w:pPr>
        <w:keepNext w:val="0"/>
        <w:keepLines w:val="0"/>
        <w:pageBreakBefore w:val="0"/>
        <w:widowControl w:val="0"/>
        <w:kinsoku/>
        <w:wordWrap w:val="0"/>
        <w:overflowPunct/>
        <w:topLinePunct w:val="0"/>
        <w:bidi w:val="0"/>
        <w:spacing w:line="241" w:lineRule="auto"/>
        <w:rPr>
          <w:rFonts w:ascii="Arial"/>
          <w:b/>
          <w:bCs/>
          <w:sz w:val="21"/>
        </w:rPr>
      </w:pPr>
    </w:p>
    <w:p w14:paraId="59FA9411">
      <w:pPr>
        <w:pStyle w:val="13"/>
        <w:keepNext w:val="0"/>
        <w:keepLines w:val="0"/>
        <w:pageBreakBefore w:val="0"/>
        <w:widowControl w:val="0"/>
        <w:kinsoku/>
        <w:wordWrap w:val="0"/>
        <w:overflowPunct/>
        <w:topLinePunct w:val="0"/>
        <w:bidi w:val="0"/>
        <w:spacing w:beforeAutospacing="0" w:afterAutospacing="0" w:line="0" w:lineRule="atLeast"/>
        <w:jc w:val="center"/>
        <w:rPr>
          <w:b/>
          <w:bCs/>
          <w:highlight w:val="none"/>
        </w:rPr>
      </w:pPr>
      <w:r>
        <w:rPr>
          <w:b/>
          <w:bCs/>
          <w:highlight w:val="none"/>
        </w:rPr>
        <w:t> </w:t>
      </w:r>
    </w:p>
    <w:p w14:paraId="24879B48">
      <w:pPr>
        <w:pStyle w:val="13"/>
        <w:keepNext w:val="0"/>
        <w:keepLines w:val="0"/>
        <w:pageBreakBefore w:val="0"/>
        <w:widowControl w:val="0"/>
        <w:kinsoku/>
        <w:wordWrap w:val="0"/>
        <w:overflowPunct/>
        <w:topLinePunct w:val="0"/>
        <w:bidi w:val="0"/>
        <w:spacing w:beforeAutospacing="0" w:afterAutospacing="0" w:line="0" w:lineRule="atLeast"/>
        <w:jc w:val="center"/>
        <w:rPr>
          <w:b/>
          <w:bCs/>
          <w:highlight w:val="none"/>
        </w:rPr>
      </w:pPr>
    </w:p>
    <w:p w14:paraId="18A83768">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p>
    <w:p w14:paraId="4CA70EEF">
      <w:pPr>
        <w:keepNext w:val="0"/>
        <w:keepLines w:val="0"/>
        <w:pageBreakBefore w:val="0"/>
        <w:widowControl w:val="0"/>
        <w:kinsoku/>
        <w:wordWrap w:val="0"/>
        <w:overflowPunct/>
        <w:topLinePunct w:val="0"/>
        <w:bidi w:val="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r>
    </w:p>
    <w:p w14:paraId="2563217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、联合体协议（参考格式）</w:t>
      </w:r>
    </w:p>
    <w:p w14:paraId="47099288">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rFonts w:hint="eastAsia" w:ascii="宋体" w:hAnsi="宋体" w:eastAsia="宋体" w:cs="宋体"/>
          <w:color w:val="000000"/>
          <w:highlight w:val="none"/>
        </w:rPr>
        <w:t>（联合体中各供应商全称）在此达成以下协议：</w:t>
      </w:r>
    </w:p>
    <w:p w14:paraId="171F8296">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w:t>
      </w:r>
      <w:r>
        <w:rPr>
          <w:rFonts w:hint="eastAsia" w:ascii="宋体" w:hAnsi="宋体" w:eastAsia="宋体" w:cs="宋体"/>
          <w:color w:val="FF0000"/>
          <w:highlight w:val="none"/>
          <w:lang w:eastAsia="zh-CN"/>
        </w:rPr>
        <w:t>采购代理机构</w:t>
      </w:r>
      <w:r>
        <w:rPr>
          <w:rFonts w:hint="eastAsia" w:ascii="宋体" w:hAnsi="宋体" w:eastAsia="宋体" w:cs="宋体"/>
          <w:color w:val="000000"/>
          <w:highlight w:val="none"/>
        </w:rPr>
        <w:t>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1E770E3A">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A603B1A">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highlight w:val="none"/>
        </w:rPr>
        <w:t> </w:t>
      </w:r>
    </w:p>
    <w:p w14:paraId="48FA2AD9">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1CB655E2">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rFonts w:hint="eastAsia" w:ascii="宋体" w:hAnsi="宋体" w:eastAsia="宋体" w:cs="宋体"/>
          <w:color w:val="000000"/>
          <w:highlight w:val="none"/>
        </w:rPr>
        <w:t>                               </w:t>
      </w:r>
    </w:p>
    <w:p w14:paraId="41749F3F">
      <w:pPr>
        <w:pStyle w:val="13"/>
        <w:keepNext w:val="0"/>
        <w:keepLines w:val="0"/>
        <w:pageBreakBefore w:val="0"/>
        <w:widowControl w:val="0"/>
        <w:kinsoku/>
        <w:wordWrap w:val="0"/>
        <w:overflowPunct/>
        <w:topLinePunct w:val="0"/>
        <w:bidi w:val="0"/>
        <w:spacing w:beforeAutospacing="0" w:afterAutospacing="0" w:line="0" w:lineRule="atLeast"/>
        <w:ind w:firstLine="645"/>
        <w:jc w:val="right"/>
        <w:rPr>
          <w:highlight w:val="none"/>
        </w:rPr>
      </w:pPr>
      <w:r>
        <w:rPr>
          <w:rFonts w:hint="eastAsia" w:ascii="宋体" w:hAnsi="宋体" w:eastAsia="宋体" w:cs="宋体"/>
          <w:color w:val="000000"/>
          <w:highlight w:val="none"/>
        </w:rPr>
        <w:t xml:space="preserve">联合体中各供应商全称（公章）：     </w:t>
      </w:r>
    </w:p>
    <w:p w14:paraId="31BFF35C">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rFonts w:hint="eastAsia" w:ascii="宋体" w:hAnsi="宋体" w:eastAsia="宋体" w:cs="宋体"/>
          <w:color w:val="000000"/>
          <w:highlight w:val="none"/>
        </w:rPr>
        <w:t>                                                          日期：</w:t>
      </w:r>
    </w:p>
    <w:p w14:paraId="1362C19C">
      <w:pPr>
        <w:pStyle w:val="13"/>
        <w:keepNext w:val="0"/>
        <w:keepLines w:val="0"/>
        <w:pageBreakBefore w:val="0"/>
        <w:widowControl w:val="0"/>
        <w:kinsoku/>
        <w:wordWrap w:val="0"/>
        <w:overflowPunct/>
        <w:topLinePunct w:val="0"/>
        <w:bidi w:val="0"/>
        <w:spacing w:beforeAutospacing="0" w:afterAutospacing="0" w:line="0" w:lineRule="atLeast"/>
        <w:ind w:firstLine="645"/>
        <w:jc w:val="both"/>
        <w:rPr>
          <w:highlight w:val="none"/>
        </w:rPr>
      </w:pPr>
      <w:r>
        <w:rPr>
          <w:highlight w:val="none"/>
        </w:rPr>
        <w:t> </w:t>
      </w:r>
    </w:p>
    <w:p w14:paraId="166AC735">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3D799F36">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37E6BE0B">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2B60C190">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57527C1B">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3F791BC4">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6A959F58">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59120E29">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7BFD87F7">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46460017">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319FDB43">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48D90514">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77319186">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3EEE9B03">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6F25DC03">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5E3ACA2F">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7E170FB9">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07CFFF96">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5940DC2F">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1644ADE4">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72752EF8">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1627436F">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p>
    <w:p w14:paraId="752EB775">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p w14:paraId="047D93AE">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0F9D6EE9">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、投标分项报价表</w:t>
      </w:r>
    </w:p>
    <w:tbl>
      <w:tblPr>
        <w:tblStyle w:val="14"/>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keepNext w:val="0"/>
              <w:keepLines w:val="0"/>
              <w:pageBreakBefore w:val="0"/>
              <w:widowControl w:val="0"/>
              <w:kinsoku/>
              <w:wordWrap w:val="0"/>
              <w:overflowPunct/>
              <w:topLinePunct w:val="0"/>
              <w:bidi w:val="0"/>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分项</w:t>
            </w:r>
          </w:p>
          <w:p w14:paraId="04CE5FC7">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分项</w:t>
            </w:r>
          </w:p>
          <w:p w14:paraId="0FEC4C6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13"/>
              <w:keepNext w:val="0"/>
              <w:keepLines w:val="0"/>
              <w:pageBreakBefore w:val="0"/>
              <w:widowControl w:val="0"/>
              <w:kinsoku/>
              <w:wordWrap w:val="0"/>
              <w:overflowPunct/>
              <w:topLinePunct w:val="0"/>
              <w:bidi w:val="0"/>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13"/>
              <w:keepNext w:val="0"/>
              <w:keepLines w:val="0"/>
              <w:pageBreakBefore w:val="0"/>
              <w:widowControl w:val="0"/>
              <w:kinsoku/>
              <w:wordWrap w:val="0"/>
              <w:overflowPunct/>
              <w:topLinePunct w:val="0"/>
              <w:bidi w:val="0"/>
              <w:spacing w:beforeAutospacing="0" w:afterAutospacing="0" w:line="0" w:lineRule="atLeast"/>
              <w:jc w:val="both"/>
              <w:rPr>
                <w:highlight w:val="none"/>
              </w:rPr>
            </w:pPr>
            <w:r>
              <w:rPr>
                <w:highlight w:val="none"/>
              </w:rPr>
              <w:t> </w:t>
            </w:r>
          </w:p>
        </w:tc>
      </w:tr>
    </w:tbl>
    <w:p w14:paraId="36F4F46C">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的其它所有费用，招标文件另有规定的除外。2. “投标分项报价表”中“投标总报价”数额应当与“开标一览表”中“投标总报价”数额一致。</w:t>
      </w:r>
    </w:p>
    <w:p w14:paraId="64239364">
      <w:pPr>
        <w:pStyle w:val="13"/>
        <w:keepNext w:val="0"/>
        <w:keepLines w:val="0"/>
        <w:pageBreakBefore w:val="0"/>
        <w:widowControl w:val="0"/>
        <w:kinsoku/>
        <w:wordWrap w:val="0"/>
        <w:overflowPunct/>
        <w:topLinePunct w:val="0"/>
        <w:bidi w:val="0"/>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备注：该表仅适用于项目采用货币报价的情形。项目采用折扣率报价的，如需要填写投标分项报价表，请项目经办人自行设计表格。招标文件定稿后该备注删除。</w:t>
      </w:r>
    </w:p>
    <w:p w14:paraId="0BBAF78C">
      <w:pPr>
        <w:keepNext w:val="0"/>
        <w:keepLines w:val="0"/>
        <w:pageBreakBefore w:val="0"/>
        <w:widowControl w:val="0"/>
        <w:kinsoku/>
        <w:wordWrap w:val="0"/>
        <w:overflowPunct/>
        <w:topLinePunct w:val="0"/>
        <w:bidi w:val="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r>
    </w:p>
    <w:p w14:paraId="4C665761">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、技术要求响应及偏离表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证明</w:t>
            </w:r>
          </w:p>
          <w:p w14:paraId="0AA567DE">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bl>
    <w:p w14:paraId="039DC209">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3DE57A72">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5D8A6DEA">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4F7E03C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p w14:paraId="068A4565">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6EC5A847">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78FCBE0B">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174ABED4">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79285A37">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1F8896A9">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33FE263D">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6377BA79">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7251072B">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1B25334D">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5D154BA8">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50B76237">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3C29FEC0">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341FB04E">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388B35FD">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07E2D191">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40F74D23">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22A00EBC">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450607F9">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2937E1C6">
      <w:pPr>
        <w:pStyle w:val="13"/>
        <w:keepNext w:val="0"/>
        <w:keepLines w:val="0"/>
        <w:pageBreakBefore w:val="0"/>
        <w:widowControl w:val="0"/>
        <w:kinsoku/>
        <w:wordWrap w:val="0"/>
        <w:overflowPunct/>
        <w:topLinePunct w:val="0"/>
        <w:bidi w:val="0"/>
        <w:spacing w:beforeAutospacing="0" w:afterAutospacing="0"/>
        <w:jc w:val="center"/>
        <w:rPr>
          <w:highlight w:val="none"/>
        </w:rPr>
      </w:pPr>
      <w:bookmarkStart w:id="191" w:name="_Hlt26955054"/>
      <w:r>
        <w:rPr>
          <w:rFonts w:hint="eastAsia" w:ascii="黑体" w:hAnsi="宋体" w:eastAsia="黑体" w:cs="黑体"/>
          <w:b/>
          <w:color w:val="000000"/>
          <w:sz w:val="32"/>
          <w:szCs w:val="32"/>
          <w:highlight w:val="none"/>
          <w:lang w:val="en-US" w:eastAsia="zh-CN"/>
        </w:rPr>
        <w:t>十五</w:t>
      </w:r>
      <w:r>
        <w:rPr>
          <w:rFonts w:hint="eastAsia" w:ascii="黑体" w:hAnsi="宋体" w:eastAsia="黑体" w:cs="黑体"/>
          <w:b/>
          <w:color w:val="000000"/>
          <w:sz w:val="32"/>
          <w:szCs w:val="32"/>
          <w:highlight w:val="none"/>
        </w:rPr>
        <w:t>、商务要求响应及偏离表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3"/>
              <w:keepNext w:val="0"/>
              <w:keepLines w:val="0"/>
              <w:pageBreakBefore w:val="0"/>
              <w:widowControl w:val="0"/>
              <w:kinsoku/>
              <w:wordWrap w:val="0"/>
              <w:overflowPunct/>
              <w:topLinePunct w:val="0"/>
              <w:bidi w:val="0"/>
              <w:spacing w:beforeAutospacing="0" w:afterAutospacing="0"/>
              <w:jc w:val="center"/>
              <w:rPr>
                <w:highlight w:val="none"/>
              </w:rPr>
            </w:pPr>
            <w:bookmarkStart w:id="192" w:name="_Hlt26580838"/>
            <w:bookmarkStart w:id="193" w:name="_Hlt24879081"/>
            <w:bookmarkStart w:id="194" w:name="_Hlt26671343"/>
            <w:bookmarkStart w:id="195" w:name="_Hlt26671372"/>
            <w:bookmarkStart w:id="196" w:name="_Hlt26782999"/>
            <w:bookmarkStart w:id="197" w:name="_Hlt26955056"/>
            <w:bookmarkStart w:id="198" w:name="_Hlt26609391"/>
            <w:bookmarkStart w:id="199" w:name="_Hlt26955064"/>
            <w:r>
              <w:rPr>
                <w:rFonts w:hint="eastAsia" w:ascii="宋体" w:hAnsi="宋体" w:eastAsia="宋体" w:cs="宋体"/>
                <w:color w:val="000000"/>
                <w:highlight w:val="none"/>
              </w:rPr>
              <w:t>序号</w:t>
            </w:r>
          </w:p>
          <w:bookmarkEnd w:id="192"/>
          <w:bookmarkEnd w:id="193"/>
          <w:bookmarkEnd w:id="194"/>
          <w:bookmarkEnd w:id="195"/>
          <w:bookmarkEnd w:id="196"/>
          <w:bookmarkEnd w:id="197"/>
          <w:bookmarkEnd w:id="198"/>
          <w:bookmarkEnd w:id="199"/>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证明</w:t>
            </w:r>
          </w:p>
          <w:p w14:paraId="07127613">
            <w:pPr>
              <w:pStyle w:val="13"/>
              <w:keepNext w:val="0"/>
              <w:keepLines w:val="0"/>
              <w:pageBreakBefore w:val="0"/>
              <w:widowControl w:val="0"/>
              <w:kinsoku/>
              <w:wordWrap w:val="0"/>
              <w:overflowPunct/>
              <w:topLinePunct w:val="0"/>
              <w:bidi w:val="0"/>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3"/>
              <w:keepNext w:val="0"/>
              <w:keepLines w:val="0"/>
              <w:pageBreakBefore w:val="0"/>
              <w:widowControl w:val="0"/>
              <w:kinsoku/>
              <w:wordWrap w:val="0"/>
              <w:overflowPunct/>
              <w:topLinePunct w:val="0"/>
              <w:bidi w:val="0"/>
              <w:spacing w:beforeAutospacing="0" w:afterAutospacing="0"/>
              <w:jc w:val="center"/>
              <w:rPr>
                <w:highlight w:val="none"/>
              </w:rPr>
            </w:pPr>
            <w:r>
              <w:rPr>
                <w:highlight w:val="none"/>
              </w:rPr>
              <w:t> </w:t>
            </w:r>
          </w:p>
        </w:tc>
      </w:tr>
    </w:tbl>
    <w:p w14:paraId="0515F675">
      <w:pPr>
        <w:pStyle w:val="13"/>
        <w:keepNext w:val="0"/>
        <w:keepLines w:val="0"/>
        <w:pageBreakBefore w:val="0"/>
        <w:widowControl w:val="0"/>
        <w:kinsoku/>
        <w:wordWrap w:val="0"/>
        <w:overflowPunct/>
        <w:topLinePunct w:val="0"/>
        <w:bidi w:val="0"/>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13"/>
        <w:keepNext w:val="0"/>
        <w:keepLines w:val="0"/>
        <w:pageBreakBefore w:val="0"/>
        <w:widowControl w:val="0"/>
        <w:kinsoku/>
        <w:wordWrap w:val="0"/>
        <w:overflowPunct/>
        <w:topLinePunct w:val="0"/>
        <w:bidi w:val="0"/>
        <w:spacing w:beforeAutospacing="0" w:afterAutospacing="0" w:line="480" w:lineRule="auto"/>
        <w:jc w:val="both"/>
        <w:rPr>
          <w:highlight w:val="none"/>
        </w:rPr>
      </w:pPr>
      <w:r>
        <w:rPr>
          <w:highlight w:val="none"/>
        </w:rPr>
        <w:t> </w:t>
      </w:r>
    </w:p>
    <w:p w14:paraId="771A2ABD">
      <w:pPr>
        <w:pStyle w:val="13"/>
        <w:keepNext w:val="0"/>
        <w:keepLines w:val="0"/>
        <w:pageBreakBefore w:val="0"/>
        <w:widowControl w:val="0"/>
        <w:kinsoku/>
        <w:wordWrap w:val="0"/>
        <w:overflowPunct/>
        <w:topLinePunct w:val="0"/>
        <w:bidi w:val="0"/>
        <w:spacing w:beforeAutospacing="0" w:afterAutospacing="0" w:line="480" w:lineRule="auto"/>
        <w:jc w:val="both"/>
        <w:rPr>
          <w:highlight w:val="none"/>
        </w:rPr>
      </w:pPr>
      <w:r>
        <w:rPr>
          <w:highlight w:val="none"/>
        </w:rPr>
        <w:t> </w:t>
      </w:r>
    </w:p>
    <w:p w14:paraId="6564921F">
      <w:pPr>
        <w:pStyle w:val="13"/>
        <w:keepNext w:val="0"/>
        <w:keepLines w:val="0"/>
        <w:pageBreakBefore w:val="0"/>
        <w:widowControl w:val="0"/>
        <w:kinsoku/>
        <w:wordWrap w:val="0"/>
        <w:overflowPunct/>
        <w:topLinePunct w:val="0"/>
        <w:bidi w:val="0"/>
        <w:spacing w:beforeAutospacing="0" w:afterAutospacing="0"/>
        <w:jc w:val="center"/>
        <w:rPr>
          <w:highlight w:val="none"/>
        </w:rPr>
      </w:pPr>
      <w:bookmarkStart w:id="200" w:name="_Hlt26955066"/>
      <w:bookmarkStart w:id="201" w:name="_格式2__法定代表人授权书"/>
      <w:bookmarkStart w:id="202" w:name="_Hlt26609389"/>
      <w:bookmarkStart w:id="203" w:name="_Hlt26671374"/>
      <w:bookmarkStart w:id="204" w:name="_Toc462564146"/>
      <w:r>
        <w:rPr>
          <w:highlight w:val="none"/>
        </w:rPr>
        <w:t> </w:t>
      </w:r>
    </w:p>
    <w:p w14:paraId="43E033E8">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34DD36AA">
      <w:pPr>
        <w:pStyle w:val="13"/>
        <w:keepNext w:val="0"/>
        <w:keepLines w:val="0"/>
        <w:pageBreakBefore w:val="0"/>
        <w:widowControl w:val="0"/>
        <w:kinsoku/>
        <w:wordWrap w:val="0"/>
        <w:overflowPunct/>
        <w:topLinePunct w:val="0"/>
        <w:bidi w:val="0"/>
        <w:spacing w:beforeAutospacing="0" w:afterAutospacing="0"/>
        <w:jc w:val="both"/>
        <w:rPr>
          <w:highlight w:val="none"/>
        </w:rPr>
      </w:pPr>
      <w:r>
        <w:rPr>
          <w:highlight w:val="none"/>
        </w:rPr>
        <w:t> </w:t>
      </w:r>
    </w:p>
    <w:p w14:paraId="0B59FED3">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674A53C6">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7646B14A">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18437834">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6AC5CF75">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4402A329">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433415F5">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664A23CF">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577CDDA2">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2C30742F">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3BA22CC3">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284FF7FD">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634E5CAA">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53A5D0DD">
      <w:pPr>
        <w:pStyle w:val="13"/>
        <w:keepNext w:val="0"/>
        <w:keepLines w:val="0"/>
        <w:pageBreakBefore w:val="0"/>
        <w:widowControl w:val="0"/>
        <w:kinsoku/>
        <w:wordWrap w:val="0"/>
        <w:overflowPunct/>
        <w:topLinePunct w:val="0"/>
        <w:bidi w:val="0"/>
        <w:spacing w:beforeAutospacing="0" w:afterAutospacing="0"/>
        <w:jc w:val="both"/>
        <w:rPr>
          <w:highlight w:val="none"/>
        </w:rPr>
      </w:pPr>
    </w:p>
    <w:p w14:paraId="72CA5A2B">
      <w:pPr>
        <w:pStyle w:val="13"/>
        <w:keepNext w:val="0"/>
        <w:keepLines w:val="0"/>
        <w:pageBreakBefore w:val="0"/>
        <w:widowControl w:val="0"/>
        <w:kinsoku/>
        <w:wordWrap w:val="0"/>
        <w:overflowPunct/>
        <w:topLinePunct w:val="0"/>
        <w:bidi w:val="0"/>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70B14AA4">
      <w:pPr>
        <w:pStyle w:val="13"/>
        <w:keepNext w:val="0"/>
        <w:keepLines w:val="0"/>
        <w:pageBreakBefore w:val="0"/>
        <w:widowControl w:val="0"/>
        <w:kinsoku/>
        <w:wordWrap w:val="0"/>
        <w:overflowPunct/>
        <w:topLinePunct w:val="0"/>
        <w:bidi w:val="0"/>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3"/>
        <w:keepNext w:val="0"/>
        <w:keepLines w:val="0"/>
        <w:pageBreakBefore w:val="0"/>
        <w:widowControl w:val="0"/>
        <w:kinsoku/>
        <w:wordWrap w:val="0"/>
        <w:overflowPunct/>
        <w:topLinePunct w:val="0"/>
        <w:bidi w:val="0"/>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3"/>
        <w:keepNext w:val="0"/>
        <w:keepLines w:val="0"/>
        <w:pageBreakBefore w:val="0"/>
        <w:widowControl w:val="0"/>
        <w:kinsoku/>
        <w:wordWrap w:val="0"/>
        <w:overflowPunct/>
        <w:topLinePunct w:val="0"/>
        <w:bidi w:val="0"/>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13"/>
        <w:keepNext w:val="0"/>
        <w:keepLines w:val="0"/>
        <w:pageBreakBefore w:val="0"/>
        <w:widowControl w:val="0"/>
        <w:kinsoku/>
        <w:wordWrap w:val="0"/>
        <w:overflowPunct/>
        <w:topLinePunct w:val="0"/>
        <w:bidi w:val="0"/>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4"/>
        <w:tblW w:w="8206" w:type="dxa"/>
        <w:tblCellSpacing w:w="0" w:type="dxa"/>
        <w:tblInd w:w="118" w:type="dxa"/>
        <w:tblLayout w:type="fixed"/>
        <w:tblCellMar>
          <w:top w:w="0" w:type="dxa"/>
          <w:left w:w="108" w:type="dxa"/>
          <w:bottom w:w="0" w:type="dxa"/>
          <w:right w:w="108" w:type="dxa"/>
        </w:tblCellMar>
      </w:tblPr>
      <w:tblGrid>
        <w:gridCol w:w="8206"/>
      </w:tblGrid>
      <w:tr w14:paraId="7E2950EC">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3"/>
              <w:keepNext w:val="0"/>
              <w:keepLines w:val="0"/>
              <w:pageBreakBefore w:val="0"/>
              <w:widowControl w:val="0"/>
              <w:kinsoku/>
              <w:wordWrap w:val="0"/>
              <w:overflowPunct/>
              <w:topLinePunct w:val="0"/>
              <w:bidi w:val="0"/>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3"/>
              <w:keepNext w:val="0"/>
              <w:keepLines w:val="0"/>
              <w:pageBreakBefore w:val="0"/>
              <w:widowControl w:val="0"/>
              <w:kinsoku/>
              <w:wordWrap w:val="0"/>
              <w:overflowPunct/>
              <w:topLinePunct w:val="0"/>
              <w:bidi w:val="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3"/>
              <w:keepNext w:val="0"/>
              <w:keepLines w:val="0"/>
              <w:pageBreakBefore w:val="0"/>
              <w:widowControl w:val="0"/>
              <w:kinsoku/>
              <w:wordWrap w:val="0"/>
              <w:overflowPunct/>
              <w:topLinePunct w:val="0"/>
              <w:bidi w:val="0"/>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13"/>
        <w:keepNext w:val="0"/>
        <w:keepLines w:val="0"/>
        <w:pageBreakBefore w:val="0"/>
        <w:widowControl w:val="0"/>
        <w:kinsoku/>
        <w:wordWrap w:val="0"/>
        <w:overflowPunct/>
        <w:topLinePunct w:val="0"/>
        <w:bidi w:val="0"/>
        <w:spacing w:beforeAutospacing="0" w:afterAutospacing="0"/>
        <w:jc w:val="both"/>
        <w:rPr>
          <w:color w:val="auto"/>
          <w:highlight w:val="none"/>
        </w:rPr>
      </w:pPr>
      <w:r>
        <w:rPr>
          <w:color w:val="auto"/>
          <w:highlight w:val="none"/>
        </w:rPr>
        <w:t> </w:t>
      </w:r>
    </w:p>
    <w:p w14:paraId="15F53820">
      <w:pPr>
        <w:pStyle w:val="13"/>
        <w:keepNext w:val="0"/>
        <w:keepLines w:val="0"/>
        <w:pageBreakBefore w:val="0"/>
        <w:widowControl w:val="0"/>
        <w:kinsoku/>
        <w:wordWrap w:val="0"/>
        <w:overflowPunct/>
        <w:topLinePunct w:val="0"/>
        <w:bidi w:val="0"/>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3"/>
        <w:keepNext w:val="0"/>
        <w:keepLines w:val="0"/>
        <w:pageBreakBefore w:val="0"/>
        <w:widowControl w:val="0"/>
        <w:kinsoku/>
        <w:wordWrap w:val="0"/>
        <w:overflowPunct/>
        <w:topLinePunct w:val="0"/>
        <w:bidi w:val="0"/>
        <w:spacing w:beforeAutospacing="0" w:afterAutospacing="0"/>
        <w:ind w:firstLine="480"/>
        <w:jc w:val="both"/>
        <w:rPr>
          <w:highlight w:val="none"/>
        </w:rPr>
      </w:pPr>
      <w:r>
        <w:rPr>
          <w:highlight w:val="none"/>
        </w:rPr>
        <w:t> </w:t>
      </w:r>
    </w:p>
    <w:p w14:paraId="29D1AF51">
      <w:pPr>
        <w:keepNext w:val="0"/>
        <w:keepLines w:val="0"/>
        <w:pageBreakBefore w:val="0"/>
        <w:widowControl w:val="0"/>
        <w:kinsoku/>
        <w:wordWrap w:val="0"/>
        <w:overflowPunct/>
        <w:topLinePunct w:val="0"/>
        <w:bidi w:val="0"/>
        <w:spacing w:before="50" w:after="50"/>
        <w:jc w:val="center"/>
        <w:rPr>
          <w:highlight w:val="none"/>
        </w:rPr>
      </w:pPr>
      <w:r>
        <w:rPr>
          <w:highlight w:val="none"/>
        </w:rPr>
        <w:tab/>
      </w:r>
    </w:p>
    <w:p w14:paraId="04B573BD">
      <w:pPr>
        <w:keepNext w:val="0"/>
        <w:keepLines w:val="0"/>
        <w:pageBreakBefore w:val="0"/>
        <w:widowControl w:val="0"/>
        <w:kinsoku/>
        <w:wordWrap w:val="0"/>
        <w:overflowPunct/>
        <w:topLinePunct w:val="0"/>
        <w:bidi w:val="0"/>
        <w:spacing w:before="50" w:after="50"/>
        <w:jc w:val="center"/>
        <w:rPr>
          <w:highlight w:val="none"/>
        </w:rPr>
      </w:pPr>
    </w:p>
    <w:p w14:paraId="577A9D1D">
      <w:pPr>
        <w:keepNext w:val="0"/>
        <w:keepLines w:val="0"/>
        <w:pageBreakBefore w:val="0"/>
        <w:widowControl w:val="0"/>
        <w:kinsoku/>
        <w:wordWrap w:val="0"/>
        <w:overflowPunct/>
        <w:topLinePunct w:val="0"/>
        <w:bidi w:val="0"/>
        <w:spacing w:before="50" w:after="50"/>
        <w:jc w:val="center"/>
        <w:rPr>
          <w:highlight w:val="none"/>
        </w:rPr>
      </w:pPr>
    </w:p>
    <w:p w14:paraId="725A4F9A">
      <w:pPr>
        <w:keepNext w:val="0"/>
        <w:keepLines w:val="0"/>
        <w:pageBreakBefore w:val="0"/>
        <w:widowControl w:val="0"/>
        <w:kinsoku/>
        <w:wordWrap w:val="0"/>
        <w:overflowPunct/>
        <w:topLinePunct w:val="0"/>
        <w:bidi w:val="0"/>
        <w:spacing w:before="50" w:after="50"/>
        <w:jc w:val="center"/>
        <w:rPr>
          <w:highlight w:val="none"/>
        </w:rPr>
      </w:pPr>
    </w:p>
    <w:p w14:paraId="031B468B">
      <w:pPr>
        <w:keepNext w:val="0"/>
        <w:keepLines w:val="0"/>
        <w:pageBreakBefore w:val="0"/>
        <w:widowControl w:val="0"/>
        <w:kinsoku/>
        <w:wordWrap w:val="0"/>
        <w:overflowPunct/>
        <w:topLinePunct w:val="0"/>
        <w:bidi w:val="0"/>
        <w:spacing w:before="50" w:after="50"/>
        <w:jc w:val="center"/>
        <w:rPr>
          <w:highlight w:val="none"/>
        </w:rPr>
      </w:pPr>
    </w:p>
    <w:p w14:paraId="0A115CB7">
      <w:pPr>
        <w:keepNext w:val="0"/>
        <w:keepLines w:val="0"/>
        <w:pageBreakBefore w:val="0"/>
        <w:widowControl w:val="0"/>
        <w:kinsoku/>
        <w:wordWrap w:val="0"/>
        <w:overflowPunct/>
        <w:topLinePunct w:val="0"/>
        <w:bidi w:val="0"/>
        <w:spacing w:before="50" w:after="50"/>
        <w:jc w:val="center"/>
        <w:rPr>
          <w:highlight w:val="none"/>
        </w:rPr>
      </w:pPr>
    </w:p>
    <w:p w14:paraId="160D4B0D">
      <w:pPr>
        <w:keepNext w:val="0"/>
        <w:keepLines w:val="0"/>
        <w:pageBreakBefore w:val="0"/>
        <w:widowControl w:val="0"/>
        <w:kinsoku/>
        <w:wordWrap w:val="0"/>
        <w:overflowPunct/>
        <w:topLinePunct w:val="0"/>
        <w:bidi w:val="0"/>
        <w:spacing w:before="50" w:after="50"/>
        <w:jc w:val="center"/>
        <w:rPr>
          <w:highlight w:val="none"/>
        </w:rPr>
      </w:pPr>
    </w:p>
    <w:p w14:paraId="76B55D12">
      <w:pPr>
        <w:keepNext w:val="0"/>
        <w:keepLines w:val="0"/>
        <w:pageBreakBefore w:val="0"/>
        <w:widowControl w:val="0"/>
        <w:kinsoku/>
        <w:wordWrap w:val="0"/>
        <w:overflowPunct/>
        <w:topLinePunct w:val="0"/>
        <w:bidi w:val="0"/>
        <w:spacing w:before="50" w:after="50"/>
        <w:jc w:val="center"/>
        <w:rPr>
          <w:highlight w:val="none"/>
        </w:rPr>
      </w:pPr>
    </w:p>
    <w:p w14:paraId="5E4BAB15">
      <w:pPr>
        <w:keepNext w:val="0"/>
        <w:keepLines w:val="0"/>
        <w:pageBreakBefore w:val="0"/>
        <w:widowControl w:val="0"/>
        <w:kinsoku/>
        <w:wordWrap w:val="0"/>
        <w:overflowPunct/>
        <w:topLinePunct w:val="0"/>
        <w:bidi w:val="0"/>
        <w:spacing w:before="50" w:after="50"/>
        <w:jc w:val="center"/>
        <w:rPr>
          <w:highlight w:val="none"/>
        </w:rPr>
      </w:pPr>
    </w:p>
    <w:p w14:paraId="53B738D5">
      <w:pPr>
        <w:keepNext w:val="0"/>
        <w:keepLines w:val="0"/>
        <w:pageBreakBefore w:val="0"/>
        <w:widowControl w:val="0"/>
        <w:kinsoku/>
        <w:wordWrap w:val="0"/>
        <w:overflowPunct/>
        <w:topLinePunct w:val="0"/>
        <w:bidi w:val="0"/>
        <w:spacing w:before="50" w:after="50"/>
        <w:jc w:val="center"/>
        <w:rPr>
          <w:highlight w:val="none"/>
        </w:rPr>
      </w:pPr>
    </w:p>
    <w:p w14:paraId="20E564A3">
      <w:pPr>
        <w:keepNext w:val="0"/>
        <w:keepLines w:val="0"/>
        <w:pageBreakBefore w:val="0"/>
        <w:widowControl w:val="0"/>
        <w:kinsoku/>
        <w:wordWrap w:val="0"/>
        <w:overflowPunct/>
        <w:topLinePunct w:val="0"/>
        <w:bidi w:val="0"/>
        <w:spacing w:before="50" w:after="50"/>
        <w:jc w:val="center"/>
        <w:rPr>
          <w:highlight w:val="none"/>
        </w:rPr>
      </w:pPr>
    </w:p>
    <w:p w14:paraId="6C323597">
      <w:pPr>
        <w:keepNext w:val="0"/>
        <w:keepLines w:val="0"/>
        <w:pageBreakBefore w:val="0"/>
        <w:widowControl w:val="0"/>
        <w:kinsoku/>
        <w:wordWrap w:val="0"/>
        <w:overflowPunct/>
        <w:topLinePunct w:val="0"/>
        <w:bidi w:val="0"/>
        <w:spacing w:before="50" w:after="50"/>
        <w:jc w:val="center"/>
        <w:rPr>
          <w:highlight w:val="none"/>
        </w:rPr>
      </w:pPr>
    </w:p>
    <w:p w14:paraId="1DA080A8">
      <w:pPr>
        <w:keepNext w:val="0"/>
        <w:keepLines w:val="0"/>
        <w:pageBreakBefore w:val="0"/>
        <w:widowControl w:val="0"/>
        <w:kinsoku/>
        <w:wordWrap w:val="0"/>
        <w:overflowPunct/>
        <w:topLinePunct w:val="0"/>
        <w:bidi w:val="0"/>
        <w:spacing w:before="50" w:after="50"/>
        <w:jc w:val="center"/>
        <w:rPr>
          <w:highlight w:val="none"/>
        </w:rPr>
      </w:pPr>
    </w:p>
    <w:p w14:paraId="3F7E679B">
      <w:pPr>
        <w:keepNext w:val="0"/>
        <w:keepLines w:val="0"/>
        <w:pageBreakBefore w:val="0"/>
        <w:widowControl w:val="0"/>
        <w:kinsoku/>
        <w:wordWrap w:val="0"/>
        <w:overflowPunct/>
        <w:topLinePunct w:val="0"/>
        <w:bidi w:val="0"/>
        <w:spacing w:before="50" w:after="50"/>
        <w:jc w:val="center"/>
        <w:rPr>
          <w:highlight w:val="none"/>
        </w:rPr>
      </w:pPr>
    </w:p>
    <w:p w14:paraId="3F5CEC7E">
      <w:pPr>
        <w:keepNext w:val="0"/>
        <w:keepLines w:val="0"/>
        <w:pageBreakBefore w:val="0"/>
        <w:widowControl w:val="0"/>
        <w:kinsoku/>
        <w:wordWrap w:val="0"/>
        <w:overflowPunct/>
        <w:topLinePunct w:val="0"/>
        <w:bidi w:val="0"/>
        <w:spacing w:before="50" w:after="50"/>
        <w:jc w:val="center"/>
        <w:rPr>
          <w:highlight w:val="none"/>
        </w:rPr>
      </w:pPr>
    </w:p>
    <w:p w14:paraId="72248F66">
      <w:pPr>
        <w:keepNext w:val="0"/>
        <w:keepLines w:val="0"/>
        <w:pageBreakBefore w:val="0"/>
        <w:widowControl w:val="0"/>
        <w:kinsoku/>
        <w:wordWrap w:val="0"/>
        <w:overflowPunct/>
        <w:topLinePunct w:val="0"/>
        <w:bidi w:val="0"/>
        <w:spacing w:before="50" w:after="50"/>
        <w:jc w:val="center"/>
        <w:rPr>
          <w:highlight w:val="none"/>
        </w:rPr>
      </w:pPr>
    </w:p>
    <w:p w14:paraId="52AE8396">
      <w:pPr>
        <w:keepNext w:val="0"/>
        <w:keepLines w:val="0"/>
        <w:pageBreakBefore w:val="0"/>
        <w:widowControl w:val="0"/>
        <w:kinsoku/>
        <w:wordWrap w:val="0"/>
        <w:overflowPunct/>
        <w:topLinePunct w:val="0"/>
        <w:bidi w:val="0"/>
        <w:spacing w:before="50" w:after="50"/>
        <w:jc w:val="center"/>
        <w:rPr>
          <w:highlight w:val="none"/>
        </w:rPr>
      </w:pPr>
    </w:p>
    <w:p w14:paraId="40CFFFEC">
      <w:pPr>
        <w:keepNext w:val="0"/>
        <w:keepLines w:val="0"/>
        <w:pageBreakBefore w:val="0"/>
        <w:widowControl w:val="0"/>
        <w:kinsoku/>
        <w:wordWrap w:val="0"/>
        <w:overflowPunct/>
        <w:topLinePunct w:val="0"/>
        <w:bidi w:val="0"/>
        <w:spacing w:before="50" w:after="50"/>
        <w:jc w:val="center"/>
        <w:rPr>
          <w:highlight w:val="none"/>
        </w:rPr>
      </w:pPr>
    </w:p>
    <w:p w14:paraId="03207A44">
      <w:pPr>
        <w:keepNext w:val="0"/>
        <w:keepLines w:val="0"/>
        <w:pageBreakBefore w:val="0"/>
        <w:widowControl w:val="0"/>
        <w:kinsoku/>
        <w:wordWrap w:val="0"/>
        <w:overflowPunct/>
        <w:topLinePunct w:val="0"/>
        <w:bidi w:val="0"/>
        <w:spacing w:before="50" w:after="50"/>
        <w:jc w:val="center"/>
        <w:rPr>
          <w:highlight w:val="none"/>
        </w:rPr>
      </w:pPr>
    </w:p>
    <w:p w14:paraId="5ABBE9DC">
      <w:pPr>
        <w:keepNext w:val="0"/>
        <w:keepLines w:val="0"/>
        <w:pageBreakBefore w:val="0"/>
        <w:widowControl w:val="0"/>
        <w:kinsoku/>
        <w:wordWrap w:val="0"/>
        <w:overflowPunct/>
        <w:topLinePunct w:val="0"/>
        <w:bidi w:val="0"/>
        <w:spacing w:before="50" w:after="50"/>
        <w:jc w:val="center"/>
        <w:rPr>
          <w:highlight w:val="none"/>
        </w:rPr>
      </w:pPr>
    </w:p>
    <w:p w14:paraId="393AEA12">
      <w:pPr>
        <w:keepNext w:val="0"/>
        <w:keepLines w:val="0"/>
        <w:pageBreakBefore w:val="0"/>
        <w:widowControl w:val="0"/>
        <w:kinsoku/>
        <w:wordWrap w:val="0"/>
        <w:overflowPunct/>
        <w:topLinePunct w:val="0"/>
        <w:bidi w:val="0"/>
        <w:spacing w:before="50" w:after="50"/>
        <w:jc w:val="center"/>
        <w:rPr>
          <w:highlight w:val="none"/>
        </w:rPr>
      </w:pPr>
    </w:p>
    <w:p w14:paraId="4F1AE86D">
      <w:pPr>
        <w:keepNext w:val="0"/>
        <w:keepLines w:val="0"/>
        <w:pageBreakBefore w:val="0"/>
        <w:widowControl w:val="0"/>
        <w:kinsoku/>
        <w:wordWrap w:val="0"/>
        <w:overflowPunct/>
        <w:topLinePunct w:val="0"/>
        <w:bidi w:val="0"/>
        <w:spacing w:before="50" w:after="50"/>
        <w:jc w:val="center"/>
        <w:rPr>
          <w:highlight w:val="none"/>
        </w:rPr>
      </w:pPr>
    </w:p>
    <w:p w14:paraId="4DA20192">
      <w:pPr>
        <w:keepNext w:val="0"/>
        <w:keepLines w:val="0"/>
        <w:pageBreakBefore w:val="0"/>
        <w:widowControl w:val="0"/>
        <w:kinsoku/>
        <w:wordWrap w:val="0"/>
        <w:overflowPunct/>
        <w:topLinePunct w:val="0"/>
        <w:bidi w:val="0"/>
        <w:spacing w:before="50" w:after="50"/>
        <w:jc w:val="center"/>
        <w:rPr>
          <w:highlight w:val="none"/>
        </w:rPr>
      </w:pPr>
    </w:p>
    <w:p w14:paraId="64B86C89">
      <w:pPr>
        <w:keepNext w:val="0"/>
        <w:keepLines w:val="0"/>
        <w:pageBreakBefore w:val="0"/>
        <w:widowControl w:val="0"/>
        <w:kinsoku/>
        <w:wordWrap w:val="0"/>
        <w:overflowPunct/>
        <w:topLinePunct w:val="0"/>
        <w:bidi w:val="0"/>
        <w:spacing w:before="50" w:after="50"/>
        <w:jc w:val="center"/>
        <w:rPr>
          <w:highlight w:val="none"/>
        </w:rPr>
      </w:pPr>
    </w:p>
    <w:p w14:paraId="7004870A">
      <w:pPr>
        <w:keepNext w:val="0"/>
        <w:keepLines w:val="0"/>
        <w:pageBreakBefore w:val="0"/>
        <w:widowControl w:val="0"/>
        <w:kinsoku/>
        <w:wordWrap w:val="0"/>
        <w:overflowPunct/>
        <w:topLinePunct w:val="0"/>
        <w:bidi w:val="0"/>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七</w:t>
      </w:r>
      <w:r>
        <w:rPr>
          <w:rFonts w:hint="eastAsia" w:ascii="宋体" w:hAnsi="宋体" w:eastAsia="宋体" w:cs="宋体"/>
          <w:b/>
          <w:bCs/>
          <w:color w:val="000000"/>
          <w:sz w:val="32"/>
          <w:szCs w:val="32"/>
          <w:highlight w:val="none"/>
        </w:rPr>
        <w:t>、技术方案、服务承诺、培训承诺等</w:t>
      </w:r>
    </w:p>
    <w:p w14:paraId="7B35C616">
      <w:pPr>
        <w:pStyle w:val="13"/>
        <w:keepNext w:val="0"/>
        <w:keepLines w:val="0"/>
        <w:pageBreakBefore w:val="0"/>
        <w:widowControl w:val="0"/>
        <w:tabs>
          <w:tab w:val="left" w:pos="2160"/>
        </w:tabs>
        <w:kinsoku/>
        <w:wordWrap w:val="0"/>
        <w:overflowPunct/>
        <w:topLinePunct w:val="0"/>
        <w:bidi w:val="0"/>
        <w:spacing w:beforeAutospacing="0" w:afterAutospacing="0"/>
        <w:jc w:val="both"/>
        <w:rPr>
          <w:highlight w:val="none"/>
        </w:rPr>
      </w:pPr>
    </w:p>
    <w:p w14:paraId="2E05F151">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4A600B49">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0BD27D1B">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26590AC4">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2AA4ACEE">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3941763E">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7BDE8637">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28C20E5A">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68A65AD9">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3102B3C3">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61F78CD7">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40ABC58B">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38DB44D6">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1FF3DE71">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5078FCFC">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685824D5">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6075A9B9">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2947B088">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391DFE35">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44D85E4E">
      <w:pPr>
        <w:keepNext w:val="0"/>
        <w:keepLines w:val="0"/>
        <w:pageBreakBefore w:val="0"/>
        <w:widowControl w:val="0"/>
        <w:kinsoku/>
        <w:wordWrap w:val="0"/>
        <w:overflowPunct/>
        <w:topLinePunct w:val="0"/>
        <w:bidi w:val="0"/>
        <w:spacing w:line="499" w:lineRule="atLeast"/>
        <w:ind w:firstLine="1600"/>
        <w:rPr>
          <w:rFonts w:ascii="宋体" w:hAnsi="宋体" w:eastAsia="宋体" w:cs="宋体"/>
          <w:color w:val="000000"/>
          <w:sz w:val="32"/>
          <w:szCs w:val="32"/>
          <w:highlight w:val="none"/>
        </w:rPr>
      </w:pPr>
    </w:p>
    <w:p w14:paraId="4CFD966F">
      <w:pPr>
        <w:keepNext w:val="0"/>
        <w:keepLines w:val="0"/>
        <w:pageBreakBefore w:val="0"/>
        <w:widowControl w:val="0"/>
        <w:kinsoku/>
        <w:wordWrap w:val="0"/>
        <w:overflowPunct/>
        <w:topLinePunct w:val="0"/>
        <w:bidi w:val="0"/>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八</w:t>
      </w:r>
      <w:r>
        <w:rPr>
          <w:rFonts w:hint="eastAsia" w:ascii="宋体" w:hAnsi="宋体" w:eastAsia="宋体" w:cs="宋体"/>
          <w:b/>
          <w:bCs/>
          <w:color w:val="000000"/>
          <w:sz w:val="32"/>
          <w:szCs w:val="32"/>
          <w:highlight w:val="none"/>
        </w:rPr>
        <w:t>、盐城市政府采购事前信用承诺书</w:t>
      </w:r>
    </w:p>
    <w:p w14:paraId="12DBF935">
      <w:pPr>
        <w:keepNext w:val="0"/>
        <w:keepLines w:val="0"/>
        <w:pageBreakBefore w:val="0"/>
        <w:widowControl w:val="0"/>
        <w:kinsoku/>
        <w:wordWrap w:val="0"/>
        <w:overflowPunct/>
        <w:topLinePunct w:val="0"/>
        <w:bidi w:val="0"/>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keepNext w:val="0"/>
        <w:keepLines w:val="0"/>
        <w:pageBreakBefore w:val="0"/>
        <w:widowControl w:val="0"/>
        <w:kinsoku/>
        <w:wordWrap w:val="0"/>
        <w:overflowPunct/>
        <w:topLinePunct w:val="0"/>
        <w:bidi w:val="0"/>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keepNext w:val="0"/>
        <w:keepLines w:val="0"/>
        <w:pageBreakBefore w:val="0"/>
        <w:widowControl w:val="0"/>
        <w:kinsoku/>
        <w:wordWrap w:val="0"/>
        <w:overflowPunct/>
        <w:topLinePunct w:val="0"/>
        <w:bidi w:val="0"/>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keepNext w:val="0"/>
        <w:keepLines w:val="0"/>
        <w:pageBreakBefore w:val="0"/>
        <w:widowControl w:val="0"/>
        <w:kinsoku/>
        <w:wordWrap w:val="0"/>
        <w:overflowPunct/>
        <w:topLinePunct w:val="0"/>
        <w:bidi w:val="0"/>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keepNext w:val="0"/>
        <w:keepLines w:val="0"/>
        <w:pageBreakBefore w:val="0"/>
        <w:widowControl w:val="0"/>
        <w:kinsoku/>
        <w:wordWrap w:val="0"/>
        <w:overflowPunct/>
        <w:topLinePunct w:val="0"/>
        <w:bidi w:val="0"/>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3C5185D7">
      <w:pPr>
        <w:keepNext w:val="0"/>
        <w:keepLines w:val="0"/>
        <w:pageBreakBefore w:val="0"/>
        <w:widowControl w:val="0"/>
        <w:kinsoku/>
        <w:wordWrap w:val="0"/>
        <w:overflowPunct/>
        <w:topLinePunct w:val="0"/>
        <w:bidi w:val="0"/>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keepNext w:val="0"/>
        <w:keepLines w:val="0"/>
        <w:pageBreakBefore w:val="0"/>
        <w:widowControl w:val="0"/>
        <w:kinsoku/>
        <w:wordWrap w:val="0"/>
        <w:overflowPunct/>
        <w:topLinePunct w:val="0"/>
        <w:bidi w:val="0"/>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5D8529CE">
      <w:pPr>
        <w:pStyle w:val="13"/>
        <w:keepNext w:val="0"/>
        <w:keepLines w:val="0"/>
        <w:pageBreakBefore w:val="0"/>
        <w:widowControl w:val="0"/>
        <w:kinsoku/>
        <w:wordWrap w:val="0"/>
        <w:overflowPunct/>
        <w:topLinePunct w:val="0"/>
        <w:bidi w:val="0"/>
        <w:spacing w:beforeAutospacing="0" w:afterAutospacing="0"/>
        <w:jc w:val="center"/>
        <w:rPr>
          <w:highlight w:val="none"/>
        </w:rPr>
      </w:pPr>
    </w:p>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8"/>
    <w:bookmarkEnd w:id="181"/>
    <w:bookmarkEnd w:id="185"/>
    <w:bookmarkEnd w:id="186"/>
    <w:bookmarkEnd w:id="188"/>
    <w:bookmarkEnd w:id="189"/>
    <w:bookmarkEnd w:id="190"/>
    <w:bookmarkEnd w:id="191"/>
    <w:bookmarkEnd w:id="200"/>
    <w:bookmarkEnd w:id="201"/>
    <w:bookmarkEnd w:id="202"/>
    <w:bookmarkEnd w:id="203"/>
    <w:bookmarkEnd w:id="204"/>
    <w:p w14:paraId="3D2A7919">
      <w:pPr>
        <w:keepNext w:val="0"/>
        <w:keepLines w:val="0"/>
        <w:pageBreakBefore w:val="0"/>
        <w:widowControl w:val="0"/>
        <w:kinsoku/>
        <w:wordWrap w:val="0"/>
        <w:overflowPunct/>
        <w:topLinePunct w:val="0"/>
        <w:bidi w:val="0"/>
        <w:rPr>
          <w:highlight w:val="none"/>
        </w:rPr>
      </w:pPr>
    </w:p>
    <w:p w14:paraId="4D3B41D8">
      <w:pPr>
        <w:pStyle w:val="13"/>
        <w:keepNext w:val="0"/>
        <w:keepLines w:val="0"/>
        <w:pageBreakBefore w:val="0"/>
        <w:widowControl w:val="0"/>
        <w:kinsoku/>
        <w:wordWrap w:val="0"/>
        <w:overflowPunct/>
        <w:topLinePunct w:val="0"/>
        <w:bidi w:val="0"/>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3"/>
        <w:keepNext w:val="0"/>
        <w:keepLines w:val="0"/>
        <w:pageBreakBefore w:val="0"/>
        <w:widowControl w:val="0"/>
        <w:kinsoku/>
        <w:wordWrap w:val="0"/>
        <w:overflowPunct/>
        <w:topLinePunct w:val="0"/>
        <w:bidi w:val="0"/>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3"/>
        <w:keepNext w:val="0"/>
        <w:keepLines w:val="0"/>
        <w:pageBreakBefore w:val="0"/>
        <w:widowControl w:val="0"/>
        <w:kinsoku/>
        <w:wordWrap w:val="0"/>
        <w:overflowPunct/>
        <w:topLinePunct w:val="0"/>
        <w:bidi w:val="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3"/>
        <w:keepNext w:val="0"/>
        <w:keepLines w:val="0"/>
        <w:pageBreakBefore w:val="0"/>
        <w:widowControl w:val="0"/>
        <w:kinsoku/>
        <w:wordWrap w:val="0"/>
        <w:overflowPunct/>
        <w:topLinePunct w:val="0"/>
        <w:bidi w:val="0"/>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3"/>
        <w:keepNext w:val="0"/>
        <w:keepLines w:val="0"/>
        <w:pageBreakBefore w:val="0"/>
        <w:widowControl w:val="0"/>
        <w:kinsoku/>
        <w:wordWrap w:val="0"/>
        <w:overflowPunct/>
        <w:topLinePunct w:val="0"/>
        <w:bidi w:val="0"/>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3"/>
        <w:keepNext w:val="0"/>
        <w:keepLines w:val="0"/>
        <w:pageBreakBefore w:val="0"/>
        <w:widowControl w:val="0"/>
        <w:kinsoku/>
        <w:wordWrap w:val="0"/>
        <w:overflowPunct/>
        <w:topLinePunct w:val="0"/>
        <w:bidi w:val="0"/>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3"/>
        <w:keepNext w:val="0"/>
        <w:keepLines w:val="0"/>
        <w:pageBreakBefore w:val="0"/>
        <w:widowControl w:val="0"/>
        <w:kinsoku/>
        <w:wordWrap w:val="0"/>
        <w:overflowPunct/>
        <w:topLinePunct w:val="0"/>
        <w:bidi w:val="0"/>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3"/>
        <w:keepNext w:val="0"/>
        <w:keepLines w:val="0"/>
        <w:pageBreakBefore w:val="0"/>
        <w:widowControl w:val="0"/>
        <w:kinsoku/>
        <w:wordWrap w:val="0"/>
        <w:overflowPunct/>
        <w:topLinePunct w:val="0"/>
        <w:bidi w:val="0"/>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3"/>
        <w:keepNext w:val="0"/>
        <w:keepLines w:val="0"/>
        <w:pageBreakBefore w:val="0"/>
        <w:widowControl w:val="0"/>
        <w:kinsoku/>
        <w:wordWrap w:val="0"/>
        <w:overflowPunct/>
        <w:topLinePunct w:val="0"/>
        <w:bidi w:val="0"/>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3"/>
        <w:keepNext w:val="0"/>
        <w:keepLines w:val="0"/>
        <w:pageBreakBefore w:val="0"/>
        <w:widowControl w:val="0"/>
        <w:kinsoku/>
        <w:wordWrap w:val="0"/>
        <w:overflowPunct/>
        <w:topLinePunct w:val="0"/>
        <w:bidi w:val="0"/>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3"/>
        <w:keepNext w:val="0"/>
        <w:keepLines w:val="0"/>
        <w:pageBreakBefore w:val="0"/>
        <w:widowControl w:val="0"/>
        <w:kinsoku/>
        <w:wordWrap w:val="0"/>
        <w:overflowPunct/>
        <w:topLinePunct w:val="0"/>
        <w:bidi w:val="0"/>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3"/>
        <w:keepNext w:val="0"/>
        <w:keepLines w:val="0"/>
        <w:pageBreakBefore w:val="0"/>
        <w:widowControl w:val="0"/>
        <w:kinsoku/>
        <w:wordWrap w:val="0"/>
        <w:overflowPunct/>
        <w:topLinePunct w:val="0"/>
        <w:bidi w:val="0"/>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3"/>
        <w:keepNext w:val="0"/>
        <w:keepLines w:val="0"/>
        <w:pageBreakBefore w:val="0"/>
        <w:widowControl w:val="0"/>
        <w:kinsoku/>
        <w:wordWrap w:val="0"/>
        <w:overflowPunct/>
        <w:topLinePunct w:val="0"/>
        <w:bidi w:val="0"/>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keepNext w:val="0"/>
        <w:keepLines w:val="0"/>
        <w:pageBreakBefore w:val="0"/>
        <w:widowControl w:val="0"/>
        <w:kinsoku/>
        <w:wordWrap w:val="0"/>
        <w:overflowPunct/>
        <w:topLinePunct w:val="0"/>
        <w:bidi w:val="0"/>
        <w:rPr>
          <w:highlight w:val="none"/>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方正魏碑_GBK">
    <w:altName w:val="宋体"/>
    <w:panose1 w:val="03000509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1AE08">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F6EF3">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3DF6EF3">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4E5F4">
    <w:pPr>
      <w:pStyle w:val="11"/>
      <w:pBdr>
        <w:bottom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3C930AC4"/>
    <w:multiLevelType w:val="multilevel"/>
    <w:tmpl w:val="3C930AC4"/>
    <w:lvl w:ilvl="0" w:tentative="0">
      <w:start w:val="1"/>
      <w:numFmt w:val="decimal"/>
      <w:suff w:val="space"/>
      <w:lvlText w:val="%1"/>
      <w:lvlJc w:val="left"/>
      <w:pPr>
        <w:ind w:left="0" w:firstLine="0"/>
      </w:pPr>
      <w:rPr>
        <w:rFonts w:hint="eastAsia"/>
        <w:sz w:val="32"/>
        <w:szCs w:val="32"/>
      </w:r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rPr>
        <w:rFonts w:hint="eastAsia"/>
        <w:b/>
        <w:bCs/>
        <w:i w:val="0"/>
        <w:iCs w:val="0"/>
        <w:caps w:val="0"/>
        <w:smallCaps w:val="0"/>
        <w:strike w:val="0"/>
        <w:dstrike w:val="0"/>
        <w:vanish w:val="0"/>
        <w:color w:val="000000"/>
        <w:spacing w:val="0"/>
        <w:position w:val="0"/>
        <w:u w:val="none"/>
        <w:vertAlign w:val="baseline"/>
      </w:rPr>
    </w:lvl>
    <w:lvl w:ilvl="3" w:tentative="0">
      <w:start w:val="1"/>
      <w:numFmt w:val="decimal"/>
      <w:suff w:val="space"/>
      <w:lvlText w:val="%1.%2.%3.%4"/>
      <w:lvlJc w:val="left"/>
      <w:pPr>
        <w:ind w:left="0" w:firstLine="0"/>
      </w:pPr>
      <w:rPr>
        <w:rFonts w:hint="eastAsia"/>
        <w:b/>
        <w:bCs/>
        <w:i w:val="0"/>
        <w:iCs w:val="0"/>
        <w:caps w:val="0"/>
        <w:smallCaps w:val="0"/>
        <w:strike w:val="0"/>
        <w:dstrike w:val="0"/>
        <w:vanish w:val="0"/>
        <w:color w:val="000000"/>
        <w:spacing w:val="0"/>
        <w:position w:val="0"/>
        <w:u w:val="none"/>
        <w:vertAlign w:val="baseline"/>
      </w:rPr>
    </w:lvl>
    <w:lvl w:ilvl="4" w:tentative="0">
      <w:start w:val="1"/>
      <w:numFmt w:val="decimal"/>
      <w:lvlRestart w:val="1"/>
      <w:suff w:val="space"/>
      <w:lvlText w:val="图 %1-%5"/>
      <w:lvlJc w:val="left"/>
      <w:pPr>
        <w:ind w:left="5246" w:firstLine="0"/>
      </w:pPr>
      <w:rPr>
        <w:rFonts w:hint="eastAsia"/>
        <w:b/>
        <w:bCs w:val="0"/>
        <w:i w:val="0"/>
        <w:iCs w:val="0"/>
        <w:caps w:val="0"/>
        <w:smallCaps w:val="0"/>
        <w:strike w:val="0"/>
        <w:dstrike w:val="0"/>
        <w:vanish w:val="0"/>
        <w:color w:val="000000"/>
        <w:spacing w:val="0"/>
        <w:position w:val="0"/>
        <w:u w:val="none"/>
        <w:vertAlign w:val="baseline"/>
      </w:rPr>
    </w:lvl>
    <w:lvl w:ilvl="5" w:tentative="0">
      <w:start w:val="1"/>
      <w:numFmt w:val="decimal"/>
      <w:lvlRestart w:val="1"/>
      <w:suff w:val="space"/>
      <w:lvlText w:val="表 %1-%6"/>
      <w:lvlJc w:val="left"/>
      <w:pPr>
        <w:ind w:left="0" w:firstLine="0"/>
      </w:pPr>
      <w:rPr>
        <w:rFonts w:hint="eastAsia"/>
        <w:b/>
        <w:bCs w:val="0"/>
        <w:i w:val="0"/>
        <w:iCs w:val="0"/>
        <w:caps w:val="0"/>
        <w:smallCaps w:val="0"/>
        <w:strike w:val="0"/>
        <w:dstrike w:val="0"/>
        <w:vanish w:val="0"/>
        <w:color w:val="000000"/>
        <w:spacing w:val="0"/>
        <w:position w:val="0"/>
        <w:u w:val="none"/>
        <w:vertAlign w:val="baseline"/>
        <w:lang w:val="en-US"/>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
    <w:lvlOverride w:ilvl="0">
      <w:lvl w:ilvl="0" w:tentative="1">
        <w:start w:val="1"/>
        <w:numFmt w:val="decimal"/>
        <w:suff w:val="space"/>
        <w:lvlText w:val="%1"/>
        <w:lvlJc w:val="left"/>
        <w:pPr>
          <w:ind w:left="3544" w:firstLine="0"/>
        </w:pPr>
        <w:rPr>
          <w:rFonts w:hint="eastAsia"/>
          <w:sz w:val="32"/>
          <w:szCs w:val="32"/>
        </w:rPr>
      </w:lvl>
    </w:lvlOverride>
    <w:lvlOverride w:ilvl="1">
      <w:lvl w:ilvl="1" w:tentative="1">
        <w:start w:val="1"/>
        <w:numFmt w:val="decimal"/>
        <w:suff w:val="space"/>
        <w:lvlText w:val="%1.%2"/>
        <w:lvlJc w:val="left"/>
        <w:pPr>
          <w:ind w:left="3544" w:firstLine="0"/>
        </w:pPr>
      </w:lvl>
    </w:lvlOverride>
    <w:lvlOverride w:ilvl="2">
      <w:lvl w:ilvl="2" w:tentative="1">
        <w:start w:val="1"/>
        <w:numFmt w:val="decimal"/>
        <w:suff w:val="space"/>
        <w:lvlText w:val="%1.%2.%3"/>
        <w:lvlJc w:val="left"/>
        <w:pPr>
          <w:ind w:left="3544" w:firstLine="0"/>
        </w:pPr>
        <w:rPr>
          <w:rFonts w:hint="eastAsia"/>
          <w:b/>
          <w:bCs/>
          <w:i w:val="0"/>
          <w:iCs w:val="0"/>
          <w:caps w:val="0"/>
          <w:smallCaps w:val="0"/>
          <w:strike w:val="0"/>
          <w:dstrike w:val="0"/>
          <w:vanish w:val="0"/>
          <w:color w:val="000000"/>
          <w:spacing w:val="0"/>
          <w:position w:val="0"/>
          <w:u w:val="none"/>
          <w:vertAlign w:val="baseline"/>
        </w:rPr>
      </w:lvl>
    </w:lvlOverride>
    <w:lvlOverride w:ilvl="3">
      <w:lvl w:ilvl="3" w:tentative="1">
        <w:start w:val="1"/>
        <w:numFmt w:val="decimal"/>
        <w:suff w:val="space"/>
        <w:lvlText w:val="%1.%2.%3.%4"/>
        <w:lvlJc w:val="left"/>
        <w:pPr>
          <w:ind w:left="3544" w:firstLine="0"/>
        </w:pPr>
        <w:rPr>
          <w:rFonts w:hint="eastAsia"/>
          <w:b/>
          <w:bCs/>
          <w:i w:val="0"/>
          <w:iCs w:val="0"/>
          <w:caps w:val="0"/>
          <w:smallCaps w:val="0"/>
          <w:strike w:val="0"/>
          <w:dstrike w:val="0"/>
          <w:vanish w:val="0"/>
          <w:color w:val="000000"/>
          <w:spacing w:val="0"/>
          <w:position w:val="0"/>
          <w:u w:val="none"/>
          <w:vertAlign w:val="baseline"/>
        </w:rPr>
      </w:lvl>
    </w:lvlOverride>
    <w:lvlOverride w:ilvl="4">
      <w:lvl w:ilvl="4" w:tentative="1">
        <w:start w:val="1"/>
        <w:numFmt w:val="decimal"/>
        <w:lvlRestart w:val="1"/>
        <w:pStyle w:val="28"/>
        <w:suff w:val="space"/>
        <w:lvlText w:val="图 %1-%5"/>
        <w:lvlJc w:val="left"/>
        <w:pPr>
          <w:ind w:left="8790" w:firstLine="0"/>
        </w:pPr>
        <w:rPr>
          <w:rFonts w:hint="eastAsia"/>
          <w:b/>
          <w:bCs w:val="0"/>
          <w:i w:val="0"/>
          <w:iCs w:val="0"/>
          <w:caps w:val="0"/>
          <w:smallCaps w:val="0"/>
          <w:strike w:val="0"/>
          <w:dstrike w:val="0"/>
          <w:vanish w:val="0"/>
          <w:color w:val="000000"/>
          <w:spacing w:val="0"/>
          <w:position w:val="0"/>
          <w:u w:val="none"/>
          <w:vertAlign w:val="baseline"/>
        </w:rPr>
      </w:lvl>
    </w:lvlOverride>
    <w:lvlOverride w:ilvl="5">
      <w:lvl w:ilvl="5" w:tentative="1">
        <w:start w:val="1"/>
        <w:numFmt w:val="decimal"/>
        <w:lvlRestart w:val="1"/>
        <w:suff w:val="space"/>
        <w:lvlText w:val="表 %1-%6"/>
        <w:lvlJc w:val="left"/>
        <w:pPr>
          <w:ind w:left="3544" w:firstLine="0"/>
        </w:pPr>
        <w:rPr>
          <w:rFonts w:hint="eastAsia"/>
          <w:b/>
          <w:bCs w:val="0"/>
          <w:i w:val="0"/>
          <w:iCs w:val="0"/>
          <w:caps w:val="0"/>
          <w:smallCaps w:val="0"/>
          <w:strike w:val="0"/>
          <w:dstrike w:val="0"/>
          <w:vanish w:val="0"/>
          <w:color w:val="000000"/>
          <w:spacing w:val="0"/>
          <w:position w:val="0"/>
          <w:u w:val="none"/>
          <w:vertAlign w:val="baseline"/>
          <w:lang w:val="en-US"/>
        </w:rPr>
      </w:lvl>
    </w:lvlOverride>
    <w:lvlOverride w:ilvl="6">
      <w:lvl w:ilvl="6" w:tentative="1">
        <w:start w:val="1"/>
        <w:numFmt w:val="decimal"/>
        <w:lvlText w:val="%1.%2.%3.%4.%5.%6.%7"/>
        <w:lvlJc w:val="left"/>
        <w:pPr>
          <w:ind w:left="3544" w:firstLine="0"/>
        </w:pPr>
        <w:rPr>
          <w:rFonts w:hint="eastAsia"/>
        </w:rPr>
      </w:lvl>
    </w:lvlOverride>
    <w:lvlOverride w:ilvl="7">
      <w:lvl w:ilvl="7" w:tentative="1">
        <w:start w:val="1"/>
        <w:numFmt w:val="decimal"/>
        <w:lvlText w:val="%1.%2.%3.%4.%5.%6.%7.%8"/>
        <w:lvlJc w:val="left"/>
        <w:pPr>
          <w:ind w:left="3544" w:firstLine="0"/>
        </w:pPr>
        <w:rPr>
          <w:rFonts w:hint="eastAsia"/>
        </w:rPr>
      </w:lvl>
    </w:lvlOverride>
    <w:lvlOverride w:ilvl="8">
      <w:lvl w:ilvl="8" w:tentative="1">
        <w:start w:val="1"/>
        <w:numFmt w:val="decimal"/>
        <w:lvlText w:val="%1.%2.%3.%4.%5.%6.%7.%8.%9"/>
        <w:lvlJc w:val="left"/>
        <w:pPr>
          <w:ind w:left="3544" w:firstLine="0"/>
        </w:pPr>
        <w:rPr>
          <w:rFonts w:hint="eastAsia"/>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8202B"/>
    <w:rsid w:val="015C3D17"/>
    <w:rsid w:val="016025FC"/>
    <w:rsid w:val="01C209CB"/>
    <w:rsid w:val="01DD59FB"/>
    <w:rsid w:val="021C29C7"/>
    <w:rsid w:val="02357688"/>
    <w:rsid w:val="02851591"/>
    <w:rsid w:val="02BD5381"/>
    <w:rsid w:val="02D505AD"/>
    <w:rsid w:val="02DF3514"/>
    <w:rsid w:val="03365B5E"/>
    <w:rsid w:val="034E4AD1"/>
    <w:rsid w:val="037E0789"/>
    <w:rsid w:val="03913FFC"/>
    <w:rsid w:val="04CF1FA6"/>
    <w:rsid w:val="052B1173"/>
    <w:rsid w:val="056E5657"/>
    <w:rsid w:val="05AD05DE"/>
    <w:rsid w:val="05BD3D79"/>
    <w:rsid w:val="05D1541D"/>
    <w:rsid w:val="0621639E"/>
    <w:rsid w:val="062C42CE"/>
    <w:rsid w:val="06764670"/>
    <w:rsid w:val="06867FD2"/>
    <w:rsid w:val="068A6E34"/>
    <w:rsid w:val="06B12B65"/>
    <w:rsid w:val="06BD3726"/>
    <w:rsid w:val="070B125C"/>
    <w:rsid w:val="071D689A"/>
    <w:rsid w:val="07887E6F"/>
    <w:rsid w:val="07994E3B"/>
    <w:rsid w:val="07A02A3F"/>
    <w:rsid w:val="07A40F48"/>
    <w:rsid w:val="07F651C7"/>
    <w:rsid w:val="080A468F"/>
    <w:rsid w:val="0854758E"/>
    <w:rsid w:val="08992D34"/>
    <w:rsid w:val="08C86899"/>
    <w:rsid w:val="09132265"/>
    <w:rsid w:val="09D92A42"/>
    <w:rsid w:val="09FE79EC"/>
    <w:rsid w:val="0A894972"/>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655282"/>
    <w:rsid w:val="0F6D24BC"/>
    <w:rsid w:val="0F7D537E"/>
    <w:rsid w:val="0FA97CFC"/>
    <w:rsid w:val="0FBC4A1F"/>
    <w:rsid w:val="0FE97C61"/>
    <w:rsid w:val="10007707"/>
    <w:rsid w:val="1034712E"/>
    <w:rsid w:val="1054157E"/>
    <w:rsid w:val="10B2533E"/>
    <w:rsid w:val="10ED3781"/>
    <w:rsid w:val="11072A94"/>
    <w:rsid w:val="11AB711C"/>
    <w:rsid w:val="11EB7CC0"/>
    <w:rsid w:val="12A21019"/>
    <w:rsid w:val="12D9220E"/>
    <w:rsid w:val="12F015A0"/>
    <w:rsid w:val="132711CC"/>
    <w:rsid w:val="13D157F4"/>
    <w:rsid w:val="143E4A1F"/>
    <w:rsid w:val="14477BA7"/>
    <w:rsid w:val="149F1814"/>
    <w:rsid w:val="157923E7"/>
    <w:rsid w:val="162C6AF9"/>
    <w:rsid w:val="163E3563"/>
    <w:rsid w:val="169263C8"/>
    <w:rsid w:val="169632B3"/>
    <w:rsid w:val="16A61788"/>
    <w:rsid w:val="16AE07B1"/>
    <w:rsid w:val="16AF4856"/>
    <w:rsid w:val="16FC471D"/>
    <w:rsid w:val="170045BA"/>
    <w:rsid w:val="174D6D27"/>
    <w:rsid w:val="174D7871"/>
    <w:rsid w:val="17666D47"/>
    <w:rsid w:val="176F0FD8"/>
    <w:rsid w:val="17732C32"/>
    <w:rsid w:val="178521C3"/>
    <w:rsid w:val="17884203"/>
    <w:rsid w:val="178935B5"/>
    <w:rsid w:val="17FD7FE9"/>
    <w:rsid w:val="18BC4109"/>
    <w:rsid w:val="18D23988"/>
    <w:rsid w:val="193260E4"/>
    <w:rsid w:val="19835197"/>
    <w:rsid w:val="19A11C2E"/>
    <w:rsid w:val="1A1C3150"/>
    <w:rsid w:val="1A4F2C83"/>
    <w:rsid w:val="1AA839EE"/>
    <w:rsid w:val="1AD2708F"/>
    <w:rsid w:val="1AD75285"/>
    <w:rsid w:val="1AE6196C"/>
    <w:rsid w:val="1B193AF0"/>
    <w:rsid w:val="1B3E5305"/>
    <w:rsid w:val="1B5508A0"/>
    <w:rsid w:val="1B5F5046"/>
    <w:rsid w:val="1B9509DF"/>
    <w:rsid w:val="1BA002D8"/>
    <w:rsid w:val="1BCA6B98"/>
    <w:rsid w:val="1C493F61"/>
    <w:rsid w:val="1CAC4347"/>
    <w:rsid w:val="1D1C1092"/>
    <w:rsid w:val="1D605A5A"/>
    <w:rsid w:val="1D731BEF"/>
    <w:rsid w:val="1D812873"/>
    <w:rsid w:val="1DAE3742"/>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595A34"/>
    <w:rsid w:val="21827A71"/>
    <w:rsid w:val="21CC717D"/>
    <w:rsid w:val="220A5BA1"/>
    <w:rsid w:val="22144848"/>
    <w:rsid w:val="22424AA4"/>
    <w:rsid w:val="228C104B"/>
    <w:rsid w:val="22934188"/>
    <w:rsid w:val="22F62B8A"/>
    <w:rsid w:val="23151041"/>
    <w:rsid w:val="23254D08"/>
    <w:rsid w:val="23534E2B"/>
    <w:rsid w:val="242C02D7"/>
    <w:rsid w:val="24533DC2"/>
    <w:rsid w:val="24BE643D"/>
    <w:rsid w:val="24EC5DD1"/>
    <w:rsid w:val="2532334D"/>
    <w:rsid w:val="258E50DA"/>
    <w:rsid w:val="259B3353"/>
    <w:rsid w:val="259D3570"/>
    <w:rsid w:val="26750FF7"/>
    <w:rsid w:val="26797B39"/>
    <w:rsid w:val="27194423"/>
    <w:rsid w:val="27206206"/>
    <w:rsid w:val="27225ADA"/>
    <w:rsid w:val="27290FC5"/>
    <w:rsid w:val="280F2F92"/>
    <w:rsid w:val="28BC3D0D"/>
    <w:rsid w:val="28FE41FC"/>
    <w:rsid w:val="29345C52"/>
    <w:rsid w:val="2996274E"/>
    <w:rsid w:val="29BD7D3C"/>
    <w:rsid w:val="2A196186"/>
    <w:rsid w:val="2A4648B7"/>
    <w:rsid w:val="2A9A62D0"/>
    <w:rsid w:val="2B005440"/>
    <w:rsid w:val="2B58376B"/>
    <w:rsid w:val="2BCA6741"/>
    <w:rsid w:val="2C03574A"/>
    <w:rsid w:val="2C0A4EA8"/>
    <w:rsid w:val="2C1125C1"/>
    <w:rsid w:val="2C7B3B05"/>
    <w:rsid w:val="2CC277F5"/>
    <w:rsid w:val="2CEA709A"/>
    <w:rsid w:val="2D39592C"/>
    <w:rsid w:val="2E0C4DEE"/>
    <w:rsid w:val="2E5E7AF7"/>
    <w:rsid w:val="2E805CE1"/>
    <w:rsid w:val="2E9F2106"/>
    <w:rsid w:val="2EE73822"/>
    <w:rsid w:val="2FA80D19"/>
    <w:rsid w:val="2FAD4FD9"/>
    <w:rsid w:val="2FB346FB"/>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3AA081A"/>
    <w:rsid w:val="33AB50A9"/>
    <w:rsid w:val="34042EF1"/>
    <w:rsid w:val="34367069"/>
    <w:rsid w:val="34E14EA2"/>
    <w:rsid w:val="34E346A0"/>
    <w:rsid w:val="359B1151"/>
    <w:rsid w:val="35A41DB0"/>
    <w:rsid w:val="35AD49A2"/>
    <w:rsid w:val="35BC534C"/>
    <w:rsid w:val="36172BC3"/>
    <w:rsid w:val="36721EAF"/>
    <w:rsid w:val="36CC7C95"/>
    <w:rsid w:val="36E076F0"/>
    <w:rsid w:val="36EB650A"/>
    <w:rsid w:val="36FD72C1"/>
    <w:rsid w:val="375B1FDF"/>
    <w:rsid w:val="378133A9"/>
    <w:rsid w:val="37E1553E"/>
    <w:rsid w:val="383A233E"/>
    <w:rsid w:val="38C01EB3"/>
    <w:rsid w:val="38E71931"/>
    <w:rsid w:val="39101F1B"/>
    <w:rsid w:val="392D7EB3"/>
    <w:rsid w:val="39643D30"/>
    <w:rsid w:val="39720FC7"/>
    <w:rsid w:val="39987E7E"/>
    <w:rsid w:val="39A84137"/>
    <w:rsid w:val="39CD52E9"/>
    <w:rsid w:val="3A1C0AAF"/>
    <w:rsid w:val="3A575643"/>
    <w:rsid w:val="3A64388F"/>
    <w:rsid w:val="3AB02FA5"/>
    <w:rsid w:val="3B0B043D"/>
    <w:rsid w:val="3B702E61"/>
    <w:rsid w:val="3B820DE6"/>
    <w:rsid w:val="3B9710EF"/>
    <w:rsid w:val="3BBE7F80"/>
    <w:rsid w:val="3BDF2457"/>
    <w:rsid w:val="3BDF7FE6"/>
    <w:rsid w:val="3CC36DCD"/>
    <w:rsid w:val="3CCC7A39"/>
    <w:rsid w:val="3D23372C"/>
    <w:rsid w:val="3D2823FA"/>
    <w:rsid w:val="3D581DFE"/>
    <w:rsid w:val="3D6A4AAA"/>
    <w:rsid w:val="3DF80C94"/>
    <w:rsid w:val="3DFD4754"/>
    <w:rsid w:val="3E064F5A"/>
    <w:rsid w:val="3E161B6B"/>
    <w:rsid w:val="3E496B6B"/>
    <w:rsid w:val="3E542456"/>
    <w:rsid w:val="3E7F5998"/>
    <w:rsid w:val="3EA66B99"/>
    <w:rsid w:val="3EED6576"/>
    <w:rsid w:val="3F0056DB"/>
    <w:rsid w:val="3F0156C1"/>
    <w:rsid w:val="3F1A3023"/>
    <w:rsid w:val="3F243A9D"/>
    <w:rsid w:val="3FC26720"/>
    <w:rsid w:val="40260F22"/>
    <w:rsid w:val="402B33C8"/>
    <w:rsid w:val="40350295"/>
    <w:rsid w:val="406E1D8D"/>
    <w:rsid w:val="408C747A"/>
    <w:rsid w:val="41BB6E00"/>
    <w:rsid w:val="42053C57"/>
    <w:rsid w:val="42214BD9"/>
    <w:rsid w:val="42324DFA"/>
    <w:rsid w:val="42AF59D8"/>
    <w:rsid w:val="430D4AE7"/>
    <w:rsid w:val="431353F3"/>
    <w:rsid w:val="43455446"/>
    <w:rsid w:val="43DF5027"/>
    <w:rsid w:val="442E1425"/>
    <w:rsid w:val="44354C47"/>
    <w:rsid w:val="4450382F"/>
    <w:rsid w:val="44DA072F"/>
    <w:rsid w:val="454D0F8E"/>
    <w:rsid w:val="45890E3A"/>
    <w:rsid w:val="45FC0A54"/>
    <w:rsid w:val="46081EE8"/>
    <w:rsid w:val="461D469A"/>
    <w:rsid w:val="466976E6"/>
    <w:rsid w:val="46C62846"/>
    <w:rsid w:val="46D32596"/>
    <w:rsid w:val="46EA0CE7"/>
    <w:rsid w:val="470D4256"/>
    <w:rsid w:val="472208AE"/>
    <w:rsid w:val="47602729"/>
    <w:rsid w:val="47704C41"/>
    <w:rsid w:val="47755C7D"/>
    <w:rsid w:val="477F6C5D"/>
    <w:rsid w:val="47B925F3"/>
    <w:rsid w:val="48771F96"/>
    <w:rsid w:val="48910AEC"/>
    <w:rsid w:val="48913E27"/>
    <w:rsid w:val="489D725F"/>
    <w:rsid w:val="48B3170D"/>
    <w:rsid w:val="493C7DE9"/>
    <w:rsid w:val="49530EB1"/>
    <w:rsid w:val="49D62B33"/>
    <w:rsid w:val="4A1E13B4"/>
    <w:rsid w:val="4A2C49B0"/>
    <w:rsid w:val="4A7D1B0F"/>
    <w:rsid w:val="4AAC50D1"/>
    <w:rsid w:val="4AF64A04"/>
    <w:rsid w:val="4AFA44F5"/>
    <w:rsid w:val="4B0C37B9"/>
    <w:rsid w:val="4B944949"/>
    <w:rsid w:val="4BC33B49"/>
    <w:rsid w:val="4BD12EAB"/>
    <w:rsid w:val="4C0C6ECB"/>
    <w:rsid w:val="4C5A2B74"/>
    <w:rsid w:val="4C7E095F"/>
    <w:rsid w:val="4D2D20D9"/>
    <w:rsid w:val="4D317F76"/>
    <w:rsid w:val="4D3C69F8"/>
    <w:rsid w:val="4D784E5B"/>
    <w:rsid w:val="4D8B58D8"/>
    <w:rsid w:val="4DA074F7"/>
    <w:rsid w:val="4DA33F07"/>
    <w:rsid w:val="4DDE52C0"/>
    <w:rsid w:val="4E545B64"/>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C67DF5"/>
    <w:rsid w:val="55FA184D"/>
    <w:rsid w:val="56307253"/>
    <w:rsid w:val="56453199"/>
    <w:rsid w:val="582F6DAB"/>
    <w:rsid w:val="58366D88"/>
    <w:rsid w:val="58533496"/>
    <w:rsid w:val="588910E4"/>
    <w:rsid w:val="58977827"/>
    <w:rsid w:val="58AD45AF"/>
    <w:rsid w:val="58D4718C"/>
    <w:rsid w:val="59274DA4"/>
    <w:rsid w:val="593907EE"/>
    <w:rsid w:val="597131E7"/>
    <w:rsid w:val="599211F9"/>
    <w:rsid w:val="59A82CA5"/>
    <w:rsid w:val="5ABD109B"/>
    <w:rsid w:val="5AD514E8"/>
    <w:rsid w:val="5AD536B4"/>
    <w:rsid w:val="5AEA4CCC"/>
    <w:rsid w:val="5B031B11"/>
    <w:rsid w:val="5B2C4517"/>
    <w:rsid w:val="5B96574B"/>
    <w:rsid w:val="5C063D09"/>
    <w:rsid w:val="5C2A4141"/>
    <w:rsid w:val="5C5A652B"/>
    <w:rsid w:val="5CE305DA"/>
    <w:rsid w:val="5D3E5EBD"/>
    <w:rsid w:val="5DDD75C3"/>
    <w:rsid w:val="5DE138D8"/>
    <w:rsid w:val="5DF3693E"/>
    <w:rsid w:val="5E1921ED"/>
    <w:rsid w:val="5EF07A1A"/>
    <w:rsid w:val="5F7D5E8E"/>
    <w:rsid w:val="5F7F522A"/>
    <w:rsid w:val="5FD72BFF"/>
    <w:rsid w:val="5FFC4413"/>
    <w:rsid w:val="601337BB"/>
    <w:rsid w:val="60762DC3"/>
    <w:rsid w:val="60D51B2B"/>
    <w:rsid w:val="617F2D1C"/>
    <w:rsid w:val="61891CD7"/>
    <w:rsid w:val="6223212B"/>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303461"/>
    <w:rsid w:val="6A751DB0"/>
    <w:rsid w:val="6AB95533"/>
    <w:rsid w:val="6B037E0E"/>
    <w:rsid w:val="6BDD2B0A"/>
    <w:rsid w:val="6BDE41BB"/>
    <w:rsid w:val="6BF40AC7"/>
    <w:rsid w:val="6C5462A8"/>
    <w:rsid w:val="6C7041BF"/>
    <w:rsid w:val="6C917FD7"/>
    <w:rsid w:val="6CCB3AEB"/>
    <w:rsid w:val="6D317DF2"/>
    <w:rsid w:val="6DAA410D"/>
    <w:rsid w:val="6DEE183F"/>
    <w:rsid w:val="6E3A0F28"/>
    <w:rsid w:val="6E401402"/>
    <w:rsid w:val="6F3574FF"/>
    <w:rsid w:val="6F6F7A6D"/>
    <w:rsid w:val="6F711F0A"/>
    <w:rsid w:val="6FBB0862"/>
    <w:rsid w:val="70106954"/>
    <w:rsid w:val="71716B68"/>
    <w:rsid w:val="71BB7860"/>
    <w:rsid w:val="71C1726B"/>
    <w:rsid w:val="72440385"/>
    <w:rsid w:val="72CC236B"/>
    <w:rsid w:val="72F84F0E"/>
    <w:rsid w:val="73234A86"/>
    <w:rsid w:val="73761484"/>
    <w:rsid w:val="73EA0CFB"/>
    <w:rsid w:val="74382034"/>
    <w:rsid w:val="743F3C99"/>
    <w:rsid w:val="74835482"/>
    <w:rsid w:val="74877DC7"/>
    <w:rsid w:val="74DB35C2"/>
    <w:rsid w:val="75890D8F"/>
    <w:rsid w:val="75980571"/>
    <w:rsid w:val="75B043EA"/>
    <w:rsid w:val="76D90F68"/>
    <w:rsid w:val="77280C7C"/>
    <w:rsid w:val="77660E93"/>
    <w:rsid w:val="77A613DD"/>
    <w:rsid w:val="77BB58EB"/>
    <w:rsid w:val="77C1540B"/>
    <w:rsid w:val="78032187"/>
    <w:rsid w:val="783E7320"/>
    <w:rsid w:val="785B76E8"/>
    <w:rsid w:val="78C43643"/>
    <w:rsid w:val="78CB19C0"/>
    <w:rsid w:val="78E026CC"/>
    <w:rsid w:val="78F35EFE"/>
    <w:rsid w:val="78FF5669"/>
    <w:rsid w:val="793275BA"/>
    <w:rsid w:val="799534B7"/>
    <w:rsid w:val="79A724F1"/>
    <w:rsid w:val="79B53B59"/>
    <w:rsid w:val="79C1605A"/>
    <w:rsid w:val="79E80298"/>
    <w:rsid w:val="7A4B7878"/>
    <w:rsid w:val="7A6D100D"/>
    <w:rsid w:val="7AE21ADE"/>
    <w:rsid w:val="7B4231CA"/>
    <w:rsid w:val="7B825670"/>
    <w:rsid w:val="7B8A5695"/>
    <w:rsid w:val="7B946370"/>
    <w:rsid w:val="7BD77DB7"/>
    <w:rsid w:val="7C3F1529"/>
    <w:rsid w:val="7C5F16F8"/>
    <w:rsid w:val="7C6929D9"/>
    <w:rsid w:val="7C9D3E10"/>
    <w:rsid w:val="7CA82FB1"/>
    <w:rsid w:val="7CAF2E48"/>
    <w:rsid w:val="7CB122FF"/>
    <w:rsid w:val="7CBC2AA0"/>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adjustRightInd w:val="0"/>
      <w:spacing w:line="315" w:lineRule="atLeast"/>
      <w:ind w:firstLine="420"/>
      <w:jc w:val="left"/>
      <w:textAlignment w:val="baseline"/>
    </w:pPr>
    <w:rPr>
      <w:rFonts w:ascii="宋体" w:hAnsi="Times New Roman" w:eastAsia="宋体" w:cs="Times New Roman"/>
      <w:kern w:val="0"/>
      <w:szCs w:val="20"/>
    </w:rPr>
  </w:style>
  <w:style w:type="paragraph" w:styleId="4">
    <w:name w:val="annotation text"/>
    <w:basedOn w:val="1"/>
    <w:autoRedefine/>
    <w:qFormat/>
    <w:uiPriority w:val="0"/>
    <w:pPr>
      <w:jc w:val="left"/>
    </w:p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Body Text Indent"/>
    <w:basedOn w:val="1"/>
    <w:next w:val="7"/>
    <w:qFormat/>
    <w:uiPriority w:val="0"/>
    <w:pPr>
      <w:spacing w:line="520" w:lineRule="exact"/>
      <w:ind w:left="570"/>
    </w:pPr>
    <w:rPr>
      <w:rFonts w:ascii="方正仿宋简体" w:hAnsi="创艺简仿宋" w:eastAsia="方正仿宋简体"/>
      <w:sz w:val="24"/>
      <w:szCs w:val="20"/>
    </w:rPr>
  </w:style>
  <w:style w:type="paragraph" w:styleId="7">
    <w:name w:val="envelope return"/>
    <w:basedOn w:val="1"/>
    <w:qFormat/>
    <w:uiPriority w:val="0"/>
    <w:rPr>
      <w:rFonts w:ascii="Arial" w:hAnsi="Arial" w:eastAsia="楷体_GB2312"/>
      <w:sz w:val="26"/>
      <w:szCs w:val="20"/>
    </w:rPr>
  </w:style>
  <w:style w:type="paragraph" w:styleId="8">
    <w:name w:val="Plain Text"/>
    <w:basedOn w:val="1"/>
    <w:next w:val="9"/>
    <w:qFormat/>
    <w:uiPriority w:val="0"/>
    <w:pPr>
      <w:widowControl/>
      <w:jc w:val="left"/>
    </w:pPr>
    <w:rPr>
      <w:rFonts w:hAnsi="Courier New"/>
      <w:szCs w:val="20"/>
    </w:rPr>
  </w:style>
  <w:style w:type="paragraph" w:customStyle="1" w:styleId="9">
    <w:name w:val="目录 71"/>
    <w:next w:val="1"/>
    <w:qFormat/>
    <w:uiPriority w:val="0"/>
    <w:pPr>
      <w:ind w:left="2125"/>
      <w:jc w:val="both"/>
    </w:pPr>
    <w:rPr>
      <w:rFonts w:hint="default" w:ascii="Times New Roman" w:hAnsi="Times New Roman" w:eastAsia="宋体" w:cs="Times New Roman"/>
      <w:sz w:val="21"/>
      <w:lang w:val="en-US" w:eastAsia="zh-CN" w:bidi="ar-SA"/>
    </w:rPr>
  </w:style>
  <w:style w:type="paragraph" w:styleId="10">
    <w:name w:val="footer"/>
    <w:basedOn w:val="1"/>
    <w:next w:val="1"/>
    <w:link w:val="20"/>
    <w:autoRedefine/>
    <w:qFormat/>
    <w:uiPriority w:val="0"/>
    <w:pPr>
      <w:tabs>
        <w:tab w:val="center" w:pos="4153"/>
        <w:tab w:val="right" w:pos="8306"/>
      </w:tabs>
      <w:snapToGrid w:val="0"/>
      <w:jc w:val="left"/>
    </w:pPr>
    <w:rPr>
      <w:sz w:val="18"/>
      <w:szCs w:val="18"/>
    </w:rPr>
  </w:style>
  <w:style w:type="paragraph" w:styleId="11">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next w:val="1"/>
    <w:qFormat/>
    <w:uiPriority w:val="0"/>
    <w:pPr>
      <w:spacing w:line="440" w:lineRule="atLeast"/>
      <w:ind w:firstLine="480"/>
      <w:jc w:val="left"/>
    </w:pPr>
    <w:rPr>
      <w:rFonts w:ascii="Times New Roman" w:hAnsi="Times New Roman" w:eastAsia="宋体" w:cs="Times New Roman"/>
      <w:sz w:val="24"/>
    </w:rPr>
  </w:style>
  <w:style w:type="paragraph" w:styleId="13">
    <w:name w:val="Normal (Web)"/>
    <w:basedOn w:val="1"/>
    <w:autoRedefine/>
    <w:qFormat/>
    <w:uiPriority w:val="0"/>
    <w:pPr>
      <w:spacing w:beforeAutospacing="1" w:afterAutospacing="1"/>
      <w:jc w:val="left"/>
    </w:pPr>
    <w:rPr>
      <w:rFonts w:cs="Times New Roman"/>
      <w:kern w:val="0"/>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Emphasis"/>
    <w:qFormat/>
    <w:uiPriority w:val="0"/>
    <w:rPr>
      <w:i/>
    </w:rPr>
  </w:style>
  <w:style w:type="paragraph" w:customStyle="1" w:styleId="18">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9">
    <w:name w:val="页眉 Char"/>
    <w:basedOn w:val="16"/>
    <w:link w:val="11"/>
    <w:autoRedefine/>
    <w:qFormat/>
    <w:uiPriority w:val="0"/>
    <w:rPr>
      <w:rFonts w:asciiTheme="minorHAnsi" w:hAnsiTheme="minorHAnsi" w:eastAsiaTheme="minorEastAsia" w:cstheme="minorBidi"/>
      <w:kern w:val="2"/>
      <w:sz w:val="18"/>
      <w:szCs w:val="18"/>
    </w:rPr>
  </w:style>
  <w:style w:type="character" w:customStyle="1" w:styleId="20">
    <w:name w:val="页脚 Char"/>
    <w:basedOn w:val="16"/>
    <w:link w:val="10"/>
    <w:autoRedefine/>
    <w:qFormat/>
    <w:uiPriority w:val="0"/>
    <w:rPr>
      <w:rFonts w:asciiTheme="minorHAnsi" w:hAnsiTheme="minorHAnsi" w:eastAsiaTheme="minorEastAsia" w:cstheme="minorBidi"/>
      <w:kern w:val="2"/>
      <w:sz w:val="18"/>
      <w:szCs w:val="18"/>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JSEP表文字"/>
    <w:basedOn w:val="1"/>
    <w:next w:val="1"/>
    <w:qFormat/>
    <w:uiPriority w:val="0"/>
    <w:pPr>
      <w:spacing w:line="360" w:lineRule="exact"/>
      <w:jc w:val="center"/>
    </w:pPr>
    <w:rPr>
      <w:rFonts w:eastAsia="仿宋_GB2312"/>
      <w:kern w:val="2"/>
      <w:sz w:val="24"/>
      <w:szCs w:val="22"/>
    </w:rPr>
  </w:style>
  <w:style w:type="paragraph" w:customStyle="1" w:styleId="25">
    <w:name w:val="正文(首行缩进)"/>
    <w:qFormat/>
    <w:uiPriority w:val="0"/>
    <w:pPr>
      <w:spacing w:after="200" w:line="420" w:lineRule="atLeast"/>
      <w:ind w:firstLine="200" w:firstLineChars="200"/>
      <w:jc w:val="both"/>
    </w:pPr>
    <w:rPr>
      <w:rFonts w:eastAsia="仿宋_GB2312" w:asciiTheme="minorHAnsi" w:hAnsiTheme="minorHAnsi" w:cstheme="minorBidi"/>
      <w:spacing w:val="2"/>
      <w:kern w:val="24"/>
      <w:sz w:val="24"/>
      <w:szCs w:val="22"/>
      <w:lang w:val="en-US" w:eastAsia="zh-CN" w:bidi="ar-SA"/>
    </w:rPr>
  </w:style>
  <w:style w:type="paragraph" w:customStyle="1" w:styleId="26">
    <w:name w:val="JSEP正文"/>
    <w:basedOn w:val="1"/>
    <w:qFormat/>
    <w:uiPriority w:val="0"/>
    <w:pPr>
      <w:spacing w:line="360" w:lineRule="auto"/>
      <w:ind w:firstLine="200" w:firstLineChars="200"/>
    </w:pPr>
    <w:rPr>
      <w:rFonts w:ascii="Times New Roman" w:hAnsi="Times New Roman" w:eastAsia="仿宋_GB2312"/>
      <w:sz w:val="28"/>
    </w:rPr>
  </w:style>
  <w:style w:type="paragraph" w:customStyle="1" w:styleId="27">
    <w:name w:val="JSEP图格式"/>
    <w:basedOn w:val="1"/>
    <w:next w:val="28"/>
    <w:qFormat/>
    <w:uiPriority w:val="0"/>
    <w:pPr>
      <w:keepNext/>
      <w:tabs>
        <w:tab w:val="center" w:pos="4253"/>
        <w:tab w:val="right" w:pos="8222"/>
      </w:tabs>
      <w:jc w:val="center"/>
    </w:pPr>
    <w:rPr>
      <w:rFonts w:ascii="Times New Roman" w:hAnsi="Times New Roman" w:eastAsia="仿宋_GB2312"/>
      <w:sz w:val="24"/>
    </w:rPr>
  </w:style>
  <w:style w:type="paragraph" w:customStyle="1" w:styleId="28">
    <w:name w:val="JSEP图标题"/>
    <w:basedOn w:val="1"/>
    <w:next w:val="26"/>
    <w:qFormat/>
    <w:uiPriority w:val="0"/>
    <w:pPr>
      <w:numPr>
        <w:ilvl w:val="4"/>
        <w:numId w:val="1"/>
      </w:numPr>
      <w:spacing w:line="500" w:lineRule="exact"/>
      <w:ind w:left="0"/>
      <w:jc w:val="center"/>
    </w:pPr>
    <w:rPr>
      <w:rFonts w:ascii="Times New Roman" w:hAnsi="Times New Roman" w:eastAsia="仿宋_GB2312"/>
      <w:b/>
      <w:sz w:val="28"/>
    </w:rPr>
  </w:style>
  <w:style w:type="paragraph" w:customStyle="1" w:styleId="29">
    <w:name w:val="表格首行"/>
    <w:basedOn w:val="1"/>
    <w:autoRedefine/>
    <w:qFormat/>
    <w:uiPriority w:val="0"/>
    <w:pPr>
      <w:autoSpaceDE w:val="0"/>
      <w:autoSpaceDN w:val="0"/>
      <w:spacing w:line="360" w:lineRule="exact"/>
      <w:jc w:val="center"/>
    </w:pPr>
    <w:rPr>
      <w:rFonts w:ascii="Times New Roman" w:hAnsi="Times New Roman" w:eastAsia="仿宋_GB2312" w:cs="Times New Roman"/>
      <w:b/>
      <w:sz w:val="24"/>
      <w:szCs w:val="22"/>
    </w:rPr>
  </w:style>
  <w:style w:type="paragraph" w:customStyle="1" w:styleId="30">
    <w:name w:val="图片"/>
    <w:basedOn w:val="1"/>
    <w:autoRedefine/>
    <w:qFormat/>
    <w:uiPriority w:val="0"/>
    <w:pPr>
      <w:autoSpaceDE w:val="0"/>
      <w:autoSpaceDN w:val="0"/>
      <w:jc w:val="center"/>
    </w:pPr>
    <w:rPr>
      <w:rFonts w:ascii="Times New Roman" w:hAnsi="Times New Roman" w:eastAsia="仿宋_GB2312" w:cs="Times New Roman"/>
      <w:sz w:val="28"/>
      <w:szCs w:val="22"/>
    </w:rPr>
  </w:style>
  <w:style w:type="table" w:customStyle="1" w:styleId="31">
    <w:name w:val="(环评报告表）1"/>
    <w:basedOn w:val="14"/>
    <w:qFormat/>
    <w:uiPriority w:val="0"/>
    <w:rPr>
      <w:rFonts w:ascii="等线" w:hAnsi="等线" w:eastAsia="等线" w:cs="Times New Roman"/>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
    <w:name w:val="表内"/>
    <w:basedOn w:val="1"/>
    <w:qFormat/>
    <w:uiPriority w:val="0"/>
    <w:pPr>
      <w:spacing w:line="360" w:lineRule="exact"/>
      <w:jc w:val="center"/>
    </w:pPr>
    <w:rPr>
      <w:rFonts w:ascii="Times New Roman" w:hAnsi="Times New Roman" w:eastAsia="仿宋_GB2312" w:cs="Times New Roman"/>
      <w:sz w:val="24"/>
      <w:szCs w:val="22"/>
    </w:rPr>
  </w:style>
  <w:style w:type="paragraph" w:customStyle="1" w:styleId="33">
    <w:name w:val="目录 51"/>
    <w:next w:val="1"/>
    <w:qFormat/>
    <w:uiPriority w:val="0"/>
    <w:pPr>
      <w:ind w:left="1275"/>
      <w:jc w:val="both"/>
    </w:pPr>
    <w:rPr>
      <w:rFonts w:hint="default" w:ascii="Times New Roman" w:hAnsi="Times New Roman" w:eastAsia="宋体" w:cs="Times New Roman"/>
      <w:sz w:val="21"/>
      <w:lang w:val="en-US" w:eastAsia="zh-CN" w:bidi="ar-SA"/>
    </w:rPr>
  </w:style>
  <w:style w:type="paragraph" w:customStyle="1" w:styleId="34">
    <w:name w:val="纯文本1"/>
    <w:basedOn w:val="1"/>
    <w:qFormat/>
    <w:uiPriority w:val="0"/>
    <w:rPr>
      <w:rFonts w:hAnsi="Courier New" w:eastAsia="楷体_GB2312"/>
      <w:sz w:val="26"/>
    </w:rPr>
  </w:style>
  <w:style w:type="character" w:customStyle="1" w:styleId="35">
    <w:name w:val="font11"/>
    <w:basedOn w:val="16"/>
    <w:qFormat/>
    <w:uiPriority w:val="0"/>
    <w:rPr>
      <w:rFonts w:hint="eastAsia" w:ascii="宋体" w:hAnsi="宋体" w:eastAsia="宋体" w:cs="宋体"/>
      <w:color w:val="FF0000"/>
      <w:sz w:val="22"/>
      <w:szCs w:val="22"/>
      <w:u w:val="none"/>
    </w:rPr>
  </w:style>
  <w:style w:type="character" w:customStyle="1" w:styleId="36">
    <w:name w:val="font01"/>
    <w:basedOn w:val="16"/>
    <w:qFormat/>
    <w:uiPriority w:val="0"/>
    <w:rPr>
      <w:rFonts w:hint="eastAsia" w:ascii="宋体" w:hAnsi="宋体" w:eastAsia="宋体" w:cs="宋体"/>
      <w:color w:val="000000"/>
      <w:sz w:val="22"/>
      <w:szCs w:val="22"/>
      <w:u w:val="none"/>
    </w:rPr>
  </w:style>
  <w:style w:type="character" w:customStyle="1" w:styleId="37">
    <w:name w:val="font41"/>
    <w:basedOn w:val="16"/>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25671</Words>
  <Characters>27104</Characters>
  <Lines>167</Lines>
  <Paragraphs>47</Paragraphs>
  <TotalTime>30</TotalTime>
  <ScaleCrop>false</ScaleCrop>
  <LinksUpToDate>false</LinksUpToDate>
  <CharactersWithSpaces>27499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超人妹妹biubiubiu</cp:lastModifiedBy>
  <dcterms:modified xsi:type="dcterms:W3CDTF">2026-08-13T02:42:17Z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66D18363D2CA4742B8D8AC450B4BCF32_13</vt:lpwstr>
  </property>
  <property fmtid="{D5CDD505-2E9C-101B-9397-08002B2CF9AE}" pid="4" name="KSOTemplateDocerSaveRecord">
    <vt:lpwstr>eyJoZGlkIjoiMDQ2ZjJkM2ZhMjE4YzQxNjZlYjA5MGMyMmJiZjQ3MmIiLCJ1c2VySWQiOiI0MzQzMTc4MTAifQ==</vt:lpwstr>
  </property>
</Properties>
</file>