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726"/>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pStyle w:val="726"/>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726"/>
        <w:ind w:firstLine="643"/>
        <w:jc w:val="both"/>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lang w:eastAsia="zh-CN"/>
        </w:rPr>
        <w:tab/>
      </w:r>
      <w:r>
        <w:rPr>
          <w:rFonts w:hint="eastAsia" w:ascii="宋体" w:hAnsi="宋体" w:eastAsia="宋体" w:cs="宋体"/>
          <w:b/>
          <w:color w:val="auto"/>
          <w:sz w:val="32"/>
          <w:szCs w:val="32"/>
          <w:highlight w:val="none"/>
          <w:lang w:eastAsia="zh-CN"/>
        </w:rPr>
        <w:t xml:space="preserve">JSZC-320903-RHHH-G2026-0047</w:t>
      </w:r>
      <w:r/>
    </w:p>
    <w:p>
      <w:pPr>
        <w:pStyle w:val="726"/>
        <w:ind w:firstLine="964"/>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pStyle w:val="726"/>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val="en-US" w:eastAsia="zh-CN"/>
        </w:rPr>
        <w:t xml:space="preserve">盐城市第三人民医院南院门急诊药房智能发药设备采购项目</w:t>
      </w:r>
      <w:r/>
    </w:p>
    <w:p>
      <w:pPr>
        <w:pStyle w:val="72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before="240" w:after="240"/>
        <w:widowControl/>
        <w:rPr>
          <w:rFonts w:hint="eastAsia" w:ascii="宋体" w:hAnsi="宋体" w:eastAsia="宋体" w:cs="宋体"/>
          <w:b/>
          <w:color w:val="auto"/>
          <w:sz w:val="32"/>
          <w:szCs w:val="32"/>
          <w:highlight w:val="none"/>
        </w:rPr>
      </w:pPr>
      <w:r>
        <w:rPr>
          <w:rFonts w:hint="eastAsia" w:ascii="宋体" w:hAnsi="宋体" w:eastAsia="宋体" w:cs="宋体"/>
          <w:color w:val="auto"/>
          <w:highlight w:val="none"/>
        </w:rPr>
        <w:t xml:space="preserve"> </w:t>
      </w:r>
      <w:r/>
    </w:p>
    <w:p>
      <w:pPr>
        <w:jc w:val="center"/>
        <w:spacing w:before="240" w:after="240"/>
        <w:widowControl/>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rPr>
        <w:t xml:space="preserve">采购单位：</w:t>
      </w:r>
      <w:r>
        <w:rPr>
          <w:rFonts w:hint="eastAsia" w:ascii="宋体" w:hAnsi="宋体" w:eastAsia="宋体" w:cs="宋体"/>
          <w:b/>
          <w:color w:val="auto"/>
          <w:sz w:val="32"/>
          <w:szCs w:val="32"/>
          <w:highlight w:val="none"/>
          <w:lang w:val="zh-CN"/>
        </w:rPr>
        <w:t xml:space="preserve">盐城市第三人民医院</w:t>
      </w:r>
      <w:r/>
    </w:p>
    <w:p>
      <w:pPr>
        <w:jc w:val="center"/>
        <w:spacing w:before="240" w:after="240"/>
        <w:widowControl/>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代理机构：</w:t>
      </w:r>
      <w:r>
        <w:rPr>
          <w:rFonts w:hint="eastAsia" w:ascii="宋体" w:hAnsi="宋体" w:eastAsia="宋体" w:cs="宋体"/>
          <w:b/>
          <w:color w:val="auto"/>
          <w:sz w:val="32"/>
          <w:szCs w:val="32"/>
          <w:highlight w:val="none"/>
          <w:lang w:eastAsia="zh-CN"/>
        </w:rPr>
        <w:t xml:space="preserve">江苏</w:t>
      </w:r>
      <w:r>
        <w:rPr>
          <w:rFonts w:hint="eastAsia" w:ascii="宋体" w:hAnsi="宋体" w:eastAsia="宋体" w:cs="宋体"/>
          <w:b/>
          <w:color w:val="auto"/>
          <w:sz w:val="32"/>
          <w:szCs w:val="32"/>
          <w:highlight w:val="none"/>
          <w:lang w:val="en-US" w:eastAsia="zh-CN"/>
        </w:rPr>
        <w:t xml:space="preserve">仁禾中衡工程咨询房地产估价有限公司</w:t>
      </w:r>
      <w:r/>
    </w:p>
    <w:p>
      <w:pPr>
        <w:pStyle w:val="726"/>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2026年</w:t>
      </w: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lang w:eastAsia="zh-CN"/>
        </w:rPr>
        <w:t xml:space="preserve">月</w:t>
      </w:r>
      <w:r/>
    </w:p>
    <w:p>
      <w:pPr>
        <w:pStyle w:val="726"/>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bookmarkStart w:id="0" w:name="_Toc513029200"/>
      <w:r/>
      <w:bookmarkStart w:id="1" w:name="_Toc120614210"/>
      <w:r/>
      <w:bookmarkStart w:id="2" w:name="_Toc523127445"/>
      <w:r/>
      <w:bookmarkStart w:id="3" w:name="_Toc20823272"/>
      <w:r/>
      <w:bookmarkStart w:id="4" w:name="_Toc16938516"/>
      <w:r/>
      <w:bookmarkStart w:id="5" w:name="_Toc479757206"/>
      <w:r/>
      <w:r/>
    </w:p>
    <w:p>
      <w:pPr>
        <w:pStyle w:val="726"/>
        <w:jc w:val="center"/>
        <w:spacing w:beforeAutospacing="0" w:afterAutospacing="0" w:line="48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1"/>
          <w:szCs w:val="21"/>
          <w:highlight w:val="none"/>
        </w:rPr>
      </w:r>
      <w:r/>
    </w:p>
    <w:p>
      <w:pPr>
        <w:pStyle w:val="726"/>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26"/>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第一章   招标公告</w:t>
      </w:r>
      <w:r/>
    </w:p>
    <w:p>
      <w:pPr>
        <w:pStyle w:val="72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第二章   投标人须知  </w:t>
      </w:r>
      <w:r/>
    </w:p>
    <w:p>
      <w:pPr>
        <w:pStyle w:val="72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第三章   合同条款及格式</w:t>
      </w:r>
      <w:r/>
    </w:p>
    <w:p>
      <w:pPr>
        <w:pStyle w:val="72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第四章   采购需求</w:t>
      </w:r>
      <w:r/>
    </w:p>
    <w:p>
      <w:pPr>
        <w:pStyle w:val="72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第五章   评标方法与评标标准</w:t>
      </w:r>
      <w:r/>
    </w:p>
    <w:p>
      <w:pPr>
        <w:pStyle w:val="726"/>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第六章   投标文件格式</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center"/>
        <w:keepNext/>
        <w:spacing w:beforeAutospacing="0" w:afterAutospacing="0"/>
        <w:rPr>
          <w:rFonts w:hint="eastAsia" w:ascii="宋体" w:hAnsi="宋体" w:eastAsia="宋体" w:cs="宋体"/>
          <w:b/>
          <w:bCs/>
          <w:color w:val="auto"/>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b/>
          <w:bCs/>
          <w:color w:val="auto"/>
          <w:sz w:val="44"/>
          <w:szCs w:val="44"/>
          <w:highlight w:val="none"/>
        </w:rPr>
      </w:r>
      <w:r/>
    </w:p>
    <w:p>
      <w:pPr>
        <w:pStyle w:val="726"/>
        <w:jc w:val="center"/>
        <w:keepNext/>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第一章 招标公告</w:t>
      </w:r>
      <w:r/>
    </w:p>
    <w:p>
      <w:pPr>
        <w:pStyle w:val="726"/>
        <w:ind w:firstLine="480"/>
        <w:jc w:val="both"/>
        <w:pageBreakBefore w:val="0"/>
        <w:spacing w:beforeAutospacing="0" w:afterAutospacing="0"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26"/>
        <w:jc w:val="both"/>
        <w:pageBreakBefore w:val="0"/>
        <w:spacing w:beforeAutospacing="0" w:afterAutospacing="0"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盐城市第三人民医院南院门急诊药房智能发药设备采购JSZC-320903-RHHH-G2026-0047</w:t>
      </w:r>
      <w:r>
        <w:rPr>
          <w:rFonts w:hint="eastAsia" w:ascii="宋体" w:hAnsi="宋体" w:eastAsia="宋体" w:cs="宋体"/>
          <w:color w:val="auto"/>
          <w:highlight w:val="none"/>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年8月17日</w:t>
      </w:r>
      <w:r>
        <w:rPr>
          <w:rFonts w:hint="eastAsia" w:ascii="宋体" w:hAnsi="宋体" w:eastAsia="宋体" w:cs="宋体"/>
          <w:color w:val="auto"/>
          <w:highlight w:val="none"/>
          <w:u w:val="single"/>
          <w:lang w:val="en-US" w:eastAsia="zh-CN"/>
        </w:rPr>
        <w:t xml:space="preserve">15</w:t>
      </w:r>
      <w:r>
        <w:rPr>
          <w:rFonts w:hint="eastAsia" w:ascii="宋体" w:hAnsi="宋体" w:eastAsia="宋体" w:cs="宋体"/>
          <w:color w:val="auto"/>
          <w:highlight w:val="none"/>
          <w:u w:val="single"/>
        </w:rPr>
        <w:t xml:space="preserve">点00分（</w:t>
      </w:r>
      <w:r>
        <w:rPr>
          <w:rFonts w:hint="eastAsia" w:ascii="宋体" w:hAnsi="宋体" w:eastAsia="宋体" w:cs="宋体"/>
          <w:color w:val="auto"/>
          <w:highlight w:val="none"/>
        </w:rPr>
        <w:t xml:space="preserve">北京时间）前递交投标文件。</w:t>
      </w:r>
      <w:r/>
    </w:p>
    <w:p>
      <w:pPr>
        <w:pStyle w:val="726"/>
        <w:ind w:left="0" w:firstLine="482"/>
        <w:jc w:val="both"/>
        <w:keepLines/>
        <w:keepNext/>
        <w:pageBreakBefore w:val="0"/>
        <w:spacing w:beforeAutospacing="0" w:afterAutospacing="0" w:line="360" w:lineRule="auto"/>
        <w:rPr>
          <w:rFonts w:hint="eastAsia" w:ascii="宋体" w:hAnsi="宋体" w:eastAsia="宋体" w:cs="宋体"/>
          <w:color w:val="auto"/>
          <w:highlight w:val="none"/>
        </w:rPr>
      </w:pPr>
      <w:r/>
      <w:bookmarkStart w:id="6" w:name="_Toc35393790"/>
      <w:r/>
      <w:bookmarkStart w:id="7" w:name="_Toc28359079"/>
      <w:r/>
      <w:bookmarkStart w:id="8" w:name="_Toc38985263"/>
      <w:r/>
      <w:bookmarkStart w:id="9" w:name="_Toc35393621"/>
      <w:r/>
      <w:bookmarkStart w:id="10" w:name="_Hlk24379207"/>
      <w:r/>
      <w:bookmarkStart w:id="11" w:name="_Toc28359002"/>
      <w:r>
        <w:rPr>
          <w:rFonts w:hint="eastAsia" w:ascii="宋体" w:hAnsi="宋体" w:eastAsia="宋体" w:cs="宋体"/>
          <w:b/>
          <w:color w:val="auto"/>
          <w:highlight w:val="none"/>
        </w:rPr>
        <w:t xml:space="preserve">一、项目基本情况</w:t>
      </w:r>
      <w:bookmarkEnd w:id="6"/>
      <w:r/>
      <w:bookmarkEnd w:id="7"/>
      <w:r/>
      <w:bookmarkEnd w:id="8"/>
      <w:r/>
      <w:bookmarkEnd w:id="9"/>
      <w:r/>
      <w:bookmarkEnd w:id="10"/>
      <w:r/>
      <w:bookmarkEnd w:id="11"/>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lang w:eastAsia="zh-CN"/>
        </w:rPr>
        <w:t xml:space="preserve">：JSZC-320903-RHHH-G2026-0047</w:t>
      </w:r>
      <w:r>
        <w:rPr>
          <w:rFonts w:hint="eastAsia" w:ascii="宋体" w:hAnsi="宋体" w:eastAsia="宋体" w:cs="宋体"/>
          <w:color w:val="auto"/>
          <w:highlight w:val="none"/>
        </w:rPr>
        <w:t xml:space="preserve"> </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盐城市第三人民医院南院门急诊药房智能发药设备采购项目</w:t>
      </w:r>
      <w:r>
        <w:rPr>
          <w:rFonts w:hint="eastAsia" w:ascii="宋体" w:hAnsi="宋体" w:eastAsia="宋体" w:cs="宋体"/>
          <w:color w:val="auto"/>
          <w:highlight w:val="none"/>
        </w:rPr>
        <w:t xml:space="preserve">  </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3.采购方式：公开招标</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eastAsia="宋体" w:cs="宋体"/>
          <w:color w:val="auto"/>
          <w:highlight w:val="none"/>
          <w:lang w:val="en-US" w:eastAsia="zh-CN"/>
        </w:rPr>
        <w:t xml:space="preserve">420万元</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5.最高限价：</w:t>
      </w:r>
      <w:r>
        <w:rPr>
          <w:rFonts w:hint="eastAsia" w:ascii="宋体" w:hAnsi="宋体" w:eastAsia="宋体" w:cs="宋体"/>
          <w:color w:val="auto"/>
          <w:highlight w:val="none"/>
          <w:lang w:val="en-US" w:eastAsia="zh-CN"/>
        </w:rPr>
        <w:t xml:space="preserve">420万元</w:t>
      </w:r>
      <w:r/>
    </w:p>
    <w:p>
      <w:pPr>
        <w:pStyle w:val="726"/>
        <w:ind w:left="0" w:firstLine="480"/>
        <w:jc w:val="both"/>
        <w:pageBreakBefore w:val="0"/>
        <w:spacing w:beforeAutospacing="0" w:afterAutospacing="0"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rPr>
        <w:t xml:space="preserve">6.采购需求：</w:t>
      </w:r>
      <w:r>
        <w:rPr>
          <w:rFonts w:hint="eastAsia" w:ascii="宋体" w:hAnsi="宋体" w:eastAsia="宋体" w:cs="宋体"/>
          <w:color w:val="auto"/>
          <w:highlight w:val="none"/>
          <w:lang w:eastAsia="zh-CN"/>
        </w:rPr>
        <w:t xml:space="preserve">盐城市第三人民医院南院门急诊药房智能发药设备采购</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主要设备包含如下：</w:t>
      </w:r>
      <w:r/>
    </w:p>
    <w:tbl>
      <w:tblPr>
        <w:tblStyle w:val="730"/>
        <w:tblW w:w="6935" w:type="dxa"/>
        <w:tblInd w:w="6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942"/>
        <w:gridCol w:w="1731"/>
        <w:gridCol w:w="1431"/>
      </w:tblGrid>
      <w:tr>
        <w:trPr/>
        <w:tc>
          <w:tcPr>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序号</w:t>
            </w:r>
            <w:r/>
          </w:p>
        </w:tc>
        <w:tc>
          <w:tcPr>
            <w:tcW w:w="294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采购设备/类型</w:t>
            </w:r>
            <w:r/>
          </w:p>
        </w:tc>
        <w:tc>
          <w:tcPr>
            <w:tcW w:w="1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数量</w:t>
            </w:r>
            <w:r/>
          </w:p>
        </w:tc>
        <w:tc>
          <w:tcPr>
            <w:tcW w:w="14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单位</w:t>
            </w:r>
            <w:r/>
          </w:p>
        </w:tc>
      </w:tr>
      <w:tr>
        <w:trPr/>
        <w:tc>
          <w:tcPr>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1</w:t>
            </w:r>
            <w:r/>
          </w:p>
        </w:tc>
        <w:tc>
          <w:tcPr>
            <w:tcW w:w="29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斜槽发药机</w:t>
            </w:r>
            <w:r/>
          </w:p>
        </w:tc>
        <w:tc>
          <w:tcPr>
            <w:tcW w:w="1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1</w:t>
            </w:r>
            <w:r/>
          </w:p>
        </w:tc>
        <w:tc>
          <w:tcPr>
            <w:tcW w:w="14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台</w:t>
            </w:r>
            <w:r/>
          </w:p>
        </w:tc>
      </w:tr>
      <w:tr>
        <w:trPr/>
        <w:tc>
          <w:tcPr>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2</w:t>
            </w:r>
            <w:r/>
          </w:p>
        </w:tc>
        <w:tc>
          <w:tcPr>
            <w:tcW w:w="29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高速发药机</w:t>
            </w:r>
            <w:r/>
          </w:p>
        </w:tc>
        <w:tc>
          <w:tcPr>
            <w:tcW w:w="1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2</w:t>
            </w:r>
            <w:r/>
          </w:p>
        </w:tc>
        <w:tc>
          <w:tcPr>
            <w:tcW w:w="14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套</w:t>
            </w:r>
            <w:r/>
          </w:p>
        </w:tc>
      </w:tr>
      <w:tr>
        <w:trPr/>
        <w:tc>
          <w:tcPr>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3</w:t>
            </w:r>
            <w:r/>
          </w:p>
        </w:tc>
        <w:tc>
          <w:tcPr>
            <w:tcW w:w="29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直发传送系统（地面）</w:t>
            </w:r>
            <w:r/>
          </w:p>
        </w:tc>
        <w:tc>
          <w:tcPr>
            <w:tcW w:w="1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2</w:t>
            </w:r>
            <w:r/>
          </w:p>
        </w:tc>
        <w:tc>
          <w:tcPr>
            <w:tcW w:w="14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套</w:t>
            </w:r>
            <w:r/>
          </w:p>
        </w:tc>
      </w:tr>
      <w:tr>
        <w:trPr/>
        <w:tc>
          <w:tcPr>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4</w:t>
            </w:r>
            <w:r/>
          </w:p>
        </w:tc>
        <w:tc>
          <w:tcPr>
            <w:tcW w:w="29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整处方传送系统</w:t>
            </w:r>
            <w:r/>
          </w:p>
        </w:tc>
        <w:tc>
          <w:tcPr>
            <w:tcW w:w="1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1</w:t>
            </w:r>
            <w:r/>
          </w:p>
        </w:tc>
        <w:tc>
          <w:tcPr>
            <w:tcW w:w="14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套</w:t>
            </w:r>
            <w:r/>
          </w:p>
        </w:tc>
      </w:tr>
      <w:tr>
        <w:trPr/>
        <w:tc>
          <w:tcPr>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5</w:t>
            </w:r>
            <w:r/>
          </w:p>
        </w:tc>
        <w:tc>
          <w:tcPr>
            <w:tcW w:w="29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智能药筐（亮灯）</w:t>
            </w:r>
            <w:r/>
          </w:p>
        </w:tc>
        <w:tc>
          <w:tcPr>
            <w:tcW w:w="1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100</w:t>
            </w:r>
            <w:r/>
          </w:p>
        </w:tc>
        <w:tc>
          <w:tcPr>
            <w:tcW w:w="14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个</w:t>
            </w:r>
            <w:r/>
          </w:p>
        </w:tc>
      </w:tr>
      <w:tr>
        <w:trPr/>
        <w:tc>
          <w:tcPr>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6</w:t>
            </w:r>
            <w:r/>
          </w:p>
        </w:tc>
        <w:tc>
          <w:tcPr>
            <w:tcW w:w="29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智能调配机</w:t>
            </w:r>
            <w:r/>
          </w:p>
        </w:tc>
        <w:tc>
          <w:tcPr>
            <w:tcW w:w="1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4</w:t>
            </w:r>
            <w:r/>
          </w:p>
        </w:tc>
        <w:tc>
          <w:tcPr>
            <w:tcW w:w="14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台</w:t>
            </w:r>
            <w:r/>
          </w:p>
        </w:tc>
      </w:tr>
      <w:tr>
        <w:trPr/>
        <w:tc>
          <w:tcPr>
            <w:tcW w:w="8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7</w:t>
            </w:r>
            <w:r/>
          </w:p>
        </w:tc>
        <w:tc>
          <w:tcPr>
            <w:tcW w:w="294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智能发药软件</w:t>
            </w:r>
            <w:r/>
          </w:p>
        </w:tc>
        <w:tc>
          <w:tcPr>
            <w:tcW w:w="1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1</w:t>
            </w:r>
            <w:r/>
          </w:p>
        </w:tc>
        <w:tc>
          <w:tcPr>
            <w:tcW w:w="14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14:ligatures w14:val="standardContextual"/>
              </w:rPr>
            </w:pPr>
            <w:r>
              <w:rPr>
                <w:rFonts w:hint="eastAsia" w:ascii="宋体" w:hAnsi="宋体" w:eastAsia="宋体" w:cs="宋体"/>
                <w:color w:val="auto"/>
                <w:sz w:val="24"/>
                <w14:ligatures w14:val="standardContextual"/>
              </w:rPr>
              <w:t xml:space="preserve">套</w:t>
            </w:r>
            <w:r/>
          </w:p>
        </w:tc>
      </w:tr>
    </w:tbl>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具体要求详见</w:t>
      </w:r>
      <w:r>
        <w:rPr>
          <w:rFonts w:hint="eastAsia" w:ascii="宋体" w:hAnsi="宋体" w:eastAsia="宋体" w:cs="宋体"/>
          <w:color w:val="auto"/>
          <w:highlight w:val="none"/>
          <w:lang w:val="en-US" w:eastAsia="zh-CN"/>
        </w:rPr>
        <w:t xml:space="preserve">本项目招标文件第四章采购</w:t>
      </w:r>
      <w:r>
        <w:rPr>
          <w:rFonts w:hint="eastAsia" w:ascii="宋体" w:hAnsi="宋体" w:eastAsia="宋体" w:cs="宋体"/>
          <w:color w:val="auto"/>
          <w:highlight w:val="none"/>
          <w:lang w:eastAsia="zh-CN"/>
        </w:rPr>
        <w:t xml:space="preserve">需求。</w:t>
      </w:r>
      <w:r/>
    </w:p>
    <w:p>
      <w:pPr>
        <w:pStyle w:val="726"/>
        <w:ind w:left="0" w:firstLine="480"/>
        <w:jc w:val="both"/>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val="0"/>
          <w:bCs w:val="0"/>
          <w:color w:val="auto"/>
          <w:highlight w:val="none"/>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中标供应商应在采购人书面通知之日起90日内完成交付。</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u w:val="none"/>
        </w:rPr>
        <w:t xml:space="preserve">.</w:t>
      </w:r>
      <w:bookmarkStart w:id="12" w:name="_Toc35393791"/>
      <w:r/>
      <w:bookmarkStart w:id="13" w:name="_Toc28359003"/>
      <w:r/>
      <w:bookmarkStart w:id="14" w:name="_Toc38985264"/>
      <w:r/>
      <w:bookmarkStart w:id="15" w:name="_Toc35393622"/>
      <w:r/>
      <w:bookmarkStart w:id="16" w:name="_Toc28359080"/>
      <w:r>
        <w:rPr>
          <w:rFonts w:hint="eastAsia" w:ascii="宋体" w:hAnsi="宋体" w:eastAsia="宋体" w:cs="宋体"/>
          <w:color w:val="auto"/>
          <w:highlight w:val="none"/>
          <w:u w:val="none"/>
        </w:rPr>
        <w:t xml:space="preserve">本项目不接受联合体投标。</w:t>
      </w:r>
      <w:r/>
    </w:p>
    <w:p>
      <w:pPr>
        <w:pStyle w:val="726"/>
        <w:ind w:left="0" w:firstLine="482"/>
        <w:jc w:val="both"/>
        <w:keepLines/>
        <w:keepNext/>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二、申请人的资格要求：</w:t>
      </w:r>
      <w:bookmarkEnd w:id="12"/>
      <w:r/>
      <w:bookmarkEnd w:id="13"/>
      <w:r/>
      <w:bookmarkEnd w:id="14"/>
      <w:r/>
      <w:bookmarkEnd w:id="15"/>
      <w:r/>
      <w:bookmarkEnd w:id="16"/>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1.2上一年度的财务状况报表（</w:t>
      </w:r>
      <w:r>
        <w:rPr>
          <w:rFonts w:hint="eastAsia" w:ascii="宋体" w:hAnsi="宋体" w:eastAsia="宋体" w:cs="宋体"/>
          <w:color w:val="auto"/>
          <w:highlight w:val="none"/>
          <w:lang w:val="en-US" w:eastAsia="zh-CN"/>
        </w:rPr>
        <w:t xml:space="preserve">上一年度指2025年度，</w:t>
      </w:r>
      <w:r>
        <w:rPr>
          <w:rFonts w:hint="eastAsia" w:ascii="宋体" w:hAnsi="宋体" w:eastAsia="宋体" w:cs="宋体"/>
          <w:color w:val="auto"/>
          <w:highlight w:val="none"/>
        </w:rPr>
        <w:t xml:space="preserve">财务状况报表至少提供资产负债表、利润表、现金流量表，投标人成立不满一年无需提供）</w:t>
      </w:r>
      <w:r>
        <w:rPr>
          <w:rFonts w:hint="eastAsia" w:ascii="宋体" w:hAnsi="宋体" w:eastAsia="宋体" w:cs="宋体"/>
          <w:color w:val="auto"/>
          <w:highlight w:val="none"/>
          <w:lang w:eastAsia="zh-CN"/>
        </w:rPr>
        <w:t xml:space="preserve">；</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1.4依法缴纳税收和社会保障资金的相关材料（</w:t>
      </w:r>
      <w:r>
        <w:rPr>
          <w:rFonts w:hint="eastAsia" w:ascii="宋体" w:hAnsi="宋体" w:eastAsia="宋体" w:cs="宋体"/>
          <w:color w:val="auto"/>
          <w:highlight w:val="none"/>
          <w:lang w:val="en-US" w:eastAsia="zh-CN"/>
        </w:rPr>
        <w:t xml:space="preserve">投标</w:t>
      </w:r>
      <w:r>
        <w:rPr>
          <w:rFonts w:hint="eastAsia" w:ascii="宋体" w:hAnsi="宋体" w:eastAsia="宋体" w:cs="宋体"/>
          <w:color w:val="auto"/>
          <w:highlight w:val="none"/>
        </w:rPr>
        <w:t xml:space="preserve">文件提交截止时间前一年内至少一个月依法缴纳税收及缴纳社会保障资金的证明材料。供应商依法享受缓缴、免缴税收、社会保障资金的提供证明材料。）</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1.7在“信用中国”网站查询，无失信被执行人、</w:t>
      </w:r>
      <w:r>
        <w:rPr>
          <w:rFonts w:hint="eastAsia" w:ascii="宋体" w:hAnsi="宋体" w:eastAsia="宋体" w:cs="宋体"/>
          <w:color w:val="auto"/>
          <w:highlight w:val="none"/>
          <w:lang w:val="en-US" w:eastAsia="zh-CN"/>
        </w:rPr>
        <w:t xml:space="preserve">严重失信主体名单、重大税收违法失信主体名单</w:t>
      </w:r>
      <w:r>
        <w:rPr>
          <w:rFonts w:hint="eastAsia" w:ascii="宋体" w:hAnsi="宋体" w:eastAsia="宋体" w:cs="宋体"/>
          <w:color w:val="auto"/>
          <w:highlight w:val="none"/>
        </w:rPr>
        <w:t xml:space="preserve">、政府采购严重失信行为记录名单及其他不符合《中华人民共和国政府采购法》第二十二条规定条件的信用记录。（投标文件中无需提供证明材料）</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726"/>
        <w:ind w:left="0" w:firstLine="480"/>
        <w:jc w:val="both"/>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2.落实政府采购政策需满足的资格要求：无</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3.本项目的特定资格要求：无</w:t>
      </w:r>
      <w:r/>
    </w:p>
    <w:p>
      <w:pPr>
        <w:pStyle w:val="726"/>
        <w:ind w:left="0" w:firstLine="482"/>
        <w:jc w:val="both"/>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lang w:eastAsia="zh-CN"/>
        </w:rPr>
      </w:pPr>
      <w:r/>
      <w:bookmarkStart w:id="17" w:name="_Toc28359082"/>
      <w:r/>
      <w:bookmarkStart w:id="18" w:name="_Toc35393793"/>
      <w:r/>
      <w:bookmarkStart w:id="19" w:name="_Toc38985266"/>
      <w:r/>
      <w:bookmarkStart w:id="20" w:name="_Toc28359005"/>
      <w:r/>
      <w:bookmarkStart w:id="21" w:name="_Toc35393624"/>
      <w:r>
        <w:rPr>
          <w:rFonts w:hint="eastAsia" w:ascii="宋体" w:hAnsi="宋体" w:eastAsia="宋体" w:cs="宋体"/>
          <w:color w:val="auto"/>
          <w:highlight w:val="none"/>
        </w:rPr>
        <w:t xml:space="preserve">1.时间：</w:t>
      </w:r>
      <w:bookmarkEnd w:id="17"/>
      <w:r/>
      <w:bookmarkEnd w:id="18"/>
      <w:r/>
      <w:bookmarkEnd w:id="19"/>
      <w:r/>
      <w:bookmarkEnd w:id="20"/>
      <w:r/>
      <w:bookmarkEnd w:id="21"/>
      <w:r>
        <w:rPr>
          <w:rFonts w:hint="eastAsia" w:ascii="宋体" w:hAnsi="宋体" w:eastAsia="宋体" w:cs="宋体"/>
          <w:color w:val="auto"/>
          <w:highlight w:val="none"/>
        </w:rPr>
        <w:t xml:space="preserve">自招标文件公告发布之日起5个工作日</w:t>
      </w:r>
      <w:r>
        <w:rPr>
          <w:rFonts w:hint="eastAsia" w:ascii="宋体" w:hAnsi="宋体" w:eastAsia="宋体" w:cs="宋体"/>
          <w:color w:val="auto"/>
          <w:highlight w:val="none"/>
          <w:lang w:eastAsia="zh-CN"/>
        </w:rPr>
        <w:t xml:space="preserve">；</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2.地点：“苏采云”系统内免费下载（供应商必须在苏采云系统中获取</w:t>
      </w:r>
      <w:r>
        <w:rPr>
          <w:rFonts w:hint="eastAsia" w:ascii="宋体" w:hAnsi="宋体" w:eastAsia="宋体" w:cs="宋体"/>
          <w:color w:val="auto"/>
          <w:highlight w:val="none"/>
          <w:lang w:val="en-US" w:eastAsia="zh-CN"/>
        </w:rPr>
        <w:t xml:space="preserve">采购文件</w:t>
      </w:r>
      <w:r>
        <w:rPr>
          <w:rFonts w:hint="eastAsia" w:ascii="宋体" w:hAnsi="宋体" w:eastAsia="宋体" w:cs="宋体"/>
          <w:color w:val="auto"/>
          <w:highlight w:val="none"/>
        </w:rPr>
        <w:t xml:space="preserve">，方能参与政府采购项目）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4.售价：0.00元</w:t>
      </w:r>
      <w:r>
        <w:rPr>
          <w:rFonts w:hint="eastAsia" w:ascii="宋体" w:hAnsi="宋体" w:eastAsia="宋体" w:cs="宋体"/>
          <w:color w:val="auto"/>
          <w:highlight w:val="none"/>
          <w:lang w:val="en-US" w:eastAsia="zh-CN"/>
        </w:rPr>
        <w:t xml:space="preserve">。</w:t>
      </w:r>
      <w:r/>
    </w:p>
    <w:p>
      <w:pPr>
        <w:pStyle w:val="726"/>
        <w:ind w:left="0" w:firstLine="482"/>
        <w:jc w:val="both"/>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四、提交投标文件截止时间、开标时间和地点</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1.时间：</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年8月17日</w:t>
      </w:r>
      <w:r>
        <w:rPr>
          <w:rFonts w:hint="eastAsia" w:ascii="宋体" w:hAnsi="宋体" w:eastAsia="宋体" w:cs="宋体"/>
          <w:color w:val="auto"/>
          <w:highlight w:val="none"/>
          <w:u w:val="single"/>
          <w:lang w:val="en-US" w:eastAsia="zh-CN"/>
        </w:rPr>
        <w:t xml:space="preserve">15</w:t>
      </w:r>
      <w:r>
        <w:rPr>
          <w:rFonts w:hint="eastAsia" w:ascii="宋体" w:hAnsi="宋体" w:eastAsia="宋体" w:cs="宋体"/>
          <w:color w:val="auto"/>
          <w:highlight w:val="none"/>
          <w:u w:val="single"/>
        </w:rPr>
        <w:t xml:space="preserve">点00分</w:t>
      </w:r>
      <w:r>
        <w:rPr>
          <w:rFonts w:hint="eastAsia" w:ascii="宋体" w:hAnsi="宋体" w:eastAsia="宋体" w:cs="宋体"/>
          <w:color w:val="auto"/>
          <w:highlight w:val="none"/>
          <w:lang w:val="en-US" w:eastAsia="zh-CN"/>
        </w:rPr>
        <w:t xml:space="preserve">（北京时间）</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w:t>
      </w:r>
      <w:r>
        <w:rPr>
          <w:rFonts w:hint="eastAsia" w:ascii="宋体" w:hAnsi="宋体" w:eastAsia="宋体" w:cs="宋体"/>
          <w:color w:val="auto"/>
          <w:highlight w:val="none"/>
          <w:lang w:val="en-US" w:eastAsia="zh-CN"/>
        </w:rPr>
        <w:t xml:space="preserve">不见面</w:t>
      </w:r>
      <w:r>
        <w:rPr>
          <w:rFonts w:hint="eastAsia" w:ascii="宋体" w:hAnsi="宋体" w:eastAsia="宋体" w:cs="宋体"/>
          <w:color w:val="auto"/>
          <w:highlight w:val="none"/>
        </w:rPr>
        <w:t xml:space="preserve">”开标大厅。</w:t>
      </w:r>
      <w:r/>
    </w:p>
    <w:p>
      <w:pPr>
        <w:pStyle w:val="726"/>
        <w:ind w:left="0" w:firstLine="482"/>
        <w:jc w:val="both"/>
        <w:pageBreakBefore w:val="0"/>
        <w:spacing w:beforeAutospacing="0" w:afterAutospacing="0" w:line="360" w:lineRule="auto"/>
        <w:rPr>
          <w:rFonts w:hint="eastAsia" w:ascii="宋体" w:hAnsi="宋体" w:eastAsia="宋体" w:cs="宋体"/>
          <w:b/>
          <w:bCs/>
          <w:color w:val="auto"/>
          <w:highlight w:val="none"/>
        </w:rPr>
      </w:pPr>
      <w:r/>
      <w:bookmarkStart w:id="22" w:name="_Toc28359084"/>
      <w:r/>
      <w:bookmarkStart w:id="23" w:name="_Toc28359007"/>
      <w:r/>
      <w:bookmarkStart w:id="24" w:name="_Toc35393625"/>
      <w:r/>
      <w:bookmarkStart w:id="25" w:name="_Toc38985267"/>
      <w:r/>
      <w:bookmarkStart w:id="26" w:name="_Toc35393794"/>
      <w:r>
        <w:rPr>
          <w:rFonts w:hint="eastAsia" w:ascii="宋体" w:hAnsi="宋体" w:eastAsia="宋体" w:cs="宋体"/>
          <w:b/>
          <w:bCs/>
          <w:color w:val="auto"/>
          <w:highlight w:val="none"/>
        </w:rPr>
        <w:t xml:space="preserve">五、公告期限</w:t>
      </w:r>
      <w:bookmarkEnd w:id="22"/>
      <w:r/>
      <w:bookmarkEnd w:id="23"/>
      <w:r/>
      <w:bookmarkEnd w:id="24"/>
      <w:r/>
      <w:bookmarkEnd w:id="25"/>
      <w:r/>
      <w:bookmarkEnd w:id="26"/>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rPr>
      </w:pPr>
      <w:r/>
      <w:bookmarkStart w:id="27" w:name="_Toc35393626"/>
      <w:r/>
      <w:bookmarkStart w:id="28" w:name="_Toc35393795"/>
      <w:r/>
      <w:bookmarkStart w:id="29" w:name="_Toc38985268"/>
      <w:r>
        <w:rPr>
          <w:rFonts w:hint="eastAsia" w:ascii="宋体" w:hAnsi="宋体" w:eastAsia="宋体" w:cs="宋体"/>
          <w:color w:val="auto"/>
          <w:highlight w:val="none"/>
        </w:rPr>
        <w:t xml:space="preserve">自本公告发布之日起5个工作日。</w:t>
      </w:r>
      <w:bookmarkEnd w:id="27"/>
      <w:r/>
      <w:bookmarkEnd w:id="28"/>
      <w:r/>
      <w:bookmarkEnd w:id="29"/>
      <w:r/>
      <w:r/>
    </w:p>
    <w:p>
      <w:pPr>
        <w:pStyle w:val="726"/>
        <w:ind w:left="0" w:firstLine="482"/>
        <w:jc w:val="both"/>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2.潜在供应商访问电子招标响应交易平台的网络地址和方法：</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2.2 潜在投标人访问“苏采云”系统方法：江苏省政府采购网首页－“苏采云”链接。</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2.3 采购文件（后缀名为“.kedt”）、供应商操作手册及政府采购客户端 工具可通过“苏采云”系统相应链接进行下载。</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2.4 采购代理机构将数据电文形式的采购文件加载至“苏采云”系统，供潜在供应商下载或者查阅。</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2.5 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360" w:lineRule="auto"/>
        <w:shd w:val="clear" w:color="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outlineLvl w:val="9"/>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3.有关本次招标的事项若存在变动或修改，敬请及时关注采购代理机构在“中国政府采购网”“江苏政府采购网”“盐城市政府采购网”发布的更正公告。</w:t>
      </w:r>
      <w:r/>
    </w:p>
    <w:p>
      <w:pPr>
        <w:pStyle w:val="726"/>
        <w:ind w:left="0" w:firstLine="480"/>
        <w:jc w:val="both"/>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4.本次招标不收取投标保证金，不收取质量保证金。</w:t>
      </w:r>
      <w:r/>
    </w:p>
    <w:p>
      <w:pPr>
        <w:pStyle w:val="726"/>
        <w:ind w:left="0" w:firstLine="482"/>
        <w:jc w:val="both"/>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七、对本次招标提出询问，请按以下方式联系。</w:t>
      </w:r>
      <w:bookmarkEnd w:id="30"/>
      <w:r/>
      <w:r/>
    </w:p>
    <w:p>
      <w:pPr>
        <w:pStyle w:val="726"/>
        <w:ind w:firstLine="560"/>
        <w:pageBreakBefore w:val="0"/>
        <w:spacing w:beforeAutospacing="0" w:afterAutospacing="0" w:line="360" w:lineRule="auto"/>
        <w:widowControl/>
        <w:rPr>
          <w:rFonts w:hint="eastAsia" w:ascii="宋体" w:hAnsi="宋体" w:eastAsia="宋体" w:cs="宋体"/>
          <w:color w:val="auto"/>
          <w:highlight w:val="none"/>
        </w:rPr>
      </w:pPr>
      <w:r/>
      <w:bookmarkStart w:id="31" w:name="_Toc120614211"/>
      <w:r/>
      <w:bookmarkStart w:id="32" w:name="_Toc28359009"/>
      <w:r>
        <w:rPr>
          <w:rFonts w:hint="eastAsia" w:ascii="宋体" w:hAnsi="宋体" w:eastAsia="宋体" w:cs="宋体"/>
          <w:color w:val="auto"/>
          <w:sz w:val="28"/>
          <w:szCs w:val="28"/>
          <w:highlight w:val="none"/>
        </w:rPr>
        <w:t xml:space="preserve"> </w:t>
      </w:r>
      <w:r>
        <w:rPr>
          <w:rFonts w:hint="eastAsia" w:ascii="宋体" w:hAnsi="宋体" w:eastAsia="宋体" w:cs="宋体"/>
          <w:color w:val="auto"/>
          <w:highlight w:val="none"/>
        </w:rPr>
        <w:t xml:space="preserve">1.采购人信息</w:t>
      </w:r>
      <w:r/>
    </w:p>
    <w:p>
      <w:pPr>
        <w:pStyle w:val="726"/>
        <w:ind w:firstLine="4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称：盐城市第三人民医院</w:t>
      </w:r>
      <w:r/>
    </w:p>
    <w:p>
      <w:pPr>
        <w:pStyle w:val="726"/>
        <w:ind w:firstLine="4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址：盐城市新都西路2号</w:t>
      </w:r>
      <w:r/>
    </w:p>
    <w:p>
      <w:pPr>
        <w:pStyle w:val="726"/>
        <w:ind w:firstLine="4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联系人（业务经办）：徐先生</w:t>
      </w:r>
      <w:r/>
    </w:p>
    <w:p>
      <w:pPr>
        <w:pStyle w:val="726"/>
        <w:ind w:firstLine="48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lang w:val="en-US" w:eastAsia="zh-CN"/>
        </w:rPr>
        <w:t xml:space="preserve">0515-81600117</w:t>
      </w:r>
      <w:r/>
    </w:p>
    <w:p>
      <w:pPr>
        <w:pStyle w:val="726"/>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shd w:val="clear" w:color="ffffff" w:fill="d9d9d9"/>
        </w:rPr>
      </w:pPr>
      <w:r>
        <w:rPr>
          <w:rFonts w:hint="eastAsia" w:ascii="宋体" w:hAnsi="宋体" w:eastAsia="宋体" w:cs="宋体"/>
          <w:color w:val="auto"/>
          <w:highlight w:val="none"/>
        </w:rPr>
        <w:t xml:space="preserve">2.代理机构信息</w:t>
      </w:r>
      <w:r/>
    </w:p>
    <w:p>
      <w:pPr>
        <w:pStyle w:val="726"/>
        <w:ind w:firstLine="4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称：江苏仁禾中衡工程咨询房地产估价有限公司</w:t>
      </w:r>
      <w:r/>
    </w:p>
    <w:p>
      <w:pPr>
        <w:pStyle w:val="726"/>
        <w:ind w:firstLine="4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址：盐城市青年西路8号</w:t>
      </w:r>
      <w:r/>
    </w:p>
    <w:p>
      <w:pPr>
        <w:pStyle w:val="726"/>
        <w:ind w:firstLine="4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联系人（业务经办）：胡女士</w:t>
      </w:r>
      <w:r/>
    </w:p>
    <w:p>
      <w:pPr>
        <w:pStyle w:val="726"/>
        <w:ind w:firstLine="4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联系方式：13815581495</w:t>
      </w:r>
      <w:r/>
    </w:p>
    <w:p>
      <w:pPr>
        <w:pStyle w:val="726"/>
        <w:ind w:firstLine="4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pStyle w:val="726"/>
        <w:ind w:firstLine="48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项目联系人：</w:t>
      </w:r>
      <w:r>
        <w:rPr>
          <w:rFonts w:hint="eastAsia" w:ascii="宋体" w:hAnsi="宋体" w:eastAsia="宋体" w:cs="宋体"/>
          <w:color w:val="auto"/>
          <w:highlight w:val="none"/>
          <w:lang w:val="en-US" w:eastAsia="zh-CN"/>
        </w:rPr>
        <w:t xml:space="preserve">胡女士</w:t>
      </w:r>
      <w:r/>
    </w:p>
    <w:p>
      <w:pPr>
        <w:pStyle w:val="726"/>
        <w:ind w:firstLine="48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联系方式：13815581495</w:t>
      </w:r>
      <w:r/>
    </w:p>
    <w:p>
      <w:pPr>
        <w:pStyle w:val="726"/>
        <w:jc w:val="center"/>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1"/>
      <w:r/>
      <w:bookmarkStart w:id="33" w:name="_Toc20823274"/>
      <w:r/>
      <w:bookmarkStart w:id="34" w:name="_Toc513029202"/>
      <w:r/>
      <w:bookmarkStart w:id="35" w:name="_Toc120614213"/>
      <w:r/>
      <w:bookmarkStart w:id="36" w:name="_Toc16938518"/>
      <w:r>
        <w:rPr>
          <w:rFonts w:hint="eastAsia" w:ascii="宋体" w:hAnsi="宋体" w:eastAsia="宋体" w:cs="宋体"/>
          <w:b/>
          <w:color w:val="auto"/>
          <w:sz w:val="44"/>
          <w:szCs w:val="44"/>
          <w:highlight w:val="none"/>
        </w:rPr>
        <w:t xml:space="preserve">投标人须知</w:t>
      </w:r>
      <w:bookmarkEnd w:id="33"/>
      <w:r/>
      <w:bookmarkEnd w:id="34"/>
      <w:r/>
      <w:bookmarkEnd w:id="35"/>
      <w:r/>
      <w:bookmarkEnd w:id="36"/>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color w:val="auto"/>
          <w:sz w:val="24"/>
          <w:szCs w:val="24"/>
          <w:highlight w:val="none"/>
        </w:rPr>
      </w:pPr>
      <w:r/>
      <w:bookmarkStart w:id="37" w:name="_Toc513029203"/>
      <w:r/>
      <w:bookmarkStart w:id="38" w:name="_Toc120614214"/>
      <w:r/>
      <w:bookmarkStart w:id="39" w:name="_Toc16938519"/>
      <w:r/>
      <w:bookmarkStart w:id="40" w:name="_Toc20823275"/>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41" w:name="_Toc16938520"/>
      <w:r/>
      <w:bookmarkStart w:id="42" w:name="_Toc20823276"/>
      <w:r/>
      <w:bookmarkStart w:id="43" w:name="_Toc458694821"/>
      <w:r/>
      <w:bookmarkStart w:id="44" w:name="_Toc513029204"/>
      <w:r/>
      <w:bookmarkStart w:id="45" w:name="_Hlt16619475"/>
      <w:r>
        <w:rPr>
          <w:rFonts w:hint="eastAsia" w:ascii="宋体" w:hAnsi="宋体" w:eastAsia="宋体" w:cs="宋体"/>
          <w:b w:val="0"/>
          <w:bCs/>
          <w:color w:val="auto"/>
          <w:sz w:val="24"/>
          <w:szCs w:val="24"/>
          <w:highlight w:val="none"/>
        </w:rPr>
        <w:t xml:space="preserve">1</w:t>
      </w:r>
      <w:bookmarkEnd w:id="41"/>
      <w:r>
        <w:rPr>
          <w:rFonts w:hint="eastAsia" w:ascii="宋体" w:hAnsi="宋体" w:eastAsia="宋体" w:cs="宋体"/>
          <w:b w:val="0"/>
          <w:bCs/>
          <w:color w:val="auto"/>
          <w:sz w:val="24"/>
          <w:szCs w:val="24"/>
          <w:highlight w:val="none"/>
        </w:rPr>
        <w:t xml:space="preserve">、招标方式</w:t>
      </w:r>
      <w:bookmarkEnd w:id="42"/>
      <w:r/>
      <w:bookmarkEnd w:id="43"/>
      <w:r/>
      <w:bookmarkEnd w:id="44"/>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1.1本次招标采取公开招标方式，本</w:t>
      </w:r>
      <w:r>
        <w:rPr>
          <w:rFonts w:hint="eastAsia" w:ascii="宋体" w:hAnsi="宋体" w:eastAsia="宋体" w:cs="宋体"/>
          <w:b w:val="0"/>
          <w:bCs/>
          <w:color w:val="auto"/>
          <w:sz w:val="24"/>
          <w:szCs w:val="24"/>
          <w:highlight w:val="none"/>
          <w:lang w:eastAsia="zh-CN"/>
        </w:rPr>
        <w:t xml:space="preserve">采购文件</w:t>
      </w:r>
      <w:r>
        <w:rPr>
          <w:rFonts w:hint="eastAsia" w:ascii="宋体" w:hAnsi="宋体" w:eastAsia="宋体" w:cs="宋体"/>
          <w:b w:val="0"/>
          <w:bCs/>
          <w:color w:val="auto"/>
          <w:sz w:val="24"/>
          <w:szCs w:val="24"/>
          <w:highlight w:val="none"/>
        </w:rPr>
        <w:t xml:space="preserve">仅适用于招标公告中所述项目。</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46" w:name="_Toc20823277"/>
      <w:r/>
      <w:bookmarkStart w:id="47" w:name="_Toc513029205"/>
      <w:r/>
      <w:bookmarkStart w:id="48" w:name="_Toc16938521"/>
      <w:r>
        <w:rPr>
          <w:rFonts w:hint="eastAsia" w:ascii="宋体" w:hAnsi="宋体" w:eastAsia="宋体" w:cs="宋体"/>
          <w:b w:val="0"/>
          <w:bCs/>
          <w:color w:val="auto"/>
          <w:sz w:val="24"/>
          <w:szCs w:val="24"/>
          <w:highlight w:val="none"/>
        </w:rPr>
        <w:t xml:space="preserve">2、合格的投标人</w:t>
      </w:r>
      <w:bookmarkEnd w:id="46"/>
      <w:r/>
      <w:bookmarkEnd w:id="47"/>
      <w:r/>
      <w:bookmarkEnd w:id="48"/>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2.1满足招标公告中供应商的资格要求的规定。</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2.2满足本文件实质性要求和条件的规定。</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49" w:name="_Toc513029207"/>
      <w:r/>
      <w:bookmarkStart w:id="50" w:name="_Toc20823279"/>
      <w:r/>
      <w:bookmarkStart w:id="51" w:name="_Toc462564067"/>
      <w:r/>
      <w:bookmarkStart w:id="52" w:name="_Toc16938523"/>
      <w:r>
        <w:rPr>
          <w:rFonts w:hint="eastAsia" w:ascii="宋体" w:hAnsi="宋体" w:eastAsia="宋体" w:cs="宋体"/>
          <w:b w:val="0"/>
          <w:bCs/>
          <w:color w:val="auto"/>
          <w:sz w:val="24"/>
          <w:szCs w:val="24"/>
          <w:highlight w:val="none"/>
        </w:rPr>
        <w:t xml:space="preserve">3、适用法律和标准</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 本次招标及由此产生的合同受中华人民共和国有关的法律法规制约和保护。</w:t>
      </w:r>
      <w:r/>
    </w:p>
    <w:p>
      <w:pPr>
        <w:pStyle w:val="726"/>
        <w:ind w:left="420" w:firstLine="0"/>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 在本项目政府采购活动过程中，如果所执行的标准有更新的，按照最新标准执行。</w:t>
      </w:r>
      <w:r/>
    </w:p>
    <w:p>
      <w:pPr>
        <w:pStyle w:val="726"/>
        <w:ind w:left="420" w:firstLine="0"/>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4、投标费用</w:t>
      </w:r>
      <w:bookmarkEnd w:id="49"/>
      <w:r/>
      <w:bookmarkEnd w:id="50"/>
      <w:r/>
      <w:bookmarkEnd w:id="51"/>
      <w:r/>
      <w:bookmarkEnd w:id="52"/>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4.1投标人应自行承担所有与参加投标有关的费用，无论投标过程中的做法和结果如何，采购人和采购代理机构在任何情况下均无义务和责任承担这些费用。</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4.2本次招标采购人和采购代理机构不收取标书工本费。</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4.3本项目的招标代理服务费由中标人承担，招标代理费按</w:t>
      </w:r>
      <w:r>
        <w:rPr>
          <w:rFonts w:hint="eastAsia" w:ascii="宋体" w:hAnsi="宋体" w:eastAsia="宋体" w:cs="宋体"/>
          <w:b w:val="0"/>
          <w:bCs/>
          <w:color w:val="auto"/>
          <w:sz w:val="24"/>
          <w:szCs w:val="24"/>
          <w:highlight w:val="none"/>
          <w:lang w:val="en-US" w:eastAsia="zh-CN"/>
        </w:rPr>
        <w:t xml:space="preserve">计价格</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2002</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1980</w:t>
      </w:r>
      <w:r>
        <w:rPr>
          <w:rFonts w:hint="eastAsia" w:ascii="宋体" w:hAnsi="宋体" w:eastAsia="宋体" w:cs="宋体"/>
          <w:b w:val="0"/>
          <w:bCs/>
          <w:color w:val="auto"/>
          <w:sz w:val="24"/>
          <w:szCs w:val="24"/>
          <w:highlight w:val="none"/>
        </w:rPr>
        <w:t xml:space="preserve">号文</w:t>
      </w:r>
      <w:r>
        <w:rPr>
          <w:rFonts w:hint="eastAsia" w:ascii="宋体" w:hAnsi="宋体" w:eastAsia="宋体" w:cs="宋体"/>
          <w:b w:val="0"/>
          <w:bCs/>
          <w:color w:val="auto"/>
          <w:sz w:val="24"/>
          <w:szCs w:val="24"/>
          <w:highlight w:val="none"/>
          <w:lang w:val="en-US" w:eastAsia="zh-CN"/>
        </w:rPr>
        <w:t xml:space="preserve">取费标准的55%</w:t>
      </w:r>
      <w:r>
        <w:rPr>
          <w:rFonts w:hint="eastAsia" w:ascii="宋体" w:hAnsi="宋体" w:eastAsia="宋体" w:cs="宋体"/>
          <w:b w:val="0"/>
          <w:bCs/>
          <w:color w:val="auto"/>
          <w:sz w:val="24"/>
          <w:szCs w:val="24"/>
          <w:highlight w:val="none"/>
        </w:rPr>
        <w:t xml:space="preserve">计取</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投标人在投标时应将此费用自行考虑在投标报价中，不单列，</w:t>
      </w:r>
      <w:r>
        <w:rPr>
          <w:rFonts w:hint="eastAsia" w:ascii="宋体" w:hAnsi="宋体" w:eastAsia="宋体" w:cs="宋体"/>
          <w:b w:val="0"/>
          <w:bCs/>
          <w:color w:val="auto"/>
          <w:sz w:val="24"/>
          <w:szCs w:val="24"/>
          <w:highlight w:val="none"/>
          <w:lang w:val="en-US" w:eastAsia="zh-CN"/>
        </w:rPr>
        <w:t xml:space="preserve">由</w:t>
      </w:r>
      <w:r>
        <w:rPr>
          <w:rFonts w:hint="eastAsia" w:ascii="宋体" w:hAnsi="宋体" w:eastAsia="宋体" w:cs="宋体"/>
          <w:b w:val="0"/>
          <w:bCs/>
          <w:color w:val="auto"/>
          <w:sz w:val="24"/>
          <w:szCs w:val="24"/>
          <w:highlight w:val="none"/>
        </w:rPr>
        <w:t xml:space="preserve">中标</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在领取中标通知书前</w:t>
      </w:r>
      <w:r>
        <w:rPr>
          <w:rFonts w:hint="eastAsia" w:ascii="宋体" w:hAnsi="宋体" w:eastAsia="宋体" w:cs="宋体"/>
          <w:b w:val="0"/>
          <w:bCs/>
          <w:color w:val="auto"/>
          <w:sz w:val="24"/>
          <w:szCs w:val="24"/>
          <w:highlight w:val="none"/>
          <w:lang w:val="en-US" w:eastAsia="zh-CN"/>
        </w:rPr>
        <w:t xml:space="preserve">支付</w:t>
      </w:r>
      <w:r>
        <w:rPr>
          <w:rFonts w:hint="eastAsia" w:ascii="宋体" w:hAnsi="宋体" w:eastAsia="宋体" w:cs="宋体"/>
          <w:b w:val="0"/>
          <w:bCs/>
          <w:color w:val="auto"/>
          <w:sz w:val="24"/>
          <w:szCs w:val="24"/>
          <w:highlight w:val="none"/>
        </w:rPr>
        <w:t xml:space="preserve">。</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5、招标文件的约束力</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5.1投标人一旦参加本项目采购活动，即被认为接受了本招标文件的规定和约束。</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color w:val="auto"/>
          <w:sz w:val="24"/>
          <w:szCs w:val="24"/>
          <w:highlight w:val="none"/>
        </w:rPr>
      </w:pPr>
      <w:r/>
      <w:bookmarkStart w:id="53" w:name="_Toc513029209"/>
      <w:r/>
      <w:bookmarkStart w:id="54" w:name="_Toc20823281"/>
      <w:r/>
      <w:bookmarkStart w:id="55" w:name="_Toc120614215"/>
      <w:r/>
      <w:bookmarkStart w:id="56" w:name="_Toc16938525"/>
      <w:r>
        <w:rPr>
          <w:rFonts w:hint="eastAsia" w:ascii="宋体" w:hAnsi="宋体" w:eastAsia="宋体" w:cs="宋体"/>
          <w:b/>
          <w:color w:val="auto"/>
          <w:sz w:val="24"/>
          <w:szCs w:val="24"/>
          <w:highlight w:val="none"/>
        </w:rPr>
        <w:t xml:space="preserve">二、招标文件</w:t>
      </w:r>
      <w:bookmarkEnd w:id="53"/>
      <w:r/>
      <w:bookmarkEnd w:id="54"/>
      <w:r/>
      <w:bookmarkEnd w:id="55"/>
      <w:r/>
      <w:bookmarkEnd w:id="56"/>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57" w:name="_Toc513029210"/>
      <w:r/>
      <w:bookmarkStart w:id="58" w:name="_Toc16938526"/>
      <w:r/>
      <w:bookmarkStart w:id="59" w:name="_Toc20823282"/>
      <w:r>
        <w:rPr>
          <w:rFonts w:hint="eastAsia" w:ascii="宋体" w:hAnsi="宋体" w:eastAsia="宋体" w:cs="宋体"/>
          <w:b w:val="0"/>
          <w:bCs/>
          <w:color w:val="auto"/>
          <w:sz w:val="24"/>
          <w:szCs w:val="24"/>
          <w:highlight w:val="none"/>
        </w:rPr>
        <w:t xml:space="preserve">6、招标文件构成</w:t>
      </w:r>
      <w:bookmarkEnd w:id="57"/>
      <w:r/>
      <w:bookmarkEnd w:id="58"/>
      <w:r/>
      <w:bookmarkEnd w:id="59"/>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6.1 招标文件由以下部分组成：</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（1）招标公告</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（2）投标人须知</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（3）合同文本</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（4）采购需求</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（5）评标方法与评标标准</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（6）投标文件格式</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请仔细检查招标文件是否齐全，如有缺漏请立即与采购人或采购代理机构联系解决。</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60" w:name="_Toc20823283"/>
      <w:r/>
      <w:bookmarkStart w:id="61" w:name="_Toc462564070"/>
      <w:r/>
      <w:bookmarkStart w:id="62" w:name="_Toc513029211"/>
      <w:r/>
      <w:bookmarkStart w:id="63" w:name="_Toc16938527"/>
      <w:r>
        <w:rPr>
          <w:rFonts w:hint="eastAsia" w:ascii="宋体" w:hAnsi="宋体" w:eastAsia="宋体" w:cs="宋体"/>
          <w:b w:val="0"/>
          <w:bCs/>
          <w:color w:val="auto"/>
          <w:sz w:val="24"/>
          <w:szCs w:val="24"/>
          <w:highlight w:val="none"/>
        </w:rPr>
        <w:t xml:space="preserve">7、招标文件的澄清</w:t>
      </w:r>
      <w:bookmarkEnd w:id="60"/>
      <w:r/>
      <w:bookmarkEnd w:id="61"/>
      <w:r/>
      <w:bookmarkEnd w:id="62"/>
      <w:r/>
      <w:bookmarkEnd w:id="63"/>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7.1任何要求对招标文件进行澄清的投标人，应在投标截止期十日前按招标公告中的通讯地址，以书面形式通知采购代理机构。</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64" w:name="_Toc462564071"/>
      <w:r/>
      <w:bookmarkStart w:id="65" w:name="_Toc513029212"/>
      <w:r/>
      <w:bookmarkStart w:id="66" w:name="_Toc16938528"/>
      <w:r/>
      <w:bookmarkStart w:id="67" w:name="_Toc20823284"/>
      <w:r>
        <w:rPr>
          <w:rFonts w:hint="eastAsia" w:ascii="宋体" w:hAnsi="宋体" w:eastAsia="宋体" w:cs="宋体"/>
          <w:b w:val="0"/>
          <w:bCs/>
          <w:color w:val="auto"/>
          <w:sz w:val="24"/>
          <w:szCs w:val="24"/>
          <w:highlight w:val="none"/>
        </w:rPr>
        <w:t xml:space="preserve">8、招标文件的修改</w:t>
      </w:r>
      <w:bookmarkEnd w:id="64"/>
      <w:r/>
      <w:bookmarkEnd w:id="65"/>
      <w:r/>
      <w:bookmarkEnd w:id="66"/>
      <w:r/>
      <w:bookmarkEnd w:id="67"/>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8.1在投标截止时间前，采购人可以对招标文件进行修改。</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8.2采购人有权按照法定的要求推迟投标截止日期和开标日期。</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8.3招标文件的修改将在中国政府采购网、江苏政府采购网、盐城市政府采购网公布，补充文件将作为招标文件的组成部分，并对投标人具有约束力。</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color w:val="auto"/>
          <w:sz w:val="24"/>
          <w:szCs w:val="24"/>
          <w:highlight w:val="none"/>
        </w:rPr>
      </w:pPr>
      <w:r/>
      <w:bookmarkStart w:id="68" w:name="_Toc20823285"/>
      <w:r/>
      <w:bookmarkStart w:id="69" w:name="_Toc462564072"/>
      <w:r/>
      <w:bookmarkStart w:id="70" w:name="_Toc16938529"/>
      <w:r/>
      <w:bookmarkStart w:id="71" w:name="_Toc513029213"/>
      <w:r/>
      <w:bookmarkStart w:id="72" w:name="_Toc120614216"/>
      <w:r>
        <w:rPr>
          <w:rFonts w:hint="eastAsia" w:ascii="宋体" w:hAnsi="宋体" w:eastAsia="宋体" w:cs="宋体"/>
          <w:b/>
          <w:color w:val="auto"/>
          <w:sz w:val="24"/>
          <w:szCs w:val="24"/>
          <w:highlight w:val="none"/>
        </w:rPr>
        <w:t xml:space="preserve">三、投标文件的编制</w:t>
      </w:r>
      <w:bookmarkEnd w:id="68"/>
      <w:r/>
      <w:bookmarkEnd w:id="69"/>
      <w:r/>
      <w:bookmarkEnd w:id="70"/>
      <w:r/>
      <w:bookmarkEnd w:id="71"/>
      <w:r/>
      <w:bookmarkEnd w:id="72"/>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73" w:name="_Toc462564073"/>
      <w:r/>
      <w:bookmarkStart w:id="74" w:name="_Toc16938530"/>
      <w:r/>
      <w:bookmarkStart w:id="75" w:name="_Toc20823286"/>
      <w:r/>
      <w:bookmarkStart w:id="76" w:name="_Toc513029214"/>
      <w:r>
        <w:rPr>
          <w:rFonts w:hint="eastAsia" w:ascii="宋体" w:hAnsi="宋体" w:eastAsia="宋体" w:cs="宋体"/>
          <w:b w:val="0"/>
          <w:bCs/>
          <w:color w:val="auto"/>
          <w:sz w:val="24"/>
          <w:szCs w:val="24"/>
          <w:highlight w:val="none"/>
        </w:rPr>
        <w:t xml:space="preserve">9、投标文件的语言及度量衡单位</w:t>
      </w:r>
      <w:bookmarkEnd w:id="73"/>
      <w:r/>
      <w:bookmarkEnd w:id="74"/>
      <w:r/>
      <w:bookmarkEnd w:id="75"/>
      <w:r/>
      <w:bookmarkEnd w:id="76"/>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9.1投标人提交的投标文件以及投标人与采购人就有关投标的所有来往通知、函件和文件均应使用简体中文。</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9.2除技术性能另有规定外，投标文件所使用的度量衡单位，均须采用国家法定计量单位。</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77" w:name="_Toc20823287"/>
      <w:r/>
      <w:bookmarkStart w:id="78" w:name="_Toc16938531"/>
      <w:r/>
      <w:bookmarkStart w:id="79" w:name="_Toc462564074"/>
      <w:r/>
      <w:bookmarkStart w:id="80" w:name="_Toc513029215"/>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投标文件构成</w:t>
      </w:r>
      <w:bookmarkEnd w:id="77"/>
      <w:r/>
      <w:bookmarkEnd w:id="78"/>
      <w:r/>
      <w:bookmarkEnd w:id="79"/>
      <w:r/>
      <w:bookmarkEnd w:id="80"/>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26"/>
        <w:numPr>
          <w:ilvl w:val="0"/>
          <w:numId w:val="1"/>
        </w:numPr>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81" w:name="_Toc513029219"/>
      <w:r/>
      <w:bookmarkStart w:id="82" w:name="_Toc513029216"/>
      <w:r/>
      <w:bookmarkStart w:id="83" w:name="_Toc14577357"/>
      <w:r/>
      <w:bookmarkStart w:id="84" w:name="_Toc14577354"/>
      <w:r/>
      <w:bookmarkStart w:id="85" w:name="_Toc49090507"/>
      <w:r/>
      <w:bookmarkStart w:id="86" w:name="_Toc49090509"/>
      <w:r/>
      <w:bookmarkStart w:id="87" w:name="_Hlt26954838"/>
      <w:r/>
      <w:bookmarkStart w:id="88" w:name="_Hlt26668975"/>
      <w:r/>
      <w:bookmarkStart w:id="89" w:name="_Hlt26670360"/>
      <w:r>
        <w:rPr>
          <w:rFonts w:hint="eastAsia" w:ascii="宋体" w:hAnsi="宋体" w:eastAsia="宋体" w:cs="宋体"/>
          <w:b w:val="0"/>
          <w:bCs/>
          <w:color w:val="auto"/>
          <w:sz w:val="24"/>
          <w:szCs w:val="24"/>
          <w:highlight w:val="none"/>
        </w:rPr>
        <w:t xml:space="preserve">证明投标人及投标标的符合招标文件规定的文件</w:t>
      </w:r>
      <w:bookmarkEnd w:id="81"/>
      <w:r/>
      <w:bookmarkEnd w:id="82"/>
      <w:r/>
      <w:bookmarkEnd w:id="83"/>
      <w:r/>
      <w:bookmarkEnd w:id="84"/>
      <w:r/>
      <w:bookmarkEnd w:id="85"/>
      <w:r/>
      <w:bookmarkEnd w:id="86"/>
      <w:r/>
      <w:bookmarkStart w:id="90" w:name="_Toc49090508"/>
      <w:r/>
      <w:bookmarkStart w:id="91" w:name="_Toc14577355"/>
      <w:r/>
      <w:r/>
    </w:p>
    <w:p>
      <w:pPr>
        <w:pStyle w:val="726"/>
        <w:numPr>
          <w:ilvl w:val="0"/>
          <w:numId w:val="0"/>
        </w:numPr>
        <w:ind w:firstLine="420"/>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11.1投标人应按照法律、法规、规章和规范性文件以及招标文件要求提交证明文件，证明其投标标的符合招标文件规定。</w:t>
      </w:r>
      <w:bookmarkEnd w:id="90"/>
      <w:r/>
      <w:bookmarkEnd w:id="91"/>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11.2招标文件对证明文件无明确形式要求的，证明文件可以以文字资料、图纸和数据等形式提交。</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w:t>
      </w:r>
      <w:bookmarkStart w:id="92" w:name="_Hlt26670373"/>
      <w:r>
        <w:rPr>
          <w:rFonts w:hint="eastAsia" w:ascii="宋体" w:hAnsi="宋体" w:eastAsia="宋体" w:cs="宋体"/>
          <w:b w:val="0"/>
          <w:bCs/>
          <w:color w:val="auto"/>
          <w:sz w:val="24"/>
          <w:szCs w:val="24"/>
          <w:highlight w:val="none"/>
        </w:rPr>
        <w:t xml:space="preserve">投标分项报价表</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93" w:name="_Hlt26954844"/>
      <w:r/>
      <w:bookmarkStart w:id="94" w:name="_Hlt26954846"/>
      <w:r/>
      <w:bookmarkStart w:id="95" w:name="_Hlt26670399"/>
      <w:r/>
      <w:bookmarkStart w:id="96" w:name="_Hlt26670425"/>
      <w:r/>
      <w:bookmarkStart w:id="97" w:name="_Hlt26668983"/>
      <w:r/>
      <w:bookmarkStart w:id="98" w:name="_Hlt26954848"/>
      <w:r/>
      <w:bookmarkStart w:id="99" w:name="_Hlt26670486"/>
      <w:r/>
      <w:bookmarkStart w:id="100" w:name="_Hlt26670482"/>
      <w:r/>
      <w:bookmarkStart w:id="101" w:name="_Hlt26954840"/>
      <w:r/>
      <w:bookmarkStart w:id="102" w:name="_Hlt26954842"/>
      <w:r/>
      <w:bookmarkStart w:id="103" w:name="_Hlt26954731"/>
      <w:r/>
      <w:bookmarkStart w:id="104" w:name="_Hlt26670403"/>
      <w:r>
        <w:rPr>
          <w:rFonts w:hint="eastAsia" w:ascii="宋体" w:hAnsi="宋体" w:eastAsia="宋体" w:cs="宋体"/>
          <w:b w:val="0"/>
          <w:bCs/>
          <w:color w:val="auto"/>
          <w:sz w:val="24"/>
          <w:szCs w:val="24"/>
          <w:highlight w:val="none"/>
        </w:rPr>
        <w:t xml:space="preserve">12.1投标人应按照招标文件规定格式填报投标分项报价表。</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12.2投标货币。投标文件中的单价和总价无特殊规定的采用人民币报价，以元为单位标注。招标文件中另有规定的按规定执行。</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13、技术要求响应及偏离表、商务要求响应及偏离表</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13.1投标人需对招标文件中的技术要求与商务要求逐项作出响应或偏离，并说明原因。</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13.2投标人可在投标文件中提供认为需要的其他技术文件或说明。</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105" w:name="_Hlt26954850"/>
      <w:r/>
      <w:bookmarkStart w:id="106" w:name="_Hlt26954739"/>
      <w:r/>
      <w:bookmarkStart w:id="107" w:name="_Hlt26670489"/>
      <w:r/>
      <w:bookmarkStart w:id="108" w:name="_Hlt26954852"/>
      <w:r/>
      <w:bookmarkStart w:id="109" w:name="_Toc513029226"/>
      <w:r/>
      <w:bookmarkStart w:id="110" w:name="_Hlt26954734"/>
      <w:r>
        <w:rPr>
          <w:rFonts w:hint="eastAsia" w:ascii="宋体" w:hAnsi="宋体" w:eastAsia="宋体" w:cs="宋体"/>
          <w:b w:val="0"/>
          <w:bCs/>
          <w:color w:val="auto"/>
          <w:sz w:val="24"/>
          <w:szCs w:val="24"/>
          <w:highlight w:val="none"/>
        </w:rPr>
        <w:t xml:space="preserve">14、</w:t>
      </w:r>
      <w:r>
        <w:rPr>
          <w:rFonts w:hint="eastAsia" w:ascii="宋体" w:hAnsi="宋体" w:eastAsia="宋体" w:cs="宋体"/>
          <w:b w:val="0"/>
          <w:bCs/>
          <w:color w:val="auto"/>
          <w:sz w:val="24"/>
          <w:szCs w:val="24"/>
          <w:highlight w:val="none"/>
          <w:lang w:val="en-US" w:eastAsia="zh-CN"/>
        </w:rPr>
        <w:t xml:space="preserve">实施方案</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售后方案、</w:t>
      </w:r>
      <w:r>
        <w:rPr>
          <w:rFonts w:hint="eastAsia" w:ascii="宋体" w:hAnsi="宋体" w:eastAsia="宋体" w:cs="宋体"/>
          <w:b w:val="0"/>
          <w:bCs/>
          <w:color w:val="auto"/>
          <w:sz w:val="24"/>
          <w:szCs w:val="24"/>
          <w:highlight w:val="none"/>
        </w:rPr>
        <w:t xml:space="preserve">人员安排及其他</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14.1 投标人需根据招标文件要求提供有关售后服务的管理制度，售后服务人员的数量、素质、技术水平及售后服务的反应能力等。</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14.2 投标人需根据招标文件要求提供</w:t>
      </w:r>
      <w:r>
        <w:rPr>
          <w:rFonts w:hint="eastAsia" w:ascii="宋体" w:hAnsi="宋体" w:eastAsia="宋体" w:cs="宋体"/>
          <w:b w:val="0"/>
          <w:bCs/>
          <w:color w:val="auto"/>
          <w:sz w:val="24"/>
          <w:szCs w:val="24"/>
          <w:highlight w:val="none"/>
          <w:lang w:val="en-US" w:eastAsia="zh-CN"/>
        </w:rPr>
        <w:t xml:space="preserve">实施方案</w:t>
      </w:r>
      <w:r>
        <w:rPr>
          <w:rFonts w:hint="eastAsia" w:ascii="宋体" w:hAnsi="宋体" w:eastAsia="宋体" w:cs="宋体"/>
          <w:b w:val="0"/>
          <w:bCs/>
          <w:color w:val="auto"/>
          <w:sz w:val="24"/>
          <w:szCs w:val="24"/>
          <w:highlight w:val="none"/>
        </w:rPr>
        <w:t xml:space="preserve">。</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14.3投标人需根据招标文件要求提供所投标的的主要组成部分、功能设计、实现思路及关键技术等。</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111" w:name="_Toc49090510"/>
      <w:r/>
      <w:bookmarkStart w:id="112" w:name="_Toc14577359"/>
      <w:r>
        <w:rPr>
          <w:rFonts w:hint="eastAsia" w:ascii="宋体" w:hAnsi="宋体" w:eastAsia="宋体" w:cs="宋体"/>
          <w:b w:val="0"/>
          <w:bCs/>
          <w:color w:val="auto"/>
          <w:sz w:val="24"/>
          <w:szCs w:val="24"/>
          <w:highlight w:val="none"/>
        </w:rPr>
        <w:t xml:space="preserve">15、投标函和开标一览表</w:t>
      </w:r>
      <w:bookmarkEnd w:id="111"/>
      <w:r/>
      <w:bookmarkEnd w:id="112"/>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15.1 投标人应按照招标文件中提供的格式完整、正确填写投标函、开标一览表。</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113" w:name="_Toc49090511"/>
      <w:r/>
      <w:bookmarkStart w:id="114" w:name="_Toc14577360"/>
      <w:r>
        <w:rPr>
          <w:rFonts w:hint="eastAsia" w:ascii="宋体" w:hAnsi="宋体" w:eastAsia="宋体" w:cs="宋体"/>
          <w:b w:val="0"/>
          <w:bCs/>
          <w:color w:val="auto"/>
          <w:sz w:val="24"/>
          <w:szCs w:val="24"/>
          <w:highlight w:val="none"/>
        </w:rPr>
        <w:t xml:space="preserve">16、投标有效期</w:t>
      </w:r>
      <w:bookmarkEnd w:id="113"/>
      <w:r/>
      <w:bookmarkEnd w:id="114"/>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16.1投标有效期为采购代理机构规定的开标之日后六十（60）天。投标有效期比规定短的将被视为未实质性响应招标文件而予以拒绝。</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17、投标有效期的延长</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color w:val="auto"/>
          <w:sz w:val="24"/>
          <w:szCs w:val="24"/>
          <w:highlight w:val="none"/>
        </w:rPr>
      </w:pPr>
      <w:r/>
      <w:bookmarkStart w:id="115" w:name="_Toc120614217"/>
      <w:r/>
      <w:bookmarkStart w:id="116" w:name="_Toc513029224"/>
      <w:r/>
      <w:bookmarkStart w:id="117" w:name="_Toc16938540"/>
      <w:r/>
      <w:bookmarkStart w:id="118" w:name="_Toc20823296"/>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119" w:name="_Toc513029225"/>
      <w:r/>
      <w:bookmarkStart w:id="120" w:name="_Toc20823297"/>
      <w:r/>
      <w:bookmarkStart w:id="121" w:name="_Toc16938541"/>
      <w:r/>
      <w:bookmarkStart w:id="122" w:name="_Toc462564084"/>
      <w:r>
        <w:rPr>
          <w:rFonts w:hint="eastAsia" w:ascii="宋体" w:hAnsi="宋体" w:eastAsia="宋体" w:cs="宋体"/>
          <w:b w:val="0"/>
          <w:bCs/>
          <w:color w:val="auto"/>
          <w:sz w:val="24"/>
          <w:szCs w:val="24"/>
          <w:highlight w:val="none"/>
        </w:rPr>
        <w:t xml:space="preserve">18、电子投标文件</w:t>
      </w:r>
      <w:bookmarkEnd w:id="119"/>
      <w:r/>
      <w:bookmarkEnd w:id="120"/>
      <w:r/>
      <w:bookmarkEnd w:id="121"/>
      <w:r/>
      <w:bookmarkEnd w:id="122"/>
      <w:r>
        <w:rPr>
          <w:rFonts w:hint="eastAsia" w:ascii="宋体" w:hAnsi="宋体" w:eastAsia="宋体" w:cs="宋体"/>
          <w:b w:val="0"/>
          <w:bCs/>
          <w:color w:val="auto"/>
          <w:sz w:val="24"/>
          <w:szCs w:val="24"/>
          <w:highlight w:val="none"/>
        </w:rPr>
        <w:t xml:space="preserve">的递交</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18.1投标人应当按照《操作手册》规定，在投标截止时间前制作并上传电子投标文件。</w:t>
      </w:r>
      <w:bookmarkStart w:id="123" w:name="_Toc16938542"/>
      <w:r/>
      <w:bookmarkEnd w:id="123"/>
      <w:r/>
      <w:bookmarkStart w:id="124" w:name="_Toc20823298"/>
      <w:r/>
      <w:bookmarkEnd w:id="124"/>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19、投标截止日期</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i/>
          <w:iCs/>
          <w:color w:val="auto"/>
          <w:sz w:val="24"/>
          <w:szCs w:val="24"/>
          <w:highlight w:val="none"/>
          <w:u w:val="single"/>
        </w:rPr>
      </w:pPr>
      <w:r>
        <w:rPr>
          <w:rFonts w:hint="eastAsia" w:ascii="宋体" w:hAnsi="宋体" w:eastAsia="宋体" w:cs="宋体"/>
          <w:b w:val="0"/>
          <w:bCs/>
          <w:i/>
          <w:iCs/>
          <w:color w:val="auto"/>
          <w:sz w:val="24"/>
          <w:szCs w:val="24"/>
          <w:highlight w:val="none"/>
          <w:u w:val="single"/>
        </w:rPr>
        <w:t xml:space="preserve">19.1 投标人上传电子投标文件的时间不得迟于招标公告中规定的投标截止时间。</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投标人应充分考虑网络环境、网络带宽等风险因素，如因投标人自身原因造成的电子投标文件上传不成功的按照本招标文件第二章第27.1.2条规定做无效投标处理。</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125" w:name="_Toc16938543"/>
      <w:r/>
      <w:bookmarkStart w:id="126" w:name="_Toc513029227"/>
      <w:r/>
      <w:bookmarkStart w:id="127" w:name="_Toc20823299"/>
      <w:r>
        <w:rPr>
          <w:rFonts w:hint="eastAsia" w:ascii="宋体" w:hAnsi="宋体" w:eastAsia="宋体" w:cs="宋体"/>
          <w:b w:val="0"/>
          <w:bCs/>
          <w:color w:val="auto"/>
          <w:sz w:val="24"/>
          <w:szCs w:val="24"/>
          <w:highlight w:val="none"/>
        </w:rPr>
        <w:t xml:space="preserve">20、投标文件</w:t>
      </w:r>
      <w:bookmarkEnd w:id="125"/>
      <w:r/>
      <w:bookmarkEnd w:id="126"/>
      <w:r/>
      <w:bookmarkEnd w:id="127"/>
      <w:r>
        <w:rPr>
          <w:rFonts w:hint="eastAsia" w:ascii="宋体" w:hAnsi="宋体" w:eastAsia="宋体" w:cs="宋体"/>
          <w:b w:val="0"/>
          <w:bCs/>
          <w:color w:val="auto"/>
          <w:sz w:val="24"/>
          <w:szCs w:val="24"/>
          <w:highlight w:val="none"/>
        </w:rPr>
        <w:t xml:space="preserve">的拒收</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20.1 采购代理机构拒绝接收在其规定的投标截止时间后上传的任何投标文件。</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bookmarkStart w:id="128" w:name="_Toc513029228"/>
      <w:r/>
      <w:bookmarkStart w:id="129" w:name="_Toc20823300"/>
      <w:r/>
      <w:bookmarkStart w:id="130" w:name="_Toc16938544"/>
      <w:r>
        <w:rPr>
          <w:rFonts w:hint="eastAsia" w:ascii="宋体" w:hAnsi="宋体" w:eastAsia="宋体" w:cs="宋体"/>
          <w:b w:val="0"/>
          <w:bCs/>
          <w:color w:val="auto"/>
          <w:sz w:val="24"/>
          <w:szCs w:val="24"/>
          <w:highlight w:val="none"/>
        </w:rPr>
        <w:t xml:space="preserve">21、投标文件的撤回和修改</w:t>
      </w:r>
      <w:bookmarkEnd w:id="128"/>
      <w:r/>
      <w:bookmarkEnd w:id="129"/>
      <w:r/>
      <w:bookmarkEnd w:id="130"/>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 投标文件的撤回</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21.1.1 电子投标文件的撤回</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投标人可在投标截止时间前，撤回其电子投标文件，具体操作方法见《操作手册》。</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21.1.2 投标人撤回电子投标文件，则认为其不再参与本项目投标活动。</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 投标文件的修改</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21.2.1投标人可在投标截止时间前，对其电子投标文件进行修改，具体操作方法见《操作手册》。</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21.2.2 在投标截止时间之后，投标人不得对其电子投标文件作任何修改。</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21.3 在投标截止时间至招标文件中规定的投标有效期满之间的这段时间内，投标人不得撤回其投标。</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1" w:name="_Toc20823301"/>
      <w:r/>
      <w:bookmarkStart w:id="132" w:name="_Toc513029229"/>
      <w:r/>
      <w:bookmarkStart w:id="133" w:name="_Toc16938545"/>
      <w:r/>
      <w:bookmarkStart w:id="134" w:name="_Toc120614218"/>
      <w:r>
        <w:rPr>
          <w:rFonts w:hint="eastAsia" w:ascii="宋体" w:hAnsi="宋体" w:eastAsia="宋体" w:cs="宋体"/>
          <w:b/>
          <w:color w:val="auto"/>
          <w:sz w:val="24"/>
          <w:szCs w:val="24"/>
          <w:highlight w:val="none"/>
        </w:rPr>
        <w:t xml:space="preserve">五、开标与评标</w:t>
      </w:r>
      <w:bookmarkEnd w:id="131"/>
      <w:r/>
      <w:bookmarkEnd w:id="132"/>
      <w:r/>
      <w:bookmarkEnd w:id="133"/>
      <w:r/>
      <w:bookmarkEnd w:id="134"/>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5" w:name="_Toc513029230"/>
      <w:r/>
      <w:bookmarkStart w:id="136" w:name="_Toc16938546"/>
      <w:r/>
      <w:bookmarkStart w:id="137" w:name="_Toc20823302"/>
      <w:r>
        <w:rPr>
          <w:rFonts w:hint="eastAsia" w:ascii="宋体" w:hAnsi="宋体" w:eastAsia="宋体" w:cs="宋体"/>
          <w:color w:val="auto"/>
          <w:sz w:val="24"/>
          <w:szCs w:val="24"/>
          <w:highlight w:val="none"/>
        </w:rPr>
        <w:t xml:space="preserve">22、开标</w:t>
      </w:r>
      <w:bookmarkEnd w:id="135"/>
      <w:r/>
      <w:bookmarkEnd w:id="136"/>
      <w:r/>
      <w:bookmarkEnd w:id="137"/>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22.2开标仪式由采购代理机构组织。苏采云系统将自动对项目进行开标，并宣布各投标人名称和投标价格。</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8" w:name="_Toc16938547"/>
      <w:r/>
      <w:bookmarkStart w:id="139" w:name="_Toc20823303"/>
      <w:r/>
      <w:bookmarkStart w:id="140" w:name="_Toc513029231"/>
      <w:r>
        <w:rPr>
          <w:rFonts w:hint="eastAsia" w:ascii="宋体" w:hAnsi="宋体" w:eastAsia="宋体" w:cs="宋体"/>
          <w:color w:val="auto"/>
          <w:sz w:val="24"/>
          <w:szCs w:val="24"/>
          <w:highlight w:val="none"/>
        </w:rPr>
        <w:t xml:space="preserve">23、评标委员会</w:t>
      </w:r>
      <w:bookmarkEnd w:id="138"/>
      <w:r/>
      <w:bookmarkEnd w:id="139"/>
      <w:r/>
      <w:bookmarkEnd w:id="140"/>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24.1凡是与审查、澄清、评价和比较投标的有关资料以及授标建议等，采购人、评委、采购代理机构均不得向投标人或与评标无关的其他人员透露。</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采购代理机构和评标委员会不向未中标的投标人解释未中标原因，也不公布评标过程中的相关细节。</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1" w:name="_Toc20823304"/>
      <w:r/>
      <w:bookmarkStart w:id="142" w:name="_Toc16938548"/>
      <w:r/>
      <w:bookmarkStart w:id="143" w:name="_Toc513029232"/>
      <w:r>
        <w:rPr>
          <w:rFonts w:hint="eastAsia" w:ascii="宋体" w:hAnsi="宋体" w:eastAsia="宋体" w:cs="宋体"/>
          <w:color w:val="auto"/>
          <w:sz w:val="24"/>
          <w:szCs w:val="24"/>
          <w:highlight w:val="none"/>
        </w:rPr>
        <w:t xml:space="preserve">25．投标文件的澄清</w:t>
      </w:r>
      <w:bookmarkEnd w:id="141"/>
      <w:r/>
      <w:bookmarkEnd w:id="142"/>
      <w:r/>
      <w:bookmarkEnd w:id="143"/>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4" w:name="_Toc20823305"/>
      <w:r/>
      <w:bookmarkStart w:id="145" w:name="_Toc16938549"/>
      <w:r/>
      <w:bookmarkStart w:id="146" w:name="_Toc513029233"/>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有权要求投标人作出必要的澄清、说明或者补正。</w:t>
      </w:r>
      <w:bookmarkEnd w:id="144"/>
      <w:r/>
      <w:bookmarkEnd w:id="145"/>
      <w:r/>
      <w:bookmarkEnd w:id="146"/>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投标人的澄清、说明或者补正不得超出投标文件的范围或者改变投标文件的实质性内容。评标委员会并非对每个投标人都做澄清要求。</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val="en-US"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7" w:name="_Toc513029234"/>
      <w:r/>
      <w:bookmarkStart w:id="148" w:name="_Toc20823306"/>
      <w:r/>
      <w:bookmarkStart w:id="149"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7"/>
      <w:r/>
      <w:bookmarkEnd w:id="148"/>
      <w:r/>
      <w:bookmarkEnd w:id="149"/>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26.7投标人在开、评标全过程中应保持通讯畅通，及时登录苏采云系统查阅、答复相关信息，并安排专人与采购代理机构及评标委员会联系。</w:t>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0" w:name="_Toc20823307"/>
      <w:r/>
      <w:bookmarkStart w:id="151" w:name="_Toc513029235"/>
      <w:r/>
      <w:bookmarkStart w:id="152" w:name="_Toc16938551"/>
      <w:r>
        <w:rPr>
          <w:rFonts w:hint="eastAsia" w:ascii="宋体" w:hAnsi="宋体" w:eastAsia="宋体" w:cs="宋体"/>
          <w:color w:val="auto"/>
          <w:sz w:val="24"/>
          <w:szCs w:val="24"/>
          <w:highlight w:val="none"/>
        </w:rPr>
        <w:t xml:space="preserve">27.1无效投标条款</w:t>
      </w:r>
      <w:bookmarkEnd w:id="150"/>
      <w:r/>
      <w:bookmarkEnd w:id="151"/>
      <w:r/>
      <w:bookmarkEnd w:id="152"/>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26"/>
        <w:ind w:left="0" w:firstLine="420"/>
        <w:jc w:val="left"/>
        <w:pageBreakBefore w:val="0"/>
        <w:spacing w:beforeAutospacing="0" w:afterAutospacing="0"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color w:val="auto"/>
          <w:sz w:val="24"/>
          <w:szCs w:val="24"/>
          <w:highlight w:val="none"/>
          <w:u w:val="single"/>
        </w:rPr>
        <w:t xml:space="preserve">本招标文件中斜体且有下划线部分为实质性要求和条件）。</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严重失信主体名单、重大税收违法失信主体名单、政府采购严重失信行为记录名单。或查询“信用中国”网站后发现投标人存在其他不符合《中华人民共和国政府采购法》第二十二条规定条件的信用记录。</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 投标文件含有采购人不能接受的附加条件的。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1.投标报价低于采购项目预算50%的，即投标报价&lt;采购项目预算×50%；</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2.投标报价低于采购项目最高限价45%的，即投标报价&lt;采购项目最高限价×45%；</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相关法律法规对供应商报价有规定的，从其规定。</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27.1.13其他法律、法规及本招标文件规定的无效投标的情形。</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因苏采云系统故障原因造成开标不成功的。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3" w:name="_Toc120614219"/>
      <w:r>
        <w:rPr>
          <w:rFonts w:hint="eastAsia" w:ascii="宋体" w:hAnsi="宋体" w:eastAsia="宋体" w:cs="宋体"/>
          <w:b/>
          <w:color w:val="auto"/>
          <w:sz w:val="24"/>
          <w:szCs w:val="24"/>
          <w:highlight w:val="none"/>
        </w:rPr>
        <w:t xml:space="preserve">六、定标</w:t>
      </w:r>
      <w:bookmarkEnd w:id="153"/>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4" w:name="_Toc20823310"/>
      <w:r/>
      <w:bookmarkStart w:id="155" w:name="_Toc513029238"/>
      <w:r/>
      <w:bookmarkStart w:id="156" w:name="_Toc16938554"/>
      <w:r>
        <w:rPr>
          <w:rFonts w:hint="eastAsia" w:ascii="宋体" w:hAnsi="宋体" w:eastAsia="宋体" w:cs="宋体"/>
          <w:color w:val="auto"/>
          <w:sz w:val="24"/>
          <w:szCs w:val="24"/>
          <w:highlight w:val="none"/>
        </w:rPr>
        <w:t xml:space="preserve">28、</w:t>
      </w:r>
      <w:bookmarkEnd w:id="154"/>
      <w:r>
        <w:rPr>
          <w:rFonts w:hint="eastAsia" w:ascii="宋体" w:hAnsi="宋体" w:eastAsia="宋体" w:cs="宋体"/>
          <w:color w:val="auto"/>
          <w:sz w:val="24"/>
          <w:szCs w:val="24"/>
          <w:highlight w:val="none"/>
        </w:rPr>
        <w:t xml:space="preserve">确定</w:t>
      </w:r>
      <w:bookmarkEnd w:id="155"/>
      <w:r/>
      <w:bookmarkEnd w:id="156"/>
      <w:r>
        <w:rPr>
          <w:rFonts w:hint="eastAsia" w:ascii="宋体" w:hAnsi="宋体" w:eastAsia="宋体" w:cs="宋体"/>
          <w:color w:val="auto"/>
          <w:sz w:val="24"/>
          <w:szCs w:val="24"/>
          <w:highlight w:val="none"/>
        </w:rPr>
        <w:t xml:space="preserve">中标单位</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采购代理机构将在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7" w:name="_Toc200451960"/>
      <w:r>
        <w:rPr>
          <w:rFonts w:hint="eastAsia" w:ascii="宋体" w:hAnsi="宋体" w:eastAsia="宋体" w:cs="宋体"/>
          <w:color w:val="auto"/>
          <w:sz w:val="24"/>
          <w:szCs w:val="24"/>
          <w:highlight w:val="none"/>
        </w:rPr>
        <w:t xml:space="preserve">28.5有下列情形之一的，视为投标人串通投标，投标无效：</w:t>
      </w:r>
      <w:bookmarkEnd w:id="157"/>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726"/>
        <w:ind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29.3质疑函必须按照本招标文件中《质疑函范本》要求的格式和内容进行填写。《质疑函范本》中要求签字、盖章、加盖公章之处，均须按要求签字、盖章、加盖公章。</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采购人及采购代理机构只接收以纸质原件形式送达的质疑,采购人和采购代理机构不接受未填写快递运单的快件。</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6"/>
        <w:ind w:left="0" w:firstLine="422"/>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8" w:name="_Toc16938552"/>
      <w:r/>
      <w:bookmarkStart w:id="159" w:name="_Toc20823308"/>
      <w:r/>
      <w:bookmarkStart w:id="160" w:name="_Toc513029236"/>
      <w:r/>
      <w:bookmarkStart w:id="161" w:name="_Toc120614220"/>
      <w:r>
        <w:rPr>
          <w:rFonts w:hint="eastAsia" w:ascii="宋体" w:hAnsi="宋体" w:eastAsia="宋体" w:cs="宋体"/>
          <w:b/>
          <w:color w:val="auto"/>
          <w:sz w:val="24"/>
          <w:szCs w:val="24"/>
          <w:highlight w:val="none"/>
        </w:rPr>
        <w:t xml:space="preserve">七、授予合同</w:t>
      </w:r>
      <w:bookmarkEnd w:id="158"/>
      <w:r/>
      <w:bookmarkEnd w:id="159"/>
      <w:r/>
      <w:bookmarkEnd w:id="160"/>
      <w:r/>
      <w:bookmarkEnd w:id="161"/>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2" w:name="_Toc20823309"/>
      <w:r/>
      <w:bookmarkStart w:id="163" w:name="_Toc16938553"/>
      <w:r/>
      <w:bookmarkStart w:id="164" w:name="_Toc513029237"/>
      <w:r>
        <w:rPr>
          <w:rFonts w:hint="eastAsia" w:ascii="宋体" w:hAnsi="宋体" w:eastAsia="宋体" w:cs="宋体"/>
          <w:color w:val="auto"/>
          <w:sz w:val="24"/>
          <w:szCs w:val="24"/>
          <w:highlight w:val="none"/>
        </w:rPr>
        <w:t xml:space="preserve">31. 签订合同</w:t>
      </w:r>
      <w:bookmarkEnd w:id="162"/>
      <w:r/>
      <w:bookmarkEnd w:id="163"/>
      <w:r/>
      <w:bookmarkEnd w:id="164"/>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33.政府采购政策功能落实</w:t>
      </w:r>
      <w:r/>
    </w:p>
    <w:p>
      <w:pPr>
        <w:pStyle w:val="726"/>
        <w:ind w:left="0" w:firstLine="420"/>
        <w:jc w:val="left"/>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33.1政府采购线上合同信用融资政策</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33.2进口产品</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33.3中小企业、监狱企业及残疾人福利性单位</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33.3.1中小企业定义：</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33.3.2供应商提供的货物、工程或者服务符合下列情形的，享受中小企业扶持政策：</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33.3.2.1在货物采购项目中，货物由中小企业制造，即货物由中小企业生产且使用该中小企业商号或者注册商标；</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33.3.2.2在工程采购项目中，工程由中小企业承建，即工程施工单位为中小企业；</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33.3.2.3在服务采购项目中，服务由中小企业承接，即提供服务的人员为中小企业依照《中华人民共和国劳动合同法》订立劳动合同的从业人员。</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33.3.3在货物采购项目中，供应商提供的货物既有中小企业制造货物，也有大型企业制造货物的，不享受中小企业扶持政策。</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残疾人福利单位定义：享受政府采购支持政策的残疾人福利性单位应当同时满足以下条件：</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.1安置的残疾人占本单位在职职工人数的比例不低于25%（含25%），并且安置的残疾人人数不少于10 人（含10 人）；</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.2依法与安置的每位残疾人签订了一年以上（含一年）的劳动合同或服务协议；</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.3为安置的每位残疾人按月足额缴纳了基本养老保险、基本医疗保险、失业保险、工伤保险和生育保险等社会保险费；</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.4通过银行等金融机构向安置的每位残疾人，按月支付了不低于单位所在区县适用的经省级人民政府批准的月最低工资标准的工资；</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.5提供本单位制造的货物、承担的工程或者服务（以下简称产品），或者提供其他残疾人福利性单位制造的货物（不包括使用非残疾人福利性单位注册商标的货物）；</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本项目是否专门面向中小企业预留采购份额见第一章《投标邀请》。</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采购标的对应的中小企业划分标准所属行业见第四章《采购需求》。</w:t>
      </w:r>
      <w:r/>
    </w:p>
    <w:p>
      <w:pPr>
        <w:pStyle w:val="726"/>
        <w:ind w:left="0" w:firstLine="42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小微企业价格评审优惠的政策：见第五章《评标方法和评标标准》。</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33.4政府采购节能产品、环境标志产品</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val="0"/>
          <w:iCs/>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33.5绿色包装</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33.6政府采购创新产品</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33.7绿色数据中心政策 </w:t>
      </w:r>
      <w:r/>
    </w:p>
    <w:p>
      <w:pPr>
        <w:ind w:left="0" w:firstLine="420"/>
        <w:jc w:val="left"/>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33.8实施本国产品标准及相关政策</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33.8.</w:t>
      </w:r>
      <w:r>
        <w:rPr>
          <w:rFonts w:hint="eastAsia" w:ascii="宋体" w:hAnsi="宋体" w:eastAsia="宋体" w:cs="宋体"/>
          <w:color w:val="auto"/>
          <w:sz w:val="24"/>
          <w:szCs w:val="24"/>
          <w:highlight w:val="none"/>
        </w:rPr>
        <w:t xml:space="preserve">1本项目对采购本国产品给予政策支持，具体内容见招标文件“第五章 评标方法与评标标准”。</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33.8.</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33.8.</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33.8.</w:t>
      </w:r>
      <w:r>
        <w:rPr>
          <w:rFonts w:hint="eastAsia" w:ascii="宋体" w:hAnsi="宋体" w:eastAsia="宋体" w:cs="宋体"/>
          <w:color w:val="auto"/>
          <w:sz w:val="24"/>
          <w:szCs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33.9</w:t>
      </w:r>
      <w:r>
        <w:rPr>
          <w:rFonts w:hint="eastAsia" w:ascii="宋体" w:hAnsi="宋体" w:eastAsia="宋体" w:cs="宋体"/>
          <w:color w:val="auto"/>
          <w:sz w:val="24"/>
          <w:szCs w:val="24"/>
          <w:highlight w:val="none"/>
        </w:rPr>
        <w:t xml:space="preserve">履约保证金政策</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依据供应商应当以支票、汇票、本票或者金融机构、担保机构出具的保函等非现金形式提交履约保证金。《关于在全省政府采购领域推行电子履约保函（保险）的通知》，鼓励供应商自愿使用电子履约保函（保险）代替缴纳履约保证金。</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级及以上的政府采购供应商（需在签订采购合同前提供信用管理部门备案的第三方信用报告，且信用报告通过“信用盐城网”可查实），免交履约保证金。</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预付款制度</w:t>
      </w:r>
      <w:r/>
    </w:p>
    <w:p>
      <w:pPr>
        <w:ind w:left="0" w:firstLine="420"/>
        <w:jc w:val="left"/>
        <w:pageBreakBefore w:val="0"/>
        <w:spacing w:line="500" w:lineRule="exact"/>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宋体" w:hAnsi="宋体" w:eastAsia="宋体" w:cs="宋体"/>
          <w:color w:val="auto"/>
          <w:sz w:val="44"/>
          <w:szCs w:val="44"/>
          <w:highlight w:val="none"/>
          <w:lang w:bidi="ar-SA"/>
        </w:rPr>
      </w:pPr>
      <w:r/>
      <w:bookmarkStart w:id="165" w:name="_Toc120614281"/>
      <w:r/>
      <w:bookmarkStart w:id="166" w:name="_Hlt16619369"/>
      <w:r>
        <w:rPr>
          <w:rFonts w:hint="eastAsia" w:ascii="宋体" w:hAnsi="宋体" w:eastAsia="宋体" w:cs="宋体"/>
          <w:color w:val="auto"/>
          <w:sz w:val="44"/>
          <w:szCs w:val="44"/>
          <w:highlight w:val="none"/>
          <w:lang w:bidi="ar-SA"/>
        </w:rPr>
        <w:br w:type="page" w:clear="all"/>
      </w:r>
      <w:r/>
    </w:p>
    <w:p>
      <w:pPr>
        <w:ind w:left="0" w:firstLine="420"/>
        <w:jc w:val="center"/>
        <w:pageBreakBefore w:val="0"/>
        <w:spacing w:line="360" w:lineRule="auto"/>
        <w:widowControl w:val="off"/>
        <w:tabs>
          <w:tab w:val="left" w:pos="1381" w:leader="none"/>
        </w:tabs>
        <w:rPr>
          <w:rFonts w:hint="eastAsia" w:ascii="宋体" w:hAnsi="宋体" w:eastAsia="宋体" w:cs="宋体"/>
          <w:color w:val="auto"/>
          <w:highlight w:val="none"/>
        </w:rPr>
      </w:pPr>
      <w:r>
        <w:rPr>
          <w:rFonts w:hint="eastAsia" w:ascii="宋体" w:hAnsi="宋体" w:eastAsia="宋体" w:cs="宋体"/>
          <w:color w:val="auto"/>
          <w:sz w:val="44"/>
          <w:szCs w:val="44"/>
          <w:highlight w:val="none"/>
          <w:lang w:bidi="ar-SA"/>
        </w:rPr>
        <w:t xml:space="preserve">第三章  合同条款及格式</w:t>
      </w:r>
      <w:r/>
    </w:p>
    <w:p>
      <w:pPr>
        <w:ind w:firstLine="480"/>
        <w:spacing w:line="44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726"/>
        <w:ind w:firstLine="361"/>
        <w:jc w:val="center"/>
        <w:spacing w:line="360" w:lineRule="exact"/>
        <w:rPr>
          <w:rFonts w:hint="eastAsia" w:ascii="宋体" w:hAnsi="宋体" w:eastAsia="宋体" w:cs="宋体"/>
          <w:b/>
          <w:bCs/>
          <w:color w:val="auto"/>
          <w:sz w:val="36"/>
          <w:szCs w:val="36"/>
          <w:highlight w:val="none"/>
        </w:rPr>
      </w:pPr>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本项目合同条款，中标人不得提出实质性的修改。</w:t>
      </w:r>
      <w:r/>
    </w:p>
    <w:p>
      <w:pPr>
        <w:pStyle w:val="726"/>
        <w:ind w:firstLine="361"/>
        <w:jc w:val="center"/>
        <w:spacing w:line="360" w:lineRule="exact"/>
        <w:rPr>
          <w:rFonts w:hint="eastAsia" w:ascii="宋体" w:hAnsi="宋体" w:eastAsia="宋体" w:cs="宋体"/>
          <w:b/>
          <w:bCs/>
          <w:color w:val="auto"/>
          <w:sz w:val="36"/>
          <w:szCs w:val="36"/>
          <w:highlight w:val="none"/>
        </w:rPr>
      </w:pPr>
      <w:r/>
      <w:bookmarkStart w:id="167" w:name="_Toc479757211"/>
      <w:r>
        <w:rPr>
          <w:rFonts w:hint="eastAsia" w:ascii="宋体" w:hAnsi="宋体" w:eastAsia="宋体" w:cs="宋体"/>
          <w:b/>
          <w:bCs/>
          <w:color w:val="auto"/>
          <w:sz w:val="36"/>
          <w:szCs w:val="36"/>
          <w:highlight w:val="none"/>
        </w:rPr>
        <w:t xml:space="preserve">购  销  合  同</w:t>
      </w:r>
      <w:r/>
    </w:p>
    <w:p>
      <w:pPr>
        <w:pStyle w:val="726"/>
        <w:ind w:firstLine="241"/>
        <w:jc w:val="both"/>
        <w:spacing w:line="360" w:lineRule="exact"/>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签订地点：</w:t>
      </w:r>
      <w:r>
        <w:rPr>
          <w:rFonts w:hint="eastAsia" w:ascii="宋体" w:hAnsi="宋体" w:eastAsia="宋体" w:cs="宋体"/>
          <w:b/>
          <w:color w:val="auto"/>
          <w:highlight w:val="none"/>
          <w:u w:val="single"/>
        </w:rPr>
        <w:t xml:space="preserve">      盐    城           　</w:t>
      </w:r>
      <w:r>
        <w:rPr>
          <w:rFonts w:hint="eastAsia" w:ascii="宋体" w:hAnsi="宋体" w:eastAsia="宋体" w:cs="宋体"/>
          <w:b/>
          <w:color w:val="auto"/>
          <w:highlight w:val="none"/>
        </w:rPr>
        <w:t xml:space="preserve">　合同编号：</w:t>
      </w:r>
      <w:r>
        <w:rPr>
          <w:rFonts w:hint="eastAsia" w:ascii="宋体" w:hAnsi="宋体" w:eastAsia="宋体" w:cs="宋体"/>
          <w:b/>
          <w:color w:val="auto"/>
          <w:highlight w:val="none"/>
          <w:u w:val="single"/>
        </w:rPr>
        <w:t xml:space="preserve">                </w:t>
      </w:r>
      <w:r/>
    </w:p>
    <w:p>
      <w:pPr>
        <w:pStyle w:val="726"/>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购货单位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盐城市第三人民医院          </w:t>
      </w:r>
      <w:r>
        <w:rPr>
          <w:rFonts w:hint="eastAsia" w:ascii="宋体" w:hAnsi="宋体" w:eastAsia="宋体" w:cs="宋体"/>
          <w:color w:val="auto"/>
          <w:highlight w:val="none"/>
        </w:rPr>
        <w:t xml:space="preserve">（以下简称甲方）（盖章）  </w:t>
      </w:r>
      <w:r/>
    </w:p>
    <w:p>
      <w:pPr>
        <w:pStyle w:val="726"/>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供货单位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（以下简称乙方）（盖章）</w:t>
      </w:r>
      <w:r/>
    </w:p>
    <w:p>
      <w:pPr>
        <w:pStyle w:val="726"/>
        <w:ind w:firstLine="210"/>
        <w:spacing w:beforeAutospacing="0" w:afterAutospacing="0" w:line="36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　根据《中华人民共和国民法典》，经双方协商，本着平等互利、协商一致的原则，签订</w:t>
      </w:r>
      <w:r>
        <w:rPr>
          <w:rFonts w:hint="eastAsia" w:ascii="宋体" w:hAnsi="宋体" w:eastAsia="宋体" w:cs="宋体"/>
          <w:color w:val="auto"/>
          <w:highlight w:val="none"/>
          <w:lang w:val="en-US" w:eastAsia="zh-CN"/>
        </w:rPr>
        <w:t xml:space="preserve">本</w:t>
      </w:r>
      <w:r>
        <w:rPr>
          <w:rFonts w:hint="eastAsia" w:ascii="宋体" w:hAnsi="宋体" w:eastAsia="宋体" w:cs="宋体"/>
          <w:color w:val="auto"/>
          <w:highlight w:val="none"/>
          <w:lang w:eastAsia="zh-CN"/>
        </w:rPr>
        <w:t xml:space="preserve">合</w:t>
      </w:r>
      <w:r>
        <w:rPr>
          <w:rFonts w:hint="eastAsia" w:ascii="宋体" w:hAnsi="宋体" w:eastAsia="宋体" w:cs="宋体"/>
          <w:color w:val="auto"/>
          <w:highlight w:val="none"/>
        </w:rPr>
        <w:t xml:space="preserve">同： </w:t>
      </w:r>
      <w:r/>
    </w:p>
    <w:p>
      <w:pPr>
        <w:ind w:firstLine="482"/>
        <w:spacing w:line="360" w:lineRule="exact"/>
        <w:rPr>
          <w:rStyle w:val="963"/>
          <w:rFonts w:hint="eastAsia" w:ascii="宋体" w:hAnsi="宋体" w:eastAsia="宋体" w:cs="宋体"/>
          <w:b/>
          <w:color w:val="auto"/>
          <w:sz w:val="24"/>
          <w:szCs w:val="24"/>
          <w:highlight w:val="none"/>
        </w:rPr>
      </w:pPr>
      <w:r>
        <w:rPr>
          <w:rStyle w:val="963"/>
          <w:rFonts w:hint="eastAsia" w:ascii="宋体" w:hAnsi="宋体" w:eastAsia="宋体" w:cs="宋体"/>
          <w:b/>
          <w:color w:val="auto"/>
          <w:sz w:val="24"/>
          <w:szCs w:val="24"/>
          <w:highlight w:val="none"/>
        </w:rPr>
        <w:t xml:space="preserve">第一条 商品的名称、种类、规格、数量及价款</w:t>
      </w:r>
      <w:r/>
    </w:p>
    <w:tbl>
      <w:tblPr>
        <w:tblStyle w:val="699"/>
        <w:tblW w:w="9312"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612"/>
      </w:tblGrid>
      <w:tr>
        <w:trPr>
          <w:tblCellSpacing w:w="0" w:type="dxa"/>
          <w:trHeight w:val="701" w:hRule="exact"/>
        </w:trPr>
        <w:tc>
          <w:tcPr>
            <w:tcW w:w="188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Style w:val="963"/>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highlight w:val="none"/>
              </w:rPr>
              <w:t xml:space="preserve">名称</w:t>
            </w:r>
            <w:r/>
          </w:p>
        </w:tc>
        <w:tc>
          <w:tcPr>
            <w:tcW w:w="1404"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规格型号</w:t>
            </w:r>
            <w:r/>
          </w:p>
        </w:tc>
        <w:tc>
          <w:tcPr>
            <w:tcW w:w="1447"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生产厂家</w:t>
            </w:r>
            <w:r/>
          </w:p>
        </w:tc>
        <w:tc>
          <w:tcPr>
            <w:tcW w:w="946"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731"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290"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W w:w="161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金额（元）</w:t>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84"/>
        </w:trPr>
        <w:tc>
          <w:tcPr>
            <w:gridSpan w:val="7"/>
            <w:tcW w:w="9312" w:type="dxa"/>
            <w:vAlign w:val="center"/>
            <w:textDirection w:val="lrTb"/>
            <w:noWrap w:val="false"/>
          </w:tcPr>
          <w:p>
            <w:pPr>
              <w:ind w:left="480" w:hanging="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合计人民币金额：</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元                   （大写）： </w:t>
            </w:r>
            <w:r/>
          </w:p>
        </w:tc>
      </w:tr>
    </w:tbl>
    <w:p>
      <w:pPr>
        <w:pStyle w:val="726"/>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说明：本合同</w:t>
      </w:r>
      <w:r>
        <w:rPr>
          <w:rFonts w:hint="eastAsia" w:ascii="宋体" w:hAnsi="宋体" w:eastAsia="宋体" w:cs="宋体"/>
          <w:color w:val="auto"/>
          <w:highlight w:val="none"/>
          <w:lang w:val="en-US" w:eastAsia="zh-CN"/>
        </w:rPr>
        <w:t xml:space="preserve">为固定单价合同，合同</w:t>
      </w:r>
      <w:r>
        <w:rPr>
          <w:rFonts w:hint="eastAsia" w:ascii="宋体" w:hAnsi="宋体" w:eastAsia="宋体" w:cs="宋体"/>
          <w:color w:val="auto"/>
          <w:highlight w:val="none"/>
        </w:rPr>
        <w:t xml:space="preserve">金额包括但不限于商品的价格、包装费、装卸费、运输费、人工费、增值税金、管理费、税金等乙方为完成本合同约定内容</w:t>
      </w:r>
      <w:r>
        <w:rPr>
          <w:rFonts w:hint="eastAsia" w:ascii="宋体" w:hAnsi="宋体" w:eastAsia="宋体" w:cs="宋体"/>
          <w:color w:val="auto"/>
          <w:highlight w:val="none"/>
          <w:lang w:eastAsia="zh-CN"/>
        </w:rPr>
        <w:t xml:space="preserve">所需</w:t>
      </w:r>
      <w:r>
        <w:rPr>
          <w:rFonts w:hint="eastAsia" w:ascii="宋体" w:hAnsi="宋体" w:eastAsia="宋体" w:cs="宋体"/>
          <w:color w:val="auto"/>
          <w:highlight w:val="none"/>
        </w:rPr>
        <w:t xml:space="preserve">的所有费用。合同期限内，合同</w:t>
      </w: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rPr>
        <w:t xml:space="preserve">不因任何因素予以调整。</w:t>
      </w:r>
      <w:r/>
    </w:p>
    <w:p>
      <w:pPr>
        <w:pStyle w:val="726"/>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备注：详见配置清单。</w:t>
      </w:r>
      <w:r/>
    </w:p>
    <w:p>
      <w:pPr>
        <w:pStyle w:val="726"/>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第二条 交货方式 </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1、交货时间：乙方应在甲方书面通知之日起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日内完成交付。</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：乙方负责将设备安全运至甲方指定地点，经甲方验收交付之前设备的毁损、灭失风险及运输费用由乙方承担。乙方负责产品的包装，包装应确保货物安全，装卸、运输方便，由此产生的费用由乙方承担。</w:t>
      </w:r>
      <w:r/>
    </w:p>
    <w:p>
      <w:pPr>
        <w:ind w:left="420"/>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第三条 售后质量保证、安全和服务承诺</w:t>
      </w:r>
      <w:r/>
    </w:p>
    <w:p>
      <w:pPr>
        <w:ind w:firstLine="480"/>
        <w:spacing w:line="520" w:lineRule="exact"/>
        <w:rPr>
          <w:rStyle w:val="964"/>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乙方</w:t>
      </w:r>
      <w:r>
        <w:rPr>
          <w:rStyle w:val="964"/>
          <w:rFonts w:hint="eastAsia" w:ascii="宋体" w:hAnsi="宋体" w:eastAsia="宋体" w:cs="宋体"/>
          <w:color w:val="auto"/>
          <w:sz w:val="24"/>
          <w:szCs w:val="24"/>
          <w:highlight w:val="none"/>
        </w:rPr>
        <w:t xml:space="preserve">保证所售出货物符合国家规定的质量、包装等要求。</w:t>
      </w:r>
      <w:r/>
    </w:p>
    <w:p>
      <w:pPr>
        <w:ind w:firstLine="480"/>
        <w:spacing w:line="520" w:lineRule="exact"/>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lang w:val="en-US" w:eastAsia="zh-CN"/>
        </w:rPr>
        <w:t xml:space="preserve">2、</w:t>
      </w:r>
      <w:r>
        <w:rPr>
          <w:rStyle w:val="964"/>
          <w:rFonts w:hint="eastAsia" w:ascii="宋体" w:hAnsi="宋体" w:eastAsia="宋体" w:cs="宋体"/>
          <w:color w:val="auto"/>
          <w:sz w:val="24"/>
          <w:szCs w:val="24"/>
          <w:highlight w:val="none"/>
        </w:rPr>
        <w:t xml:space="preserve">除另有约定外，合同范围的商品，应由乙方直接供应，不得转让他人供应。</w:t>
      </w:r>
      <w:r/>
    </w:p>
    <w:p>
      <w:pPr>
        <w:ind w:firstLine="480"/>
        <w:spacing w:line="520" w:lineRule="exact"/>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lang w:val="en-US" w:eastAsia="zh-CN"/>
        </w:rPr>
        <w:t xml:space="preserve">3、</w:t>
      </w:r>
      <w:r>
        <w:rPr>
          <w:rStyle w:val="964"/>
          <w:rFonts w:hint="eastAsia" w:ascii="宋体" w:hAnsi="宋体" w:eastAsia="宋体" w:cs="宋体"/>
          <w:color w:val="auto"/>
          <w:sz w:val="24"/>
          <w:szCs w:val="24"/>
          <w:highlight w:val="none"/>
        </w:rPr>
        <w:t xml:space="preserve">产品的保修期</w:t>
      </w:r>
      <w:r>
        <w:rPr>
          <w:rFonts w:hint="eastAsia" w:ascii="宋体" w:hAnsi="宋体" w:eastAsia="宋体" w:cs="宋体"/>
          <w:color w:val="auto"/>
          <w:sz w:val="24"/>
          <w:highlight w:val="none"/>
        </w:rPr>
        <w:t xml:space="preserve">（以验收合格日算起）</w:t>
      </w:r>
      <w:r>
        <w:rPr>
          <w:rFonts w:hint="eastAsia" w:ascii="宋体" w:hAnsi="宋体" w:eastAsia="宋体" w:cs="宋体"/>
          <w:color w:val="auto"/>
          <w:sz w:val="24"/>
          <w:highlight w:val="none"/>
          <w:u w:val="single"/>
          <w:lang w:val="en-US" w:eastAsia="zh-CN"/>
        </w:rPr>
        <w:t xml:space="preserve">  5 </w:t>
      </w:r>
      <w:r>
        <w:rPr>
          <w:rFonts w:hint="eastAsia" w:ascii="宋体" w:hAnsi="宋体" w:eastAsia="宋体" w:cs="宋体"/>
          <w:color w:val="auto"/>
          <w:sz w:val="24"/>
          <w:highlight w:val="none"/>
          <w:lang w:val="en-US" w:eastAsia="zh-CN"/>
        </w:rPr>
        <w:t xml:space="preserve">年</w:t>
      </w:r>
      <w:r>
        <w:rPr>
          <w:rFonts w:hint="eastAsia" w:ascii="宋体" w:hAnsi="宋体" w:eastAsia="宋体" w:cs="宋体"/>
          <w:color w:val="auto"/>
          <w:sz w:val="24"/>
          <w:highlight w:val="none"/>
        </w:rPr>
        <w:t xml:space="preserve">，保修期内免费维修。保修期满后，维修只收取维修配</w:t>
      </w:r>
      <w:r>
        <w:rPr>
          <w:rStyle w:val="964"/>
          <w:rFonts w:hint="eastAsia" w:ascii="宋体" w:hAnsi="宋体" w:eastAsia="宋体" w:cs="宋体"/>
          <w:color w:val="auto"/>
          <w:sz w:val="24"/>
          <w:szCs w:val="24"/>
          <w:highlight w:val="none"/>
        </w:rPr>
        <w:t xml:space="preserve">件的成本费。</w:t>
      </w:r>
      <w:r/>
    </w:p>
    <w:p>
      <w:pPr>
        <w:ind w:firstLine="482"/>
        <w:spacing w:line="520" w:lineRule="exact"/>
        <w:rPr>
          <w:rStyle w:val="964"/>
          <w:rFonts w:hint="eastAsia" w:ascii="宋体" w:hAnsi="宋体" w:eastAsia="宋体" w:cs="宋体"/>
          <w:color w:val="auto"/>
          <w:sz w:val="24"/>
          <w:szCs w:val="24"/>
          <w:highlight w:val="none"/>
          <w:u w:val="single"/>
        </w:rPr>
      </w:pPr>
      <w:r>
        <w:rPr>
          <w:rStyle w:val="964"/>
          <w:rFonts w:hint="eastAsia" w:ascii="宋体" w:hAnsi="宋体" w:eastAsia="宋体" w:cs="宋体"/>
          <w:color w:val="auto"/>
          <w:sz w:val="24"/>
          <w:szCs w:val="24"/>
          <w:highlight w:val="none"/>
          <w:lang w:val="en-US" w:eastAsia="zh-CN"/>
        </w:rPr>
        <w:t xml:space="preserve">4、</w:t>
      </w:r>
      <w:r>
        <w:rPr>
          <w:rStyle w:val="964"/>
          <w:rFonts w:hint="eastAsia" w:ascii="宋体" w:hAnsi="宋体" w:eastAsia="宋体" w:cs="宋体"/>
          <w:color w:val="auto"/>
          <w:sz w:val="24"/>
          <w:szCs w:val="24"/>
          <w:highlight w:val="none"/>
        </w:rPr>
        <w:t xml:space="preserve">售后服务响应时间：</w:t>
      </w:r>
      <w:r>
        <w:rPr>
          <w:rStyle w:val="964"/>
          <w:rFonts w:hint="eastAsia" w:ascii="宋体" w:hAnsi="宋体" w:eastAsia="宋体" w:cs="宋体"/>
          <w:color w:val="auto"/>
          <w:sz w:val="24"/>
          <w:szCs w:val="24"/>
          <w:highlight w:val="none"/>
          <w:u w:val="single"/>
        </w:rPr>
        <w:t xml:space="preserve">   24小时   </w:t>
      </w:r>
      <w:r/>
    </w:p>
    <w:p>
      <w:pPr>
        <w:ind w:firstLine="482"/>
        <w:spacing w:line="520" w:lineRule="exact"/>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lang w:val="en-US" w:eastAsia="zh-CN"/>
        </w:rPr>
        <w:t xml:space="preserve">5、</w:t>
      </w:r>
      <w:r>
        <w:rPr>
          <w:rStyle w:val="964"/>
          <w:rFonts w:hint="eastAsia" w:ascii="宋体" w:hAnsi="宋体" w:eastAsia="宋体" w:cs="宋体"/>
          <w:color w:val="auto"/>
          <w:sz w:val="24"/>
          <w:szCs w:val="24"/>
          <w:highlight w:val="none"/>
        </w:rPr>
        <w:t xml:space="preserve">其 他  承 诺：</w:t>
      </w:r>
      <w:r>
        <w:rPr>
          <w:rStyle w:val="964"/>
          <w:rFonts w:hint="eastAsia" w:ascii="宋体" w:hAnsi="宋体" w:eastAsia="宋体" w:cs="宋体"/>
          <w:color w:val="auto"/>
          <w:sz w:val="24"/>
          <w:szCs w:val="24"/>
          <w:highlight w:val="none"/>
          <w:u w:val="single"/>
        </w:rPr>
        <w:t xml:space="preserve">      /      </w:t>
      </w:r>
      <w:r>
        <w:rPr>
          <w:rStyle w:val="964"/>
          <w:rFonts w:hint="eastAsia" w:ascii="宋体" w:hAnsi="宋体" w:eastAsia="宋体" w:cs="宋体"/>
          <w:color w:val="auto"/>
          <w:sz w:val="24"/>
          <w:szCs w:val="24"/>
          <w:highlight w:val="none"/>
        </w:rPr>
        <w:t xml:space="preserve">  </w:t>
      </w:r>
      <w:r/>
    </w:p>
    <w:p>
      <w:pPr>
        <w:pStyle w:val="726"/>
        <w:ind w:firstLine="482"/>
        <w:spacing w:beforeAutospacing="0" w:afterAutospacing="0" w:line="520" w:lineRule="exact"/>
        <w:rPr>
          <w:rStyle w:val="963"/>
          <w:rFonts w:hint="eastAsia" w:ascii="宋体" w:hAnsi="宋体" w:eastAsia="宋体" w:cs="宋体"/>
          <w:b/>
          <w:color w:val="auto"/>
          <w:sz w:val="24"/>
          <w:szCs w:val="24"/>
          <w:highlight w:val="none"/>
        </w:rPr>
      </w:pPr>
      <w:r>
        <w:rPr>
          <w:rFonts w:hint="eastAsia" w:ascii="宋体" w:hAnsi="宋体" w:eastAsia="宋体" w:cs="宋体"/>
          <w:b/>
          <w:color w:val="auto"/>
          <w:highlight w:val="none"/>
        </w:rPr>
        <w:t xml:space="preserve">第四条 </w:t>
      </w:r>
      <w:r>
        <w:rPr>
          <w:rStyle w:val="963"/>
          <w:rFonts w:hint="eastAsia" w:ascii="宋体" w:hAnsi="宋体" w:eastAsia="宋体" w:cs="宋体"/>
          <w:b/>
          <w:color w:val="auto"/>
          <w:sz w:val="24"/>
          <w:szCs w:val="24"/>
          <w:highlight w:val="none"/>
        </w:rPr>
        <w:t xml:space="preserve">验收与安装</w:t>
      </w:r>
      <w:r/>
    </w:p>
    <w:p>
      <w:pPr>
        <w:pStyle w:val="726"/>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第五条 货款的结算</w:t>
      </w:r>
      <w:r/>
    </w:p>
    <w:p>
      <w:pPr>
        <w:ind w:left="0" w:right="0" w:firstLine="480"/>
        <w:spacing w:before="0" w:after="0" w:line="55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合同签订后，</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收到预付款发票后10个工作日内</w:t>
      </w:r>
      <w:r>
        <w:rPr>
          <w:rFonts w:hint="eastAsia" w:ascii="宋体" w:hAnsi="宋体" w:eastAsia="宋体" w:cs="宋体"/>
          <w:color w:val="auto"/>
          <w:sz w:val="24"/>
          <w:highlight w:val="none"/>
        </w:rPr>
        <w:t xml:space="preserve">甲方支付合同价30%的预付款</w:t>
      </w:r>
      <w:r>
        <w:rPr>
          <w:rFonts w:hint="eastAsia" w:ascii="宋体" w:hAnsi="宋体" w:eastAsia="宋体" w:cs="宋体"/>
          <w:color w:val="auto"/>
          <w:sz w:val="24"/>
          <w:highlight w:val="none"/>
          <w:lang w:eastAsia="zh-CN"/>
        </w:rPr>
        <w:t xml:space="preserve">。</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2、项目验收合格后，甲方支付至合同金额的90%，其余的10%尾款，项目验收合格满12个月后付清。（扣除已支付预付款）</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r/>
    </w:p>
    <w:p>
      <w:pPr>
        <w:pStyle w:val="726"/>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第六条 对产品提出异议的时间和办法</w:t>
      </w:r>
      <w:r/>
    </w:p>
    <w:p>
      <w:pPr>
        <w:pStyle w:val="726"/>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highlight w:val="none"/>
          <w:u w:val="single"/>
        </w:rPr>
        <w:t xml:space="preserve">30日</w:t>
      </w:r>
      <w:r>
        <w:rPr>
          <w:rFonts w:hint="eastAsia" w:ascii="宋体" w:hAnsi="宋体" w:eastAsia="宋体" w:cs="宋体"/>
          <w:color w:val="auto"/>
          <w:highlight w:val="none"/>
        </w:rPr>
        <w:t xml:space="preserve">内，必须安装使用后才能发现内在质量缺陷的产品，从使用之日起</w:t>
      </w:r>
      <w:r>
        <w:rPr>
          <w:rFonts w:hint="eastAsia" w:ascii="宋体" w:hAnsi="宋体" w:eastAsia="宋体" w:cs="宋体"/>
          <w:color w:val="auto"/>
          <w:highlight w:val="none"/>
          <w:u w:val="single"/>
        </w:rPr>
        <w:t xml:space="preserve">6个月</w:t>
      </w:r>
      <w:r>
        <w:rPr>
          <w:rFonts w:hint="eastAsia" w:ascii="宋体" w:hAnsi="宋体" w:eastAsia="宋体" w:cs="宋体"/>
          <w:color w:val="auto"/>
          <w:highlight w:val="none"/>
        </w:rPr>
        <w:t xml:space="preserve">内向乙方提出书面异议。政府主管部门另有规定的从其规定。</w:t>
      </w:r>
      <w:r/>
    </w:p>
    <w:p>
      <w:pPr>
        <w:pStyle w:val="726"/>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2、乙方在接到甲方书面异议后，应在</w:t>
      </w:r>
      <w:r>
        <w:rPr>
          <w:rFonts w:hint="eastAsia" w:ascii="宋体" w:hAnsi="宋体" w:eastAsia="宋体" w:cs="宋体"/>
          <w:color w:val="auto"/>
          <w:highlight w:val="none"/>
          <w:u w:val="single"/>
        </w:rPr>
        <w:t xml:space="preserve">10日</w:t>
      </w:r>
      <w:r>
        <w:rPr>
          <w:rFonts w:hint="eastAsia" w:ascii="宋体" w:hAnsi="宋体" w:eastAsia="宋体" w:cs="宋体"/>
          <w:color w:val="auto"/>
          <w:highlight w:val="none"/>
        </w:rPr>
        <w:t xml:space="preserve">内（另有规定或当事人另行商定期限者除外）负责处理，否则，即视为默认甲方提出的异议和处理意见。</w:t>
      </w:r>
      <w:r/>
    </w:p>
    <w:p>
      <w:pPr>
        <w:pStyle w:val="726"/>
        <w:ind w:firstLine="240"/>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第七条 违约责任 </w:t>
      </w:r>
      <w:r/>
    </w:p>
    <w:p>
      <w:pPr>
        <w:pStyle w:val="726"/>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highlight w:val="none"/>
          <w:u w:val="single"/>
        </w:rPr>
        <w:t xml:space="preserve">3天</w:t>
      </w:r>
      <w:r>
        <w:rPr>
          <w:rFonts w:hint="eastAsia" w:ascii="宋体" w:hAnsi="宋体" w:eastAsia="宋体" w:cs="宋体"/>
          <w:color w:val="auto"/>
          <w:highlight w:val="none"/>
        </w:rPr>
        <w:t xml:space="preserve">，乙方不能纠正时，甲方可以终止全部或部分合同，终止部分不予支付货款。同时，乙方应向甲方按总货款的</w:t>
      </w:r>
      <w:r>
        <w:rPr>
          <w:rFonts w:hint="eastAsia" w:ascii="宋体" w:hAnsi="宋体" w:eastAsia="宋体" w:cs="宋体"/>
          <w:color w:val="auto"/>
          <w:highlight w:val="none"/>
          <w:u w:val="single"/>
        </w:rPr>
        <w:t xml:space="preserve"> 20%  </w:t>
      </w:r>
      <w:r>
        <w:rPr>
          <w:rFonts w:hint="eastAsia" w:ascii="宋体" w:hAnsi="宋体" w:eastAsia="宋体" w:cs="宋体"/>
          <w:color w:val="auto"/>
          <w:highlight w:val="none"/>
        </w:rPr>
        <w:t xml:space="preserve">支付违约金，并赔偿因此造成的损失。 </w:t>
      </w:r>
      <w:r/>
    </w:p>
    <w:p>
      <w:pPr>
        <w:pStyle w:val="726"/>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2、乙方所交产品品种、型号、规格、花色质量不符合合同规定的，甲方有权拒绝付款，因此所发生的一切费用损失，由乙方负责。 </w:t>
      </w:r>
      <w:r/>
    </w:p>
    <w:p>
      <w:pPr>
        <w:pStyle w:val="726"/>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726"/>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4、甲方未按合同规定的时间和要求提供相应的技术资料等，交货日期得以顺延。</w:t>
      </w:r>
      <w:r/>
    </w:p>
    <w:p>
      <w:pPr>
        <w:pStyle w:val="726"/>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726"/>
        <w:ind w:firstLine="516"/>
        <w:spacing w:beforeAutospacing="0" w:afterAutospacing="0" w:line="5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第八条 履约保证金</w:t>
      </w:r>
      <w:r/>
    </w:p>
    <w:p>
      <w:pPr>
        <w:pStyle w:val="726"/>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1、是否需要缴纳履约保证金：</w:t>
      </w:r>
      <w:r>
        <w:rPr>
          <w:rFonts w:hint="eastAsia" w:ascii="宋体" w:hAnsi="宋体" w:eastAsia="宋体" w:cs="宋体"/>
          <w:color w:val="auto"/>
          <w:highlight w:val="none"/>
          <w:u w:val="single"/>
          <w:lang w:val="en-US" w:eastAsia="zh-CN"/>
        </w:rPr>
        <w:t xml:space="preserve"> 是 </w:t>
      </w:r>
      <w:r/>
    </w:p>
    <w:p>
      <w:pPr>
        <w:pStyle w:val="726"/>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2、如需缴纳履约保证金的，按下列条款执行：</w:t>
      </w:r>
      <w:r/>
    </w:p>
    <w:p>
      <w:pPr>
        <w:pStyle w:val="726"/>
        <w:ind w:firstLine="513"/>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乙方交纳人民币</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合同价的10%</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元作为本合同的履约保证金。待设备安装验收合格后，无息退还履约保证金。</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rPr>
        <w:t xml:space="preserve">乙方自主选择以支票、汇票、本票或者金融机构、担保机构出具的保函等非现金形式提交履约保证金</w:t>
      </w:r>
      <w:r>
        <w:rPr>
          <w:rFonts w:hint="eastAsia" w:ascii="宋体" w:hAnsi="宋体" w:eastAsia="宋体" w:cs="宋体"/>
          <w:color w:val="auto"/>
          <w:sz w:val="24"/>
          <w:highlight w:val="none"/>
          <w:lang w:eastAsia="zh-CN"/>
        </w:rPr>
        <w:t xml:space="preserve">，鼓励使用电子履约保函（保险）缴纳履约保证金</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如乙方具有AA评级及以上信用等级（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履约保证金的退还：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2.4.1</w:t>
      </w:r>
      <w:r>
        <w:rPr>
          <w:rFonts w:hint="eastAsia" w:ascii="宋体" w:hAnsi="宋体" w:eastAsia="宋体" w:cs="宋体"/>
          <w:color w:val="auto"/>
          <w:sz w:val="24"/>
          <w:highlight w:val="none"/>
        </w:rPr>
        <w:t xml:space="preserve">方式：无息退还至投标人缴纳履约保证金的账户。如为保函，在到期时自行失效。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2.4.2</w:t>
      </w:r>
      <w:r>
        <w:rPr>
          <w:rFonts w:hint="eastAsia" w:ascii="宋体" w:hAnsi="宋体" w:eastAsia="宋体" w:cs="宋体"/>
          <w:color w:val="auto"/>
          <w:sz w:val="24"/>
          <w:highlight w:val="none"/>
        </w:rPr>
        <w:t xml:space="preserve">时间：验收合格且采购人收到发票后30日内。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2.4.3</w:t>
      </w:r>
      <w:r>
        <w:rPr>
          <w:rFonts w:hint="eastAsia" w:ascii="宋体" w:hAnsi="宋体" w:eastAsia="宋体" w:cs="宋体"/>
          <w:color w:val="auto"/>
          <w:sz w:val="24"/>
          <w:highlight w:val="none"/>
        </w:rPr>
        <w:t xml:space="preserve">条件：按合同要求全部履约完成并经采购人验收合格，且采购人收到中标人出具的发票。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2.4.4</w:t>
      </w:r>
      <w:r>
        <w:rPr>
          <w:rFonts w:hint="eastAsia" w:ascii="宋体" w:hAnsi="宋体" w:eastAsia="宋体" w:cs="宋体"/>
          <w:color w:val="auto"/>
          <w:sz w:val="24"/>
          <w:highlight w:val="none"/>
        </w:rPr>
        <w:t xml:space="preserve">不予退还情形：</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无正当理由拒绝签订合同的，或者在签订合同时向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提出附加条件或者更改合同实质性内容要求的；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不履行与采购人订立的合同的；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所供货物或服务不符合招标文件规定要求的；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采取欺骗、弄虚作假方式投标的或与其它投标人串通投标的；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将合同内容转包、违法分包的；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故意捏造事实或伪造证明材料，进行虚假恶意投诉或反映的。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逾期退还的违约责任：</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逾期无故未退还履约保证金的，按中国人民银行同期贷款基准利率上浮20%后的利率支付超期资金占用费，但因供应商自身原因导致无法及时退还的除外。</w:t>
      </w:r>
      <w:r/>
    </w:p>
    <w:p>
      <w:pPr>
        <w:pStyle w:val="726"/>
        <w:ind w:firstLine="241"/>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第九条 其他</w:t>
      </w:r>
      <w:r/>
    </w:p>
    <w:p>
      <w:pPr>
        <w:pStyle w:val="726"/>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当事人一方因不可抗力的原因不能履行合同时，应当及时通知对方，并在合理期限内提供有关机构出具的证明，可以全部或部分免除该方当事人的违约责任。 </w:t>
      </w:r>
      <w:r/>
    </w:p>
    <w:p>
      <w:pPr>
        <w:pStyle w:val="726"/>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726"/>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本合同自双方签字盖章之日起生效。本合同未尽事宜，须经双方共同协商，作出补充规定，其补充规定与本合同有同等法律效力。</w:t>
      </w:r>
      <w:r/>
    </w:p>
    <w:p>
      <w:pPr>
        <w:pStyle w:val="726"/>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本合同一式四份，甲方三份，乙方一份。</w:t>
      </w:r>
      <w:r/>
    </w:p>
    <w:p>
      <w:pPr>
        <w:pStyle w:val="726"/>
        <w:ind w:firstLine="240"/>
        <w:spacing w:beforeAutospacing="0" w:after="156"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购货单位：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pacing w:val="-2"/>
          <w:sz w:val="24"/>
          <w:highlight w:val="none"/>
        </w:rPr>
        <w:t xml:space="preserve">（盖章）</w:t>
      </w:r>
      <w:r>
        <w:rPr>
          <w:rFonts w:hint="eastAsia" w:ascii="宋体" w:hAnsi="宋体" w:eastAsia="宋体" w:cs="宋体"/>
          <w:color w:val="auto"/>
          <w:sz w:val="24"/>
          <w:highlight w:val="none"/>
        </w:rPr>
        <w:t xml:space="preserve">    供货单位：</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（盖章）</w:t>
      </w:r>
      <w:r/>
    </w:p>
    <w:p>
      <w:pPr>
        <w:ind w:firstLine="482"/>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exact"/>
        <w:rPr>
          <w:rFonts w:hint="eastAsia" w:ascii="宋体" w:hAnsi="宋体" w:eastAsia="宋体" w:cs="宋体"/>
          <w:color w:val="auto"/>
          <w:sz w:val="24"/>
          <w:highlight w:val="none"/>
          <w:u w:val="single"/>
          <w:lang w:val="en-US" w:eastAsia="zh-CN"/>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bookmarkEnd w:id="167"/>
      <w:r>
        <w:rPr>
          <w:rFonts w:hint="eastAsia" w:ascii="宋体" w:hAnsi="宋体" w:eastAsia="宋体" w:cs="宋体"/>
          <w:color w:val="auto"/>
          <w:sz w:val="24"/>
          <w:highlight w:val="none"/>
          <w:u w:val="single"/>
          <w:lang w:val="en-US" w:eastAsia="zh-CN"/>
        </w:rPr>
        <w:t xml:space="preserve">                  </w:t>
      </w:r>
      <w:r/>
    </w:p>
    <w:p>
      <w:pPr>
        <w:ind w:left="0" w:firstLine="420"/>
        <w:jc w:val="center"/>
        <w:pageBreakBefore w:val="0"/>
        <w:spacing w:line="360" w:lineRule="auto"/>
        <w:widowControl w:val="off"/>
        <w:tabs>
          <w:tab w:val="left" w:pos="1381" w:leader="none"/>
        </w:tabs>
        <w:rPr>
          <w:rFonts w:hint="eastAsia" w:ascii="宋体" w:hAnsi="宋体" w:eastAsia="宋体" w:cs="宋体"/>
          <w:color w:val="auto"/>
          <w:sz w:val="44"/>
          <w:szCs w:val="44"/>
          <w:highlight w:val="none"/>
          <w:lang w:bidi="ar-SA"/>
        </w:rPr>
      </w:pPr>
      <w:r>
        <w:rPr>
          <w:rFonts w:hint="eastAsia" w:ascii="宋体" w:hAnsi="宋体" w:eastAsia="宋体" w:cs="宋体"/>
          <w:color w:val="auto"/>
          <w:sz w:val="44"/>
          <w:szCs w:val="44"/>
          <w:highlight w:val="none"/>
          <w:lang w:val="en-US" w:eastAsia="zh-CN" w:bidi="ar-SA"/>
        </w:rPr>
        <w:t xml:space="preserve">第四章 采购</w:t>
      </w:r>
      <w:r>
        <w:rPr>
          <w:rFonts w:hint="eastAsia" w:ascii="宋体" w:hAnsi="宋体" w:eastAsia="宋体" w:cs="宋体"/>
          <w:color w:val="auto"/>
          <w:sz w:val="44"/>
          <w:szCs w:val="44"/>
          <w:highlight w:val="none"/>
          <w:lang w:eastAsia="zh-CN" w:bidi="ar-SA"/>
        </w:rPr>
        <w:t xml:space="preserve">需求</w:t>
      </w:r>
      <w:r/>
    </w:p>
    <w:p>
      <w:pPr>
        <w:spacing w:line="400" w:lineRule="exact"/>
        <w:rPr>
          <w:rFonts w:hint="eastAsia" w:ascii="宋体" w:hAnsi="宋体" w:eastAsia="宋体" w:cs="宋体"/>
          <w:b/>
          <w:color w:val="auto"/>
          <w:sz w:val="24"/>
        </w:rPr>
      </w:pPr>
      <w:r>
        <w:rPr>
          <w:rFonts w:hint="eastAsia" w:ascii="宋体" w:hAnsi="宋体" w:eastAsia="宋体" w:cs="宋体"/>
          <w:b/>
          <w:color w:val="auto"/>
          <w:sz w:val="24"/>
        </w:rPr>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一、项目</w:t>
      </w:r>
      <w:r>
        <w:rPr>
          <w:rFonts w:hint="eastAsia" w:ascii="宋体" w:hAnsi="宋体" w:eastAsia="宋体" w:cs="宋体"/>
          <w:b/>
          <w:color w:val="auto"/>
          <w:sz w:val="24"/>
          <w:szCs w:val="24"/>
          <w:lang w:val="en-US" w:eastAsia="zh-CN"/>
        </w:rPr>
        <w:t xml:space="preserve">概况</w:t>
      </w:r>
      <w:r>
        <w:rPr>
          <w:rFonts w:hint="eastAsia" w:ascii="宋体" w:hAnsi="宋体" w:eastAsia="宋体" w:cs="宋体"/>
          <w:b/>
          <w:color w:val="auto"/>
          <w:sz w:val="24"/>
          <w:szCs w:val="24"/>
        </w:rPr>
        <w:t xml:space="preserve">： </w:t>
      </w:r>
      <w:r/>
    </w:p>
    <w:p>
      <w:pPr>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bookmarkStart w:id="168" w:name="OLE_LINK3"/>
      <w:r>
        <w:rPr>
          <w:rFonts w:hint="eastAsia" w:ascii="宋体" w:hAnsi="宋体" w:eastAsia="宋体" w:cs="宋体"/>
          <w:bCs/>
          <w:color w:val="auto"/>
          <w:sz w:val="24"/>
          <w:szCs w:val="24"/>
        </w:rPr>
        <w:t xml:space="preserve">、项目名称</w:t>
      </w:r>
      <w:bookmarkEnd w:id="168"/>
      <w:r>
        <w:rPr>
          <w:rFonts w:hint="eastAsia" w:ascii="宋体" w:hAnsi="宋体" w:eastAsia="宋体" w:cs="宋体"/>
          <w:bCs/>
          <w:color w:val="auto"/>
          <w:sz w:val="24"/>
          <w:szCs w:val="24"/>
        </w:rPr>
        <w:t xml:space="preserve">：盐城市第三人民医院</w:t>
      </w:r>
      <w:r>
        <w:rPr>
          <w:rFonts w:hint="eastAsia" w:ascii="宋体" w:hAnsi="宋体" w:eastAsia="宋体" w:cs="宋体"/>
          <w:bCs/>
          <w:color w:val="auto"/>
          <w:sz w:val="24"/>
          <w:szCs w:val="24"/>
          <w:lang w:eastAsia="zh-CN"/>
        </w:rPr>
        <w:t xml:space="preserve">南院门急诊药房智能发药设备采购</w:t>
      </w:r>
      <w:r>
        <w:rPr>
          <w:rFonts w:hint="eastAsia" w:ascii="宋体" w:hAnsi="宋体" w:eastAsia="宋体" w:cs="宋体"/>
          <w:bCs/>
          <w:color w:val="auto"/>
          <w:sz w:val="24"/>
          <w:szCs w:val="24"/>
          <w:lang w:val="en-US" w:eastAsia="zh-CN"/>
        </w:rPr>
        <w:t xml:space="preserve">项目</w:t>
      </w:r>
      <w:r>
        <w:rPr>
          <w:rFonts w:hint="eastAsia" w:ascii="宋体" w:hAnsi="宋体" w:eastAsia="宋体" w:cs="宋体"/>
          <w:bCs/>
          <w:color w:val="auto"/>
          <w:sz w:val="24"/>
          <w:szCs w:val="24"/>
        </w:rPr>
        <w:t xml:space="preserve">        </w:t>
      </w:r>
      <w:r/>
    </w:p>
    <w:p>
      <w:pPr>
        <w:spacing w:line="400" w:lineRule="exact"/>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2、采购预算：</w:t>
      </w:r>
      <w:r>
        <w:rPr>
          <w:rFonts w:hint="eastAsia" w:ascii="宋体" w:hAnsi="宋体" w:eastAsia="宋体" w:cs="宋体"/>
          <w:bCs/>
          <w:color w:val="auto"/>
          <w:sz w:val="24"/>
          <w:szCs w:val="24"/>
          <w:lang w:eastAsia="zh-CN"/>
        </w:rPr>
        <w:t xml:space="preserve">420万元</w:t>
      </w:r>
      <w:r/>
    </w:p>
    <w:p>
      <w:pPr>
        <w:spacing w:line="400" w:lineRule="exact"/>
        <w:rPr>
          <w:rFonts w:hint="eastAsia" w:ascii="宋体" w:hAnsi="宋体" w:eastAsia="宋体" w:cs="宋体"/>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rPr>
        <w:t xml:space="preserve">★</w:t>
      </w:r>
      <w:r>
        <w:rPr>
          <w:rFonts w:hint="eastAsia" w:ascii="宋体" w:hAnsi="宋体" w:eastAsia="宋体" w:cs="宋体"/>
          <w:bCs/>
          <w:color w:val="auto"/>
          <w:sz w:val="24"/>
          <w:szCs w:val="24"/>
        </w:rPr>
        <w:t xml:space="preserve">3、</w:t>
      </w:r>
      <w:r>
        <w:rPr>
          <w:rFonts w:hint="eastAsia" w:ascii="宋体" w:hAnsi="宋体" w:eastAsia="宋体" w:cs="宋体"/>
          <w:bCs/>
          <w:i w:val="0"/>
          <w:iCs w:val="0"/>
          <w:color w:val="auto"/>
          <w:sz w:val="24"/>
          <w:szCs w:val="24"/>
          <w:u w:val="none"/>
        </w:rPr>
        <w:t xml:space="preserve">采购</w:t>
      </w:r>
      <w:r>
        <w:rPr>
          <w:rFonts w:hint="eastAsia" w:ascii="宋体" w:hAnsi="宋体" w:eastAsia="宋体" w:cs="宋体"/>
          <w:bCs/>
          <w:i w:val="0"/>
          <w:iCs w:val="0"/>
          <w:color w:val="auto"/>
          <w:sz w:val="24"/>
          <w:szCs w:val="24"/>
          <w:u w:val="none"/>
          <w:lang w:val="en-US" w:eastAsia="zh-CN"/>
        </w:rPr>
        <w:t xml:space="preserve">设备清单</w:t>
      </w:r>
      <w:r>
        <w:rPr>
          <w:rFonts w:hint="eastAsia" w:ascii="宋体" w:hAnsi="宋体" w:eastAsia="宋体" w:cs="宋体"/>
          <w:bCs/>
          <w:i w:val="0"/>
          <w:iCs w:val="0"/>
          <w:color w:val="auto"/>
          <w:sz w:val="24"/>
          <w:szCs w:val="24"/>
          <w:u w:val="none"/>
        </w:rPr>
        <w:t xml:space="preserve">： </w:t>
      </w:r>
      <w:r/>
    </w:p>
    <w:tbl>
      <w:tblPr>
        <w:tblStyle w:val="730"/>
        <w:tblW w:w="8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3828"/>
        <w:gridCol w:w="1559"/>
        <w:gridCol w:w="2426"/>
      </w:tblGrid>
      <w:tr>
        <w:trPr/>
        <w:tc>
          <w:tcPr>
            <w:tcW w:w="1129" w:type="dxa"/>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序号</w:t>
            </w:r>
            <w:r/>
          </w:p>
        </w:tc>
        <w:tc>
          <w:tcPr>
            <w:tcW w:w="3828" w:type="dxa"/>
            <w:textDirection w:val="lrTb"/>
            <w:noWrap w:val="false"/>
          </w:tcPr>
          <w:p>
            <w:pP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采购设备</w:t>
            </w:r>
            <w:r>
              <w:rPr>
                <w:rFonts w:hint="eastAsia" w:ascii="宋体" w:hAnsi="宋体" w:eastAsia="宋体" w:cs="宋体"/>
                <w:i w:val="0"/>
                <w:iCs w:val="0"/>
                <w:color w:val="auto"/>
                <w:sz w:val="24"/>
                <w:szCs w:val="24"/>
                <w:u w:val="none"/>
                <w:lang w:val="en-US" w:eastAsia="zh-CN"/>
              </w:rPr>
              <w:t xml:space="preserve">名称</w:t>
            </w:r>
            <w:r/>
          </w:p>
        </w:tc>
        <w:tc>
          <w:tcPr>
            <w:tcW w:w="155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数量</w:t>
            </w:r>
            <w:r/>
          </w:p>
        </w:tc>
        <w:tc>
          <w:tcPr>
            <w:tcW w:w="2426"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单位</w:t>
            </w:r>
            <w:r/>
          </w:p>
        </w:tc>
      </w:tr>
      <w:tr>
        <w:trPr/>
        <w:tc>
          <w:tcPr>
            <w:tcW w:w="112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w:t>
            </w:r>
            <w:r/>
          </w:p>
        </w:tc>
        <w:tc>
          <w:tcPr>
            <w:tcW w:w="3828" w:type="dxa"/>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斜槽发药机</w:t>
            </w:r>
            <w:r/>
          </w:p>
        </w:tc>
        <w:tc>
          <w:tcPr>
            <w:tcW w:w="155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w:t>
            </w:r>
            <w:r/>
          </w:p>
        </w:tc>
        <w:tc>
          <w:tcPr>
            <w:tcW w:w="2426"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台</w:t>
            </w:r>
            <w:r/>
          </w:p>
        </w:tc>
      </w:tr>
      <w:tr>
        <w:trPr/>
        <w:tc>
          <w:tcPr>
            <w:tcW w:w="112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2</w:t>
            </w:r>
            <w:r/>
          </w:p>
        </w:tc>
        <w:tc>
          <w:tcPr>
            <w:tcW w:w="3828" w:type="dxa"/>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高速发药机</w:t>
            </w:r>
            <w:r/>
          </w:p>
        </w:tc>
        <w:tc>
          <w:tcPr>
            <w:tcW w:w="155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2</w:t>
            </w:r>
            <w:r/>
          </w:p>
        </w:tc>
        <w:tc>
          <w:tcPr>
            <w:tcW w:w="2426"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套</w:t>
            </w:r>
            <w:r/>
          </w:p>
        </w:tc>
      </w:tr>
      <w:tr>
        <w:trPr/>
        <w:tc>
          <w:tcPr>
            <w:tcW w:w="112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3</w:t>
            </w:r>
            <w:r/>
          </w:p>
        </w:tc>
        <w:tc>
          <w:tcPr>
            <w:tcW w:w="3828" w:type="dxa"/>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直发传送系统（地面）</w:t>
            </w:r>
            <w:r/>
          </w:p>
        </w:tc>
        <w:tc>
          <w:tcPr>
            <w:tcW w:w="155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2</w:t>
            </w:r>
            <w:r/>
          </w:p>
        </w:tc>
        <w:tc>
          <w:tcPr>
            <w:tcW w:w="2426"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套</w:t>
            </w:r>
            <w:r/>
          </w:p>
        </w:tc>
      </w:tr>
      <w:tr>
        <w:trPr/>
        <w:tc>
          <w:tcPr>
            <w:tcW w:w="112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4</w:t>
            </w:r>
            <w:r/>
          </w:p>
        </w:tc>
        <w:tc>
          <w:tcPr>
            <w:tcW w:w="3828" w:type="dxa"/>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整处方传送系统</w:t>
            </w:r>
            <w:r/>
          </w:p>
        </w:tc>
        <w:tc>
          <w:tcPr>
            <w:tcW w:w="155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w:t>
            </w:r>
            <w:r/>
          </w:p>
        </w:tc>
        <w:tc>
          <w:tcPr>
            <w:tcW w:w="2426"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套</w:t>
            </w:r>
            <w:r/>
          </w:p>
        </w:tc>
      </w:tr>
      <w:tr>
        <w:trPr/>
        <w:tc>
          <w:tcPr>
            <w:tcW w:w="112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5</w:t>
            </w:r>
            <w:r/>
          </w:p>
        </w:tc>
        <w:tc>
          <w:tcPr>
            <w:tcW w:w="3828" w:type="dxa"/>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智能药筐（亮灯）</w:t>
            </w:r>
            <w:r/>
          </w:p>
        </w:tc>
        <w:tc>
          <w:tcPr>
            <w:tcW w:w="155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100</w:t>
            </w:r>
            <w:r/>
          </w:p>
        </w:tc>
        <w:tc>
          <w:tcPr>
            <w:tcW w:w="2426"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个</w:t>
            </w:r>
            <w:r/>
          </w:p>
        </w:tc>
      </w:tr>
      <w:tr>
        <w:trPr/>
        <w:tc>
          <w:tcPr>
            <w:tcW w:w="112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6</w:t>
            </w:r>
            <w:r/>
          </w:p>
        </w:tc>
        <w:tc>
          <w:tcPr>
            <w:tcW w:w="3828" w:type="dxa"/>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智能调配机</w:t>
            </w:r>
            <w:r/>
          </w:p>
        </w:tc>
        <w:tc>
          <w:tcPr>
            <w:tcW w:w="155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4</w:t>
            </w:r>
            <w:r/>
          </w:p>
        </w:tc>
        <w:tc>
          <w:tcPr>
            <w:tcW w:w="2426"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台</w:t>
            </w:r>
            <w:r/>
          </w:p>
        </w:tc>
      </w:tr>
      <w:tr>
        <w:trPr/>
        <w:tc>
          <w:tcPr>
            <w:tcW w:w="112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7</w:t>
            </w:r>
            <w:r/>
          </w:p>
        </w:tc>
        <w:tc>
          <w:tcPr>
            <w:tcW w:w="3828" w:type="dxa"/>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智能发药软件</w:t>
            </w:r>
            <w:r/>
          </w:p>
        </w:tc>
        <w:tc>
          <w:tcPr>
            <w:tcW w:w="1559"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w:t>
            </w:r>
            <w:r/>
          </w:p>
        </w:tc>
        <w:tc>
          <w:tcPr>
            <w:tcW w:w="2426" w:type="dxa"/>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套</w:t>
            </w:r>
            <w:r/>
          </w:p>
        </w:tc>
      </w:tr>
    </w:tbl>
    <w:p>
      <w:pPr>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numPr>
          <w:ilvl w:val="0"/>
          <w:numId w:val="2"/>
        </w:num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主要技术参数与要求 </w:t>
      </w:r>
      <w:r/>
    </w:p>
    <w:p>
      <w:pPr>
        <w:pStyle w:val="70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0"/>
        <w:jc w:val="cente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盐城市第三人民医院</w:t>
      </w:r>
      <w:r>
        <w:rPr>
          <w:rFonts w:hint="eastAsia" w:ascii="宋体" w:hAnsi="宋体" w:eastAsia="宋体" w:cs="宋体"/>
          <w:b/>
          <w:color w:val="auto"/>
          <w:sz w:val="24"/>
          <w:szCs w:val="24"/>
          <w:lang w:eastAsia="zh-CN"/>
        </w:rPr>
        <w:t xml:space="preserve">南院门急诊药房智能发药设备</w:t>
      </w:r>
      <w:r>
        <w:rPr>
          <w:rFonts w:hint="eastAsia" w:ascii="宋体" w:hAnsi="宋体" w:eastAsia="宋体" w:cs="宋体"/>
          <w:b/>
          <w:color w:val="auto"/>
          <w:sz w:val="24"/>
          <w:szCs w:val="24"/>
          <w:lang w:val="en-US" w:eastAsia="zh-CN"/>
        </w:rPr>
        <w:t xml:space="preserve">硬件</w:t>
      </w:r>
      <w:r>
        <w:rPr>
          <w:rFonts w:hint="eastAsia" w:ascii="宋体" w:hAnsi="宋体" w:eastAsia="宋体" w:cs="宋体"/>
          <w:b/>
          <w:color w:val="auto"/>
          <w:sz w:val="24"/>
          <w:szCs w:val="24"/>
        </w:rPr>
        <w:t xml:space="preserve">主要技术参数与要求</w:t>
      </w:r>
      <w:r/>
    </w:p>
    <w:p>
      <w:pPr>
        <w:pStyle w:val="700"/>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8044"/>
      </w:tblGrid>
      <w:tr>
        <w:trPr>
          <w:trHeight w:val="645"/>
        </w:trPr>
        <w:tc>
          <w:tcPr>
            <w:tcW w:w="898" w:type="dxa"/>
            <w:textDirection w:val="lrTb"/>
            <w:noWrap/>
          </w:tcPr>
          <w:p>
            <w:pPr>
              <w:jc w:val="cente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序号</w:t>
            </w:r>
            <w:r/>
          </w:p>
        </w:tc>
        <w:tc>
          <w:tcPr>
            <w:tcW w:w="8044" w:type="dxa"/>
            <w:textDirection w:val="lrTb"/>
            <w:noWrap/>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参数—斜槽发药机</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快速发药机为模块化结构设计，主体分为出药、储存、上药三个相互独立的部分。</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出药方式采取一次性全屏落药。为提高药品的落药安全性，避免药品在落药过程中损坏，采用安全缓冲结构进行落药接药，将药品传输到指定落药口，双处方同时运行。</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单台设备设置多个出药缓存口，出药方式多样化，支持将分发的药品传送至指定的取药口。</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具备处方跟踪功能，将已发放药品中各批次的药品与相关处方的患者信息进行追踪对应管理，为安全用药、预防风险提供保障。</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发药典型处方（含5个数量和品种的药品）平均处理时间不大于10秒钟，整个发药过程包含接收发药指令、分发药品到传输至取药口的时间。</w:t>
            </w:r>
            <w:r/>
          </w:p>
        </w:tc>
      </w:tr>
      <w:tr>
        <w:trPr>
          <w:trHeight w:val="276"/>
        </w:trPr>
        <w:tc>
          <w:tcPr>
            <w:tcW w:w="898" w:type="dxa"/>
            <w:textDirection w:val="lrTb"/>
            <w:noWrap/>
          </w:tcPr>
          <w:p>
            <w:pPr>
              <w:jc w:val="cente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▲6</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每个药槽具备独立的发药装置，能够独立完成自动分发药品的指令</w:t>
            </w:r>
            <w:r>
              <w:rPr>
                <w:rFonts w:hint="eastAsia" w:ascii="宋体" w:hAnsi="宋体" w:eastAsia="宋体" w:cs="宋体"/>
                <w:i w:val="0"/>
                <w:iCs w:val="0"/>
                <w:color w:val="auto"/>
                <w:sz w:val="24"/>
                <w:szCs w:val="24"/>
                <w:u w:val="none"/>
                <w:lang w:eastAsia="zh-CN"/>
              </w:rPr>
              <w:t xml:space="preserve">（投标</w:t>
            </w:r>
            <w:r>
              <w:rPr>
                <w:rFonts w:hint="eastAsia" w:ascii="宋体" w:hAnsi="宋体" w:eastAsia="宋体" w:cs="宋体"/>
                <w:i w:val="0"/>
                <w:iCs w:val="0"/>
                <w:color w:val="auto"/>
                <w:sz w:val="24"/>
                <w:szCs w:val="24"/>
                <w:u w:val="none"/>
                <w:lang w:val="en-US" w:eastAsia="zh-CN"/>
              </w:rPr>
              <w:t xml:space="preserve">人</w:t>
            </w:r>
            <w:r>
              <w:rPr>
                <w:rFonts w:hint="eastAsia" w:ascii="宋体" w:hAnsi="宋体" w:eastAsia="宋体" w:cs="宋体"/>
                <w:i w:val="0"/>
                <w:iCs w:val="0"/>
                <w:color w:val="auto"/>
                <w:sz w:val="24"/>
                <w:szCs w:val="24"/>
                <w:u w:val="none"/>
                <w:lang w:eastAsia="zh-CN"/>
              </w:rPr>
              <w:t xml:space="preserve">需提供盖</w:t>
            </w:r>
            <w:r>
              <w:rPr>
                <w:rFonts w:hint="eastAsia" w:ascii="宋体" w:hAnsi="宋体" w:eastAsia="宋体" w:cs="宋体"/>
                <w:i w:val="0"/>
                <w:iCs w:val="0"/>
                <w:color w:val="auto"/>
                <w:sz w:val="24"/>
                <w:szCs w:val="24"/>
                <w:u w:val="none"/>
                <w:lang w:val="en-US" w:eastAsia="zh-CN"/>
              </w:rPr>
              <w:t xml:space="preserve">公章</w:t>
            </w:r>
            <w:r>
              <w:rPr>
                <w:rFonts w:hint="eastAsia" w:ascii="宋体" w:hAnsi="宋体" w:eastAsia="宋体" w:cs="宋体"/>
                <w:i w:val="0"/>
                <w:iCs w:val="0"/>
                <w:color w:val="auto"/>
                <w:sz w:val="24"/>
                <w:szCs w:val="24"/>
                <w:u w:val="none"/>
                <w:lang w:eastAsia="zh-CN"/>
              </w:rPr>
              <w:t xml:space="preserve">承诺函</w:t>
            </w:r>
            <w:r>
              <w:rPr>
                <w:rFonts w:hint="eastAsia" w:ascii="宋体" w:hAnsi="宋体" w:eastAsia="宋体" w:cs="宋体"/>
                <w:i w:val="0"/>
                <w:iCs w:val="0"/>
                <w:color w:val="auto"/>
                <w:sz w:val="24"/>
                <w:szCs w:val="24"/>
                <w:u w:val="none"/>
                <w:lang w:val="en-US" w:eastAsia="zh-CN"/>
              </w:rPr>
              <w:t xml:space="preserve">的扫描件</w:t>
            </w:r>
            <w:r>
              <w:rPr>
                <w:rFonts w:hint="eastAsia" w:ascii="宋体" w:hAnsi="宋体" w:eastAsia="宋体" w:cs="宋体"/>
                <w:i w:val="0"/>
                <w:iCs w:val="0"/>
                <w:color w:val="auto"/>
                <w:sz w:val="24"/>
                <w:szCs w:val="24"/>
                <w:u w:val="none"/>
                <w:lang w:eastAsia="zh-CN"/>
              </w:rPr>
              <w:t xml:space="preserve">）</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为保证设备自由落体式发药的准确性，每个储药槽配置独立的计数光电核对装置，核对分发药品的数量。</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每个储药槽都具有光电核对计数和独立的发药装置计数双重计数功能。</w:t>
            </w:r>
            <w:r/>
          </w:p>
        </w:tc>
      </w:tr>
      <w:tr>
        <w:trPr>
          <w:trHeight w:val="276"/>
        </w:trPr>
        <w:tc>
          <w:tcPr>
            <w:tcW w:w="898" w:type="dxa"/>
            <w:textDirection w:val="lrTb"/>
            <w:noWrap/>
          </w:tcPr>
          <w:p>
            <w:pPr>
              <w:jc w:val="center"/>
              <w:spacing w:after="0"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u w:val="none"/>
                <w:lang w:val="en-US" w:eastAsia="zh-CN"/>
              </w:rPr>
              <w:t xml:space="preserve">★</w:t>
            </w:r>
            <w:r>
              <w:rPr>
                <w:rFonts w:hint="eastAsia" w:ascii="宋体" w:hAnsi="宋体" w:eastAsia="宋体" w:cs="宋体"/>
                <w:i w:val="0"/>
                <w:iCs w:val="0"/>
                <w:color w:val="auto"/>
                <w:sz w:val="24"/>
                <w:szCs w:val="24"/>
                <w:highlight w:val="none"/>
                <w:u w:val="none"/>
              </w:rPr>
              <w:t xml:space="preserve">9</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设备储药槽长度≥1600mm，单台快速发药机常规药品储存量≥12000盒（注：按药品外包装规格长100mm*宽60mm*高20mm均值计算）。</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标准设备整体占地面积不超过16平方米，高度小于2.9米。</w:t>
            </w:r>
            <w:r/>
          </w:p>
        </w:tc>
      </w:tr>
      <w:tr>
        <w:trPr>
          <w:trHeight w:val="276"/>
        </w:trPr>
        <w:tc>
          <w:tcPr>
            <w:tcW w:w="898" w:type="dxa"/>
            <w:textDirection w:val="lrTb"/>
            <w:noWrap/>
          </w:tcPr>
          <w:p>
            <w:pPr>
              <w:jc w:val="cente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i w:val="0"/>
                <w:iCs w:val="0"/>
                <w:color w:val="auto"/>
                <w:sz w:val="24"/>
                <w:szCs w:val="24"/>
                <w:u w:val="none"/>
              </w:rPr>
              <w:t xml:space="preserve">11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为提高设备的直发率，保证入机品种的数量和合理存量，设备储药槽</w:t>
            </w:r>
            <w:r>
              <w:rPr>
                <w:rFonts w:hint="eastAsia" w:ascii="宋体" w:hAnsi="宋体" w:eastAsia="宋体" w:cs="宋体"/>
                <w:i w:val="0"/>
                <w:iCs w:val="0"/>
                <w:color w:val="auto"/>
                <w:sz w:val="24"/>
                <w:szCs w:val="24"/>
                <w:u w:val="none"/>
                <w:lang w:val="en-US" w:eastAsia="zh-CN"/>
              </w:rPr>
              <w:t xml:space="preserve">位</w:t>
            </w:r>
            <w:r>
              <w:rPr>
                <w:rFonts w:hint="eastAsia" w:ascii="宋体" w:hAnsi="宋体" w:eastAsia="宋体" w:cs="宋体"/>
                <w:i w:val="0"/>
                <w:iCs w:val="0"/>
                <w:color w:val="auto"/>
                <w:sz w:val="24"/>
                <w:szCs w:val="24"/>
                <w:u w:val="none"/>
              </w:rPr>
              <w:t xml:space="preserve">模块化组合，支持存放不少于</w:t>
            </w:r>
            <w:r>
              <w:rPr>
                <w:rFonts w:hint="eastAsia" w:ascii="宋体" w:hAnsi="宋体" w:eastAsia="宋体" w:cs="宋体"/>
                <w:i w:val="0"/>
                <w:iCs w:val="0"/>
                <w:color w:val="auto"/>
                <w:sz w:val="24"/>
                <w:szCs w:val="24"/>
                <w:u w:val="none"/>
                <w:lang w:val="en-US" w:eastAsia="zh-CN"/>
              </w:rPr>
              <w:t xml:space="preserve">1200</w:t>
            </w:r>
            <w:r>
              <w:rPr>
                <w:rFonts w:hint="eastAsia" w:ascii="宋体" w:hAnsi="宋体" w:eastAsia="宋体" w:cs="宋体"/>
                <w:i w:val="0"/>
                <w:iCs w:val="0"/>
                <w:color w:val="auto"/>
                <w:sz w:val="24"/>
                <w:szCs w:val="24"/>
                <w:u w:val="none"/>
              </w:rPr>
              <w:t xml:space="preserve">个品规的盒装药品。</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8044" w:type="dxa"/>
            <w:textDirection w:val="lrTb"/>
            <w:noWrap/>
          </w:tcPr>
          <w:p>
            <w:pPr>
              <w:keepLines w:val="0"/>
              <w:keepNext w:val="0"/>
              <w:pageBreakBefore w:val="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药品应按照品种储存在相对独立的药槽中，为了确保药品放置的稳定性，每种药品必须基于药槽水平放置，放置高度必须为药品的最短边。</w:t>
            </w:r>
            <w:r/>
          </w:p>
        </w:tc>
      </w:tr>
      <w:tr>
        <w:trPr>
          <w:trHeight w:val="276"/>
        </w:trPr>
        <w:tc>
          <w:tcPr>
            <w:tcW w:w="898" w:type="dxa"/>
            <w:textDirection w:val="lrTb"/>
            <w:noWrap/>
          </w:tcPr>
          <w:p>
            <w:pPr>
              <w:jc w:val="center"/>
              <w:spacing w:after="0" w:line="240" w:lineRule="auto"/>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 xml:space="preserve">▲13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t xml:space="preserve">储药槽位与药盒接触表面为密集滚动助力结构，可防尘，助滑，确保出药顺畅。整机设备配置多种规格的储药槽位，适应不同尺寸的盒装药品。</w:t>
            </w:r>
            <w:r>
              <w:rPr>
                <w:rFonts w:hint="eastAsia" w:ascii="宋体" w:hAnsi="宋体" w:eastAsia="宋体" w:cs="宋体"/>
                <w:b w:val="0"/>
                <w:bCs w:val="0"/>
                <w:i w:val="0"/>
                <w:iCs w:val="0"/>
                <w:color w:val="auto"/>
                <w:sz w:val="24"/>
                <w:szCs w:val="24"/>
                <w:u w:val="none"/>
                <w:lang w:eastAsia="zh-CN"/>
              </w:rPr>
              <w:t xml:space="preserve">（投标</w:t>
            </w:r>
            <w:r>
              <w:rPr>
                <w:rFonts w:hint="eastAsia" w:ascii="宋体" w:hAnsi="宋体" w:eastAsia="宋体" w:cs="宋体"/>
                <w:b w:val="0"/>
                <w:bCs w:val="0"/>
                <w:i w:val="0"/>
                <w:iCs w:val="0"/>
                <w:color w:val="auto"/>
                <w:sz w:val="24"/>
                <w:szCs w:val="24"/>
                <w:u w:val="none"/>
                <w:lang w:val="en-US" w:eastAsia="zh-CN"/>
              </w:rPr>
              <w:t xml:space="preserve">人</w:t>
            </w:r>
            <w:r>
              <w:rPr>
                <w:rFonts w:hint="eastAsia" w:ascii="宋体" w:hAnsi="宋体" w:eastAsia="宋体" w:cs="宋体"/>
                <w:b w:val="0"/>
                <w:bCs w:val="0"/>
                <w:i w:val="0"/>
                <w:iCs w:val="0"/>
                <w:color w:val="auto"/>
                <w:sz w:val="24"/>
                <w:szCs w:val="24"/>
                <w:u w:val="none"/>
                <w:lang w:eastAsia="zh-CN"/>
              </w:rPr>
              <w:t xml:space="preserve">需提供盖</w:t>
            </w:r>
            <w:r>
              <w:rPr>
                <w:rFonts w:hint="eastAsia" w:ascii="宋体" w:hAnsi="宋体" w:eastAsia="宋体" w:cs="宋体"/>
                <w:b w:val="0"/>
                <w:bCs w:val="0"/>
                <w:i w:val="0"/>
                <w:iCs w:val="0"/>
                <w:color w:val="auto"/>
                <w:sz w:val="24"/>
                <w:szCs w:val="24"/>
                <w:u w:val="none"/>
                <w:lang w:val="en-US" w:eastAsia="zh-CN"/>
              </w:rPr>
              <w:t xml:space="preserve">公章</w:t>
            </w:r>
            <w:r>
              <w:rPr>
                <w:rFonts w:hint="eastAsia" w:ascii="宋体" w:hAnsi="宋体" w:eastAsia="宋体" w:cs="宋体"/>
                <w:b w:val="0"/>
                <w:bCs w:val="0"/>
                <w:i w:val="0"/>
                <w:iCs w:val="0"/>
                <w:color w:val="auto"/>
                <w:sz w:val="24"/>
                <w:szCs w:val="24"/>
                <w:u w:val="none"/>
                <w:lang w:eastAsia="zh-CN"/>
              </w:rPr>
              <w:t xml:space="preserve">承诺函</w:t>
            </w:r>
            <w:r>
              <w:rPr>
                <w:rFonts w:hint="eastAsia" w:ascii="宋体" w:hAnsi="宋体" w:eastAsia="宋体" w:cs="宋体"/>
                <w:b w:val="0"/>
                <w:bCs w:val="0"/>
                <w:i w:val="0"/>
                <w:iCs w:val="0"/>
                <w:color w:val="auto"/>
                <w:sz w:val="24"/>
                <w:szCs w:val="24"/>
                <w:u w:val="none"/>
                <w:lang w:val="en-US" w:eastAsia="zh-CN"/>
              </w:rPr>
              <w:t xml:space="preserve">的扫描件</w:t>
            </w:r>
            <w:r>
              <w:rPr>
                <w:rFonts w:hint="eastAsia" w:ascii="宋体" w:hAnsi="宋体" w:eastAsia="宋体" w:cs="宋体"/>
                <w:b w:val="0"/>
                <w:bCs w:val="0"/>
                <w:i w:val="0"/>
                <w:iCs w:val="0"/>
                <w:color w:val="auto"/>
                <w:sz w:val="24"/>
                <w:szCs w:val="24"/>
                <w:u w:val="none"/>
                <w:lang w:eastAsia="zh-CN"/>
              </w:rPr>
              <w:t xml:space="preserve">）</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设备的上药和发药为相互独立的两个系统，可同时进行工作，互不干扰，补药机械手单次补药支持不少于两个品种药品同时上药。</w:t>
            </w:r>
            <w:r/>
          </w:p>
        </w:tc>
      </w:tr>
      <w:tr>
        <w:trPr>
          <w:trHeight w:val="276"/>
        </w:trPr>
        <w:tc>
          <w:tcPr>
            <w:tcW w:w="898" w:type="dxa"/>
            <w:textDirection w:val="lrTb"/>
            <w:noWrap/>
          </w:tcPr>
          <w:p>
            <w:pPr>
              <w:jc w:val="cente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▲15</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为降低机械手补药时存在的卡药风险，补药机械手的落药通道与药槽的接药轨道倾斜角度一致，机械手自动寻址，自动核对待补药品的储药通道。</w:t>
            </w:r>
            <w:r>
              <w:rPr>
                <w:rFonts w:hint="eastAsia" w:ascii="宋体" w:hAnsi="宋体" w:eastAsia="宋体" w:cs="宋体"/>
                <w:i w:val="0"/>
                <w:iCs w:val="0"/>
                <w:color w:val="auto"/>
                <w:sz w:val="24"/>
                <w:szCs w:val="24"/>
                <w:u w:val="none"/>
                <w:lang w:eastAsia="zh-CN"/>
              </w:rPr>
              <w:t xml:space="preserve">（投标</w:t>
            </w:r>
            <w:r>
              <w:rPr>
                <w:rFonts w:hint="eastAsia" w:ascii="宋体" w:hAnsi="宋体" w:eastAsia="宋体" w:cs="宋体"/>
                <w:i w:val="0"/>
                <w:iCs w:val="0"/>
                <w:color w:val="auto"/>
                <w:sz w:val="24"/>
                <w:szCs w:val="24"/>
                <w:u w:val="none"/>
                <w:lang w:val="en-US" w:eastAsia="zh-CN"/>
              </w:rPr>
              <w:t xml:space="preserve">人</w:t>
            </w:r>
            <w:r>
              <w:rPr>
                <w:rFonts w:hint="eastAsia" w:ascii="宋体" w:hAnsi="宋体" w:eastAsia="宋体" w:cs="宋体"/>
                <w:i w:val="0"/>
                <w:iCs w:val="0"/>
                <w:color w:val="auto"/>
                <w:sz w:val="24"/>
                <w:szCs w:val="24"/>
                <w:u w:val="none"/>
                <w:lang w:eastAsia="zh-CN"/>
              </w:rPr>
              <w:t xml:space="preserve">需提供盖</w:t>
            </w:r>
            <w:r>
              <w:rPr>
                <w:rFonts w:hint="eastAsia" w:ascii="宋体" w:hAnsi="宋体" w:eastAsia="宋体" w:cs="宋体"/>
                <w:i w:val="0"/>
                <w:iCs w:val="0"/>
                <w:color w:val="auto"/>
                <w:sz w:val="24"/>
                <w:szCs w:val="24"/>
                <w:u w:val="none"/>
                <w:lang w:val="en-US" w:eastAsia="zh-CN"/>
              </w:rPr>
              <w:t xml:space="preserve">公章</w:t>
            </w:r>
            <w:r>
              <w:rPr>
                <w:rFonts w:hint="eastAsia" w:ascii="宋体" w:hAnsi="宋体" w:eastAsia="宋体" w:cs="宋体"/>
                <w:i w:val="0"/>
                <w:iCs w:val="0"/>
                <w:color w:val="auto"/>
                <w:sz w:val="24"/>
                <w:szCs w:val="24"/>
                <w:u w:val="none"/>
                <w:lang w:eastAsia="zh-CN"/>
              </w:rPr>
              <w:t xml:space="preserve">承诺函</w:t>
            </w:r>
            <w:r>
              <w:rPr>
                <w:rFonts w:hint="eastAsia" w:ascii="宋体" w:hAnsi="宋体" w:eastAsia="宋体" w:cs="宋体"/>
                <w:i w:val="0"/>
                <w:iCs w:val="0"/>
                <w:color w:val="auto"/>
                <w:sz w:val="24"/>
                <w:szCs w:val="24"/>
                <w:u w:val="none"/>
                <w:lang w:val="en-US" w:eastAsia="zh-CN"/>
              </w:rPr>
              <w:t xml:space="preserve">的扫描件</w:t>
            </w:r>
            <w:r>
              <w:rPr>
                <w:rFonts w:hint="eastAsia" w:ascii="宋体" w:hAnsi="宋体" w:eastAsia="宋体" w:cs="宋体"/>
                <w:i w:val="0"/>
                <w:iCs w:val="0"/>
                <w:color w:val="auto"/>
                <w:sz w:val="24"/>
                <w:szCs w:val="24"/>
                <w:u w:val="none"/>
                <w:lang w:eastAsia="zh-CN"/>
              </w:rPr>
              <w:t xml:space="preserve">）</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支持药品名称、简码、条形码扫描以及图像识别等多种方式的上药识别，减轻上药人员的疲劳程度，减少人为上药错误。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8044" w:type="dxa"/>
            <w:textDirection w:val="lrTb"/>
            <w:noWrap/>
          </w:tcPr>
          <w:p>
            <w:pPr>
              <w:pStyle w:val="705"/>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设备标配补药缓存功能，采用多种缓存同时补药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设备具备库存管理功能，可对每根药槽所存储的药品数量进行最低存量设置，超过最低存量时，系统自动发出缺药警报。</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设备采用光幕传感方式监控整个补药过程，保证补药过程的精准可控。</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设备可随时对药品进行实时盘点，机械手可对设备内药品自动盘库，盘库时间小于30分钟。</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设备具备故障锁定功能，如单个药槽故障，主系统能自动将其屏蔽，转入其他备用药槽进行正常发药。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设备具备退药回收功能，在补药过程中，出现异常状态，机械手自动回收。</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因网络原因无法获取HIS系统处方数据时，可立即手动录入处方信息并由发药机自动发药，系统会自动记录发药信息。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设备可实现批号、效期自动跟踪，库存状态实时监管，自动生成补货清单等功能。</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整体结构为模块化设计，可嵌入高速发药机模组、全自动补药系统等同机使用。</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在连续上药工作中，机械手上药平均速度不低于20盒/分钟。</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在额定载量和空载连续运行不少于50次。启动或制动无故障，定位精准，安全装置正常运行。</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08"/>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 xml:space="preserve">参数—高速发药机</w:t>
            </w:r>
            <w:r/>
          </w:p>
        </w:tc>
      </w:tr>
      <w:tr>
        <w:trPr>
          <w:trHeight w:val="276"/>
        </w:trPr>
        <w:tc>
          <w:tcPr>
            <w:tcW w:w="898" w:type="dxa"/>
            <w:textDirection w:val="lrTb"/>
            <w:noWrap/>
          </w:tcPr>
          <w:p>
            <w:pPr>
              <w:jc w:val="cente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用于高频次高使用量盒装药品，系统接收处方信息自动分发</w:t>
            </w:r>
            <w:r/>
          </w:p>
        </w:tc>
      </w:tr>
      <w:tr>
        <w:trPr>
          <w:trHeight w:val="276"/>
        </w:trPr>
        <w:tc>
          <w:tcPr>
            <w:tcW w:w="898" w:type="dxa"/>
            <w:textDirection w:val="lrTb"/>
            <w:noWrap/>
          </w:tcPr>
          <w:p>
            <w:pPr>
              <w:jc w:val="cente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rPr>
              <w:t xml:space="preserve">★</w:t>
            </w:r>
            <w:r>
              <w:rPr>
                <w:rFonts w:hint="eastAsia" w:ascii="宋体" w:hAnsi="宋体" w:eastAsia="宋体" w:cs="宋体"/>
                <w:i w:val="0"/>
                <w:iCs w:val="0"/>
                <w:color w:val="auto"/>
                <w:sz w:val="24"/>
                <w:szCs w:val="24"/>
                <w:u w:val="none"/>
              </w:rPr>
              <w:t xml:space="preserve">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设备采用上下双层结构设计，每套储位≥300个，药槽宽度可调节。</w:t>
            </w:r>
            <w:r/>
          </w:p>
        </w:tc>
      </w:tr>
      <w:tr>
        <w:trPr>
          <w:trHeight w:val="276"/>
        </w:trPr>
        <w:tc>
          <w:tcPr>
            <w:tcW w:w="898" w:type="dxa"/>
            <w:textDirection w:val="lrTb"/>
            <w:noWrap/>
          </w:tcPr>
          <w:p>
            <w:pPr>
              <w:jc w:val="cente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为保证空间利用最大化，设备配置的药槽模块需≤6组</w:t>
            </w:r>
            <w:r>
              <w:rPr>
                <w:rFonts w:hint="eastAsia" w:ascii="宋体" w:hAnsi="宋体" w:eastAsia="宋体" w:cs="宋体"/>
                <w:i w:val="0"/>
                <w:iCs w:val="0"/>
                <w:color w:val="auto"/>
                <w:sz w:val="24"/>
                <w:szCs w:val="24"/>
                <w:u w:val="none"/>
                <w:lang w:eastAsia="zh-CN"/>
              </w:rPr>
              <w:t xml:space="preserve">。（投标</w:t>
            </w:r>
            <w:r>
              <w:rPr>
                <w:rFonts w:hint="eastAsia" w:ascii="宋体" w:hAnsi="宋体" w:eastAsia="宋体" w:cs="宋体"/>
                <w:i w:val="0"/>
                <w:iCs w:val="0"/>
                <w:color w:val="auto"/>
                <w:sz w:val="24"/>
                <w:szCs w:val="24"/>
                <w:u w:val="none"/>
                <w:lang w:val="en-US" w:eastAsia="zh-CN"/>
              </w:rPr>
              <w:t xml:space="preserve">人</w:t>
            </w:r>
            <w:r>
              <w:rPr>
                <w:rFonts w:hint="eastAsia" w:ascii="宋体" w:hAnsi="宋体" w:eastAsia="宋体" w:cs="宋体"/>
                <w:i w:val="0"/>
                <w:iCs w:val="0"/>
                <w:color w:val="auto"/>
                <w:sz w:val="24"/>
                <w:szCs w:val="24"/>
                <w:u w:val="none"/>
                <w:lang w:eastAsia="zh-CN"/>
              </w:rPr>
              <w:t xml:space="preserve">需提供盖</w:t>
            </w:r>
            <w:r>
              <w:rPr>
                <w:rFonts w:hint="eastAsia" w:ascii="宋体" w:hAnsi="宋体" w:eastAsia="宋体" w:cs="宋体"/>
                <w:i w:val="0"/>
                <w:iCs w:val="0"/>
                <w:color w:val="auto"/>
                <w:sz w:val="24"/>
                <w:szCs w:val="24"/>
                <w:u w:val="none"/>
                <w:lang w:val="en-US" w:eastAsia="zh-CN"/>
              </w:rPr>
              <w:t xml:space="preserve">公章</w:t>
            </w:r>
            <w:r>
              <w:rPr>
                <w:rFonts w:hint="eastAsia" w:ascii="宋体" w:hAnsi="宋体" w:eastAsia="宋体" w:cs="宋体"/>
                <w:i w:val="0"/>
                <w:iCs w:val="0"/>
                <w:color w:val="auto"/>
                <w:sz w:val="24"/>
                <w:szCs w:val="24"/>
                <w:u w:val="none"/>
                <w:lang w:eastAsia="zh-CN"/>
              </w:rPr>
              <w:t xml:space="preserve">承诺函</w:t>
            </w:r>
            <w:r>
              <w:rPr>
                <w:rFonts w:hint="eastAsia" w:ascii="宋体" w:hAnsi="宋体" w:eastAsia="宋体" w:cs="宋体"/>
                <w:i w:val="0"/>
                <w:iCs w:val="0"/>
                <w:color w:val="auto"/>
                <w:sz w:val="24"/>
                <w:szCs w:val="24"/>
                <w:u w:val="none"/>
                <w:lang w:val="en-US" w:eastAsia="zh-CN"/>
              </w:rPr>
              <w:t xml:space="preserve">的扫描件</w:t>
            </w:r>
            <w:r>
              <w:rPr>
                <w:rFonts w:hint="eastAsia" w:ascii="宋体" w:hAnsi="宋体" w:eastAsia="宋体" w:cs="宋体"/>
                <w:i w:val="0"/>
                <w:iCs w:val="0"/>
                <w:color w:val="auto"/>
                <w:sz w:val="24"/>
                <w:szCs w:val="24"/>
                <w:u w:val="none"/>
                <w:lang w:eastAsia="zh-CN"/>
              </w:rPr>
              <w:t xml:space="preserve">）</w:t>
            </w:r>
            <w:r/>
          </w:p>
        </w:tc>
      </w:tr>
      <w:tr>
        <w:trPr>
          <w:trHeight w:val="276"/>
        </w:trPr>
        <w:tc>
          <w:tcPr>
            <w:tcW w:w="898" w:type="dxa"/>
            <w:textDirection w:val="lrTb"/>
            <w:noWrap/>
          </w:tcPr>
          <w:p>
            <w:pPr>
              <w:jc w:val="cente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4</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能与医院HIS实现无缝隙连接，系统接收处方信息后，通过独立的传输轨道进行快速分发</w:t>
            </w:r>
            <w:r/>
          </w:p>
        </w:tc>
      </w:tr>
      <w:tr>
        <w:trPr>
          <w:trHeight w:val="276"/>
        </w:trPr>
        <w:tc>
          <w:tcPr>
            <w:tcW w:w="898" w:type="dxa"/>
            <w:textDirection w:val="lrTb"/>
            <w:noWrap/>
          </w:tcPr>
          <w:p>
            <w:pPr>
              <w:jc w:val="cente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i w:val="0"/>
                <w:iCs w:val="0"/>
                <w:color w:val="auto"/>
                <w:sz w:val="24"/>
                <w:szCs w:val="24"/>
                <w:u w:val="none"/>
              </w:rPr>
              <w:t xml:space="preserve">5</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药品存储≥15000盒</w:t>
            </w:r>
            <w:r>
              <w:rPr>
                <w:rFonts w:hint="eastAsia" w:ascii="宋体" w:hAnsi="宋体" w:eastAsia="宋体" w:cs="宋体"/>
                <w:i w:val="0"/>
                <w:iCs w:val="0"/>
                <w:color w:val="auto"/>
                <w:sz w:val="24"/>
                <w:szCs w:val="24"/>
                <w:highlight w:val="none"/>
                <w:u w:val="none"/>
              </w:rPr>
              <w:t xml:space="preserve">（注：按药品外包装规格长100mm*宽60mm*高20mm均值计算）。</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具有联机、手动两种控制方式，自动接收医嘱信息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可多通道同时高速出药，支持多通道同时出药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自动指示定位，叠加式上药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发药效率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单通道出药≥2盒/每秒</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开机自检功能/急停保护/取药口光幕保护/电机过热、过流、过载保护</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发药预警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当出现异常，缺药或是卡药，智能指示装置亮灯给予异常提示。</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电气安装安全性 设备调试完成，各电器元件的连 接应可靠，布线合理，具备有效保护接地装置，连续处理不少于 500 次发药，保证起、制动无故障，运动系统定位准确，安全保护装置正常。</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发药检测 高精度光电传感器检测发药数量状态。</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jc w:val="center"/>
              <w:keepLines w:val="0"/>
              <w:keepNext w:val="0"/>
              <w:pageBreakBefore w:val="0"/>
              <w:spacing w:after="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参数—直发传送系统（地面）</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采用地面轨道传输方式，通过传输带把快速发药机/高速发药机底部出药口的药品传送到药师前台，落到药师方便领取的地方，从而无需发药药师走动取药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根据医院处方量和药品使用情况配置1个或多个直发窗口通道</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快速发药系统的辅助设备，将处方药品直接传输至发药窗口，无需人工走动取药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参数—整处方传送系统</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整处方传输系统与HIS无缝连接，自动接收处方信息，将装有调配完药品的智能药筐进行窗口分拣传送到指定窗口，等待药师驱动待发药筐信息上屏；对于处方进行自由调配与传输，不受接收处方顺序限制；整处方传输系统可以脱离快速发药系统独立使用。</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每小时可传送400—500张处方。</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窗口具备药筐缓存系统可存放不小于两层智能药筐，存放智能药筐数量≥15个。</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药师无需按顺序绑定智能药筐进行传送，系统能够自动读写智能药筐信息（在每个进入缓存区的转弯处具备RFID读卡装置），分配到指定窗口。</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设备支持不小于15m的传送距离。</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运输效率传送系统在连续工作中，运筐速度每个 10-15 秒。</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满筐预警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在缓存模块内药筐数量达到满筐时，相应台面上的报警指示灯亮闪报警，同时系统自动停止运行。</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电气安全性能符合耐压强度和电阻强度测试</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参数—智能药筐（亮灯）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药筐绑定系统自动将智能药筐绑定处方信息，使药品、药筐、处方信息一一对应，保证准确性。</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药筐绑定系统可与HIS或快速发药机系统对接，自动接收处方信息用于配药；同时药筐与系统无线连接，自动接收系统发送的无线信息。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每个智能药筐的绑定速度低于1秒</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智能药筐与系统无线连接，自动接收系统信息，显示药筐所在位置，并且提示药师取药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智能药筐与发药设备可实现信息同步，智能药筐自动录入处方信息，药筐和处方进行一对一绑定，使药品、药筐、处方信息一一对应，保证准确性。</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发药口收方后，药筐亮灯自动提示该处方药品所在的位置，提示药师取药。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智能药筐可以随意摆放，不受固定位置的限制，无需使用药架。</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可由药师后台直接传递，配合无动力滑道，方便药师传递药筐。也可配合传输系统自动传输。</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高度≤3米自由跌落（底面朝下，自由落下至水泥地面），试验后不变形，部件不分离。</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可承载不少于4公斤药品，承载后不变形，部件不分离。</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采用充电电池，每次充电可连续使用1周以上。</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参数—智能调配机（108工位）</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系统接收处方信息后，自动将药品送至药师面前，并提示所在位置。</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设备结构采用上下垂直运止结构，四组通道模块可独立运作，设备本身厚度≤1米。</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药位≥108个，可扩展至数量≥216个。</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可储存各种包装形式的药品。（盒装药、针剂、软膏、输液等）</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可与医院HIS实现无缝隙连接， 系统接收处方信息后，自动将药品送至药师面前，并提示所在位置。</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储存量≥6000盒常规药品。</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控制方式具有联机、手动两种控制方式，自动接收医嘱信息。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出药方式为垂直上下自动寻址，提示药师取药。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进药方式为自动定位并提示入库位置。</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高度≤2.8米，占地面积≤3平方米。</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取药方式按最优路径取药。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标准化药盒注明药品名称，并可贴附条形码，药盒分隔区间。</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储存方式为封闭式存储，窗口均有滑门。</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设备采用内嵌式LED指示灯定位并指示药品位置。</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安全防护包括开机自检功能/急停保护/取药口光幕保护。</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运行后：储药模组、直线导轨应运行平稳，无抖动、无异响，与有电部件保持足够的间隙。</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上下存取药口采用红外线光幕保护装置进行检测，以保护操作人员及设备的安全，如有物体卡住应立即自动停机。同时配备急停按钮装置。</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运行稳定性额定载量和空载连续运行不少于 50 次。启动或制动无故障，定位精准，安全装置正常运行。</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044" w:type="dxa"/>
            <w:textDirection w:val="lrTb"/>
            <w:noWrap/>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参数—智能发药软件</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与医院HIS实现无缝隙链接，确保医嘱和处方信息无障碍传输。系统将已接收的处方/患者信息进行追踪管理，为安全用药、预防风险提供保障。整套系统需保障处方数据交互安全。</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能够根据HIS指令调配，向指定地点传输盒装、瓶装（非玻璃瓶）等中、西药品，可满足各种规格药品的发放。非盒装药品或特殊药品通过专门的集中补药区进行人工半自动调配。系统能够满足医院2500—3000张/日、高峰450张/小时处方量的工作需求。</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具备智能药筐，系统自动将智能药筐绑定处方信息，使药品、药筐、处方信息一一对应，保证准确性。智能药筐与系统无线连接，自动接收系统信息，药筐亮灯自动提示该处方药品所在的位置，并且提示药师取药、核对发药。</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具备药品添加/删除/修改功能。</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可实现库存状态实时监管、自动生成补货清单。具备库存药品下限报警提示。</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具备实时盘点功能，可随时对药品进行实时盘点，机械手可对设备内药品自动盘库。可实时显示盘点结果的准确率。</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可依据接收处方的信息，合理分配窗口排队取药人数。</w:t>
            </w:r>
            <w:r/>
          </w:p>
        </w:tc>
      </w:tr>
      <w:tr>
        <w:trPr>
          <w:trHeight w:val="276"/>
        </w:trPr>
        <w:tc>
          <w:tcPr>
            <w:tcW w:w="898" w:type="dxa"/>
            <w:textDirection w:val="lrTb"/>
            <w:noWrap/>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8044" w:type="dxa"/>
            <w:textDirection w:val="lrTb"/>
            <w:noWrap/>
          </w:tcPr>
          <w:p>
            <w:pP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可统计每个窗口的已发处方数、已发发药数量、带配处方数、带配药品数量、已发处方的直发（全机内药品）处方数量与比例、补药数量等信息，并可直接在系统软件界面上显示。</w:t>
            </w:r>
            <w:r/>
          </w:p>
        </w:tc>
      </w:tr>
    </w:tbl>
    <w:p>
      <w:pPr>
        <w:ind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u w:val="none"/>
        </w:rPr>
        <w:t xml:space="preserve">注：带</w:t>
      </w:r>
      <w:r>
        <w:rPr>
          <w:rFonts w:hint="eastAsia" w:ascii="宋体" w:hAnsi="宋体" w:eastAsia="宋体" w:cs="宋体"/>
          <w:b/>
          <w:bCs/>
          <w:i w:val="0"/>
          <w:iCs w:val="0"/>
          <w:color w:val="auto"/>
          <w:sz w:val="24"/>
          <w:szCs w:val="24"/>
          <w:u w:val="none"/>
          <w:lang w:eastAsia="zh-CN"/>
        </w:rPr>
        <w:t xml:space="preserve">★</w:t>
      </w:r>
      <w:r>
        <w:rPr>
          <w:rFonts w:hint="eastAsia" w:ascii="宋体" w:hAnsi="宋体" w:eastAsia="宋体" w:cs="宋体"/>
          <w:b/>
          <w:bCs/>
          <w:i w:val="0"/>
          <w:iCs w:val="0"/>
          <w:color w:val="auto"/>
          <w:sz w:val="24"/>
          <w:szCs w:val="24"/>
          <w:u w:val="none"/>
        </w:rPr>
        <w:t xml:space="preserve">的参数属于实质性要求</w:t>
      </w:r>
      <w:r>
        <w:rPr>
          <w:rFonts w:hint="eastAsia" w:ascii="宋体" w:hAnsi="宋体" w:eastAsia="宋体" w:cs="宋体"/>
          <w:b/>
          <w:bCs/>
          <w:i w:val="0"/>
          <w:iCs w:val="0"/>
          <w:color w:val="auto"/>
          <w:sz w:val="24"/>
          <w:szCs w:val="24"/>
          <w:u w:val="none"/>
          <w:lang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投标人须在技术要求及相应偏离表中逐条响应，且不得有负偏离。本项为符合性审查要求，如供应商未响应或响应内容不符合采购需求的，视为未实质性响应招标文件要求，不能通过符合性审查。</w:t>
      </w:r>
      <w:r/>
    </w:p>
    <w:p>
      <w:pPr>
        <w:ind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u w:val="none"/>
        </w:rPr>
        <w:t xml:space="preserve">带▲的参数属于重点参数</w:t>
      </w:r>
      <w:r>
        <w:rPr>
          <w:rFonts w:hint="eastAsia" w:ascii="宋体" w:hAnsi="宋体" w:eastAsia="宋体" w:cs="宋体"/>
          <w:b/>
          <w:bCs/>
          <w:i w:val="0"/>
          <w:iCs w:val="0"/>
          <w:color w:val="auto"/>
          <w:sz w:val="24"/>
          <w:szCs w:val="24"/>
          <w:u w:val="none"/>
          <w:lang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投标人须在技术要求及相应偏离表中逐条响应</w:t>
      </w:r>
      <w:r>
        <w:rPr>
          <w:rFonts w:hint="eastAsia" w:ascii="宋体" w:hAnsi="宋体" w:eastAsia="宋体" w:cs="宋体"/>
          <w:b/>
          <w:bCs/>
          <w:i w:val="0"/>
          <w:iCs w:val="0"/>
          <w:color w:val="auto"/>
          <w:sz w:val="24"/>
          <w:szCs w:val="24"/>
          <w:u w:val="none"/>
        </w:rPr>
        <w:t xml:space="preserve">。</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三、商务要求</w:t>
      </w:r>
      <w:r/>
    </w:p>
    <w:p>
      <w:pPr>
        <w:numPr>
          <w:ilvl w:val="0"/>
          <w:numId w:val="0"/>
        </w:numPr>
        <w:ind w:firstLine="480"/>
        <w:keepLines w:val="0"/>
        <w:keepNext w:val="0"/>
        <w:pageBreakBefore w:val="0"/>
        <w:spacing w:line="360" w:lineRule="auto"/>
        <w:widowControl w:val="off"/>
        <w:rPr>
          <w:rFonts w:hint="eastAsia" w:ascii="宋体" w:hAnsi="宋体" w:eastAsia="宋体" w:cs="宋体"/>
          <w:bCs/>
          <w:i w:val="0"/>
          <w:iCs w:val="0"/>
          <w:color w:val="auto"/>
          <w:sz w:val="24"/>
          <w:szCs w:val="24"/>
          <w:u w:val="none"/>
        </w:rPr>
      </w:pPr>
      <w:r>
        <w:rPr>
          <w:rFonts w:hint="eastAsia" w:ascii="宋体" w:hAnsi="宋体" w:eastAsia="宋体" w:cs="宋体"/>
          <w:bCs/>
          <w:i w:val="0"/>
          <w:iCs w:val="0"/>
          <w:color w:val="auto"/>
          <w:sz w:val="24"/>
          <w:szCs w:val="24"/>
          <w:u w:val="none"/>
        </w:rPr>
        <w:t xml:space="preserve">1、交货时间：中标供应商应在采购人书面通知之日起90日内完成交付</w:t>
      </w:r>
      <w:r/>
    </w:p>
    <w:p>
      <w:pPr>
        <w:numPr>
          <w:ilvl w:val="0"/>
          <w:numId w:val="0"/>
        </w:numPr>
        <w:ind w:firstLine="480"/>
        <w:keepLines w:val="0"/>
        <w:keepNext w:val="0"/>
        <w:pageBreakBefore w:val="0"/>
        <w:spacing w:line="360" w:lineRule="auto"/>
        <w:widowControl w:val="off"/>
        <w:rPr>
          <w:rFonts w:hint="eastAsia" w:ascii="宋体" w:hAnsi="宋体" w:eastAsia="宋体" w:cs="宋体"/>
          <w:bCs/>
          <w:i w:val="0"/>
          <w:iCs w:val="0"/>
          <w:color w:val="auto"/>
          <w:sz w:val="24"/>
          <w:szCs w:val="24"/>
          <w:u w:val="none"/>
        </w:rPr>
      </w:pPr>
      <w:r>
        <w:rPr>
          <w:rFonts w:hint="eastAsia" w:ascii="宋体" w:hAnsi="宋体" w:eastAsia="宋体" w:cs="宋体"/>
          <w:bCs/>
          <w:i w:val="0"/>
          <w:iCs w:val="0"/>
          <w:color w:val="auto"/>
          <w:sz w:val="24"/>
          <w:szCs w:val="24"/>
          <w:u w:val="none"/>
        </w:rPr>
        <w:t xml:space="preserve">2、安装地点：盐城市第三人民医院南院     </w:t>
      </w:r>
      <w:r/>
    </w:p>
    <w:p>
      <w:pPr>
        <w:numPr>
          <w:ilvl w:val="0"/>
          <w:numId w:val="0"/>
        </w:numPr>
        <w:ind w:firstLine="480"/>
        <w:keepLines w:val="0"/>
        <w:keepNext w:val="0"/>
        <w:pageBreakBefore w:val="0"/>
        <w:spacing w:line="360" w:lineRule="auto"/>
        <w:widowControl w:val="off"/>
        <w:rPr>
          <w:rFonts w:hint="eastAsia" w:ascii="宋体" w:hAnsi="宋体" w:eastAsia="宋体" w:cs="宋体"/>
          <w:bCs/>
          <w:i w:val="0"/>
          <w:iCs w:val="0"/>
          <w:color w:val="auto"/>
          <w:sz w:val="24"/>
          <w:szCs w:val="24"/>
          <w:u w:val="none"/>
        </w:rPr>
      </w:pPr>
      <w:r>
        <w:rPr>
          <w:rFonts w:hint="eastAsia" w:ascii="宋体" w:hAnsi="宋体" w:eastAsia="宋体" w:cs="宋体"/>
          <w:bCs/>
          <w:i w:val="0"/>
          <w:iCs w:val="0"/>
          <w:color w:val="auto"/>
          <w:sz w:val="24"/>
          <w:szCs w:val="24"/>
          <w:u w:val="none"/>
        </w:rPr>
        <w:t xml:space="preserve">3、验收要求：本合同项下设备应在双方人员同时在场的条件下进行验收，具体验收方式：在仪器送达交货地点后， 甲方在乙方送货、安装并调试完毕后对设备进行开箱、清点检查验收，如果发现数量不足或有质量、技术等问题，如</w:t>
      </w:r>
      <w:r>
        <w:rPr>
          <w:rFonts w:hint="eastAsia" w:ascii="宋体" w:hAnsi="宋体" w:eastAsia="宋体" w:cs="宋体"/>
          <w:bCs/>
          <w:i w:val="0"/>
          <w:iCs w:val="0"/>
          <w:color w:val="auto"/>
          <w:sz w:val="24"/>
          <w:szCs w:val="24"/>
          <w:u w:val="none"/>
          <w:lang w:eastAsia="zh-CN"/>
        </w:rPr>
        <w:t xml:space="preserve">：</w:t>
      </w:r>
      <w:r>
        <w:rPr>
          <w:rFonts w:hint="eastAsia" w:ascii="宋体" w:hAnsi="宋体" w:eastAsia="宋体" w:cs="宋体"/>
          <w:bCs/>
          <w:i w:val="0"/>
          <w:iCs w:val="0"/>
          <w:color w:val="auto"/>
          <w:sz w:val="24"/>
          <w:szCs w:val="24"/>
          <w:u w:val="none"/>
        </w:rPr>
        <w:t xml:space="preserve">产品的型号、产地、数量、质量等与招标文件不符，乙方应负责按照甲方的要求采取补足，更换或退货等处理措施，并承担由此发生的一切损失和费用。验收合格后，甲方在验收单上签字盖章。</w:t>
      </w:r>
      <w:r/>
    </w:p>
    <w:p>
      <w:pPr>
        <w:numPr>
          <w:ilvl w:val="0"/>
          <w:numId w:val="0"/>
        </w:numPr>
        <w:ind w:firstLine="480"/>
        <w:keepLines w:val="0"/>
        <w:keepNext w:val="0"/>
        <w:pageBreakBefore w:val="0"/>
        <w:spacing w:line="360" w:lineRule="auto"/>
        <w:widowControl w:val="off"/>
        <w:rPr>
          <w:rFonts w:hint="eastAsia" w:ascii="宋体" w:hAnsi="宋体" w:eastAsia="宋体" w:cs="宋体"/>
          <w:bCs/>
          <w:i w:val="0"/>
          <w:iCs w:val="0"/>
          <w:color w:val="auto"/>
          <w:sz w:val="24"/>
          <w:szCs w:val="24"/>
          <w:u w:val="none"/>
        </w:rPr>
      </w:pPr>
      <w:r>
        <w:rPr>
          <w:rFonts w:hint="eastAsia" w:ascii="宋体" w:hAnsi="宋体" w:eastAsia="宋体" w:cs="宋体"/>
          <w:bCs/>
          <w:i w:val="0"/>
          <w:iCs w:val="0"/>
          <w:color w:val="auto"/>
          <w:sz w:val="24"/>
          <w:szCs w:val="24"/>
          <w:u w:val="none"/>
          <w:lang w:val="en-US" w:eastAsia="zh-CN"/>
        </w:rPr>
        <w:t xml:space="preserve">4</w:t>
      </w:r>
      <w:r>
        <w:rPr>
          <w:rFonts w:hint="eastAsia" w:ascii="宋体" w:hAnsi="宋体" w:eastAsia="宋体" w:cs="宋体"/>
          <w:bCs/>
          <w:i w:val="0"/>
          <w:iCs w:val="0"/>
          <w:color w:val="auto"/>
          <w:sz w:val="24"/>
          <w:szCs w:val="24"/>
          <w:u w:val="none"/>
        </w:rPr>
        <w:t xml:space="preserve">、本项目免费保修期为：自项目验收合格之日起5年。  </w:t>
      </w:r>
      <w:r/>
    </w:p>
    <w:p>
      <w:pPr>
        <w:ind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注：上述</w:t>
      </w:r>
      <w:r>
        <w:rPr>
          <w:rFonts w:hint="eastAsia" w:ascii="宋体" w:hAnsi="宋体" w:eastAsia="宋体" w:cs="宋体"/>
          <w:b/>
          <w:bCs/>
          <w:i w:val="0"/>
          <w:iCs w:val="0"/>
          <w:color w:val="auto"/>
          <w:sz w:val="24"/>
          <w:szCs w:val="24"/>
          <w:highlight w:val="none"/>
          <w:u w:val="none"/>
          <w:lang w:eastAsia="zh-CN"/>
        </w:rPr>
        <w:t xml:space="preserve">商务</w:t>
      </w:r>
      <w:r>
        <w:rPr>
          <w:rFonts w:hint="eastAsia" w:ascii="宋体" w:hAnsi="宋体" w:eastAsia="宋体" w:cs="宋体"/>
          <w:b/>
          <w:bCs/>
          <w:i w:val="0"/>
          <w:iCs w:val="0"/>
          <w:color w:val="auto"/>
          <w:sz w:val="24"/>
          <w:szCs w:val="24"/>
          <w:highlight w:val="none"/>
          <w:u w:val="none"/>
          <w:lang w:val="en-US" w:eastAsia="zh-CN"/>
        </w:rPr>
        <w:t xml:space="preserve">要求中要求</w:t>
      </w:r>
      <w:r>
        <w:rPr>
          <w:rFonts w:hint="eastAsia" w:ascii="宋体" w:hAnsi="宋体" w:eastAsia="宋体" w:cs="宋体"/>
          <w:b/>
          <w:bCs/>
          <w:i w:val="0"/>
          <w:iCs w:val="0"/>
          <w:color w:val="auto"/>
          <w:sz w:val="24"/>
          <w:szCs w:val="24"/>
          <w:highlight w:val="none"/>
          <w:u w:val="none"/>
          <w:lang w:eastAsia="zh-CN"/>
        </w:rPr>
        <w:t xml:space="preserve">为</w:t>
      </w:r>
      <w:r>
        <w:rPr>
          <w:rFonts w:hint="eastAsia" w:ascii="宋体" w:hAnsi="宋体" w:eastAsia="宋体" w:cs="宋体"/>
          <w:b/>
          <w:bCs/>
          <w:i w:val="0"/>
          <w:iCs w:val="0"/>
          <w:color w:val="auto"/>
          <w:sz w:val="24"/>
          <w:szCs w:val="24"/>
          <w:highlight w:val="none"/>
          <w:u w:val="none"/>
          <w:lang w:val="en-US" w:eastAsia="zh-CN"/>
        </w:rPr>
        <w:t xml:space="preserve">实质性要求，投标人须在</w:t>
      </w:r>
      <w:r>
        <w:rPr>
          <w:rFonts w:hint="eastAsia" w:ascii="宋体" w:hAnsi="宋体" w:eastAsia="宋体" w:cs="宋体"/>
          <w:b/>
          <w:bCs/>
          <w:i w:val="0"/>
          <w:iCs w:val="0"/>
          <w:color w:val="auto"/>
          <w:sz w:val="24"/>
          <w:szCs w:val="24"/>
          <w:highlight w:val="none"/>
          <w:u w:val="none"/>
          <w:lang w:eastAsia="zh-CN"/>
        </w:rPr>
        <w:t xml:space="preserve">商务</w:t>
      </w:r>
      <w:r>
        <w:rPr>
          <w:rFonts w:hint="eastAsia" w:ascii="宋体" w:hAnsi="宋体" w:eastAsia="宋体" w:cs="宋体"/>
          <w:b/>
          <w:bCs/>
          <w:i w:val="0"/>
          <w:iCs w:val="0"/>
          <w:color w:val="auto"/>
          <w:sz w:val="24"/>
          <w:szCs w:val="24"/>
          <w:highlight w:val="none"/>
          <w:u w:val="none"/>
          <w:lang w:val="en-US" w:eastAsia="zh-CN"/>
        </w:rPr>
        <w:t xml:space="preserve">要求及相应偏离表中逐条响应具体内容，且不允许负偏离，否则视为无效投标。</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四、其他要求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1、为</w:t>
      </w:r>
      <w:r>
        <w:rPr>
          <w:rFonts w:hint="eastAsia" w:ascii="宋体" w:hAnsi="宋体" w:eastAsia="宋体" w:cs="宋体"/>
          <w:bCs/>
          <w:color w:val="auto"/>
          <w:sz w:val="24"/>
          <w:szCs w:val="24"/>
        </w:rPr>
        <w:t xml:space="preserve">确保本项目的顺利实施</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投标人具备丰富的所投产品设备承接经验</w:t>
      </w:r>
      <w:r>
        <w:rPr>
          <w:rFonts w:hint="eastAsia" w:ascii="宋体" w:hAnsi="宋体" w:eastAsia="宋体" w:cs="宋体"/>
          <w:bCs/>
          <w:color w:val="auto"/>
          <w:sz w:val="24"/>
          <w:szCs w:val="24"/>
          <w:lang w:val="en-US" w:eastAsia="zh-CN"/>
        </w:rPr>
        <w:t xml:space="preserve">的优先</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2、项目实施方案</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val="en-US" w:eastAsia="zh-CN"/>
        </w:rPr>
        <w:t xml:space="preserve">2.1产品</w:t>
      </w:r>
      <w:r>
        <w:rPr>
          <w:rFonts w:hint="eastAsia" w:ascii="宋体" w:hAnsi="宋体" w:eastAsia="宋体" w:cs="宋体"/>
          <w:b/>
          <w:bCs w:val="0"/>
          <w:color w:val="auto"/>
          <w:sz w:val="24"/>
          <w:szCs w:val="24"/>
          <w:lang w:eastAsia="zh-CN"/>
        </w:rPr>
        <w:t xml:space="preserve">供货运输要求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（1）须提供原厂全新未拆封设备，原厂标准包装，全程防潮防震专业物流；</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（2）分批次供货计划、到货周期、到货清点流程、缺件</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破损退换货应急机制；</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（3）货物到场卸货、搬运、现场仓储保护方案。</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val="en-US" w:eastAsia="zh-CN"/>
        </w:rPr>
        <w:t xml:space="preserve">2.2产品</w:t>
      </w:r>
      <w:r>
        <w:rPr>
          <w:rFonts w:hint="eastAsia" w:ascii="宋体" w:hAnsi="宋体" w:eastAsia="宋体" w:cs="宋体"/>
          <w:b/>
          <w:bCs w:val="0"/>
          <w:color w:val="auto"/>
          <w:sz w:val="24"/>
          <w:szCs w:val="24"/>
          <w:lang w:eastAsia="zh-CN"/>
        </w:rPr>
        <w:t xml:space="preserve">安装调试专项要求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（1）进场施工人员资质、持证上岗、现场安全防护措施；</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（2）设备就位、管线布线、接地、系统对接联调完整流程；</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（3）单机调试、整线联动调试、压力测试（模拟高峰处方连续运行测试）；</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（4）施工周期规划、现场施工降噪、错峰施工（不干扰门诊正常运营）措施。</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2.3验收专项要求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（1）分阶段验收：到货初验→单机调试验收→整体联调验收→72小时不间断试运行终验；</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（2）验收资料清单：出厂合格证、检测报告、软件授权、操作手册、竣工图纸、设备台账；</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（3）不合格设备退换、返工、二次验收时限与责任约定。</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
          <w:bCs w:val="0"/>
          <w:color w:val="auto"/>
          <w:sz w:val="24"/>
          <w:szCs w:val="24"/>
          <w:lang w:val="en-US" w:eastAsia="zh-CN"/>
        </w:rPr>
        <w:t xml:space="preserve">2.4</w:t>
      </w:r>
      <w:r>
        <w:rPr>
          <w:rFonts w:hint="eastAsia" w:ascii="宋体" w:hAnsi="宋体" w:eastAsia="宋体" w:cs="宋体"/>
          <w:b/>
          <w:bCs w:val="0"/>
          <w:color w:val="auto"/>
          <w:sz w:val="24"/>
          <w:szCs w:val="24"/>
          <w:lang w:eastAsia="zh-CN"/>
        </w:rPr>
        <w:t xml:space="preserve">应急预案要求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（1）门诊高峰设备宕机、卡药、系统断网、传输系统故障</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lang w:eastAsia="zh-CN"/>
        </w:rPr>
        <w:t xml:space="preserve">类核心场景应急处置流程；</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（2）备用调配方案、人工兜底发药流程、备件储备机制；</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（3）重大故障到场抢修时限、临时替代保障措施。</w:t>
      </w:r>
      <w:r/>
    </w:p>
    <w:p>
      <w:pPr>
        <w:ind w:firstLine="480"/>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w:t>
      </w:r>
      <w:r>
        <w:rPr>
          <w:rFonts w:hint="eastAsia" w:ascii="宋体" w:hAnsi="宋体" w:eastAsia="宋体" w:cs="宋体"/>
          <w:b/>
          <w:bCs w:val="0"/>
          <w:color w:val="auto"/>
          <w:sz w:val="24"/>
          <w:szCs w:val="24"/>
          <w:lang w:eastAsia="zh-CN"/>
        </w:rPr>
        <w:t xml:space="preserve">售后服务及培训</w:t>
      </w:r>
      <w:r>
        <w:rPr>
          <w:rFonts w:hint="eastAsia" w:ascii="宋体" w:hAnsi="宋体" w:eastAsia="宋体" w:cs="宋体"/>
          <w:b/>
          <w:bCs w:val="0"/>
          <w:color w:val="auto"/>
          <w:sz w:val="24"/>
          <w:szCs w:val="24"/>
          <w:lang w:val="en-US" w:eastAsia="zh-CN"/>
        </w:rPr>
        <w:t xml:space="preserve">要求</w:t>
      </w:r>
      <w:r/>
    </w:p>
    <w:p>
      <w:pPr>
        <w:ind w:left="479" w:firstLine="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eastAsia="zh-CN"/>
        </w:rPr>
        <w:t xml:space="preserve">）售后支持及服务方案包括服务流程、服务内容、响应时间、保障措施等内容。（</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eastAsia="zh-CN"/>
        </w:rPr>
        <w:t xml:space="preserve">）培训方案包括</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lang w:eastAsia="zh-CN"/>
        </w:rPr>
        <w:t xml:space="preserve">培训内容、培训方式、培训流程、培训时间等内容。</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特别说明：本次采购所有标包标的的所属行业为（工业），根据《工业和信息化部、国家统计局、国家发展和改革委员会、财政部关于印发中小企业划型标准规定的通知》（工信部联企业[2011]300号）规定的划分标准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4、本项目不接受进口产品投标。</w:t>
      </w:r>
      <w:r/>
    </w:p>
    <w:p>
      <w:pPr>
        <w:ind w:firstLine="480"/>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r>
      <w:r/>
    </w:p>
    <w:p>
      <w:pPr>
        <w:ind w:firstLine="480"/>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r>
      <w:r/>
    </w:p>
    <w:p>
      <w:pPr>
        <w:numPr>
          <w:ilvl w:val="0"/>
          <w:numId w:val="0"/>
        </w:numPr>
        <w:jc w:val="center"/>
        <w:keepLines/>
        <w:keepNext/>
        <w:spacing w:line="415" w:lineRule="auto"/>
        <w:widowControl/>
        <w:rPr>
          <w:rFonts w:hint="eastAsia" w:ascii="宋体" w:hAnsi="宋体" w:eastAsia="宋体" w:cs="宋体"/>
          <w:b/>
          <w:bCs/>
          <w:color w:val="auto"/>
          <w:sz w:val="44"/>
          <w:szCs w:val="44"/>
          <w:highlight w:val="none"/>
        </w:rPr>
        <w:outlineLvl w:val="1"/>
      </w:pPr>
      <w:r>
        <w:rPr>
          <w:rFonts w:hint="eastAsia" w:ascii="宋体" w:hAnsi="宋体" w:eastAsia="宋体" w:cs="宋体"/>
          <w:b/>
          <w:bCs/>
          <w:color w:val="auto"/>
          <w:sz w:val="44"/>
          <w:szCs w:val="44"/>
          <w:highlight w:val="none"/>
        </w:rPr>
        <w:t xml:space="preserve">第五章 评标方法与评标标准</w:t>
      </w:r>
      <w:r/>
    </w:p>
    <w:p>
      <w:pPr>
        <w:pStyle w:val="726"/>
        <w:ind w:firstLine="480"/>
        <w:jc w:val="both"/>
        <w:keepLines w:val="0"/>
        <w:keepNext w:val="0"/>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highlight w:val="none"/>
        </w:rPr>
        <w:t xml:space="preserve">一、定标原则</w:t>
      </w:r>
      <w:r/>
    </w:p>
    <w:p>
      <w:pPr>
        <w:pStyle w:val="726"/>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w:t>
      </w:r>
      <w:r>
        <w:rPr>
          <w:rFonts w:hint="eastAsia" w:ascii="宋体" w:hAnsi="宋体" w:eastAsia="宋体" w:cs="宋体"/>
          <w:b/>
          <w:bCs/>
          <w:color w:val="auto"/>
          <w:highlight w:val="none"/>
          <w:u w:val="single"/>
        </w:rPr>
        <w:t xml:space="preserve">综合评分法</w:t>
      </w:r>
      <w:r>
        <w:rPr>
          <w:rFonts w:hint="eastAsia" w:ascii="宋体" w:hAnsi="宋体" w:eastAsia="宋体" w:cs="宋体"/>
          <w:color w:val="auto"/>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rPr>
        <w:t xml:space="preserve">，由评标委员会组织通过抽签的方式确定中标候选人的排序。</w:t>
      </w:r>
      <w:r>
        <w:rPr>
          <w:rFonts w:hint="eastAsia" w:ascii="宋体" w:hAnsi="宋体" w:eastAsia="宋体" w:cs="宋体"/>
          <w:color w:val="auto"/>
          <w:highlight w:val="none"/>
        </w:rPr>
        <w:t xml:space="preserve">投标文件满足招标文件全部实质性要求，且按照评审因素的量化指标评审得分最高的投标人为中标候选人。本项目选取1名中标候选人。</w:t>
      </w:r>
      <w:r/>
    </w:p>
    <w:p>
      <w:pPr>
        <w:pStyle w:val="726"/>
        <w:ind w:firstLine="482"/>
        <w:jc w:val="both"/>
        <w:keepLines w:val="0"/>
        <w:keepNext w:val="0"/>
        <w:pageBreakBefore w:val="0"/>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政府采购政策功能落实</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（1）本项目不专门面向中小企业采购，对符合规定的小型和微型企业报价给予20%的扣除价格，用扣除后的价格参与评审。</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（1）本项目对残疾人福利性单位视同小型、微型企业，给予20%的价格扣除。</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（1）本项目对监狱和戒毒企业（简称监狱企业）视同小型、微型企业，给予20%的价格扣除。</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726"/>
        <w:ind w:firstLine="4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ind w:firstLine="480"/>
        <w:keepLines w:val="0"/>
        <w:keepNext w:val="0"/>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5、严格执行政府采购关于支持</w:t>
      </w:r>
      <w:r>
        <w:rPr>
          <w:rFonts w:hint="eastAsia" w:ascii="宋体" w:hAnsi="宋体" w:eastAsia="宋体" w:cs="宋体"/>
          <w:color w:val="auto"/>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、供应商对于投标产品的商品包装、快递包装应按照“财办库〔2020〕123号《关于印发《商品包装政府采购需求标准（试行）》、《快递包装政府采购需求标准（试行）》的通知》”执行。</w:t>
      </w:r>
      <w:r/>
    </w:p>
    <w:p>
      <w:pPr>
        <w:pStyle w:val="726"/>
        <w:ind w:firstLine="480"/>
        <w:jc w:val="both"/>
        <w:keepLines w:val="0"/>
        <w:keepNext w:val="0"/>
        <w:pageBreakBefore w:val="0"/>
        <w:spacing w:beforeAutospacing="0" w:afterAutospacing="0"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7、采购本国产品的支持政策</w:t>
      </w:r>
      <w:r/>
    </w:p>
    <w:p>
      <w:pPr>
        <w:pStyle w:val="726"/>
        <w:ind w:firstLine="480"/>
        <w:jc w:val="both"/>
        <w:keepLines w:val="0"/>
        <w:keepNext w:val="0"/>
        <w:pageBreakBefore w:val="0"/>
        <w:spacing w:beforeAutospacing="0" w:afterAutospacing="0"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726"/>
        <w:ind w:firstLine="480"/>
        <w:jc w:val="both"/>
        <w:keepLines w:val="0"/>
        <w:keepNext w:val="0"/>
        <w:pageBreakBefore w:val="0"/>
        <w:spacing w:beforeAutospacing="0" w:afterAutospacing="0"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6"/>
        <w:ind w:firstLine="480"/>
        <w:jc w:val="both"/>
        <w:keepLines w:val="0"/>
        <w:keepNext w:val="0"/>
        <w:pageBreakBefore w:val="0"/>
        <w:spacing w:beforeAutospacing="0" w:afterAutospacing="0"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7.3 供应商需按照招标文件的要求提供《关于符合本国产品标准的声明函》（以下简称《声明函》），如不提供将不享受本国产品价格评审优惠。</w:t>
      </w:r>
      <w:r/>
    </w:p>
    <w:p>
      <w:pPr>
        <w:pStyle w:val="726"/>
        <w:ind w:firstLine="480"/>
        <w:jc w:val="both"/>
        <w:keepLines w:val="0"/>
        <w:keepNext w:val="0"/>
        <w:pageBreakBefore w:val="0"/>
        <w:spacing w:beforeAutospacing="0" w:afterAutospacing="0"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26"/>
        <w:ind w:firstLine="480"/>
        <w:jc w:val="both"/>
        <w:keepLines w:val="0"/>
        <w:keepNext w:val="0"/>
        <w:pageBreakBefore w:val="0"/>
        <w:spacing w:beforeAutospacing="0" w:afterAutospacing="0"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color w:val="auto"/>
          <w:sz w:val="24"/>
          <w:szCs w:val="24"/>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b w:val="0"/>
          <w:bCs w:val="0"/>
          <w:color w:val="auto"/>
          <w:sz w:val="24"/>
          <w:szCs w:val="24"/>
          <w:highlight w:val="none"/>
          <w:lang w:val="en-US" w:eastAsia="zh-CN" w:bidi="ar-SA"/>
        </w:rPr>
        <w:t xml:space="preserve">。其他条件相同情况下，应当优先采购节能产品、环境标志产品。</w:t>
      </w:r>
      <w:r/>
    </w:p>
    <w:p>
      <w:pPr>
        <w:pStyle w:val="726"/>
        <w:ind w:firstLine="482"/>
        <w:jc w:val="both"/>
        <w:keepLines w:val="0"/>
        <w:keepNext w:val="0"/>
        <w:pageBreakBefore w:val="0"/>
        <w:spacing w:beforeAutospacing="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二、评标方法与评标标准</w:t>
      </w:r>
      <w:r/>
    </w:p>
    <w:p>
      <w:pPr>
        <w:pStyle w:val="726"/>
        <w:jc w:val="both"/>
        <w:keepLines w:val="0"/>
        <w:keepNext w:val="0"/>
        <w:pageBreakBefore w:val="0"/>
        <w:spacing w:beforeAutospacing="0" w:afterAutospacing="0"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本项目评分总分值为100分。</w:t>
      </w:r>
      <w:r/>
    </w:p>
    <w:tbl>
      <w:tblPr>
        <w:tblStyle w:val="69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54"/>
        <w:gridCol w:w="814"/>
        <w:gridCol w:w="7184"/>
      </w:tblGrid>
      <w:tr>
        <w:trPr>
          <w:trHeight w:val="48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bookmarkStart w:id="169" w:name="_Hlk196127052"/>
            <w:r>
              <w:rPr>
                <w:rFonts w:hint="eastAsia" w:ascii="宋体" w:hAnsi="宋体" w:eastAsia="宋体" w:cs="宋体"/>
                <w:b/>
                <w:color w:val="auto"/>
                <w:sz w:val="24"/>
                <w:szCs w:val="24"/>
                <w:highlight w:val="none"/>
                <w:lang w:bidi="ar"/>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评分标准</w:t>
            </w:r>
            <w:r/>
          </w:p>
        </w:tc>
      </w:tr>
      <w:tr>
        <w:trPr>
          <w:trHeight w:val="176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30</w:t>
            </w:r>
            <w:r>
              <w:rPr>
                <w:rFonts w:hint="eastAsia" w:ascii="宋体" w:hAnsi="宋体" w:eastAsia="宋体" w:cs="宋体"/>
                <w:color w:val="auto"/>
                <w:sz w:val="24"/>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ind w:firstLine="440"/>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投标报价得分=(评标基准价／投标报价)×30 （该结果四舍五入，保留两位小数）</w:t>
            </w:r>
            <w:r/>
          </w:p>
        </w:tc>
      </w:tr>
      <w:tr>
        <w:trPr>
          <w:trHeight w:val="311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技术响应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28分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color w:val="auto"/>
                <w:sz w:val="24"/>
                <w:szCs w:val="24"/>
                <w:highlight w:val="none"/>
                <w:lang w:bidi="ar"/>
              </w:rPr>
              <w:t xml:space="preserve">投标产品对招标文件具体需求的响应程度：全部响应即满足招标文件功能技术参数的得</w:t>
            </w:r>
            <w:r>
              <w:rPr>
                <w:rFonts w:hint="eastAsia" w:ascii="宋体" w:hAnsi="宋体" w:eastAsia="宋体" w:cs="宋体"/>
                <w:color w:val="auto"/>
                <w:sz w:val="24"/>
                <w:szCs w:val="24"/>
                <w:highlight w:val="none"/>
                <w:lang w:val="en-US" w:eastAsia="zh-CN" w:bidi="ar"/>
              </w:rPr>
              <w:t xml:space="preserve">28</w:t>
            </w:r>
            <w:r>
              <w:rPr>
                <w:rFonts w:hint="eastAsia" w:ascii="宋体" w:hAnsi="宋体" w:eastAsia="宋体" w:cs="宋体"/>
                <w:color w:val="auto"/>
                <w:sz w:val="24"/>
                <w:szCs w:val="24"/>
                <w:highlight w:val="none"/>
                <w:lang w:bidi="ar"/>
              </w:rPr>
              <w:t xml:space="preserve">分，标注“▲”为重要参数，每负偏离一项扣</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其余未标注的为一般参数，</w:t>
            </w:r>
            <w:r>
              <w:rPr>
                <w:rFonts w:hint="eastAsia" w:ascii="宋体" w:hAnsi="宋体" w:eastAsia="宋体" w:cs="宋体"/>
                <w:color w:val="auto"/>
                <w:sz w:val="24"/>
                <w:szCs w:val="24"/>
                <w:highlight w:val="none"/>
                <w:lang w:bidi="ar"/>
              </w:rPr>
              <w:t xml:space="preserve">每负偏离一项扣</w:t>
            </w:r>
            <w:r>
              <w:rPr>
                <w:rFonts w:hint="eastAsia" w:ascii="宋体" w:hAnsi="宋体" w:eastAsia="宋体" w:cs="宋体"/>
                <w:color w:val="auto"/>
                <w:sz w:val="24"/>
                <w:szCs w:val="24"/>
                <w:highlight w:val="none"/>
                <w:lang w:val="en-US" w:eastAsia="zh-CN" w:bidi="ar"/>
              </w:rPr>
              <w:t xml:space="preserve">0.2</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扣完为止。投标人需按照本采购文件第四章的具体功能技术要求等，</w:t>
            </w:r>
            <w:r>
              <w:rPr>
                <w:rFonts w:hint="eastAsia" w:ascii="宋体" w:hAnsi="宋体" w:eastAsia="宋体" w:cs="宋体"/>
                <w:b/>
                <w:bCs/>
                <w:color w:val="auto"/>
                <w:sz w:val="24"/>
                <w:szCs w:val="24"/>
                <w:highlight w:val="none"/>
                <w:lang w:bidi="ar"/>
              </w:rPr>
              <w:t xml:space="preserve">在“技术参数响应及偏离表”中如实</w:t>
            </w:r>
            <w:r>
              <w:rPr>
                <w:rFonts w:hint="eastAsia" w:ascii="宋体" w:hAnsi="宋体" w:eastAsia="宋体" w:cs="宋体"/>
                <w:b/>
                <w:bCs/>
                <w:color w:val="auto"/>
                <w:sz w:val="24"/>
                <w:szCs w:val="24"/>
                <w:highlight w:val="none"/>
                <w:lang w:val="en-US" w:eastAsia="zh-CN" w:bidi="ar"/>
              </w:rPr>
              <w:t xml:space="preserve">逐条</w:t>
            </w:r>
            <w:r>
              <w:rPr>
                <w:rFonts w:hint="eastAsia" w:ascii="宋体" w:hAnsi="宋体" w:eastAsia="宋体" w:cs="宋体"/>
                <w:b/>
                <w:bCs/>
                <w:color w:val="auto"/>
                <w:sz w:val="24"/>
                <w:szCs w:val="24"/>
                <w:highlight w:val="none"/>
                <w:lang w:bidi="ar"/>
              </w:rPr>
              <w:t xml:space="preserve">详细填列所投产品的参数</w:t>
            </w:r>
            <w:r>
              <w:rPr>
                <w:rFonts w:hint="eastAsia" w:ascii="宋体" w:hAnsi="宋体" w:eastAsia="宋体" w:cs="宋体"/>
                <w:b/>
                <w:bCs/>
                <w:color w:val="auto"/>
                <w:sz w:val="24"/>
                <w:szCs w:val="24"/>
                <w:highlight w:val="none"/>
                <w:lang w:val="en-US" w:eastAsia="zh-CN" w:bidi="ar"/>
              </w:rPr>
              <w:t xml:space="preserve">响应</w:t>
            </w:r>
            <w:r>
              <w:rPr>
                <w:rFonts w:hint="eastAsia" w:ascii="宋体" w:hAnsi="宋体" w:eastAsia="宋体" w:cs="宋体"/>
                <w:b/>
                <w:bCs/>
                <w:color w:val="auto"/>
                <w:sz w:val="24"/>
                <w:szCs w:val="24"/>
                <w:highlight w:val="none"/>
                <w:lang w:bidi="ar"/>
              </w:rPr>
              <w:t xml:space="preserve">承诺</w:t>
            </w:r>
            <w:r>
              <w:rPr>
                <w:rFonts w:hint="eastAsia" w:ascii="宋体" w:hAnsi="宋体" w:eastAsia="宋体" w:cs="宋体"/>
                <w:color w:val="auto"/>
                <w:sz w:val="24"/>
                <w:szCs w:val="24"/>
                <w:highlight w:val="none"/>
                <w:lang w:bidi="ar"/>
              </w:rPr>
              <w:t xml:space="preserve">；</w:t>
            </w:r>
            <w:r>
              <w:rPr>
                <w:rFonts w:hint="eastAsia" w:ascii="宋体" w:hAnsi="宋体" w:eastAsia="宋体" w:cs="宋体"/>
                <w:b/>
                <w:bCs/>
                <w:color w:val="auto"/>
                <w:sz w:val="24"/>
                <w:szCs w:val="24"/>
                <w:highlight w:val="none"/>
                <w:lang w:val="en-US" w:eastAsia="zh-CN" w:bidi="ar"/>
              </w:rPr>
              <w:t xml:space="preserve">如</w:t>
            </w:r>
            <w:r>
              <w:rPr>
                <w:rFonts w:hint="eastAsia" w:ascii="宋体" w:hAnsi="宋体" w:eastAsia="宋体" w:cs="宋体"/>
                <w:b/>
                <w:bCs/>
                <w:color w:val="auto"/>
                <w:sz w:val="24"/>
                <w:szCs w:val="24"/>
                <w:highlight w:val="none"/>
                <w:lang w:bidi="ar"/>
              </w:rPr>
              <w:t xml:space="preserve">采购文件要求提供相应材料</w:t>
            </w:r>
            <w:r>
              <w:rPr>
                <w:rFonts w:hint="eastAsia" w:ascii="宋体" w:hAnsi="宋体" w:eastAsia="宋体" w:cs="宋体"/>
                <w:b/>
                <w:bCs/>
                <w:color w:val="auto"/>
                <w:sz w:val="24"/>
                <w:szCs w:val="24"/>
                <w:highlight w:val="none"/>
                <w:lang w:val="en-US" w:eastAsia="zh-CN" w:bidi="ar"/>
              </w:rPr>
              <w:t xml:space="preserve">的</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须按要求提供材料</w:t>
            </w:r>
            <w:r>
              <w:rPr>
                <w:rFonts w:hint="eastAsia" w:ascii="宋体" w:hAnsi="宋体" w:eastAsia="宋体" w:cs="宋体"/>
                <w:b/>
                <w:bCs/>
                <w:color w:val="auto"/>
                <w:sz w:val="24"/>
                <w:szCs w:val="24"/>
                <w:highlight w:val="none"/>
                <w:lang w:bidi="ar"/>
              </w:rPr>
              <w:t xml:space="preserve">加盖投标人公章</w:t>
            </w:r>
            <w:r>
              <w:rPr>
                <w:rFonts w:hint="eastAsia" w:ascii="宋体" w:hAnsi="宋体" w:eastAsia="宋体" w:cs="宋体"/>
                <w:b/>
                <w:bCs/>
                <w:color w:val="auto"/>
                <w:sz w:val="24"/>
                <w:szCs w:val="24"/>
                <w:highlight w:val="none"/>
                <w:lang w:val="en-US" w:eastAsia="zh-CN" w:bidi="ar"/>
              </w:rPr>
              <w:t xml:space="preserve">的扫描件</w:t>
            </w:r>
            <w:r>
              <w:rPr>
                <w:rFonts w:hint="eastAsia" w:ascii="宋体" w:hAnsi="宋体" w:eastAsia="宋体" w:cs="宋体"/>
                <w:b/>
                <w:bCs/>
                <w:color w:val="auto"/>
                <w:sz w:val="24"/>
                <w:szCs w:val="24"/>
                <w:highlight w:val="none"/>
                <w:lang w:bidi="ar"/>
              </w:rPr>
              <w:t xml:space="preserve">。</w:t>
            </w:r>
            <w:r/>
          </w:p>
        </w:tc>
      </w:tr>
      <w:tr>
        <w:trPr>
          <w:trHeight w:val="262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类似业绩</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自2023年1月1日(含)以来（以合同签订日期为准），投标人完成过所投产品的业绩，每有1个得2分，本项最高得6分。</w:t>
            </w:r>
            <w:r/>
          </w:p>
          <w:p>
            <w:pPr>
              <w:numPr>
                <w:ilvl w:val="0"/>
                <w:numId w:val="0"/>
              </w:num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注：1、投标时须提供合同原件扫描件（合同中合同主体名称、合同金额、合同范围、双方签字盖章等内容须体现）及验收合格证明原件扫描件，未提供或提供不全的不得分。</w:t>
            </w:r>
            <w:r/>
          </w:p>
        </w:tc>
      </w:tr>
      <w:tr>
        <w:trPr>
          <w:trHeight w:val="811"/>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eastAsia="zh-CN" w:bidi="ar"/>
              </w:rPr>
            </w:pPr>
            <w:r>
              <w:rPr>
                <w:rFonts w:hint="eastAsia" w:ascii="宋体" w:hAnsi="宋体" w:eastAsia="宋体" w:cs="宋体"/>
                <w:i w:val="0"/>
                <w:iCs w:val="0"/>
                <w:strike w:val="0"/>
                <w:color w:val="auto"/>
                <w:sz w:val="24"/>
                <w:szCs w:val="24"/>
                <w:highlight w:val="none"/>
                <w:u w:val="none"/>
                <w:lang w:val="en-US" w:eastAsia="zh-CN"/>
              </w:rPr>
              <w:t xml:space="preserve">综合实力</w:t>
            </w:r>
            <w:bookmarkEnd w:id="169"/>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eastAsia="zh-CN" w:bidi="ar"/>
              </w:rPr>
            </w:pPr>
            <w:r>
              <w:rPr>
                <w:rFonts w:hint="eastAsia" w:ascii="宋体" w:hAnsi="宋体" w:eastAsia="宋体" w:cs="宋体"/>
                <w:i w:val="0"/>
                <w:iCs w:val="0"/>
                <w:strike w:val="0"/>
                <w:color w:val="auto"/>
                <w:sz w:val="24"/>
                <w:szCs w:val="24"/>
                <w:highlight w:val="none"/>
                <w:u w:val="none"/>
                <w:lang w:val="en-US" w:eastAsia="zh-CN" w:bidi="ar"/>
              </w:rPr>
              <w:t xml:space="preserve">6</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numPr>
                <w:ilvl w:val="0"/>
                <w:numId w:val="0"/>
              </w:num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投标人具有质量管理体系认证证书、环境管理体系认证证书、职业健康安全管理体系认证证书，每提供一个证书得2分，本项最高得6分。</w:t>
            </w:r>
            <w:r/>
          </w:p>
          <w:p>
            <w:pPr>
              <w:numPr>
                <w:ilvl w:val="0"/>
                <w:numId w:val="0"/>
              </w:num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注：认证证书须在全国认证认可信息公共服务平台网站可查询，网址http：//cx.cnca.cn/CertECloud/index/index/page。投标时须提供网站截屏并加盖投标人公章及证书扫描件并加盖投标人公章，提供不全或未提供的不得分。</w:t>
            </w:r>
            <w:r/>
          </w:p>
        </w:tc>
      </w:tr>
      <w:tr>
        <w:trPr>
          <w:trHeight w:val="544"/>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项目实施</w:t>
            </w:r>
            <w:r/>
          </w:p>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val="en-US" w:eastAsia="zh-CN"/>
              </w:rPr>
            </w:pPr>
            <w:r>
              <w:rPr>
                <w:rFonts w:hint="eastAsia" w:ascii="宋体" w:hAnsi="宋体" w:eastAsia="宋体" w:cs="宋体"/>
                <w:color w:val="auto"/>
                <w:sz w:val="24"/>
                <w:szCs w:val="24"/>
                <w:highlight w:val="none"/>
                <w:lang w:bidi="ar"/>
              </w:rPr>
              <w:t xml:space="preserve">方案</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1、产品</w:t>
            </w:r>
            <w:r>
              <w:rPr>
                <w:rFonts w:hint="eastAsia" w:ascii="宋体" w:hAnsi="宋体" w:eastAsia="宋体" w:cs="宋体"/>
                <w:color w:val="auto"/>
                <w:sz w:val="24"/>
                <w:szCs w:val="24"/>
                <w:highlight w:val="none"/>
                <w:lang w:bidi="ar"/>
              </w:rPr>
              <w:t xml:space="preserve">供货方案（</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分）：评委根据投标人提供的</w:t>
            </w:r>
            <w:r>
              <w:rPr>
                <w:rFonts w:hint="eastAsia" w:ascii="宋体" w:hAnsi="宋体" w:eastAsia="宋体" w:cs="宋体"/>
                <w:color w:val="auto"/>
                <w:sz w:val="24"/>
                <w:szCs w:val="24"/>
                <w:highlight w:val="none"/>
                <w:lang w:val="en-US" w:eastAsia="zh-CN" w:bidi="ar"/>
              </w:rPr>
              <w:t xml:space="preserve">设备供货方案</w:t>
            </w:r>
            <w:r>
              <w:rPr>
                <w:rFonts w:hint="eastAsia" w:ascii="宋体" w:hAnsi="宋体" w:eastAsia="宋体" w:cs="宋体"/>
                <w:color w:val="auto"/>
                <w:sz w:val="24"/>
                <w:szCs w:val="24"/>
                <w:highlight w:val="none"/>
                <w:lang w:bidi="ar"/>
              </w:rPr>
              <w:t xml:space="preserve">、设备运输方案进行评分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优于</w:t>
            </w:r>
            <w:r>
              <w:rPr>
                <w:rFonts w:hint="eastAsia" w:ascii="宋体" w:hAnsi="宋体" w:eastAsia="宋体" w:cs="宋体"/>
                <w:color w:val="auto"/>
                <w:sz w:val="24"/>
                <w:szCs w:val="24"/>
                <w:highlight w:val="none"/>
                <w:lang w:val="en-US" w:eastAsia="zh-CN" w:bidi="ar"/>
              </w:rPr>
              <w:t xml:space="preserve">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方案满足采购</w:t>
            </w:r>
            <w:r>
              <w:rPr>
                <w:rFonts w:hint="eastAsia" w:ascii="宋体" w:hAnsi="宋体" w:eastAsia="宋体" w:cs="宋体"/>
                <w:color w:val="auto"/>
                <w:sz w:val="24"/>
                <w:szCs w:val="24"/>
                <w:highlight w:val="none"/>
                <w:lang w:bidi="ar"/>
              </w:rPr>
              <w:t xml:space="preserve">需求</w:t>
            </w:r>
            <w:r>
              <w:rPr>
                <w:rFonts w:hint="eastAsia" w:ascii="宋体" w:hAnsi="宋体" w:eastAsia="宋体" w:cs="宋体"/>
                <w:color w:val="auto"/>
                <w:sz w:val="24"/>
                <w:szCs w:val="24"/>
                <w:highlight w:val="none"/>
                <w:lang w:val="en-US" w:eastAsia="zh-CN" w:bidi="ar"/>
              </w:rPr>
              <w:t xml:space="preserve">的得3分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方案基本采购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未提供方案或方案不满足采购</w:t>
            </w:r>
            <w:r>
              <w:rPr>
                <w:rFonts w:hint="eastAsia" w:ascii="宋体" w:hAnsi="宋体" w:eastAsia="宋体" w:cs="宋体"/>
                <w:color w:val="auto"/>
                <w:sz w:val="24"/>
                <w:szCs w:val="24"/>
                <w:highlight w:val="none"/>
                <w:lang w:bidi="ar"/>
              </w:rPr>
              <w:t xml:space="preserve">需求不得分。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2、产品安装、调试方案（5分）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bidi="ar"/>
              </w:rPr>
              <w:t xml:space="preserve">评委根据投标人提供的</w:t>
            </w:r>
            <w:r>
              <w:rPr>
                <w:rFonts w:hint="eastAsia" w:ascii="宋体" w:hAnsi="宋体" w:eastAsia="宋体" w:cs="宋体"/>
                <w:color w:val="auto"/>
                <w:sz w:val="24"/>
                <w:szCs w:val="24"/>
                <w:highlight w:val="none"/>
                <w:lang w:val="en-US" w:eastAsia="zh-CN"/>
              </w:rPr>
              <w:t xml:space="preserve">产品安装、调试方案进行评分。</w:t>
            </w:r>
            <w:r>
              <w:rPr>
                <w:rFonts w:hint="eastAsia" w:ascii="宋体" w:hAnsi="宋体" w:eastAsia="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优于</w:t>
            </w:r>
            <w:r>
              <w:rPr>
                <w:rFonts w:hint="eastAsia" w:ascii="宋体" w:hAnsi="宋体" w:eastAsia="宋体" w:cs="宋体"/>
                <w:color w:val="auto"/>
                <w:sz w:val="24"/>
                <w:szCs w:val="24"/>
                <w:highlight w:val="none"/>
                <w:lang w:val="en-US" w:eastAsia="zh-CN" w:bidi="ar"/>
              </w:rPr>
              <w:t xml:space="preserve">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方案满足项目需求的得3分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方案基本采购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未提供方案或方案不满足采购</w:t>
            </w:r>
            <w:r>
              <w:rPr>
                <w:rFonts w:hint="eastAsia" w:ascii="宋体" w:hAnsi="宋体" w:eastAsia="宋体" w:cs="宋体"/>
                <w:color w:val="auto"/>
                <w:sz w:val="24"/>
                <w:szCs w:val="24"/>
                <w:highlight w:val="none"/>
                <w:lang w:bidi="ar"/>
              </w:rPr>
              <w:t xml:space="preserve">需求不得分。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项目验收方案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：投标人应根据招标文件要求提供具体详实的项目验收方案。</w:t>
            </w:r>
            <w:r>
              <w:rPr>
                <w:rFonts w:hint="eastAsia" w:ascii="宋体" w:hAnsi="宋体" w:eastAsia="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优于</w:t>
            </w:r>
            <w:r>
              <w:rPr>
                <w:rFonts w:hint="eastAsia" w:ascii="宋体" w:hAnsi="宋体" w:eastAsia="宋体" w:cs="宋体"/>
                <w:color w:val="auto"/>
                <w:sz w:val="24"/>
                <w:szCs w:val="24"/>
                <w:highlight w:val="none"/>
                <w:lang w:val="en-US" w:eastAsia="zh-CN" w:bidi="ar"/>
              </w:rPr>
              <w:t xml:space="preserve">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方案满足采购</w:t>
            </w:r>
            <w:r>
              <w:rPr>
                <w:rFonts w:hint="eastAsia" w:ascii="宋体" w:hAnsi="宋体" w:eastAsia="宋体" w:cs="宋体"/>
                <w:color w:val="auto"/>
                <w:sz w:val="24"/>
                <w:szCs w:val="24"/>
                <w:highlight w:val="none"/>
                <w:lang w:bidi="ar"/>
              </w:rPr>
              <w:t xml:space="preserve">需求</w:t>
            </w:r>
            <w:r>
              <w:rPr>
                <w:rFonts w:hint="eastAsia" w:ascii="宋体" w:hAnsi="宋体" w:eastAsia="宋体" w:cs="宋体"/>
                <w:color w:val="auto"/>
                <w:sz w:val="24"/>
                <w:szCs w:val="24"/>
                <w:highlight w:val="none"/>
                <w:lang w:val="en-US" w:eastAsia="zh-CN" w:bidi="ar"/>
              </w:rPr>
              <w:t xml:space="preserve">的得3分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方案基本采购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未提供方案或方案不满足采购</w:t>
            </w:r>
            <w:r>
              <w:rPr>
                <w:rFonts w:hint="eastAsia" w:ascii="宋体" w:hAnsi="宋体" w:eastAsia="宋体" w:cs="宋体"/>
                <w:color w:val="auto"/>
                <w:sz w:val="24"/>
                <w:szCs w:val="24"/>
                <w:highlight w:val="none"/>
                <w:lang w:bidi="ar"/>
              </w:rPr>
              <w:t xml:space="preserve">需求不得分。</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应急预案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；故障响应时间、服务方案、系统重大故障的应急预案以及措施安排。</w:t>
            </w:r>
            <w:r>
              <w:rPr>
                <w:rFonts w:hint="eastAsia" w:ascii="宋体" w:hAnsi="宋体" w:eastAsia="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优于</w:t>
            </w:r>
            <w:r>
              <w:rPr>
                <w:rFonts w:hint="eastAsia" w:ascii="宋体" w:hAnsi="宋体" w:eastAsia="宋体" w:cs="宋体"/>
                <w:color w:val="auto"/>
                <w:sz w:val="24"/>
                <w:szCs w:val="24"/>
                <w:highlight w:val="none"/>
                <w:lang w:val="en-US" w:eastAsia="zh-CN" w:bidi="ar"/>
              </w:rPr>
              <w:t xml:space="preserve">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方案满足采购</w:t>
            </w:r>
            <w:r>
              <w:rPr>
                <w:rFonts w:hint="eastAsia" w:ascii="宋体" w:hAnsi="宋体" w:eastAsia="宋体" w:cs="宋体"/>
                <w:color w:val="auto"/>
                <w:sz w:val="24"/>
                <w:szCs w:val="24"/>
                <w:highlight w:val="none"/>
                <w:lang w:bidi="ar"/>
              </w:rPr>
              <w:t xml:space="preserve">需求</w:t>
            </w:r>
            <w:r>
              <w:rPr>
                <w:rFonts w:hint="eastAsia" w:ascii="宋体" w:hAnsi="宋体" w:eastAsia="宋体" w:cs="宋体"/>
                <w:color w:val="auto"/>
                <w:sz w:val="24"/>
                <w:szCs w:val="24"/>
                <w:highlight w:val="none"/>
                <w:lang w:val="en-US" w:eastAsia="zh-CN" w:bidi="ar"/>
              </w:rPr>
              <w:t xml:space="preserve">的得3分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方案基本采购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未提供方案或方案不满足采购</w:t>
            </w:r>
            <w:r>
              <w:rPr>
                <w:rFonts w:hint="eastAsia" w:ascii="宋体" w:hAnsi="宋体" w:eastAsia="宋体" w:cs="宋体"/>
                <w:color w:val="auto"/>
                <w:sz w:val="24"/>
                <w:szCs w:val="24"/>
                <w:highlight w:val="none"/>
                <w:lang w:bidi="ar"/>
              </w:rPr>
              <w:t xml:space="preserve">需求不得分。</w:t>
            </w:r>
            <w:r/>
          </w:p>
        </w:tc>
      </w:tr>
      <w:tr>
        <w:trPr>
          <w:trHeight w:val="811"/>
        </w:trPr>
        <w:tc>
          <w:tcPr>
            <w:shd w:val="clear" w:color="auto" w:fill="auto"/>
            <w:tcMar>
              <w:left w:w="15" w:type="dxa"/>
              <w:top w:w="15" w:type="dxa"/>
              <w:right w:w="15" w:type="dxa"/>
            </w:tcMar>
            <w:tcW w:w="1454" w:type="dxa"/>
            <w:vAlign w:val="center"/>
            <w:textDirection w:val="lrTb"/>
            <w:noWrap w:val="false"/>
          </w:tcPr>
          <w:p>
            <w:pPr>
              <w:jc w:val="center"/>
              <w:spacing w:line="36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售后服务及培训方案</w:t>
            </w:r>
            <w:r/>
          </w:p>
          <w:p>
            <w:pPr>
              <w:jc w:val="center"/>
              <w:spacing w:line="36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7184"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1、提供完整的技术培训方案（</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分），包括培训内容、培训方式、培训流程、培训时间等内容。方案</w:t>
            </w:r>
            <w:r>
              <w:rPr>
                <w:rFonts w:hint="eastAsia" w:ascii="宋体" w:hAnsi="宋体" w:eastAsia="宋体" w:cs="宋体"/>
                <w:color w:val="auto"/>
                <w:sz w:val="24"/>
                <w:szCs w:val="24"/>
                <w:highlight w:val="none"/>
                <w:lang w:val="en-US" w:eastAsia="zh-CN" w:bidi="ar"/>
              </w:rPr>
              <w:t xml:space="preserve">优于项目需求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方案基本满足项目需求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未提供方案或方案不满足项目需求</w:t>
            </w:r>
            <w:r>
              <w:rPr>
                <w:rFonts w:hint="eastAsia" w:ascii="宋体" w:hAnsi="宋体" w:eastAsia="宋体" w:cs="宋体"/>
                <w:color w:val="auto"/>
                <w:sz w:val="24"/>
                <w:szCs w:val="24"/>
                <w:highlight w:val="none"/>
                <w:lang w:bidi="ar"/>
              </w:rPr>
              <w:t xml:space="preserve">不得分。</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2、提供完整的售后支持及服务方案（</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分），包括服务流程、服务内容、响应时间、保障措施等内容。方案</w:t>
            </w:r>
            <w:r>
              <w:rPr>
                <w:rFonts w:hint="eastAsia" w:ascii="宋体" w:hAnsi="宋体" w:eastAsia="宋体" w:cs="宋体"/>
                <w:color w:val="auto"/>
                <w:sz w:val="24"/>
                <w:szCs w:val="24"/>
                <w:highlight w:val="none"/>
                <w:lang w:val="en-US" w:eastAsia="zh-CN" w:bidi="ar"/>
              </w:rPr>
              <w:t xml:space="preserve">优于项目需求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方案基本满足项目需求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未提供方案或方案不满足项目需求</w:t>
            </w:r>
            <w:r>
              <w:rPr>
                <w:rFonts w:hint="eastAsia" w:ascii="宋体" w:hAnsi="宋体" w:eastAsia="宋体" w:cs="宋体"/>
                <w:color w:val="auto"/>
                <w:sz w:val="24"/>
                <w:szCs w:val="24"/>
                <w:highlight w:val="none"/>
                <w:lang w:bidi="ar"/>
              </w:rPr>
              <w:t xml:space="preserve">不得分。</w:t>
            </w:r>
            <w:r/>
          </w:p>
        </w:tc>
      </w:tr>
    </w:tbl>
    <w:p>
      <w:pPr>
        <w:pStyle w:val="726"/>
        <w:jc w:val="both"/>
        <w:keepNext/>
        <w:spacing w:beforeAutospacing="0" w:afterAutospacing="0"/>
        <w:rPr>
          <w:rFonts w:hint="eastAsia" w:ascii="宋体" w:hAnsi="宋体" w:eastAsia="宋体" w:cs="宋体"/>
          <w:color w:val="auto"/>
          <w:sz w:val="44"/>
          <w:szCs w:val="44"/>
          <w:highlight w:val="none"/>
        </w:rPr>
        <w:sectPr>
          <w:footerReference w:type="default" r:id="rId11"/>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color w:val="auto"/>
          <w:sz w:val="44"/>
          <w:szCs w:val="44"/>
          <w:highlight w:val="none"/>
        </w:rPr>
      </w:r>
      <w:r/>
    </w:p>
    <w:p>
      <w:pPr>
        <w:pStyle w:val="726"/>
        <w:jc w:val="both"/>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26"/>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第六章  投标文件格式</w:t>
      </w:r>
      <w:r/>
    </w:p>
    <w:p>
      <w:pPr>
        <w:pStyle w:val="726"/>
        <w:jc w:val="center"/>
        <w:spacing w:beforeAutospacing="0" w:afterAutospacing="0"/>
        <w:rPr>
          <w:rFonts w:hint="eastAsia" w:ascii="宋体" w:hAnsi="宋体" w:eastAsia="宋体" w:cs="宋体"/>
          <w:b/>
          <w:color w:val="auto"/>
          <w:sz w:val="72"/>
          <w:szCs w:val="72"/>
          <w:highlight w:val="none"/>
        </w:rPr>
      </w:pPr>
      <w:r/>
      <w:bookmarkStart w:id="170" w:name="_Hlt26955039"/>
      <w:r/>
      <w:bookmarkEnd w:id="170"/>
      <w:r/>
      <w:bookmarkStart w:id="171" w:name="_Hlt26671244"/>
      <w:r/>
      <w:bookmarkEnd w:id="171"/>
      <w:r/>
      <w:bookmarkStart w:id="172" w:name="_Toc26554094"/>
      <w:r/>
      <w:bookmarkEnd w:id="172"/>
      <w:r/>
      <w:bookmarkStart w:id="173" w:name="_Toc120614282"/>
      <w:r/>
      <w:bookmarkStart w:id="174" w:name="_Toc49090576"/>
      <w:r/>
      <w:r/>
    </w:p>
    <w:p>
      <w:pPr>
        <w:pStyle w:val="7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2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2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2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2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2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26"/>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jc w:val="center"/>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目 录</w:t>
      </w:r>
      <w:bookmarkEnd w:id="32"/>
      <w:r/>
      <w:bookmarkEnd w:id="45"/>
      <w:r/>
      <w:bookmarkEnd w:id="87"/>
      <w:r/>
      <w:bookmarkEnd w:id="88"/>
      <w:r/>
      <w:bookmarkEnd w:id="89"/>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65"/>
      <w:r/>
      <w:bookmarkEnd w:id="166"/>
      <w:r/>
      <w:bookmarkEnd w:id="173"/>
      <w:r/>
      <w:bookmarkEnd w:id="174"/>
      <w:r/>
      <w:r/>
    </w:p>
    <w:p>
      <w:pPr>
        <w:pStyle w:val="72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、法人或者其他组织的营业执照等证明文件，自然人的身份证明</w:t>
      </w:r>
      <w:r/>
    </w:p>
    <w:p>
      <w:pPr>
        <w:pStyle w:val="72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、上一年度的财务报表上一年度的财务状况报表（上一年度指2025年度，财务状况报表至少提供资产负债表、利润表、现金流量表，投标人成立不满一年无需提供）；</w:t>
      </w:r>
      <w:r/>
    </w:p>
    <w:p>
      <w:pPr>
        <w:pStyle w:val="72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、具备履行合同所必需的设备和专业技术能力的书面声明</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、参加政府采购活动前</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年内在经营活动中没有重大违法记录的书面声明</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pStyle w:val="726"/>
        <w:ind w:firstLine="513"/>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法人授权书</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投标函</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、投标分项报价表</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十、技术要求响应及偏离表</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、商务要求响应及偏离表</w:t>
      </w:r>
      <w:r/>
    </w:p>
    <w:p>
      <w:pPr>
        <w:pStyle w:val="726"/>
        <w:ind w:firstLine="513"/>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十二、开标一览表</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十三、</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小企业声明函</w:t>
      </w:r>
      <w:r/>
    </w:p>
    <w:p>
      <w:pPr>
        <w:pStyle w:val="726"/>
        <w:ind w:firstLine="513"/>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十四、残疾人福利性单位声明函（如有）</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、关于符合本国产品标准的声明函</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十六、项目实施方案</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十七、售后服务及培训方案</w:t>
      </w:r>
      <w:r/>
    </w:p>
    <w:p>
      <w:pPr>
        <w:pStyle w:val="726"/>
        <w:ind w:firstLine="513"/>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十八、政府采购事前承诺书</w:t>
      </w:r>
      <w:r/>
    </w:p>
    <w:p>
      <w:pPr>
        <w:pStyle w:val="726"/>
        <w:ind w:firstLine="513"/>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十九、</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约定的其他材料</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32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26"/>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一、法人或者其他组织的营业执照等证明文件，自然人的身份证明</w:t>
      </w:r>
      <w:r/>
    </w:p>
    <w:p>
      <w:pPr>
        <w:pStyle w:val="726"/>
        <w:numPr>
          <w:ilvl w:val="0"/>
          <w:numId w:val="0"/>
        </w:numPr>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26"/>
        <w:numPr>
          <w:ilvl w:val="0"/>
          <w:numId w:val="0"/>
        </w:numPr>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u w:val="none"/>
          <w:lang w:val="en-US" w:eastAsia="zh-CN" w:bidi="ar-SA"/>
        </w:rPr>
        <w:t xml:space="preserve">二、</w:t>
      </w:r>
      <w:r>
        <w:rPr>
          <w:rFonts w:hint="eastAsia" w:ascii="宋体" w:hAnsi="宋体" w:eastAsia="宋体" w:cs="宋体"/>
          <w:b w:val="0"/>
          <w:bCs w:val="0"/>
          <w:i w:val="0"/>
          <w:iCs w:val="0"/>
          <w:color w:val="auto"/>
          <w:sz w:val="24"/>
          <w:szCs w:val="24"/>
          <w:highlight w:val="none"/>
          <w:u w:val="none"/>
        </w:rPr>
        <w:t xml:space="preserve">上一年度的财务状况报表</w:t>
      </w:r>
      <w:r/>
    </w:p>
    <w:p>
      <w:pPr>
        <w:pStyle w:val="726"/>
        <w:ind w:firstLine="22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rPr>
        <w:t xml:space="preserve">上一年度指2025年度，财务状况报表至少提供资产负债表、利润表、现金流量表，投标人成立不满一年无需提供</w:t>
      </w:r>
      <w:r>
        <w:rPr>
          <w:rFonts w:hint="eastAsia" w:ascii="宋体" w:hAnsi="宋体" w:eastAsia="宋体" w:cs="宋体"/>
          <w:b w:val="0"/>
          <w:bCs w:val="0"/>
          <w:i w:val="0"/>
          <w:iCs w:val="0"/>
          <w:color w:val="auto"/>
          <w:sz w:val="24"/>
          <w:szCs w:val="24"/>
          <w:highlight w:val="none"/>
          <w:u w:val="none"/>
          <w:lang w:eastAsia="zh-CN"/>
        </w:rPr>
        <w:t xml:space="preserve">。</w:t>
      </w:r>
      <w:r/>
    </w:p>
    <w:p>
      <w:pPr>
        <w:pStyle w:val="726"/>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26"/>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三、依法缴纳税收和社会保障资金的相关材料</w:t>
      </w:r>
      <w:r/>
    </w:p>
    <w:p>
      <w:pPr>
        <w:pStyle w:val="726"/>
        <w:ind w:firstLine="22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提供提交投标文件截止时间前一年内至少一个月依法缴纳税收及缴纳社会保障资金的证明材料。投标人依法享受缓缴、免缴税收、社会保障资金的提供证明材料。</w:t>
      </w:r>
      <w:r/>
    </w:p>
    <w:p>
      <w:pPr>
        <w:pStyle w:val="726"/>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26"/>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四、具备履行合同所必需的设备和专业技术能力的书面声明</w:t>
      </w:r>
      <w:r/>
    </w:p>
    <w:p>
      <w:pPr>
        <w:pStyle w:val="726"/>
        <w:ind w:firstLine="22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我单位郑重声明：我单位具备履行本项采购合同所必需的设备和专业技术能力，为履行本项采购合同我公司具备如下主要设备和主要专业技术能力：</w:t>
      </w:r>
      <w:r/>
    </w:p>
    <w:p>
      <w:pPr>
        <w:pStyle w:val="726"/>
        <w:ind w:firstLine="22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主要设备有：</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none"/>
        </w:rPr>
        <w:t xml:space="preserve">。</w:t>
      </w:r>
      <w:r/>
    </w:p>
    <w:p>
      <w:pPr>
        <w:pStyle w:val="726"/>
        <w:ind w:firstLine="22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主要专业技术能力有：</w:t>
      </w:r>
      <w:r>
        <w:rPr>
          <w:rFonts w:hint="eastAsia" w:ascii="宋体" w:hAnsi="宋体" w:eastAsia="宋体" w:cs="宋体"/>
          <w:b w:val="0"/>
          <w:bCs w:val="0"/>
          <w:i w:val="0"/>
          <w:i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none"/>
        </w:rPr>
        <w:t xml:space="preserve">。</w:t>
      </w:r>
      <w:r/>
    </w:p>
    <w:p>
      <w:pPr>
        <w:pStyle w:val="726"/>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26"/>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五、参加政府采购活动前3年内在经营活动中没有重大违法记录的书面声明</w:t>
      </w:r>
      <w:r/>
    </w:p>
    <w:p>
      <w:pPr>
        <w:pStyle w:val="726"/>
        <w:ind w:firstLine="400"/>
        <w:jc w:val="center"/>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声明</w:t>
      </w:r>
      <w:r/>
    </w:p>
    <w:p>
      <w:pPr>
        <w:pStyle w:val="726"/>
        <w:ind w:firstLine="22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 我单位郑重声明：参加本次政府采购活动前3年内，我单位在经营活动中没有因违法经营受到刑事处罚或者责令停产停业、吊销许可证或者执照、较大数额罚款等行政处罚。</w:t>
      </w:r>
      <w:r/>
    </w:p>
    <w:p>
      <w:pPr>
        <w:pStyle w:val="726"/>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p>
      <w:pPr>
        <w:pStyle w:val="726"/>
        <w:ind w:firstLine="28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六、特定资格要求的证明文件</w:t>
      </w:r>
      <w:r/>
    </w:p>
    <w:p>
      <w:pPr>
        <w:pStyle w:val="726"/>
        <w:ind w:firstLine="220"/>
        <w:jc w:val="both"/>
        <w:keepLines w:val="0"/>
        <w:keepNext w:val="0"/>
        <w:pageBreakBefore w:val="0"/>
        <w:spacing w:beforeAutospacing="0" w:afterAutospacing="0"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如果本项目申请人的特定资格要求中要求提供的，必须提供。</w:t>
      </w:r>
      <w:r/>
    </w:p>
    <w:p>
      <w:pPr>
        <w:pStyle w:val="726"/>
        <w:ind w:firstLine="320"/>
        <w:jc w:val="center"/>
        <w:spacing w:beforeAutospacing="0" w:afterAutospacing="0"/>
        <w:rPr>
          <w:rFonts w:hint="eastAsia" w:ascii="宋体" w:hAnsi="宋体" w:eastAsia="宋体" w:cs="宋体"/>
          <w:color w:val="auto"/>
          <w:sz w:val="32"/>
          <w:szCs w:val="32"/>
          <w:highlight w:val="none"/>
          <w:u w:val="single"/>
        </w:rPr>
      </w:pPr>
      <w:r/>
      <w:bookmarkStart w:id="175" w:name="_Toc120614284"/>
      <w:r/>
      <w:r/>
    </w:p>
    <w:p>
      <w:pPr>
        <w:pStyle w:val="726"/>
        <w:ind w:firstLine="320"/>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26"/>
        <w:ind w:firstLine="320"/>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26"/>
        <w:ind w:firstLine="320"/>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26"/>
        <w:ind w:firstLine="320"/>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26"/>
        <w:ind w:firstLine="320"/>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26"/>
        <w:numPr>
          <w:ilvl w:val="0"/>
          <w:numId w:val="3"/>
        </w:numPr>
        <w:ind w:left="0" w:firstLine="32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法人授权书</w:t>
      </w:r>
      <w:r/>
    </w:p>
    <w:p>
      <w:pPr>
        <w:pStyle w:val="726"/>
        <w:numPr>
          <w:ilvl w:val="0"/>
          <w:numId w:val="0"/>
        </w:numPr>
        <w:jc w:val="both"/>
        <w:spacing w:beforeAutospacing="0" w:afterAutospacing="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pStyle w:val="726"/>
        <w:ind w:firstLine="320"/>
        <w:jc w:val="both"/>
        <w:spacing w:beforeAutospacing="0" w:afterAutospacing="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pStyle w:val="726"/>
        <w:ind w:firstLine="24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项目采购活动的合法代理人，以本单位名义全权处理一切与该项目采购有关的事务。</w:t>
      </w:r>
      <w:r/>
    </w:p>
    <w:p>
      <w:pPr>
        <w:pStyle w:val="726"/>
        <w:ind w:firstLine="24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26"/>
        <w:ind w:firstLine="24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726"/>
        <w:ind w:firstLine="24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726"/>
        <w:ind w:firstLine="24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b/>
          <w:bCs/>
          <w:color w:val="auto"/>
          <w:sz w:val="32"/>
          <w:szCs w:val="32"/>
          <w:highlight w:val="none"/>
          <w:u w:val="single"/>
        </w:rPr>
        <w:t xml:space="preserve">（</w:t>
      </w:r>
      <w:r>
        <w:rPr>
          <w:rFonts w:hint="eastAsia" w:ascii="宋体" w:hAnsi="宋体" w:eastAsia="宋体" w:cs="宋体"/>
          <w:b/>
          <w:bCs/>
          <w:color w:val="auto"/>
          <w:sz w:val="32"/>
          <w:szCs w:val="32"/>
          <w:highlight w:val="none"/>
          <w:u w:val="single"/>
          <w:lang w:eastAsia="zh-CN"/>
        </w:rPr>
        <w:t xml:space="preserve">加盖</w:t>
      </w:r>
      <w:r>
        <w:rPr>
          <w:rFonts w:hint="eastAsia" w:ascii="宋体" w:hAnsi="宋体" w:eastAsia="宋体" w:cs="宋体"/>
          <w:b/>
          <w:bCs/>
          <w:color w:val="auto"/>
          <w:sz w:val="32"/>
          <w:szCs w:val="32"/>
          <w:highlight w:val="none"/>
          <w:u w:val="single"/>
          <w:lang w:val="en-US" w:eastAsia="zh-CN"/>
        </w:rPr>
        <w:t xml:space="preserve">CA电子</w:t>
      </w:r>
      <w:r>
        <w:rPr>
          <w:rFonts w:hint="eastAsia" w:ascii="宋体" w:hAnsi="宋体" w:eastAsia="宋体" w:cs="宋体"/>
          <w:b/>
          <w:bCs/>
          <w:color w:val="auto"/>
          <w:sz w:val="32"/>
          <w:szCs w:val="32"/>
          <w:highlight w:val="none"/>
          <w:u w:val="single"/>
          <w:lang w:eastAsia="zh-CN"/>
        </w:rPr>
        <w:t xml:space="preserve">公章</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color w:val="auto"/>
          <w:highlight w:val="none"/>
          <w:u w:val="single"/>
        </w:rPr>
        <w:t xml:space="preserve"> </w:t>
      </w:r>
      <w:r/>
    </w:p>
    <w:p>
      <w:pPr>
        <w:pStyle w:val="726"/>
        <w:ind w:firstLine="240"/>
        <w:jc w:val="both"/>
        <w:spacing w:beforeAutospacing="0" w:afterAutospacing="0" w:line="360" w:lineRule="auto"/>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26"/>
        <w:ind w:firstLine="240"/>
        <w:jc w:val="both"/>
        <w:spacing w:beforeAutospacing="0" w:afterAutospacing="0" w:line="360" w:lineRule="auto"/>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76" w:name="_格式3__银行出具的资信证明"/>
      <w:r/>
      <w:bookmarkStart w:id="177" w:name="_Hlt26955070"/>
      <w:r/>
      <w:bookmarkStart w:id="178" w:name="_Hlt26671380"/>
      <w:r>
        <w:rPr>
          <w:rFonts w:hint="eastAsia" w:ascii="宋体" w:hAnsi="宋体" w:eastAsia="宋体" w:cs="宋体"/>
          <w:color w:val="auto"/>
          <w:highlight w:val="none"/>
          <w:u w:val="single"/>
        </w:rPr>
        <w:t xml:space="preserve">                   </w:t>
      </w:r>
      <w:r/>
    </w:p>
    <w:p>
      <w:pPr>
        <w:pStyle w:val="726"/>
        <w:ind w:firstLine="24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numPr>
          <w:ilvl w:val="0"/>
          <w:numId w:val="3"/>
        </w:numPr>
        <w:ind w:left="0" w:firstLine="32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投标函</w:t>
      </w:r>
      <w:r/>
    </w:p>
    <w:p>
      <w:pPr>
        <w:pStyle w:val="726"/>
        <w:numPr>
          <w:ilvl w:val="0"/>
          <w:numId w:val="0"/>
        </w:numPr>
        <w:jc w:val="both"/>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numPr>
          <w:ilvl w:val="0"/>
          <w:numId w:val="0"/>
        </w:numPr>
        <w:jc w:val="both"/>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numPr>
          <w:ilvl w:val="0"/>
          <w:numId w:val="0"/>
        </w:numPr>
        <w:jc w:val="both"/>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致：盐城市第三人民医院</w:t>
      </w:r>
      <w:r/>
    </w:p>
    <w:p>
      <w:pPr>
        <w:pStyle w:val="726"/>
        <w:ind w:firstLine="753"/>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lang w:val="en-US" w:eastAsia="zh-CN"/>
        </w:rPr>
        <w:t xml:space="preserve">（项目编号）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项目名称</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项目招标文件，正式授权下述签字人_________________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726"/>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26"/>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26"/>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26"/>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26"/>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26"/>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26"/>
        <w:ind w:firstLine="24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并保证在招标文件规定的时间完成项目，交付买方验收、使用。</w:t>
      </w:r>
      <w:r/>
    </w:p>
    <w:p>
      <w:pPr>
        <w:pStyle w:val="726"/>
        <w:ind w:firstLine="240"/>
        <w:keepLines w:val="0"/>
        <w:keepNext w:val="0"/>
        <w:pageBreakBefore w:val="0"/>
        <w:spacing w:beforeAutospacing="0" w:afterAutospacing="0" w:line="360" w:lineRule="auto"/>
        <w:widowControl w:val="off"/>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7.与本投标有关的正式通讯地址为：</w:t>
      </w:r>
      <w:r>
        <w:rPr>
          <w:rFonts w:hint="eastAsia" w:ascii="宋体" w:hAnsi="宋体" w:eastAsia="宋体" w:cs="宋体"/>
          <w:color w:val="auto"/>
          <w:highlight w:val="none"/>
          <w:u w:val="single"/>
          <w:lang w:val="en-US" w:eastAsia="zh-CN"/>
        </w:rPr>
        <w:t xml:space="preserve">                     </w:t>
      </w:r>
      <w:r/>
    </w:p>
    <w:p>
      <w:pPr>
        <w:pStyle w:val="726"/>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26"/>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26"/>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座     机    电   话：</w:t>
      </w:r>
      <w:r/>
    </w:p>
    <w:p>
      <w:pPr>
        <w:pStyle w:val="726"/>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26"/>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726"/>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 </w:t>
      </w:r>
      <w:r/>
    </w:p>
    <w:p>
      <w:pPr>
        <w:pStyle w:val="726"/>
        <w:ind w:left="420" w:firstLine="24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726"/>
        <w:ind w:firstLine="240"/>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321"/>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九、</w:t>
      </w:r>
      <w:r>
        <w:rPr>
          <w:rFonts w:hint="eastAsia" w:ascii="宋体" w:hAnsi="宋体" w:eastAsia="宋体" w:cs="宋体"/>
          <w:b/>
          <w:color w:val="auto"/>
          <w:sz w:val="32"/>
          <w:szCs w:val="32"/>
          <w:highlight w:val="none"/>
        </w:rPr>
        <w:t xml:space="preserve">投标分项报价表</w:t>
      </w:r>
      <w:r/>
    </w:p>
    <w:p>
      <w:pPr>
        <w:pStyle w:val="726"/>
        <w:ind w:firstLine="321"/>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699"/>
        <w:tblW w:w="8902" w:type="dxa"/>
        <w:tblCellSpacing w:w="0" w:type="dxa"/>
        <w:tblInd w:w="-272" w:type="dxa"/>
        <w:tblLayout w:type="fixed"/>
        <w:tblCellMar>
          <w:left w:w="108" w:type="dxa"/>
          <w:top w:w="0" w:type="dxa"/>
          <w:right w:w="108" w:type="dxa"/>
          <w:bottom w:w="0" w:type="dxa"/>
        </w:tblCellMar>
        <w:tblLook w:val="04A0" w:firstRow="1" w:lastRow="0" w:firstColumn="1" w:lastColumn="0" w:noHBand="0" w:noVBand="1"/>
      </w:tblPr>
      <w:tblGrid>
        <w:gridCol w:w="625"/>
        <w:gridCol w:w="1199"/>
        <w:gridCol w:w="905"/>
        <w:gridCol w:w="1298"/>
        <w:gridCol w:w="746"/>
        <w:gridCol w:w="1080"/>
        <w:gridCol w:w="796"/>
        <w:gridCol w:w="999"/>
        <w:gridCol w:w="1254"/>
      </w:tblGrid>
      <w:tr>
        <w:trPr>
          <w:tblCellSpacing w:w="0" w:type="dxa"/>
          <w:trHeight w:val="544"/>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pStyle w:val="7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7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pStyle w:val="7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7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724"/>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80"/>
        </w:trPr>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pStyle w:val="72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99"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2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8"/>
            <w:shd w:val="clear" w:color="auto" w:fill="auto"/>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26"/>
        <w:ind w:firstLine="238"/>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w:t>
      </w:r>
      <w:r>
        <w:rPr>
          <w:rFonts w:hint="eastAsia" w:ascii="宋体" w:hAnsi="宋体" w:eastAsia="宋体" w:cs="宋体"/>
          <w:color w:val="auto"/>
          <w:highlight w:val="none"/>
          <w:lang w:val="en-US" w:eastAsia="zh-CN"/>
        </w:rPr>
        <w:t xml:space="preserve">固定单价</w:t>
      </w:r>
      <w:r>
        <w:rPr>
          <w:rFonts w:hint="eastAsia" w:ascii="宋体" w:hAnsi="宋体" w:eastAsia="宋体" w:cs="宋体"/>
          <w:color w:val="auto"/>
          <w:highlight w:val="none"/>
        </w:rPr>
        <w:t xml:space="preserve">方式，</w:t>
      </w:r>
      <w:r>
        <w:rPr>
          <w:rFonts w:hint="eastAsia" w:ascii="宋体" w:hAnsi="宋体" w:eastAsia="宋体" w:cs="宋体"/>
          <w:color w:val="auto"/>
          <w:highlight w:val="none"/>
          <w:lang w:val="en-US" w:eastAsia="zh-CN"/>
        </w:rPr>
        <w:t xml:space="preserve">投标价</w:t>
      </w:r>
      <w:r>
        <w:rPr>
          <w:rFonts w:hint="eastAsia" w:ascii="宋体" w:hAnsi="宋体" w:eastAsia="宋体" w:cs="宋体"/>
          <w:color w:val="auto"/>
          <w:highlight w:val="none"/>
        </w:rPr>
        <w:t xml:space="preserve">包括但不限于商品的价格、包装费、装卸费、运输费、人工费、增值税金、管理费、税金等乙方为完成本合同约定内容</w:t>
      </w:r>
      <w:r>
        <w:rPr>
          <w:rFonts w:hint="eastAsia" w:ascii="宋体" w:hAnsi="宋体" w:eastAsia="宋体" w:cs="宋体"/>
          <w:color w:val="auto"/>
          <w:highlight w:val="none"/>
          <w:lang w:eastAsia="zh-CN"/>
        </w:rPr>
        <w:t xml:space="preserve">所需</w:t>
      </w:r>
      <w:r>
        <w:rPr>
          <w:rFonts w:hint="eastAsia" w:ascii="宋体" w:hAnsi="宋体" w:eastAsia="宋体" w:cs="宋体"/>
          <w:color w:val="auto"/>
          <w:highlight w:val="none"/>
        </w:rPr>
        <w:t xml:space="preserve">的所有费用。</w:t>
      </w:r>
      <w:r>
        <w:rPr>
          <w:rFonts w:hint="eastAsia" w:ascii="宋体" w:hAnsi="宋体" w:eastAsia="宋体" w:cs="宋体"/>
          <w:color w:val="auto"/>
          <w:highlight w:val="none"/>
          <w:lang w:val="en-US" w:eastAsia="zh-CN"/>
        </w:rPr>
        <w:t xml:space="preserve">中标单价</w:t>
      </w:r>
      <w:r>
        <w:rPr>
          <w:rFonts w:hint="eastAsia" w:ascii="宋体" w:hAnsi="宋体" w:eastAsia="宋体" w:cs="宋体"/>
          <w:color w:val="auto"/>
          <w:highlight w:val="none"/>
        </w:rPr>
        <w:t xml:space="preserve">不因任何因素予以调整。</w:t>
      </w:r>
      <w:r/>
    </w:p>
    <w:p>
      <w:pPr>
        <w:pStyle w:val="726"/>
        <w:numPr>
          <w:ilvl w:val="0"/>
          <w:numId w:val="4"/>
        </w:numPr>
        <w:ind w:firstLine="238"/>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rPr>
        <w:t xml:space="preserve">投标分项报价表</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pStyle w:val="726"/>
        <w:ind w:firstLine="238"/>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26"/>
        <w:numPr>
          <w:ilvl w:val="0"/>
          <w:numId w:val="0"/>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ind w:right="180" w:firstLine="480"/>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企业名称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highlight w:val="none"/>
        </w:rPr>
        <w:t xml:space="preserve">：</w:t>
      </w:r>
      <w:r/>
    </w:p>
    <w:p>
      <w:pPr>
        <w:pStyle w:val="726"/>
        <w:ind w:firstLine="480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numPr>
          <w:ilvl w:val="0"/>
          <w:numId w:val="0"/>
        </w:numPr>
        <w:ind w:left="0" w:firstLine="3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lang w:val="en-US" w:eastAsia="zh-CN" w:bidi="ar-SA"/>
        </w:rPr>
        <w:t xml:space="preserve">十、</w:t>
      </w:r>
      <w:r>
        <w:rPr>
          <w:rFonts w:hint="eastAsia" w:ascii="宋体" w:hAnsi="宋体" w:eastAsia="宋体" w:cs="宋体"/>
          <w:b/>
          <w:color w:val="auto"/>
          <w:sz w:val="32"/>
          <w:szCs w:val="32"/>
          <w:highlight w:val="none"/>
        </w:rPr>
        <w:t xml:space="preserve">技术要求响应及偏离表</w:t>
      </w:r>
      <w:r/>
    </w:p>
    <w:p>
      <w:pPr>
        <w:pStyle w:val="726"/>
        <w:numPr>
          <w:ilvl w:val="0"/>
          <w:numId w:val="0"/>
        </w:numPr>
        <w:ind w:left="321"/>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699"/>
        <w:tblW w:w="89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8"/>
        <w:gridCol w:w="3057"/>
        <w:gridCol w:w="2561"/>
        <w:gridCol w:w="1286"/>
        <w:gridCol w:w="1322"/>
      </w:tblGrid>
      <w:tr>
        <w:trPr>
          <w:jc w:val="center"/>
          <w:trHeight w:val="655"/>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超出、符合或负偏离</w:t>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证明材料</w:t>
            </w:r>
            <w:r/>
          </w:p>
        </w:tc>
      </w:tr>
      <w:tr>
        <w:trPr>
          <w:jc w:val="center"/>
          <w:trHeight w:val="51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26"/>
              <w:ind w:firstLine="240"/>
              <w:jc w:val="both"/>
              <w:spacing w:beforeAutospacing="0" w:afterAutospacing="0"/>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i w:val="0"/>
                <w:iCs w:val="0"/>
                <w:color w:val="auto"/>
                <w:sz w:val="22"/>
                <w:szCs w:val="22"/>
                <w:u w:val="none"/>
                <w:lang w:val="en-US" w:eastAsia="zh-CN" w:bidi="ar"/>
              </w:rPr>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26"/>
              <w:ind w:firstLine="240"/>
              <w:jc w:val="center"/>
              <w:spacing w:beforeAutospacing="0" w:afterAutospacing="0"/>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26"/>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top"/>
            <w:textDirection w:val="lrTb"/>
            <w:noWrap w:val="false"/>
          </w:tcPr>
          <w:p>
            <w:pPr>
              <w:spacing w:after="0" w:line="240" w:lineRule="auto"/>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top"/>
            <w:textDirection w:val="lrTb"/>
            <w:noWrap w:val="false"/>
          </w:tcPr>
          <w:p>
            <w:pPr>
              <w:spacing w:after="0"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26"/>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26"/>
              <w:ind w:firstLine="240"/>
              <w:jc w:val="center"/>
              <w:spacing w:beforeAutospacing="0" w:afterAutospacing="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26"/>
              <w:ind w:firstLine="240"/>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26"/>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26"/>
              <w:ind w:firstLine="240"/>
              <w:jc w:val="center"/>
              <w:spacing w:beforeAutospacing="0" w:afterAutospacing="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26"/>
              <w:jc w:val="center"/>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26"/>
              <w:ind w:firstLine="240"/>
              <w:jc w:val="center"/>
              <w:spacing w:beforeAutospacing="0" w:afterAutospacing="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26"/>
              <w:ind w:firstLine="240"/>
              <w:jc w:val="both"/>
              <w:spacing w:beforeAutospacing="0" w:afterAutospacing="0"/>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pStyle w:val="726"/>
              <w:ind w:firstLine="240"/>
              <w:jc w:val="center"/>
              <w:spacing w:beforeAutospacing="0" w:afterAutospacing="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default" w:ascii="宋体" w:hAnsi="宋体" w:eastAsia="宋体" w:cs="宋体"/>
                <w:b w:val="0"/>
                <w:bCs w:val="0"/>
                <w:i w:val="0"/>
                <w:iCs w:val="0"/>
                <w:color w:val="auto"/>
                <w:sz w:val="24"/>
                <w:szCs w:val="24"/>
                <w:u w:val="none"/>
                <w:lang w:val="en-US" w:eastAsia="zh-CN"/>
              </w:rPr>
            </w:pPr>
            <w:r>
              <w:rPr>
                <w:rFonts w:hint="default" w:ascii="宋体" w:hAnsi="宋体" w:eastAsia="宋体" w:cs="宋体"/>
                <w:b w:val="0"/>
                <w:bCs w:val="0"/>
                <w:i w:val="0"/>
                <w:iCs w:val="0"/>
                <w:color w:val="auto"/>
                <w:sz w:val="24"/>
                <w:szCs w:val="24"/>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left"/>
              <w:rPr>
                <w:rFonts w:hint="eastAsia" w:ascii="宋体" w:hAnsi="宋体" w:eastAsia="宋体" w:cs="宋体"/>
                <w:b w:val="0"/>
                <w:bCs w:val="0"/>
                <w:i w:val="0"/>
                <w:iCs w:val="0"/>
                <w:color w:val="auto"/>
                <w:sz w:val="21"/>
                <w:szCs w:val="24"/>
                <w:u w:val="none"/>
                <w:lang w:val="en-US" w:eastAsia="zh-CN" w:bidi="ar-SA"/>
              </w:rPr>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4"/>
                <w:u w:val="none"/>
                <w:lang w:val="en-US" w:eastAsia="zh-CN" w:bidi="ar-SA"/>
              </w:rPr>
              <w:suppressLineNumbers w:val="0"/>
            </w:pPr>
            <w:r>
              <w:rPr>
                <w:rFonts w:hint="default"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4"/>
                <w:u w:val="none"/>
                <w:lang w:val="en-US" w:eastAsia="zh-CN" w:bidi="ar-SA"/>
              </w:rPr>
              <w:suppressLineNumbers w:val="0"/>
            </w:pPr>
            <w:r>
              <w:rPr>
                <w:rFonts w:hint="eastAsia" w:ascii="宋体" w:hAnsi="宋体" w:eastAsia="宋体" w:cs="宋体"/>
                <w:b/>
                <w:bCs/>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4"/>
                <w:u w:val="none"/>
                <w:lang w:val="en-US" w:eastAsia="zh-CN" w:bidi="ar-SA"/>
              </w:rPr>
              <w:suppressLineNumbers w:val="0"/>
            </w:pPr>
            <w:r>
              <w:rPr>
                <w:rFonts w:hint="default"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4"/>
                <w:u w:val="none"/>
                <w:lang w:val="en-US" w:eastAsia="zh-CN" w:bidi="ar-SA"/>
              </w:rPr>
              <w:suppressLineNumbers w:val="0"/>
            </w:pPr>
            <w:r>
              <w:rPr>
                <w:rFonts w:hint="eastAsia" w:ascii="宋体" w:hAnsi="宋体" w:eastAsia="宋体" w:cs="宋体"/>
                <w:b/>
                <w:bCs/>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default" w:ascii="宋体" w:hAnsi="宋体" w:eastAsia="宋体" w:cs="宋体"/>
                <w:i w:val="0"/>
                <w:iCs w:val="0"/>
                <w:color w:val="auto"/>
                <w:sz w:val="24"/>
                <w:szCs w:val="24"/>
                <w:u w:val="none"/>
                <w:lang w:val="en-US"/>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4"/>
                <w:u w:val="none"/>
                <w:lang w:val="en-US" w:eastAsia="zh-CN" w:bidi="ar-SA"/>
              </w:rPr>
              <w:suppressLineNumbers w:val="0"/>
            </w:pPr>
            <w:r>
              <w:rPr>
                <w:rFonts w:hint="eastAsia"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1"/>
                <w:szCs w:val="24"/>
                <w:u w:val="none"/>
                <w:lang w:val="en-US" w:eastAsia="zh-CN" w:bidi="ar-SA"/>
              </w:rPr>
              <w:suppressLineNumbers w:val="0"/>
            </w:pPr>
            <w:r>
              <w:rPr>
                <w:rFonts w:hint="default" w:ascii="宋体" w:hAnsi="宋体" w:eastAsia="宋体" w:cs="宋体"/>
                <w:b w:val="0"/>
                <w:bCs w:val="0"/>
                <w:i w:val="0"/>
                <w:iCs w:val="0"/>
                <w:color w:val="auto"/>
                <w:sz w:val="21"/>
                <w:szCs w:val="24"/>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057" w:type="dxa"/>
            <w:vAlign w:val="top"/>
            <w:textDirection w:val="lrTb"/>
            <w:noWrap w:val="false"/>
          </w:tcPr>
          <w:p>
            <w:pPr>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561"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p>
            <w:pPr>
              <w:rPr>
                <w:color w:val="auto"/>
              </w:rPr>
            </w:pP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bl>
    <w:p>
      <w:pPr>
        <w:pStyle w:val="726"/>
        <w:ind w:firstLine="0"/>
        <w:jc w:val="both"/>
        <w:keepLines w:val="0"/>
        <w:keepNext w:val="0"/>
        <w:pageBreakBefore w:val="0"/>
        <w:spacing w:beforeAutospacing="0" w:afterAutospacing="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highlight w:val="none"/>
        </w:rPr>
        <w:t xml:space="preserve">注</w:t>
      </w:r>
      <w:r>
        <w:rPr>
          <w:rFonts w:hint="eastAsia" w:ascii="宋体" w:hAnsi="宋体" w:eastAsia="宋体" w:cs="宋体"/>
          <w:color w:val="auto"/>
          <w:sz w:val="21"/>
          <w:szCs w:val="24"/>
          <w:lang w:val="en-US" w:eastAsia="zh-CN" w:bidi="ar-SA"/>
        </w:rPr>
        <w:t xml:space="preserve">1.行数不够，可自行添加。</w:t>
      </w:r>
      <w:r/>
    </w:p>
    <w:p>
      <w:pPr>
        <w:pStyle w:val="726"/>
        <w:ind w:firstLine="0"/>
        <w:jc w:val="left"/>
        <w:keepLines w:val="0"/>
        <w:keepNext w:val="0"/>
        <w:pageBreakBefore w:val="0"/>
        <w:spacing w:beforeAutospacing="0" w:afterAutospacing="0"/>
        <w:widowControl w:val="off"/>
        <w:rPr>
          <w:rFonts w:hint="eastAsia" w:ascii="宋体" w:hAnsi="宋体" w:eastAsia="宋体" w:cs="宋体"/>
          <w:b/>
          <w:bCs/>
          <w:color w:val="auto"/>
          <w:highlight w:val="none"/>
        </w:rPr>
      </w:pPr>
      <w:r>
        <w:rPr>
          <w:rFonts w:hint="eastAsia" w:ascii="宋体" w:hAnsi="宋体" w:eastAsia="宋体" w:cs="宋体"/>
          <w:b/>
          <w:bCs/>
          <w:color w:val="auto"/>
          <w:sz w:val="21"/>
          <w:szCs w:val="24"/>
          <w:lang w:val="en-US" w:eastAsia="zh-CN" w:bidi="ar-SA"/>
        </w:rPr>
        <w:t xml:space="preserve">2.投标人须对技术要求逐条做出实质性响应，并申明响应内容的</w:t>
      </w:r>
      <w:r>
        <w:rPr>
          <w:rFonts w:hint="eastAsia" w:ascii="宋体" w:hAnsi="宋体" w:eastAsia="宋体" w:cs="宋体"/>
          <w:b/>
          <w:bCs/>
          <w:color w:val="auto"/>
          <w:sz w:val="22"/>
          <w:szCs w:val="22"/>
          <w:highlight w:val="none"/>
        </w:rPr>
        <w:t xml:space="preserve">偏差</w:t>
      </w:r>
      <w:r>
        <w:rPr>
          <w:rFonts w:hint="eastAsia" w:ascii="宋体" w:hAnsi="宋体" w:eastAsia="宋体" w:cs="宋体"/>
          <w:b/>
          <w:bCs/>
          <w:color w:val="auto"/>
          <w:sz w:val="22"/>
          <w:szCs w:val="22"/>
          <w:highlight w:val="none"/>
          <w:lang w:val="en-US" w:eastAsia="zh-CN"/>
        </w:rPr>
        <w:t xml:space="preserve">包括</w:t>
      </w:r>
      <w:r>
        <w:rPr>
          <w:rFonts w:hint="eastAsia" w:ascii="宋体" w:hAnsi="宋体" w:eastAsia="宋体" w:cs="宋体"/>
          <w:b/>
          <w:bCs/>
          <w:color w:val="auto"/>
          <w:sz w:val="21"/>
          <w:szCs w:val="24"/>
          <w:lang w:val="en-US" w:eastAsia="zh-CN" w:bidi="ar-SA"/>
        </w:rPr>
        <w:t xml:space="preserve">超出、符合或负偏离。</w:t>
      </w:r>
      <w:r>
        <w:rPr>
          <w:rFonts w:hint="eastAsia" w:ascii="宋体" w:hAnsi="宋体" w:eastAsia="宋体" w:cs="宋体"/>
          <w:b/>
          <w:bCs/>
          <w:color w:val="auto"/>
          <w:highlight w:val="none"/>
        </w:rPr>
        <w:t xml:space="preserve"> </w:t>
      </w:r>
      <w:r/>
    </w:p>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right="180" w:firstLine="480"/>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企业名称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highlight w:val="none"/>
        </w:rPr>
        <w:t xml:space="preserve">：</w:t>
      </w:r>
      <w:r/>
    </w:p>
    <w:p>
      <w:pPr>
        <w:pStyle w:val="726"/>
        <w:ind w:firstLine="57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sectPr>
          <w:footnotePr/>
          <w:endnotePr/>
          <w:type w:val="nextPage"/>
          <w:pgSz w:w="11906" w:h="16838" w:orient="portrait"/>
          <w:pgMar w:top="1440" w:right="1423" w:bottom="1440" w:left="1417" w:header="851" w:footer="992" w:gutter="0"/>
          <w:cols w:num="1" w:sep="0" w:space="0" w:equalWidth="1"/>
          <w:docGrid w:linePitch="360"/>
        </w:sectPr>
      </w:pPr>
      <w:r>
        <w:rPr>
          <w:rFonts w:hint="eastAsia" w:ascii="宋体" w:hAnsi="宋体" w:eastAsia="宋体" w:cs="宋体"/>
          <w:color w:val="auto"/>
          <w:highlight w:val="none"/>
        </w:rPr>
      </w:r>
      <w:r/>
    </w:p>
    <w:p>
      <w:pPr>
        <w:pStyle w:val="726"/>
        <w:numPr>
          <w:ilvl w:val="0"/>
          <w:numId w:val="0"/>
        </w:numPr>
        <w:ind w:left="0" w:firstLine="321"/>
        <w:jc w:val="center"/>
        <w:spacing w:beforeAutospacing="0" w:afterAutospacing="0"/>
        <w:rPr>
          <w:rFonts w:hint="eastAsia" w:ascii="宋体" w:hAnsi="宋体" w:eastAsia="宋体" w:cs="宋体"/>
          <w:b/>
          <w:color w:val="auto"/>
          <w:sz w:val="32"/>
          <w:szCs w:val="32"/>
          <w:highlight w:val="none"/>
        </w:rPr>
      </w:pPr>
      <w:r/>
      <w:bookmarkStart w:id="179" w:name="_Hlt26955054"/>
      <w:r>
        <w:rPr>
          <w:rFonts w:hint="eastAsia" w:ascii="宋体" w:hAnsi="宋体" w:eastAsia="宋体" w:cs="宋体"/>
          <w:b/>
          <w:color w:val="auto"/>
          <w:sz w:val="32"/>
          <w:szCs w:val="32"/>
          <w:lang w:val="en-US" w:eastAsia="zh-CN" w:bidi="ar-SA"/>
        </w:rPr>
        <w:t xml:space="preserve">十一、</w:t>
      </w:r>
      <w:r>
        <w:rPr>
          <w:rFonts w:hint="eastAsia" w:ascii="宋体" w:hAnsi="宋体" w:eastAsia="宋体" w:cs="宋体"/>
          <w:b/>
          <w:color w:val="auto"/>
          <w:sz w:val="32"/>
          <w:szCs w:val="32"/>
          <w:highlight w:val="none"/>
        </w:rPr>
        <w:t xml:space="preserve">商务要求响应及偏离表</w:t>
      </w:r>
      <w:r/>
    </w:p>
    <w:p>
      <w:pPr>
        <w:pStyle w:val="726"/>
        <w:numPr>
          <w:ilvl w:val="0"/>
          <w:numId w:val="0"/>
        </w:numPr>
        <w:ind w:left="321"/>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699"/>
        <w:tblW w:w="915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2"/>
        <w:gridCol w:w="3219"/>
        <w:gridCol w:w="2341"/>
        <w:gridCol w:w="1617"/>
        <w:gridCol w:w="136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26"/>
              <w:jc w:val="both"/>
              <w:spacing w:beforeAutospacing="0" w:afterAutospacing="0"/>
              <w:rPr>
                <w:rFonts w:hint="eastAsia" w:ascii="宋体" w:hAnsi="宋体" w:eastAsia="宋体" w:cs="宋体"/>
                <w:color w:val="auto"/>
                <w:highlight w:val="none"/>
              </w:rPr>
            </w:pPr>
            <w:r/>
            <w:bookmarkStart w:id="180" w:name="_Hlt26609391"/>
            <w:r/>
            <w:bookmarkStart w:id="181" w:name="_Hlt26955056"/>
            <w:r/>
            <w:bookmarkStart w:id="182" w:name="_Hlt24879081"/>
            <w:r/>
            <w:bookmarkStart w:id="183" w:name="_Hlt26671372"/>
            <w:r/>
            <w:bookmarkStart w:id="184" w:name="_Hlt26580838"/>
            <w:r/>
            <w:bookmarkStart w:id="185" w:name="_Hlt26782999"/>
            <w:r/>
            <w:bookmarkStart w:id="186" w:name="_Hlt26955064"/>
            <w:r/>
            <w:bookmarkStart w:id="187" w:name="_Hlt26671343"/>
            <w:r>
              <w:rPr>
                <w:rFonts w:hint="eastAsia" w:ascii="宋体" w:hAnsi="宋体" w:eastAsia="宋体" w:cs="宋体"/>
                <w:color w:val="auto"/>
                <w:highlight w:val="none"/>
              </w:rPr>
              <w:t xml:space="preserve">序号</w:t>
            </w:r>
            <w:bookmarkEnd w:id="180"/>
            <w:r/>
            <w:bookmarkEnd w:id="181"/>
            <w:r/>
            <w:bookmarkEnd w:id="182"/>
            <w:r/>
            <w:bookmarkEnd w:id="183"/>
            <w:r/>
            <w:bookmarkEnd w:id="184"/>
            <w:r/>
            <w:bookmarkEnd w:id="185"/>
            <w:r/>
            <w:bookmarkEnd w:id="186"/>
            <w:r/>
            <w:bookmarkEnd w:id="187"/>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w:t>
            </w:r>
            <w:r>
              <w:rPr>
                <w:rFonts w:hint="eastAsia" w:ascii="宋体" w:hAnsi="宋体" w:eastAsia="宋体" w:cs="宋体"/>
                <w:color w:val="auto"/>
                <w:highlight w:val="none"/>
                <w:lang w:val="en-US" w:eastAsia="zh-CN"/>
              </w:rPr>
              <w:t xml:space="preserve">负</w:t>
            </w:r>
            <w:r>
              <w:rPr>
                <w:rFonts w:hint="eastAsia" w:ascii="宋体" w:hAnsi="宋体" w:eastAsia="宋体" w:cs="宋体"/>
                <w:color w:val="auto"/>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26"/>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26"/>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92"/>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26"/>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top"/>
            <w:textDirection w:val="lrTb"/>
            <w:noWrap w:val="false"/>
          </w:tcPr>
          <w:p>
            <w:pPr>
              <w:spacing w:after="0" w:line="240" w:lineRule="auto"/>
              <w:rPr>
                <w:rFonts w:hint="eastAsia" w:ascii="宋体" w:hAnsi="宋体" w:eastAsia="宋体" w:cstheme="minorBidi"/>
                <w:color w:val="auto"/>
                <w:sz w:val="21"/>
                <w:szCs w:val="24"/>
                <w:highlight w:val="none"/>
                <w:lang w:val="en-US" w:eastAsia="zh-CN" w:bidi="ar-SA"/>
              </w:rPr>
            </w:pPr>
            <w:r>
              <w:rPr>
                <w:rFonts w:hint="eastAsia" w:ascii="宋体" w:hAnsi="宋体" w:eastAsia="宋体" w:cstheme="minorBidi"/>
                <w:color w:val="auto"/>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top"/>
            <w:textDirection w:val="lrTb"/>
            <w:noWrap w:val="false"/>
          </w:tcPr>
          <w:p>
            <w:pPr>
              <w:spacing w:after="0" w:line="240" w:lineRule="auto"/>
              <w:rPr>
                <w:rFonts w:hint="eastAsia" w:ascii="宋体" w:hAnsi="宋体" w:eastAsia="宋体" w:cstheme="minorBidi"/>
                <w:color w:val="auto"/>
                <w:sz w:val="21"/>
                <w:szCs w:val="24"/>
                <w:highlight w:val="none"/>
                <w:lang w:val="en-US" w:eastAsia="zh-CN" w:bidi="ar-SA"/>
              </w:rPr>
            </w:pPr>
            <w:r>
              <w:rPr>
                <w:rFonts w:hint="eastAsia" w:ascii="宋体" w:hAnsi="宋体" w:eastAsia="宋体" w:cstheme="minorBidi"/>
                <w:color w:val="auto"/>
                <w:sz w:val="21"/>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26"/>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rPr>
                <w:rFonts w:hint="eastAsia" w:ascii="宋体" w:hAnsi="宋体" w:eastAsia="宋体" w:cs="宋体"/>
                <w:color w:val="auto"/>
              </w:rPr>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26"/>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726"/>
              <w:ind w:firstLine="240"/>
              <w:jc w:val="both"/>
              <w:spacing w:beforeAutospacing="0" w:afterAutospacing="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19" w:type="dxa"/>
            <w:vAlign w:val="center"/>
            <w:textDirection w:val="lrTb"/>
            <w:noWrap w:val="false"/>
          </w:tcPr>
          <w:p>
            <w:pPr>
              <w:jc w:val="center"/>
              <w:rPr>
                <w:rFonts w:hint="eastAsia" w:ascii="宋体" w:hAnsi="宋体" w:eastAsia="宋体" w:cs="宋体"/>
                <w:b/>
                <w:bCs/>
                <w:color w:val="auto"/>
              </w:rPr>
            </w:pPr>
            <w:r>
              <w:rPr>
                <w:rFonts w:hint="eastAsia" w:ascii="宋体" w:hAnsi="宋体" w:eastAsia="宋体" w:cs="宋体"/>
                <w:b/>
                <w:bCs/>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26"/>
        <w:ind w:firstLine="0"/>
        <w:jc w:val="both"/>
        <w:keepLines w:val="0"/>
        <w:keepNext w:val="0"/>
        <w:pageBreakBefore w:val="0"/>
        <w:spacing w:beforeAutospacing="0" w:afterAutospacing="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highlight w:val="none"/>
        </w:rPr>
        <w:t xml:space="preserve">注</w:t>
      </w:r>
      <w:r>
        <w:rPr>
          <w:rFonts w:hint="eastAsia" w:ascii="宋体" w:hAnsi="宋体" w:eastAsia="宋体" w:cs="宋体"/>
          <w:color w:val="auto"/>
          <w:sz w:val="21"/>
          <w:szCs w:val="24"/>
          <w:lang w:val="en-US" w:eastAsia="zh-CN" w:bidi="ar-SA"/>
        </w:rPr>
        <w:t xml:space="preserve">：1.行数不够，可自行添加。</w:t>
      </w:r>
      <w:r/>
    </w:p>
    <w:p>
      <w:pPr>
        <w:pStyle w:val="726"/>
        <w:ind w:firstLine="0"/>
        <w:jc w:val="both"/>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b/>
          <w:bCs/>
          <w:color w:val="auto"/>
          <w:sz w:val="21"/>
          <w:szCs w:val="24"/>
          <w:lang w:val="en-US" w:eastAsia="zh-CN" w:bidi="ar-SA"/>
        </w:rPr>
        <w:t xml:space="preserve">2.投标人须对商务要求逐条做出实质性响应，并申明响应内容的偏差包括超出、符合或负偏离。 </w:t>
      </w:r>
      <w:bookmarkStart w:id="188" w:name="_Hlt26609389"/>
      <w:r/>
      <w:bookmarkStart w:id="189" w:name="_Hlt26671374"/>
      <w:r/>
      <w:bookmarkStart w:id="190" w:name="_Hlt26955066"/>
      <w:r/>
      <w:bookmarkStart w:id="191" w:name="_Toc462564146"/>
      <w:r/>
      <w:bookmarkStart w:id="192" w:name="_格式2__法定代表人授权书"/>
      <w:r/>
      <w:r/>
    </w:p>
    <w:p>
      <w:pPr>
        <w:pStyle w:val="726"/>
        <w:ind w:right="180" w:firstLine="480"/>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w:t>
      </w:r>
      <w:r>
        <w:rPr>
          <w:rFonts w:hint="eastAsia" w:ascii="宋体" w:hAnsi="宋体" w:eastAsia="宋体" w:cs="宋体"/>
          <w:b/>
          <w:bCs/>
          <w:color w:val="auto"/>
          <w:sz w:val="32"/>
          <w:szCs w:val="32"/>
          <w:highlight w:val="none"/>
          <w:lang w:val="en-US" w:eastAsia="zh-CN" w:bidi="ar-SA"/>
        </w:rPr>
        <w:t xml:space="preserve">（加盖CA电子位公章）</w:t>
      </w:r>
      <w:r>
        <w:rPr>
          <w:rFonts w:hint="eastAsia" w:ascii="宋体" w:hAnsi="宋体" w:eastAsia="宋体" w:cs="宋体"/>
          <w:color w:val="auto"/>
          <w:highlight w:val="none"/>
        </w:rPr>
        <w:t xml:space="preserve">：</w:t>
      </w:r>
      <w:r/>
    </w:p>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 </w:t>
      </w:r>
      <w:r/>
    </w:p>
    <w:p>
      <w:pPr>
        <w:pStyle w:val="726"/>
        <w:ind w:firstLine="24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End w:id="175"/>
      <w:bookmarkEnd w:id="176"/>
      <w:bookmarkEnd w:id="177"/>
      <w:bookmarkEnd w:id="178"/>
      <w:bookmarkEnd w:id="179"/>
      <w:bookmarkEnd w:id="188"/>
      <w:bookmarkEnd w:id="189"/>
      <w:bookmarkEnd w:id="190"/>
      <w:bookmarkEnd w:id="191"/>
      <w:bookmarkEnd w:id="192"/>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lang w:val="en-US" w:eastAsia="zh-CN"/>
        </w:rPr>
      </w:pPr>
      <w:r>
        <w:rPr>
          <w:rFonts w:hint="eastAsia" w:ascii="宋体" w:hAnsi="宋体" w:eastAsia="宋体" w:cs="宋体"/>
          <w:b/>
          <w:iCs/>
          <w:color w:val="auto"/>
          <w:sz w:val="32"/>
          <w:szCs w:val="32"/>
          <w:highlight w:val="none"/>
          <w:lang w:val="en-US" w:eastAsia="zh-CN"/>
        </w:rPr>
      </w:r>
      <w:r/>
    </w:p>
    <w:p>
      <w:pPr>
        <w:pStyle w:val="726"/>
        <w:ind w:firstLine="321"/>
        <w:jc w:val="center"/>
        <w:spacing w:beforeAutospacing="0" w:afterAutospacing="0"/>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lang w:val="en-US" w:eastAsia="zh-CN"/>
        </w:rPr>
        <w:t xml:space="preserve">十二、</w:t>
      </w:r>
      <w:r>
        <w:rPr>
          <w:rFonts w:hint="eastAsia" w:ascii="宋体" w:hAnsi="宋体" w:eastAsia="宋体" w:cs="宋体"/>
          <w:b/>
          <w:iCs/>
          <w:color w:val="auto"/>
          <w:sz w:val="32"/>
          <w:szCs w:val="32"/>
          <w:highlight w:val="none"/>
        </w:rPr>
        <w:t xml:space="preserve">开标一览表</w:t>
      </w:r>
      <w:r/>
    </w:p>
    <w:p>
      <w:pPr>
        <w:pStyle w:val="726"/>
        <w:ind w:firstLine="321"/>
        <w:jc w:val="both"/>
        <w:spacing w:beforeAutospacing="0" w:afterAutospacing="0"/>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highlight w:val="none"/>
        </w:rPr>
        <w:t xml:space="preserve">：</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bl>
      <w:tblPr>
        <w:tblStyle w:val="699"/>
        <w:tblpPr w:horzAnchor="page" w:tblpX="1885" w:vertAnchor="text" w:tblpY="312" w:leftFromText="180" w:topFromText="0" w:rightFromText="180" w:bottomFromText="0"/>
        <w:tblW w:w="8413"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1046"/>
        </w:trPr>
        <w:tc>
          <w:tcPr>
            <w:shd w:val="clear" w:color="auto" w:fill="auto"/>
            <w:tcW w:w="8413" w:type="dxa"/>
            <w:vAlign w:val="center"/>
            <w:textDirection w:val="lrTb"/>
            <w:noWrap w:val="false"/>
          </w:tcPr>
          <w:p>
            <w:pPr>
              <w:pStyle w:val="7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864"/>
        </w:trPr>
        <w:tc>
          <w:tcPr>
            <w:shd w:val="clear" w:color="auto" w:fill="auto"/>
            <w:tcW w:w="8413" w:type="dxa"/>
            <w:vAlign w:val="center"/>
            <w:textDirection w:val="lrTb"/>
            <w:noWrap w:val="false"/>
          </w:tcPr>
          <w:p>
            <w:pPr>
              <w:pStyle w:val="726"/>
              <w:ind w:firstLine="24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（大写人民币：        元）</w:t>
            </w:r>
            <w:r/>
          </w:p>
        </w:tc>
      </w:tr>
    </w:tbl>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十三、中</w:t>
      </w:r>
      <w:r>
        <w:rPr>
          <w:rFonts w:hint="eastAsia" w:ascii="宋体" w:hAnsi="宋体" w:eastAsia="宋体" w:cs="宋体"/>
          <w:b/>
          <w:color w:val="auto"/>
          <w:sz w:val="32"/>
          <w:szCs w:val="32"/>
          <w:highlight w:val="none"/>
        </w:rPr>
        <w:t xml:space="preserve">小企业声明函（货物）</w:t>
      </w:r>
      <w:r/>
    </w:p>
    <w:p>
      <w:pPr>
        <w:pStyle w:val="726"/>
        <w:ind w:firstLine="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val="en-US" w:eastAsia="zh-CN"/>
        </w:rPr>
        <w:t xml:space="preserve">盐城市第三人民医院</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的采购活动，</w:t>
      </w:r>
      <w:r>
        <w:rPr>
          <w:rFonts w:hint="eastAsia" w:ascii="宋体" w:hAnsi="宋体" w:eastAsia="宋体" w:cs="宋体"/>
          <w:b/>
          <w:bCs/>
          <w:color w:val="auto"/>
          <w:highlight w:val="none"/>
        </w:rPr>
        <w:t xml:space="preserve">提供的货物全部由符合政策要求的小微企业制造</w:t>
      </w:r>
      <w:r>
        <w:rPr>
          <w:rFonts w:hint="eastAsia" w:ascii="宋体" w:hAnsi="宋体" w:eastAsia="宋体" w:cs="宋体"/>
          <w:color w:val="auto"/>
          <w:highlight w:val="none"/>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6"/>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bookmarkStart w:id="193" w:name="_GoBack"/>
      <w:r>
        <w:rPr>
          <w:rFonts w:hint="eastAsia" w:ascii="宋体" w:hAnsi="宋体" w:eastAsia="宋体" w:cs="宋体"/>
          <w:color w:val="auto"/>
          <w:highlight w:val="none"/>
        </w:rPr>
        <w:t xml:space="preserve">行业</w:t>
      </w:r>
      <w:bookmarkEnd w:id="193"/>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726"/>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726"/>
        <w:ind w:firstLine="36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26"/>
        <w:ind w:firstLine="36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726"/>
        <w:ind w:firstLine="36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726"/>
        <w:ind w:right="72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right="180" w:firstLine="360"/>
        <w:jc w:val="right"/>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highlight w:val="none"/>
        </w:rPr>
        <w:t xml:space="preserve">：</w:t>
      </w:r>
      <w:r/>
    </w:p>
    <w:p>
      <w:pPr>
        <w:pStyle w:val="726"/>
        <w:ind w:right="480" w:firstLine="540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26"/>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26"/>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26"/>
        <w:numPr>
          <w:ilvl w:val="0"/>
          <w:numId w:val="0"/>
        </w:numPr>
        <w:ind w:left="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26"/>
        <w:numPr>
          <w:ilvl w:val="0"/>
          <w:numId w:val="0"/>
        </w:numPr>
        <w:ind w:left="321"/>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十四、</w:t>
      </w:r>
      <w:r>
        <w:rPr>
          <w:rFonts w:hint="eastAsia" w:ascii="宋体" w:hAnsi="宋体" w:eastAsia="宋体" w:cs="宋体"/>
          <w:b/>
          <w:color w:val="auto"/>
          <w:sz w:val="32"/>
          <w:szCs w:val="32"/>
          <w:highlight w:val="none"/>
        </w:rPr>
        <w:t xml:space="preserve">残疾人福利性单位声明函</w:t>
      </w:r>
      <w:r/>
    </w:p>
    <w:p>
      <w:pPr>
        <w:pStyle w:val="726"/>
        <w:numPr>
          <w:ilvl w:val="0"/>
          <w:numId w:val="0"/>
        </w:numPr>
        <w:jc w:val="center"/>
        <w:spacing w:beforeAutospacing="0" w:afterAutospacing="0" w:line="0" w:lineRule="atLeas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项目采购活动提供本单位制造的货物，或者提供其他残疾人福利性单位制造的货物（不包括使用非残疾人福利性单位注册商标的货物）。</w:t>
      </w:r>
      <w:r/>
    </w:p>
    <w:p>
      <w:pPr>
        <w:pStyle w:val="726"/>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26"/>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726"/>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w:t>
      </w:r>
      <w:r>
        <w:rPr>
          <w:rFonts w:hint="eastAsia" w:ascii="宋体" w:hAnsi="宋体" w:eastAsia="宋体" w:cs="宋体"/>
          <w:b/>
          <w:bCs/>
          <w:color w:val="auto"/>
          <w:sz w:val="32"/>
          <w:szCs w:val="32"/>
          <w:highlight w:val="none"/>
          <w:lang w:val="en-US" w:eastAsia="zh-CN" w:bidi="ar-SA"/>
        </w:rPr>
        <w:t xml:space="preserve">（加盖CA电子公章）</w:t>
      </w:r>
      <w:r>
        <w:rPr>
          <w:rFonts w:hint="eastAsia" w:ascii="宋体" w:hAnsi="宋体" w:eastAsia="宋体" w:cs="宋体"/>
          <w:color w:val="auto"/>
          <w:highlight w:val="none"/>
        </w:rPr>
        <w:t xml:space="preserve">：</w:t>
      </w:r>
      <w:r/>
    </w:p>
    <w:p>
      <w:pPr>
        <w:pStyle w:val="726"/>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p>
    <w:p>
      <w:pPr>
        <w:pStyle w:val="726"/>
        <w:ind w:left="0" w:right="0"/>
        <w:jc w:val="center"/>
        <w:keepLines w:val="0"/>
        <w:keepNext w:val="0"/>
        <w:spacing w:before="0" w:beforeAutospacing="0" w:after="0" w:afterAutospacing="0"/>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lang w:val="en-US" w:eastAsia="zh-CN"/>
        </w:rPr>
        <w:t xml:space="preserve">十五、</w:t>
      </w:r>
      <w:r>
        <w:rPr>
          <w:rFonts w:hint="eastAsia" w:ascii="宋体" w:hAnsi="宋体" w:eastAsia="宋体" w:cs="宋体"/>
          <w:b/>
          <w:bCs/>
          <w:color w:val="auto"/>
          <w:sz w:val="32"/>
          <w:szCs w:val="32"/>
        </w:rPr>
        <w:t xml:space="preserve">关于符合本国产品标准的声明函</w:t>
      </w:r>
      <w:r/>
    </w:p>
    <w:p>
      <w:pPr>
        <w:pStyle w:val="726"/>
        <w:ind w:left="0" w:firstLine="420"/>
        <w:jc w:val="both"/>
        <w:keepLines w:val="0"/>
        <w:keepNext w:val="0"/>
        <w:spacing w:before="0" w:beforeAutospacing="0" w:after="0" w:afterAutospacing="0"/>
        <w:widowControl w:val="off"/>
        <w:rPr>
          <w:rFonts w:hint="eastAsia" w:ascii="宋体" w:hAnsi="宋体" w:eastAsia="宋体" w:cs="宋体"/>
          <w:strike w:val="0"/>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lang w:eastAsia="zh-CN"/>
        </w:rPr>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6"/>
        <w:numPr>
          <w:ilvl w:val="0"/>
          <w:numId w:val="5"/>
        </w:numPr>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u w:val="single"/>
          <w:lang w:val="en-US" w:eastAsia="zh-CN"/>
        </w:rPr>
        <w:t xml:space="preserve">      </w:t>
      </w:r>
      <w:r>
        <w:rPr>
          <w:rFonts w:hint="eastAsia" w:ascii="宋体" w:hAnsi="宋体" w:eastAsia="宋体" w:cs="宋体"/>
          <w:strike w:val="0"/>
          <w:color w:val="auto"/>
          <w:sz w:val="24"/>
          <w:szCs w:val="24"/>
          <w:u w:val="single"/>
        </w:rPr>
        <w:t xml:space="preserve">（产品名称1）</w:t>
      </w:r>
      <w:r>
        <w:rPr>
          <w:rFonts w:hint="eastAsia" w:ascii="宋体" w:hAnsi="宋体" w:eastAsia="宋体" w:cs="宋体"/>
          <w:strike w:val="0"/>
          <w:color w:val="auto"/>
          <w:sz w:val="24"/>
          <w:szCs w:val="24"/>
          <w:vertAlign w:val="superscript"/>
        </w:rPr>
        <w:t xml:space="preserve">1</w:t>
      </w:r>
      <w:r>
        <w:rPr>
          <w:rFonts w:hint="eastAsia" w:ascii="宋体" w:hAnsi="宋体" w:eastAsia="宋体" w:cs="宋体"/>
          <w:strike w:val="0"/>
          <w:color w:val="auto"/>
          <w:sz w:val="24"/>
          <w:szCs w:val="24"/>
        </w:rPr>
        <w:t xml:space="preserve">，生产厂为</w:t>
      </w:r>
      <w:r>
        <w:rPr>
          <w:rFonts w:hint="eastAsia" w:ascii="宋体" w:hAnsi="宋体" w:eastAsia="宋体" w:cs="宋体"/>
          <w:strike w:val="0"/>
          <w:color w:val="auto"/>
          <w:sz w:val="24"/>
          <w:szCs w:val="24"/>
          <w:lang w:val="en-US" w:eastAsia="zh-CN"/>
        </w:rPr>
        <w:t xml:space="preserve"> </w:t>
      </w:r>
      <w:r>
        <w:rPr>
          <w:rFonts w:hint="eastAsia" w:ascii="宋体" w:hAnsi="宋体" w:eastAsia="宋体" w:cs="宋体"/>
          <w:strike w:val="0"/>
          <w:color w:val="auto"/>
          <w:sz w:val="24"/>
          <w:szCs w:val="24"/>
          <w:u w:val="single"/>
          <w:lang w:val="en-US" w:eastAsia="zh-CN"/>
        </w:rPr>
        <w:t xml:space="preserve">   </w:t>
      </w:r>
      <w:r>
        <w:rPr>
          <w:rFonts w:hint="eastAsia" w:ascii="宋体" w:hAnsi="宋体" w:eastAsia="宋体" w:cs="宋体"/>
          <w:strike w:val="0"/>
          <w:color w:val="auto"/>
          <w:sz w:val="24"/>
          <w:szCs w:val="24"/>
          <w:u w:val="single"/>
        </w:rPr>
        <w:t xml:space="preserve">（厂名）</w:t>
      </w:r>
      <w:r>
        <w:rPr>
          <w:rFonts w:hint="eastAsia" w:ascii="宋体" w:hAnsi="宋体" w:eastAsia="宋体" w:cs="宋体"/>
          <w:strike w:val="0"/>
          <w:color w:val="auto"/>
          <w:sz w:val="24"/>
          <w:szCs w:val="24"/>
          <w:vertAlign w:val="superscript"/>
        </w:rPr>
        <w:t xml:space="preserve">2</w:t>
      </w:r>
      <w:r>
        <w:rPr>
          <w:rFonts w:hint="eastAsia" w:ascii="宋体" w:hAnsi="宋体" w:eastAsia="宋体" w:cs="宋体"/>
          <w:strike w:val="0"/>
          <w:color w:val="auto"/>
          <w:sz w:val="24"/>
          <w:szCs w:val="24"/>
        </w:rPr>
        <w:t xml:space="preserve">，厂址为</w:t>
      </w:r>
      <w:r>
        <w:rPr>
          <w:rFonts w:hint="eastAsia" w:ascii="宋体" w:hAnsi="宋体" w:eastAsia="宋体" w:cs="宋体"/>
          <w:strike w:val="0"/>
          <w:color w:val="auto"/>
          <w:sz w:val="24"/>
          <w:szCs w:val="24"/>
          <w:u w:val="single"/>
          <w:lang w:val="en-US" w:eastAsia="zh-CN"/>
        </w:rPr>
        <w:t xml:space="preserve">    </w:t>
      </w:r>
      <w:r>
        <w:rPr>
          <w:rFonts w:hint="eastAsia" w:ascii="宋体" w:hAnsi="宋体" w:eastAsia="宋体" w:cs="宋体"/>
          <w:strike w:val="0"/>
          <w:color w:val="auto"/>
          <w:sz w:val="24"/>
          <w:szCs w:val="24"/>
          <w:u w:val="single"/>
        </w:rPr>
        <w:t xml:space="preserve">（生产厂址）</w:t>
      </w:r>
      <w:r>
        <w:rPr>
          <w:rFonts w:hint="eastAsia" w:ascii="宋体" w:hAnsi="宋体" w:eastAsia="宋体" w:cs="宋体"/>
          <w:strike w:val="0"/>
          <w:color w:val="auto"/>
          <w:sz w:val="24"/>
          <w:szCs w:val="24"/>
        </w:rPr>
        <w:t xml:space="preserve">。 </w:t>
      </w:r>
      <w:r>
        <w:rPr>
          <w:rFonts w:hint="eastAsia" w:ascii="宋体" w:hAnsi="宋体" w:eastAsia="宋体" w:cs="宋体"/>
          <w:strike w:val="0"/>
          <w:color w:val="auto"/>
          <w:sz w:val="24"/>
          <w:szCs w:val="24"/>
          <w:u w:val="single"/>
        </w:rPr>
        <w:t xml:space="preserve">（产品名称1）</w:t>
      </w:r>
      <w:r>
        <w:rPr>
          <w:rFonts w:hint="eastAsia" w:ascii="宋体" w:hAnsi="宋体" w:eastAsia="宋体" w:cs="宋体"/>
          <w:strike w:val="0"/>
          <w:color w:val="auto"/>
          <w:sz w:val="24"/>
          <w:szCs w:val="24"/>
        </w:rPr>
        <w:t xml:space="preserve">的中国境内生产的组件成本占比≥</w:t>
      </w:r>
      <w:r>
        <w:rPr>
          <w:rFonts w:hint="eastAsia" w:ascii="宋体" w:hAnsi="宋体" w:eastAsia="宋体" w:cs="宋体"/>
          <w:strike w:val="0"/>
          <w:color w:val="auto"/>
          <w:sz w:val="24"/>
          <w:szCs w:val="24"/>
          <w:u w:val="single"/>
        </w:rPr>
        <w:t xml:space="preserve">（规定比例）</w:t>
      </w:r>
      <w:r>
        <w:rPr>
          <w:rFonts w:hint="eastAsia" w:ascii="宋体" w:hAnsi="宋体" w:eastAsia="宋体" w:cs="宋体"/>
          <w:strike w:val="0"/>
          <w:color w:val="auto"/>
          <w:sz w:val="24"/>
          <w:szCs w:val="24"/>
          <w:vertAlign w:val="superscript"/>
        </w:rPr>
        <w:t xml:space="preserve">3</w:t>
      </w:r>
      <w:r>
        <w:rPr>
          <w:rFonts w:hint="eastAsia" w:ascii="宋体" w:hAnsi="宋体" w:eastAsia="宋体" w:cs="宋体"/>
          <w:strike w:val="0"/>
          <w:color w:val="auto"/>
          <w:sz w:val="24"/>
          <w:szCs w:val="24"/>
        </w:rPr>
        <w:t xml:space="preserve">。（产品名称1）的</w:t>
      </w:r>
      <w:r>
        <w:rPr>
          <w:rFonts w:hint="eastAsia" w:ascii="宋体" w:hAnsi="宋体" w:eastAsia="宋体" w:cs="宋体"/>
          <w:strike w:val="0"/>
          <w:color w:val="auto"/>
          <w:sz w:val="24"/>
          <w:szCs w:val="24"/>
          <w:u w:val="single"/>
        </w:rPr>
        <w:t xml:space="preserve">（关键组件）</w:t>
      </w:r>
      <w:r>
        <w:rPr>
          <w:rFonts w:hint="eastAsia" w:ascii="宋体" w:hAnsi="宋体" w:eastAsia="宋体" w:cs="宋体"/>
          <w:strike w:val="0"/>
          <w:color w:val="auto"/>
          <w:sz w:val="24"/>
          <w:szCs w:val="24"/>
          <w:vertAlign w:val="superscript"/>
        </w:rPr>
        <w:t xml:space="preserve">4</w:t>
      </w:r>
      <w:r>
        <w:rPr>
          <w:rFonts w:hint="eastAsia" w:ascii="宋体" w:hAnsi="宋体" w:eastAsia="宋体" w:cs="宋体"/>
          <w:strike w:val="0"/>
          <w:color w:val="auto"/>
          <w:sz w:val="24"/>
          <w:szCs w:val="24"/>
        </w:rPr>
        <w:t xml:space="preserve">在中国境内生产。</w:t>
      </w:r>
      <w:r>
        <w:rPr>
          <w:rFonts w:hint="eastAsia" w:ascii="宋体" w:hAnsi="宋体" w:eastAsia="宋体" w:cs="宋体"/>
          <w:strike w:val="0"/>
          <w:color w:val="auto"/>
          <w:sz w:val="24"/>
          <w:szCs w:val="24"/>
          <w:u w:val="single"/>
        </w:rPr>
        <w:t xml:space="preserve">（产品名称1）</w:t>
      </w:r>
      <w:r>
        <w:rPr>
          <w:rFonts w:hint="eastAsia" w:ascii="宋体" w:hAnsi="宋体" w:eastAsia="宋体" w:cs="宋体"/>
          <w:strike w:val="0"/>
          <w:color w:val="auto"/>
          <w:sz w:val="24"/>
          <w:szCs w:val="24"/>
        </w:rPr>
        <w:t xml:space="preserve">的</w:t>
      </w:r>
      <w:r>
        <w:rPr>
          <w:rFonts w:hint="eastAsia" w:ascii="宋体" w:hAnsi="宋体" w:eastAsia="宋体" w:cs="宋体"/>
          <w:strike w:val="0"/>
          <w:color w:val="auto"/>
          <w:sz w:val="24"/>
          <w:szCs w:val="24"/>
          <w:u w:val="single"/>
        </w:rPr>
        <w:t xml:space="preserve">（关键工序）</w:t>
      </w:r>
      <w:r>
        <w:rPr>
          <w:rFonts w:hint="eastAsia" w:ascii="宋体" w:hAnsi="宋体" w:eastAsia="宋体" w:cs="宋体"/>
          <w:strike w:val="0"/>
          <w:color w:val="auto"/>
          <w:sz w:val="24"/>
          <w:szCs w:val="24"/>
          <w:vertAlign w:val="superscript"/>
        </w:rPr>
        <w:t xml:space="preserve">5</w:t>
      </w:r>
      <w:r>
        <w:rPr>
          <w:rFonts w:hint="eastAsia" w:ascii="宋体" w:hAnsi="宋体" w:eastAsia="宋体" w:cs="宋体"/>
          <w:strike w:val="0"/>
          <w:color w:val="auto"/>
          <w:sz w:val="24"/>
          <w:szCs w:val="24"/>
        </w:rPr>
        <w:t xml:space="preserve">在中国境内完成。</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2.</w:t>
      </w:r>
      <w:r>
        <w:rPr>
          <w:rFonts w:hint="eastAsia" w:ascii="宋体" w:hAnsi="宋体" w:eastAsia="宋体" w:cs="宋体"/>
          <w:strike w:val="0"/>
          <w:color w:val="auto"/>
          <w:sz w:val="24"/>
          <w:szCs w:val="24"/>
          <w:u w:val="single"/>
        </w:rPr>
        <w:t xml:space="preserve">（产品名称2）</w:t>
      </w:r>
      <w:r>
        <w:rPr>
          <w:rFonts w:hint="eastAsia" w:ascii="宋体" w:hAnsi="宋体" w:eastAsia="宋体" w:cs="宋体"/>
          <w:strike w:val="0"/>
          <w:color w:val="auto"/>
          <w:sz w:val="24"/>
          <w:szCs w:val="24"/>
        </w:rPr>
        <w:t xml:space="preserve">，生产厂为</w:t>
      </w:r>
      <w:r>
        <w:rPr>
          <w:rFonts w:hint="eastAsia" w:ascii="宋体" w:hAnsi="宋体" w:eastAsia="宋体" w:cs="宋体"/>
          <w:strike w:val="0"/>
          <w:color w:val="auto"/>
          <w:sz w:val="24"/>
          <w:szCs w:val="24"/>
          <w:u w:val="single"/>
        </w:rPr>
        <w:t xml:space="preserve">（厂名）</w:t>
      </w:r>
      <w:r>
        <w:rPr>
          <w:rFonts w:hint="eastAsia" w:ascii="宋体" w:hAnsi="宋体" w:eastAsia="宋体" w:cs="宋体"/>
          <w:strike w:val="0"/>
          <w:color w:val="auto"/>
          <w:sz w:val="24"/>
          <w:szCs w:val="24"/>
        </w:rPr>
        <w:t xml:space="preserve">，厂址为</w:t>
      </w:r>
      <w:r>
        <w:rPr>
          <w:rFonts w:hint="eastAsia" w:ascii="宋体" w:hAnsi="宋体" w:eastAsia="宋体" w:cs="宋体"/>
          <w:strike w:val="0"/>
          <w:color w:val="auto"/>
          <w:sz w:val="24"/>
          <w:szCs w:val="24"/>
          <w:u w:val="single"/>
        </w:rPr>
        <w:t xml:space="preserve">（生产厂址）</w:t>
      </w:r>
      <w:r>
        <w:rPr>
          <w:rFonts w:hint="eastAsia" w:ascii="宋体" w:hAnsi="宋体" w:eastAsia="宋体" w:cs="宋体"/>
          <w:strike w:val="0"/>
          <w:color w:val="auto"/>
          <w:sz w:val="24"/>
          <w:szCs w:val="24"/>
        </w:rPr>
        <w:t xml:space="preserve">。</w:t>
      </w:r>
      <w:r>
        <w:rPr>
          <w:rFonts w:hint="eastAsia" w:ascii="宋体" w:hAnsi="宋体" w:eastAsia="宋体" w:cs="宋体"/>
          <w:strike w:val="0"/>
          <w:color w:val="auto"/>
          <w:sz w:val="24"/>
          <w:szCs w:val="24"/>
          <w:u w:val="single"/>
        </w:rPr>
        <w:t xml:space="preserve">（产品名称2）</w:t>
      </w:r>
      <w:r>
        <w:rPr>
          <w:rFonts w:hint="eastAsia" w:ascii="宋体" w:hAnsi="宋体" w:eastAsia="宋体" w:cs="宋体"/>
          <w:strike w:val="0"/>
          <w:color w:val="auto"/>
          <w:sz w:val="24"/>
          <w:szCs w:val="24"/>
        </w:rPr>
        <w:t xml:space="preserve">的中国境内生产的组件成本占比≥</w:t>
      </w:r>
      <w:r>
        <w:rPr>
          <w:rFonts w:hint="eastAsia" w:ascii="宋体" w:hAnsi="宋体" w:eastAsia="宋体" w:cs="宋体"/>
          <w:strike w:val="0"/>
          <w:color w:val="auto"/>
          <w:sz w:val="24"/>
          <w:szCs w:val="24"/>
          <w:u w:val="single"/>
        </w:rPr>
        <w:t xml:space="preserve">（规定比例）</w:t>
      </w:r>
      <w:r>
        <w:rPr>
          <w:rFonts w:hint="eastAsia" w:ascii="宋体" w:hAnsi="宋体" w:eastAsia="宋体" w:cs="宋体"/>
          <w:strike w:val="0"/>
          <w:color w:val="auto"/>
          <w:sz w:val="24"/>
          <w:szCs w:val="24"/>
        </w:rPr>
        <w:t xml:space="preserve">。</w:t>
      </w:r>
      <w:r>
        <w:rPr>
          <w:rFonts w:hint="eastAsia" w:ascii="宋体" w:hAnsi="宋体" w:eastAsia="宋体" w:cs="宋体"/>
          <w:strike w:val="0"/>
          <w:color w:val="auto"/>
          <w:sz w:val="24"/>
          <w:szCs w:val="24"/>
          <w:u w:val="single"/>
        </w:rPr>
        <w:t xml:space="preserve">（产品名称2）</w:t>
      </w:r>
      <w:r>
        <w:rPr>
          <w:rFonts w:hint="eastAsia" w:ascii="宋体" w:hAnsi="宋体" w:eastAsia="宋体" w:cs="宋体"/>
          <w:strike w:val="0"/>
          <w:color w:val="auto"/>
          <w:sz w:val="24"/>
          <w:szCs w:val="24"/>
        </w:rPr>
        <w:t xml:space="preserve">的</w:t>
      </w:r>
      <w:r>
        <w:rPr>
          <w:rFonts w:hint="eastAsia" w:ascii="宋体" w:hAnsi="宋体" w:eastAsia="宋体" w:cs="宋体"/>
          <w:strike w:val="0"/>
          <w:color w:val="auto"/>
          <w:sz w:val="24"/>
          <w:szCs w:val="24"/>
          <w:u w:val="single"/>
        </w:rPr>
        <w:t xml:space="preserve">（关键组件）</w:t>
      </w:r>
      <w:r>
        <w:rPr>
          <w:rFonts w:hint="eastAsia" w:ascii="宋体" w:hAnsi="宋体" w:eastAsia="宋体" w:cs="宋体"/>
          <w:strike w:val="0"/>
          <w:color w:val="auto"/>
          <w:sz w:val="24"/>
          <w:szCs w:val="24"/>
        </w:rPr>
        <w:t xml:space="preserve">在中国境内生产。</w:t>
      </w:r>
      <w:r>
        <w:rPr>
          <w:rFonts w:hint="eastAsia" w:ascii="宋体" w:hAnsi="宋体" w:eastAsia="宋体" w:cs="宋体"/>
          <w:strike w:val="0"/>
          <w:color w:val="auto"/>
          <w:sz w:val="24"/>
          <w:szCs w:val="24"/>
          <w:u w:val="single"/>
        </w:rPr>
        <w:t xml:space="preserve">（产品名称1）</w:t>
      </w:r>
      <w:r>
        <w:rPr>
          <w:rFonts w:hint="eastAsia" w:ascii="宋体" w:hAnsi="宋体" w:eastAsia="宋体" w:cs="宋体"/>
          <w:strike w:val="0"/>
          <w:color w:val="auto"/>
          <w:sz w:val="24"/>
          <w:szCs w:val="24"/>
        </w:rPr>
        <w:t xml:space="preserve">的</w:t>
      </w:r>
      <w:r>
        <w:rPr>
          <w:rFonts w:hint="eastAsia" w:ascii="宋体" w:hAnsi="宋体" w:eastAsia="宋体" w:cs="宋体"/>
          <w:strike w:val="0"/>
          <w:color w:val="auto"/>
          <w:sz w:val="24"/>
          <w:szCs w:val="24"/>
          <w:u w:val="single"/>
        </w:rPr>
        <w:t xml:space="preserve">（关键工序）</w:t>
      </w:r>
      <w:r>
        <w:rPr>
          <w:rFonts w:hint="eastAsia" w:ascii="宋体" w:hAnsi="宋体" w:eastAsia="宋体" w:cs="宋体"/>
          <w:strike w:val="0"/>
          <w:color w:val="auto"/>
          <w:sz w:val="24"/>
          <w:szCs w:val="24"/>
        </w:rPr>
        <w:t xml:space="preserve">在中国境内完成。</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本公司（单位）对上述声明内容的真实性负责。如有虚假，愿承担相应法律责任。</w:t>
      </w:r>
      <w:r/>
    </w:p>
    <w:p>
      <w:pPr>
        <w:pStyle w:val="726"/>
        <w:ind w:right="0" w:firstLine="480"/>
        <w:jc w:val="right"/>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 公司（单位）名称</w:t>
      </w:r>
      <w:r>
        <w:rPr>
          <w:rFonts w:hint="eastAsia" w:ascii="宋体" w:hAnsi="宋体" w:eastAsia="宋体" w:cs="宋体"/>
          <w:b/>
          <w:bCs/>
          <w:color w:val="auto"/>
          <w:sz w:val="32"/>
          <w:szCs w:val="32"/>
          <w:highlight w:val="none"/>
          <w:lang w:val="en-US" w:eastAsia="zh-CN" w:bidi="ar-SA"/>
        </w:rPr>
        <w:t xml:space="preserve">（盖章）</w:t>
      </w:r>
      <w:r>
        <w:rPr>
          <w:rFonts w:hint="eastAsia" w:ascii="宋体" w:hAnsi="宋体" w:eastAsia="宋体" w:cs="宋体"/>
          <w:strike w:val="0"/>
          <w:color w:val="auto"/>
          <w:sz w:val="24"/>
          <w:szCs w:val="24"/>
        </w:rPr>
        <w:t xml:space="preserve">：　</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                      日期：　   年　  月　  日         __________________</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1.产品如有型号，请在“产品名称”栏一并填写。</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2.生产厂名与厂址应与生产厂营业执照载明的相关信息保持一致。</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3.该产品的中国境内生产的组件成本占比相关要求实施前，“规定比例”栏可不填，下同。</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4.该产品的关键组件要求实施前，“关键组件”栏可不填，下同。</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5.该产品的关键工序要求实施前，“关键工序”栏可不填，下同。</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strike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6.用横线划除的地方无需填写。</w:t>
      </w:r>
      <w:r/>
    </w:p>
    <w:p>
      <w:pPr>
        <w:pStyle w:val="726"/>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trike w:val="0"/>
          <w:color w:val="auto"/>
          <w:sz w:val="24"/>
          <w:szCs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auto"/>
          <w:sz w:val="24"/>
          <w:szCs w:val="24"/>
        </w:rPr>
        <w:t xml:space="preserve"> </w:t>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726"/>
        <w:numPr>
          <w:ilvl w:val="0"/>
          <w:numId w:val="6"/>
        </w:numPr>
        <w:ind w:left="0" w:right="0"/>
        <w:jc w:val="center"/>
        <w:keepLines w:val="0"/>
        <w:keepNext w:val="0"/>
        <w:spacing w:before="0" w:beforeAutospacing="0" w:after="0" w:afterAutospacing="0"/>
        <w:widowControl w:val="off"/>
        <w:rPr>
          <w:rFonts w:hint="eastAsia" w:ascii="宋体" w:hAnsi="宋体" w:eastAsia="宋体" w:cs="宋体"/>
          <w:b/>
          <w:bCs/>
          <w:color w:val="auto"/>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lang w:val="en-US" w:eastAsia="zh-CN"/>
        </w:rPr>
        <w:t xml:space="preserve">项目实施方案</w:t>
      </w:r>
      <w:r/>
    </w:p>
    <w:p>
      <w:pPr>
        <w:pStyle w:val="726"/>
        <w:numPr>
          <w:ilvl w:val="0"/>
          <w:numId w:val="0"/>
        </w:numPr>
        <w:ind w:right="0"/>
        <w:jc w:val="both"/>
        <w:keepLines w:val="0"/>
        <w:keepNext w:val="0"/>
        <w:spacing w:before="0" w:beforeAutospacing="0" w:after="0" w:afterAutospacing="0"/>
        <w:widowControl w:val="off"/>
        <w:rPr>
          <w:rFonts w:hint="eastAsia" w:ascii="宋体" w:hAnsi="宋体" w:eastAsia="宋体" w:cs="宋体"/>
          <w:b/>
          <w:bCs/>
          <w:color w:val="auto"/>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lang w:val="en-US" w:eastAsia="zh-CN"/>
        </w:rPr>
      </w:r>
      <w:r/>
    </w:p>
    <w:p>
      <w:pPr>
        <w:pStyle w:val="726"/>
        <w:numPr>
          <w:ilvl w:val="0"/>
          <w:numId w:val="0"/>
        </w:numPr>
        <w:ind w:right="0"/>
        <w:jc w:val="center"/>
        <w:keepLines w:val="0"/>
        <w:keepNext w:val="0"/>
        <w:spacing w:before="0" w:beforeAutospacing="0" w:after="0" w:afterAutospacing="0"/>
        <w:widowControl w:val="off"/>
        <w:rPr>
          <w:rFonts w:hint="default"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lang w:val="en-US" w:eastAsia="zh-CN"/>
        </w:rPr>
        <w:t xml:space="preserve">根据本项目招标文件第五章评标办法与评标标准“项目实施方案”要求编制</w:t>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firstLine="513"/>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6"/>
        <w:ind w:left="0" w:right="0"/>
        <w:jc w:val="center"/>
        <w:keepLines w:val="0"/>
        <w:keepNext w:val="0"/>
        <w:spacing w:before="0" w:beforeAutospacing="0" w:after="0" w:afterAutospacing="0"/>
        <w:widowControl w:val="off"/>
        <w:rPr>
          <w:rFonts w:hint="eastAsia" w:ascii="宋体" w:hAnsi="宋体" w:eastAsia="宋体" w:cs="宋体"/>
          <w:b/>
          <w:bCs/>
          <w:color w:val="auto"/>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lang w:val="en-US" w:eastAsia="zh-CN"/>
        </w:rPr>
        <w:t xml:space="preserve">十七、售后服务及培训方案</w:t>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726"/>
        <w:numPr>
          <w:ilvl w:val="0"/>
          <w:numId w:val="0"/>
        </w:numPr>
        <w:ind w:right="0"/>
        <w:jc w:val="center"/>
        <w:keepLines w:val="0"/>
        <w:keepNext w:val="0"/>
        <w:spacing w:before="0" w:beforeAutospacing="0" w:after="0" w:afterAutospacing="0"/>
        <w:widowControl w:val="off"/>
        <w:rPr>
          <w:rFonts w:hint="default"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lang w:val="en-US" w:eastAsia="zh-CN"/>
        </w:rPr>
        <w:t xml:space="preserve">根据本项目招标文件第五章评标办法与评标标准“售后服务及培训方案”要求编制</w:t>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499"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lang w:val="en-US" w:eastAsia="zh-CN"/>
        </w:rPr>
        <w:t xml:space="preserve">十八、</w:t>
      </w:r>
      <w:r>
        <w:rPr>
          <w:rFonts w:hint="eastAsia" w:ascii="宋体" w:hAnsi="宋体" w:eastAsia="宋体" w:cs="宋体"/>
          <w:b/>
          <w:bCs/>
          <w:color w:val="auto"/>
          <w:sz w:val="32"/>
          <w:szCs w:val="32"/>
          <w:highlight w:val="none"/>
        </w:rPr>
        <w:t xml:space="preserve">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b/>
          <w:bCs/>
          <w:color w:val="auto"/>
          <w:sz w:val="32"/>
          <w:szCs w:val="32"/>
          <w:highlight w:val="none"/>
        </w:rPr>
        <w:t xml:space="preserve">签名</w:t>
      </w:r>
      <w:r>
        <w:rPr>
          <w:rFonts w:hint="eastAsia" w:ascii="宋体" w:hAnsi="宋体" w:eastAsia="宋体" w:cs="宋体"/>
          <w:color w:val="auto"/>
          <w:sz w:val="24"/>
          <w:highlight w:val="none"/>
        </w:rPr>
        <w:t xml:space="preserve">：</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w:t>
      </w:r>
      <w:r>
        <w:rPr>
          <w:rFonts w:hint="eastAsia" w:ascii="宋体" w:hAnsi="宋体" w:eastAsia="宋体" w:cs="宋体"/>
          <w:b/>
          <w:bCs/>
          <w:color w:val="auto"/>
          <w:sz w:val="32"/>
          <w:szCs w:val="32"/>
          <w:highlight w:val="none"/>
        </w:rPr>
        <w:t xml:space="preserve">（盖章）</w:t>
      </w:r>
      <w:r>
        <w:rPr>
          <w:rFonts w:hint="eastAsia" w:ascii="宋体" w:hAnsi="宋体" w:eastAsia="宋体" w:cs="宋体"/>
          <w:color w:val="auto"/>
          <w:sz w:val="24"/>
          <w:highlight w:val="none"/>
        </w:rPr>
        <w:t xml:space="preserve">：</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499" w:lineRule="atLeas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十九、招标文件中约定的其他材料</w:t>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499" w:lineRule="atLeast"/>
        <w:widowControl/>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质疑函范本</w:t>
      </w:r>
      <w:r/>
    </w:p>
    <w:p>
      <w:pPr>
        <w:pStyle w:val="726"/>
        <w:jc w:val="center"/>
        <w:spacing w:beforeAutospacing="0" w:afterAutospacing="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726"/>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2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b/>
          <w:bCs/>
          <w:color w:val="auto"/>
          <w:sz w:val="32"/>
          <w:szCs w:val="32"/>
          <w:highlight w:val="none"/>
        </w:rPr>
        <w:t xml:space="preserve">(签章)</w:t>
      </w: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公章</w:t>
      </w:r>
      <w:r>
        <w:rPr>
          <w:rFonts w:hint="eastAsia" w:ascii="宋体" w:hAnsi="宋体" w:eastAsia="宋体" w:cs="宋体"/>
          <w:color w:val="auto"/>
          <w:highlight w:val="none"/>
        </w:rPr>
        <w:t xml:space="preserve">：                      </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numPr>
          <w:ilvl w:val="0"/>
          <w:numId w:val="7"/>
        </w:numPr>
        <w:ind w:left="482" w:firstLine="480"/>
        <w:jc w:val="left"/>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供应商提出质疑时，应提交质疑函和必要的证明材料。</w:t>
      </w:r>
      <w:r/>
    </w:p>
    <w:p>
      <w:pPr>
        <w:numPr>
          <w:ilvl w:val="0"/>
          <w:numId w:val="7"/>
        </w:numPr>
        <w:ind w:left="482" w:firstLine="480"/>
        <w:jc w:val="left"/>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numPr>
          <w:ilvl w:val="0"/>
          <w:numId w:val="7"/>
        </w:numPr>
        <w:ind w:left="482" w:firstLine="480"/>
        <w:jc w:val="left"/>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质疑供应商若对项目的某一分包进行质疑，质疑函中应列明具体分包号。</w:t>
      </w:r>
      <w:r/>
    </w:p>
    <w:p>
      <w:pPr>
        <w:numPr>
          <w:ilvl w:val="0"/>
          <w:numId w:val="7"/>
        </w:numPr>
        <w:ind w:left="482" w:firstLine="480"/>
        <w:jc w:val="left"/>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质疑函的质疑事项应具体、明确，并有必要的事实依据和法律依据。</w:t>
      </w:r>
      <w:r/>
    </w:p>
    <w:p>
      <w:pPr>
        <w:numPr>
          <w:ilvl w:val="0"/>
          <w:numId w:val="7"/>
        </w:numPr>
        <w:ind w:left="482" w:firstLine="480"/>
        <w:jc w:val="left"/>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质疑函的质疑请求应与质疑事项相关。</w:t>
      </w:r>
      <w:r/>
    </w:p>
    <w:p>
      <w:pPr>
        <w:numPr>
          <w:ilvl w:val="0"/>
          <w:numId w:val="7"/>
        </w:numPr>
        <w:ind w:left="482" w:firstLine="480"/>
        <w:jc w:val="left"/>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质疑供应商为自然人的，质疑函应由本人签字；质疑供应商为法人或者其他组织的，质疑函应由法定代表人、主要负责人，或者其授权代表签字或者盖章，并加盖公章。</w:t>
      </w:r>
      <w:r/>
    </w:p>
    <w:p>
      <w:pPr>
        <w:pStyle w:val="726"/>
        <w:jc w:val="center"/>
        <w:spacing w:before="0" w:beforeAutospacing="0" w:after="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423"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方正仿宋_GBK">
    <w:panose1 w:val="020B0503020202020204"/>
  </w:font>
  <w:font w:name="楷体_GB2312">
    <w:panose1 w:val="02010609060101010101"/>
  </w:font>
  <w:font w:name="Calibri">
    <w:panose1 w:val="020F0502020204030204"/>
  </w:font>
  <w:font w:name="Courier New">
    <w:panose1 w:val="02070309020205020404"/>
  </w:font>
  <w:font w:name="Symbol">
    <w:panose1 w:val="05050102010706020507"/>
  </w:font>
  <w:font w:name="方正兰亭黑_GBK">
    <w:panose1 w:val="020B0503020202020204"/>
  </w:font>
  <w:font w:name="楷体">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5207"/>
      <w:rPr/>
    </w:sdtPr>
    <w:sdtContent>
      <w:p>
        <w:pPr>
          <w:pStyle w:val="71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57</w:t>
                    </w:r>
                    <w:r>
                      <w:fldChar w:fldCharType="end"/>
                    </w:r>
                    <w:r/>
                  </w:p>
                </w:txbxContent>
              </v:textbox>
            </v:shape>
          </w:pict>
        </mc:Fallback>
      </mc:AlternateContent>
    </w:r>
    <w:sdt>
      <w:sdtPr>
        <w15:appearance w15:val="boundingBox"/>
        <w:id w:val="1325167778"/>
        <w:showingPlcHdr w:val="true"/>
        <w:docPartObj>
          <w:docPartGallery w:val="autotext"/>
        </w:docPartObj>
        <w:rPr/>
      </w:sdtPr>
      <w:sdtContent>
        <w:r>
          <w:rPr>
            <w:rFonts w:hint="eastAsia"/>
            <w:lang w:eastAsia="zh-CN"/>
          </w:rPr>
          <w:t xml:space="preserve">     </w:t>
        </w:r>
      </w:sdtContent>
    </w:sdt>
    <w:r/>
    <w:r/>
  </w:p>
  <w:p>
    <w:pPr>
      <w:pStyle w:val="94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9">
    <w:name w:val="Heading 1"/>
    <w:basedOn w:val="688"/>
    <w:next w:val="688"/>
    <w:link w:val="769"/>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701"/>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691">
    <w:name w:val="Heading 3"/>
    <w:basedOn w:val="688"/>
    <w:next w:val="688"/>
    <w:uiPriority w:val="99"/>
    <w:qFormat/>
    <w:pPr>
      <w:ind w:firstLine="137"/>
      <w:keepLines/>
      <w:keepNext/>
      <w:spacing w:line="415" w:lineRule="auto"/>
      <w:outlineLvl w:val="2"/>
    </w:pPr>
    <w:rPr>
      <w:rFonts w:hAnsi="黑体" w:eastAsia="黑体"/>
      <w:sz w:val="24"/>
      <w:szCs w:val="20"/>
    </w:rPr>
  </w:style>
  <w:style w:type="paragraph" w:styleId="692">
    <w:name w:val="Heading 4"/>
    <w:basedOn w:val="688"/>
    <w:next w:val="688"/>
    <w:uiPriority w:val="9"/>
    <w:semiHidden/>
    <w:unhideWhenUsed/>
    <w:qFormat/>
    <w:pPr>
      <w:keepLines/>
      <w:keepNext/>
      <w:spacing w:before="80" w:after="40"/>
      <w:outlineLvl w:val="3"/>
    </w:pPr>
    <w:rPr>
      <w:rFonts w:cstheme="majorBidi"/>
      <w:color w:val="2e75b6" w:themeColor="accent1" w:themeShade="BF"/>
      <w:sz w:val="28"/>
      <w:szCs w:val="28"/>
    </w:rPr>
  </w:style>
  <w:style w:type="paragraph" w:styleId="693">
    <w:name w:val="Heading 5"/>
    <w:basedOn w:val="688"/>
    <w:next w:val="688"/>
    <w:link w:val="773"/>
    <w:uiPriority w:val="9"/>
    <w:unhideWhenUsed/>
    <w:qFormat/>
    <w:pPr>
      <w:keepLines/>
      <w:keepNext/>
      <w:spacing w:before="320" w:after="200"/>
      <w:outlineLvl w:val="4"/>
    </w:pPr>
    <w:rPr>
      <w:rFonts w:ascii="Arial" w:hAnsi="Arial" w:eastAsia="Arial" w:cs="Arial"/>
      <w:b/>
      <w:bCs/>
      <w:sz w:val="24"/>
    </w:rPr>
  </w:style>
  <w:style w:type="paragraph" w:styleId="694">
    <w:name w:val="Heading 6"/>
    <w:basedOn w:val="688"/>
    <w:next w:val="688"/>
    <w:link w:val="774"/>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76"/>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77"/>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01">
    <w:name w:val="Normal Indent"/>
    <w:basedOn w:val="688"/>
    <w:uiPriority w:val="0"/>
    <w:qFormat/>
    <w:pPr>
      <w:ind w:firstLine="420"/>
    </w:pPr>
  </w:style>
  <w:style w:type="paragraph" w:styleId="702">
    <w:name w:val="toc 7"/>
    <w:basedOn w:val="688"/>
    <w:next w:val="688"/>
    <w:uiPriority w:val="39"/>
    <w:unhideWhenUsed/>
    <w:qFormat/>
    <w:pPr>
      <w:ind w:left="1701"/>
      <w:spacing w:after="57"/>
    </w:pPr>
  </w:style>
  <w:style w:type="paragraph" w:styleId="703">
    <w:name w:val="Caption"/>
    <w:basedOn w:val="688"/>
    <w:next w:val="68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4">
    <w:name w:val="index 5"/>
    <w:basedOn w:val="688"/>
    <w:next w:val="688"/>
    <w:uiPriority w:val="0"/>
    <w:qFormat/>
    <w:pPr>
      <w:ind w:left="1680"/>
    </w:pPr>
  </w:style>
  <w:style w:type="paragraph" w:styleId="705">
    <w:name w:val="annotation text"/>
    <w:basedOn w:val="688"/>
    <w:uiPriority w:val="99"/>
    <w:semiHidden/>
    <w:unhideWhenUsed/>
    <w:qFormat/>
    <w:pPr>
      <w:jc w:val="left"/>
    </w:pPr>
  </w:style>
  <w:style w:type="paragraph" w:styleId="706">
    <w:name w:val="Body Text"/>
    <w:basedOn w:val="688"/>
    <w:uiPriority w:val="0"/>
    <w:qFormat/>
    <w:rPr>
      <w:rFonts w:ascii="楷体" w:hAnsi="Arial" w:eastAsia="楷体"/>
      <w:sz w:val="28"/>
      <w:szCs w:val="20"/>
    </w:rPr>
  </w:style>
  <w:style w:type="paragraph" w:styleId="707">
    <w:name w:val="Body Text Indent"/>
    <w:basedOn w:val="688"/>
    <w:next w:val="708"/>
    <w:uiPriority w:val="0"/>
    <w:unhideWhenUsed/>
    <w:qFormat/>
    <w:pPr>
      <w:ind w:firstLine="557"/>
      <w:spacing w:line="360" w:lineRule="auto"/>
    </w:pPr>
    <w:rPr>
      <w:rFonts w:ascii="宋体" w:hAnsi="宋体"/>
      <w:color w:val="000000"/>
      <w:sz w:val="28"/>
      <w:szCs w:val="32"/>
    </w:rPr>
  </w:style>
  <w:style w:type="paragraph" w:styleId="708">
    <w:name w:val="envelope return"/>
    <w:basedOn w:val="688"/>
    <w:uiPriority w:val="0"/>
    <w:qFormat/>
    <w:rPr>
      <w:rFonts w:ascii="Arial" w:hAnsi="Arial" w:eastAsia="宋体" w:cs="Times New Roman"/>
    </w:rPr>
  </w:style>
  <w:style w:type="paragraph" w:styleId="709">
    <w:name w:val="Block Text"/>
    <w:basedOn w:val="688"/>
    <w:next w:val="692"/>
    <w:uiPriority w:val="99"/>
    <w:unhideWhenUsed/>
    <w:qFormat/>
    <w:pPr>
      <w:ind w:left="1440" w:right="1440"/>
      <w:spacing w:after="120"/>
    </w:pPr>
  </w:style>
  <w:style w:type="paragraph" w:styleId="710">
    <w:name w:val="toc 5"/>
    <w:basedOn w:val="688"/>
    <w:next w:val="688"/>
    <w:uiPriority w:val="39"/>
    <w:unhideWhenUsed/>
    <w:qFormat/>
    <w:pPr>
      <w:ind w:left="1134"/>
      <w:spacing w:after="57"/>
    </w:pPr>
  </w:style>
  <w:style w:type="paragraph" w:styleId="711">
    <w:name w:val="toc 3"/>
    <w:basedOn w:val="688"/>
    <w:next w:val="688"/>
    <w:uiPriority w:val="39"/>
    <w:unhideWhenUsed/>
    <w:qFormat/>
    <w:pPr>
      <w:ind w:left="567"/>
      <w:spacing w:after="57"/>
    </w:pPr>
  </w:style>
  <w:style w:type="paragraph" w:styleId="712">
    <w:name w:val="Plain Text"/>
    <w:basedOn w:val="688"/>
    <w:uiPriority w:val="0"/>
    <w:qFormat/>
    <w:pPr>
      <w:spacing w:line="400" w:lineRule="exact"/>
    </w:pPr>
    <w:rPr>
      <w:rFonts w:ascii="宋体" w:hAnsi="Courier New"/>
      <w:szCs w:val="20"/>
    </w:rPr>
  </w:style>
  <w:style w:type="paragraph" w:styleId="713">
    <w:name w:val="toc 8"/>
    <w:basedOn w:val="688"/>
    <w:next w:val="688"/>
    <w:uiPriority w:val="39"/>
    <w:unhideWhenUsed/>
    <w:qFormat/>
    <w:pPr>
      <w:ind w:left="1984"/>
      <w:spacing w:after="57"/>
    </w:pPr>
  </w:style>
  <w:style w:type="paragraph" w:styleId="714">
    <w:name w:val="Body Text Indent 2"/>
    <w:basedOn w:val="688"/>
    <w:next w:val="688"/>
    <w:uiPriority w:val="99"/>
    <w:qFormat/>
    <w:pPr>
      <w:ind w:left="640"/>
      <w:spacing w:after="120" w:line="480" w:lineRule="auto"/>
    </w:pPr>
    <w:rPr>
      <w:rFonts w:ascii="Calibri" w:hAnsi="Calibri" w:eastAsia="仿宋_GB2312" w:cs="宋体"/>
      <w:sz w:val="32"/>
      <w:szCs w:val="28"/>
    </w:rPr>
  </w:style>
  <w:style w:type="paragraph" w:styleId="715">
    <w:name w:val="endnote text"/>
    <w:basedOn w:val="688"/>
    <w:link w:val="914"/>
    <w:uiPriority w:val="99"/>
    <w:semiHidden/>
    <w:unhideWhenUsed/>
    <w:qFormat/>
    <w:rPr>
      <w:sz w:val="20"/>
    </w:rPr>
  </w:style>
  <w:style w:type="paragraph" w:styleId="716">
    <w:name w:val="Footer"/>
    <w:basedOn w:val="688"/>
    <w:link w:val="918"/>
    <w:uiPriority w:val="99"/>
    <w:qFormat/>
    <w:pPr>
      <w:jc w:val="left"/>
      <w:tabs>
        <w:tab w:val="center" w:pos="4153" w:leader="none"/>
        <w:tab w:val="right" w:pos="8306" w:leader="none"/>
      </w:tabs>
    </w:pPr>
    <w:rPr>
      <w:sz w:val="18"/>
      <w:szCs w:val="18"/>
    </w:rPr>
  </w:style>
  <w:style w:type="paragraph" w:styleId="717">
    <w:name w:val="Header"/>
    <w:basedOn w:val="688"/>
    <w:link w:val="917"/>
    <w:uiPriority w:val="0"/>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88"/>
    <w:next w:val="688"/>
    <w:uiPriority w:val="39"/>
    <w:unhideWhenUsed/>
    <w:qFormat/>
    <w:pPr>
      <w:spacing w:after="57"/>
    </w:pPr>
  </w:style>
  <w:style w:type="paragraph" w:styleId="719">
    <w:name w:val="toc 4"/>
    <w:basedOn w:val="688"/>
    <w:next w:val="688"/>
    <w:uiPriority w:val="0"/>
    <w:qFormat/>
    <w:pPr>
      <w:ind w:left="1260"/>
    </w:pPr>
  </w:style>
  <w:style w:type="paragraph" w:styleId="720">
    <w:name w:val="Subtitle"/>
    <w:basedOn w:val="688"/>
    <w:next w:val="688"/>
    <w:link w:val="780"/>
    <w:uiPriority w:val="11"/>
    <w:qFormat/>
    <w:pPr>
      <w:spacing w:before="200" w:after="200"/>
    </w:pPr>
    <w:rPr>
      <w:sz w:val="24"/>
    </w:rPr>
  </w:style>
  <w:style w:type="paragraph" w:styleId="721">
    <w:name w:val="footnote text"/>
    <w:basedOn w:val="688"/>
    <w:link w:val="913"/>
    <w:uiPriority w:val="99"/>
    <w:semiHidden/>
    <w:unhideWhenUsed/>
    <w:qFormat/>
    <w:pPr>
      <w:spacing w:after="40"/>
    </w:pPr>
    <w:rPr>
      <w:sz w:val="18"/>
    </w:rPr>
  </w:style>
  <w:style w:type="paragraph" w:styleId="722">
    <w:name w:val="toc 6"/>
    <w:basedOn w:val="688"/>
    <w:next w:val="688"/>
    <w:uiPriority w:val="39"/>
    <w:unhideWhenUsed/>
    <w:qFormat/>
    <w:pPr>
      <w:ind w:left="1417"/>
      <w:spacing w:after="57"/>
    </w:pPr>
  </w:style>
  <w:style w:type="paragraph" w:styleId="723">
    <w:name w:val="table of figures"/>
    <w:basedOn w:val="688"/>
    <w:next w:val="688"/>
    <w:uiPriority w:val="99"/>
    <w:unhideWhenUsed/>
    <w:qFormat/>
  </w:style>
  <w:style w:type="paragraph" w:styleId="724">
    <w:name w:val="toc 2"/>
    <w:basedOn w:val="688"/>
    <w:next w:val="688"/>
    <w:uiPriority w:val="39"/>
    <w:unhideWhenUsed/>
    <w:qFormat/>
    <w:pPr>
      <w:ind w:left="283"/>
      <w:spacing w:after="57"/>
    </w:pPr>
  </w:style>
  <w:style w:type="paragraph" w:styleId="725">
    <w:name w:val="toc 9"/>
    <w:basedOn w:val="688"/>
    <w:next w:val="688"/>
    <w:uiPriority w:val="39"/>
    <w:unhideWhenUsed/>
    <w:qFormat/>
    <w:pPr>
      <w:ind w:left="2268"/>
      <w:spacing w:after="57"/>
    </w:pPr>
  </w:style>
  <w:style w:type="paragraph" w:styleId="726">
    <w:name w:val="Normal (Web)"/>
    <w:basedOn w:val="688"/>
    <w:uiPriority w:val="0"/>
    <w:qFormat/>
    <w:pPr>
      <w:jc w:val="left"/>
      <w:spacing w:beforeAutospacing="1" w:afterAutospacing="1"/>
    </w:pPr>
    <w:rPr>
      <w:rFonts w:cs="Times New Roman"/>
      <w:sz w:val="24"/>
    </w:rPr>
  </w:style>
  <w:style w:type="paragraph" w:styleId="727">
    <w:name w:val="Title"/>
    <w:basedOn w:val="688"/>
    <w:next w:val="688"/>
    <w:link w:val="779"/>
    <w:uiPriority w:val="10"/>
    <w:qFormat/>
    <w:pPr>
      <w:contextualSpacing/>
      <w:spacing w:before="300" w:after="200"/>
    </w:pPr>
    <w:rPr>
      <w:sz w:val="48"/>
      <w:szCs w:val="48"/>
    </w:rPr>
  </w:style>
  <w:style w:type="paragraph" w:styleId="728">
    <w:name w:val="Body Text First Indent"/>
    <w:basedOn w:val="688"/>
    <w:next w:val="722"/>
    <w:uiPriority w:val="99"/>
    <w:qFormat/>
    <w:pPr>
      <w:ind w:firstLine="200"/>
      <w:spacing w:line="360" w:lineRule="auto"/>
    </w:pPr>
    <w:rPr>
      <w:rFonts w:ascii="仿宋_GB2312" w:eastAsia="仿宋_GB2312"/>
      <w:sz w:val="30"/>
      <w:szCs w:val="30"/>
    </w:rPr>
  </w:style>
  <w:style w:type="paragraph" w:styleId="729">
    <w:name w:val="Body Text First Indent 2"/>
    <w:basedOn w:val="707"/>
    <w:next w:val="688"/>
    <w:uiPriority w:val="99"/>
    <w:qFormat/>
    <w:pPr>
      <w:ind w:firstLine="420"/>
    </w:pPr>
    <w:rPr>
      <w:rFonts w:eastAsia="宋体" w:cs="宋体"/>
      <w:sz w:val="21"/>
      <w:szCs w:val="21"/>
    </w:rPr>
  </w:style>
  <w:style w:type="table" w:styleId="730">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Strong"/>
    <w:basedOn w:val="698"/>
    <w:uiPriority w:val="22"/>
    <w:qFormat/>
    <w:rPr>
      <w:b/>
      <w:bCs/>
    </w:rPr>
  </w:style>
  <w:style w:type="character" w:styleId="732">
    <w:name w:val="endnote reference"/>
    <w:basedOn w:val="698"/>
    <w:uiPriority w:val="99"/>
    <w:semiHidden/>
    <w:unhideWhenUsed/>
    <w:qFormat/>
    <w:rPr>
      <w:vertAlign w:val="superscript"/>
    </w:rPr>
  </w:style>
  <w:style w:type="character" w:styleId="733">
    <w:name w:val="Hyperlink"/>
    <w:basedOn w:val="698"/>
    <w:uiPriority w:val="0"/>
    <w:qFormat/>
    <w:rPr>
      <w:color w:val="0000ff"/>
      <w:u w:val="single"/>
    </w:rPr>
  </w:style>
  <w:style w:type="character" w:styleId="734">
    <w:name w:val="footnote reference"/>
    <w:basedOn w:val="698"/>
    <w:uiPriority w:val="99"/>
    <w:unhideWhenUsed/>
    <w:qFormat/>
    <w:rPr>
      <w:vertAlign w:val="superscript"/>
    </w:rPr>
  </w:style>
  <w:style w:type="character" w:styleId="735" w:customStyle="1">
    <w:name w:val="Heading 1 Char"/>
    <w:basedOn w:val="698"/>
    <w:uiPriority w:val="9"/>
    <w:qFormat/>
    <w:rPr>
      <w:rFonts w:ascii="Arial" w:hAnsi="Arial" w:eastAsia="Arial" w:cs="Arial"/>
      <w:sz w:val="40"/>
      <w:szCs w:val="40"/>
    </w:rPr>
  </w:style>
  <w:style w:type="character" w:styleId="736" w:customStyle="1">
    <w:name w:val="Heading 5 Char"/>
    <w:basedOn w:val="698"/>
    <w:uiPriority w:val="9"/>
    <w:qFormat/>
    <w:rPr>
      <w:rFonts w:ascii="Arial" w:hAnsi="Arial" w:eastAsia="Arial" w:cs="Arial"/>
      <w:b/>
      <w:bCs/>
      <w:sz w:val="24"/>
      <w:szCs w:val="24"/>
    </w:rPr>
  </w:style>
  <w:style w:type="character" w:styleId="737" w:customStyle="1">
    <w:name w:val="Heading 6 Char"/>
    <w:basedOn w:val="698"/>
    <w:uiPriority w:val="9"/>
    <w:qFormat/>
    <w:rPr>
      <w:rFonts w:ascii="Arial" w:hAnsi="Arial" w:eastAsia="Arial" w:cs="Arial"/>
      <w:b/>
      <w:bCs/>
      <w:sz w:val="22"/>
      <w:szCs w:val="22"/>
    </w:rPr>
  </w:style>
  <w:style w:type="character" w:styleId="738" w:customStyle="1">
    <w:name w:val="Heading 7 Char"/>
    <w:basedOn w:val="698"/>
    <w:uiPriority w:val="9"/>
    <w:qFormat/>
    <w:rPr>
      <w:rFonts w:ascii="Arial" w:hAnsi="Arial" w:eastAsia="Arial" w:cs="Arial"/>
      <w:b/>
      <w:bCs/>
      <w:i/>
      <w:iCs/>
      <w:sz w:val="22"/>
      <w:szCs w:val="22"/>
    </w:rPr>
  </w:style>
  <w:style w:type="character" w:styleId="739" w:customStyle="1">
    <w:name w:val="Heading 8 Char"/>
    <w:basedOn w:val="698"/>
    <w:uiPriority w:val="9"/>
    <w:qFormat/>
    <w:rPr>
      <w:rFonts w:ascii="Arial" w:hAnsi="Arial" w:eastAsia="Arial" w:cs="Arial"/>
      <w:i/>
      <w:iCs/>
      <w:sz w:val="22"/>
      <w:szCs w:val="22"/>
    </w:rPr>
  </w:style>
  <w:style w:type="character" w:styleId="740" w:customStyle="1">
    <w:name w:val="Heading 9 Char"/>
    <w:basedOn w:val="698"/>
    <w:uiPriority w:val="9"/>
    <w:qFormat/>
    <w:rPr>
      <w:rFonts w:ascii="Arial" w:hAnsi="Arial" w:eastAsia="Arial" w:cs="Arial"/>
      <w:i/>
      <w:iCs/>
      <w:sz w:val="21"/>
      <w:szCs w:val="21"/>
    </w:rPr>
  </w:style>
  <w:style w:type="character" w:styleId="741" w:customStyle="1">
    <w:name w:val="Title Char"/>
    <w:basedOn w:val="698"/>
    <w:uiPriority w:val="10"/>
    <w:qFormat/>
    <w:rPr>
      <w:sz w:val="48"/>
      <w:szCs w:val="48"/>
    </w:rPr>
  </w:style>
  <w:style w:type="character" w:styleId="742" w:customStyle="1">
    <w:name w:val="Subtitle Char"/>
    <w:basedOn w:val="698"/>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table" w:styleId="745"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Heading"/>
    <w:uiPriority w:val="39"/>
    <w:unhideWhenUsed/>
    <w:qFormat/>
    <w:rPr>
      <w:rFonts w:hint="default" w:ascii="Times New Roman" w:hAnsi="Times New Roman" w:eastAsia="宋体" w:cs="Times New Roman"/>
      <w:lang w:val="en-US" w:eastAsia="zh-CN" w:bidi="bo-CN"/>
    </w:rPr>
  </w:style>
  <w:style w:type="paragraph" w:styleId="767" w:customStyle="1">
    <w:name w:val="正文首行缩进1"/>
    <w:basedOn w:val="688"/>
    <w:uiPriority w:val="99"/>
    <w:qFormat/>
    <w:pPr>
      <w:ind w:firstLine="200"/>
      <w:spacing w:line="360" w:lineRule="auto"/>
    </w:pPr>
  </w:style>
  <w:style w:type="paragraph" w:styleId="768" w:customStyle="1">
    <w:name w:val="目录 61"/>
    <w:basedOn w:val="688"/>
    <w:next w:val="688"/>
    <w:uiPriority w:val="39"/>
    <w:unhideWhenUsed/>
    <w:qFormat/>
    <w:pPr>
      <w:ind w:left="2100"/>
    </w:pPr>
  </w:style>
  <w:style w:type="character" w:styleId="769" w:customStyle="1">
    <w:name w:val="标题 1 字符"/>
    <w:basedOn w:val="698"/>
    <w:link w:val="689"/>
    <w:uiPriority w:val="9"/>
    <w:qFormat/>
    <w:rPr>
      <w:rFonts w:ascii="Arial" w:hAnsi="Arial" w:eastAsia="Arial" w:cs="Arial"/>
      <w:sz w:val="40"/>
      <w:szCs w:val="40"/>
    </w:rPr>
  </w:style>
  <w:style w:type="character" w:styleId="770" w:customStyle="1">
    <w:name w:val="Heading 2 Char"/>
    <w:basedOn w:val="698"/>
    <w:uiPriority w:val="9"/>
    <w:qFormat/>
    <w:rPr>
      <w:rFonts w:ascii="Arial" w:hAnsi="Arial" w:eastAsia="Arial" w:cs="Arial"/>
      <w:sz w:val="34"/>
    </w:rPr>
  </w:style>
  <w:style w:type="character" w:styleId="771" w:customStyle="1">
    <w:name w:val="Heading 3 Char"/>
    <w:basedOn w:val="698"/>
    <w:uiPriority w:val="9"/>
    <w:qFormat/>
    <w:rPr>
      <w:rFonts w:ascii="Arial" w:hAnsi="Arial" w:eastAsia="Arial" w:cs="Arial"/>
      <w:sz w:val="30"/>
      <w:szCs w:val="30"/>
    </w:rPr>
  </w:style>
  <w:style w:type="character" w:styleId="772" w:customStyle="1">
    <w:name w:val="Heading 4 Char"/>
    <w:basedOn w:val="698"/>
    <w:uiPriority w:val="9"/>
    <w:qFormat/>
    <w:rPr>
      <w:rFonts w:ascii="Arial" w:hAnsi="Arial" w:eastAsia="Arial" w:cs="Arial"/>
      <w:b/>
      <w:bCs/>
      <w:sz w:val="26"/>
      <w:szCs w:val="26"/>
    </w:rPr>
  </w:style>
  <w:style w:type="character" w:styleId="773" w:customStyle="1">
    <w:name w:val="标题 5 字符"/>
    <w:basedOn w:val="698"/>
    <w:link w:val="693"/>
    <w:uiPriority w:val="9"/>
    <w:qFormat/>
    <w:rPr>
      <w:rFonts w:ascii="Arial" w:hAnsi="Arial" w:eastAsia="Arial" w:cs="Arial"/>
      <w:b/>
      <w:bCs/>
      <w:sz w:val="24"/>
      <w:szCs w:val="24"/>
    </w:rPr>
  </w:style>
  <w:style w:type="character" w:styleId="774" w:customStyle="1">
    <w:name w:val="标题 6 字符"/>
    <w:basedOn w:val="698"/>
    <w:link w:val="694"/>
    <w:uiPriority w:val="9"/>
    <w:qFormat/>
    <w:rPr>
      <w:rFonts w:ascii="Arial" w:hAnsi="Arial" w:eastAsia="Arial" w:cs="Arial"/>
      <w:b/>
      <w:bCs/>
      <w:sz w:val="22"/>
      <w:szCs w:val="22"/>
    </w:rPr>
  </w:style>
  <w:style w:type="character" w:styleId="775" w:customStyle="1">
    <w:name w:val="标题 7 字符"/>
    <w:basedOn w:val="698"/>
    <w:link w:val="695"/>
    <w:uiPriority w:val="9"/>
    <w:qFormat/>
    <w:rPr>
      <w:rFonts w:ascii="Arial" w:hAnsi="Arial" w:eastAsia="Arial" w:cs="Arial"/>
      <w:b/>
      <w:bCs/>
      <w:i/>
      <w:iCs/>
      <w:sz w:val="22"/>
      <w:szCs w:val="22"/>
    </w:rPr>
  </w:style>
  <w:style w:type="character" w:styleId="776" w:customStyle="1">
    <w:name w:val="标题 8 字符"/>
    <w:basedOn w:val="698"/>
    <w:link w:val="696"/>
    <w:uiPriority w:val="9"/>
    <w:qFormat/>
    <w:rPr>
      <w:rFonts w:ascii="Arial" w:hAnsi="Arial" w:eastAsia="Arial" w:cs="Arial"/>
      <w:i/>
      <w:iCs/>
      <w:sz w:val="22"/>
      <w:szCs w:val="22"/>
    </w:rPr>
  </w:style>
  <w:style w:type="character" w:styleId="777" w:customStyle="1">
    <w:name w:val="标题 9 字符"/>
    <w:basedOn w:val="698"/>
    <w:link w:val="697"/>
    <w:uiPriority w:val="9"/>
    <w:qFormat/>
    <w:rPr>
      <w:rFonts w:ascii="Arial" w:hAnsi="Arial" w:eastAsia="Arial" w:cs="Arial"/>
      <w:i/>
      <w:iCs/>
      <w:sz w:val="21"/>
      <w:szCs w:val="21"/>
    </w:rPr>
  </w:style>
  <w:style w:type="paragraph" w:styleId="778">
    <w:name w:val="List Paragraph"/>
    <w:basedOn w:val="688"/>
    <w:uiPriority w:val="34"/>
    <w:qFormat/>
    <w:pPr>
      <w:contextualSpacing/>
      <w:ind w:left="720"/>
    </w:pPr>
  </w:style>
  <w:style w:type="character" w:styleId="779" w:customStyle="1">
    <w:name w:val="标题 字符"/>
    <w:basedOn w:val="698"/>
    <w:link w:val="727"/>
    <w:uiPriority w:val="10"/>
    <w:qFormat/>
    <w:rPr>
      <w:sz w:val="48"/>
      <w:szCs w:val="48"/>
    </w:rPr>
  </w:style>
  <w:style w:type="character" w:styleId="780" w:customStyle="1">
    <w:name w:val="副标题 字符"/>
    <w:basedOn w:val="698"/>
    <w:link w:val="720"/>
    <w:uiPriority w:val="11"/>
    <w:qFormat/>
    <w:rPr>
      <w:sz w:val="24"/>
      <w:szCs w:val="24"/>
    </w:rPr>
  </w:style>
  <w:style w:type="paragraph" w:styleId="781">
    <w:name w:val="Quote"/>
    <w:basedOn w:val="688"/>
    <w:next w:val="688"/>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88"/>
    <w:next w:val="688"/>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Header Char"/>
    <w:basedOn w:val="698"/>
    <w:uiPriority w:val="99"/>
    <w:qFormat/>
  </w:style>
  <w:style w:type="character" w:styleId="786" w:customStyle="1">
    <w:name w:val="Footer Char"/>
    <w:basedOn w:val="698"/>
    <w:uiPriority w:val="99"/>
    <w:qFormat/>
  </w:style>
  <w:style w:type="character" w:styleId="787" w:customStyle="1">
    <w:name w:val="Caption Char"/>
    <w:uiPriority w:val="99"/>
    <w:qFormat/>
  </w:style>
  <w:style w:type="table" w:styleId="788"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7"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8"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9"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0"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1"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2"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4"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5"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6"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7"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8"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9"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3"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69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69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69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2"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3"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4"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5"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6"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7"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4"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0"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6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69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0"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4"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清单表 7 彩色1"/>
    <w:basedOn w:val="6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69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69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69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69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69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69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8"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2"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脚注文本 字符"/>
    <w:link w:val="721"/>
    <w:uiPriority w:val="99"/>
    <w:qFormat/>
    <w:rPr>
      <w:sz w:val="18"/>
    </w:rPr>
  </w:style>
  <w:style w:type="character" w:styleId="914" w:customStyle="1">
    <w:name w:val="尾注文本 字符"/>
    <w:link w:val="715"/>
    <w:uiPriority w:val="99"/>
    <w:qFormat/>
    <w:rPr>
      <w:sz w:val="20"/>
    </w:rPr>
  </w:style>
  <w:style w:type="paragraph" w:styleId="915" w:customStyle="1">
    <w:name w:val="TOC 标题1"/>
    <w:uiPriority w:val="39"/>
    <w:unhideWhenUsed/>
    <w:qFormat/>
    <w:rPr>
      <w:rFonts w:hint="default" w:ascii="Times New Roman" w:hAnsi="Times New Roman" w:eastAsia="宋体" w:cs="Times New Roman"/>
      <w:lang w:val="en-US" w:eastAsia="zh-CN" w:bidi="bo-CN"/>
    </w:rPr>
  </w:style>
  <w:style w:type="paragraph" w:styleId="916" w:customStyle="1">
    <w:name w:val="文本块1"/>
    <w:basedOn w:val="688"/>
    <w:uiPriority w:val="99"/>
    <w:qFormat/>
    <w:pPr>
      <w:ind w:left="1440" w:right="1440"/>
      <w:spacing w:after="120"/>
      <w:tabs>
        <w:tab w:val="left" w:pos="9000" w:leader="none"/>
      </w:tabs>
    </w:pPr>
  </w:style>
  <w:style w:type="character" w:styleId="917" w:customStyle="1">
    <w:name w:val="页眉 字符"/>
    <w:basedOn w:val="698"/>
    <w:link w:val="717"/>
    <w:uiPriority w:val="0"/>
    <w:qFormat/>
    <w:rPr>
      <w:rFonts w:asciiTheme="minorHAnsi" w:hAnsiTheme="minorHAnsi" w:eastAsiaTheme="minorEastAsia" w:cstheme="minorBidi"/>
      <w:sz w:val="18"/>
      <w:szCs w:val="18"/>
    </w:rPr>
  </w:style>
  <w:style w:type="character" w:styleId="918" w:customStyle="1">
    <w:name w:val="页脚 字符"/>
    <w:basedOn w:val="698"/>
    <w:link w:val="716"/>
    <w:uiPriority w:val="99"/>
    <w:qFormat/>
    <w:rPr>
      <w:rFonts w:asciiTheme="minorHAnsi" w:hAnsiTheme="minorHAnsi" w:eastAsiaTheme="minorEastAsia" w:cstheme="minorBidi"/>
      <w:sz w:val="18"/>
      <w:szCs w:val="18"/>
    </w:rPr>
  </w:style>
  <w:style w:type="paragraph" w:styleId="919" w:customStyle="1">
    <w:name w:val="列出段落1"/>
    <w:basedOn w:val="688"/>
    <w:uiPriority w:val="0"/>
    <w:qFormat/>
    <w:pPr>
      <w:contextualSpacing/>
      <w:ind w:left="720"/>
      <w:jc w:val="left"/>
      <w:widowControl/>
    </w:pPr>
    <w:rPr>
      <w:sz w:val="24"/>
      <w:lang w:eastAsia="en-US" w:bidi="en-US"/>
    </w:rPr>
  </w:style>
  <w:style w:type="paragraph" w:styleId="920" w:customStyle="1">
    <w:name w:val="正文首行缩进 21"/>
    <w:basedOn w:val="921"/>
    <w:uiPriority w:val="0"/>
    <w:qFormat/>
    <w:pPr>
      <w:ind w:firstLine="200"/>
    </w:pPr>
  </w:style>
  <w:style w:type="paragraph" w:styleId="921" w:customStyle="1">
    <w:name w:val="正文文本缩进1"/>
    <w:basedOn w:val="688"/>
    <w:uiPriority w:val="0"/>
    <w:qFormat/>
    <w:pPr>
      <w:ind w:left="420"/>
      <w:spacing w:after="120"/>
    </w:pPr>
  </w:style>
  <w:style w:type="paragraph" w:styleId="922" w:customStyle="1">
    <w:name w:val="正文文本缩进 New"/>
    <w:basedOn w:val="923"/>
    <w:next w:val="924"/>
    <w:uiPriority w:val="0"/>
    <w:qFormat/>
    <w:pPr>
      <w:ind w:left="420"/>
      <w:spacing w:after="120"/>
    </w:pPr>
  </w:style>
  <w:style w:type="paragraph" w:styleId="923" w:customStyle="1">
    <w:name w:val="正文 New"/>
    <w:next w:val="9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4" w:customStyle="1">
    <w:name w:val="寄信人地址 New"/>
    <w:basedOn w:val="923"/>
    <w:uiPriority w:val="0"/>
    <w:qFormat/>
    <w:rPr>
      <w:rFonts w:ascii="Arial" w:hAnsi="Arial"/>
    </w:rPr>
  </w:style>
  <w:style w:type="character" w:styleId="925" w:customStyle="1">
    <w:name w:val="NormalCharacter"/>
    <w:uiPriority w:val="0"/>
    <w:qFormat/>
  </w:style>
  <w:style w:type="character" w:styleId="926" w:customStyle="1">
    <w:name w:val="font41"/>
    <w:basedOn w:val="698"/>
    <w:uiPriority w:val="0"/>
    <w:qFormat/>
    <w:rPr>
      <w:rFonts w:hint="default" w:ascii="Times New Roman" w:hAnsi="Times New Roman" w:cs="Times New Roman"/>
      <w:color w:val="000000"/>
      <w:sz w:val="21"/>
      <w:szCs w:val="21"/>
      <w:u w:val="none"/>
    </w:rPr>
  </w:style>
  <w:style w:type="character" w:styleId="927" w:customStyle="1">
    <w:name w:val="font21"/>
    <w:basedOn w:val="698"/>
    <w:uiPriority w:val="0"/>
    <w:qFormat/>
    <w:rPr>
      <w:rFonts w:hint="eastAsia" w:ascii="宋体" w:hAnsi="宋体" w:eastAsia="宋体" w:cs="宋体"/>
      <w:color w:val="000000"/>
      <w:sz w:val="21"/>
      <w:szCs w:val="21"/>
      <w:u w:val="none"/>
    </w:rPr>
  </w:style>
  <w:style w:type="paragraph" w:styleId="928" w:customStyle="1">
    <w:name w:val="普通正文"/>
    <w:basedOn w:val="688"/>
    <w:uiPriority w:val="99"/>
    <w:qFormat/>
    <w:pPr>
      <w:ind w:firstLine="480"/>
      <w:jc w:val="left"/>
      <w:spacing w:before="120" w:after="120" w:line="360" w:lineRule="auto"/>
    </w:pPr>
    <w:rPr>
      <w:rFonts w:ascii="Arial" w:hAnsi="Arial" w:cs="Arial"/>
      <w:sz w:val="24"/>
    </w:rPr>
  </w:style>
  <w:style w:type="paragraph" w:styleId="929">
    <w:name w:val="No Spacing"/>
    <w:uiPriority w:val="1"/>
    <w:qFormat/>
    <w:pPr>
      <w:ind w:firstLine="200"/>
      <w:jc w:val="both"/>
      <w:widowControl w:val="off"/>
    </w:pPr>
    <w:rPr>
      <w:rFonts w:hint="default" w:ascii="Calibri" w:hAnsi="Calibri" w:eastAsia="宋体" w:cs="Times New Roman"/>
      <w:sz w:val="28"/>
      <w:szCs w:val="22"/>
      <w:lang w:val="en-US" w:eastAsia="zh-CN" w:bidi="ar-SA"/>
    </w:rPr>
  </w:style>
  <w:style w:type="character" w:styleId="930" w:customStyle="1">
    <w:name w:val="NormalCharacter1"/>
    <w:uiPriority w:val="0"/>
    <w:qFormat/>
    <w:rPr>
      <w:rFonts w:asciiTheme="minorHAnsi" w:hAnsiTheme="minorHAnsi" w:eastAsiaTheme="minorEastAsia" w:cstheme="minorBidi"/>
      <w:sz w:val="21"/>
      <w:szCs w:val="24"/>
      <w:lang w:val="en-US" w:eastAsia="zh-CN" w:bidi="ar-SA"/>
    </w:rPr>
  </w:style>
  <w:style w:type="paragraph" w:styleId="931" w:customStyle="1">
    <w:name w:val="普通(网站)1"/>
    <w:basedOn w:val="688"/>
    <w:uiPriority w:val="99"/>
    <w:qFormat/>
    <w:pPr>
      <w:spacing w:before="100" w:beforeAutospacing="1" w:after="100" w:afterAutospacing="1"/>
      <w:widowControl/>
    </w:pPr>
    <w:rPr>
      <w:sz w:val="24"/>
    </w:rPr>
  </w:style>
  <w:style w:type="character" w:styleId="932" w:customStyle="1">
    <w:name w:val="font11"/>
    <w:basedOn w:val="698"/>
    <w:uiPriority w:val="0"/>
    <w:qFormat/>
    <w:rPr>
      <w:rFonts w:asciiTheme="minorHAnsi" w:hAnsiTheme="minorHAnsi" w:eastAsiaTheme="minorEastAsia" w:cstheme="minorBidi"/>
      <w:sz w:val="21"/>
      <w:szCs w:val="24"/>
      <w:lang w:val="en-US" w:eastAsia="zh-CN" w:bidi="ar-SA"/>
    </w:rPr>
  </w:style>
  <w:style w:type="character" w:styleId="933" w:customStyle="1">
    <w:name w:val="font51"/>
    <w:basedOn w:val="698"/>
    <w:uiPriority w:val="0"/>
    <w:qFormat/>
    <w:rPr>
      <w:rFonts w:ascii="方正兰亭黑_GBK" w:hAnsi="方正兰亭黑_GBK" w:eastAsia="方正兰亭黑_GBK" w:cs="方正兰亭黑_GBK"/>
      <w:color w:val="000000"/>
      <w:sz w:val="20"/>
      <w:szCs w:val="20"/>
      <w:u w:val="none"/>
    </w:rPr>
  </w:style>
  <w:style w:type="character" w:styleId="934" w:customStyle="1">
    <w:name w:val="font61"/>
    <w:basedOn w:val="698"/>
    <w:uiPriority w:val="0"/>
    <w:qFormat/>
    <w:rPr>
      <w:rFonts w:ascii="方正兰亭黑_GBK" w:hAnsi="方正兰亭黑_GBK" w:eastAsia="方正兰亭黑_GBK" w:cs="方正兰亭黑_GBK"/>
      <w:color w:val="000000"/>
      <w:sz w:val="20"/>
      <w:szCs w:val="20"/>
      <w:u w:val="none"/>
    </w:rPr>
  </w:style>
  <w:style w:type="character" w:styleId="935" w:customStyle="1">
    <w:name w:val="font01"/>
    <w:basedOn w:val="698"/>
    <w:uiPriority w:val="0"/>
    <w:qFormat/>
    <w:rPr>
      <w:rFonts w:hint="eastAsia" w:ascii="宋体" w:hAnsi="宋体" w:eastAsia="宋体" w:cs="宋体"/>
      <w:color w:val="000000"/>
      <w:sz w:val="22"/>
      <w:szCs w:val="22"/>
      <w:u w:val="none"/>
    </w:rPr>
  </w:style>
  <w:style w:type="character" w:styleId="936" w:customStyle="1">
    <w:name w:val="font31"/>
    <w:basedOn w:val="698"/>
    <w:uiPriority w:val="0"/>
    <w:qFormat/>
    <w:rPr>
      <w:rFonts w:hint="default" w:ascii="仿宋_GB2312" w:eastAsia="仿宋_GB2312" w:cs="仿宋_GB2312"/>
      <w:color w:val="000000"/>
      <w:sz w:val="20"/>
      <w:szCs w:val="20"/>
      <w:u w:val="none"/>
    </w:rPr>
  </w:style>
  <w:style w:type="paragraph" w:styleId="937" w:customStyle="1">
    <w:name w:val="Body text|1"/>
    <w:basedOn w:val="688"/>
    <w:uiPriority w:val="0"/>
    <w:qFormat/>
    <w:pPr>
      <w:ind w:firstLine="400"/>
      <w:spacing w:line="396" w:lineRule="auto"/>
    </w:pPr>
    <w:rPr>
      <w:rFonts w:ascii="宋体" w:eastAsia="宋体" w:cs="宋体"/>
      <w:sz w:val="30"/>
      <w:szCs w:val="30"/>
      <w:lang w:val="zh-TW" w:eastAsia="zh-TW" w:bidi="zh-TW"/>
    </w:rPr>
  </w:style>
  <w:style w:type="paragraph" w:styleId="938" w:customStyle="1">
    <w:name w:val="标题 11"/>
    <w:basedOn w:val="688"/>
    <w:next w:val="688"/>
    <w:uiPriority w:val="0"/>
    <w:qFormat/>
    <w:pPr>
      <w:jc w:val="center"/>
      <w:keepNext/>
      <w:outlineLvl w:val="0"/>
    </w:pPr>
    <w:rPr>
      <w:rFonts w:ascii="楷体_GB2312" w:eastAsia="楷体_GB2312"/>
      <w:sz w:val="28"/>
      <w:szCs w:val="28"/>
    </w:rPr>
  </w:style>
  <w:style w:type="paragraph" w:styleId="939" w:customStyle="1">
    <w:name w:val="普通(网站)11"/>
    <w:basedOn w:val="688"/>
    <w:uiPriority w:val="0"/>
    <w:qFormat/>
    <w:pPr>
      <w:jc w:val="left"/>
      <w:spacing w:before="100" w:beforeAutospacing="1" w:after="100" w:afterAutospacing="1"/>
      <w:widowControl/>
    </w:pPr>
    <w:rPr>
      <w:rFonts w:ascii="宋体" w:hAnsi="宋体" w:cs="宋体"/>
      <w:sz w:val="24"/>
    </w:rPr>
  </w:style>
  <w:style w:type="paragraph" w:styleId="940" w:customStyle="1">
    <w:name w:val="普通(网站)112"/>
    <w:basedOn w:val="688"/>
    <w:uiPriority w:val="0"/>
    <w:qFormat/>
    <w:pPr>
      <w:jc w:val="left"/>
      <w:spacing w:beforeAutospacing="1" w:afterAutospacing="1"/>
    </w:pPr>
    <w:rPr>
      <w:sz w:val="24"/>
    </w:rPr>
  </w:style>
  <w:style w:type="paragraph" w:styleId="941" w:customStyle="1">
    <w:name w:val="页脚11"/>
    <w:basedOn w:val="688"/>
    <w:uiPriority w:val="99"/>
    <w:qFormat/>
    <w:pPr>
      <w:jc w:val="left"/>
      <w:tabs>
        <w:tab w:val="center" w:pos="4153" w:leader="none"/>
        <w:tab w:val="right" w:pos="8306" w:leader="none"/>
      </w:tabs>
    </w:pPr>
    <w:rPr>
      <w:sz w:val="18"/>
    </w:rPr>
  </w:style>
  <w:style w:type="paragraph" w:styleId="942" w:customStyle="1">
    <w:name w:val="Body text|2"/>
    <w:basedOn w:val="688"/>
    <w:uiPriority w:val="0"/>
    <w:qFormat/>
    <w:pPr>
      <w:spacing w:after="580"/>
    </w:pPr>
    <w:rPr>
      <w:rFonts w:ascii="宋体" w:hAnsi="宋体" w:eastAsia="宋体" w:cs="宋体"/>
      <w:sz w:val="28"/>
      <w:szCs w:val="28"/>
      <w:lang w:val="zh-TW" w:eastAsia="zh-TW" w:bidi="zh-TW"/>
    </w:rPr>
  </w:style>
  <w:style w:type="character" w:styleId="943" w:customStyle="1">
    <w:name w:val="Unresolved Mention"/>
    <w:basedOn w:val="698"/>
    <w:uiPriority w:val="99"/>
    <w:semiHidden/>
    <w:unhideWhenUsed/>
    <w:qFormat/>
    <w:rPr>
      <w:color w:val="605e5c"/>
      <w:shd w:val="clear" w:color="auto" w:fill="e1dfdd"/>
    </w:rPr>
  </w:style>
  <w:style w:type="character" w:styleId="944" w:customStyle="1">
    <w:name w:val="custom-tag-placeholder-class"/>
    <w:basedOn w:val="698"/>
    <w:uiPriority w:val="0"/>
    <w:qFormat/>
  </w:style>
  <w:style w:type="paragraph" w:styleId="945" w:customStyle="1">
    <w:name w:val="纯文本1"/>
    <w:basedOn w:val="688"/>
    <w:uiPriority w:val="0"/>
    <w:qFormat/>
    <w:rPr>
      <w:rFonts w:ascii="宋体" w:hAnsi="Courier New" w:cs="Courier New"/>
    </w:rPr>
  </w:style>
  <w:style w:type="paragraph" w:styleId="946" w:customStyle="1">
    <w:name w:val="页脚1"/>
    <w:basedOn w:val="688"/>
    <w:uiPriority w:val="99"/>
    <w:qFormat/>
    <w:pPr>
      <w:jc w:val="left"/>
      <w:tabs>
        <w:tab w:val="center" w:pos="4153" w:leader="none"/>
        <w:tab w:val="right" w:pos="8306" w:leader="none"/>
      </w:tabs>
    </w:pPr>
    <w:rPr>
      <w:sz w:val="18"/>
      <w:szCs w:val="18"/>
    </w:rPr>
  </w:style>
  <w:style w:type="table" w:styleId="947" w:customStyle="1">
    <w:name w:val="网格型1"/>
    <w:basedOn w:val="948"/>
    <w:uiPriority w:val="99"/>
    <w:qFormat/>
    <w:tblPr/>
  </w:style>
  <w:style w:type="table" w:styleId="948" w:customStyle="1">
    <w:name w:val="普通表格1"/>
    <w:uiPriority w:val="99"/>
    <w:unhideWhenUsed/>
    <w:qFormat/>
    <w:tblPr/>
  </w:style>
  <w:style w:type="paragraph" w:styleId="949" w:customStyle="1">
    <w:name w:val="段"/>
    <w:next w:val="688"/>
    <w:uiPriority w:val="0"/>
    <w:qFormat/>
    <w:pPr>
      <w:ind w:firstLine="200"/>
      <w:jc w:val="both"/>
      <w:widowControl w:val="off"/>
    </w:pPr>
    <w:rPr>
      <w:rFonts w:hint="default" w:ascii="宋体" w:hAnsi="宋体" w:eastAsia="宋体" w:cs="宋体"/>
      <w:color w:val="000000"/>
      <w:sz w:val="21"/>
      <w:szCs w:val="21"/>
      <w:lang w:val="en-US" w:eastAsia="zh-CN" w:bidi="ar-SA"/>
    </w:rPr>
  </w:style>
  <w:style w:type="table" w:styleId="950" w:customStyle="1">
    <w:name w:val="网格型2"/>
    <w:basedOn w:val="699"/>
    <w:uiPriority w:val="39"/>
    <w:qFormat/>
    <w:pPr>
      <w:widowControl w:val="off"/>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customStyle="1">
    <w:name w:val="font112"/>
    <w:basedOn w:val="698"/>
    <w:uiPriority w:val="0"/>
    <w:qFormat/>
    <w:rPr>
      <w:rFonts w:hint="eastAsia" w:ascii="方正仿宋_GBK" w:hAnsi="方正仿宋_GBK" w:eastAsia="方正仿宋_GBK" w:cs="方正仿宋_GBK"/>
      <w:b/>
      <w:bCs/>
      <w:color w:val="000000"/>
      <w:sz w:val="20"/>
      <w:szCs w:val="20"/>
      <w:u w:val="none"/>
    </w:rPr>
  </w:style>
  <w:style w:type="character" w:styleId="952" w:customStyle="1">
    <w:name w:val="font121"/>
    <w:basedOn w:val="698"/>
    <w:uiPriority w:val="0"/>
    <w:qFormat/>
    <w:rPr>
      <w:rFonts w:hint="eastAsia" w:ascii="方正仿宋_GBK" w:hAnsi="方正仿宋_GBK" w:eastAsia="方正仿宋_GBK" w:cs="方正仿宋_GBK"/>
      <w:color w:val="ff0000"/>
      <w:sz w:val="20"/>
      <w:szCs w:val="20"/>
      <w:u w:val="none"/>
    </w:rPr>
  </w:style>
  <w:style w:type="character" w:styleId="953" w:customStyle="1">
    <w:name w:val="font131"/>
    <w:basedOn w:val="698"/>
    <w:uiPriority w:val="0"/>
    <w:qFormat/>
    <w:rPr>
      <w:rFonts w:hint="eastAsia" w:ascii="方正仿宋_GBK" w:hAnsi="方正仿宋_GBK" w:eastAsia="方正仿宋_GBK" w:cs="方正仿宋_GBK"/>
      <w:b/>
      <w:bCs/>
      <w:color w:val="ff0000"/>
      <w:sz w:val="20"/>
      <w:szCs w:val="20"/>
      <w:u w:val="none"/>
    </w:rPr>
  </w:style>
  <w:style w:type="character" w:styleId="954" w:customStyle="1">
    <w:name w:val="font141"/>
    <w:basedOn w:val="698"/>
    <w:uiPriority w:val="0"/>
    <w:qFormat/>
    <w:rPr>
      <w:rFonts w:hint="eastAsia" w:ascii="宋体" w:hAnsi="宋体" w:eastAsia="宋体" w:cs="宋体"/>
      <w:color w:val="000000"/>
      <w:sz w:val="20"/>
      <w:szCs w:val="20"/>
      <w:u w:val="none"/>
    </w:rPr>
  </w:style>
  <w:style w:type="character" w:styleId="955" w:customStyle="1">
    <w:name w:val="font71"/>
    <w:basedOn w:val="698"/>
    <w:uiPriority w:val="0"/>
    <w:qFormat/>
    <w:rPr>
      <w:rFonts w:hint="eastAsia" w:ascii="方正仿宋_GBK" w:hAnsi="方正仿宋_GBK" w:eastAsia="方正仿宋_GBK" w:cs="方正仿宋_GBK"/>
      <w:color w:val="000000"/>
      <w:sz w:val="20"/>
      <w:szCs w:val="20"/>
      <w:u w:val="none"/>
    </w:rPr>
  </w:style>
  <w:style w:type="character" w:styleId="956" w:customStyle="1">
    <w:name w:val="font181"/>
    <w:basedOn w:val="698"/>
    <w:uiPriority w:val="0"/>
    <w:qFormat/>
    <w:rPr>
      <w:rFonts w:hint="eastAsia" w:ascii="方正仿宋_GBK" w:hAnsi="方正仿宋_GBK" w:eastAsia="方正仿宋_GBK" w:cs="方正仿宋_GBK"/>
      <w:b/>
      <w:bCs/>
      <w:color w:val="000000"/>
      <w:sz w:val="20"/>
      <w:szCs w:val="20"/>
      <w:u w:val="none"/>
    </w:rPr>
  </w:style>
  <w:style w:type="character" w:styleId="957" w:customStyle="1">
    <w:name w:val="font191"/>
    <w:basedOn w:val="698"/>
    <w:uiPriority w:val="0"/>
    <w:qFormat/>
    <w:rPr>
      <w:rFonts w:hint="eastAsia" w:ascii="方正仿宋_GBK" w:hAnsi="方正仿宋_GBK" w:eastAsia="方正仿宋_GBK" w:cs="方正仿宋_GBK"/>
      <w:color w:val="ff0000"/>
      <w:sz w:val="20"/>
      <w:szCs w:val="20"/>
      <w:u w:val="none"/>
    </w:rPr>
  </w:style>
  <w:style w:type="character" w:styleId="958" w:customStyle="1">
    <w:name w:val="font201"/>
    <w:basedOn w:val="698"/>
    <w:uiPriority w:val="0"/>
    <w:qFormat/>
    <w:rPr>
      <w:rFonts w:hint="eastAsia" w:ascii="方正仿宋_GBK" w:hAnsi="方正仿宋_GBK" w:eastAsia="方正仿宋_GBK" w:cs="方正仿宋_GBK"/>
      <w:b/>
      <w:bCs/>
      <w:color w:val="ff0000"/>
      <w:sz w:val="20"/>
      <w:szCs w:val="20"/>
      <w:u w:val="none"/>
    </w:rPr>
  </w:style>
  <w:style w:type="character" w:styleId="959" w:customStyle="1">
    <w:name w:val="font212"/>
    <w:basedOn w:val="698"/>
    <w:uiPriority w:val="0"/>
    <w:qFormat/>
    <w:rPr>
      <w:rFonts w:hint="eastAsia" w:ascii="宋体" w:hAnsi="宋体" w:eastAsia="宋体" w:cs="宋体"/>
      <w:color w:val="000000"/>
      <w:sz w:val="20"/>
      <w:szCs w:val="20"/>
      <w:u w:val="none"/>
    </w:rPr>
  </w:style>
  <w:style w:type="character" w:styleId="960" w:customStyle="1">
    <w:name w:val="font91"/>
    <w:basedOn w:val="698"/>
    <w:uiPriority w:val="0"/>
    <w:qFormat/>
    <w:rPr>
      <w:rFonts w:hint="eastAsia" w:ascii="方正仿宋_GBK" w:hAnsi="方正仿宋_GBK" w:eastAsia="方正仿宋_GBK" w:cs="方正仿宋_GBK"/>
      <w:b/>
      <w:bCs/>
      <w:color w:val="000000"/>
      <w:sz w:val="20"/>
      <w:szCs w:val="20"/>
      <w:u w:val="none"/>
    </w:rPr>
  </w:style>
  <w:style w:type="character" w:styleId="961" w:customStyle="1">
    <w:name w:val="font81"/>
    <w:basedOn w:val="698"/>
    <w:uiPriority w:val="0"/>
    <w:qFormat/>
    <w:rPr>
      <w:rFonts w:hint="eastAsia" w:ascii="宋体" w:hAnsi="宋体" w:eastAsia="宋体" w:cs="宋体"/>
      <w:color w:val="000000"/>
      <w:sz w:val="20"/>
      <w:szCs w:val="20"/>
      <w:u w:val="none"/>
    </w:rPr>
  </w:style>
  <w:style w:type="character" w:styleId="962" w:customStyle="1">
    <w:name w:val="font101"/>
    <w:basedOn w:val="698"/>
    <w:uiPriority w:val="0"/>
    <w:qFormat/>
    <w:rPr>
      <w:rFonts w:ascii="Arial" w:hAnsi="Arial" w:cs="Arial"/>
      <w:color w:val="000000"/>
      <w:sz w:val="20"/>
      <w:szCs w:val="20"/>
      <w:u w:val="none"/>
    </w:rPr>
  </w:style>
  <w:style w:type="character" w:styleId="963" w:customStyle="1">
    <w:name w:val="wyg1"/>
    <w:uiPriority w:val="0"/>
    <w:qFormat/>
    <w:rPr>
      <w:color w:val="000000"/>
      <w:sz w:val="20"/>
      <w:szCs w:val="20"/>
      <w:u w:val="none"/>
    </w:rPr>
  </w:style>
  <w:style w:type="character" w:styleId="964" w:customStyle="1">
    <w:name w:val="s141"/>
    <w:uiPriority w:val="0"/>
    <w:qFormat/>
    <w:rPr>
      <w:rFonts w:hint="default" w:ascii="_x000B__x000C_" w:hAnsi="_x000B__x000C_"/>
      <w:sz w:val="21"/>
      <w:szCs w:val="21"/>
    </w:rPr>
  </w:style>
  <w:style w:type="paragraph" w:styleId="965" w:customStyle="1">
    <w:name w:val="列表段落1"/>
    <w:basedOn w:val="966"/>
    <w:next w:val="688"/>
    <w:uiPriority w:val="99"/>
    <w:qFormat/>
    <w:pPr>
      <w:ind w:firstLine="420"/>
    </w:pPr>
  </w:style>
  <w:style w:type="paragraph" w:styleId="966" w:customStyle="1">
    <w:name w:val="正文1"/>
    <w:basedOn w:val="967"/>
    <w:next w:val="974"/>
    <w:uiPriority w:val="0"/>
    <w:qFormat/>
    <w:pPr>
      <w:ind w:right="-167"/>
      <w:spacing w:line="440" w:lineRule="exact"/>
      <w:widowControl/>
    </w:pPr>
    <w:rPr>
      <w:b/>
      <w:sz w:val="21"/>
      <w:szCs w:val="20"/>
    </w:rPr>
  </w:style>
  <w:style w:type="paragraph" w:styleId="967" w:customStyle="1">
    <w:name w:val="正文11"/>
    <w:next w:val="968"/>
    <w:uiPriority w:val="0"/>
    <w:qFormat/>
    <w:pPr>
      <w:jc w:val="both"/>
      <w:widowControl w:val="off"/>
    </w:pPr>
    <w:rPr>
      <w:rFonts w:hint="default" w:ascii="Times New Roman" w:hAnsi="Times New Roman" w:eastAsia="Arial" w:cs="Times New Roman"/>
      <w:lang w:val="en-US" w:eastAsia="zh-CN" w:bidi="ar-SA"/>
    </w:rPr>
  </w:style>
  <w:style w:type="paragraph" w:styleId="968" w:customStyle="1">
    <w:name w:val="目录 11"/>
    <w:basedOn w:val="969"/>
    <w:next w:val="967"/>
    <w:uiPriority w:val="0"/>
    <w:qFormat/>
    <w:pPr>
      <w:jc w:val="left"/>
      <w:spacing w:before="120" w:after="120" w:line="300" w:lineRule="exact"/>
      <w:tabs>
        <w:tab w:val="right" w:pos="9440" w:leader="dot"/>
      </w:tabs>
    </w:pPr>
    <w:rPr>
      <w:rFonts w:ascii="黑体" w:eastAsia="黑体"/>
      <w:b/>
      <w:caps/>
      <w:sz w:val="18"/>
      <w:szCs w:val="28"/>
    </w:rPr>
  </w:style>
  <w:style w:type="paragraph" w:styleId="969" w:customStyle="1">
    <w:name w:val="正文12"/>
    <w:next w:val="970"/>
    <w:uiPriority w:val="0"/>
    <w:qFormat/>
    <w:pPr>
      <w:jc w:val="both"/>
      <w:widowControl w:val="off"/>
    </w:pPr>
    <w:rPr>
      <w:rFonts w:hint="default" w:ascii="Calibri" w:hAnsi="Calibri" w:eastAsia="宋体" w:cs="Times New Roman"/>
      <w:sz w:val="21"/>
      <w:szCs w:val="24"/>
      <w:lang w:val="en-US" w:eastAsia="zh-CN" w:bidi="ar-SA"/>
    </w:rPr>
  </w:style>
  <w:style w:type="paragraph" w:styleId="970" w:customStyle="1">
    <w:name w:val="正文文本11"/>
    <w:basedOn w:val="971"/>
    <w:next w:val="972"/>
    <w:uiPriority w:val="0"/>
    <w:qFormat/>
    <w:pPr>
      <w:spacing w:after="120"/>
    </w:pPr>
  </w:style>
  <w:style w:type="paragraph" w:styleId="971" w:customStyle="1">
    <w:name w:val="正文112"/>
    <w:next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一级条标题"/>
    <w:basedOn w:val="973"/>
    <w:next w:val="949"/>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973" w:customStyle="1">
    <w:name w:val="章标题"/>
    <w:next w:val="68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4" w:customStyle="1">
    <w:name w:val="正文文本1"/>
    <w:basedOn w:val="688"/>
    <w:next w:val="966"/>
    <w:uiPriority w:val="0"/>
    <w:qFormat/>
    <w:rPr>
      <w:rFonts w:ascii="楷体" w:hAnsi="Arial" w:eastAsia="楷体"/>
      <w:sz w:val="28"/>
      <w:szCs w:val="20"/>
    </w:rPr>
  </w:style>
  <w:style w:type="numbering" w:styleId="10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胡荣艳</cp:lastModifiedBy>
  <cp:revision>5</cp:revision>
  <dcterms:created xsi:type="dcterms:W3CDTF">2014-10-29T20:08:00Z</dcterms:created>
  <dcterms:modified xsi:type="dcterms:W3CDTF">2026-07-28T03:26:13Z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27669B47F6464985AB1E30AAD283C02E_13</vt:lpwstr>
  </property>
  <property fmtid="{D5CDD505-2E9C-101B-9397-08002B2CF9AE}" pid="4" name="KSOTemplateDocerSaveRecord">
    <vt:lpwstr>eyJoZGlkIjoiZDhhYTZlYjIxZGRiZTg0N2JmZDFkNmY1MWZiZTUzZWIiLCJ1c2VySWQiOiI2OTE4NDQwNzYifQ==</vt:lpwstr>
  </property>
</Properties>
</file>