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1"/>
        <w:spacing w:before="120" w:beforeAutospacing="0" w:after="120" w:afterAutospacing="0" w:line="360" w:lineRule="auto"/>
      </w:pPr>
      <w:r>
        <w:t xml:space="preserve"> </w:t>
      </w:r>
      <w:r/>
    </w:p>
    <w:p>
      <w:pPr>
        <w:pStyle w:val="641"/>
        <w:jc w:val="center"/>
        <w:spacing w:before="120" w:beforeAutospacing="0" w:after="120" w:afterAutospacing="0" w:line="360" w:lineRule="auto"/>
      </w:pPr>
      <w:r>
        <w:rPr>
          <w:rFonts w:ascii="Arial" w:hAnsi="Arial" w:cs="Arial"/>
          <w:b/>
          <w:color w:val="000000"/>
          <w:sz w:val="84"/>
          <w:szCs w:val="84"/>
        </w:rPr>
        <w:t xml:space="preserve">招 标 文 件</w:t>
      </w:r>
      <w:r/>
    </w:p>
    <w:p>
      <w:pPr>
        <w:pStyle w:val="641"/>
        <w:ind w:left="3213" w:hanging="3213"/>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eastAsia="宋体" w:cs="Arial"/>
          <w:b/>
          <w:color w:val="000000"/>
          <w:sz w:val="32"/>
          <w:szCs w:val="32"/>
          <w:lang w:eastAsia="zh-CN"/>
        </w:rPr>
        <w:t xml:space="preserve">2026年响水县四丰生活垃圾卫生填埋场渗滤液处理运营服务（重新招标）</w:t>
      </w:r>
      <w:r>
        <w:rPr>
          <w:rFonts w:hint="eastAsia" w:ascii="Arial" w:hAnsi="Arial" w:cs="Arial"/>
          <w:b/>
          <w:color w:val="000000"/>
          <w:sz w:val="32"/>
          <w:szCs w:val="32"/>
        </w:rPr>
        <w:t xml:space="preserve">项目</w:t>
      </w:r>
      <w:r/>
    </w:p>
    <w:p>
      <w:pPr>
        <w:pStyle w:val="641"/>
        <w:ind w:left="0" w:firstLine="0"/>
        <w:jc w:val="both"/>
        <w:spacing w:beforeAutospacing="0" w:afterAutospacing="0"/>
        <w:rPr>
          <w:rFonts w:hint="eastAsia" w:eastAsia="宋体"/>
          <w:lang w:eastAsia="zh-CN"/>
        </w:rPr>
      </w:pPr>
      <w:r>
        <w:rPr>
          <w:rFonts w:ascii="Times New Roman" w:hAnsi="Times New Roman"/>
          <w:b/>
          <w:color w:val="000000"/>
          <w:sz w:val="32"/>
          <w:szCs w:val="32"/>
        </w:rPr>
        <w:t xml:space="preserve">    项目编号：</w:t>
      </w:r>
      <w:r>
        <w:rPr>
          <w:rFonts w:hint="eastAsia" w:ascii="Times New Roman" w:hAnsi="Times New Roman" w:eastAsia="宋体"/>
          <w:b/>
          <w:color w:val="000000"/>
          <w:sz w:val="32"/>
          <w:szCs w:val="32"/>
          <w:lang w:eastAsia="zh-CN"/>
        </w:rPr>
        <w:t xml:space="preserve">JSZC-320921-YCJH-G2026-0002</w:t>
      </w:r>
      <w:r/>
    </w:p>
    <w:p>
      <w:pPr>
        <w:pStyle w:val="641"/>
        <w:spacing w:beforeAutospacing="0" w:afterAutospacing="0" w:line="360" w:lineRule="auto"/>
      </w:pPr>
      <w:r>
        <w:t xml:space="preserve"> </w:t>
      </w:r>
      <w:r/>
    </w:p>
    <w:p>
      <w:pPr>
        <w:pStyle w:val="641"/>
        <w:spacing w:beforeAutospacing="0" w:afterAutospacing="0" w:line="360" w:lineRule="auto"/>
      </w:pPr>
      <w:r>
        <w:t xml:space="preserve"> </w:t>
      </w:r>
      <w:r/>
    </w:p>
    <w:p>
      <w:pPr>
        <w:pStyle w:val="641"/>
        <w:spacing w:beforeAutospacing="0" w:afterAutospacing="0" w:line="360" w:lineRule="auto"/>
      </w:pPr>
      <w:r>
        <w:t xml:space="preserve"> </w:t>
      </w:r>
      <w:r/>
    </w:p>
    <w:p>
      <w:pPr>
        <w:pStyle w:val="641"/>
        <w:spacing w:beforeAutospacing="0" w:afterAutospacing="0" w:line="360" w:lineRule="auto"/>
      </w:pPr>
      <w:r>
        <w:t xml:space="preserve"> </w:t>
      </w:r>
      <w:r/>
    </w:p>
    <w:p>
      <w:pPr>
        <w:pStyle w:val="641"/>
        <w:spacing w:beforeAutospacing="0" w:afterAutospacing="0" w:line="360" w:lineRule="auto"/>
      </w:pPr>
      <w:r>
        <w:t xml:space="preserve"> </w:t>
      </w:r>
      <w:r/>
    </w:p>
    <w:p>
      <w:pPr>
        <w:pStyle w:val="641"/>
        <w:spacing w:beforeAutospacing="0" w:afterAutospacing="0" w:line="360" w:lineRule="auto"/>
      </w:pPr>
      <w:r>
        <w:t xml:space="preserve"> </w:t>
      </w:r>
      <w:r/>
    </w:p>
    <w:p>
      <w:pPr>
        <w:pStyle w:val="641"/>
        <w:spacing w:beforeAutospacing="0" w:afterAutospacing="0" w:line="360" w:lineRule="auto"/>
      </w:pPr>
      <w:r>
        <w:t xml:space="preserve"> </w:t>
      </w:r>
      <w:r/>
    </w:p>
    <w:p>
      <w:pPr>
        <w:pStyle w:val="641"/>
        <w:jc w:val="center"/>
        <w:spacing w:before="120" w:beforeAutospacing="0" w:after="120" w:afterAutospacing="0" w:line="360" w:lineRule="auto"/>
      </w:pPr>
      <w:r>
        <w:rPr>
          <w:rFonts w:hint="eastAsia" w:ascii="Arial" w:hAnsi="Arial" w:cs="Arial"/>
          <w:b/>
          <w:color w:val="000000"/>
          <w:sz w:val="32"/>
          <w:szCs w:val="32"/>
        </w:rPr>
        <w:t xml:space="preserve">响水县环境卫生管理所</w:t>
      </w:r>
      <w:r>
        <w:rPr>
          <w:rFonts w:hint="eastAsia" w:ascii="Arial" w:hAnsi="Arial" w:cs="Arial"/>
          <w:b/>
          <w:color w:val="000000"/>
          <w:sz w:val="32"/>
          <w:szCs w:val="32"/>
        </w:rPr>
        <w:br/>
      </w: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0</w:t>
      </w:r>
      <w:r>
        <w:rPr>
          <w:rFonts w:hint="eastAsia" w:ascii="Arial" w:hAnsi="Arial" w:eastAsia="宋体" w:cs="Arial"/>
          <w:b/>
          <w:color w:val="000000"/>
          <w:sz w:val="32"/>
          <w:szCs w:val="32"/>
          <w:lang w:val="en-US" w:eastAsia="zh-CN"/>
        </w:rPr>
        <w:t xml:space="preserve">9</w:t>
      </w:r>
      <w:r>
        <w:rPr>
          <w:rFonts w:ascii="Arial" w:hAnsi="Arial" w:cs="Arial"/>
          <w:b/>
          <w:color w:val="000000"/>
          <w:sz w:val="32"/>
          <w:szCs w:val="32"/>
        </w:rPr>
        <w:t xml:space="preserve">月</w:t>
      </w:r>
      <w:r/>
    </w:p>
    <w:p>
      <w:pPr>
        <w:pStyle w:val="641"/>
        <w:spacing w:before="120" w:beforeAutospacing="0" w:after="120" w:afterAutospacing="0" w:line="360" w:lineRule="auto"/>
      </w:pPr>
      <w:r>
        <w:rPr>
          <w:rFonts w:ascii="Arial" w:hAnsi="Arial" w:cs="Arial"/>
          <w:color w:val="000000"/>
        </w:rPr>
        <w:t xml:space="preserve">                        </w:t>
      </w:r>
      <w:r/>
    </w:p>
    <w:p>
      <w:pPr>
        <w:pStyle w:val="641"/>
        <w:jc w:val="center"/>
        <w:spacing w:before="120" w:beforeAutospacing="0" w:after="120" w:afterAutospacing="0" w:line="360" w:lineRule="auto"/>
      </w:pPr>
      <w:r>
        <w:t xml:space="preserve"> </w:t>
      </w:r>
      <w:r/>
    </w:p>
    <w:p>
      <w:pPr>
        <w:pStyle w:val="641"/>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479757206"/>
      <w:r/>
      <w:bookmarkStart w:id="2" w:name="_Toc16938516"/>
      <w:r/>
      <w:bookmarkStart w:id="3" w:name="_Toc523127445"/>
      <w:r/>
      <w:bookmarkStart w:id="4" w:name="_Toc20823272"/>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41"/>
        <w:jc w:val="both"/>
        <w:spacing w:beforeAutospacing="0" w:afterAutospacing="0" w:line="480" w:lineRule="auto"/>
      </w:pPr>
      <w:r>
        <w:t xml:space="preserve"> </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641"/>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41"/>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2026年响水县四丰生活垃圾卫生填埋场渗滤液处理运营服务</w:t>
      </w:r>
      <w:bookmarkStart w:id="209" w:name="_GoBack"/>
      <w:r>
        <w:rPr>
          <w:rFonts w:hint="eastAsia" w:ascii="宋体" w:hAnsi="宋体" w:eastAsia="宋体" w:cs="宋体"/>
          <w:color w:val="000000"/>
          <w:u w:val="single"/>
          <w:lang w:eastAsia="zh-CN"/>
        </w:rPr>
        <w:t xml:space="preserve">（重新招标）</w:t>
      </w:r>
      <w:bookmarkEnd w:id="209"/>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2026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09</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30</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09</w:t>
      </w:r>
      <w:r>
        <w:rPr>
          <w:rFonts w:hint="eastAsia" w:ascii="宋体" w:hAnsi="宋体" w:eastAsia="宋体" w:cs="宋体"/>
          <w:color w:val="000000"/>
          <w:u w:val="single"/>
        </w:rPr>
        <w:t xml:space="preserve">点</w:t>
      </w:r>
      <w:r>
        <w:rPr>
          <w:rFonts w:hint="eastAsia" w:ascii="宋体" w:hAnsi="宋体" w:eastAsia="宋体" w:cs="宋体"/>
          <w:color w:val="000000"/>
          <w:u w:val="single"/>
          <w:lang w:val="en-US" w:eastAsia="zh-CN"/>
        </w:rPr>
        <w:t xml:space="preserve">00</w:t>
      </w:r>
      <w:r>
        <w:rPr>
          <w:rFonts w:hint="eastAsia" w:ascii="宋体" w:hAnsi="宋体" w:eastAsia="宋体" w:cs="宋体"/>
          <w:color w:val="000000"/>
          <w:u w:val="single"/>
        </w:rPr>
        <w:t xml:space="preserve"> 分（</w:t>
      </w:r>
      <w:r>
        <w:rPr>
          <w:rFonts w:hint="eastAsia" w:ascii="宋体" w:hAnsi="宋体" w:eastAsia="宋体" w:cs="宋体"/>
          <w:color w:val="000000"/>
        </w:rPr>
        <w:t xml:space="preserve">北京时间）前递交投标文件。</w:t>
      </w:r>
      <w:r/>
    </w:p>
    <w:p>
      <w:pPr>
        <w:pStyle w:val="641"/>
        <w:ind w:firstLine="498"/>
        <w:jc w:val="both"/>
        <w:keepLines/>
        <w:keepNext/>
        <w:spacing w:before="145" w:beforeAutospacing="0" w:after="145" w:afterAutospacing="0" w:line="360" w:lineRule="auto"/>
        <w:rPr>
          <w:rFonts w:ascii="宋体" w:hAnsi="宋体" w:eastAsia="宋体" w:cs="宋体"/>
        </w:rPr>
      </w:pPr>
      <w:r/>
      <w:bookmarkStart w:id="6" w:name="_Toc28359002"/>
      <w:r/>
      <w:bookmarkStart w:id="7" w:name="_Toc35393790"/>
      <w:r/>
      <w:bookmarkStart w:id="8" w:name="_Hlk24379207"/>
      <w:r/>
      <w:bookmarkStart w:id="9" w:name="_Toc38985263"/>
      <w:r/>
      <w:bookmarkStart w:id="10" w:name="_Toc35393621"/>
      <w:r/>
      <w:bookmarkStart w:id="11" w:name="_Toc28359079"/>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641"/>
        <w:ind w:firstLine="480"/>
        <w:jc w:val="both"/>
        <w:spacing w:beforeAutospacing="0" w:afterAutospacing="0"/>
        <w:rPr>
          <w:rFonts w:hint="eastAsia" w:ascii="宋体" w:hAnsi="宋体" w:eastAsia="宋体" w:cs="宋体"/>
          <w:color w:val="000000"/>
          <w:lang w:eastAsia="zh-CN"/>
        </w:rPr>
      </w:pPr>
      <w:r>
        <w:rPr>
          <w:rFonts w:hint="eastAsia" w:ascii="宋体" w:hAnsi="宋体" w:eastAsia="宋体" w:cs="宋体"/>
          <w:color w:val="000000"/>
        </w:rPr>
        <w:t xml:space="preserve">1.项目编号：</w:t>
      </w:r>
      <w:r>
        <w:rPr>
          <w:rFonts w:hint="eastAsia" w:ascii="宋体" w:hAnsi="宋体" w:eastAsia="宋体" w:cs="宋体"/>
          <w:color w:val="000000"/>
          <w:lang w:eastAsia="zh-CN"/>
        </w:rPr>
        <w:t xml:space="preserve">JSZC-320921-YCJH-G2026-0002</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2026年响水县四丰生活垃圾卫生填埋场渗滤液处理运营服务（重新招标）</w:t>
      </w:r>
      <w:r>
        <w:rPr>
          <w:rFonts w:hint="eastAsia" w:ascii="宋体" w:hAnsi="宋体" w:eastAsia="宋体" w:cs="宋体"/>
          <w:color w:val="000000"/>
        </w:rPr>
        <w:t xml:space="preserve">项目</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4.预算金额：200万元</w:t>
      </w:r>
      <w:r>
        <w:rPr>
          <w:rFonts w:hint="eastAsia" w:ascii="宋体" w:hAnsi="宋体"/>
          <w:color w:val="000000"/>
        </w:rPr>
        <w:t xml:space="preserve">（一年）</w:t>
      </w:r>
      <w:r/>
    </w:p>
    <w:p>
      <w:pPr>
        <w:ind w:firstLine="480"/>
        <w:spacing w:before="78" w:after="78" w:line="420" w:lineRule="exact"/>
        <w:tabs>
          <w:tab w:val="left" w:pos="900" w:leader="none"/>
        </w:tabs>
        <w:rPr>
          <w:rFonts w:ascii="宋体" w:hAnsi="宋体" w:eastAsia="宋体" w:cs="宋体"/>
          <w:color w:val="000000"/>
          <w:sz w:val="24"/>
        </w:rPr>
      </w:pPr>
      <w:r>
        <w:rPr>
          <w:rFonts w:hint="eastAsia" w:ascii="宋体" w:hAnsi="宋体" w:eastAsia="宋体" w:cs="宋体"/>
          <w:color w:val="000000"/>
          <w:sz w:val="24"/>
        </w:rPr>
        <w:t xml:space="preserve">5.最高限价（如有）：100元每吨</w:t>
      </w:r>
      <w:r>
        <w:rPr>
          <w:rFonts w:hint="eastAsia" w:ascii="宋体" w:hAnsi="宋体" w:eastAsia="宋体" w:cs="Times New Roman"/>
          <w:color w:val="000000"/>
          <w:sz w:val="24"/>
        </w:rPr>
        <w:t xml:space="preserve">（以处理后的达标排水量计），</w:t>
      </w:r>
      <w:r>
        <w:rPr>
          <w:rFonts w:hint="eastAsia" w:ascii="宋体" w:hAnsi="宋体" w:eastAsia="宋体" w:cs="Times New Roman"/>
          <w:sz w:val="24"/>
        </w:rPr>
        <w:t xml:space="preserve">投标价高于最高限价，投标无效。</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6.采购需求（简介）：</w:t>
      </w:r>
      <w:r>
        <w:rPr>
          <w:rFonts w:hint="eastAsia" w:ascii="宋体" w:hAnsi="宋体"/>
          <w:color w:val="000000"/>
        </w:rPr>
        <w:t xml:space="preserve">响水县四丰生活垃圾卫生填埋场位于响水县小尖镇四丰村境内，从2020年1月起，响水全域生活垃圾已转运至滨海大吉生活垃圾焚烧发电厂作无害化处理，该填埋场处于封闭运营状态，但该生活垃圾处理场配套的渗滤液处理站仍正常运营，主要处理填埋场日常产生的渗滤液和镇区垃圾压缩站清运至此的渗滤液，</w:t>
      </w:r>
      <w:r>
        <w:rPr>
          <w:rFonts w:hint="eastAsia" w:ascii="宋体" w:hAnsi="宋体"/>
          <w:color w:val="000000"/>
          <w:lang w:val="en-US" w:eastAsia="zh-CN"/>
        </w:rPr>
        <w:t xml:space="preserve">每年330</w:t>
      </w:r>
      <w:r>
        <w:rPr>
          <w:rFonts w:hint="eastAsia" w:ascii="宋体" w:hAnsi="宋体"/>
          <w:color w:val="000000"/>
        </w:rPr>
        <w:t xml:space="preserve">每天总量约</w:t>
      </w:r>
      <w:r>
        <w:rPr>
          <w:rFonts w:hint="eastAsia" w:ascii="宋体" w:hAnsi="宋体"/>
          <w:color w:val="000000"/>
          <w:lang w:val="en-US" w:eastAsia="zh-CN"/>
        </w:rPr>
        <w:t xml:space="preserve">60</w:t>
      </w:r>
      <w:r>
        <w:rPr>
          <w:rFonts w:hint="eastAsia" w:ascii="宋体" w:hAnsi="宋体"/>
          <w:color w:val="000000"/>
        </w:rPr>
        <w:t xml:space="preserve">吨</w:t>
      </w:r>
      <w:r>
        <w:rPr>
          <w:rFonts w:hint="eastAsia" w:ascii="宋体" w:hAnsi="宋体"/>
          <w:color w:val="000000"/>
          <w:lang w:val="en-US" w:eastAsia="zh-CN"/>
        </w:rPr>
        <w:t xml:space="preserve">全年合计约：20000吨以实际处理为准</w:t>
      </w:r>
      <w:r>
        <w:rPr>
          <w:rFonts w:hint="eastAsia" w:ascii="宋体" w:hAnsi="宋体"/>
          <w:color w:val="000000"/>
        </w:rPr>
        <w:t xml:space="preserve">。由于浓缩液长年累月的回灌填埋库区，导致渗滤液原水盐分的富集，处理难度有所增加。</w:t>
      </w:r>
      <w:r>
        <w:rPr>
          <w:rFonts w:hint="eastAsia" w:ascii="宋体" w:hAnsi="宋体" w:eastAsia="宋体" w:cs="宋体"/>
          <w:color w:val="000000"/>
        </w:rPr>
        <w:t xml:space="preserve">（详细内容见本招标文件第四章）</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7.合同履行期限：运维时间</w:t>
      </w:r>
      <w:r>
        <w:rPr>
          <w:rFonts w:hint="eastAsia" w:ascii="宋体" w:hAnsi="宋体"/>
          <w:color w:val="000000"/>
        </w:rPr>
        <w:t xml:space="preserve">二年采取1+1模式，一年后若投标人考核合格可顺延一年。从合同签订之日起算</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8.本项目不接受联合体参与招标。</w:t>
      </w:r>
      <w:r/>
    </w:p>
    <w:p>
      <w:pPr>
        <w:pStyle w:val="641"/>
        <w:ind w:firstLine="498"/>
        <w:jc w:val="both"/>
        <w:keepLines/>
        <w:keepNext/>
        <w:spacing w:before="145" w:beforeAutospacing="0" w:after="145" w:afterAutospacing="0" w:line="360" w:lineRule="auto"/>
        <w:rPr>
          <w:rFonts w:ascii="宋体" w:hAnsi="宋体" w:eastAsia="宋体" w:cs="宋体"/>
        </w:rPr>
      </w:pPr>
      <w:r/>
      <w:bookmarkStart w:id="12" w:name="_Toc35393622"/>
      <w:r/>
      <w:bookmarkStart w:id="13" w:name="_Toc35393791"/>
      <w:r/>
      <w:bookmarkStart w:id="14" w:name="_Toc28359080"/>
      <w:r/>
      <w:bookmarkStart w:id="15" w:name="_Toc28359003"/>
      <w:r/>
      <w:bookmarkStart w:id="16" w:name="_Toc38985264"/>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641"/>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41"/>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41"/>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641"/>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1"/>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41"/>
        <w:ind w:firstLine="480"/>
        <w:jc w:val="both"/>
        <w:spacing w:beforeAutospacing="0" w:afterAutospacing="0"/>
        <w:rPr>
          <w:rFonts w:hint="default" w:ascii="宋体" w:hAnsi="宋体" w:eastAsia="宋体" w:cs="宋体"/>
          <w:color w:val="000000"/>
          <w:lang w:val="en-US" w:eastAsia="zh-CN"/>
        </w:rPr>
      </w:pPr>
      <w:r>
        <w:rPr>
          <w:rFonts w:hint="eastAsia" w:ascii="宋体" w:hAnsi="宋体" w:eastAsia="宋体" w:cs="宋体"/>
          <w:color w:val="000000"/>
        </w:rPr>
        <w:t xml:space="preserve">2.落实政府采购政策需满足的资格要求：</w:t>
      </w:r>
      <w:r>
        <w:rPr>
          <w:rFonts w:hint="eastAsia" w:ascii="宋体" w:hAnsi="宋体" w:eastAsia="宋体" w:cs="宋体"/>
          <w:color w:val="000000"/>
          <w:lang w:val="en-US" w:eastAsia="zh-CN"/>
        </w:rPr>
        <w:t xml:space="preserve">本项目</w:t>
      </w:r>
      <w:r>
        <w:rPr>
          <w:rFonts w:hint="eastAsia" w:ascii="宋体" w:hAnsi="宋体" w:eastAsia="宋体" w:cs="宋体"/>
          <w:color w:val="000000"/>
          <w:sz w:val="24"/>
          <w:szCs w:val="24"/>
          <w:highlight w:val="none"/>
        </w:rPr>
        <w:t xml:space="preserve">属于专门面向中小企业采购的项目,供应商应提供</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eastAsia="zh-CN"/>
        </w:rPr>
        <w:t xml:space="preserve">声</w:t>
      </w:r>
      <w:r>
        <w:rPr>
          <w:rFonts w:hint="eastAsia" w:ascii="宋体" w:hAnsi="宋体" w:eastAsia="宋体" w:cs="宋体"/>
          <w:color w:val="auto"/>
          <w:sz w:val="24"/>
          <w:szCs w:val="24"/>
          <w:highlight w:val="none"/>
        </w:rPr>
        <w:t xml:space="preserve">明函</w:t>
      </w:r>
      <w:r>
        <w:rPr>
          <w:rFonts w:hint="eastAsia" w:ascii="宋体" w:hAnsi="宋体" w:eastAsia="宋体" w:cs="宋体"/>
          <w:color w:val="000000"/>
          <w:sz w:val="24"/>
          <w:szCs w:val="24"/>
          <w:highlight w:val="none"/>
        </w:rPr>
        <w:t xml:space="preserve">、监狱企业、残疾人福利性单位声明函。</w:t>
      </w:r>
      <w:r/>
    </w:p>
    <w:p>
      <w:pPr>
        <w:pStyle w:val="641"/>
        <w:ind w:firstLine="560"/>
        <w:jc w:val="both"/>
        <w:spacing w:beforeAutospacing="0" w:afterAutospacing="0"/>
        <w:shd w:val="clear" w:color="auto" w:fill="ffffff"/>
        <w:widowControl/>
        <w:rPr>
          <w:rFonts w:ascii="宋体" w:hAnsi="宋体" w:eastAsia="宋体" w:cs="宋体"/>
        </w:rPr>
      </w:pPr>
      <w:r>
        <w:rPr>
          <w:rFonts w:hint="eastAsia" w:ascii="宋体" w:hAnsi="宋体" w:eastAsia="宋体" w:cs="宋体"/>
          <w:color w:val="000000"/>
        </w:rPr>
        <w:t xml:space="preserve">3.本项目的特定资格要求：无</w:t>
      </w:r>
      <w:r/>
    </w:p>
    <w:p>
      <w:pPr>
        <w:pStyle w:val="641"/>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widowControl/>
        <w:rPr>
          <w:rFonts w:ascii="宋体" w:hAnsi="宋体" w:eastAsia="宋体" w:cs="宋体"/>
          <w:color w:val="000000"/>
          <w:sz w:val="24"/>
        </w:rPr>
      </w:pPr>
      <w:r/>
      <w:bookmarkStart w:id="17" w:name="_Toc28359082"/>
      <w:r/>
      <w:bookmarkStart w:id="18" w:name="_Toc35393624"/>
      <w:r/>
      <w:bookmarkStart w:id="19" w:name="_Toc35393793"/>
      <w:r/>
      <w:bookmarkStart w:id="20" w:name="_Toc38985266"/>
      <w:r/>
      <w:bookmarkStart w:id="21" w:name="_Toc28359005"/>
      <w:r>
        <w:rPr>
          <w:rFonts w:hint="eastAsia" w:ascii="宋体" w:hAnsi="宋体" w:eastAsia="宋体" w:cs="宋体"/>
          <w:color w:val="000000"/>
          <w:sz w:val="24"/>
        </w:rPr>
        <w:t xml:space="preserve">1.时间：</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自招标文件公告发布之日起5个工作日。</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641"/>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left="479"/>
        <w:jc w:val="left"/>
        <w:widowControl/>
        <w:rPr>
          <w:rFonts w:ascii="宋体" w:hAnsi="宋体" w:eastAsia="宋体" w:cs="宋体"/>
          <w:color w:val="000000"/>
          <w:sz w:val="24"/>
        </w:rPr>
      </w:pPr>
      <w:r>
        <w:rPr>
          <w:rFonts w:hint="eastAsia" w:ascii="宋体" w:hAnsi="宋体" w:eastAsia="宋体" w:cs="宋体"/>
          <w:color w:val="000000"/>
          <w:sz w:val="24"/>
        </w:rPr>
        <w:t xml:space="preserve">1.时间：</w:t>
      </w:r>
      <w:r>
        <w:rPr>
          <w:rFonts w:hint="eastAsia" w:ascii="宋体" w:hAnsi="宋体" w:eastAsia="宋体" w:cs="宋体"/>
          <w:color w:val="000000"/>
          <w:sz w:val="24"/>
          <w:lang w:val="en-US" w:eastAsia="zh-CN"/>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09</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30</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09</w:t>
      </w:r>
      <w:r>
        <w:rPr>
          <w:rFonts w:hint="eastAsia" w:ascii="宋体" w:hAnsi="宋体" w:eastAsia="宋体" w:cs="宋体"/>
          <w:color w:val="000000"/>
          <w:sz w:val="24"/>
        </w:rPr>
        <w:t xml:space="preserve">点</w:t>
      </w:r>
      <w:r>
        <w:rPr>
          <w:rFonts w:hint="eastAsia" w:ascii="宋体" w:hAnsi="宋体" w:eastAsia="宋体" w:cs="宋体"/>
          <w:color w:val="000000"/>
          <w:sz w:val="24"/>
          <w:lang w:val="en-US" w:eastAsia="zh-CN"/>
        </w:rPr>
        <w:t xml:space="preserve">00</w:t>
      </w:r>
      <w:r>
        <w:rPr>
          <w:rFonts w:hint="eastAsia" w:ascii="宋体" w:hAnsi="宋体" w:eastAsia="宋体" w:cs="宋体"/>
          <w:color w:val="000000"/>
          <w:sz w:val="24"/>
        </w:rPr>
        <w:t xml:space="preserve"> 分（北京时间）</w:t>
      </w:r>
      <w:r>
        <w:rPr>
          <w:rFonts w:hint="eastAsia" w:ascii="宋体" w:hAnsi="宋体" w:eastAsia="宋体" w:cs="宋体"/>
          <w:color w:val="000000"/>
          <w:sz w:val="24"/>
        </w:rPr>
        <w:br/>
      </w:r>
      <w:r>
        <w:rPr>
          <w:rFonts w:hint="eastAsia" w:ascii="宋体" w:hAnsi="宋体" w:eastAsia="宋体" w:cs="宋体"/>
          <w:color w:val="000000"/>
          <w:sz w:val="24"/>
        </w:rPr>
        <w:t xml:space="preserve">2.地点：苏采云“不见面”开标大厅 。</w:t>
      </w:r>
      <w:r/>
    </w:p>
    <w:p>
      <w:pPr>
        <w:pStyle w:val="641"/>
        <w:ind w:firstLine="498"/>
        <w:jc w:val="both"/>
        <w:keepLines/>
        <w:keepNext/>
        <w:spacing w:before="145" w:beforeAutospacing="0" w:after="145" w:afterAutospacing="0" w:line="360" w:lineRule="auto"/>
        <w:rPr>
          <w:rFonts w:ascii="宋体" w:hAnsi="宋体" w:eastAsia="宋体" w:cs="宋体"/>
        </w:rPr>
      </w:pPr>
      <w:r/>
      <w:bookmarkStart w:id="22" w:name="_Toc28359084"/>
      <w:r/>
      <w:bookmarkStart w:id="23" w:name="_Toc35393625"/>
      <w:r/>
      <w:bookmarkStart w:id="24" w:name="_Toc38985267"/>
      <w:r/>
      <w:bookmarkStart w:id="25" w:name="_Toc28359007"/>
      <w:r/>
      <w:bookmarkStart w:id="26" w:name="_Toc35393794"/>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27" w:name="_Toc38985268"/>
      <w:r/>
      <w:bookmarkStart w:id="28" w:name="_Toc35393795"/>
      <w:r/>
      <w:bookmarkStart w:id="29" w:name="_Toc35393626"/>
      <w:r>
        <w:rPr>
          <w:rFonts w:hint="eastAsia" w:ascii="宋体" w:hAnsi="宋体" w:eastAsia="宋体" w:cs="宋体"/>
          <w:color w:val="333333"/>
          <w:shd w:val="clear" w:color="auto" w:fill="ffffff"/>
        </w:rPr>
        <w:t xml:space="preserve">自本公告发布之日起5个工作日。</w:t>
      </w:r>
      <w:bookmarkEnd w:id="27"/>
      <w:r/>
      <w:bookmarkEnd w:id="28"/>
      <w:r/>
      <w:bookmarkEnd w:id="29"/>
      <w:r/>
      <w:r/>
    </w:p>
    <w:p>
      <w:pPr>
        <w:pStyle w:val="641"/>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56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领取CA和办理电子签章（</w:t>
      </w:r>
      <w:r>
        <w:rPr>
          <w:rFonts w:ascii="SimSun" w:hAnsi="SimSun" w:eastAsia="SimSun" w:cs="SimSun"/>
          <w:color w:val="000000"/>
          <w:sz w:val="24"/>
        </w:rPr>
        <w:t xml:space="preserve">请至</w:t>
      </w:r>
      <w:r>
        <w:rPr>
          <w:rFonts w:ascii="SimSun" w:hAnsi="SimSun" w:eastAsia="SimSun" w:cs="SimSun"/>
          <w:color w:val="ff0000"/>
          <w:sz w:val="24"/>
        </w:rPr>
        <w:t xml:space="preserve">盐城市府西路1号盐城市公共资源交易中心四楼大厅10号，11号窗口</w:t>
      </w:r>
      <w:r>
        <w:rPr>
          <w:rFonts w:ascii="SimSun" w:hAnsi="SimSun" w:eastAsia="SimSun" w:cs="SimSun"/>
          <w:color w:val="000000"/>
          <w:sz w:val="24"/>
        </w:rPr>
        <w:t xml:space="preserve">办理</w:t>
      </w:r>
      <w:r>
        <w:rPr>
          <w:rFonts w:ascii="SimSun" w:hAnsi="SimSun" w:eastAsia="SimSun" w:cs="SimSun"/>
          <w:color w:val="333333"/>
          <w:sz w:val="24"/>
          <w:highlight w:val="white"/>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4.有关本次招标的事项若存在变动或修改，敬请及时关注代理公司在“中国政府采购网”“江苏政府采购网”“盐城市政府采购网”发布的更正公告。</w:t>
      </w:r>
      <w:r/>
    </w:p>
    <w:p>
      <w:pPr>
        <w:ind w:left="0" w:right="0" w:firstLine="56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5.本次招标不收取投标保证金，不收取质量保证金。</w:t>
      </w:r>
      <w:r/>
      <w:r>
        <w:rPr>
          <w:rFonts w:hint="eastAsia" w:ascii="宋体" w:hAnsi="宋体" w:eastAsia="宋体" w:cs="宋体"/>
          <w:color w:val="333333"/>
          <w:shd w:val="clear" w:color="auto" w:fill="ffffff"/>
        </w:rPr>
      </w:r>
      <w:r/>
      <w:r>
        <w:rPr>
          <w:sz w:val="24"/>
        </w:rPr>
      </w:r>
    </w:p>
    <w:p>
      <w:pPr>
        <w:pStyle w:val="608"/>
        <w:ind w:firstLine="480"/>
        <w:jc w:val="both"/>
        <w:spacing w:beforeAutospacing="0" w:afterAutospacing="0" w:line="23" w:lineRule="atLeast"/>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0"/>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000000"/>
        </w:rPr>
        <w:t xml:space="preserve">  </w:t>
      </w:r>
      <w:bookmarkStart w:id="31" w:name="_Toc28359009"/>
      <w:r>
        <w:rPr>
          <w:rFonts w:hint="eastAsia" w:ascii="宋体" w:hAnsi="宋体" w:eastAsia="宋体" w:cs="宋体"/>
          <w:color w:val="333333"/>
          <w:shd w:val="clear" w:color="auto" w:fill="ffffff"/>
        </w:rPr>
        <w:t xml:space="preserve">1.采购人信息</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称：响水县环境卫生管理所</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 响水县长江西路 </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联系人：顾正洋  </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联系方式：18205119208           </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 盐城金弘项目管理有限公司</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 盐城市响水县珠江路友创大厦507</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联系人：王爽                     </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32" w:name="_Toc28359087"/>
      <w:r/>
      <w:bookmarkStart w:id="33" w:name="_Toc28359010"/>
      <w:r>
        <w:rPr>
          <w:rFonts w:hint="eastAsia" w:ascii="宋体" w:hAnsi="宋体" w:eastAsia="宋体" w:cs="宋体"/>
          <w:color w:val="333333"/>
          <w:shd w:val="clear" w:color="auto" w:fill="ffffff"/>
        </w:rPr>
        <w:t xml:space="preserve">13912598066       </w:t>
      </w:r>
      <w:bookmarkEnd w:id="32"/>
      <w:r/>
      <w:bookmarkEnd w:id="33"/>
      <w:r>
        <w:rPr>
          <w:rFonts w:hint="eastAsia" w:ascii="宋体" w:hAnsi="宋体" w:eastAsia="宋体" w:cs="宋体"/>
          <w:color w:val="333333"/>
          <w:shd w:val="clear" w:color="auto" w:fill="ffffff"/>
        </w:rPr>
        <w:t xml:space="preserve">            </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34" w:name="_Toc28359021"/>
      <w:r>
        <w:rPr>
          <w:rFonts w:hint="eastAsia" w:ascii="宋体" w:hAnsi="宋体" w:eastAsia="宋体" w:cs="宋体"/>
          <w:color w:val="333333"/>
          <w:shd w:val="clear" w:color="auto" w:fill="ffffff"/>
        </w:rPr>
        <w:t xml:space="preserve">3.</w:t>
      </w:r>
      <w:bookmarkEnd w:id="34"/>
      <w:r>
        <w:rPr>
          <w:rFonts w:hint="eastAsia" w:ascii="宋体" w:hAnsi="宋体" w:eastAsia="宋体" w:cs="宋体"/>
          <w:color w:val="333333"/>
          <w:shd w:val="clear" w:color="auto" w:fill="ffffff"/>
        </w:rPr>
        <w:t xml:space="preserve">项目联系方式</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项目联系人：王爽</w:t>
      </w:r>
      <w:r/>
    </w:p>
    <w:p>
      <w:pPr>
        <w:pStyle w:val="641"/>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话：13912598066　　　　　　　　　　　　</w:t>
      </w:r>
      <w:r/>
    </w:p>
    <w:p>
      <w:pPr>
        <w:rPr>
          <w:rFonts w:ascii="宋体" w:hAnsi="宋体" w:eastAsia="宋体" w:cs="宋体"/>
          <w:sz w:val="24"/>
        </w:rPr>
      </w:pPr>
      <w:r>
        <w:rPr>
          <w:rFonts w:hint="eastAsia" w:ascii="宋体" w:hAnsi="宋体" w:eastAsia="宋体" w:cs="宋体"/>
          <w:sz w:val="24"/>
        </w:rPr>
        <w:t xml:space="preserve"> </w:t>
      </w:r>
      <w:r/>
    </w:p>
    <w:p>
      <w:pPr>
        <w:pStyle w:val="641"/>
        <w:ind w:right="840"/>
        <w:jc w:val="both"/>
        <w:spacing w:beforeAutospacing="0" w:afterAutospacing="0"/>
      </w:pPr>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641"/>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513029202"/>
      <w:r/>
      <w:bookmarkStart w:id="37" w:name="_Toc20823274"/>
      <w:r/>
      <w:bookmarkStart w:id="38" w:name="_Toc16938518"/>
      <w:r/>
      <w:bookmarkStart w:id="39" w:name="_Toc120614213"/>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641"/>
        <w:ind w:firstLine="498"/>
        <w:jc w:val="both"/>
        <w:keepLines/>
        <w:keepNext/>
        <w:spacing w:before="145" w:beforeAutospacing="0" w:after="145" w:afterAutospacing="0" w:line="360" w:lineRule="auto"/>
        <w:rPr>
          <w:rFonts w:ascii="宋体" w:hAnsi="宋体" w:eastAsia="宋体" w:cs="宋体"/>
        </w:rPr>
      </w:pPr>
      <w:r/>
      <w:bookmarkStart w:id="40" w:name="_Toc120614214"/>
      <w:r/>
      <w:bookmarkStart w:id="41" w:name="_Toc513029203"/>
      <w:r/>
      <w:bookmarkStart w:id="42" w:name="_Toc20823275"/>
      <w:r/>
      <w:bookmarkStart w:id="43" w:name="_Toc16938519"/>
      <w:r>
        <w:rPr>
          <w:rFonts w:hint="eastAsia" w:ascii="宋体" w:hAnsi="宋体" w:eastAsia="宋体" w:cs="宋体"/>
          <w:b/>
          <w:color w:val="000000"/>
        </w:rPr>
        <w:t xml:space="preserve">一、总则</w:t>
      </w:r>
      <w:bookmarkEnd w:id="40"/>
      <w:r/>
      <w:bookmarkEnd w:id="41"/>
      <w:r/>
      <w:bookmarkEnd w:id="42"/>
      <w:r/>
      <w:bookmarkEnd w:id="43"/>
      <w:r/>
      <w:r/>
    </w:p>
    <w:p>
      <w:pPr>
        <w:pStyle w:val="641"/>
        <w:ind w:firstLine="420"/>
        <w:jc w:val="both"/>
        <w:keepLines/>
        <w:keepNext/>
        <w:spacing w:beforeAutospacing="0" w:afterAutospacing="0"/>
        <w:rPr>
          <w:rFonts w:ascii="宋体" w:hAnsi="宋体" w:eastAsia="宋体" w:cs="宋体"/>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color w:val="000000"/>
        </w:rPr>
        <w:t xml:space="preserve">1</w:t>
      </w:r>
      <w:bookmarkEnd w:id="44"/>
      <w:r>
        <w:rPr>
          <w:rFonts w:hint="eastAsia" w:ascii="宋体" w:hAnsi="宋体" w:eastAsia="宋体" w:cs="宋体"/>
          <w:color w:val="000000"/>
        </w:rPr>
        <w:t xml:space="preserve">、招标方式</w:t>
      </w:r>
      <w:bookmarkEnd w:id="45"/>
      <w:r/>
      <w:bookmarkEnd w:id="46"/>
      <w:r/>
      <w:bookmarkEnd w:id="47"/>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641"/>
        <w:ind w:firstLine="420"/>
        <w:jc w:val="both"/>
        <w:keepLines/>
        <w:keepNext/>
        <w:spacing w:beforeAutospacing="0" w:afterAutospacing="0"/>
        <w:rPr>
          <w:rFonts w:ascii="宋体" w:hAnsi="宋体" w:eastAsia="宋体" w:cs="宋体"/>
        </w:rPr>
      </w:pPr>
      <w:r/>
      <w:bookmarkStart w:id="49" w:name="_Toc20823277"/>
      <w:r/>
      <w:bookmarkStart w:id="50" w:name="_Toc513029205"/>
      <w:r/>
      <w:bookmarkStart w:id="51" w:name="_Toc16938521"/>
      <w:r>
        <w:rPr>
          <w:rFonts w:hint="eastAsia" w:ascii="宋体" w:hAnsi="宋体" w:eastAsia="宋体" w:cs="宋体"/>
          <w:color w:val="000000"/>
        </w:rPr>
        <w:t xml:space="preserve">2、合格的投标人</w:t>
      </w:r>
      <w:bookmarkEnd w:id="49"/>
      <w:r/>
      <w:bookmarkEnd w:id="50"/>
      <w:r/>
      <w:bookmarkEnd w:id="51"/>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400" w:lineRule="exact"/>
        <w:rPr>
          <w:rFonts w:ascii="方正魏碑_GBK" w:hAnsi="方正魏碑_GBK" w:eastAsia="方正魏碑_GBK" w:cs="方正魏碑_GBK"/>
          <w:sz w:val="24"/>
          <w:szCs w:val="21"/>
        </w:rPr>
      </w:pPr>
      <w:r/>
      <w:bookmarkStart w:id="52" w:name="_Toc513029206"/>
      <w:r/>
      <w:bookmarkStart w:id="53" w:name="_Toc20823278"/>
      <w:r/>
      <w:bookmarkStart w:id="54" w:name="_Toc16938522"/>
      <w:r/>
      <w:bookmarkStart w:id="55" w:name="_Toc16938523"/>
      <w:r/>
      <w:bookmarkStart w:id="56" w:name="_Toc20823279"/>
      <w:r/>
      <w:bookmarkStart w:id="57" w:name="_Toc462564067"/>
      <w:r/>
      <w:bookmarkStart w:id="58" w:name="_Toc513029207"/>
      <w:r>
        <w:rPr>
          <w:rFonts w:hint="eastAsia" w:ascii="方正魏碑_GBK" w:hAnsi="方正魏碑_GBK" w:eastAsia="方正魏碑_GBK" w:cs="方正魏碑_GBK"/>
          <w:sz w:val="24"/>
          <w:szCs w:val="21"/>
        </w:rPr>
        <w:t xml:space="preserve">3、适用法律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641"/>
        <w:ind w:firstLine="420"/>
        <w:jc w:val="both"/>
        <w:spacing w:beforeAutospacing="0" w:afterAutospacing="0" w:line="0" w:lineRule="atLeas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400" w:lineRule="exact"/>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41"/>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4、投标费用</w:t>
      </w:r>
      <w:bookmarkEnd w:id="55"/>
      <w:r/>
      <w:bookmarkEnd w:id="56"/>
      <w:r/>
      <w:bookmarkEnd w:id="57"/>
      <w:r/>
      <w:bookmarkEnd w:id="58"/>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4.1投标人应自行承担所有与参加投标有关的费用，无论投标过程中的做法和结果如何，采购人或采购代理机构在任何情况下均无义务和责任承担这些费用。</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4.2本次招标代理公司和采购人不收取标书工本费与中标服务费。</w:t>
      </w:r>
      <w:r/>
    </w:p>
    <w:p>
      <w:pPr>
        <w:pStyle w:val="641"/>
        <w:ind w:firstLine="602"/>
        <w:jc w:val="both"/>
        <w:keepLines/>
        <w:keepNext/>
        <w:spacing w:beforeAutospacing="0" w:afterAutospacing="0" w:line="0" w:lineRule="atLeast"/>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641"/>
        <w:ind w:firstLine="321"/>
        <w:jc w:val="both"/>
        <w:keepLines/>
        <w:keepNext/>
        <w:spacing w:before="145" w:beforeAutospacing="0" w:after="145" w:afterAutospacing="0" w:line="360" w:lineRule="auto"/>
        <w:rPr>
          <w:rFonts w:ascii="宋体" w:hAnsi="宋体" w:eastAsia="宋体" w:cs="宋体"/>
        </w:rPr>
      </w:pPr>
      <w:r/>
      <w:bookmarkStart w:id="59" w:name="_Toc20823281"/>
      <w:r/>
      <w:bookmarkStart w:id="60" w:name="_Toc120614215"/>
      <w:r/>
      <w:bookmarkStart w:id="61" w:name="_Toc513029209"/>
      <w:r/>
      <w:bookmarkStart w:id="62" w:name="_Toc16938525"/>
      <w:r>
        <w:rPr>
          <w:rFonts w:hint="eastAsia" w:ascii="宋体" w:hAnsi="宋体" w:eastAsia="宋体" w:cs="宋体"/>
          <w:b/>
          <w:color w:val="000000"/>
        </w:rPr>
        <w:t xml:space="preserve">二、招标文件</w:t>
      </w:r>
      <w:bookmarkEnd w:id="59"/>
      <w:r/>
      <w:bookmarkEnd w:id="60"/>
      <w:r/>
      <w:bookmarkEnd w:id="61"/>
      <w:r/>
      <w:bookmarkEnd w:id="62"/>
      <w:r/>
      <w:r/>
    </w:p>
    <w:p>
      <w:pPr>
        <w:pStyle w:val="641"/>
        <w:ind w:firstLine="420"/>
        <w:jc w:val="both"/>
        <w:keepLines/>
        <w:keepNext/>
        <w:spacing w:beforeAutospacing="0" w:afterAutospacing="0"/>
        <w:rPr>
          <w:rFonts w:ascii="宋体" w:hAnsi="宋体" w:eastAsia="宋体" w:cs="宋体"/>
        </w:rPr>
      </w:pPr>
      <w:r/>
      <w:bookmarkStart w:id="63" w:name="_Toc16938526"/>
      <w:r/>
      <w:bookmarkStart w:id="64" w:name="_Toc20823282"/>
      <w:r/>
      <w:bookmarkStart w:id="65" w:name="_Toc513029210"/>
      <w:r>
        <w:rPr>
          <w:rFonts w:hint="eastAsia" w:ascii="宋体" w:hAnsi="宋体" w:eastAsia="宋体" w:cs="宋体"/>
          <w:color w:val="000000"/>
        </w:rPr>
        <w:t xml:space="preserve">6、招标文件构成</w:t>
      </w:r>
      <w:bookmarkEnd w:id="63"/>
      <w:r/>
      <w:bookmarkEnd w:id="64"/>
      <w:r/>
      <w:bookmarkEnd w:id="65"/>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6.1 招标文件由以下部分组成：</w:t>
      </w:r>
      <w:r/>
    </w:p>
    <w:p>
      <w:pPr>
        <w:pStyle w:val="64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（1）招标公告</w:t>
      </w:r>
      <w:r/>
    </w:p>
    <w:p>
      <w:pPr>
        <w:pStyle w:val="64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（2）投标人须知</w:t>
      </w:r>
      <w:r/>
    </w:p>
    <w:p>
      <w:pPr>
        <w:pStyle w:val="64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（3）合同文本</w:t>
      </w:r>
      <w:r/>
    </w:p>
    <w:p>
      <w:pPr>
        <w:pStyle w:val="64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（4）采购需求</w:t>
      </w:r>
      <w:r/>
    </w:p>
    <w:p>
      <w:pPr>
        <w:pStyle w:val="641"/>
        <w:ind w:firstLine="360"/>
        <w:jc w:val="both"/>
        <w:spacing w:beforeAutospacing="0" w:afterAutospacing="0"/>
        <w:rPr>
          <w:rFonts w:ascii="宋体" w:hAnsi="宋体" w:eastAsia="宋体" w:cs="宋体"/>
        </w:rPr>
      </w:pPr>
      <w:r>
        <w:rPr>
          <w:rFonts w:hint="eastAsia" w:ascii="宋体" w:hAnsi="宋体" w:eastAsia="宋体" w:cs="宋体"/>
          <w:color w:val="000000"/>
        </w:rPr>
        <w:t xml:space="preserve">（5）评标方法与评标标准</w:t>
      </w:r>
      <w:r/>
    </w:p>
    <w:p>
      <w:pPr>
        <w:pStyle w:val="64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（6）投标文件格式</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请仔细检查招标文件是否齐全，如有缺漏请立即与代理公司联系解决。</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1"/>
        <w:ind w:firstLine="560"/>
        <w:jc w:val="both"/>
        <w:keepLines/>
        <w:keepNext/>
        <w:spacing w:beforeAutospacing="0" w:afterAutospacing="0"/>
        <w:rPr>
          <w:rFonts w:ascii="宋体" w:hAnsi="宋体" w:eastAsia="宋体" w:cs="宋体"/>
        </w:rPr>
      </w:pPr>
      <w:r/>
      <w:bookmarkStart w:id="66" w:name="_Toc462564070"/>
      <w:r/>
      <w:bookmarkStart w:id="67" w:name="_Toc20823283"/>
      <w:r/>
      <w:bookmarkStart w:id="68" w:name="_Toc513029211"/>
      <w:r/>
      <w:bookmarkStart w:id="69" w:name="_Toc16938527"/>
      <w:r>
        <w:rPr>
          <w:rFonts w:hint="eastAsia" w:ascii="宋体" w:hAnsi="宋体" w:eastAsia="宋体" w:cs="宋体"/>
          <w:color w:val="000000"/>
        </w:rPr>
        <w:t xml:space="preserve">7、招标文件的澄清</w:t>
      </w:r>
      <w:bookmarkEnd w:id="66"/>
      <w:r/>
      <w:bookmarkEnd w:id="67"/>
      <w:r/>
      <w:bookmarkEnd w:id="68"/>
      <w:r/>
      <w:bookmarkEnd w:id="69"/>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前按招标公告中的通讯地址，以书面形式通知代理公司。</w:t>
      </w:r>
      <w:r/>
    </w:p>
    <w:p>
      <w:pPr>
        <w:pStyle w:val="641"/>
        <w:ind w:firstLine="560"/>
        <w:jc w:val="both"/>
        <w:keepLines/>
        <w:keepNext/>
        <w:spacing w:beforeAutospacing="0" w:afterAutospacing="0"/>
        <w:rPr>
          <w:rFonts w:ascii="宋体" w:hAnsi="宋体" w:eastAsia="宋体" w:cs="宋体"/>
        </w:rPr>
      </w:pPr>
      <w:r/>
      <w:bookmarkStart w:id="70" w:name="_Toc20823284"/>
      <w:r/>
      <w:bookmarkStart w:id="71" w:name="_Toc513029212"/>
      <w:r/>
      <w:bookmarkStart w:id="72" w:name="_Toc16938528"/>
      <w:r/>
      <w:bookmarkStart w:id="73" w:name="_Toc462564071"/>
      <w:r>
        <w:rPr>
          <w:rFonts w:hint="eastAsia" w:ascii="宋体" w:hAnsi="宋体" w:eastAsia="宋体" w:cs="宋体"/>
          <w:color w:val="000000"/>
        </w:rPr>
        <w:t xml:space="preserve">8、招标文件的修改</w:t>
      </w:r>
      <w:bookmarkEnd w:id="70"/>
      <w:r/>
      <w:bookmarkEnd w:id="71"/>
      <w:r/>
      <w:bookmarkEnd w:id="72"/>
      <w:r/>
      <w:bookmarkEnd w:id="73"/>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8.1在投标截止时间前，代理公司可以对招标文件进行修改。</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8.2代理公司有权按照法定的要求推迟投标截止日期和开标日期。</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41"/>
        <w:ind w:firstLine="482"/>
        <w:jc w:val="both"/>
        <w:keepLines/>
        <w:keepNext/>
        <w:spacing w:before="145" w:beforeAutospacing="0" w:after="145" w:afterAutospacing="0" w:line="360" w:lineRule="auto"/>
        <w:rPr>
          <w:rFonts w:ascii="宋体" w:hAnsi="宋体" w:eastAsia="宋体" w:cs="宋体"/>
        </w:rPr>
      </w:pPr>
      <w:r/>
      <w:bookmarkStart w:id="74" w:name="_Toc462564072"/>
      <w:r/>
      <w:bookmarkStart w:id="75" w:name="_Toc513029213"/>
      <w:r/>
      <w:bookmarkStart w:id="76" w:name="_Toc120614216"/>
      <w:r/>
      <w:bookmarkStart w:id="77" w:name="_Toc20823285"/>
      <w:r/>
      <w:bookmarkStart w:id="78" w:name="_Toc16938529"/>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641"/>
        <w:ind w:firstLine="560"/>
        <w:jc w:val="both"/>
        <w:keepLines/>
        <w:keepNext/>
        <w:spacing w:beforeAutospacing="0" w:afterAutospacing="0"/>
        <w:rPr>
          <w:rFonts w:ascii="宋体" w:hAnsi="宋体" w:eastAsia="宋体" w:cs="宋体"/>
        </w:rPr>
      </w:pPr>
      <w:r/>
      <w:bookmarkStart w:id="79" w:name="_Toc16938530"/>
      <w:r/>
      <w:bookmarkStart w:id="80" w:name="_Toc20823286"/>
      <w:r/>
      <w:bookmarkStart w:id="81" w:name="_Toc462564073"/>
      <w:r/>
      <w:bookmarkStart w:id="82" w:name="_Toc513029214"/>
      <w:r>
        <w:rPr>
          <w:rFonts w:hint="eastAsia" w:ascii="宋体" w:hAnsi="宋体" w:eastAsia="宋体" w:cs="宋体"/>
          <w:color w:val="000000"/>
        </w:rPr>
        <w:t xml:space="preserve">9、投标文件的语言及度量衡单位</w:t>
      </w:r>
      <w:bookmarkEnd w:id="79"/>
      <w:r/>
      <w:bookmarkEnd w:id="80"/>
      <w:r/>
      <w:bookmarkEnd w:id="81"/>
      <w:r/>
      <w:bookmarkEnd w:id="82"/>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9.1投标人提交的投标文件以及投标人与代理公司就有关投标的所有来往通知、函件和文件均应使用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41"/>
        <w:ind w:firstLine="420"/>
        <w:jc w:val="both"/>
        <w:keepLines/>
        <w:keepNext/>
        <w:spacing w:beforeAutospacing="0" w:afterAutospacing="0"/>
        <w:rPr>
          <w:rFonts w:ascii="宋体" w:hAnsi="宋体" w:eastAsia="宋体" w:cs="宋体"/>
        </w:rPr>
      </w:pPr>
      <w:r/>
      <w:bookmarkStart w:id="83" w:name="_Toc513029215"/>
      <w:r/>
      <w:bookmarkStart w:id="84" w:name="_Toc462564074"/>
      <w:r/>
      <w:bookmarkStart w:id="85" w:name="_Toc20823287"/>
      <w:r/>
      <w:bookmarkStart w:id="86" w:name="_Toc16938531"/>
      <w:r>
        <w:rPr>
          <w:rFonts w:hint="eastAsia" w:ascii="宋体" w:hAnsi="宋体" w:eastAsia="宋体" w:cs="宋体"/>
          <w:color w:val="000000"/>
        </w:rPr>
        <w:t xml:space="preserve">10、投标文件构成</w:t>
      </w:r>
      <w:bookmarkEnd w:id="83"/>
      <w:r/>
      <w:bookmarkEnd w:id="84"/>
      <w:r/>
      <w:bookmarkEnd w:id="85"/>
      <w:r/>
      <w:bookmarkEnd w:id="86"/>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41"/>
        <w:ind w:firstLine="420"/>
        <w:jc w:val="both"/>
        <w:keepLines/>
        <w:keepNext/>
        <w:spacing w:beforeAutospacing="0" w:afterAutospacing="0"/>
        <w:rPr>
          <w:rFonts w:ascii="宋体" w:hAnsi="宋体" w:eastAsia="宋体" w:cs="宋体"/>
        </w:rPr>
      </w:pPr>
      <w:r/>
      <w:bookmarkStart w:id="87" w:name="_Toc513029216"/>
      <w:r/>
      <w:bookmarkStart w:id="88" w:name="_Toc14577354"/>
      <w:r/>
      <w:bookmarkStart w:id="89" w:name="_Toc14577357"/>
      <w:r/>
      <w:bookmarkStart w:id="90" w:name="_Toc49090509"/>
      <w:r/>
      <w:bookmarkStart w:id="91" w:name="_Toc49090507"/>
      <w:r/>
      <w:bookmarkStart w:id="92" w:name="_Toc513029219"/>
      <w:r/>
      <w:bookmarkStart w:id="93" w:name="_Hlt26670360"/>
      <w:r/>
      <w:bookmarkStart w:id="94" w:name="_Hlt26954838"/>
      <w:r/>
      <w:bookmarkStart w:id="95" w:name="_Hlt26668975"/>
      <w:r>
        <w:rPr>
          <w:rFonts w:hint="eastAsia" w:ascii="宋体" w:hAnsi="宋体" w:eastAsia="宋体" w:cs="宋体"/>
          <w:color w:val="000000"/>
        </w:rPr>
        <w:t xml:space="preserve">11、证明投标人及投标标的符合招标文件规定的文件</w:t>
      </w:r>
      <w:bookmarkEnd w:id="87"/>
      <w:r/>
      <w:bookmarkEnd w:id="88"/>
      <w:r/>
      <w:bookmarkEnd w:id="89"/>
      <w:r/>
      <w:bookmarkEnd w:id="90"/>
      <w:r/>
      <w:bookmarkEnd w:id="91"/>
      <w:r/>
      <w:bookmarkEnd w:id="92"/>
      <w:r/>
      <w:r/>
    </w:p>
    <w:p>
      <w:pPr>
        <w:pStyle w:val="641"/>
        <w:jc w:val="both"/>
        <w:spacing w:beforeAutospacing="0" w:afterAutospacing="0" w:line="0" w:lineRule="atLeast"/>
        <w:rPr>
          <w:rFonts w:ascii="宋体" w:hAnsi="宋体" w:eastAsia="宋体" w:cs="宋体"/>
        </w:rPr>
      </w:pPr>
      <w:r/>
      <w:bookmarkStart w:id="96" w:name="_Toc14577355"/>
      <w:r/>
      <w:bookmarkStart w:id="97"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41"/>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12、投标分项报价</w:t>
      </w:r>
      <w:bookmarkStart w:id="98" w:name="_Hlt26670373"/>
      <w:r>
        <w:rPr>
          <w:rFonts w:hint="eastAsia" w:ascii="宋体" w:hAnsi="宋体" w:eastAsia="宋体" w:cs="宋体"/>
          <w:color w:val="000000"/>
        </w:rPr>
        <w:t xml:space="preserve">表</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41"/>
        <w:ind w:firstLine="420"/>
        <w:jc w:val="both"/>
        <w:keepLines/>
        <w:keepNext/>
        <w:spacing w:beforeAutospacing="0" w:afterAutospacing="0"/>
        <w:rPr>
          <w:rFonts w:ascii="宋体" w:hAnsi="宋体" w:eastAsia="宋体" w:cs="宋体"/>
        </w:rPr>
      </w:pPr>
      <w:r/>
      <w:bookmarkStart w:id="101" w:name="_Hlt26670425"/>
      <w:r/>
      <w:bookmarkStart w:id="102" w:name="_Hlt26670403"/>
      <w:r/>
      <w:bookmarkStart w:id="103" w:name="_Hlt26954731"/>
      <w:r/>
      <w:bookmarkStart w:id="104" w:name="_Hlt26670486"/>
      <w:r/>
      <w:bookmarkStart w:id="105" w:name="_Hlt26668983"/>
      <w:r/>
      <w:bookmarkStart w:id="106" w:name="_Hlt26954846"/>
      <w:r/>
      <w:bookmarkStart w:id="107" w:name="_Hlt26954848"/>
      <w:r/>
      <w:bookmarkStart w:id="108" w:name="_Hlt26954842"/>
      <w:r/>
      <w:bookmarkStart w:id="109" w:name="_Hlt26954844"/>
      <w:r/>
      <w:bookmarkStart w:id="110" w:name="_Hlt26670482"/>
      <w:r>
        <w:rPr>
          <w:rFonts w:hint="eastAsia" w:ascii="宋体" w:hAnsi="宋体" w:eastAsia="宋体" w:cs="宋体"/>
          <w:color w:val="000000"/>
        </w:rPr>
        <w:t xml:space="preserve">13、技术要求响应及偏离表、商务要求响应及偏离表</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641"/>
        <w:ind w:firstLine="480"/>
        <w:jc w:val="both"/>
        <w:spacing w:beforeAutospacing="0" w:afterAutospacing="0" w:line="0" w:lineRule="atLeast"/>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641"/>
        <w:ind w:firstLine="420"/>
        <w:jc w:val="both"/>
        <w:keepLines/>
        <w:keepNext/>
        <w:spacing w:beforeAutospacing="0" w:afterAutospacing="0"/>
        <w:rPr>
          <w:rFonts w:ascii="宋体" w:hAnsi="宋体" w:eastAsia="宋体" w:cs="宋体"/>
        </w:rPr>
      </w:pPr>
      <w:r/>
      <w:bookmarkStart w:id="111" w:name="_Toc49090510"/>
      <w:r/>
      <w:bookmarkStart w:id="112" w:name="_Toc14577359"/>
      <w:r>
        <w:rPr>
          <w:rFonts w:hint="eastAsia" w:ascii="宋体" w:hAnsi="宋体" w:eastAsia="宋体" w:cs="宋体"/>
          <w:color w:val="000000"/>
        </w:rPr>
        <w:t xml:space="preserve">14、投标函和开标一览表</w:t>
      </w:r>
      <w:bookmarkEnd w:id="111"/>
      <w:r/>
      <w:bookmarkEnd w:id="112"/>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41"/>
        <w:ind w:firstLine="420"/>
        <w:jc w:val="both"/>
        <w:keepLines/>
        <w:keepNext/>
        <w:spacing w:beforeAutospacing="0" w:afterAutospacing="0"/>
        <w:rPr>
          <w:rFonts w:ascii="宋体" w:hAnsi="宋体" w:eastAsia="宋体" w:cs="宋体"/>
        </w:rPr>
      </w:pPr>
      <w:r/>
      <w:bookmarkStart w:id="113" w:name="_Toc14577360"/>
      <w:r/>
      <w:bookmarkStart w:id="114" w:name="_Toc49090511"/>
      <w:r/>
      <w:bookmarkStart w:id="115" w:name="_Hlt26954734"/>
      <w:r/>
      <w:bookmarkStart w:id="116" w:name="_Hlt26954850"/>
      <w:r/>
      <w:bookmarkStart w:id="117" w:name="_Hlt26670489"/>
      <w:r>
        <w:rPr>
          <w:rFonts w:hint="eastAsia" w:ascii="宋体" w:hAnsi="宋体" w:eastAsia="宋体" w:cs="宋体"/>
          <w:color w:val="000000"/>
        </w:rPr>
        <w:t xml:space="preserve">15、投标有效期</w:t>
      </w:r>
      <w:bookmarkEnd w:id="113"/>
      <w:r/>
      <w:bookmarkEnd w:id="114"/>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15.1投标有效期为代理公司和采购人规定的开标之日后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41"/>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16、投标有效期的延长</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16.1在特殊情况下，代理公司和采购人于原投标有效期满之前，可向投标人提出延长投标有效期的要求。这种要求与答复均应采用书面形式。投标人可以拒绝代理公司和采购人的这一要求而放弃投标。同意延长投标有效期的投标人既不能要求也不允许修改其投标文件，同时受投标有效期约束的所有权利与义务均延长至新的有效期。</w:t>
      </w:r>
      <w:r/>
    </w:p>
    <w:p>
      <w:pPr>
        <w:pStyle w:val="641"/>
        <w:ind w:firstLine="482"/>
        <w:jc w:val="both"/>
        <w:keepLines/>
        <w:keepNext/>
        <w:spacing w:before="145" w:beforeAutospacing="0" w:after="145" w:afterAutospacing="0" w:line="360" w:lineRule="auto"/>
        <w:rPr>
          <w:rFonts w:ascii="宋体" w:hAnsi="宋体" w:eastAsia="宋体" w:cs="宋体"/>
        </w:rPr>
      </w:pPr>
      <w:r/>
      <w:bookmarkStart w:id="118" w:name="_Toc16938540"/>
      <w:r/>
      <w:bookmarkStart w:id="119" w:name="_Toc20823296"/>
      <w:r/>
      <w:bookmarkStart w:id="120" w:name="_Toc513029224"/>
      <w:r/>
      <w:bookmarkStart w:id="121" w:name="_Toc120614217"/>
      <w:r/>
      <w:bookmarkStart w:id="122" w:name="_Hlt26954739"/>
      <w:r/>
      <w:bookmarkStart w:id="123" w:name="_Hlt26954852"/>
      <w:r>
        <w:rPr>
          <w:rFonts w:hint="eastAsia" w:ascii="宋体" w:hAnsi="宋体" w:eastAsia="宋体" w:cs="宋体"/>
          <w:b/>
          <w:color w:val="000000"/>
        </w:rPr>
        <w:t xml:space="preserve">四、投标文件的递交</w:t>
      </w:r>
      <w:bookmarkEnd w:id="118"/>
      <w:r/>
      <w:bookmarkEnd w:id="119"/>
      <w:r/>
      <w:bookmarkEnd w:id="120"/>
      <w:r/>
      <w:bookmarkEnd w:id="121"/>
      <w:r/>
      <w:r/>
    </w:p>
    <w:p>
      <w:pPr>
        <w:pStyle w:val="641"/>
        <w:ind w:firstLine="560"/>
        <w:jc w:val="both"/>
        <w:keepLines/>
        <w:keepNext/>
        <w:spacing w:beforeAutospacing="0" w:afterAutospacing="0"/>
        <w:rPr>
          <w:rFonts w:ascii="宋体" w:hAnsi="宋体" w:eastAsia="宋体" w:cs="宋体"/>
        </w:rPr>
      </w:pPr>
      <w:r/>
      <w:bookmarkStart w:id="124" w:name="_Toc20823297"/>
      <w:r/>
      <w:bookmarkStart w:id="125" w:name="_Toc513029225"/>
      <w:r/>
      <w:bookmarkStart w:id="126" w:name="_Toc462564084"/>
      <w:r/>
      <w:bookmarkStart w:id="127" w:name="_Toc16938541"/>
      <w:r>
        <w:rPr>
          <w:rFonts w:hint="eastAsia" w:ascii="宋体" w:hAnsi="宋体" w:eastAsia="宋体" w:cs="宋体"/>
          <w:color w:val="000000"/>
        </w:rPr>
        <w:t xml:space="preserve">17、投标文件</w:t>
      </w:r>
      <w:bookmarkEnd w:id="124"/>
      <w:r/>
      <w:bookmarkEnd w:id="125"/>
      <w:r/>
      <w:bookmarkEnd w:id="126"/>
      <w:r/>
      <w:bookmarkEnd w:id="127"/>
      <w:r>
        <w:rPr>
          <w:rFonts w:hint="eastAsia" w:ascii="宋体" w:hAnsi="宋体" w:eastAsia="宋体" w:cs="宋体"/>
          <w:color w:val="000000"/>
        </w:rPr>
        <w:t xml:space="preserve">的递交</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17.1 电子投标文件的递交</w:t>
      </w:r>
      <w:r/>
    </w:p>
    <w:p>
      <w:pPr>
        <w:pStyle w:val="641"/>
        <w:ind w:left="525"/>
        <w:jc w:val="both"/>
        <w:spacing w:beforeAutospacing="0" w:afterAutospacing="0"/>
        <w:rPr>
          <w:rFonts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641"/>
        <w:ind w:firstLine="420"/>
        <w:jc w:val="both"/>
        <w:keepLines/>
        <w:keepNext/>
        <w:spacing w:before="280" w:beforeAutospacing="0" w:after="290" w:afterAutospacing="0" w:line="374" w:lineRule="auto"/>
        <w:rPr>
          <w:rFonts w:ascii="宋体" w:hAnsi="宋体" w:eastAsia="宋体" w:cs="宋体"/>
        </w:rPr>
      </w:pPr>
      <w:r>
        <w:rPr>
          <w:rFonts w:hint="eastAsia" w:ascii="宋体" w:hAnsi="宋体" w:eastAsia="宋体" w:cs="宋体"/>
          <w:color w:val="000000"/>
        </w:rPr>
        <w:t xml:space="preserve">18、投标截止时间</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18.2代理公司和采购人可以按照规定，通过修改招标文件酌情延长投标截止时间，在此情况下，投标人的所有权利和义务以及投标人受制的截止时间均应以延长后新的截止时间为准。</w:t>
      </w:r>
      <w:r/>
    </w:p>
    <w:p>
      <w:pPr>
        <w:pStyle w:val="641"/>
        <w:ind w:firstLine="420"/>
        <w:jc w:val="both"/>
        <w:keepLines/>
        <w:keepNext/>
        <w:spacing w:beforeAutospacing="0" w:afterAutospacing="0"/>
        <w:rPr>
          <w:rFonts w:ascii="宋体" w:hAnsi="宋体" w:eastAsia="宋体" w:cs="宋体"/>
        </w:rPr>
      </w:pPr>
      <w:r/>
      <w:bookmarkStart w:id="131" w:name="_Toc513029227"/>
      <w:r/>
      <w:bookmarkStart w:id="132" w:name="_Toc16938543"/>
      <w:r/>
      <w:bookmarkStart w:id="133" w:name="_Toc20823299"/>
      <w:r>
        <w:rPr>
          <w:rFonts w:hint="eastAsia" w:ascii="宋体" w:hAnsi="宋体" w:eastAsia="宋体" w:cs="宋体"/>
          <w:color w:val="000000"/>
        </w:rPr>
        <w:t xml:space="preserve">19、投标文件</w:t>
      </w:r>
      <w:bookmarkEnd w:id="131"/>
      <w:r/>
      <w:bookmarkEnd w:id="132"/>
      <w:r/>
      <w:bookmarkEnd w:id="133"/>
      <w:r>
        <w:rPr>
          <w:rFonts w:hint="eastAsia" w:ascii="宋体" w:hAnsi="宋体" w:eastAsia="宋体" w:cs="宋体"/>
          <w:color w:val="000000"/>
        </w:rPr>
        <w:t xml:space="preserve">的拒收</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19.1代理公司和采购人拒绝接收在其规定的投标截止时间后上传的任何投标文件。</w:t>
      </w:r>
      <w:r/>
    </w:p>
    <w:p>
      <w:pPr>
        <w:pStyle w:val="641"/>
        <w:ind w:firstLine="420"/>
        <w:jc w:val="both"/>
        <w:keepLines/>
        <w:keepNext/>
        <w:spacing w:beforeAutospacing="0" w:afterAutospacing="0"/>
        <w:rPr>
          <w:rFonts w:ascii="宋体" w:hAnsi="宋体" w:eastAsia="宋体" w:cs="宋体"/>
        </w:rPr>
      </w:pPr>
      <w:r/>
      <w:bookmarkStart w:id="134" w:name="_Toc20823300"/>
      <w:r/>
      <w:bookmarkStart w:id="135" w:name="_Toc513029228"/>
      <w:r/>
      <w:bookmarkStart w:id="136" w:name="_Toc16938544"/>
      <w:r>
        <w:rPr>
          <w:rFonts w:hint="eastAsia" w:ascii="宋体" w:hAnsi="宋体" w:eastAsia="宋体" w:cs="宋体"/>
          <w:color w:val="000000"/>
        </w:rPr>
        <w:t xml:space="preserve">20、投标文件的撤回和修改</w:t>
      </w:r>
      <w:bookmarkEnd w:id="134"/>
      <w:r/>
      <w:bookmarkEnd w:id="135"/>
      <w:r/>
      <w:bookmarkEnd w:id="136"/>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20.1投标文件的撤回</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20.1.1电子投标文件的撤回</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 投标文件的修改</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41"/>
        <w:ind w:firstLine="482"/>
        <w:jc w:val="both"/>
        <w:keepLines/>
        <w:keepNext/>
        <w:spacing w:before="145" w:beforeAutospacing="0" w:after="145" w:afterAutospacing="0" w:line="360" w:lineRule="auto"/>
        <w:rPr>
          <w:rFonts w:ascii="宋体" w:hAnsi="宋体" w:eastAsia="宋体" w:cs="宋体"/>
        </w:rPr>
      </w:pPr>
      <w:r/>
      <w:bookmarkStart w:id="137" w:name="_Toc16938545"/>
      <w:r/>
      <w:bookmarkStart w:id="138" w:name="_Toc120614218"/>
      <w:r/>
      <w:bookmarkStart w:id="139" w:name="_Toc513029229"/>
      <w:r/>
      <w:bookmarkStart w:id="140" w:name="_Toc20823301"/>
      <w:r>
        <w:rPr>
          <w:rFonts w:hint="eastAsia" w:ascii="宋体" w:hAnsi="宋体" w:eastAsia="宋体" w:cs="宋体"/>
          <w:b/>
          <w:color w:val="000000"/>
        </w:rPr>
        <w:t xml:space="preserve">五、开标与评标</w:t>
      </w:r>
      <w:bookmarkEnd w:id="137"/>
      <w:r/>
      <w:bookmarkEnd w:id="138"/>
      <w:r/>
      <w:bookmarkEnd w:id="139"/>
      <w:r/>
      <w:bookmarkEnd w:id="140"/>
      <w:r/>
      <w:r/>
    </w:p>
    <w:p>
      <w:pPr>
        <w:pStyle w:val="641"/>
        <w:ind w:firstLine="420"/>
        <w:jc w:val="both"/>
        <w:keepLines/>
        <w:keepNext/>
        <w:spacing w:beforeAutospacing="0" w:afterAutospacing="0"/>
        <w:rPr>
          <w:rFonts w:ascii="宋体" w:hAnsi="宋体" w:eastAsia="宋体" w:cs="宋体"/>
        </w:rPr>
      </w:pPr>
      <w:r/>
      <w:bookmarkStart w:id="141" w:name="_Toc20823302"/>
      <w:r/>
      <w:bookmarkStart w:id="142" w:name="_Toc16938546"/>
      <w:r/>
      <w:bookmarkStart w:id="143" w:name="_Toc513029230"/>
      <w:r>
        <w:rPr>
          <w:rFonts w:hint="eastAsia" w:ascii="宋体" w:hAnsi="宋体" w:eastAsia="宋体" w:cs="宋体"/>
        </w:rPr>
        <w:t xml:space="preserve">21、开标</w:t>
      </w:r>
      <w:bookmarkEnd w:id="141"/>
      <w:r/>
      <w:bookmarkEnd w:id="142"/>
      <w:r/>
      <w:bookmarkEnd w:id="143"/>
      <w:r/>
      <w:r/>
    </w:p>
    <w:p>
      <w:pPr>
        <w:pStyle w:val="641"/>
        <w:ind w:firstLine="360"/>
        <w:jc w:val="both"/>
        <w:spacing w:beforeAutospacing="0" w:afterAutospacing="0"/>
        <w:rPr>
          <w:rFonts w:ascii="宋体" w:hAnsi="宋体" w:eastAsia="宋体" w:cs="宋体"/>
        </w:rPr>
      </w:pPr>
      <w:r>
        <w:rPr>
          <w:rFonts w:hint="eastAsia" w:ascii="宋体" w:hAnsi="宋体" w:eastAsia="宋体" w:cs="宋体"/>
        </w:rPr>
        <w:t xml:space="preserve">21.1代理公司和采购人将在招标公告中规定的时间和地点组织公开开标。投标人应当按照《操作手册》规定，参加开标活动和在苏采云系统规定的时间内对投标文件进行解密。</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21.2开标仪式由代理公司组织。苏采云系统将自动对项目进行开标，并宣布各投标人名称和投标价格。</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41"/>
        <w:ind w:firstLine="420"/>
        <w:jc w:val="both"/>
        <w:keepLines/>
        <w:keepNext/>
        <w:spacing w:beforeAutospacing="0" w:afterAutospacing="0"/>
        <w:rPr>
          <w:rFonts w:ascii="宋体" w:hAnsi="宋体" w:eastAsia="宋体" w:cs="宋体"/>
        </w:rPr>
      </w:pPr>
      <w:r/>
      <w:bookmarkStart w:id="144" w:name="_Toc513029231"/>
      <w:r/>
      <w:bookmarkStart w:id="145" w:name="_Toc20823303"/>
      <w:r/>
      <w:bookmarkStart w:id="146" w:name="_Toc16938547"/>
      <w:r>
        <w:rPr>
          <w:rFonts w:hint="eastAsia" w:ascii="宋体" w:hAnsi="宋体" w:eastAsia="宋体" w:cs="宋体"/>
        </w:rPr>
        <w:t xml:space="preserve">22、评标委员会</w:t>
      </w:r>
      <w:bookmarkEnd w:id="144"/>
      <w:r/>
      <w:bookmarkEnd w:id="145"/>
      <w:r/>
      <w:bookmarkEnd w:id="146"/>
      <w:r/>
      <w:r/>
    </w:p>
    <w:p>
      <w:pPr>
        <w:pStyle w:val="64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22.1开标后，代理公司将立即组织评标委员会（以下简称评委会）进行评标。</w:t>
      </w:r>
      <w:r/>
    </w:p>
    <w:p>
      <w:pPr>
        <w:pStyle w:val="64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64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641"/>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23、评标过程的保密与公正</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23.1凡是与审查、澄清、评价和比较投标的有关资料以及授标建议等，采购人、评委、代理公司均不得向投标人或与评标无关的其他人员透露。</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3代理公司和评标委员会不向未中标的投标人解释未中标原因，也不公布评标过程中的相关细节。</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41"/>
        <w:ind w:firstLine="420"/>
        <w:jc w:val="both"/>
        <w:keepLines/>
        <w:keepNext/>
        <w:spacing w:beforeAutospacing="0" w:afterAutospacing="0"/>
        <w:rPr>
          <w:rFonts w:ascii="宋体" w:hAnsi="宋体" w:eastAsia="宋体" w:cs="宋体"/>
        </w:rPr>
      </w:pPr>
      <w:r/>
      <w:bookmarkStart w:id="147" w:name="_Toc16938548"/>
      <w:r/>
      <w:bookmarkStart w:id="148" w:name="_Toc20823304"/>
      <w:r/>
      <w:bookmarkStart w:id="149" w:name="_Toc513029232"/>
      <w:r>
        <w:rPr>
          <w:rFonts w:hint="eastAsia" w:ascii="宋体" w:hAnsi="宋体" w:eastAsia="宋体" w:cs="宋体"/>
          <w:color w:val="000000"/>
        </w:rPr>
        <w:t xml:space="preserve">24、投标文件的澄清</w:t>
      </w:r>
      <w:bookmarkEnd w:id="147"/>
      <w:r/>
      <w:bookmarkEnd w:id="148"/>
      <w:r/>
      <w:bookmarkEnd w:id="149"/>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评标委员会并非对每个投标人都做澄清要求。</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641"/>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641"/>
        <w:ind w:firstLine="420"/>
        <w:jc w:val="both"/>
        <w:keepLines/>
        <w:keepNext/>
        <w:spacing w:beforeAutospacing="0" w:afterAutospacing="0"/>
        <w:rPr>
          <w:rFonts w:ascii="宋体" w:hAnsi="宋体" w:eastAsia="宋体" w:cs="宋体"/>
        </w:rPr>
      </w:pPr>
      <w:r/>
      <w:bookmarkStart w:id="150" w:name="_Toc513029233"/>
      <w:r/>
      <w:bookmarkStart w:id="151" w:name="_Toc16938549"/>
      <w:r/>
      <w:bookmarkStart w:id="152" w:name="_Toc20823305"/>
      <w:r>
        <w:rPr>
          <w:rFonts w:hint="eastAsia" w:ascii="宋体" w:hAnsi="宋体" w:eastAsia="宋体" w:cs="宋体"/>
          <w:color w:val="000000"/>
        </w:rPr>
        <w:t xml:space="preserve">25、对投标文件的初审</w:t>
      </w:r>
      <w:bookmarkEnd w:id="150"/>
      <w:r/>
      <w:bookmarkEnd w:id="151"/>
      <w:r/>
      <w:bookmarkEnd w:id="152"/>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采购人在进行资格性审查的同时，将在“信用中国”网站（www.creditchina.gov.cn）查询投标人的信用记录，以确定投标人发是否具备投标资格,查询结果留存并归档。</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25.1.3未通过资格审查或符合性审查的投标人，代理公司将在苏采云系统中告知未通过资格审查或符合性审查的原因，评标结束后，代理公司将不再告知</w:t>
      </w:r>
      <w:r>
        <w:rPr>
          <w:rFonts w:hint="eastAsia" w:ascii="宋体" w:hAnsi="宋体" w:eastAsia="宋体" w:cs="宋体"/>
          <w:color w:val="000000"/>
        </w:rPr>
        <w:t xml:space="preserve">未通过资格审查和符合性审查的原因。</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1"/>
        <w:ind w:firstLine="420"/>
        <w:jc w:val="both"/>
        <w:spacing w:beforeAutospacing="0" w:afterAutospacing="0" w:line="0" w:lineRule="atLeast"/>
        <w:rPr>
          <w:rFonts w:ascii="宋体" w:hAnsi="宋体" w:eastAsia="宋体" w:cs="宋体"/>
        </w:rPr>
      </w:pPr>
      <w:r/>
      <w:bookmarkStart w:id="153" w:name="_Toc20823306"/>
      <w:r/>
      <w:bookmarkStart w:id="154" w:name="_Toc513029234"/>
      <w:r/>
      <w:bookmarkStart w:id="155" w:name="_Toc16938550"/>
      <w:r>
        <w:rPr>
          <w:rFonts w:hint="eastAsia" w:ascii="宋体" w:hAnsi="宋体" w:eastAsia="宋体" w:cs="宋体"/>
        </w:rPr>
        <w:t xml:space="preserve">25.6投标人在开、评标全过程中应保持通信畅通，及时登录苏采云系统查阅、答复相关信息，并安排专人与代理公司及评标委员会联系。</w:t>
      </w:r>
      <w:bookmarkEnd w:id="153"/>
      <w:r/>
      <w:bookmarkEnd w:id="154"/>
      <w:r/>
      <w:bookmarkEnd w:id="155"/>
      <w:r/>
      <w:r/>
    </w:p>
    <w:p>
      <w:pPr>
        <w:pStyle w:val="641"/>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26、无效投标条款和废标条款</w:t>
      </w:r>
      <w:r/>
    </w:p>
    <w:p>
      <w:pPr>
        <w:pStyle w:val="641"/>
        <w:ind w:left="479"/>
        <w:jc w:val="both"/>
        <w:spacing w:beforeAutospacing="0" w:afterAutospacing="0" w:line="0" w:lineRule="atLeast"/>
        <w:rPr>
          <w:rFonts w:ascii="宋体" w:hAnsi="宋体" w:eastAsia="宋体" w:cs="宋体"/>
        </w:rPr>
      </w:pPr>
      <w:r/>
      <w:bookmarkStart w:id="156" w:name="_Toc16938551"/>
      <w:r/>
      <w:bookmarkStart w:id="157" w:name="_Toc20823307"/>
      <w:r/>
      <w:bookmarkStart w:id="158" w:name="_Toc513029235"/>
      <w:r>
        <w:rPr>
          <w:rFonts w:hint="eastAsia" w:ascii="宋体" w:hAnsi="宋体" w:eastAsia="宋体" w:cs="宋体"/>
        </w:rPr>
        <w:t xml:space="preserve">26.1无效投标条款</w:t>
      </w:r>
      <w:bookmarkEnd w:id="156"/>
      <w:r/>
      <w:bookmarkEnd w:id="157"/>
      <w:r/>
      <w:bookmarkEnd w:id="158"/>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64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64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26.1.4投标人不具备招标文件中规定资格要求的。</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26.1.6未通过符合性审查的。</w:t>
      </w:r>
      <w:r/>
    </w:p>
    <w:p>
      <w:pPr>
        <w:pStyle w:val="641"/>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41"/>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64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26.2废标条款</w:t>
      </w:r>
      <w:r/>
    </w:p>
    <w:p>
      <w:pPr>
        <w:pStyle w:val="64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4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26.2.2出现影响采购公正的违法、违规行为的。</w:t>
      </w:r>
      <w:r/>
    </w:p>
    <w:p>
      <w:pPr>
        <w:pStyle w:val="64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26.2.3因重大变故，采购任务取消的。</w:t>
      </w:r>
      <w:r/>
    </w:p>
    <w:p>
      <w:pPr>
        <w:pStyle w:val="64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4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26.2.5因苏采云系统系统故障原因造成开标不成功的。</w:t>
      </w:r>
      <w:r/>
    </w:p>
    <w:p>
      <w:pPr>
        <w:pStyle w:val="641"/>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41"/>
        <w:ind w:firstLine="482"/>
        <w:jc w:val="both"/>
        <w:keepLines/>
        <w:keepNext/>
        <w:spacing w:before="145" w:beforeAutospacing="0" w:after="145" w:afterAutospacing="0" w:line="360" w:lineRule="auto"/>
        <w:rPr>
          <w:rFonts w:ascii="宋体" w:hAnsi="宋体" w:eastAsia="宋体" w:cs="宋体"/>
        </w:rPr>
      </w:pPr>
      <w:r/>
      <w:bookmarkStart w:id="159" w:name="_Toc120614219"/>
      <w:r>
        <w:rPr>
          <w:rFonts w:hint="eastAsia" w:ascii="宋体" w:hAnsi="宋体" w:eastAsia="宋体" w:cs="宋体"/>
          <w:b/>
          <w:color w:val="000000"/>
        </w:rPr>
        <w:t xml:space="preserve">六、定标</w:t>
      </w:r>
      <w:bookmarkEnd w:id="159"/>
      <w:r/>
      <w:r/>
    </w:p>
    <w:p>
      <w:pPr>
        <w:pStyle w:val="641"/>
        <w:ind w:firstLine="600"/>
        <w:jc w:val="both"/>
        <w:keepLines/>
        <w:keepNext/>
        <w:spacing w:beforeAutospacing="0" w:afterAutospacing="0"/>
        <w:rPr>
          <w:rFonts w:ascii="宋体" w:hAnsi="宋体" w:eastAsia="宋体" w:cs="宋体"/>
        </w:rPr>
      </w:pPr>
      <w:r/>
      <w:bookmarkStart w:id="160" w:name="_Toc20823310"/>
      <w:r/>
      <w:bookmarkStart w:id="161" w:name="_Toc513029238"/>
      <w:r/>
      <w:bookmarkStart w:id="162" w:name="_Toc16938554"/>
      <w:r>
        <w:rPr>
          <w:rFonts w:hint="eastAsia" w:ascii="宋体" w:hAnsi="宋体" w:eastAsia="宋体" w:cs="宋体"/>
          <w:color w:val="000000"/>
        </w:rPr>
        <w:t xml:space="preserve">27、</w:t>
      </w:r>
      <w:bookmarkEnd w:id="160"/>
      <w:r>
        <w:rPr>
          <w:rFonts w:hint="eastAsia" w:ascii="宋体" w:hAnsi="宋体" w:eastAsia="宋体" w:cs="宋体"/>
          <w:color w:val="000000"/>
        </w:rPr>
        <w:t xml:space="preserve">确定</w:t>
      </w:r>
      <w:bookmarkEnd w:id="161"/>
      <w:r/>
      <w:bookmarkEnd w:id="162"/>
      <w:r>
        <w:rPr>
          <w:rFonts w:hint="eastAsia" w:ascii="宋体" w:hAnsi="宋体" w:eastAsia="宋体" w:cs="宋体"/>
          <w:color w:val="000000"/>
        </w:rPr>
        <w:t xml:space="preserve">中标单位</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27.3代理公司将在“中国政府采购网”“江苏政府采购网”“盐城市政府采购网”发布中标公告，公告期限为1个工作日。</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27.4.1提供虚假材料谋取中标的。</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27.4.2向采购人、代理公司行贿或者提供其他不正当利益的。</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641"/>
        <w:ind w:firstLine="480"/>
        <w:jc w:val="both"/>
        <w:spacing w:beforeAutospacing="0" w:afterAutospacing="0" w:line="0" w:lineRule="atLeast"/>
        <w:rPr>
          <w:rFonts w:ascii="宋体" w:hAnsi="宋体" w:eastAsia="宋体" w:cs="宋体"/>
        </w:rPr>
      </w:pPr>
      <w:r/>
      <w:bookmarkStart w:id="163" w:name="_Toc200451960"/>
      <w:r>
        <w:rPr>
          <w:rFonts w:hint="eastAsia" w:ascii="宋体" w:hAnsi="宋体" w:eastAsia="宋体" w:cs="宋体"/>
          <w:color w:val="000000"/>
        </w:rPr>
        <w:t xml:space="preserve">27.5 有下列情形之一的，视为投标人串通投标，投标无效：</w:t>
      </w:r>
      <w:bookmarkEnd w:id="163"/>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641"/>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28、质疑处理</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w:t>
      </w:r>
      <w:r/>
    </w:p>
    <w:p>
      <w:pPr>
        <w:pStyle w:val="641"/>
        <w:ind w:firstLine="482"/>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供应商对除上述事项以外其他事项的询问、质疑请向代理公司提出，由代理公司负责答复。</w:t>
      </w:r>
      <w:r/>
    </w:p>
    <w:p>
      <w:pPr>
        <w:ind w:firstLine="480"/>
        <w:jc w:val="left"/>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代理公司及采购人只接收以纸质原件形式送达的质疑,采购人和代理公司不接受未填写快递运单的快件。质疑接收部门为盐城金弘项目管理有限公司，联系地址：盐城市响水县友创大厦507室，联系电话：13912598066。</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 以下情形的质疑不予受理</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28.5.2超出政府采购法定期限的质疑。</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41"/>
        <w:ind w:firstLine="468"/>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641"/>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29、中标通知书</w:t>
      </w:r>
      <w:r/>
    </w:p>
    <w:p>
      <w:pPr>
        <w:pStyle w:val="641"/>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29.l中标结果确定后，代理公司将向中标人发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1"/>
        <w:ind w:firstLine="600"/>
        <w:jc w:val="both"/>
        <w:spacing w:beforeAutospacing="0" w:afterAutospacing="0" w:line="0" w:lineRule="atLeast"/>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41"/>
        <w:jc w:val="both"/>
        <w:keepLines/>
        <w:keepNext/>
        <w:spacing w:before="145" w:beforeAutospacing="0" w:after="145" w:afterAutospacing="0" w:line="360" w:lineRule="auto"/>
        <w:rPr>
          <w:rFonts w:ascii="宋体" w:hAnsi="宋体" w:eastAsia="宋体" w:cs="宋体"/>
        </w:rPr>
      </w:pPr>
      <w:r/>
      <w:bookmarkStart w:id="164" w:name="_Toc16938552"/>
      <w:r/>
      <w:bookmarkStart w:id="165" w:name="_Toc20823308"/>
      <w:r/>
      <w:bookmarkStart w:id="166" w:name="_Toc513029236"/>
      <w:r/>
      <w:bookmarkStart w:id="167" w:name="_Toc120614220"/>
      <w:r>
        <w:rPr>
          <w:rFonts w:hint="eastAsia" w:ascii="宋体" w:hAnsi="宋体" w:eastAsia="宋体" w:cs="宋体"/>
          <w:b/>
          <w:color w:val="000000"/>
        </w:rPr>
        <w:t xml:space="preserve">七、授予合同</w:t>
      </w:r>
      <w:bookmarkEnd w:id="164"/>
      <w:r/>
      <w:bookmarkEnd w:id="165"/>
      <w:r/>
      <w:bookmarkEnd w:id="166"/>
      <w:r/>
      <w:bookmarkEnd w:id="167"/>
      <w:r/>
      <w:r/>
    </w:p>
    <w:p>
      <w:pPr>
        <w:pStyle w:val="641"/>
        <w:ind w:firstLine="600"/>
        <w:jc w:val="both"/>
        <w:keepLines/>
        <w:keepNext/>
        <w:spacing w:beforeAutospacing="0" w:afterAutospacing="0"/>
        <w:rPr>
          <w:rFonts w:ascii="宋体" w:hAnsi="宋体" w:eastAsia="宋体" w:cs="宋体"/>
        </w:rPr>
      </w:pPr>
      <w:r/>
      <w:bookmarkStart w:id="168" w:name="_Toc16938553"/>
      <w:r/>
      <w:bookmarkStart w:id="169" w:name="_Toc20823309"/>
      <w:r/>
      <w:bookmarkStart w:id="170" w:name="_Toc513029237"/>
      <w:r>
        <w:rPr>
          <w:rFonts w:hint="eastAsia" w:ascii="宋体" w:hAnsi="宋体" w:eastAsia="宋体" w:cs="宋体"/>
          <w:color w:val="000000"/>
        </w:rPr>
        <w:t xml:space="preserve">30.签订合同</w:t>
      </w:r>
      <w:bookmarkEnd w:id="168"/>
      <w:r/>
      <w:bookmarkEnd w:id="169"/>
      <w:r/>
      <w:bookmarkEnd w:id="170"/>
      <w:r/>
      <w:r/>
    </w:p>
    <w:p>
      <w:pPr>
        <w:pStyle w:val="641"/>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41"/>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641"/>
        <w:ind w:firstLine="60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41"/>
        <w:ind w:firstLine="60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（备注：项目经办人在发标前应与采购人商定是否允许中标人分包履行合同，确定后该备注删除）</w:t>
      </w:r>
      <w:r/>
    </w:p>
    <w:p>
      <w:pPr>
        <w:pStyle w:val="641"/>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31、服务（包含与服务相关的货物）的追加</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1"/>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641"/>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32.3.1中小企业定义：</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641"/>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32.5绿色包装</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32.8履约保证金政策</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33. 预付款制度</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u w:val="single"/>
        </w:rPr>
        <w:t xml:space="preserve"> 30  </w:t>
      </w:r>
      <w:r>
        <w:rPr>
          <w:rFonts w:hint="eastAsia" w:ascii="宋体" w:hAnsi="宋体" w:eastAsia="宋体" w:cs="宋体"/>
          <w:color w:val="000000"/>
        </w:rPr>
        <w:t xml:space="preserve">%</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641"/>
        <w:jc w:val="both"/>
        <w:spacing w:beforeAutospacing="0" w:afterAutospacing="0"/>
        <w:rPr>
          <w:rFonts w:ascii="宋体" w:hAnsi="宋体" w:eastAsia="宋体" w:cs="宋体"/>
        </w:rPr>
      </w:pPr>
      <w:r>
        <w:rPr>
          <w:rFonts w:hint="eastAsia" w:ascii="宋体" w:hAnsi="宋体" w:eastAsia="宋体" w:cs="宋体"/>
        </w:rPr>
        <w:t xml:space="preserve"> </w:t>
      </w:r>
      <w:r/>
    </w:p>
    <w:p>
      <w:pPr>
        <w:pStyle w:val="641"/>
        <w:jc w:val="both"/>
        <w:spacing w:beforeAutospacing="0" w:afterAutospacing="0"/>
        <w:rPr>
          <w:rFonts w:ascii="宋体" w:hAnsi="宋体" w:eastAsia="宋体" w:cs="宋体"/>
        </w:rPr>
      </w:pPr>
      <w:r>
        <w:rPr>
          <w:rFonts w:hint="eastAsia" w:ascii="宋体" w:hAnsi="宋体" w:eastAsia="宋体" w:cs="宋体"/>
        </w:rPr>
        <w:t xml:space="preserve"> </w:t>
      </w:r>
      <w:r/>
    </w:p>
    <w:p>
      <w:pPr>
        <w:pStyle w:val="641"/>
        <w:jc w:val="both"/>
        <w:spacing w:beforeAutospacing="0" w:afterAutospacing="0"/>
        <w:rPr>
          <w:rFonts w:ascii="宋体" w:hAnsi="宋体" w:eastAsia="宋体" w:cs="宋体"/>
        </w:rPr>
      </w:pPr>
      <w:r>
        <w:rPr>
          <w:rFonts w:hint="eastAsia" w:ascii="宋体" w:hAnsi="宋体" w:eastAsia="宋体" w:cs="宋体"/>
        </w:rPr>
        <w:t xml:space="preserve"> </w:t>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p>
    <w:p>
      <w:pPr>
        <w:pStyle w:val="641"/>
        <w:jc w:val="both"/>
        <w:spacing w:beforeAutospacing="0" w:afterAutospacing="0"/>
        <w:rPr>
          <w:rFonts w:ascii="宋体" w:hAnsi="宋体" w:eastAsia="宋体" w:cs="宋体"/>
        </w:rPr>
      </w:pP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p>
    <w:p>
      <w:pPr>
        <w:pStyle w:val="641"/>
        <w:jc w:val="both"/>
        <w:spacing w:beforeAutospacing="0" w:afterAutospacing="0"/>
        <w:rPr>
          <w:rFonts w:ascii="宋体" w:hAnsi="宋体" w:eastAsia="宋体" w:cs="宋体"/>
        </w:rPr>
      </w:pP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p>
    <w:p>
      <w:pPr>
        <w:pStyle w:val="641"/>
        <w:jc w:val="both"/>
        <w:spacing w:beforeAutospacing="0" w:afterAutospacing="0"/>
        <w:rPr>
          <w:rFonts w:ascii="宋体" w:hAnsi="宋体" w:eastAsia="宋体" w:cs="宋体"/>
        </w:rPr>
      </w:pPr>
      <w:r>
        <w:rPr>
          <w:rFonts w:hint="eastAsia" w:ascii="宋体" w:hAnsi="宋体" w:eastAsia="宋体" w:cs="宋体"/>
        </w:rPr>
        <w:t xml:space="preserve"> </w:t>
      </w:r>
      <w:r/>
    </w:p>
    <w:p>
      <w:pPr>
        <w:pStyle w:val="641"/>
        <w:jc w:val="both"/>
        <w:spacing w:beforeAutospacing="0" w:afterAutospacing="0"/>
        <w:rPr>
          <w:rFonts w:ascii="宋体" w:hAnsi="宋体" w:eastAsia="宋体" w:cs="宋体"/>
        </w:rPr>
      </w:pPr>
      <w:r>
        <w:rPr>
          <w:rFonts w:hint="eastAsia" w:ascii="宋体" w:hAnsi="宋体" w:eastAsia="宋体" w:cs="宋体"/>
        </w:rPr>
        <w:t xml:space="preserve"> </w:t>
      </w:r>
      <w:r/>
    </w:p>
    <w:p>
      <w:pPr>
        <w:pStyle w:val="641"/>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spacing w:line="500" w:lineRule="exact"/>
        <w:rPr>
          <w:sz w:val="24"/>
        </w:rPr>
      </w:pPr>
      <w:r>
        <w:rPr>
          <w:rFonts w:hint="eastAsia" w:ascii="黑体" w:hAnsi="宋体" w:eastAsia="黑体" w:cs="黑体"/>
          <w:color w:val="000000"/>
          <w:sz w:val="24"/>
        </w:rPr>
        <w:t xml:space="preserve">第三章  合同文本</w:t>
      </w:r>
      <w:r/>
    </w:p>
    <w:p>
      <w:pPr>
        <w:ind w:firstLine="3614"/>
        <w:spacing w:before="78" w:after="78"/>
        <w:rPr>
          <w:rFonts w:ascii="宋体" w:hAnsi="宋体" w:cs="宋体"/>
          <w:b/>
          <w:bCs/>
          <w:color w:val="000000"/>
          <w:sz w:val="36"/>
        </w:rPr>
      </w:pPr>
      <w:r/>
      <w:bookmarkStart w:id="171" w:name="_Toc479757211"/>
      <w:r/>
      <w:bookmarkStart w:id="172" w:name="_Hlt16619350"/>
      <w:r/>
      <w:bookmarkStart w:id="173" w:name="_Toc20823346"/>
      <w:r/>
      <w:bookmarkStart w:id="174" w:name="_Toc462564139"/>
      <w:r/>
      <w:bookmarkStart w:id="175" w:name="_Toc16938590"/>
      <w:r/>
      <w:bookmarkStart w:id="176" w:name="_Toc120614244"/>
      <w:r/>
      <w:bookmarkStart w:id="177" w:name="_Hlt16619369"/>
      <w:r>
        <w:rPr>
          <w:rFonts w:hint="eastAsia" w:ascii="宋体" w:hAnsi="宋体" w:cs="宋体"/>
          <w:b/>
          <w:bCs/>
          <w:color w:val="000000"/>
          <w:sz w:val="36"/>
        </w:rPr>
        <w:t xml:space="preserve">采购合同</w:t>
      </w:r>
      <w:r/>
    </w:p>
    <w:p>
      <w:pPr>
        <w:jc w:val="center"/>
        <w:spacing w:before="78" w:after="78"/>
        <w:rPr>
          <w:rFonts w:ascii="宋体" w:hAnsi="宋体" w:cs="宋体"/>
          <w:b/>
          <w:bCs/>
          <w:color w:val="000000"/>
          <w:sz w:val="36"/>
        </w:rPr>
      </w:pPr>
      <w:r>
        <w:rPr>
          <w:rFonts w:ascii="宋体" w:hAnsi="宋体" w:cs="宋体"/>
          <w:b/>
          <w:bCs/>
          <w:color w:val="000000"/>
          <w:sz w:val="36"/>
        </w:rPr>
      </w:r>
      <w:r/>
    </w:p>
    <w:p>
      <w:pPr>
        <w:jc w:val="center"/>
        <w:spacing w:before="78" w:after="78"/>
        <w:rPr>
          <w:rFonts w:ascii="宋体" w:hAnsi="宋体" w:cs="宋体"/>
          <w:b/>
          <w:bCs/>
          <w:color w:val="000000"/>
          <w:sz w:val="36"/>
        </w:rPr>
      </w:pPr>
      <w:r>
        <w:rPr>
          <w:rFonts w:ascii="宋体" w:hAnsi="宋体" w:cs="宋体"/>
          <w:b/>
          <w:bCs/>
          <w:color w:val="000000"/>
          <w:sz w:val="36"/>
        </w:rPr>
      </w:r>
      <w:r/>
    </w:p>
    <w:p>
      <w:pPr>
        <w:jc w:val="center"/>
        <w:spacing w:before="78" w:after="78"/>
        <w:rPr>
          <w:rFonts w:ascii="宋体" w:hAnsi="宋体" w:cs="宋体"/>
          <w:b/>
          <w:bCs/>
          <w:color w:val="000000"/>
          <w:sz w:val="36"/>
        </w:rPr>
      </w:pPr>
      <w:r>
        <w:rPr>
          <w:rFonts w:ascii="宋体" w:hAnsi="宋体" w:cs="宋体"/>
          <w:b/>
          <w:bCs/>
          <w:color w:val="000000"/>
          <w:sz w:val="36"/>
        </w:rPr>
      </w:r>
      <w:r/>
    </w:p>
    <w:p>
      <w:pPr>
        <w:ind w:firstLine="843"/>
        <w:spacing w:before="78" w:after="78"/>
        <w:rPr>
          <w:rFonts w:ascii="宋体" w:hAnsi="宋体" w:cs="宋体"/>
          <w:b/>
          <w:bCs/>
          <w:color w:val="000000"/>
          <w:sz w:val="28"/>
          <w:szCs w:val="28"/>
        </w:rPr>
      </w:pPr>
      <w:r>
        <w:rPr>
          <w:rFonts w:hint="eastAsia" w:ascii="宋体" w:hAnsi="宋体" w:cs="宋体"/>
          <w:b/>
          <w:bCs/>
          <w:color w:val="000000"/>
          <w:sz w:val="28"/>
          <w:szCs w:val="28"/>
        </w:rPr>
        <w:t xml:space="preserve">项目名称：</w:t>
      </w:r>
      <w:r>
        <w:rPr>
          <w:rFonts w:hint="eastAsia" w:ascii="宋体" w:hAnsi="宋体" w:cs="宋体"/>
          <w:b/>
          <w:bCs/>
          <w:color w:val="000000"/>
          <w:sz w:val="28"/>
          <w:szCs w:val="28"/>
          <w:u w:val="single"/>
        </w:rPr>
        <w:t xml:space="preserve">                        </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ind w:right="210" w:firstLine="826"/>
        <w:spacing w:before="78" w:after="78"/>
        <w:rPr>
          <w:rFonts w:ascii="宋体" w:hAnsi="宋体" w:cs="宋体"/>
          <w:b/>
          <w:bCs/>
          <w:color w:val="000000"/>
          <w:sz w:val="28"/>
          <w:szCs w:val="28"/>
        </w:rPr>
      </w:pPr>
      <w:r>
        <w:rPr>
          <w:rFonts w:hint="eastAsia" w:ascii="宋体" w:hAnsi="宋体" w:cs="宋体"/>
          <w:b/>
          <w:bCs/>
          <w:color w:val="000000"/>
          <w:sz w:val="28"/>
          <w:szCs w:val="28"/>
        </w:rPr>
        <w:t xml:space="preserve">合同编号：</w:t>
      </w:r>
      <w:r>
        <w:rPr>
          <w:rFonts w:hint="eastAsia" w:ascii="宋体" w:hAnsi="宋体" w:cs="宋体"/>
          <w:b/>
          <w:bCs/>
          <w:color w:val="000000"/>
          <w:sz w:val="28"/>
          <w:szCs w:val="28"/>
          <w:u w:val="single"/>
        </w:rPr>
        <w:t xml:space="preserve">                            </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spacing w:before="78" w:after="78"/>
        <w:rPr>
          <w:rFonts w:ascii="宋体" w:hAnsi="宋体" w:cs="宋体"/>
          <w:b/>
          <w:bCs/>
          <w:color w:val="000000"/>
          <w:sz w:val="28"/>
          <w:szCs w:val="28"/>
        </w:rPr>
      </w:pPr>
      <w:r>
        <w:rPr>
          <w:rFonts w:hint="eastAsia" w:ascii="宋体" w:hAnsi="宋体" w:cs="宋体"/>
          <w:b/>
          <w:bCs/>
          <w:color w:val="000000"/>
          <w:sz w:val="28"/>
          <w:szCs w:val="28"/>
        </w:rPr>
        <w:t xml:space="preserve">      </w:t>
      </w:r>
      <w:r/>
    </w:p>
    <w:p>
      <w:pPr>
        <w:ind w:right="210" w:firstLine="826"/>
        <w:spacing w:before="78" w:after="78"/>
        <w:rPr>
          <w:rFonts w:ascii="宋体" w:hAnsi="宋体" w:cs="宋体"/>
          <w:b/>
          <w:bCs/>
          <w:color w:val="000000"/>
          <w:sz w:val="28"/>
          <w:szCs w:val="28"/>
          <w:u w:val="single"/>
        </w:rPr>
      </w:pPr>
      <w:r>
        <w:rPr>
          <w:rFonts w:hint="eastAsia" w:ascii="宋体" w:hAnsi="宋体" w:cs="宋体"/>
          <w:b/>
          <w:bCs/>
          <w:color w:val="000000"/>
          <w:sz w:val="28"/>
          <w:szCs w:val="28"/>
        </w:rPr>
        <w:t xml:space="preserve">甲方：</w:t>
      </w:r>
      <w:r>
        <w:rPr>
          <w:rFonts w:hint="eastAsia" w:ascii="宋体" w:hAnsi="宋体" w:cs="宋体"/>
          <w:b/>
          <w:bCs/>
          <w:color w:val="000000"/>
          <w:sz w:val="28"/>
          <w:szCs w:val="28"/>
          <w:u w:val="single"/>
        </w:rPr>
        <w:t xml:space="preserve">                            </w:t>
      </w:r>
      <w:r/>
    </w:p>
    <w:p>
      <w:pPr>
        <w:ind w:right="1380"/>
        <w:spacing w:before="78" w:after="78"/>
        <w:rPr>
          <w:rFonts w:ascii="宋体" w:hAnsi="宋体" w:cs="宋体"/>
          <w:b/>
          <w:bCs/>
          <w:color w:val="000000"/>
          <w:sz w:val="28"/>
          <w:szCs w:val="28"/>
        </w:rPr>
      </w:pPr>
      <w:r>
        <w:rPr>
          <w:rFonts w:ascii="宋体" w:hAnsi="宋体" w:cs="宋体"/>
          <w:b/>
          <w:bCs/>
          <w:color w:val="000000"/>
          <w:sz w:val="28"/>
          <w:szCs w:val="28"/>
        </w:rPr>
      </w:r>
      <w:r/>
    </w:p>
    <w:p>
      <w:pPr>
        <w:ind w:right="1380" w:firstLine="826"/>
        <w:spacing w:before="78" w:after="78"/>
        <w:rPr>
          <w:rFonts w:ascii="宋体" w:hAnsi="宋体" w:cs="宋体"/>
          <w:b/>
          <w:bCs/>
          <w:color w:val="000000"/>
          <w:sz w:val="28"/>
          <w:szCs w:val="28"/>
          <w:u w:val="single"/>
        </w:rPr>
      </w:pPr>
      <w:r>
        <w:rPr>
          <w:rFonts w:hint="eastAsia" w:ascii="宋体" w:hAnsi="宋体" w:cs="宋体"/>
          <w:b/>
          <w:bCs/>
          <w:color w:val="000000"/>
          <w:sz w:val="28"/>
          <w:szCs w:val="28"/>
        </w:rPr>
        <w:t xml:space="preserve">乙方：</w:t>
      </w:r>
      <w:r>
        <w:rPr>
          <w:rFonts w:hint="eastAsia" w:ascii="宋体" w:hAnsi="宋体" w:cs="宋体"/>
          <w:b/>
          <w:bCs/>
          <w:color w:val="000000"/>
          <w:sz w:val="28"/>
          <w:szCs w:val="28"/>
          <w:u w:val="single"/>
        </w:rPr>
        <w:t xml:space="preserve">                            </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ind w:right="481"/>
        <w:spacing w:before="78" w:after="78"/>
        <w:rPr>
          <w:rFonts w:ascii="宋体" w:hAnsi="宋体" w:cs="宋体"/>
          <w:b/>
          <w:bCs/>
          <w:color w:val="000000"/>
          <w:sz w:val="28"/>
          <w:szCs w:val="28"/>
        </w:rPr>
      </w:pPr>
      <w:r>
        <w:rPr>
          <w:rFonts w:ascii="宋体" w:hAnsi="宋体" w:cs="宋体"/>
          <w:b/>
          <w:bCs/>
          <w:color w:val="000000"/>
          <w:sz w:val="28"/>
          <w:szCs w:val="28"/>
        </w:rPr>
      </w:r>
      <w:r/>
    </w:p>
    <w:p>
      <w:pPr>
        <w:ind w:right="481"/>
        <w:spacing w:before="78" w:after="78"/>
        <w:rPr>
          <w:rFonts w:ascii="宋体" w:hAnsi="宋体" w:cs="宋体"/>
          <w:b/>
          <w:bCs/>
          <w:color w:val="000000"/>
          <w:sz w:val="28"/>
          <w:szCs w:val="28"/>
        </w:rPr>
      </w:pPr>
      <w:r>
        <w:rPr>
          <w:rFonts w:ascii="宋体" w:hAnsi="宋体" w:cs="宋体"/>
          <w:b/>
          <w:bCs/>
          <w:color w:val="000000"/>
          <w:sz w:val="28"/>
          <w:szCs w:val="28"/>
        </w:rPr>
      </w:r>
      <w:r/>
    </w:p>
    <w:p>
      <w:pPr>
        <w:pStyle w:val="643"/>
        <w:ind w:firstLine="600"/>
        <w:rPr>
          <w:color w:val="000000"/>
        </w:rPr>
      </w:pPr>
      <w:r>
        <w:rPr>
          <w:color w:val="000000"/>
        </w:rPr>
      </w:r>
      <w:r/>
    </w:p>
    <w:p>
      <w:pPr>
        <w:ind w:right="481" w:firstLine="826"/>
        <w:spacing w:before="78" w:after="78"/>
        <w:rPr>
          <w:rFonts w:ascii="宋体" w:hAnsi="宋体" w:cs="宋体"/>
          <w:b/>
          <w:bCs/>
          <w:color w:val="000000"/>
          <w:sz w:val="28"/>
          <w:szCs w:val="28"/>
        </w:rPr>
      </w:pPr>
      <w:r>
        <w:rPr>
          <w:rFonts w:hint="eastAsia" w:ascii="宋体" w:hAnsi="宋体" w:cs="宋体"/>
          <w:b/>
          <w:bCs/>
          <w:color w:val="000000"/>
          <w:sz w:val="28"/>
          <w:szCs w:val="28"/>
        </w:rPr>
        <w:t xml:space="preserve">签署日期：       年       月     日</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pStyle w:val="644"/>
        <w:ind w:firstLine="0"/>
        <w:rPr>
          <w:color w:val="000000"/>
        </w:rPr>
      </w:pPr>
      <w:r>
        <w:rPr>
          <w:color w:val="000000"/>
        </w:rPr>
      </w:r>
      <w:r/>
    </w:p>
    <w:p>
      <w:pPr>
        <w:pStyle w:val="644"/>
        <w:ind w:firstLine="0"/>
        <w:rPr>
          <w:color w:val="000000"/>
        </w:rPr>
      </w:pPr>
      <w:r>
        <w:rPr>
          <w:color w:val="000000"/>
        </w:rPr>
      </w:r>
      <w:r/>
    </w:p>
    <w:p>
      <w:pPr>
        <w:ind w:firstLine="480"/>
        <w:spacing w:line="360" w:lineRule="auto"/>
        <w:rPr>
          <w:rFonts w:ascii="宋体" w:hAnsi="宋体" w:eastAsia="宋体" w:cs="Times New Roman"/>
          <w:bCs/>
          <w:color w:val="000000"/>
          <w:sz w:val="24"/>
        </w:rPr>
      </w:pPr>
      <w:r/>
      <w:bookmarkStart w:id="178" w:name="_Toc20823315"/>
      <w:r/>
      <w:bookmarkStart w:id="179" w:name="_Toc16938559"/>
      <w:r/>
      <w:bookmarkStart w:id="180" w:name="_Toc513029243"/>
      <w:r>
        <w:rPr>
          <w:rFonts w:hint="eastAsia" w:ascii="宋体" w:hAnsi="宋体" w:eastAsia="宋体" w:cs="Times New Roman"/>
          <w:bCs/>
          <w:color w:val="000000"/>
          <w:sz w:val="24"/>
        </w:rPr>
        <w:t xml:space="preserve">以下为中标后签定本项目合同的通用条款，中标供应商不得提出实质性的修改，关于专用条款将由采购人与中标供应商结合本项目具体情况协商后签订。</w:t>
      </w:r>
      <w:bookmarkEnd w:id="178"/>
      <w:r/>
      <w:bookmarkEnd w:id="179"/>
      <w:r/>
      <w:bookmarkEnd w:id="180"/>
      <w:r/>
      <w:r/>
    </w:p>
    <w:p>
      <w:pPr>
        <w:ind w:firstLine="480"/>
        <w:spacing w:line="430" w:lineRule="exact"/>
        <w:rPr>
          <w:rFonts w:ascii="宋体" w:hAnsi="宋体"/>
          <w:color w:val="000000"/>
          <w:sz w:val="24"/>
        </w:rPr>
      </w:pPr>
      <w:r>
        <w:rPr>
          <w:rFonts w:ascii="宋体" w:hAnsi="宋体"/>
          <w:color w:val="000000"/>
          <w:sz w:val="24"/>
        </w:rPr>
      </w:r>
      <w:r/>
    </w:p>
    <w:p>
      <w:pPr>
        <w:ind w:firstLine="480"/>
        <w:spacing w:line="46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b/>
          <w:bCs/>
          <w:color w:val="000000"/>
          <w:sz w:val="24"/>
          <w:u w:val="single"/>
        </w:rPr>
        <w:t xml:space="preserve">                      </w:t>
      </w:r>
      <w:r>
        <w:rPr>
          <w:rFonts w:hint="eastAsia" w:ascii="宋体" w:hAnsi="宋体"/>
          <w:color w:val="000000"/>
          <w:sz w:val="24"/>
        </w:rPr>
        <w:t xml:space="preserve">（以下简称甲方）</w:t>
      </w:r>
      <w:r/>
    </w:p>
    <w:p>
      <w:pPr>
        <w:ind w:firstLine="480"/>
        <w:spacing w:line="460" w:lineRule="exact"/>
        <w:rPr>
          <w:rFonts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p>
    <w:p>
      <w:pPr>
        <w:ind w:firstLine="480"/>
        <w:jc w:val="left"/>
        <w:spacing w:line="460" w:lineRule="exact"/>
        <w:widowControl/>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color w:val="000000"/>
          <w:sz w:val="24"/>
          <w:u w:val="single"/>
        </w:rPr>
        <w:t xml:space="preserve">                 </w:t>
      </w:r>
      <w:r>
        <w:rPr>
          <w:rFonts w:hint="eastAsia" w:ascii="宋体" w:hAnsi="宋体"/>
          <w:color w:val="000000"/>
          <w:sz w:val="24"/>
        </w:rPr>
        <w:t xml:space="preserve">相关事项协商一致，达成如下合同条款：</w:t>
      </w:r>
      <w:r/>
    </w:p>
    <w:p>
      <w:pPr>
        <w:ind w:firstLine="480"/>
        <w:jc w:val="left"/>
        <w:spacing w:line="460" w:lineRule="exact"/>
        <w:widowControl/>
        <w:rPr>
          <w:rFonts w:ascii="宋体" w:hAnsi="宋体" w:eastAsia="宋体" w:cs="Times New Roman"/>
          <w:b/>
          <w:bCs/>
          <w:color w:val="000000"/>
          <w:sz w:val="24"/>
        </w:rPr>
      </w:pPr>
      <w:r>
        <w:rPr>
          <w:rFonts w:hint="eastAsia" w:ascii="宋体" w:hAnsi="宋体" w:eastAsia="宋体" w:cs="Times New Roman"/>
          <w:b/>
          <w:bCs/>
          <w:color w:val="000000"/>
          <w:sz w:val="24"/>
        </w:rPr>
        <w:t xml:space="preserve">一.项目概况</w:t>
      </w:r>
      <w:r/>
    </w:p>
    <w:p>
      <w:pPr>
        <w:ind w:firstLine="480"/>
        <w:jc w:val="left"/>
        <w:spacing w:line="460" w:lineRule="exact"/>
        <w:widowControl/>
        <w:rPr>
          <w:rFonts w:ascii="宋体" w:hAnsi="宋体" w:eastAsia="宋体" w:cs="Times New Roman"/>
          <w:color w:val="000000"/>
          <w:sz w:val="24"/>
        </w:rPr>
      </w:pPr>
      <w:r>
        <w:rPr>
          <w:rFonts w:hint="eastAsia" w:ascii="宋体" w:hAnsi="宋体" w:eastAsia="宋体" w:cs="Times New Roman"/>
          <w:color w:val="000000"/>
          <w:sz w:val="24"/>
        </w:rPr>
        <w:t xml:space="preserve">1.1 项目名称： 2026年四丰生活垃圾卫生填埋场渗滤液处理运营服务项目（一年）</w:t>
      </w:r>
      <w:r/>
    </w:p>
    <w:p>
      <w:pPr>
        <w:ind w:firstLine="480"/>
        <w:jc w:val="left"/>
        <w:spacing w:line="460" w:lineRule="exact"/>
        <w:widowControl/>
        <w:rPr>
          <w:rFonts w:ascii="宋体" w:hAnsi="宋体" w:eastAsia="宋体" w:cs="Times New Roman"/>
          <w:color w:val="000000"/>
          <w:sz w:val="24"/>
        </w:rPr>
      </w:pPr>
      <w:r>
        <w:rPr>
          <w:rFonts w:hint="eastAsia" w:ascii="宋体" w:hAnsi="宋体" w:eastAsia="宋体" w:cs="Times New Roman"/>
          <w:color w:val="000000"/>
          <w:sz w:val="24"/>
        </w:rPr>
        <w:t xml:space="preserve">1.2主要包含：</w:t>
      </w:r>
      <w:r/>
    </w:p>
    <w:p>
      <w:pPr>
        <w:ind w:firstLine="562"/>
        <w:jc w:val="left"/>
        <w:widowControl/>
        <w:rPr>
          <w:rFonts w:ascii="仿宋_GB2312" w:hAnsi="仿宋_GB2312" w:eastAsia="仿宋_GB2312" w:cs="仿宋_GB2312"/>
          <w:b/>
          <w:bCs/>
          <w:color w:val="000000"/>
          <w:sz w:val="28"/>
          <w:szCs w:val="28"/>
          <w:lang w:bidi="ar"/>
        </w:rPr>
      </w:pPr>
      <w:r>
        <w:rPr>
          <w:rFonts w:ascii="仿宋_GB2312" w:hAnsi="仿宋_GB2312" w:eastAsia="仿宋_GB2312" w:cs="仿宋_GB2312"/>
          <w:b/>
          <w:bCs/>
          <w:color w:val="000000"/>
          <w:sz w:val="28"/>
          <w:szCs w:val="28"/>
          <w:lang w:bidi="ar"/>
        </w:rPr>
        <w:t xml:space="preserve">现场原有渗滤液处理工艺：</w:t>
      </w:r>
      <w:r>
        <w:rPr>
          <w:rFonts w:hint="eastAsia" w:ascii="宋体" w:hAnsi="宋体" w:eastAsia="宋体" w:cs="Times New Roman"/>
          <w:sz w:val="24"/>
        </w:rPr>
        <w:t xml:space="preserve">预处理+生化系统（MBR）+超滤、纳滤系统+RO 系统（备用） 的基础上进行工艺完善与提升。</w:t>
      </w:r>
      <w:r/>
    </w:p>
    <w:p>
      <w:pPr>
        <w:ind w:firstLine="281"/>
        <w:jc w:val="left"/>
        <w:widowControl/>
      </w:pPr>
      <w:r>
        <w:rPr>
          <w:rFonts w:ascii="仿宋_GB2312" w:hAnsi="仿宋_GB2312" w:eastAsia="仿宋_GB2312" w:cs="仿宋_GB2312"/>
          <w:b/>
          <w:bCs/>
          <w:color w:val="000000"/>
          <w:sz w:val="28"/>
          <w:szCs w:val="28"/>
          <w:lang w:bidi="ar"/>
        </w:rPr>
        <w:t xml:space="preserve">工程服务内容：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对现场原有渗滤液处理设备进行全面运营维护；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渗滤液、废水、浓缩液等输送管道及水泵的运营维护；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保证系统的正常运行，确保污水处理后达标排放；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渗滤液处理系统内仪表及运行记录的整理、归档与移交；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日常的化验检测培训，操作人员培训；</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岗位责任制及各种管理制度的建立等；</w:t>
      </w:r>
      <w:r/>
    </w:p>
    <w:p>
      <w:p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 （7）安全防范措施、应急预案。</w:t>
      </w:r>
      <w:r/>
    </w:p>
    <w:p>
      <w:pPr>
        <w:jc w:val="left"/>
        <w:widowControl/>
        <w:rPr>
          <w:rFonts w:asciiTheme="minorEastAsia" w:hAnsiTheme="minorEastAsia" w:cstheme="minorEastAsia"/>
        </w:rPr>
      </w:pPr>
      <w:r>
        <w:rPr>
          <w:rFonts w:hint="eastAsia" w:asciiTheme="minorEastAsia" w:hAnsiTheme="minorEastAsia" w:cstheme="minorEastAsia"/>
          <w:b/>
          <w:bCs/>
          <w:color w:val="000000"/>
          <w:sz w:val="28"/>
          <w:szCs w:val="28"/>
          <w:lang w:bidi="ar"/>
        </w:rPr>
        <w:t xml:space="preserve">出水水质标准</w:t>
      </w:r>
      <w:r/>
    </w:p>
    <w:p>
      <w:pPr>
        <w:ind w:firstLine="480"/>
        <w:jc w:val="left"/>
        <w:widowControl/>
        <w:rPr>
          <w:rFonts w:asciiTheme="minorEastAsia" w:hAnsiTheme="minorEastAsia" w:cstheme="minorEastAsia"/>
          <w:sz w:val="18"/>
          <w:szCs w:val="18"/>
        </w:rPr>
      </w:pPr>
      <w:r>
        <w:rPr>
          <w:rFonts w:hint="eastAsia" w:asciiTheme="minorEastAsia" w:hAnsiTheme="minorEastAsia" w:cstheme="minorEastAsia"/>
          <w:color w:val="000000"/>
          <w:sz w:val="24"/>
          <w:lang w:bidi="ar"/>
        </w:rPr>
        <w:t xml:space="preserve">经处理后，出水水质必须达到《生活垃圾填埋场污染控制标准》 GB16889-2024 中表 2 标准。</w:t>
      </w:r>
      <w:r/>
    </w:p>
    <w:tbl>
      <w:tblPr>
        <w:tblStyle w:val="617"/>
        <w:tblW w:w="559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1290"/>
        <w:gridCol w:w="1246"/>
        <w:gridCol w:w="1269"/>
        <w:gridCol w:w="1044"/>
        <w:gridCol w:w="1246"/>
        <w:gridCol w:w="1024"/>
        <w:gridCol w:w="588"/>
      </w:tblGrid>
      <w:tr>
        <w:trPr>
          <w:jc w:val="center"/>
          <w:trHeight w:val="814"/>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水质项目</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05"/>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COD</w:t>
            </w:r>
            <w:r>
              <w:rPr>
                <w:rFonts w:hint="eastAsia" w:asciiTheme="minorEastAsia" w:hAnsiTheme="minorEastAsia" w:eastAsiaTheme="minorEastAsia" w:cstheme="minorEastAsia"/>
                <w:bCs/>
                <w:sz w:val="24"/>
                <w:szCs w:val="24"/>
                <w:vertAlign w:val="subscript"/>
              </w:rPr>
              <w:t xml:space="preserve">Cr</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05"/>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BOD</w:t>
            </w:r>
            <w:r>
              <w:rPr>
                <w:rFonts w:hint="eastAsia" w:asciiTheme="minorEastAsia" w:hAnsiTheme="minorEastAsia" w:eastAsiaTheme="minorEastAsia" w:cstheme="minorEastAsia"/>
                <w:bCs/>
                <w:sz w:val="24"/>
                <w:szCs w:val="24"/>
                <w:vertAlign w:val="subscript"/>
              </w:rPr>
              <w:t xml:space="preserve">5</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NH</w:t>
            </w:r>
            <w:r>
              <w:rPr>
                <w:rFonts w:hint="eastAsia" w:asciiTheme="minorEastAsia" w:hAnsiTheme="minorEastAsia" w:eastAsiaTheme="minorEastAsia" w:cstheme="minorEastAsia"/>
                <w:bCs/>
                <w:sz w:val="24"/>
                <w:szCs w:val="24"/>
                <w:vertAlign w:val="subscript"/>
              </w:rPr>
              <w:t xml:space="preserve">3</w:t>
            </w:r>
            <w:r>
              <w:rPr>
                <w:rFonts w:hint="eastAsia" w:asciiTheme="minorEastAsia" w:hAnsiTheme="minorEastAsia" w:eastAsiaTheme="minorEastAsia" w:cstheme="minorEastAsia"/>
                <w:bCs/>
                <w:sz w:val="24"/>
                <w:szCs w:val="24"/>
              </w:rPr>
              <w:t xml:space="preserve">-N</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TN</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TP</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SS</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pH</w:t>
            </w:r>
            <w:r/>
          </w:p>
        </w:tc>
      </w:tr>
      <w:tr>
        <w:trPr>
          <w:jc w:val="center"/>
          <w:trHeight w:val="480"/>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出水水质要求</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05"/>
              <w:spacing w:line="440" w:lineRule="exact"/>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25</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40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6~9</w:t>
            </w:r>
            <w:r/>
          </w:p>
        </w:tc>
      </w:tr>
    </w:tbl>
    <w:p>
      <w:pPr>
        <w:ind w:firstLine="482"/>
        <w:spacing w:line="460" w:lineRule="exact"/>
        <w:rPr>
          <w:rFonts w:asciiTheme="minorEastAsia" w:hAnsiTheme="minorEastAsia" w:cstheme="minorEastAsia"/>
          <w:b/>
          <w:bCs/>
          <w:sz w:val="24"/>
        </w:rPr>
      </w:pPr>
      <w:r>
        <w:rPr>
          <w:rFonts w:hint="eastAsia" w:asciiTheme="minorEastAsia" w:hAnsiTheme="minorEastAsia" w:cstheme="minorEastAsia"/>
          <w:b/>
          <w:bCs/>
          <w:sz w:val="24"/>
        </w:rPr>
        <w:t xml:space="preserve">二、合同价格</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1.2.1 本合同价款采用固定单价方式确定，单价金额为（大写）：人民币_____元/吨（¥______元/吨）；根据供应商的中标单价乘以实际处理合格的量进行结算。最终合同总金额不超过预算总金额。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2.拟派本项目的项目负责人：______________ ，联系方式：______________</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合同价应是招标文件所确定招标范围内全部工作内容的价格体现，以及为完成上述内容所必需的各种工作经费（渗滤液处理站设备日常运营产生所需耗材更换、碳源费、药剂费、维修费、水电费、人工费、管理费、税费等全部费用）。对认为未考虑到的费用采购人将不予支付，并认为此项费用已包含在合同报价中；</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本项目需缴纳履约保证金，为合同金额的5%。</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3.1履约保证金缴纳形式:本次项目收取履约保证金：中标金额的5%。</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收取履约保证金形式:供应商可以以银行转账或电汇等现金形式，也可以以支票、汇票、本票或者金融机构、担保机构出具的保函等非现金形式提交履约保证金，在合同签订前提交。依据《关于在全省政府采购领域推行电子履约保函（保险）的通知》，鼓励供应商自愿使用电子履约保函（保险）代替缴纳履约保证金。</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如以履约保函（保险）形式缴纳履约保证金，供应商可通过政府采购电子履约保函（保险）平台（www.jsdzbh.com）在线申请履约保函（保险）。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采用保函形式提交履约保证金的，保函应满足但不限于以下要求:</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(1)中标人名称、项目名称(如有分包，则应当按包件分别出具保函并写明包件号);</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(2)保函需明确受益人为“响水县环境卫生管理所”；</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(3)保函的最高担保金额不低于本项目要求提交的履约保证金的金额;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(4)保函担保的有效期应不短于本项目的履约期限;</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(5)在收到采购人加盖公章的书面索赔通知后 10 个工作日内，不争辩、不挑剔、不可撤销地向受益人支付索赔款直至保函担保的最高担保金额。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履约保证金退还:履约保证金在项目验收合格正常运行三个月后，采用非保函形式缴纳的履约保证金在15 个工作日后返还，采用保函形式缴纳的履约保证金在担保有效期后，担保责任终止。</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递交和退还保函原件时乙方须到甲方现场提供以下证明材料:①法定代表人授权委托书原件;②委托代理人身份证复印件。</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3.2、第三方信用服务机构依据标准规范评定为 AA 级及以上的政府采购供应商（需在签订采购合同前提供信用管理部门备案的第三方信用报告，且信用报告通过“信用盐城网”可查实），免收履约保证金或降低履约保证金缴纳比例。 </w:t>
      </w:r>
      <w:r/>
    </w:p>
    <w:p>
      <w:pPr>
        <w:ind w:firstLine="482"/>
        <w:spacing w:line="460" w:lineRule="exact"/>
        <w:rPr>
          <w:rFonts w:asciiTheme="minorEastAsia" w:hAnsiTheme="minorEastAsia" w:cstheme="minorEastAsia"/>
        </w:rPr>
      </w:pPr>
      <w:r>
        <w:rPr>
          <w:rFonts w:hint="eastAsia" w:asciiTheme="minorEastAsia" w:hAnsiTheme="minorEastAsia" w:cstheme="minorEastAsia"/>
          <w:b/>
          <w:bCs/>
          <w:color w:val="000000"/>
          <w:sz w:val="24"/>
        </w:rPr>
        <w:t xml:space="preserve">三、质量要求、技术标准、设计标准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（1）《中华人民共和国环境保护法》，2015年1月；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（2）《中华人民共和国水污染防治法》，2008 年6月；</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（3）《中华人民共和国固体废物污染环境防治法》，2016年11 月；</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（4）《污水综合排放标准》，（GB8978-2015）；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（5）《环境空气质量标准》，（GB3095-1996）；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（6）《城市生活垃圾卫生填埋规范》（CJJ17-2004）；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（7）《生活垃圾填埋场污染物控制标准》（GB16889-2024）；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（8）《生活垃圾填埋场污染物监测技术要求》，（GB/T18772-2002）；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（9）《工业设备、管道防腐蚀工程施工及验收规范》，（HGJ 229 —91）；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（10）《城市生活垃圾卫生填埋场运行维护技术规程》， （CJJ93-2003）；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（11）《管道系统的图形符号》，（GB6567-86）；</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（12）《热工图形符号与文字代号》，（GB4270-84）；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（13）《过程检测和控制流程用图形符号和文字代号》， （GB2625-81）；</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（14）《水处理设备油漆、包装技术条件》，（ZBJ98003-87）；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（15）《普通流体输送钢管 螺旋埋弧焊钢管》，（SYS/T 5037-2000）；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（16）《低压流体输送用焊接钢管》，（GB/T3092-1993）；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（17）《工业金属管道设计规范》，（GB50316-2000）；</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（18）《输送流体用无缝钢管》，（GB/T8163-1999）；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（19）《工业企业总平面设计规范》，（GB50187-93）；</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（20）《工业建筑防腐蚀设计规范》，（GB50046-95）；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（21）《建筑防腐蚀工程施工及验收规范》，（GB 50212—91）；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（22）《给水排水构筑物结构设计规范》，（GB50069-2002）；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（23）《给水排水工程结构设计规范》，（GBJ69-84）；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（24）《水工混凝土结构设计规范》，（SDJ20-78）；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（25）《地下工程防水技术规范》，（GB50108-2001）；</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（26）《混凝土结构设计规范》，（GB50010-2002）；</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五、知识产权</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六、产权担保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乙方保证所交付的服务的所有权完全属于乙方且无任何抵押、查封等产权瑕疵。</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七、</w:t>
      </w:r>
      <w:r>
        <w:rPr>
          <w:rFonts w:hint="eastAsia" w:asciiTheme="minorEastAsia" w:hAnsiTheme="minorEastAsia" w:cstheme="minorEastAsia"/>
          <w:b/>
          <w:color w:val="000000"/>
          <w:sz w:val="24"/>
        </w:rPr>
        <w:t xml:space="preserve">结算方式及期限</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结算方式：固定单价结算。合同款包含完成本项目的一切费用，甲方不再另行支付费用。</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项目付款分期进行，按季度结算，运营的第4个月、第7个月、第10个月和第13个月的上旬分别结算前一季的运营费用。（检测必须为合格）。</w:t>
      </w:r>
      <w:r/>
    </w:p>
    <w:p>
      <w:pPr>
        <w:ind w:left="2" w:firstLine="477"/>
        <w:spacing w:line="480" w:lineRule="exact"/>
        <w:rPr>
          <w:rFonts w:asciiTheme="minorEastAsia" w:hAnsiTheme="minorEastAsia" w:cstheme="minorEastAsia"/>
          <w:b/>
          <w:color w:val="000000"/>
          <w:sz w:val="24"/>
          <w:szCs w:val="20"/>
        </w:rPr>
      </w:pPr>
      <w:r>
        <w:rPr>
          <w:rFonts w:hint="eastAsia" w:asciiTheme="minorEastAsia" w:hAnsiTheme="minorEastAsia" w:cstheme="minorEastAsia"/>
          <w:b/>
          <w:color w:val="000000"/>
          <w:sz w:val="24"/>
          <w:szCs w:val="20"/>
        </w:rPr>
        <w:t xml:space="preserve">八、双方权利与义务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1.甲方责任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1.1 甲方按本合同规定的时间内向乙方提交资料及文件，并对其完整性、正确性及时限负责，甲方不得要求乙方出具违反国家有关标准的成果；</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1.2 甲方应保护乙方的投标书、文件、资料图纸、数据、计算软件和专利技术。未经乙方同意，甲方对乙方交付的资料及文件不得擅自修改、复制或向第三人转让或用于本合同外的项目，如发生以上情况，甲方应负法律责任，乙方有权向甲方提出索赔；</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2.乙方责任</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2.1乙方应按国家现行有效技术规范、标准、规程及甲方提出的要求，进行检测、评定，按合同规定的进度要求提交相关成果，并对其负责；</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 乙方采用的主要技术标准是：相关的国家标准及规范；</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 乙方应按招标文件规定的时间向甲方提供有关技术资料及服务成果；</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2.4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如发生以上情况，乙方应负法律责任，甲方有权向乙方提出索赔；</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color w:val="000000"/>
          <w:sz w:val="24"/>
          <w:lang w:bidi="ar"/>
        </w:rPr>
        <w:t xml:space="preserve">2.5乙方应保证为甲方提供服务任何一部分时不受第三方提出侵犯其专利权、版权或其他权利的起诉。一旦出现侵权，乙方应承担全部责任；</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w:t>
      </w:r>
      <w:r>
        <w:rPr>
          <w:rFonts w:hint="eastAsia" w:asciiTheme="minorEastAsia" w:hAnsiTheme="minorEastAsia" w:cstheme="minorEastAsia"/>
          <w:b/>
          <w:bCs/>
          <w:color w:val="000000"/>
          <w:sz w:val="24"/>
        </w:rPr>
        <w:t xml:space="preserve">九、服务期满后的移交义务</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服务期届满前</w:t>
      </w:r>
      <w:r>
        <w:rPr>
          <w:rFonts w:hint="eastAsia" w:asciiTheme="minorEastAsia" w:hAnsiTheme="minorEastAsia" w:cstheme="minorEastAsia"/>
          <w:color w:val="000000"/>
          <w:sz w:val="24"/>
          <w:u w:val="single"/>
          <w:lang w:bidi="ar"/>
        </w:rPr>
        <w:t xml:space="preserve">15</w:t>
      </w:r>
      <w:r>
        <w:rPr>
          <w:rFonts w:hint="eastAsia" w:asciiTheme="minorEastAsia" w:hAnsiTheme="minorEastAsia" w:cstheme="minorEastAsia"/>
          <w:color w:val="000000"/>
          <w:sz w:val="24"/>
          <w:lang w:bidi="ar"/>
        </w:rPr>
        <w:t xml:space="preserve">个工作日内，乙方(服务方)应按以下要求向甲方(委托方)完成全部移交工作:</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1.硬件设施移交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对现场原有渗滤液处理设备、渗滤液/废水/浓缩液输送管道、水泵、仪表等全部硬件设施进行整体检查与修复，确保其处于完好、可用、运行正常的状态。移交时双方共同签署《设备验收清单》，对存在故障或性能下降的设备，乙方应在移交前完成维修或更换。</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2.软件系统移交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确保所引用的渗滤液运营软件系统正常运行、功能完整，包括但不限于远程预警、远程管理、远程工艺故障诊断等全部功能。移交内容含:</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2.1软件安装包、部署文档、操作手册、维护手册;</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2.2管理账号、密码、权限配置说明;</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2.3软件授权或许可文件(如为乙方自有或第三方软件，需同步移交合法使用的授权或转让证明)。</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3.运行数据与档案移交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移交服务期内的全部运行记录、仪表数据、化验检测数据、设备维护记录、故障处理记录等电子与纸质档案，确保数据完整、真实、可追溯。</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4.其他移交内容</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4.1岗位责任制及各项管理制度文件;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4.2安全防范措施及应急预案文件;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4.3操作人员培训记录及考核资料。</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5.移交验收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完成后，双方签署《移交验收确认书》。如存在软件无法正常运行、硬件故障、数据缺失或功能缺失的，乙方应在10个工作日内无条件整改完毕，逾期视为未完成移交，甲方有权扣留相应服务保证金或追究违约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十、违约责任</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乙方拟派的项目班子成员必须是乙方单位的正式职工，凡挂靠、临时拼凑的和未经甲方同意擅自更换投标文件中拟派的人员的，一经发现并经查实后，发包人有权提前书面解除合同，并赔偿由此给甲方造成的经济损失；</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2.在项目实施过程中，甲方要求乙方委派固定代表，及时解决相关问题，满足业主对项目的技术要求。当甲方要求乙方人员到场处理有关问题，乙方应及时派乙方员到场，并提出有关处理意见；</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3.派驻的项目班子人员数量、年龄结构、专业配备应满足项目实际需要。在合同执行期间甲方有权对不称职的乙方员提出更换，乙方不得拒绝和拖延；</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甲、乙双方任何一方违反本合同约定，违约方应向守约方承担违约责任并按本协议总价的5%向对方支付违约金。守约方因主张权利产生的各项费用（包括但不限于诉讼费、保全费、律师费、执行费等）由违约方承担，如实际产生的违约费用超出合同约定的违约金，违约方仍需向守约方承担实际超出部分的费用。</w:t>
      </w:r>
      <w:r/>
    </w:p>
    <w:p>
      <w:pPr>
        <w:ind w:firstLine="482"/>
        <w:spacing w:line="460" w:lineRule="exact"/>
        <w:rPr>
          <w:rFonts w:asciiTheme="minorEastAsia" w:hAnsiTheme="minorEastAsia" w:cstheme="minorEastAsia"/>
          <w:b/>
          <w:bCs/>
          <w:color w:val="000000"/>
          <w:sz w:val="24"/>
          <w:lang w:val="zh-CN"/>
        </w:rPr>
      </w:pPr>
      <w:r>
        <w:rPr>
          <w:rFonts w:hint="eastAsia" w:asciiTheme="minorEastAsia" w:hAnsiTheme="minorEastAsia" w:cstheme="minorEastAsia"/>
          <w:b/>
          <w:bCs/>
          <w:color w:val="000000"/>
          <w:sz w:val="24"/>
        </w:rPr>
        <w:t xml:space="preserve">十一、</w:t>
      </w:r>
      <w:r>
        <w:rPr>
          <w:rFonts w:hint="eastAsia" w:asciiTheme="minorEastAsia" w:hAnsiTheme="minorEastAsia" w:cstheme="minorEastAsia"/>
          <w:b/>
          <w:bCs/>
          <w:color w:val="000000"/>
          <w:sz w:val="24"/>
          <w:lang w:val="zh-CN"/>
        </w:rPr>
        <w:t xml:space="preserve">安全责任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乙方必须保证项目服务过程中人员及设备的安全，项目服务中一切自然损坏而造成的人身伤害事故（不包括不可抗力因素），由乙方承担全部责任。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十二、不可抗力事件处理</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1.在合同有效期内，任何一方因不可抗力事件导致不能履行合同，则合同履行期可延长，其延长期与不可抗力影响期相同。</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2.不可抗力事件发生后，应立即通知对方，并寄送有关权威机构出具的证明。</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3.不可抗力事件延续120天以上，双方应通过友好协商，确定是否继续履行合同。</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十三、争议的解决</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本合同在履行过程中发生争议，由当事人双方协商解决，协商不成，双方同意将争议提交甲方所在地有管辖权的人民法院解决。</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十四、合同生效及其它约定事项</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1.合同执行期内，甲、乙双方均不得随意变更或解除合同。合同如有未尽事宜，须经双方共同协商，做出补充规定，补充规定与合同具有同等效力。</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2.任何一方无权在没有另一方事先书面同意的情况下，向第三方给予、授予和转让本合同所规定的任何权利和义务。</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3.本合同自甲乙双方代表签字盖章之日起生效，一式陆份，甲方肆份，乙方贰份。</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4.本合同附件包括：招标文件、中标通知书、投标文件。</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szCs w:val="20"/>
        </w:rPr>
        <w:t xml:space="preserve">5.该合同在签订之日起2个工作日内在江苏省政府采购网、盐城市政府采购网上予以公示。</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十五、合同生效</w:t>
      </w:r>
      <w:r/>
    </w:p>
    <w:p>
      <w:pPr>
        <w:ind w:firstLine="476"/>
        <w:spacing w:line="460" w:lineRule="exact"/>
        <w:shd w:val="clear" w:color="auto" w:fill="ffffff"/>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合同订立时间：</w:t>
      </w:r>
      <w:r/>
    </w:p>
    <w:p>
      <w:pPr>
        <w:ind w:firstLine="476"/>
        <w:spacing w:line="460" w:lineRule="exact"/>
        <w:shd w:val="clear" w:color="auto" w:fill="ffffff"/>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合同订立地点：</w:t>
      </w:r>
      <w:r/>
    </w:p>
    <w:p>
      <w:pPr>
        <w:ind w:firstLine="476"/>
        <w:spacing w:line="460" w:lineRule="exact"/>
        <w:shd w:val="clear" w:color="auto" w:fill="ffffff"/>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本合同双方约定：       后生效。</w:t>
      </w:r>
      <w:r/>
    </w:p>
    <w:p>
      <w:pPr>
        <w:ind w:hanging="907"/>
        <w:spacing w:line="460" w:lineRule="exact"/>
        <w:widowControl/>
        <w:tabs>
          <w:tab w:val="left" w:pos="810" w:leader="none"/>
          <w:tab w:val="left" w:pos="907" w:leader="none"/>
          <w:tab w:val="left" w:pos="1265" w:leader="none"/>
        </w:tabs>
        <w:rPr>
          <w:rFonts w:asciiTheme="minorEastAsia" w:hAnsiTheme="minorEastAsia" w:cstheme="minorEastAsia"/>
          <w:bCs/>
          <w:color w:val="000000"/>
          <w:sz w:val="24"/>
          <w:szCs w:val="20"/>
        </w:rPr>
        <w:outlineLvl w:val="2"/>
      </w:pPr>
      <w:r>
        <w:rPr>
          <w:rFonts w:asciiTheme="minorEastAsia" w:hAnsiTheme="minorEastAsia" w:cstheme="minorEastAsia"/>
          <w:bCs/>
          <w:color w:val="000000"/>
          <w:sz w:val="24"/>
          <w:szCs w:val="20"/>
        </w:rPr>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甲方：                                        乙方：</w:t>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法定代表人或授权代表：                        法定代表人或授权代表：</w:t>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联系电话：                                    联系电话：</w:t>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地址：                                        地址：</w:t>
      </w:r>
      <w:r/>
    </w:p>
    <w:p>
      <w:pPr>
        <w:ind w:firstLine="480"/>
        <w:spacing w:line="46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60" w:lineRule="exact"/>
        <w:rPr>
          <w:rFonts w:ascii="宋体" w:hAnsi="宋体" w:cs="宋体"/>
          <w:color w:val="000000"/>
          <w:sz w:val="24"/>
        </w:rPr>
      </w:pPr>
      <w:r>
        <w:rPr>
          <w:rFonts w:hint="eastAsia" w:ascii="宋体" w:hAnsi="宋体" w:cs="宋体"/>
          <w:color w:val="000000"/>
          <w:sz w:val="24"/>
        </w:rPr>
        <w:t xml:space="preserve">账号：                                        账号：  </w:t>
      </w:r>
      <w:r/>
    </w:p>
    <w:p>
      <w:pPr>
        <w:jc w:val="left"/>
        <w:widowControl/>
        <w:rPr>
          <w:rFonts w:ascii="宋体" w:hAnsi="宋体" w:cs="宋体"/>
          <w:color w:val="000000"/>
          <w:sz w:val="24"/>
        </w:rPr>
      </w:pPr>
      <w:r>
        <w:rPr>
          <w:rFonts w:ascii="宋体" w:hAnsi="宋体" w:cs="宋体"/>
          <w:color w:val="000000"/>
          <w:sz w:val="24"/>
        </w:rPr>
      </w:r>
      <w:r/>
    </w:p>
    <w:p>
      <w:pPr>
        <w:pStyle w:val="627"/>
        <w:ind w:firstLine="480"/>
        <w:spacing w:before="120" w:after="120" w:line="0" w:lineRule="atLeast"/>
        <w:rPr>
          <w:rFonts w:ascii="Calibri" w:hAnsi="宋体" w:eastAsia="宋体" w:cs="Times New Roman"/>
          <w:color w:val="000000"/>
          <w:sz w:val="24"/>
          <w:lang w:val="zh-CN"/>
        </w:rPr>
      </w:pPr>
      <w:r>
        <w:rPr>
          <w:rFonts w:hint="eastAsia" w:hAnsi="宋体" w:cs="宋体"/>
          <w:color w:val="000000"/>
          <w:sz w:val="24"/>
          <w:lang w:bidi="ar"/>
        </w:rPr>
        <w:t xml:space="preserve">   </w:t>
      </w:r>
      <w:r/>
    </w:p>
    <w:p>
      <w:pPr>
        <w:pStyle w:val="641"/>
        <w:jc w:val="center"/>
        <w:spacing w:before="120" w:beforeAutospacing="0" w:after="120" w:afterAutospacing="0" w:line="500" w:lineRule="exact"/>
      </w:pPr>
      <w:r>
        <w:rPr>
          <w:rFonts w:ascii="黑体" w:eastAsia="黑体"/>
          <w:bCs/>
          <w:color w:val="000000"/>
          <w:sz w:val="44"/>
        </w:rPr>
        <w:br w:type="page" w:clear="all"/>
      </w:r>
      <w:r>
        <w:rPr>
          <w:rFonts w:hint="eastAsia" w:ascii="黑体" w:hAnsi="宋体" w:eastAsia="黑体" w:cs="黑体"/>
          <w:color w:val="000000"/>
          <w:sz w:val="44"/>
          <w:szCs w:val="44"/>
        </w:rPr>
        <w:t xml:space="preserve"> 第</w:t>
      </w:r>
      <w:bookmarkEnd w:id="171"/>
      <w:r>
        <w:rPr>
          <w:rFonts w:hint="eastAsia" w:ascii="黑体" w:hAnsi="宋体" w:eastAsia="黑体" w:cs="黑体"/>
          <w:color w:val="000000"/>
          <w:sz w:val="44"/>
          <w:szCs w:val="44"/>
        </w:rPr>
        <w:t xml:space="preserve">四章 采购需求</w:t>
      </w:r>
      <w:bookmarkEnd w:id="172"/>
      <w:r/>
      <w:bookmarkEnd w:id="173"/>
      <w:r/>
      <w:bookmarkEnd w:id="174"/>
      <w:r/>
      <w:bookmarkEnd w:id="175"/>
      <w:r/>
      <w:bookmarkEnd w:id="176"/>
      <w:r/>
      <w:r/>
    </w:p>
    <w:p>
      <w:pPr>
        <w:pStyle w:val="641"/>
        <w:ind w:firstLine="480"/>
        <w:jc w:val="both"/>
        <w:spacing w:beforeAutospacing="0" w:afterAutospacing="0" w:line="0" w:lineRule="atLeast"/>
        <w:rPr>
          <w:rFonts w:ascii="宋体" w:hAnsi="宋体" w:eastAsia="宋体" w:cs="宋体"/>
          <w:color w:val="000000"/>
        </w:rPr>
      </w:pPr>
      <w:r/>
      <w:bookmarkStart w:id="181" w:name="_Toc49090575"/>
      <w:r/>
      <w:bookmarkStart w:id="182" w:name="_Toc26554093"/>
      <w:r>
        <w:rPr>
          <w:rFonts w:hint="eastAsia" w:ascii="宋体" w:hAnsi="宋体" w:eastAsia="宋体" w:cs="宋体"/>
          <w:color w:val="000000"/>
        </w:rPr>
        <w:t xml:space="preserve">项目属性:服务类项目。</w:t>
      </w:r>
      <w:bookmarkEnd w:id="181"/>
      <w:r/>
      <w:bookmarkEnd w:id="182"/>
      <w:r>
        <w:rPr>
          <w:rFonts w:hint="eastAsia" w:ascii="宋体" w:hAnsi="宋体" w:eastAsia="宋体" w:cs="宋体"/>
          <w:color w:val="000000"/>
        </w:rPr>
        <w:t xml:space="preserve"> </w:t>
      </w:r>
      <w:r>
        <w:rPr>
          <w:rFonts w:hint="eastAsia" w:ascii="宋体" w:hAnsi="宋体" w:eastAsia="宋体" w:cs="宋体"/>
          <w:color w:val="000000"/>
        </w:rPr>
        <w:br/>
      </w:r>
      <w:r>
        <w:rPr>
          <w:rFonts w:hint="eastAsia" w:ascii="宋体" w:hAnsi="宋体"/>
          <w:b/>
          <w:bCs/>
          <w:sz w:val="28"/>
          <w:szCs w:val="28"/>
        </w:rPr>
        <w:t xml:space="preserve">一、现状简介：</w:t>
      </w:r>
      <w:r/>
    </w:p>
    <w:p>
      <w:pPr>
        <w:ind w:firstLine="480"/>
        <w:spacing w:line="360" w:lineRule="auto"/>
        <w:rPr>
          <w:rFonts w:ascii="Times New Roman" w:hAnsi="Times New Roman" w:cs="Times New Roman"/>
          <w:sz w:val="24"/>
        </w:rPr>
      </w:pPr>
      <w:r>
        <w:rPr>
          <w:rFonts w:hint="eastAsia" w:ascii="宋体" w:hAnsi="宋体"/>
          <w:color w:val="000000"/>
          <w:sz w:val="24"/>
        </w:rPr>
        <w:t xml:space="preserve">响水县四丰生活垃圾卫生填埋场位于响水县小尖镇四丰村境内，从2020年1月起，响水全域生活垃圾已转运至滨海大吉生活垃圾焚烧发电厂作无害化处理，该填埋场处于封闭运营状态，但该生活垃圾处理场配套的渗滤液处理站仍正常运营，主要处理填埋场日常产生的渗滤液和镇区垃圾压缩站清运至此的渗滤液，</w:t>
      </w:r>
      <w:r>
        <w:rPr>
          <w:rFonts w:hint="eastAsia" w:ascii="宋体" w:hAnsi="宋体"/>
          <w:color w:val="000000"/>
          <w:sz w:val="24"/>
          <w:lang w:val="en-US" w:eastAsia="zh-CN"/>
        </w:rPr>
        <w:t xml:space="preserve">每年330</w:t>
      </w:r>
      <w:r>
        <w:rPr>
          <w:rFonts w:hint="eastAsia" w:ascii="宋体" w:hAnsi="宋体"/>
          <w:color w:val="000000"/>
          <w:sz w:val="24"/>
        </w:rPr>
        <w:t xml:space="preserve">每天总量约</w:t>
      </w:r>
      <w:r>
        <w:rPr>
          <w:rFonts w:hint="eastAsia" w:ascii="宋体" w:hAnsi="宋体"/>
          <w:color w:val="000000"/>
          <w:sz w:val="24"/>
          <w:lang w:val="en-US" w:eastAsia="zh-CN"/>
        </w:rPr>
        <w:t xml:space="preserve">60</w:t>
      </w:r>
      <w:r>
        <w:rPr>
          <w:rFonts w:hint="eastAsia" w:ascii="宋体" w:hAnsi="宋体"/>
          <w:color w:val="000000"/>
          <w:sz w:val="24"/>
        </w:rPr>
        <w:t xml:space="preserve">吨</w:t>
      </w:r>
      <w:r>
        <w:rPr>
          <w:rFonts w:hint="eastAsia" w:ascii="宋体" w:hAnsi="宋体"/>
          <w:color w:val="000000"/>
          <w:sz w:val="24"/>
          <w:lang w:val="en-US" w:eastAsia="zh-CN"/>
        </w:rPr>
        <w:t xml:space="preserve">全年合计约：20000吨以实际处理为准</w:t>
      </w:r>
      <w:r>
        <w:rPr>
          <w:rFonts w:hint="eastAsia" w:ascii="宋体" w:hAnsi="宋体"/>
          <w:color w:val="000000"/>
          <w:sz w:val="24"/>
        </w:rPr>
        <w:t xml:space="preserve">。由于浓缩液长年累月的回灌填埋库区，导致渗滤液原水盐分的富集，处理难度有所增加。</w:t>
      </w:r>
      <w:r/>
    </w:p>
    <w:p>
      <w:pPr>
        <w:jc w:val="left"/>
        <w:widowControl/>
        <w:rPr>
          <w:rFonts w:ascii="宋体" w:hAnsi="宋体" w:eastAsia="宋体" w:cs="Times New Roman"/>
          <w:sz w:val="24"/>
        </w:rPr>
      </w:pPr>
      <w:r>
        <w:rPr>
          <w:rFonts w:hint="eastAsia" w:ascii="仿宋_GB2312" w:hAnsi="仿宋_GB2312" w:eastAsia="仿宋_GB2312" w:cs="仿宋_GB2312"/>
          <w:b/>
          <w:bCs/>
          <w:color w:val="000000"/>
          <w:sz w:val="28"/>
          <w:szCs w:val="28"/>
          <w:lang w:bidi="ar"/>
        </w:rPr>
        <w:t xml:space="preserve">二</w:t>
      </w:r>
      <w:r>
        <w:rPr>
          <w:rFonts w:ascii="仿宋_GB2312" w:hAnsi="仿宋_GB2312" w:eastAsia="仿宋_GB2312" w:cs="仿宋_GB2312"/>
          <w:b/>
          <w:bCs/>
          <w:color w:val="000000"/>
          <w:sz w:val="28"/>
          <w:szCs w:val="28"/>
          <w:lang w:bidi="ar"/>
        </w:rPr>
        <w:t xml:space="preserve">、工程概况 现场原有渗滤液处理工艺：</w:t>
      </w:r>
      <w:r>
        <w:rPr>
          <w:rFonts w:hint="eastAsia" w:ascii="宋体" w:hAnsi="宋体" w:eastAsia="宋体" w:cs="Times New Roman"/>
          <w:sz w:val="24"/>
        </w:rPr>
        <w:t xml:space="preserve">预处理+生化系统（MBR）+超滤、纳滤系统+RO 系统</w:t>
      </w:r>
      <w:r/>
    </w:p>
    <w:p>
      <w:pPr>
        <w:jc w:val="left"/>
        <w:widowControl/>
      </w:pPr>
      <w:r>
        <w:rPr>
          <w:rFonts w:hint="eastAsia" w:ascii="仿宋_GB2312" w:hAnsi="仿宋_GB2312" w:eastAsia="仿宋_GB2312" w:cs="仿宋_GB2312"/>
          <w:b/>
          <w:bCs/>
          <w:color w:val="000000"/>
          <w:sz w:val="28"/>
          <w:szCs w:val="28"/>
          <w:lang w:bidi="ar"/>
        </w:rPr>
        <w:t xml:space="preserve">三、</w:t>
      </w:r>
      <w:r>
        <w:rPr>
          <w:rFonts w:ascii="仿宋_GB2312" w:hAnsi="仿宋_GB2312" w:eastAsia="仿宋_GB2312" w:cs="仿宋_GB2312"/>
          <w:b/>
          <w:bCs/>
          <w:color w:val="000000"/>
          <w:sz w:val="28"/>
          <w:szCs w:val="28"/>
          <w:lang w:bidi="ar"/>
        </w:rPr>
        <w:t xml:space="preserve">工艺流程说明：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1.预处理（包含混凝沉淀+气浮）： 混凝沉淀：通过加入混凝剂来压缩水中悬浮物的双电层，使其脱 稳并形成较大的颗粒，然后通过沉淀的方式去除。这个过程可以去除 水中的悬浮固体和部分胶体物质。 气浮：利用曝气技术产生的微气泡，将水中的悬浮物和油类等污 染物浮到水面上，然后通过刮渣机将其去除。这种方法适用于去除水 中的油脂和细小悬浮物。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2.生化系统： A/O 工艺：即厌氧/好氧工艺，是一种生物脱氮工艺。在厌氧段（A 段），异养菌将污水中的有机物水解为有机酸，并将蛋白质、脂肪等 污染物进行氨化，游离出氨。在好氧段（O 段），硝化细菌将氨氮氧 化为硝酸盐，通过回流控制返回至 A 池，在厌氧条件下，异养菌的反 硝化作用将硝酸盐还原为氮气，实现对污水的脱氮作用。 </w:t>
      </w:r>
      <w:r/>
    </w:p>
    <w:p>
      <w:pPr>
        <w:ind w:firstLine="480"/>
        <w:jc w:val="left"/>
        <w:widowControl/>
        <w:rPr>
          <w:rFonts w:asciiTheme="minorEastAsia" w:hAnsiTheme="minorEastAsia" w:cstheme="minorEastAsia"/>
          <w:sz w:val="18"/>
          <w:szCs w:val="18"/>
        </w:rPr>
      </w:pPr>
      <w:r>
        <w:rPr>
          <w:rFonts w:hint="eastAsia" w:asciiTheme="minorEastAsia" w:hAnsiTheme="minorEastAsia" w:cstheme="minorEastAsia"/>
          <w:color w:val="000000"/>
          <w:sz w:val="24"/>
          <w:lang w:bidi="ar"/>
        </w:rPr>
        <w:t xml:space="preserve">3.超滤系统： 超滤作为一种膜分离技术，通过超滤膜的孔径筛选作用，去除水 中的悬浮物、胶体、大分子有机物等，产水水质较好，可以作为 RO 膜 的预处理。</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4.纳滤 NF： 纳滤是一种介于反渗透和超滤之间的膜分离技术，孔径在 1-10 纳 米之间。它可以去除水中的大部分无机盐、有机物和微生物，但允许 一部分小分子物质通过。纳滤适用于去除水中的硬度、色度、异味等。 </w:t>
      </w:r>
      <w:r/>
    </w:p>
    <w:p>
      <w:pPr>
        <w:ind w:firstLine="480"/>
        <w:jc w:val="left"/>
        <w:widowControl/>
        <w:rPr>
          <w:rFonts w:asciiTheme="minorEastAsia" w:hAnsiTheme="minorEastAsia" w:cstheme="minorEastAsia"/>
        </w:rPr>
      </w:pPr>
      <w:r>
        <w:rPr>
          <w:rFonts w:hint="eastAsia" w:asciiTheme="minorEastAsia" w:hAnsiTheme="minorEastAsia" w:cstheme="minorEastAsia"/>
          <w:color w:val="000000"/>
          <w:sz w:val="24"/>
          <w:lang w:bidi="ar"/>
        </w:rPr>
        <w:t xml:space="preserve">5.反渗透 RO）： 反渗透则是一种高压膜分离技术，通过施加比溶液渗透压更高的 压力，使水分子通过半透膜，而无机盐、有机物和微生物等被截留。 RO 膜的孔径非常小，通常小于 1 纳米，对无机盐的去除率可达 98%以 上。</w:t>
      </w:r>
      <w:r/>
    </w:p>
    <w:p>
      <w:pPr>
        <w:jc w:val="left"/>
        <w:widowControl/>
        <w:rPr>
          <w:rFonts w:asciiTheme="minorEastAsia" w:hAnsiTheme="minorEastAsia" w:cstheme="minorEastAsia"/>
        </w:rPr>
      </w:pPr>
      <w:r>
        <w:rPr>
          <w:rFonts w:hint="eastAsia" w:asciiTheme="minorEastAsia" w:hAnsiTheme="minorEastAsia" w:cstheme="minorEastAsia"/>
          <w:b/>
          <w:bCs/>
          <w:color w:val="000000"/>
          <w:sz w:val="28"/>
          <w:szCs w:val="28"/>
          <w:lang w:bidi="ar"/>
        </w:rPr>
        <w:t xml:space="preserve">四、服务内容：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对现场原有渗滤液处理设备进行全面运营维护； 引用渗滤液运营软件，需实现渗滤液远程预警、远程管理、远程工艺故障诊断等功能；</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渗滤液、废水、浓缩液等输送管道及水泵的运营安装维护；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保证系统的正常运行调试，确保处理后的污水达标排放；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渗滤液处理系统内仪表及运行记录的整理、归档与移交；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日常的化验检测培训，操作人员培训；</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岗位责任制及各种管理制度的建立等；</w:t>
      </w:r>
      <w:r/>
    </w:p>
    <w:p>
      <w:p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（7）安全防范措施、应急预案。</w:t>
      </w:r>
      <w:r/>
    </w:p>
    <w:p>
      <w:pPr>
        <w:jc w:val="left"/>
        <w:widowControl/>
        <w:rPr>
          <w:rFonts w:asciiTheme="minorEastAsia" w:hAnsiTheme="minorEastAsia" w:cstheme="minorEastAsia"/>
          <w:sz w:val="18"/>
          <w:szCs w:val="18"/>
        </w:rPr>
      </w:pPr>
      <w:r>
        <w:rPr>
          <w:rFonts w:hint="eastAsia" w:asciiTheme="minorEastAsia" w:hAnsiTheme="minorEastAsia" w:cstheme="minorEastAsia"/>
          <w:color w:val="000000"/>
          <w:sz w:val="24"/>
          <w:lang w:bidi="ar"/>
        </w:rPr>
        <w:t xml:space="preserve">（8）出水水质经处理后，出水水质必须达到《生活垃圾填埋场污染控制标准》 GB16889-2024 中表 2 标准。</w:t>
      </w:r>
      <w:r/>
    </w:p>
    <w:tbl>
      <w:tblPr>
        <w:tblStyle w:val="617"/>
        <w:tblW w:w="559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1290"/>
        <w:gridCol w:w="1246"/>
        <w:gridCol w:w="1269"/>
        <w:gridCol w:w="1044"/>
        <w:gridCol w:w="1246"/>
        <w:gridCol w:w="1024"/>
        <w:gridCol w:w="588"/>
      </w:tblGrid>
      <w:tr>
        <w:trPr>
          <w:jc w:val="center"/>
          <w:trHeight w:val="814"/>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水质项目</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05"/>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COD</w:t>
            </w:r>
            <w:r>
              <w:rPr>
                <w:rFonts w:hint="eastAsia" w:asciiTheme="minorEastAsia" w:hAnsiTheme="minorEastAsia" w:eastAsiaTheme="minorEastAsia" w:cstheme="minorEastAsia"/>
                <w:bCs/>
                <w:sz w:val="24"/>
                <w:szCs w:val="24"/>
                <w:vertAlign w:val="subscript"/>
              </w:rPr>
              <w:t xml:space="preserve">Cr</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05"/>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BOD</w:t>
            </w:r>
            <w:r>
              <w:rPr>
                <w:rFonts w:hint="eastAsia" w:asciiTheme="minorEastAsia" w:hAnsiTheme="minorEastAsia" w:eastAsiaTheme="minorEastAsia" w:cstheme="minorEastAsia"/>
                <w:bCs/>
                <w:sz w:val="24"/>
                <w:szCs w:val="24"/>
                <w:vertAlign w:val="subscript"/>
              </w:rPr>
              <w:t xml:space="preserve">5</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NH</w:t>
            </w:r>
            <w:r>
              <w:rPr>
                <w:rFonts w:hint="eastAsia" w:asciiTheme="minorEastAsia" w:hAnsiTheme="minorEastAsia" w:eastAsiaTheme="minorEastAsia" w:cstheme="minorEastAsia"/>
                <w:bCs/>
                <w:sz w:val="24"/>
                <w:szCs w:val="24"/>
                <w:vertAlign w:val="subscript"/>
              </w:rPr>
              <w:t xml:space="preserve">3</w:t>
            </w:r>
            <w:r>
              <w:rPr>
                <w:rFonts w:hint="eastAsia" w:asciiTheme="minorEastAsia" w:hAnsiTheme="minorEastAsia" w:eastAsiaTheme="minorEastAsia" w:cstheme="minorEastAsia"/>
                <w:bCs/>
                <w:sz w:val="24"/>
                <w:szCs w:val="24"/>
              </w:rPr>
              <w:t xml:space="preserve">-N</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TN</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TP</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SS</w:t>
            </w:r>
            <w:r/>
          </w:p>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pH</w:t>
            </w:r>
            <w:r/>
          </w:p>
        </w:tc>
      </w:tr>
      <w:tr>
        <w:trPr>
          <w:jc w:val="center"/>
          <w:trHeight w:val="480"/>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出水水质要求</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05"/>
              <w:spacing w:line="440" w:lineRule="exact"/>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25</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40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05"/>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05"/>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6~9</w:t>
            </w:r>
            <w:r/>
          </w:p>
        </w:tc>
      </w:tr>
    </w:tbl>
    <w:p>
      <w:pPr>
        <w:rPr>
          <w:rFonts w:asciiTheme="minorEastAsia" w:hAnsiTheme="minorEastAsia" w:cstheme="minorEastAsia"/>
        </w:rPr>
      </w:pPr>
      <w:r>
        <w:rPr>
          <w:rFonts w:asciiTheme="minorEastAsia" w:hAnsiTheme="minorEastAsia" w:cstheme="minorEastAsia"/>
        </w:rPr>
      </w:r>
      <w:r/>
    </w:p>
    <w:p>
      <w:p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（9）具体服务内容</w:t>
      </w:r>
      <w:r/>
    </w:p>
    <w:p>
      <w:pPr>
        <w:ind w:firstLine="480"/>
        <w:spacing w:line="360" w:lineRule="auto"/>
        <w:rPr>
          <w:rFonts w:asciiTheme="minorEastAsia" w:hAnsiTheme="minorEastAsia" w:cstheme="minorEastAsia"/>
          <w:sz w:val="24"/>
          <w:highlight w:val="none"/>
        </w:rPr>
      </w:pPr>
      <w:r>
        <w:rPr>
          <w:rFonts w:hint="eastAsia" w:asciiTheme="minorEastAsia" w:hAnsiTheme="minorEastAsia" w:cstheme="minorEastAsia"/>
          <w:sz w:val="24"/>
        </w:rPr>
        <w:t xml:space="preserve">9.1确保渗滤液处理站所有设备正常运转，做到定期保养与维修，确保渗滤液处理出水水质达到《生活垃圾填埋场污染控制标准》GB16889-2024中的表2排放标准。杜绝出现超标现象发生，以及厂区范围内渗滤液跑、冒、滴、溢漏现象</w:t>
      </w:r>
      <w:r>
        <w:rPr>
          <w:rFonts w:hint="eastAsia" w:asciiTheme="minorEastAsia" w:hAnsiTheme="minorEastAsia" w:cstheme="minorEastAsia"/>
          <w:sz w:val="24"/>
          <w:highlight w:val="none"/>
        </w:rPr>
        <w:t xml:space="preserve">，同时采取必要的除臭手段，使气味的影响降至最低。</w:t>
      </w:r>
      <w:r/>
    </w:p>
    <w:p>
      <w:pPr>
        <w:ind w:firstLine="480"/>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9.2确保在垃圾渗滤液处理站运行生产过程中应建立设备维护、保养记录的档案，做好渗滤液处理系统水质化验、分析并每月委托有资质的第三方检测单位开展出水水质检测，检测项目应包含表2中各指标，采样频率为一次3个水样，各项记录资料保存完整。</w:t>
      </w:r>
      <w:r/>
    </w:p>
    <w:p>
      <w:pPr>
        <w:ind w:left="92" w:firstLine="480"/>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9.3在垃圾场渗滤液处理站运行生产过程中，确保有充足的物资保证环保事故风险应急处理，并将应急处置方案报甲方审查备案。</w:t>
      </w:r>
      <w:r/>
    </w:p>
    <w:p>
      <w:pPr>
        <w:pStyle w:val="64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9.4针对现有的工艺进行全量处理优化方案设计，使处理工艺更有效、更完善，若环保部门对渗滤液处理排放标准要求提高时，由甲方负责技改，运营服务费单价视情况进行相应调整。</w:t>
      </w:r>
      <w:r>
        <w:rPr>
          <w:rFonts w:hint="eastAsia" w:asciiTheme="minorEastAsia" w:hAnsiTheme="minorEastAsia" w:eastAsiaTheme="minorEastAsia" w:cstheme="minorEastAsia"/>
          <w:sz w:val="24"/>
          <w:szCs w:val="24"/>
          <w:highlight w:val="none"/>
        </w:rPr>
        <w:br/>
      </w:r>
      <w:r>
        <w:rPr>
          <w:rFonts w:hint="eastAsia" w:asciiTheme="minorEastAsia" w:hAnsiTheme="minorEastAsia" w:eastAsiaTheme="minorEastAsia" w:cstheme="minorEastAsia"/>
          <w:sz w:val="24"/>
          <w:szCs w:val="24"/>
          <w:highlight w:val="none"/>
        </w:rPr>
        <w:t xml:space="preserve">    9.5定期开展停机清洗，停机清洗计划应当向采购人提前报备，清洗时做好用药量、用水量等各项记录。采购人可根据渗滤液池液位调整开机、停机的时间，投标人应服从采购人开机、停机安排。</w:t>
      </w:r>
      <w:r/>
    </w:p>
    <w:p>
      <w:pPr>
        <w:pStyle w:val="64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9.6当设备出现故障导致系统急停时，能保证及时发现问题，并在24小时内排除故障并做好异常情况处理记录。</w:t>
      </w:r>
      <w:r/>
    </w:p>
    <w:p>
      <w:pPr>
        <w:pStyle w:val="643"/>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9.7认真记录每天运行情况，将每天各个情况如实登记入账，并记录档案以便查证。每月对运行情况进行总结由项目负责人签字，并将总结报告在下月5日前提交业主方。</w:t>
      </w:r>
      <w:r/>
    </w:p>
    <w:p>
      <w:pPr>
        <w:pStyle w:val="64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9.8进行系统岗前培训，开展三级安全教育，项目负责人定期组织进行班前、班后会议，并对员工进行定期考核和持续培训。</w:t>
      </w:r>
      <w:r/>
    </w:p>
    <w:p>
      <w:pPr>
        <w:pStyle w:val="64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9.9详细统计硫酸、烧碱等药剂、消耗品的数量、型号、购买地点及购买方式，做好消耗品入出库管理工作，及时购买、备存各类消耗品。严禁将硫酸用于本项目以外的用途。</w:t>
      </w:r>
      <w:r/>
    </w:p>
    <w:p>
      <w:pPr>
        <w:pStyle w:val="64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9.10严格巡回检查制度，严禁跑、冒、滴、漏现象出现，严禁设备空载运转，按最佳工艺控制条件，合理利用各种能源（水、电、气等），合理调度，使设备满负荷运转，节省能耗。</w:t>
      </w:r>
      <w:r/>
    </w:p>
    <w:p>
      <w:pPr>
        <w:pStyle w:val="643"/>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9.11建立安全生产责任制，落实安全负责人，实行安全生产检查制度，并严格执行，做好劳动保护工具的发放和使用管理工作。定期组织人员培训，制定奖惩办法，划分责任区块，做好安全防护设施的管理工作，持续进行安全生产培训工作。</w:t>
      </w:r>
      <w:r/>
    </w:p>
    <w:p>
      <w:pPr>
        <w:jc w:val="left"/>
        <w:widowControl/>
        <w:rPr>
          <w:rFonts w:asciiTheme="minorEastAsia" w:hAnsiTheme="minorEastAsia" w:cstheme="minorEastAsia"/>
          <w:b/>
          <w:bCs/>
          <w:color w:val="000000"/>
          <w:sz w:val="28"/>
          <w:szCs w:val="28"/>
          <w:lang w:bidi="ar"/>
        </w:rPr>
      </w:pPr>
      <w:r>
        <w:rPr>
          <w:rFonts w:hint="eastAsia" w:asciiTheme="minorEastAsia" w:hAnsiTheme="minorEastAsia" w:cstheme="minorEastAsia"/>
          <w:b/>
          <w:bCs/>
          <w:color w:val="000000"/>
          <w:sz w:val="28"/>
          <w:szCs w:val="28"/>
          <w:lang w:bidi="ar"/>
        </w:rPr>
        <w:t xml:space="preserve">五、招标范围</w:t>
      </w:r>
      <w:r/>
    </w:p>
    <w:p>
      <w:pPr>
        <w:ind w:left="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1.1保证渗滤液处理系统正常运行。</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1.2水、电由采购方提供，费用由乙方结付，由于盐酸为易制毒化学品，为了安全、正确的使用，运行方必须制定购买、储存、使用管理制度。生产、经营、运输、储存盐酸此类易制毒化学品，必须遵守国家的有关法律法规。并组织盐酸（易制毒化学品）使用管理小组，确定1-2名专兼职盐酸（易制毒化学品）管理人员，并将所有台账资料报备采购方。</w:t>
      </w:r>
      <w:r/>
    </w:p>
    <w:p>
      <w:pPr>
        <w:ind w:left="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1.3所有碳源、药剂、酸、碱、耗材由</w:t>
      </w:r>
      <w:bookmarkStart w:id="183" w:name="OLE_LINK14"/>
      <w:r/>
      <w:bookmarkStart w:id="184" w:name="OLE_LINK13"/>
      <w:r>
        <w:rPr>
          <w:rFonts w:hint="eastAsia" w:asciiTheme="minorEastAsia" w:hAnsiTheme="minorEastAsia" w:cstheme="minorEastAsia"/>
          <w:sz w:val="24"/>
        </w:rPr>
        <w:t xml:space="preserve">运行方提供</w:t>
      </w:r>
      <w:bookmarkEnd w:id="183"/>
      <w:r/>
      <w:bookmarkEnd w:id="184"/>
      <w:r>
        <w:rPr>
          <w:rFonts w:hint="eastAsia" w:asciiTheme="minorEastAsia" w:hAnsiTheme="minorEastAsia" w:cstheme="minorEastAsia"/>
          <w:sz w:val="24"/>
        </w:rPr>
        <w:t xml:space="preserve">。</w:t>
      </w:r>
      <w:r/>
    </w:p>
    <w:p>
      <w:pPr>
        <w:ind w:left="92" w:firstLine="386"/>
        <w:spacing w:line="360" w:lineRule="auto"/>
        <w:rPr>
          <w:rFonts w:asciiTheme="minorEastAsia" w:hAnsiTheme="minorEastAsia" w:cstheme="minorEastAsia"/>
          <w:sz w:val="24"/>
        </w:rPr>
      </w:pPr>
      <w:r>
        <w:rPr>
          <w:rFonts w:hint="eastAsia" w:asciiTheme="minorEastAsia" w:hAnsiTheme="minorEastAsia" w:cstheme="minorEastAsia"/>
          <w:sz w:val="24"/>
        </w:rPr>
        <w:t xml:space="preserve">1.4委托运行维护期内，处理中心现有场地、厂房等配套设施、渗滤液处理系统的损坏、丢失等均由运行方负责，设备维修、运行的各种配件、材料消耗由运行方提供。</w:t>
      </w:r>
      <w:r/>
    </w:p>
    <w:p>
      <w:pPr>
        <w:ind w:left="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1.5甲方不提供住宿食堂等其他服务。</w:t>
      </w:r>
      <w:r/>
    </w:p>
    <w:p>
      <w:pPr>
        <w:ind w:left="172" w:firstLine="307"/>
        <w:spacing w:line="360" w:lineRule="auto"/>
        <w:rPr>
          <w:rFonts w:asciiTheme="minorEastAsia" w:hAnsiTheme="minorEastAsia" w:cstheme="minorEastAsia"/>
          <w:sz w:val="24"/>
        </w:rPr>
      </w:pPr>
      <w:r>
        <w:rPr>
          <w:rFonts w:hint="eastAsia" w:asciiTheme="minorEastAsia" w:hAnsiTheme="minorEastAsia" w:cstheme="minorEastAsia"/>
          <w:sz w:val="24"/>
        </w:rPr>
        <w:t xml:space="preserve">1.6出水水质要求达到《生活垃圾填埋场污染控制标准》（GB16889-2024）中表 2 规定的排放标准，排入市政管网。</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1.7当调节池泥沙等沉淀物较多时中标人需对调节池进行清淤。</w:t>
      </w:r>
      <w:r/>
    </w:p>
    <w:p>
      <w:pPr>
        <w:jc w:val="left"/>
        <w:widowControl/>
        <w:rPr>
          <w:rFonts w:asciiTheme="minorEastAsia" w:hAnsiTheme="minorEastAsia" w:cstheme="minorEastAsia"/>
          <w:b/>
          <w:bCs/>
          <w:color w:val="000000"/>
          <w:sz w:val="28"/>
          <w:szCs w:val="28"/>
          <w:lang w:bidi="ar"/>
        </w:rPr>
      </w:pPr>
      <w:r>
        <w:rPr>
          <w:rFonts w:hint="eastAsia" w:asciiTheme="minorEastAsia" w:hAnsiTheme="minorEastAsia" w:cstheme="minorEastAsia"/>
          <w:b/>
          <w:bCs/>
          <w:color w:val="000000"/>
          <w:sz w:val="28"/>
          <w:szCs w:val="28"/>
          <w:lang w:bidi="ar"/>
        </w:rPr>
        <w:t xml:space="preserve">六、资金支付方式</w:t>
      </w:r>
      <w:r/>
    </w:p>
    <w:p>
      <w:pPr>
        <w:ind w:left="227" w:firstLine="612"/>
        <w:spacing w:line="360" w:lineRule="auto"/>
        <w:rPr>
          <w:rFonts w:asciiTheme="minorEastAsia" w:hAnsiTheme="minorEastAsia" w:cstheme="minorEastAsia"/>
          <w:sz w:val="24"/>
        </w:rPr>
      </w:pPr>
      <w:r>
        <w:rPr>
          <w:rFonts w:hint="eastAsia" w:asciiTheme="minorEastAsia" w:hAnsiTheme="minorEastAsia" w:cstheme="minorEastAsia"/>
          <w:sz w:val="24"/>
        </w:rPr>
        <w:t xml:space="preserve">结算方式：固定单价结算。合同款包含完成本项目的一切费用，甲方不再另行支付费用。</w:t>
      </w:r>
      <w:r/>
    </w:p>
    <w:p>
      <w:pPr>
        <w:spacing w:line="360" w:lineRule="auto"/>
        <w:rPr>
          <w:rFonts w:asciiTheme="minorEastAsia" w:hAnsiTheme="minorEastAsia" w:cstheme="minorEastAsia"/>
          <w:sz w:val="24"/>
        </w:rPr>
      </w:pPr>
      <w:r>
        <w:rPr>
          <w:rFonts w:hint="eastAsia" w:asciiTheme="minorEastAsia" w:hAnsiTheme="minorEastAsia" w:cstheme="minorEastAsia"/>
          <w:sz w:val="24"/>
        </w:rPr>
        <w:t xml:space="preserve">项目付款分期进行，按季度结算，运营的第4个月、第7个月、第10个月和第13个月的上旬分别结算前一季的运营费用。（检测必须为合格）。</w:t>
      </w:r>
      <w:r/>
    </w:p>
    <w:p>
      <w:pPr>
        <w:jc w:val="left"/>
        <w:widowControl/>
        <w:rPr>
          <w:rFonts w:asciiTheme="minorEastAsia" w:hAnsiTheme="minorEastAsia" w:cstheme="minorEastAsia"/>
          <w:b/>
          <w:bCs/>
          <w:color w:val="000000"/>
          <w:sz w:val="28"/>
          <w:szCs w:val="28"/>
          <w:lang w:bidi="ar"/>
        </w:rPr>
      </w:pPr>
      <w:r>
        <w:rPr>
          <w:rFonts w:hint="eastAsia" w:asciiTheme="minorEastAsia" w:hAnsiTheme="minorEastAsia" w:cstheme="minorEastAsia"/>
          <w:b/>
          <w:bCs/>
          <w:color w:val="000000"/>
          <w:sz w:val="28"/>
          <w:szCs w:val="28"/>
          <w:lang w:bidi="ar"/>
        </w:rPr>
        <w:t xml:space="preserve">七、运营考核方法</w:t>
      </w:r>
      <w:r/>
    </w:p>
    <w:p>
      <w:pPr>
        <w:ind w:firstLine="240"/>
        <w:spacing w:line="360" w:lineRule="auto"/>
        <w:rPr>
          <w:rFonts w:asciiTheme="minorEastAsia" w:hAnsiTheme="minorEastAsia" w:cstheme="minorEastAsia"/>
          <w:sz w:val="24"/>
        </w:rPr>
      </w:pPr>
      <w:r>
        <w:rPr>
          <w:rFonts w:hint="eastAsia" w:asciiTheme="minorEastAsia" w:hAnsiTheme="minorEastAsia" w:cstheme="minorEastAsia"/>
          <w:sz w:val="24"/>
        </w:rPr>
        <w:t xml:space="preserve">1.1每期结算款的20%作为考核基金，考核基金按月分配，除以100分为每分的金额。</w:t>
      </w:r>
      <w:r/>
    </w:p>
    <w:p>
      <w:pPr>
        <w:ind w:firstLine="240"/>
        <w:spacing w:line="360" w:lineRule="auto"/>
        <w:rPr>
          <w:rFonts w:asciiTheme="minorEastAsia" w:hAnsiTheme="minorEastAsia" w:cstheme="minorEastAsia"/>
          <w:sz w:val="24"/>
        </w:rPr>
      </w:pPr>
      <w:r>
        <w:rPr>
          <w:rFonts w:hint="eastAsia" w:asciiTheme="minorEastAsia" w:hAnsiTheme="minorEastAsia" w:cstheme="minorEastAsia"/>
          <w:sz w:val="24"/>
        </w:rPr>
        <w:t xml:space="preserve">1.2计算公式：</w:t>
      </w:r>
      <w:r/>
    </w:p>
    <w:p>
      <w:pPr>
        <w:ind w:firstLine="720"/>
        <w:spacing w:line="360" w:lineRule="auto"/>
        <w:rPr>
          <w:rFonts w:asciiTheme="minorEastAsia" w:hAnsiTheme="minorEastAsia" w:cstheme="minorEastAsia"/>
          <w:sz w:val="24"/>
        </w:rPr>
      </w:pPr>
      <w:r>
        <w:rPr>
          <w:rFonts w:hint="eastAsia" w:asciiTheme="minorEastAsia" w:hAnsiTheme="minorEastAsia" w:cstheme="minorEastAsia"/>
          <w:sz w:val="24"/>
        </w:rPr>
        <w:t xml:space="preserve">每分金额=每期考核基金÷3个月÷100分</w:t>
      </w:r>
      <w:r/>
    </w:p>
    <w:p>
      <w:pPr>
        <w:ind w:firstLine="720"/>
        <w:spacing w:line="360" w:lineRule="auto"/>
        <w:rPr>
          <w:rFonts w:asciiTheme="minorEastAsia" w:hAnsiTheme="minorEastAsia" w:cstheme="minorEastAsia"/>
          <w:sz w:val="24"/>
        </w:rPr>
      </w:pPr>
      <w:r>
        <w:rPr>
          <w:rFonts w:hint="eastAsia" w:asciiTheme="minorEastAsia" w:hAnsiTheme="minorEastAsia" w:cstheme="minorEastAsia"/>
          <w:sz w:val="24"/>
        </w:rPr>
        <w:t xml:space="preserve">每扣1分按照每分金额，最终考核扣除金额在费用结算价格中直接扣除。</w:t>
      </w:r>
      <w:r/>
    </w:p>
    <w:p>
      <w:pPr>
        <w:ind w:firstLine="240"/>
        <w:spacing w:line="360" w:lineRule="auto"/>
        <w:rPr>
          <w:rFonts w:asciiTheme="minorEastAsia" w:hAnsiTheme="minorEastAsia" w:cstheme="minorEastAsia"/>
          <w:sz w:val="24"/>
        </w:rPr>
      </w:pPr>
      <w:r>
        <w:rPr>
          <w:rFonts w:hint="eastAsia" w:asciiTheme="minorEastAsia" w:hAnsiTheme="minorEastAsia" w:cstheme="minorEastAsia"/>
          <w:sz w:val="24"/>
        </w:rPr>
        <w:t xml:space="preserve">1.3考核评定：考核成绩95分（含）以上为优秀，考核成绩94分至85分为良好，考核成绩84分至75分为基本合格，75分以下为不合格。</w:t>
      </w:r>
      <w:r/>
    </w:p>
    <w:p>
      <w:pPr>
        <w:ind w:firstLine="240"/>
        <w:spacing w:line="360" w:lineRule="auto"/>
        <w:rPr>
          <w:rFonts w:asciiTheme="minorEastAsia" w:hAnsiTheme="minorEastAsia" w:cstheme="minorEastAsia"/>
          <w:sz w:val="24"/>
          <w:highlight w:val="yellow"/>
        </w:rPr>
      </w:pPr>
      <w:r>
        <w:rPr>
          <w:rFonts w:hint="eastAsia" w:asciiTheme="minorEastAsia" w:hAnsiTheme="minorEastAsia" w:cstheme="minorEastAsia"/>
          <w:sz w:val="24"/>
        </w:rPr>
        <w:t xml:space="preserve">1.4如果累计出现三次考核结果低于75分；或年度运营考核月平均分低于85分；或因操作不当造成重大损失和影响；管理不善造成设备被盗；或一年中有两次出水水质检测不达标；出现以上五种情况任一情形的，我方有权单方面中止合同。</w:t>
      </w:r>
      <w:r/>
    </w:p>
    <w:p>
      <w:pPr>
        <w:ind w:firstLine="240"/>
        <w:spacing w:line="360" w:lineRule="auto"/>
        <w:tabs>
          <w:tab w:val="left" w:pos="312" w:leader="none"/>
          <w:tab w:val="left" w:pos="576" w:leader="none"/>
        </w:tabs>
        <w:rPr>
          <w:rFonts w:asciiTheme="minorEastAsia" w:hAnsiTheme="minorEastAsia" w:cstheme="minorEastAsia"/>
          <w:sz w:val="24"/>
        </w:rPr>
      </w:pPr>
      <w:r>
        <w:rPr>
          <w:rFonts w:hint="eastAsia" w:asciiTheme="minorEastAsia" w:hAnsiTheme="minorEastAsia" w:cstheme="minorEastAsia"/>
          <w:sz w:val="24"/>
        </w:rPr>
        <w:t xml:space="preserve">1.5考核评分表：</w:t>
      </w:r>
      <w:r/>
    </w:p>
    <w:tbl>
      <w:tblPr>
        <w:tblStyle w:val="617"/>
        <w:tblW w:w="92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1243"/>
        <w:gridCol w:w="3975"/>
        <w:gridCol w:w="595"/>
        <w:gridCol w:w="2256"/>
        <w:gridCol w:w="683"/>
      </w:tblGrid>
      <w:tr>
        <w:trPr>
          <w:jc w:val="center"/>
          <w:trHeight w:val="653"/>
        </w:trPr>
        <w:tc>
          <w:tcPr>
            <w:tcW w:w="54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项目</w:t>
            </w:r>
            <w:r/>
          </w:p>
        </w:tc>
        <w:tc>
          <w:tcPr>
            <w:tcW w:w="1243"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考核</w:t>
            </w:r>
            <w:r/>
          </w:p>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内容</w:t>
            </w:r>
            <w:r/>
          </w:p>
        </w:tc>
        <w:tc>
          <w:tcPr>
            <w:tcW w:w="397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管理考核标准</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标准</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考核评分原则</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实得分</w:t>
            </w:r>
            <w:r/>
          </w:p>
        </w:tc>
      </w:tr>
      <w:tr>
        <w:trPr>
          <w:cantSplit/>
          <w:jc w:val="center"/>
          <w:trHeight w:val="1297"/>
        </w:trPr>
        <w:tc>
          <w:tcPr>
            <w:tcW w:w="542"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w:t>
            </w:r>
            <w:r/>
          </w:p>
        </w:tc>
        <w:tc>
          <w:tcPr>
            <w:tcW w:w="1243"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管护效果（70分）</w:t>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运维人员严格遵守委托方厂区规章制度，规范运营；运营时设备运转正常，且出水水质达标排放（每月提供第三方检测报告为准）。</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30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出水水质经第三方检测机构抽检不合格一次扣30分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合理使用污水处理药剂，不浪费；使用危险药剂时注意佩戴好护具，规范操作，避免人体受伤。</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发现浪费现象，一次扣2分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配电柜、监控系统、进出水管等设备及管理用房内配套设施完善，管理有序，无垃圾杂物，干净清洁。</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发现1处不符合标准扣1.5分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653"/>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操作人员按章操作，不得擅离职守；无安全隐患，无安全责任事故。</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发现1处不符合标准扣3分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及时做好设备维修保养工作，维修保养质量符合要求；设备易耗损件及时更换，避免设备损坏或出水超标。</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未及时做好维修保养或维修保养质量不符合要求的，有1次扣2分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2</w:t>
            </w:r>
            <w:r/>
          </w:p>
        </w:tc>
        <w:tc>
          <w:tcPr>
            <w:tcW w:w="1243"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台账资料（30分）</w:t>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管理体制顺畅，管理权限明确；技术工人经培训上岗；有职工培训计划并按计划实施。</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5</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有1项不符合要求扣1分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1941"/>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各项管理规章制度健全，包括操作规程、岗位责任制度、检查报告制度、安全生产管理制度等；管护责任主体制定管护办法和考核细则，要求具体适用；其中操作规程、岗位责任制度、检查报告制度均应上墙明示。</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规章制度少一项扣0.5分；上墙制度少一项扣1分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每月对设备设施进行全面检查至少1次，并作记录报告:检查内容全面，记录详细规范。</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5</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巡查次数少一次扣一分；未及时记录发现一次扣1分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1297"/>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台账资料齐全、整编有序；记录全面详尽；台账无伪造、专人负责分类保管；危险药剂台账必须专人负责记录并定期上报。</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有1处不符合标准扣0.5分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jc w:val="center"/>
          <w:trHeight w:val="1307"/>
        </w:trPr>
        <w:tc>
          <w:tcPr>
            <w:tcW w:w="54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3</w:t>
            </w:r>
            <w:r/>
          </w:p>
        </w:tc>
        <w:tc>
          <w:tcPr>
            <w:tcW w:w="1243"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其他</w:t>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1.操作不当造成重大损失和影响的；</w:t>
            </w:r>
            <w:r/>
          </w:p>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2.管理不善造成设备被盗的；</w:t>
            </w:r>
            <w:r/>
          </w:p>
          <w:p>
            <w:pPr>
              <w:spacing w:line="360" w:lineRule="auto"/>
              <w:rPr>
                <w:rFonts w:asciiTheme="minorEastAsia" w:hAnsiTheme="minorEastAsia" w:cstheme="minorEastAsia"/>
                <w:color w:val="000000"/>
                <w:szCs w:val="21"/>
              </w:rPr>
            </w:pPr>
            <w:r>
              <w:rPr>
                <w:rFonts w:hint="eastAsia" w:asciiTheme="minorEastAsia" w:hAnsiTheme="minorEastAsia" w:cstheme="minorEastAsia"/>
                <w:color w:val="000000"/>
                <w:szCs w:val="21"/>
              </w:rPr>
              <w:t xml:space="preserve">3.未按要求配备人员。</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发生上述现象之一，有一次扣10分。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jc w:val="center"/>
          <w:trHeight w:val="473"/>
        </w:trPr>
        <w:tc>
          <w:tcPr>
            <w:gridSpan w:val="2"/>
            <w:tcW w:w="178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合计</w:t>
            </w:r>
            <w:r/>
          </w:p>
        </w:tc>
        <w:tc>
          <w:tcPr>
            <w:tcW w:w="3975"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bl>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sz w:val="24"/>
          <w:szCs w:val="22"/>
          <w:shd w:val="clear" w:color="auto" w:fill="ffffff"/>
        </w:rPr>
        <w:t xml:space="preserve">六、</w:t>
      </w:r>
      <w:r>
        <w:rPr>
          <w:rFonts w:hint="eastAsia" w:asciiTheme="minorEastAsia" w:hAnsiTheme="minorEastAsia" w:cstheme="minorEastAsia"/>
          <w:b/>
          <w:bCs/>
          <w:color w:val="000000"/>
          <w:sz w:val="24"/>
        </w:rPr>
        <w:t xml:space="preserve">服务期满后的移交义务</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服务期届满前</w:t>
      </w:r>
      <w:r>
        <w:rPr>
          <w:rFonts w:hint="eastAsia" w:asciiTheme="minorEastAsia" w:hAnsiTheme="minorEastAsia" w:cstheme="minorEastAsia"/>
          <w:color w:val="000000"/>
          <w:sz w:val="24"/>
          <w:u w:val="single"/>
          <w:lang w:bidi="ar"/>
        </w:rPr>
        <w:t xml:space="preserve">15</w:t>
      </w:r>
      <w:r>
        <w:rPr>
          <w:rFonts w:hint="eastAsia" w:asciiTheme="minorEastAsia" w:hAnsiTheme="minorEastAsia" w:cstheme="minorEastAsia"/>
          <w:color w:val="000000"/>
          <w:sz w:val="24"/>
          <w:lang w:bidi="ar"/>
        </w:rPr>
        <w:t xml:space="preserve">个工作日内，乙方(服务方)应按以下要求向甲方(委托方)完成全部移交工作:</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1.硬件设施移交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对现场原有渗滤液处理设备、渗滤液/废水/浓缩液输送管道、水泵、仪表等全部硬件设施进行整体检查与修复，确保其处于完好、可用、运行正常的状态。移交时双方共同签署《设备验收清单》，对存在故障或性能下降的设备，乙方应在移交前完成维修或更换。</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2.软件系统移交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确保所引用的渗滤液运营软件系统正常运行、功能完整，包括但不限于远程预警、远程管理、远程工艺故障诊断等全部功能。移交内容含:</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2.1软件安装包、部署文档、操作手册、维护手册;</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2.2管理账号、密码、权限配置说明;</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2.3软件授权或许可文件(如为乙方自有或第三方软件，需同步移交合法使用的授权或转让证明)。</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3.运行数据与档案移交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移交服务期内的全部运行记录、仪表数据、化验检测数据、设备维护记录、故障处理记录等电子与纸质档案，确保数据完整、真实、可追溯。</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4.其他移交内容</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4.1岗位责任制及各项管理制度文件;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4.2安全防范措施及应急预案文件;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4.3操作人员培训记录及考核资料。</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5.移交验收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完成后，双方签署《移交验收确认书》。如存在软件无法正常运行、硬件故障、数据缺失或功能缺失的，乙方应在10个工作日内无条件整改完毕，逾期视为未完成移交，甲方有权扣留相应服务保证金或追究违约责任。</w:t>
      </w:r>
      <w:r/>
    </w:p>
    <w:p>
      <w:pPr>
        <w:ind w:firstLine="482"/>
        <w:spacing w:line="560" w:lineRule="atLeast"/>
        <w:rPr>
          <w:rFonts w:asciiTheme="minorEastAsia" w:hAnsiTheme="minorEastAsia" w:cstheme="minorEastAsia"/>
          <w:b/>
          <w:bCs/>
          <w:sz w:val="24"/>
          <w:szCs w:val="22"/>
          <w:shd w:val="clear" w:color="auto" w:fill="ffffff"/>
        </w:rPr>
      </w:pPr>
      <w:r>
        <w:rPr>
          <w:rFonts w:hint="eastAsia" w:asciiTheme="minorEastAsia" w:hAnsiTheme="minorEastAsia" w:cstheme="minorEastAsia"/>
          <w:b/>
          <w:bCs/>
          <w:sz w:val="24"/>
          <w:szCs w:val="22"/>
          <w:shd w:val="clear" w:color="auto" w:fill="ffffff"/>
        </w:rPr>
        <w:t xml:space="preserve">七、其它要求</w:t>
      </w:r>
      <w:r/>
    </w:p>
    <w:p>
      <w:pPr>
        <w:ind w:firstLine="480"/>
        <w:spacing w:line="560" w:lineRule="atLeast"/>
        <w:rPr>
          <w:rFonts w:asciiTheme="minorEastAsia" w:hAnsiTheme="minorEastAsia" w:cstheme="minorEastAsia"/>
          <w:sz w:val="24"/>
          <w:szCs w:val="22"/>
          <w:shd w:val="clear" w:color="auto" w:fill="ffffff"/>
        </w:rPr>
      </w:pPr>
      <w:r>
        <w:rPr>
          <w:rFonts w:hint="eastAsia" w:asciiTheme="minorEastAsia" w:hAnsiTheme="minorEastAsia" w:cstheme="minorEastAsia"/>
          <w:sz w:val="24"/>
          <w:szCs w:val="22"/>
          <w:shd w:val="clear" w:color="auto" w:fill="ffffff"/>
        </w:rPr>
        <w:t xml:space="preserve">1.1投标人应对本次招标的工作内容和要求进行整体报价，投标报价一经报定不得更改，报价应包括完成本项目服务工作期间所需的人工、材料、车辆、会务、审查等全部费用。</w:t>
      </w:r>
      <w:r/>
    </w:p>
    <w:p>
      <w:pPr>
        <w:pStyle w:val="643"/>
        <w:ind w:firstLine="480"/>
        <w:rPr>
          <w:rFonts w:asciiTheme="minorEastAsia" w:hAnsiTheme="minorEastAsia" w:eastAsiaTheme="minorEastAsia" w:cstheme="minorEastAsia"/>
        </w:rPr>
      </w:pPr>
      <w:r>
        <w:rPr>
          <w:rFonts w:hint="eastAsia" w:asciiTheme="minorEastAsia" w:hAnsiTheme="minorEastAsia" w:eastAsiaTheme="minorEastAsia" w:cstheme="minorEastAsia"/>
          <w:sz w:val="24"/>
          <w:szCs w:val="22"/>
          <w:shd w:val="clear" w:color="auto" w:fill="ffffff"/>
        </w:rPr>
        <w:t xml:space="preserve">1.2运营服务要求：运营期间拟派人员驻场服务，负责填埋场的一切运营工作，保证填埋场每日正常运营。如运营期间出现设备维修更换等故障，小故障4小时内处理完成。涉及到设备更换等故障需24小时内处理完成。出现问题立即上报采购方。</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1.3中标人应承诺严格执行招标文件要求和有关技术标准、规范要求，保质、保量、按时完成工作。</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1.4中标人应承诺已充分了解了本次采购的项目需求，对采购的服务内容及应用模式做了充分的评估，能够满足本次项目的目标。</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1.5中标人应承诺所提供的服务内容和服务质量能够满足采购文件的要求。</w:t>
      </w:r>
      <w:r/>
    </w:p>
    <w:p>
      <w:pPr>
        <w:ind w:firstLine="480"/>
        <w:spacing w:line="480" w:lineRule="exact"/>
        <w:rPr>
          <w:rFonts w:asciiTheme="minorEastAsia" w:hAnsiTheme="minorEastAsia" w:cstheme="minorEastAsia"/>
        </w:rPr>
      </w:pPr>
      <w:r>
        <w:rPr>
          <w:rFonts w:hint="eastAsia" w:asciiTheme="minorEastAsia" w:hAnsiTheme="minorEastAsia" w:cstheme="minorEastAsia"/>
          <w:bCs/>
          <w:color w:val="000000"/>
          <w:sz w:val="24"/>
        </w:rPr>
        <w:t xml:space="preserve">1.6中标人应承诺投标文件中提供的中标人资格、资质证明文件不存在隐瞒、与实际情况不符等情况，采购人有权在中标人成交后对中标人相关资质、资格和能力进行考察验证的权利，如果存在重大差异，有权取消或终止合同。</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1.7项目服务期间，供应商的所有的工作人员的人身安全以及供应商在服务期间产生的各类安全责任事故均由承包方自行承担；供应商必须保证项目服务过程中人员及设备的安全。项目服务中一切自然损坏而造成的人身伤害事故（不包括不可抗力因素），由供应商承担全部责任。</w:t>
      </w:r>
      <w:r/>
    </w:p>
    <w:p>
      <w:pPr>
        <w:pStyle w:val="643"/>
        <w:ind w:firstLine="480"/>
        <w:rPr>
          <w:rFonts w:asciiTheme="minorEastAsia" w:hAnsiTheme="minorEastAsia" w:eastAsiaTheme="minorEastAsia" w:cstheme="minorEastAsia"/>
        </w:rPr>
      </w:pPr>
      <w:r>
        <w:rPr>
          <w:rFonts w:hint="eastAsia" w:asciiTheme="minorEastAsia" w:hAnsiTheme="minorEastAsia" w:eastAsiaTheme="minorEastAsia" w:cstheme="minorEastAsia"/>
          <w:color w:val="000000"/>
          <w:sz w:val="24"/>
          <w:szCs w:val="24"/>
        </w:rPr>
        <w:t xml:space="preserve">1.8运行期满撤场时，应有序恢复场地，不对填埋场造成其他影响，保证填埋场的正常运营，与下一个进场单位做好交接工作。</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1.9供应商在服务过程中涉及第三方产品知识产权情况，若出现技术、经济或法律上的纠纷，应由承包方全面承担并全权解决，并确保不影响项目的进度。</w:t>
      </w:r>
      <w:r/>
    </w:p>
    <w:p>
      <w:pPr>
        <w:pStyle w:val="641"/>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i/>
          <w:color w:val="000000"/>
          <w:u w:val="single"/>
        </w:rPr>
        <w:t xml:space="preserve">1.10本项目不接受</w:t>
      </w:r>
      <w:r>
        <w:rPr>
          <w:rFonts w:hint="eastAsia" w:asciiTheme="minorEastAsia" w:hAnsiTheme="minorEastAsia" w:cstheme="minorEastAsia"/>
          <w:color w:val="000000"/>
        </w:rPr>
        <w:t xml:space="preserve"> 进口产品投标</w:t>
      </w:r>
      <w:r/>
    </w:p>
    <w:p>
      <w:pPr>
        <w:pStyle w:val="641"/>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1.12采购标的对应的中小企业划分标准所属行业一览表</w:t>
      </w:r>
      <w:r/>
    </w:p>
    <w:tbl>
      <w:tblPr>
        <w:tblStyle w:val="617"/>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41"/>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41"/>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41"/>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41"/>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41"/>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 </w:t>
            </w:r>
            <w:r>
              <w:rPr>
                <w:rFonts w:hint="eastAsia" w:eastAsia="宋体" w:asciiTheme="minorEastAsia" w:hAnsiTheme="minorEastAsia" w:cstheme="minorEastAsia"/>
                <w:color w:val="000000"/>
                <w:lang w:eastAsia="zh-CN"/>
              </w:rPr>
              <w:t xml:space="preserve">2026年响水县四丰生活垃圾卫生填埋场渗滤液处理运营服务（重新招标）</w:t>
            </w:r>
            <w:r>
              <w:rPr>
                <w:rFonts w:hint="eastAsia" w:asciiTheme="minorEastAsia" w:hAnsiTheme="minorEastAsia" w:cstheme="minorEastAsia"/>
                <w:color w:val="000000"/>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41"/>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其他未列明行业 </w:t>
            </w:r>
            <w:r/>
          </w:p>
        </w:tc>
      </w:tr>
    </w:tbl>
    <w:p>
      <w:pPr>
        <w:pStyle w:val="641"/>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 </w:t>
      </w:r>
      <w:r/>
    </w:p>
    <w:p>
      <w:pPr>
        <w:pStyle w:val="641"/>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41"/>
        <w:ind w:firstLine="602"/>
        <w:jc w:val="both"/>
        <w:spacing w:beforeAutospacing="0" w:afterAutospacing="0"/>
        <w:rPr>
          <w:rFonts w:ascii="宋体" w:hAnsi="宋体" w:eastAsia="宋体" w:cs="宋体"/>
        </w:rPr>
      </w:pPr>
      <w:r>
        <w:rPr>
          <w:rFonts w:hint="eastAsia" w:ascii="宋体" w:hAnsi="宋体" w:eastAsia="宋体" w:cs="宋体"/>
        </w:rPr>
        <w:t xml:space="preserve"> </w:t>
      </w:r>
      <w:r/>
    </w:p>
    <w:p>
      <w:pPr>
        <w:pStyle w:val="641"/>
        <w:jc w:val="both"/>
        <w:spacing w:beforeAutospacing="0" w:afterAutospacing="0"/>
        <w:rPr>
          <w:rFonts w:ascii="宋体" w:hAnsi="宋体" w:eastAsia="宋体" w:cs="宋体"/>
        </w:rPr>
      </w:pPr>
      <w:r>
        <w:rPr>
          <w:rFonts w:hint="eastAsia" w:ascii="宋体" w:hAnsi="宋体" w:eastAsia="宋体" w:cs="宋体"/>
        </w:rPr>
        <w:t xml:space="preserve"> </w:t>
      </w:r>
      <w:r/>
    </w:p>
    <w:p>
      <w:pPr>
        <w:pStyle w:val="641"/>
        <w:jc w:val="both"/>
        <w:spacing w:beforeAutospacing="0" w:afterAutospacing="0"/>
        <w:tabs>
          <w:tab w:val="left" w:pos="6205" w:leader="none"/>
        </w:tabs>
        <w:rPr>
          <w:rFonts w:ascii="宋体" w:hAnsi="宋体" w:eastAsia="宋体" w:cs="宋体"/>
        </w:rPr>
      </w:pPr>
      <w:r>
        <w:rPr>
          <w:rFonts w:hint="eastAsia" w:ascii="宋体" w:hAnsi="宋体" w:eastAsia="宋体" w:cs="宋体"/>
        </w:rPr>
        <w:t xml:space="preserve"> </w:t>
      </w:r>
      <w:r/>
    </w:p>
    <w:p>
      <w:pPr>
        <w:pStyle w:val="641"/>
        <w:jc w:val="center"/>
        <w:keepNext/>
        <w:spacing w:beforeAutospacing="0" w:afterAutospacing="0"/>
        <w:rPr>
          <w:rFonts w:ascii="宋体" w:hAnsi="宋体" w:eastAsia="宋体" w:cs="宋体"/>
        </w:rPr>
      </w:pPr>
      <w:r/>
      <w:bookmarkStart w:id="185" w:name="_Toc120614281"/>
      <w:r>
        <w:rPr>
          <w:rFonts w:hint="eastAsia" w:ascii="宋体" w:hAnsi="宋体" w:eastAsia="宋体" w:cs="宋体"/>
        </w:rPr>
        <w:t xml:space="preserve"> </w:t>
      </w:r>
      <w:r/>
    </w:p>
    <w:p>
      <w:pPr>
        <w:pStyle w:val="641"/>
        <w:jc w:val="both"/>
        <w:spacing w:beforeAutospacing="0" w:afterAutospacing="0"/>
        <w:rPr>
          <w:rFonts w:ascii="宋体" w:hAnsi="宋体" w:eastAsia="宋体" w:cs="宋体"/>
        </w:rPr>
      </w:pPr>
      <w:r>
        <w:rPr>
          <w:rFonts w:hint="eastAsia" w:ascii="宋体" w:hAnsi="宋体" w:eastAsia="宋体" w:cs="宋体"/>
        </w:rPr>
        <w:t xml:space="preserve"> </w:t>
      </w:r>
      <w:r/>
    </w:p>
    <w:p>
      <w:pPr>
        <w:pStyle w:val="641"/>
        <w:jc w:val="both"/>
        <w:spacing w:beforeAutospacing="0" w:afterAutospacing="0"/>
      </w:pPr>
      <w:r/>
      <w:r/>
    </w:p>
    <w:p>
      <w:pPr>
        <w:pStyle w:val="641"/>
        <w:jc w:val="both"/>
        <w:spacing w:beforeAutospacing="0" w:afterAutospacing="0"/>
      </w:pPr>
      <w:r>
        <w:br/>
      </w:r>
      <w:r>
        <w:br/>
      </w:r>
      <w:r>
        <w:br/>
      </w:r>
      <w:r>
        <w:br/>
      </w:r>
      <w:r>
        <w:br/>
      </w:r>
      <w:r/>
    </w:p>
    <w:p>
      <w:pPr>
        <w:pStyle w:val="641"/>
        <w:jc w:val="both"/>
        <w:spacing w:beforeAutospacing="0" w:afterAutospacing="0"/>
      </w:pPr>
      <w:r>
        <w:br/>
      </w:r>
      <w:r>
        <w:br/>
      </w:r>
      <w:r>
        <w:br/>
      </w:r>
      <w:r>
        <w:br/>
      </w:r>
      <w:r>
        <w:br/>
      </w:r>
      <w:r/>
    </w:p>
    <w:p>
      <w:pPr>
        <w:pStyle w:val="641"/>
        <w:jc w:val="center"/>
        <w:keepNext/>
        <w:spacing w:beforeAutospacing="0" w:afterAutospacing="0"/>
      </w:pPr>
      <w:r>
        <w:t xml:space="preserve"> </w:t>
      </w:r>
      <w:r/>
    </w:p>
    <w:p>
      <w:pPr>
        <w:pStyle w:val="641"/>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41"/>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41"/>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64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802"/>
        <w:ind w:firstLine="360"/>
        <w:rPr>
          <w:rFonts w:hint="eastAsia" w:ascii="宋体" w:hAnsi="宋体" w:eastAsia="宋体" w:cs="宋体"/>
          <w:lang w:eastAsia="zh-CN"/>
        </w:rPr>
      </w:pPr>
      <w:r>
        <w:rPr>
          <w:rFonts w:hint="eastAsia" w:ascii="宋体" w:hAnsi="宋体" w:eastAsia="宋体" w:cs="宋体"/>
        </w:rPr>
        <w:t xml:space="preserve">（1）本项目专门面向中小企业采购，</w:t>
      </w:r>
      <w:r>
        <w:rPr>
          <w:rFonts w:hint="eastAsia" w:ascii="宋体" w:hAnsi="宋体" w:eastAsia="宋体" w:cs="宋体"/>
          <w:highlight w:val="none"/>
        </w:rPr>
        <w:t xml:space="preserve">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rPr>
          <w:rFonts w:hint="eastAsia" w:ascii="宋体" w:hAnsi="宋体" w:eastAsia="宋体" w:cs="宋体"/>
          <w:highlight w:val="none"/>
          <w:lang w:eastAsia="zh-CN"/>
        </w:rPr>
        <w:t xml:space="preserve">。</w:t>
      </w:r>
      <w:r/>
    </w:p>
    <w:p>
      <w:pPr>
        <w:pStyle w:val="641"/>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41"/>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4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641"/>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w:t>
      </w:r>
      <w:r>
        <w:rPr>
          <w:rFonts w:hint="eastAsia" w:ascii="宋体" w:hAnsi="宋体" w:eastAsia="宋体" w:cs="宋体"/>
          <w:color w:val="000000"/>
          <w:u w:val="none"/>
        </w:rPr>
        <w:t xml:space="preserve">。</w:t>
      </w:r>
      <w:r/>
    </w:p>
    <w:p>
      <w:pPr>
        <w:pStyle w:val="641"/>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41"/>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4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641"/>
        <w:ind w:left="120" w:firstLine="360"/>
        <w:spacing w:before="120" w:beforeAutospacing="0" w:after="120" w:afterAutospacing="0" w:line="0" w:lineRule="atLeast"/>
        <w:rPr>
          <w:rFonts w:ascii="宋体" w:hAnsi="宋体" w:eastAsia="宋体" w:cs="宋体"/>
          <w:color w:val="000000"/>
          <w:u w:val="none"/>
        </w:rPr>
      </w:pPr>
      <w:r>
        <w:rPr>
          <w:rFonts w:hint="eastAsia" w:ascii="宋体" w:hAnsi="宋体" w:eastAsia="宋体" w:cs="宋体"/>
          <w:color w:val="000000"/>
        </w:rPr>
        <w:t xml:space="preserve">（1）本项目对监狱和戒毒企业（简称监狱企业）视同小型、微型企业</w:t>
      </w:r>
      <w:r>
        <w:rPr>
          <w:rFonts w:hint="eastAsia" w:ascii="宋体" w:hAnsi="宋体" w:eastAsia="宋体" w:cs="宋体"/>
          <w:color w:val="000000"/>
          <w:u w:val="none"/>
        </w:rPr>
        <w:t xml:space="preserve">。</w:t>
      </w:r>
      <w:r/>
    </w:p>
    <w:p>
      <w:pPr>
        <w:pStyle w:val="64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41"/>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ind w:firstLine="480"/>
        <w:rPr>
          <w:rFonts w:ascii="宋体" w:hAnsi="宋体" w:eastAsia="宋体" w:cs="宋体"/>
          <w:sz w:val="24"/>
        </w:rPr>
      </w:pPr>
      <w:r>
        <w:rPr>
          <w:rFonts w:hint="eastAsia" w:ascii="宋体" w:hAnsi="宋体" w:eastAsia="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before="72" w:after="72" w:line="420" w:lineRule="exact"/>
        <w:rPr>
          <w:rFonts w:ascii="宋体" w:hAnsi="宋体" w:cs="宋体"/>
          <w:bCs/>
          <w:color w:val="000000"/>
          <w:sz w:val="24"/>
        </w:rPr>
      </w:pPr>
      <w:r>
        <w:rPr>
          <w:rFonts w:hint="eastAsia" w:ascii="宋体" w:hAnsi="宋体" w:eastAsia="宋体" w:cs="宋体"/>
          <w:b/>
          <w:color w:val="000000"/>
        </w:rPr>
        <w:t xml:space="preserve">评标方法与评标标准</w:t>
      </w:r>
      <w:r>
        <w:rPr>
          <w:rFonts w:hint="eastAsia" w:ascii="宋体" w:hAnsi="宋体" w:eastAsia="宋体" w:cs="宋体"/>
          <w:b/>
          <w:color w:val="000000"/>
        </w:rPr>
        <w:br/>
      </w:r>
      <w:r>
        <w:rPr>
          <w:rFonts w:hint="eastAsia" w:ascii="宋体" w:hAnsi="宋体" w:cs="宋体"/>
          <w:bCs/>
          <w:color w:val="000000"/>
          <w:sz w:val="24"/>
        </w:rPr>
        <w:t xml:space="preserve">本项目评分总分值为100分。</w:t>
      </w:r>
      <w:r/>
    </w:p>
    <w:p>
      <w:pPr>
        <w:numPr>
          <w:ilvl w:val="0"/>
          <w:numId w:val="3"/>
        </w:numPr>
        <w:ind w:firstLine="480"/>
        <w:spacing w:before="72" w:after="72" w:line="420" w:lineRule="exact"/>
        <w:rPr>
          <w:rFonts w:ascii="宋体" w:hAnsi="宋体" w:cs="宋体"/>
          <w:bCs/>
          <w:color w:val="000000"/>
          <w:sz w:val="24"/>
        </w:rPr>
      </w:pPr>
      <w:r>
        <w:rPr>
          <w:rFonts w:hint="eastAsia" w:ascii="宋体" w:hAnsi="宋体" w:cs="宋体"/>
          <w:bCs/>
          <w:color w:val="000000"/>
          <w:sz w:val="24"/>
        </w:rPr>
        <w:t xml:space="preserve">评标委员会将按照招标文件规定，仅与资质符合评审标准的响应供应商进行评审。本次招标采用综合评分法，按各评审项进行评价和比较。评标委员会成员打分时分值保留两位小数。</w:t>
      </w:r>
      <w:r/>
    </w:p>
    <w:tbl>
      <w:tblPr>
        <w:tblStyle w:val="6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1201"/>
        <w:gridCol w:w="826"/>
        <w:gridCol w:w="5151"/>
      </w:tblGrid>
      <w:tr>
        <w:trPr>
          <w:trHeight w:val="360"/>
        </w:trPr>
        <w:tc>
          <w:tcPr>
            <w:gridSpan w:val="2"/>
            <w:tcW w:w="1396" w:type="pct"/>
            <w:textDirection w:val="lrTb"/>
            <w:noWrap w:val="false"/>
          </w:tcPr>
          <w:p>
            <w:pPr>
              <w:rPr>
                <w:rFonts w:ascii="Times New Roman" w:hAnsi="Times New Roman" w:eastAsia="宋体" w:cs="Times New Roman"/>
                <w:szCs w:val="20"/>
              </w:rPr>
            </w:pPr>
            <w:r>
              <w:rPr>
                <w:rFonts w:hint="eastAsia" w:ascii="宋体" w:hAnsi="宋体" w:eastAsia="宋体" w:cs="Times New Roman"/>
                <w:color w:val="000000"/>
                <w:sz w:val="24"/>
                <w:szCs w:val="20"/>
              </w:rPr>
              <w:t xml:space="preserve">评分内容</w:t>
            </w:r>
            <w:r/>
          </w:p>
        </w:tc>
        <w:tc>
          <w:tcPr>
            <w:tcW w:w="498" w:type="pct"/>
            <w:textDirection w:val="lrTb"/>
            <w:noWrap w:val="false"/>
          </w:tcPr>
          <w:p>
            <w:pPr>
              <w:jc w:val="center"/>
              <w:rPr>
                <w:rFonts w:ascii="Times New Roman" w:hAnsi="Times New Roman" w:eastAsia="宋体" w:cs="Times New Roman"/>
                <w:szCs w:val="20"/>
              </w:rPr>
            </w:pPr>
            <w:r>
              <w:rPr>
                <w:rFonts w:hint="eastAsia" w:ascii="宋体" w:hAnsi="宋体" w:eastAsia="宋体" w:cs="Times New Roman"/>
                <w:color w:val="000000"/>
                <w:sz w:val="24"/>
                <w:szCs w:val="20"/>
              </w:rPr>
              <w:t xml:space="preserve">分值</w:t>
            </w:r>
            <w:r/>
          </w:p>
        </w:tc>
        <w:tc>
          <w:tcPr>
            <w:tcW w:w="3105" w:type="pct"/>
            <w:textDirection w:val="lrTb"/>
            <w:noWrap w:val="false"/>
          </w:tcPr>
          <w:p>
            <w:pPr>
              <w:rPr>
                <w:rFonts w:ascii="Times New Roman" w:hAnsi="Times New Roman" w:eastAsia="宋体" w:cs="Times New Roman"/>
                <w:szCs w:val="20"/>
              </w:rPr>
            </w:pPr>
            <w:r>
              <w:rPr>
                <w:rFonts w:hint="eastAsia" w:ascii="宋体" w:hAnsi="宋体" w:eastAsia="宋体" w:cs="Times New Roman"/>
                <w:color w:val="000000"/>
                <w:sz w:val="24"/>
                <w:szCs w:val="20"/>
              </w:rPr>
              <w:t xml:space="preserve">评标细则</w:t>
            </w:r>
            <w:r/>
          </w:p>
        </w:tc>
      </w:tr>
      <w:tr>
        <w:trPr>
          <w:trHeight w:val="350"/>
        </w:trPr>
        <w:tc>
          <w:tcPr>
            <w:tcW w:w="672" w:type="pct"/>
            <w:vMerge w:val="restar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技术部分（51分）</w:t>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br/>
            </w:r>
            <w:r>
              <w:rPr>
                <w:rFonts w:ascii="宋体" w:hAnsi="宋体" w:eastAsia="宋体" w:cs="Times New Roman"/>
                <w:color w:val="000000"/>
                <w:sz w:val="24"/>
                <w:szCs w:val="21"/>
              </w:rPr>
              <w:br/>
            </w:r>
            <w:r>
              <w:rPr>
                <w:rFonts w:ascii="宋体" w:hAnsi="宋体" w:eastAsia="宋体" w:cs="Times New Roman"/>
                <w:color w:val="000000"/>
                <w:sz w:val="24"/>
                <w:szCs w:val="21"/>
              </w:rPr>
              <w:br/>
            </w:r>
            <w:r>
              <w:rPr>
                <w:rFonts w:ascii="宋体" w:hAnsi="宋体" w:eastAsia="宋体" w:cs="Times New Roman"/>
                <w:color w:val="000000"/>
                <w:sz w:val="24"/>
                <w:szCs w:val="21"/>
              </w:rPr>
              <w:br/>
            </w:r>
            <w:r>
              <w:rPr>
                <w:rFonts w:ascii="宋体" w:hAnsi="宋体" w:eastAsia="宋体" w:cs="Times New Roman"/>
                <w:color w:val="000000"/>
                <w:sz w:val="24"/>
                <w:szCs w:val="21"/>
              </w:rPr>
              <w:t xml:space="preserve">项目运行现状分析方案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8</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需含针对本项目的项目概况描述、运维中的重难点分析及解决方案、机械设备工况等。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结构清晰、表述准确、主题明确、针对性强，针对本项目实际情况了解详细、前期调研深入细致、对项目理解深入、对本项目的废水来源、水质、水量有详尽的描述，</w:t>
            </w:r>
            <w:r>
              <w:rPr>
                <w:rFonts w:hint="eastAsia" w:ascii="宋体" w:hAnsi="宋体" w:eastAsia="宋体" w:cs="Times New Roman"/>
                <w:color w:val="000000"/>
                <w:sz w:val="24"/>
                <w:szCs w:val="21"/>
              </w:rPr>
              <w:t xml:space="preserve">得8</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针对本项目实际情况了解不详细、前期调研不深入细致、对项目理解不深入、对本项目的废水来源、水质、水量没有详尽的描述，得</w:t>
            </w:r>
            <w:r>
              <w:rPr>
                <w:rFonts w:hint="eastAsia" w:ascii="宋体" w:hAnsi="宋体" w:eastAsia="宋体" w:cs="Times New Roman"/>
                <w:color w:val="000000"/>
                <w:sz w:val="24"/>
                <w:szCs w:val="21"/>
              </w:rPr>
              <w:t xml:space="preserve">7</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非专门针对本项目或存在漏洞或前后表述矛盾的，得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880"/>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br/>
            </w:r>
            <w:r>
              <w:rPr>
                <w:rFonts w:ascii="宋体" w:hAnsi="宋体" w:eastAsia="宋体" w:cs="Times New Roman"/>
                <w:color w:val="000000"/>
                <w:sz w:val="24"/>
                <w:szCs w:val="21"/>
              </w:rPr>
              <w:t xml:space="preserve">运营管理方案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8</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需含</w:t>
            </w:r>
            <w:r>
              <w:rPr>
                <w:rFonts w:ascii="宋体" w:hAnsi="宋体" w:eastAsia="宋体" w:cs="Times New Roman"/>
                <w:color w:val="000000"/>
                <w:sz w:val="24"/>
                <w:szCs w:val="21"/>
              </w:rPr>
              <w:t xml:space="preserve">针对本项目的</w:t>
            </w:r>
            <w:r>
              <w:rPr>
                <w:rFonts w:hint="eastAsia" w:ascii="宋体" w:hAnsi="宋体" w:eastAsia="宋体" w:cs="Times New Roman"/>
                <w:color w:val="000000"/>
                <w:sz w:val="24"/>
                <w:szCs w:val="21"/>
              </w:rPr>
              <w:t xml:space="preserve">运营组织机构、日常运行管理方案、</w:t>
            </w:r>
            <w:r>
              <w:rPr>
                <w:rFonts w:ascii="宋体" w:hAnsi="宋体" w:eastAsia="宋体" w:cs="Times New Roman"/>
                <w:color w:val="000000"/>
                <w:sz w:val="24"/>
                <w:szCs w:val="21"/>
              </w:rPr>
              <w:t xml:space="preserve">备品备件库存管理方案</w:t>
            </w:r>
            <w:r>
              <w:rPr>
                <w:rFonts w:hint="eastAsia" w:ascii="宋体" w:hAnsi="宋体" w:eastAsia="宋体" w:cs="Times New Roman"/>
                <w:color w:val="000000"/>
                <w:sz w:val="24"/>
                <w:szCs w:val="21"/>
              </w:rPr>
              <w:t xml:space="preserve">、水质检测方案、安全保障措施等。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结构清晰、表述准确、主题明确、针对性强，能实现项目目标</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得</w:t>
            </w:r>
            <w:r>
              <w:rPr>
                <w:rFonts w:hint="eastAsia" w:ascii="宋体" w:hAnsi="宋体" w:eastAsia="宋体" w:cs="Times New Roman"/>
                <w:color w:val="000000"/>
                <w:sz w:val="24"/>
                <w:szCs w:val="21"/>
              </w:rPr>
              <w:t xml:space="preserve">8</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非专门针对本项目或存在漏洞或前后表述矛盾的得</w:t>
            </w:r>
            <w:r>
              <w:rPr>
                <w:rFonts w:hint="eastAsia" w:ascii="宋体" w:hAnsi="宋体" w:eastAsia="宋体" w:cs="Times New Roman"/>
                <w:color w:val="000000"/>
                <w:sz w:val="24"/>
                <w:szCs w:val="21"/>
              </w:rPr>
              <w:t xml:space="preserve">7</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不利于本项目目标的实现或现有技术条件下不可能出现的得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br/>
            </w:r>
            <w:r>
              <w:rPr>
                <w:rFonts w:ascii="宋体" w:hAnsi="宋体" w:eastAsia="宋体" w:cs="Times New Roman"/>
                <w:color w:val="000000"/>
                <w:sz w:val="24"/>
                <w:szCs w:val="21"/>
              </w:rPr>
              <w:t xml:space="preserve">操作规程</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需含安全操作规程、电控系统操作规程、主要设备操作规程、运行设备事故处理等。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操作规程内容齐全、结构清晰、表述准确、主题明确、针对性强，能实现项目目标的得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操作规程内容较齐全、结构较清晰、表述较准确、主题较明确、针对性较强的，非专门针对本项目或存在漏洞或前后表述矛盾的得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操作规程内容基本齐全、结构基本清晰、表述基本准确、主题基本明确、针对性不强，不利于本项目目标的实现或现有技术条件下不可能出现的得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1408"/>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管理制度</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6</w:t>
            </w:r>
            <w:r/>
          </w:p>
        </w:tc>
        <w:tc>
          <w:tcPr>
            <w:tcW w:w="3105" w:type="pct"/>
            <w:vAlign w:val="center"/>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需含有设备场地管理、卫生制度管理、设备维护管理、工作职责、交接班管理、设备保养等。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制度内容齐全、结构清晰、表述准确、主题明确、针对性强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制度内容较齐全、结构较清晰、表述较准确、主题较明确、针对性较强的，非专门针对本项目或存在漏洞或前后表述矛盾的得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制度内容基本齐全、结构基本清晰、表述基本准确、主题基本明确、针对性不强，不利于本项目目标的实现或现有技术条件下不可能出现的得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tc>
      </w:tr>
      <w:tr>
        <w:trPr>
          <w:trHeight w:val="5855"/>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检修维护方案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含设备更新、是否满足运营需要等。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检修维护方案内容齐全、结构清晰、表述准确、主题明确、针对性强，能满足运营需要的得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检修维护方案内容较齐全、结构较清晰、表述较准确、主题较明确、针对性较强的，非专门针对本项目或存在漏洞或前后表述矛盾但能基本满足运营需要的得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检修维护方案内容基本齐全、结构基本清晰、表述基本准确、主题基本明确、针对性不强，不能满足运营需要的得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应急方案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应对季节和污染物浓度变化的处理、工艺设计针对水质变化及季节特点有解决方案、保障出水水质质量及冬季运行稳定、紧急情况处理、抵抗风险等。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方案内容齐全、结构清晰、表述准确、主题明确、针对性强，能实现项目目标的得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方案内容较齐全、结构较清晰、表述较准确、主题较明确、针对性较强的，非专门针对本项目或存在漏洞或前后表述矛盾的得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方案内容基本齐全、结构基本清晰、表述基本准确、主题基本明确、针对性不强，不利于本项目目标的实现或现有技术条件下不可能出现的得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台账管理方案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需含</w:t>
            </w:r>
            <w:r>
              <w:rPr>
                <w:rFonts w:ascii="宋体" w:hAnsi="宋体" w:eastAsia="宋体" w:cs="Times New Roman"/>
                <w:color w:val="000000"/>
                <w:sz w:val="24"/>
                <w:szCs w:val="21"/>
              </w:rPr>
              <w:t xml:space="preserve">台账</w:t>
            </w:r>
            <w:r>
              <w:rPr>
                <w:rFonts w:hint="eastAsia" w:ascii="宋体" w:hAnsi="宋体" w:eastAsia="宋体" w:cs="Times New Roman"/>
                <w:color w:val="000000"/>
                <w:sz w:val="24"/>
                <w:szCs w:val="21"/>
              </w:rPr>
              <w:t xml:space="preserve">基本格式要求、具体台账管理制度等。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方案内容齐全、结构清晰、表述准确、主题明确、针对性强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3672"/>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移交方案</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 </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 </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5</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需含移交计划、移交范围、移交注意事项、售后服务等。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方案内容齐全、结构清晰、表述准确、主题明确、针对性强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能实现项目目标的得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3</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不提供不得分。</w:t>
            </w:r>
            <w:r/>
          </w:p>
        </w:tc>
      </w:tr>
      <w:tr>
        <w:trPr/>
        <w:tc>
          <w:tcPr>
            <w:tcW w:w="672" w:type="pct"/>
            <w:vMerge w:val="restar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商务部分（34分）</w:t>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人员配置</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240"/>
              <w:spacing w:line="450" w:lineRule="exact"/>
              <w:rPr>
                <w:rFonts w:hint="default"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16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供应商拟派运维服务项目负责人，具有环保类中级职称的得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分；具有环保类高级职称或者注册环保类证书的得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供应商拟派运维服务技术负责人，具有环保类中级职称的得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分，具有环保类高级职称的得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供应商拟派运维服务团队人员，、机电类、安全类、污废水处理类</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水质</w:t>
            </w:r>
            <w:r>
              <w:rPr>
                <w:rFonts w:ascii="宋体" w:hAnsi="宋体" w:eastAsia="宋体" w:cs="Times New Roman"/>
                <w:color w:val="000000"/>
                <w:sz w:val="24"/>
                <w:szCs w:val="21"/>
              </w:rPr>
              <w:t xml:space="preserve">监测</w:t>
            </w:r>
            <w:r>
              <w:rPr>
                <w:rFonts w:hint="eastAsia" w:ascii="宋体" w:hAnsi="宋体" w:eastAsia="宋体" w:cs="Times New Roman"/>
                <w:color w:val="000000"/>
                <w:sz w:val="24"/>
                <w:szCs w:val="21"/>
                <w:lang w:val="en-US" w:eastAsia="zh-CN"/>
              </w:rPr>
              <w:t xml:space="preserve">类专业</w:t>
            </w:r>
            <w:r>
              <w:rPr>
                <w:rFonts w:ascii="宋体" w:hAnsi="宋体" w:eastAsia="宋体" w:cs="Times New Roman"/>
                <w:color w:val="000000"/>
                <w:sz w:val="24"/>
                <w:szCs w:val="21"/>
              </w:rPr>
              <w:t xml:space="preserve">人员，每提供1类专业人员得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分，最多得</w:t>
            </w:r>
            <w:r>
              <w:rPr>
                <w:rFonts w:hint="eastAsia" w:ascii="宋体" w:hAnsi="宋体" w:eastAsia="宋体" w:cs="Times New Roman"/>
                <w:color w:val="000000"/>
                <w:sz w:val="24"/>
                <w:szCs w:val="21"/>
                <w:lang w:val="en-US" w:eastAsia="zh-CN"/>
              </w:rPr>
              <w:t xml:space="preserve">8</w:t>
            </w:r>
            <w:r>
              <w:rPr>
                <w:rFonts w:ascii="宋体" w:hAnsi="宋体" w:eastAsia="宋体" w:cs="Times New Roman"/>
                <w:color w:val="000000"/>
                <w:sz w:val="24"/>
                <w:szCs w:val="21"/>
              </w:rPr>
              <w:t xml:space="preserve">分（专业不重复计分）。 </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评审依据：以上1-</w:t>
            </w:r>
            <w:r>
              <w:rPr>
                <w:rFonts w:hint="eastAsia" w:ascii="宋体" w:hAnsi="宋体" w:eastAsia="宋体" w:cs="Times New Roman"/>
                <w:color w:val="000000"/>
                <w:sz w:val="24"/>
                <w:szCs w:val="21"/>
                <w:lang w:val="en-US" w:eastAsia="zh-CN"/>
              </w:rPr>
              <w:t xml:space="preserve">3</w:t>
            </w:r>
            <w:r>
              <w:rPr>
                <w:rFonts w:ascii="宋体" w:hAnsi="宋体" w:eastAsia="宋体" w:cs="Times New Roman"/>
                <w:color w:val="000000"/>
                <w:sz w:val="24"/>
                <w:szCs w:val="21"/>
              </w:rPr>
              <w:t xml:space="preserve">项提供人员相关职称</w:t>
            </w:r>
            <w:r>
              <w:rPr>
                <w:rFonts w:hint="eastAsia" w:ascii="宋体" w:hAnsi="宋体" w:eastAsia="宋体" w:cs="Times New Roman"/>
                <w:color w:val="000000"/>
                <w:sz w:val="24"/>
                <w:szCs w:val="21"/>
                <w:lang w:val="en-US" w:eastAsia="zh-CN"/>
              </w:rPr>
              <w:t xml:space="preserve">或</w:t>
            </w:r>
            <w:r>
              <w:rPr>
                <w:rFonts w:ascii="宋体" w:hAnsi="宋体" w:eastAsia="宋体" w:cs="Times New Roman"/>
                <w:color w:val="000000"/>
                <w:sz w:val="24"/>
                <w:szCs w:val="21"/>
              </w:rPr>
              <w:t xml:space="preserve">证书，并提供团队成员由供应商缴纳的近3个月以来任意一个月社保证明材料扫描件加盖供应商公章。</w:t>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企业实力</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9</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投标单位具有有效期内的ISO9001质量管理体系认证证书、ISO14001环境管理体系认证证书、ISO45001职业健康安全管理体系认证证书的，提供证书原件彩色扫描件及加盖投标人公章的中国认监委网站（http://www.cnca.gov.cn/）查询截图扫描件”，不提供或提供不全不得分。有一个得</w:t>
            </w:r>
            <w:r>
              <w:rPr>
                <w:rFonts w:hint="eastAsia" w:ascii="宋体" w:hAnsi="宋体" w:eastAsia="宋体" w:cs="Times New Roman"/>
                <w:color w:val="000000"/>
                <w:sz w:val="24"/>
                <w:szCs w:val="21"/>
              </w:rPr>
              <w:t xml:space="preserve">1</w:t>
            </w:r>
            <w:r>
              <w:rPr>
                <w:rFonts w:ascii="宋体" w:hAnsi="宋体" w:eastAsia="宋体" w:cs="Times New Roman"/>
                <w:color w:val="000000"/>
                <w:sz w:val="24"/>
                <w:szCs w:val="21"/>
              </w:rPr>
              <w:t xml:space="preserve">分，本项最高得</w:t>
            </w:r>
            <w:r>
              <w:rPr>
                <w:rFonts w:hint="eastAsia" w:ascii="宋体" w:hAnsi="宋体" w:eastAsia="宋体" w:cs="Times New Roman"/>
                <w:color w:val="000000"/>
                <w:sz w:val="24"/>
                <w:szCs w:val="21"/>
              </w:rPr>
              <w:t xml:space="preserve">3</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投标单位具有国家知识产权局颁发的污水处理相关的专利证书的，每提供1个得</w:t>
            </w:r>
            <w:r>
              <w:rPr>
                <w:rFonts w:hint="eastAsia" w:ascii="宋体" w:hAnsi="宋体" w:eastAsia="宋体" w:cs="Times New Roman"/>
                <w:color w:val="000000"/>
                <w:sz w:val="24"/>
                <w:szCs w:val="21"/>
                <w:lang w:val="en-US" w:eastAsia="zh-CN"/>
              </w:rPr>
              <w:t xml:space="preserve">3</w:t>
            </w:r>
            <w:r>
              <w:rPr>
                <w:rFonts w:ascii="宋体" w:hAnsi="宋体" w:eastAsia="宋体" w:cs="Times New Roman"/>
                <w:color w:val="000000"/>
                <w:sz w:val="24"/>
                <w:szCs w:val="21"/>
              </w:rPr>
              <w:t xml:space="preserve">分，本项最高得</w:t>
            </w:r>
            <w:r>
              <w:rPr>
                <w:rFonts w:hint="eastAsia" w:ascii="宋体" w:hAnsi="宋体" w:eastAsia="宋体" w:cs="Times New Roman"/>
                <w:color w:val="000000"/>
                <w:sz w:val="24"/>
                <w:szCs w:val="21"/>
                <w:lang w:val="en-US" w:eastAsia="zh-CN"/>
              </w:rPr>
              <w:t xml:space="preserve">6</w:t>
            </w:r>
            <w:r>
              <w:rPr>
                <w:rFonts w:ascii="宋体" w:hAnsi="宋体" w:eastAsia="宋体" w:cs="Times New Roman"/>
                <w:color w:val="000000"/>
                <w:sz w:val="24"/>
                <w:szCs w:val="21"/>
              </w:rPr>
              <w:t xml:space="preserve">分。提供证书原件彩色扫描件。</w:t>
            </w:r>
            <w:r/>
          </w:p>
        </w:tc>
      </w:tr>
      <w:tr>
        <w:trPr>
          <w:trHeight w:val="2271"/>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textDirection w:val="lrTb"/>
            <w:noWrap w:val="false"/>
          </w:tcPr>
          <w:p>
            <w:pPr>
              <w:ind w:left="239"/>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业绩</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9</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根据投标人2023年1月1日以来（3年内）参与同类垃圾填埋场渗滤液运维处理项目业绩，每个业绩得3分。最多得9分(需同时提供中标通知书、合同证明文件原件彩色扫描件，不提供不得分)。</w:t>
            </w:r>
            <w:r/>
          </w:p>
        </w:tc>
      </w:tr>
      <w:tr>
        <w:trPr/>
        <w:tc>
          <w:tcPr>
            <w:gridSpan w:val="2"/>
            <w:tcW w:w="1396" w:type="pct"/>
            <w:textDirection w:val="lrTb"/>
            <w:noWrap w:val="false"/>
          </w:tcPr>
          <w:p>
            <w:pPr>
              <w:numPr>
                <w:ilvl w:val="0"/>
                <w:numId w:val="0"/>
              </w:num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numPr>
                <w:ilvl w:val="0"/>
                <w:numId w:val="0"/>
              </w:num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numPr>
                <w:ilvl w:val="0"/>
                <w:numId w:val="0"/>
              </w:num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价格部分(15分)</w:t>
            </w:r>
            <w:r/>
          </w:p>
        </w:tc>
        <w:tc>
          <w:tcPr>
            <w:tcW w:w="498" w:type="pct"/>
            <w:textDirection w:val="lrTb"/>
            <w:noWrap w:val="false"/>
          </w:tcPr>
          <w:p>
            <w:pPr>
              <w:numPr>
                <w:ilvl w:val="0"/>
                <w:numId w:val="0"/>
              </w:num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numPr>
                <w:ilvl w:val="0"/>
                <w:numId w:val="0"/>
              </w:numPr>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3105" w:type="pct"/>
            <w:textDirection w:val="lrTb"/>
            <w:noWrap w:val="false"/>
          </w:tcPr>
          <w:p>
            <w:pPr>
              <w:numPr>
                <w:ilvl w:val="0"/>
                <w:numId w:val="0"/>
              </w:num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本项目采用低价优先法计算，即满足招标文件要求且投标价格最低的投标报价为评标基准价，其价格分为满分：</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其他投标人的价格分统一按照下列公式计算：投标报价得分=(评标基准价／投标报价)×</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×100%（按四舍五入取至小数点后两位）。 </w:t>
            </w:r>
            <w:r/>
          </w:p>
        </w:tc>
      </w:tr>
    </w:tbl>
    <w:p>
      <w:r/>
      <w:r/>
    </w:p>
    <w:p>
      <w:pPr>
        <w:pStyle w:val="641"/>
        <w:ind w:firstLine="480"/>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2、评审时打分保留小数点后两位数，评分分值计算保留小数点后两位，小数点后第三位“四舍五入”，取所有评委评分的平均值作为投标人得分。</w:t>
      </w:r>
      <w:r/>
    </w:p>
    <w:p>
      <w:pPr>
        <w:pStyle w:val="641"/>
        <w:ind w:firstLine="480"/>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3、评价因素及分值</w:t>
      </w:r>
      <w:r/>
    </w:p>
    <w:p>
      <w:pPr>
        <w:pStyle w:val="641"/>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说明：1、针对评分标准中评分的每一条，供应商均应提供相关资料并作出相应说明供评委评审，不提供相关资料的视为不具备该项得分的条件。所有材料扫描件必须清晰、完整、有效，如未按要求提供，评委有权作出不利于供应商的认定。缺失、不符或不提供者，对应项不得分。</w:t>
      </w:r>
      <w:r/>
    </w:p>
    <w:p>
      <w:pPr>
        <w:pStyle w:val="641"/>
        <w:ind w:firstLine="480"/>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2、投标报价超过本项目最高限价的为无效响应。</w:t>
      </w:r>
      <w:r/>
    </w:p>
    <w:p>
      <w:pPr>
        <w:pStyle w:val="641"/>
        <w:jc w:val="both"/>
        <w:spacing w:beforeAutospacing="0" w:afterAutospacing="0" w:line="0" w:lineRule="atLeast"/>
        <w:widowControl/>
        <w:rPr>
          <w:rFonts w:ascii="宋体" w:hAnsi="宋体" w:eastAsia="宋体" w:cs="宋体"/>
        </w:rPr>
      </w:pPr>
      <w:r>
        <w:rPr>
          <w:rFonts w:hint="eastAsia" w:ascii="宋体" w:hAnsi="宋体" w:eastAsia="宋体"/>
          <w:color w:val="000000"/>
          <w:szCs w:val="21"/>
        </w:rPr>
        <w:t xml:space="preserve">3、各供应商提供的所有材料须真实有效。若提供虚假材料谋取中标资格，一经查实作无效投标处理，并向相关主管部门汇报，追究责任做相关处罚。</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rPr>
          <w:rFonts w:ascii="黑体" w:hAnsi="宋体" w:eastAsia="黑体" w:cs="黑体"/>
          <w:color w:val="000000"/>
          <w:sz w:val="44"/>
          <w:szCs w:val="44"/>
        </w:rPr>
      </w:pPr>
      <w:r>
        <w:t xml:space="preserve"> </w:t>
      </w:r>
      <w:r/>
    </w:p>
    <w:p>
      <w:pPr>
        <w:pStyle w:val="641"/>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641"/>
        <w:jc w:val="center"/>
        <w:spacing w:beforeAutospacing="0" w:afterAutospacing="0"/>
      </w:pPr>
      <w:r/>
      <w:bookmarkStart w:id="186" w:name="_Hlt26671244"/>
      <w:r/>
      <w:bookmarkEnd w:id="186"/>
      <w:r/>
      <w:bookmarkStart w:id="187" w:name="_Toc26554094"/>
      <w:r/>
      <w:bookmarkEnd w:id="187"/>
      <w:r/>
      <w:bookmarkStart w:id="188" w:name="_Hlt26955039"/>
      <w:r/>
      <w:bookmarkEnd w:id="188"/>
      <w:r/>
      <w:bookmarkStart w:id="189" w:name="_Toc49090576"/>
      <w:r/>
      <w:bookmarkStart w:id="190" w:name="_Toc120614282"/>
      <w:r>
        <w:rPr>
          <w:rFonts w:hint="eastAsia" w:ascii="宋体" w:hAnsi="宋体" w:eastAsia="宋体" w:cs="宋体"/>
          <w:b/>
          <w:color w:val="000000"/>
          <w:sz w:val="72"/>
          <w:szCs w:val="72"/>
        </w:rPr>
        <w:t xml:space="preserve">投  标  文  件</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41"/>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41"/>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41"/>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41"/>
        <w:jc w:val="center"/>
        <w:spacing w:beforeAutospacing="0" w:afterAutospacing="0" w:line="0" w:lineRule="atLeast"/>
      </w:pPr>
      <w:r>
        <w:t xml:space="preserve"> </w:t>
      </w:r>
      <w:r/>
    </w:p>
    <w:p>
      <w:pPr>
        <w:pStyle w:val="641"/>
        <w:jc w:val="both"/>
        <w:spacing w:beforeAutospacing="0" w:afterAutospacing="0" w:line="0" w:lineRule="atLeast"/>
      </w:pPr>
      <w:r>
        <w:t xml:space="preserve"> </w:t>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rPr>
          <w:rFonts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4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41"/>
        <w:jc w:val="center"/>
        <w:spacing w:beforeAutospacing="0" w:afterAutospacing="0" w:line="0" w:lineRule="atLeast"/>
      </w:pPr>
      <w:r>
        <w:t xml:space="preserve"> </w:t>
      </w:r>
      <w:r/>
    </w:p>
    <w:p>
      <w:pPr>
        <w:pStyle w:val="64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4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64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4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四、依法缴纳税收和社会保障资金的相关材料（提供提交投标文件截止时间半年内至少一个月依法缴纳税收及缴纳社会保障资金的证明材料。投标人依法享受缓缴、免缴税收、社会保障资金的提供证明材料）</w:t>
      </w:r>
      <w:r/>
    </w:p>
    <w:p>
      <w:pPr>
        <w:pStyle w:val="64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64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64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七、法人授权书</w:t>
      </w:r>
      <w:r/>
    </w:p>
    <w:p>
      <w:pPr>
        <w:pStyle w:val="64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八、投标函</w:t>
      </w:r>
      <w:r/>
    </w:p>
    <w:p>
      <w:pPr>
        <w:pStyle w:val="64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4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41"/>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十一、 </w:t>
      </w:r>
      <w:r>
        <w:rPr>
          <w:rFonts w:hint="eastAsia" w:ascii="宋体" w:hAnsi="宋体" w:eastAsia="宋体" w:cs="宋体"/>
          <w:iCs/>
          <w:color w:val="000000"/>
        </w:rPr>
        <w:t xml:space="preserve">投标分项报价表</w:t>
      </w:r>
      <w:r/>
    </w:p>
    <w:p>
      <w:pPr>
        <w:pStyle w:val="64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十二、技术要求响应及偏离表</w:t>
      </w:r>
      <w:r/>
    </w:p>
    <w:p>
      <w:pPr>
        <w:pStyle w:val="64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十三、商务要求响应及偏离表</w:t>
      </w:r>
      <w:r/>
    </w:p>
    <w:p>
      <w:pPr>
        <w:pStyle w:val="641"/>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十四、开标一览表</w:t>
      </w:r>
      <w:r/>
    </w:p>
    <w:p>
      <w:pPr>
        <w:pStyle w:val="641"/>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十五、技术方案、服务承诺、培训承诺等</w:t>
      </w:r>
      <w:r/>
    </w:p>
    <w:p>
      <w:pPr>
        <w:ind w:firstLine="480"/>
        <w:spacing w:before="50" w:after="50"/>
        <w:widowControl/>
        <w:rPr>
          <w:rFonts w:ascii="宋体" w:hAnsi="宋体" w:eastAsia="宋体" w:cs="宋体"/>
          <w:color w:val="000000"/>
        </w:rPr>
      </w:pPr>
      <w:r>
        <w:rPr>
          <w:rFonts w:hint="eastAsia" w:ascii="宋体" w:hAnsi="宋体" w:eastAsia="宋体" w:cs="宋体"/>
          <w:iCs/>
          <w:color w:val="000000"/>
          <w:sz w:val="24"/>
        </w:rPr>
        <w:t xml:space="preserve">十六、</w:t>
      </w:r>
      <w:r>
        <w:rPr>
          <w:rFonts w:hint="eastAsia" w:ascii="宋体" w:hAnsi="宋体" w:eastAsia="宋体" w:cs="宋体"/>
          <w:iCs/>
          <w:color w:val="000000"/>
        </w:rPr>
        <w:t xml:space="preserve">盐城市政府采购事前信用承诺书</w:t>
      </w:r>
      <w:r/>
    </w:p>
    <w:p>
      <w:pPr>
        <w:pStyle w:val="641"/>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pPr>
      <w:r>
        <w:t xml:space="preserve"> </w:t>
      </w:r>
      <w:r/>
    </w:p>
    <w:p>
      <w:pPr>
        <w:pStyle w:val="641"/>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41"/>
        <w:ind w:firstLine="480"/>
        <w:jc w:val="both"/>
        <w:spacing w:beforeAutospacing="0" w:afterAutospacing="0" w:line="0" w:lineRule="atLeast"/>
      </w:pPr>
      <w:r>
        <w:t xml:space="preserve"> </w:t>
      </w:r>
      <w:r/>
    </w:p>
    <w:p>
      <w:pPr>
        <w:pStyle w:val="641"/>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41"/>
        <w:ind w:firstLine="480"/>
        <w:jc w:val="both"/>
        <w:spacing w:beforeAutospacing="0" w:afterAutospacing="0" w:line="0" w:lineRule="atLeast"/>
      </w:pPr>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41"/>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41"/>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41"/>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41"/>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41"/>
        <w:ind w:firstLine="480"/>
        <w:jc w:val="both"/>
        <w:spacing w:beforeAutospacing="0" w:afterAutospacing="0"/>
      </w:pPr>
      <w:r/>
      <w:bookmarkStart w:id="191"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641"/>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41"/>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41"/>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41"/>
        <w:jc w:val="both"/>
        <w:spacing w:beforeAutospacing="0" w:afterAutospacing="0"/>
      </w:pPr>
      <w:r>
        <w:t xml:space="preserve"> </w:t>
      </w:r>
      <w:r/>
    </w:p>
    <w:p>
      <w:pPr>
        <w:pStyle w:val="641"/>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41"/>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641"/>
        <w:jc w:val="both"/>
        <w:spacing w:beforeAutospacing="0" w:afterAutospacing="0" w:line="0" w:lineRule="atLeast"/>
      </w:pPr>
      <w:r>
        <w:t xml:space="preserve"> </w:t>
      </w:r>
      <w:r/>
    </w:p>
    <w:p>
      <w:pPr>
        <w:pStyle w:val="641"/>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41"/>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br/>
      </w:r>
      <w:r>
        <w:rPr>
          <w:rFonts w:ascii="黑体" w:hAnsi="宋体" w:eastAsia="黑体" w:cs="黑体"/>
          <w:i/>
          <w:color w:val="000000"/>
          <w:sz w:val="32"/>
          <w:szCs w:val="32"/>
          <w:u w:val="single"/>
        </w:rPr>
        <w:br/>
      </w:r>
      <w:r/>
    </w:p>
    <w:p>
      <w:pPr>
        <w:pStyle w:val="641"/>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41"/>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41"/>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41"/>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641"/>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41"/>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41"/>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41"/>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641"/>
        <w:ind w:firstLine="480"/>
        <w:jc w:val="both"/>
        <w:spacing w:beforeAutospacing="0" w:afterAutospacing="0"/>
        <w:tabs>
          <w:tab w:val="left" w:pos="360" w:leader="none"/>
        </w:tabs>
      </w:pPr>
      <w:r>
        <w:rPr>
          <w:rFonts w:ascii="Times New Roman" w:hAnsi="Times New Roman"/>
          <w:color w:val="000000"/>
        </w:rPr>
        <w:t xml:space="preserve">      日期：</w:t>
      </w:r>
      <w:bookmarkStart w:id="192" w:name="_Hlt26671380"/>
      <w:r/>
      <w:bookmarkStart w:id="193" w:name="_格式3__银行出具的资信证明"/>
      <w:r/>
      <w:bookmarkStart w:id="194" w:name="_Hlt26955070"/>
      <w:r>
        <w:rPr>
          <w:rFonts w:ascii="Times New Roman" w:hAnsi="Times New Roman"/>
          <w:color w:val="000000"/>
          <w:u w:val="single"/>
        </w:rPr>
        <w:t xml:space="preserve">                                         </w:t>
      </w:r>
      <w:r/>
    </w:p>
    <w:p>
      <w:pPr>
        <w:pStyle w:val="641"/>
        <w:ind w:firstLine="420"/>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line="0" w:lineRule="atLeast"/>
      </w:pPr>
      <w:r>
        <w:t xml:space="preserve"> </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 我公司（单位）委托进行现场演示的人员为（本项目如果无现场演示要求，请项目经办人自行删除该备注）</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（人员姓名），身份证号          。</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641"/>
        <w:jc w:val="both"/>
        <w:spacing w:beforeAutospacing="0" w:afterAutospacing="0" w:line="0" w:lineRule="atLeast"/>
      </w:pPr>
      <w:r>
        <w:t xml:space="preserve"> </w:t>
      </w:r>
      <w:r/>
    </w:p>
    <w:p>
      <w:pPr>
        <w:pStyle w:val="641"/>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641"/>
        <w:spacing w:beforeAutospacing="0" w:afterAutospacing="0" w:line="0" w:lineRule="atLeast"/>
        <w:rPr>
          <w:rFonts w:eastAsia="宋体"/>
        </w:rPr>
      </w:pPr>
      <w:r>
        <w:rPr>
          <w:rFonts w:hint="eastAsia" w:ascii="宋体" w:hAnsi="宋体" w:eastAsia="宋体" w:cs="宋体"/>
          <w:color w:val="000000"/>
        </w:rPr>
        <w:t xml:space="preserve">致：响水县环境卫生管理所</w:t>
      </w:r>
      <w:r/>
    </w:p>
    <w:p>
      <w:pPr>
        <w:pStyle w:val="641"/>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641"/>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641"/>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641"/>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641"/>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41"/>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41"/>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41"/>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41"/>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641"/>
        <w:ind w:left="420" w:firstLine="480"/>
        <w:spacing w:beforeAutospacing="0" w:afterAutospacing="0" w:line="0" w:lineRule="atLeast"/>
      </w:pPr>
      <w:r>
        <w:rPr>
          <w:rFonts w:hint="eastAsia" w:ascii="宋体" w:hAnsi="宋体" w:eastAsia="宋体" w:cs="宋体"/>
          <w:color w:val="000000"/>
        </w:rPr>
        <w:t xml:space="preserve">地          址：</w:t>
      </w:r>
      <w:r/>
    </w:p>
    <w:p>
      <w:pPr>
        <w:pStyle w:val="641"/>
        <w:ind w:left="420" w:firstLine="480"/>
        <w:spacing w:beforeAutospacing="0" w:afterAutospacing="0" w:line="0" w:lineRule="atLeast"/>
      </w:pPr>
      <w:r>
        <w:rPr>
          <w:rFonts w:hint="eastAsia" w:ascii="宋体" w:hAnsi="宋体" w:eastAsia="宋体" w:cs="宋体"/>
          <w:color w:val="000000"/>
        </w:rPr>
        <w:t xml:space="preserve">邮          编：</w:t>
      </w:r>
      <w:r/>
    </w:p>
    <w:p>
      <w:pPr>
        <w:pStyle w:val="641"/>
        <w:ind w:left="420" w:firstLine="480"/>
        <w:spacing w:beforeAutospacing="0" w:afterAutospacing="0" w:line="0" w:lineRule="atLeast"/>
      </w:pPr>
      <w:r>
        <w:rPr>
          <w:rFonts w:hint="eastAsia" w:ascii="宋体" w:hAnsi="宋体" w:eastAsia="宋体" w:cs="宋体"/>
          <w:color w:val="000000"/>
        </w:rPr>
        <w:t xml:space="preserve">电          话：</w:t>
      </w:r>
      <w:r/>
    </w:p>
    <w:p>
      <w:pPr>
        <w:pStyle w:val="641"/>
        <w:ind w:left="420" w:firstLine="480"/>
        <w:spacing w:beforeAutospacing="0" w:afterAutospacing="0" w:line="0" w:lineRule="atLeast"/>
      </w:pPr>
      <w:r>
        <w:rPr>
          <w:rFonts w:hint="eastAsia" w:ascii="宋体" w:hAnsi="宋体" w:eastAsia="宋体" w:cs="宋体"/>
          <w:color w:val="000000"/>
        </w:rPr>
        <w:t xml:space="preserve">传          真：</w:t>
      </w:r>
      <w:r/>
    </w:p>
    <w:p>
      <w:pPr>
        <w:pStyle w:val="641"/>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641"/>
        <w:ind w:left="420" w:firstLine="480"/>
        <w:spacing w:beforeAutospacing="0" w:afterAutospacing="0" w:line="0" w:lineRule="atLeast"/>
      </w:pPr>
      <w:r>
        <w:rPr>
          <w:rFonts w:hint="eastAsia" w:ascii="宋体" w:hAnsi="宋体" w:eastAsia="宋体" w:cs="宋体"/>
          <w:color w:val="000000"/>
        </w:rPr>
        <w:t xml:space="preserve">账          号： </w:t>
      </w:r>
      <w:r/>
    </w:p>
    <w:p>
      <w:pPr>
        <w:pStyle w:val="641"/>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br/>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rPr>
          <w:rFonts w:hint="eastAsia" w:ascii="黑体" w:hAnsi="宋体" w:eastAsia="黑体" w:cs="黑体"/>
          <w:b/>
          <w:sz w:val="32"/>
          <w:szCs w:val="32"/>
        </w:rPr>
        <w:t xml:space="preserve">九、中小企业声明函（服务）</w:t>
      </w:r>
      <w:r/>
    </w:p>
    <w:p>
      <w:pPr>
        <w:ind w:firstLine="480"/>
        <w:spacing w:line="500" w:lineRule="exact"/>
        <w:rPr>
          <w:sz w:val="24"/>
        </w:rPr>
      </w:pPr>
      <w:r>
        <w:rPr>
          <w:rFonts w:hint="eastAsia"/>
          <w:sz w:val="24"/>
        </w:rPr>
        <w:t xml:space="preserve">本公司郑重声明，根据《政府采购促进中小企业发展管理办法》（财库﹝2020﹞46 号）的规定，本公司参加盐城金弘项目管理有限公司组织的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的采购活动，服务全部由符合政策要求的中小企业承接。相关企业的具体情况如下：</w:t>
      </w:r>
      <w:r/>
    </w:p>
    <w:p>
      <w:pPr>
        <w:numPr>
          <w:ilvl w:val="0"/>
          <w:numId w:val="4"/>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4"/>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41"/>
        <w:ind w:right="720"/>
        <w:jc w:val="both"/>
        <w:spacing w:beforeAutospacing="0" w:afterAutospacing="0" w:line="0" w:lineRule="atLeast"/>
      </w:pPr>
      <w:r>
        <w:t xml:space="preserve"> </w:t>
      </w:r>
      <w:r/>
    </w:p>
    <w:p>
      <w:pPr>
        <w:pStyle w:val="641"/>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41"/>
        <w:ind w:right="480" w:firstLine="5400"/>
        <w:jc w:val="both"/>
        <w:spacing w:beforeAutospacing="0" w:afterAutospacing="0" w:line="0" w:lineRule="atLeast"/>
      </w:pPr>
      <w:r>
        <w:rPr>
          <w:rFonts w:hint="eastAsia" w:ascii="宋体" w:hAnsi="宋体" w:eastAsia="宋体" w:cs="宋体"/>
        </w:rPr>
        <w:t xml:space="preserve">日  期：</w:t>
      </w:r>
      <w:r/>
    </w:p>
    <w:p>
      <w:pPr>
        <w:pStyle w:val="641"/>
        <w:ind w:firstLine="240"/>
        <w:jc w:val="both"/>
        <w:spacing w:beforeAutospacing="0" w:afterAutospacing="0" w:line="0" w:lineRule="atLeast"/>
      </w:pPr>
      <w:r>
        <w:t xml:space="preserve"> </w:t>
      </w:r>
      <w:r/>
    </w:p>
    <w:p>
      <w:pPr>
        <w:pStyle w:val="641"/>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41"/>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641"/>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w:t>
      </w:r>
      <w:r/>
    </w:p>
    <w:p>
      <w:pPr>
        <w:pStyle w:val="641"/>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641"/>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641"/>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641"/>
        <w:ind w:firstLine="624"/>
        <w:jc w:val="both"/>
        <w:spacing w:beforeAutospacing="0" w:afterAutospacing="0" w:line="0" w:lineRule="atLeast"/>
      </w:pPr>
      <w:r>
        <w:t xml:space="preserve"> </w:t>
      </w:r>
      <w:r/>
    </w:p>
    <w:p>
      <w:pPr>
        <w:pStyle w:val="641"/>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41"/>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rPr>
          <w:rFonts w:ascii="宋体" w:hAnsi="宋体" w:eastAsia="宋体" w:cs="宋体"/>
          <w:b/>
          <w:bCs/>
          <w:color w:val="ff0000"/>
          <w:shd w:val="clear" w:color="auto" w:fill="ffffff"/>
        </w:rPr>
      </w:pPr>
      <w:r>
        <w:t xml:space="preserve"> </w:t>
      </w:r>
      <w:r/>
    </w:p>
    <w:p>
      <w:pPr>
        <w:rPr>
          <w:rFonts w:ascii="黑体" w:hAnsi="宋体" w:eastAsia="黑体" w:cs="黑体"/>
          <w:b/>
          <w:color w:val="000000"/>
          <w:sz w:val="32"/>
          <w:szCs w:val="32"/>
        </w:rPr>
      </w:pPr>
      <w:r>
        <w:rPr>
          <w:rFonts w:ascii="黑体" w:hAnsi="宋体" w:eastAsia="黑体" w:cs="黑体"/>
          <w:b/>
          <w:color w:val="000000"/>
          <w:sz w:val="32"/>
          <w:szCs w:val="32"/>
        </w:rPr>
      </w:r>
      <w:r/>
    </w:p>
    <w:p>
      <w:pPr>
        <w:pStyle w:val="641"/>
        <w:jc w:val="center"/>
        <w:spacing w:beforeAutospacing="0" w:afterAutospacing="0"/>
      </w:pPr>
      <w:r>
        <w:rPr>
          <w:rFonts w:hint="eastAsia" w:ascii="黑体" w:hAnsi="宋体" w:eastAsia="黑体" w:cs="黑体"/>
          <w:b/>
          <w:color w:val="000000"/>
          <w:sz w:val="32"/>
          <w:szCs w:val="32"/>
        </w:rPr>
        <w:t xml:space="preserve">十一、投标分项报价表</w:t>
      </w:r>
      <w:r/>
    </w:p>
    <w:tbl>
      <w:tblPr>
        <w:tblStyle w:val="617"/>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分项</w:t>
            </w:r>
            <w:r/>
          </w:p>
          <w:p>
            <w:pPr>
              <w:pStyle w:val="641"/>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分项</w:t>
            </w:r>
            <w:r/>
          </w:p>
          <w:p>
            <w:pPr>
              <w:pStyle w:val="641"/>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1"/>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1"/>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1"/>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1"/>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1"/>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41"/>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1"/>
              <w:jc w:val="both"/>
              <w:spacing w:beforeAutospacing="0" w:afterAutospacing="0" w:line="0" w:lineRule="atLeast"/>
            </w:pPr>
            <w:r>
              <w:t xml:space="preserve"> </w:t>
            </w:r>
            <w:r/>
          </w:p>
        </w:tc>
      </w:tr>
    </w:tbl>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备注：该表仅适用于项目采用货币报价的情形。项目采用折扣率报价的，如需要填写投标分项报价表，请项目经办人自行设计表格。招标文件定稿后该备注删除。</w:t>
      </w:r>
      <w:r/>
    </w:p>
    <w:p>
      <w:pPr>
        <w:pStyle w:val="641"/>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rPr>
          <w:rFonts w:ascii="黑体" w:hAnsi="宋体" w:eastAsia="黑体" w:cs="黑体"/>
          <w:b/>
          <w:color w:val="000000"/>
          <w:sz w:val="32"/>
          <w:szCs w:val="32"/>
        </w:rPr>
      </w:pPr>
      <w:r>
        <w:rPr>
          <w:rFonts w:ascii="黑体" w:hAnsi="宋体" w:eastAsia="黑体" w:cs="黑体"/>
          <w:b/>
          <w:color w:val="000000"/>
          <w:sz w:val="32"/>
          <w:szCs w:val="32"/>
        </w:rPr>
      </w:r>
      <w:r/>
    </w:p>
    <w:p>
      <w:pPr>
        <w:pStyle w:val="641"/>
        <w:jc w:val="center"/>
        <w:spacing w:beforeAutospacing="0" w:afterAutospacing="0"/>
      </w:pPr>
      <w:r>
        <w:rPr>
          <w:rFonts w:hint="eastAsia" w:ascii="黑体" w:hAnsi="宋体" w:eastAsia="黑体" w:cs="黑体"/>
          <w:b/>
          <w:color w:val="000000"/>
          <w:sz w:val="32"/>
          <w:szCs w:val="32"/>
        </w:rPr>
        <w:t xml:space="preserve">十二、技术要求响应及偏离表</w:t>
      </w:r>
      <w:r/>
    </w:p>
    <w:tbl>
      <w:tblPr>
        <w:tblStyle w:val="61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证明</w:t>
            </w:r>
            <w:r/>
          </w:p>
          <w:p>
            <w:pPr>
              <w:pStyle w:val="64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bl>
    <w:p>
      <w:pPr>
        <w:pStyle w:val="641"/>
        <w:jc w:val="both"/>
        <w:spacing w:beforeAutospacing="0" w:afterAutospacing="0"/>
      </w:pPr>
      <w:r>
        <w:rPr>
          <w:rFonts w:hint="eastAsia" w:ascii="宋体" w:hAnsi="宋体" w:eastAsia="宋体" w:cs="宋体"/>
          <w:color w:val="000000"/>
        </w:rPr>
        <w:t xml:space="preserve">注： 行数不够，可自行添加。</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br/>
      </w:r>
      <w:r>
        <w:br/>
      </w:r>
      <w:r>
        <w:b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center"/>
        <w:spacing w:beforeAutospacing="0" w:afterAutospacing="0"/>
      </w:pPr>
      <w:r/>
      <w:bookmarkStart w:id="195" w:name="_Hlt26955054"/>
      <w:r>
        <w:rPr>
          <w:rFonts w:hint="eastAsia" w:ascii="黑体" w:hAnsi="宋体" w:eastAsia="黑体" w:cs="黑体"/>
          <w:b/>
          <w:color w:val="000000"/>
          <w:sz w:val="32"/>
          <w:szCs w:val="32"/>
        </w:rPr>
        <w:t xml:space="preserve">十三、商务要求响应及偏离表</w:t>
      </w:r>
      <w:r/>
    </w:p>
    <w:tbl>
      <w:tblPr>
        <w:tblStyle w:val="61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bookmarkStart w:id="196" w:name="_Hlt26671343"/>
            <w:r/>
            <w:bookmarkStart w:id="197" w:name="_Hlt26955064"/>
            <w:r/>
            <w:bookmarkStart w:id="198" w:name="_Hlt26580838"/>
            <w:r/>
            <w:bookmarkStart w:id="199" w:name="_Hlt26955056"/>
            <w:r/>
            <w:bookmarkStart w:id="200" w:name="_Hlt26609391"/>
            <w:r/>
            <w:bookmarkStart w:id="201" w:name="_Hlt26782999"/>
            <w:r/>
            <w:bookmarkStart w:id="202" w:name="_Hlt24879081"/>
            <w:r/>
            <w:bookmarkStart w:id="203" w:name="_Hlt26671372"/>
            <w:r>
              <w:rPr>
                <w:rFonts w:hint="eastAsia" w:ascii="宋体" w:hAnsi="宋体" w:eastAsia="宋体" w:cs="宋体"/>
                <w:color w:val="000000"/>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rPr>
                <w:rFonts w:hint="eastAsia" w:ascii="宋体" w:hAnsi="宋体" w:eastAsia="宋体" w:cs="宋体"/>
                <w:color w:val="000000"/>
              </w:rPr>
              <w:t xml:space="preserve">证明</w:t>
            </w:r>
            <w:r/>
          </w:p>
          <w:p>
            <w:pPr>
              <w:pStyle w:val="64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bl>
    <w:p>
      <w:pPr>
        <w:pStyle w:val="641"/>
        <w:jc w:val="both"/>
        <w:spacing w:beforeAutospacing="0" w:afterAutospacing="0"/>
      </w:pPr>
      <w:r>
        <w:rPr>
          <w:rFonts w:hint="eastAsia" w:ascii="宋体" w:hAnsi="宋体" w:eastAsia="宋体" w:cs="宋体"/>
          <w:color w:val="000000"/>
        </w:rPr>
        <w:t xml:space="preserve">注： 行数不够，可自行添加。</w:t>
      </w:r>
      <w:r/>
    </w:p>
    <w:p>
      <w:pPr>
        <w:pStyle w:val="641"/>
        <w:jc w:val="both"/>
        <w:spacing w:beforeAutospacing="0" w:afterAutospacing="0" w:line="480" w:lineRule="auto"/>
      </w:pPr>
      <w:r>
        <w:t xml:space="preserve"> </w:t>
      </w:r>
      <w:r/>
    </w:p>
    <w:p>
      <w:pPr>
        <w:pStyle w:val="641"/>
        <w:jc w:val="both"/>
        <w:spacing w:beforeAutospacing="0" w:afterAutospacing="0" w:line="480" w:lineRule="auto"/>
      </w:pPr>
      <w:r>
        <w:t xml:space="preserve"> </w:t>
      </w:r>
      <w:r/>
    </w:p>
    <w:p>
      <w:pPr>
        <w:pStyle w:val="641"/>
        <w:jc w:val="center"/>
        <w:spacing w:beforeAutospacing="0" w:afterAutospacing="0"/>
      </w:pPr>
      <w:r/>
      <w:bookmarkStart w:id="204" w:name="_Hlt26609389"/>
      <w:r/>
      <w:bookmarkStart w:id="205" w:name="_Hlt26671374"/>
      <w:r/>
      <w:bookmarkStart w:id="206" w:name="_Hlt26955066"/>
      <w:r/>
      <w:bookmarkStart w:id="207" w:name="_格式2__法定代表人授权书"/>
      <w:r/>
      <w:bookmarkStart w:id="208" w:name="_Toc462564146"/>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center"/>
        <w:spacing w:beforeAutospacing="0" w:afterAutospacing="0"/>
      </w:pPr>
      <w:r>
        <w:rPr>
          <w:rFonts w:hint="eastAsia" w:ascii="黑体" w:hAnsi="宋体" w:eastAsia="黑体" w:cs="黑体"/>
          <w:b/>
          <w:i/>
          <w:sz w:val="32"/>
          <w:szCs w:val="32"/>
          <w:u w:val="single"/>
        </w:rPr>
        <w:t xml:space="preserve">十四、开标一览表</w:t>
      </w:r>
      <w:r/>
    </w:p>
    <w:p>
      <w:pPr>
        <w:pStyle w:val="641"/>
        <w:ind w:firstLine="480"/>
        <w:jc w:val="both"/>
        <w:spacing w:beforeAutospacing="0" w:afterAutospacing="0"/>
      </w:pPr>
      <w:r>
        <w:rPr>
          <w:rFonts w:hint="eastAsia" w:ascii="宋体" w:hAnsi="宋体" w:eastAsia="宋体" w:cs="宋体"/>
        </w:rPr>
        <w:t xml:space="preserve">投标人全称（加盖CA电子签章）：</w:t>
      </w:r>
      <w:r/>
    </w:p>
    <w:p>
      <w:pPr>
        <w:pStyle w:val="641"/>
        <w:ind w:firstLine="480"/>
        <w:jc w:val="both"/>
        <w:spacing w:beforeAutospacing="0" w:afterAutospacing="0"/>
      </w:pPr>
      <w:r>
        <w:rPr>
          <w:rFonts w:hint="eastAsia" w:ascii="宋体" w:hAnsi="宋体" w:eastAsia="宋体" w:cs="宋体"/>
        </w:rPr>
        <w:t xml:space="preserve">项目名称：</w:t>
      </w:r>
      <w:r/>
    </w:p>
    <w:p>
      <w:pPr>
        <w:pStyle w:val="641"/>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tbl>
      <w:tblPr>
        <w:tblStyle w:val="61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1"/>
              <w:jc w:val="center"/>
              <w:spacing w:beforeAutospacing="0" w:afterAutospacing="0"/>
            </w:pPr>
            <w:r>
              <w:rPr>
                <w:rFonts w:hint="eastAsia" w:ascii="宋体" w:hAnsi="宋体" w:eastAsia="宋体" w:cs="宋体"/>
              </w:rPr>
              <w:t xml:space="preserve">投标单价报价</w:t>
            </w:r>
            <w:r>
              <w:rPr>
                <w:rFonts w:hint="eastAsia"/>
              </w:rPr>
              <w:t xml:space="preserve">（每吨）</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1"/>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1"/>
              <w:spacing w:beforeAutospacing="0" w:afterAutospacing="0" w:line="0" w:lineRule="atLeast"/>
            </w:pPr>
            <w:r>
              <w:rPr>
                <w:rFonts w:hint="eastAsia" w:ascii="宋体" w:hAnsi="宋体" w:eastAsia="宋体" w:cs="宋体"/>
              </w:rPr>
              <w:t xml:space="preserve">小写：                        （人民币：元）</w:t>
            </w:r>
            <w:r/>
          </w:p>
        </w:tc>
      </w:tr>
    </w:tbl>
    <w:p>
      <w:pPr>
        <w:pStyle w:val="641"/>
        <w:jc w:val="both"/>
        <w:spacing w:beforeAutospacing="0" w:afterAutospacing="0"/>
      </w:pPr>
      <w:r>
        <w:t xml:space="preserve"> </w:t>
      </w:r>
      <w:r/>
    </w:p>
    <w:p>
      <w:pPr>
        <w:pStyle w:val="641"/>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41"/>
        <w:ind w:firstLine="480"/>
        <w:jc w:val="both"/>
        <w:spacing w:beforeAutospacing="0" w:afterAutospacing="0"/>
      </w:pPr>
      <w:r>
        <w:t xml:space="preserve"> </w:t>
      </w:r>
      <w:r/>
    </w:p>
    <w:p>
      <w:pPr>
        <w:jc w:val="center"/>
        <w:spacing w:before="50" w:after="50"/>
        <w:widowControl/>
      </w:pPr>
      <w:r>
        <w:br/>
      </w:r>
      <w:r>
        <w:br/>
      </w:r>
      <w:r>
        <w:br/>
      </w:r>
      <w:r>
        <w:br/>
      </w:r>
      <w:r>
        <w:br/>
      </w:r>
      <w:r>
        <w:br/>
      </w:r>
      <w:r>
        <w:br/>
      </w:r>
      <w:r>
        <w:br/>
      </w:r>
      <w:r>
        <w:br/>
      </w:r>
      <w:r>
        <w:br/>
      </w:r>
      <w:r>
        <w:br/>
      </w:r>
      <w:r>
        <w:br/>
      </w:r>
      <w:r>
        <w:br/>
      </w:r>
      <w:r>
        <w:br/>
      </w:r>
      <w:r>
        <w:br/>
      </w:r>
      <w:r>
        <w:br/>
      </w:r>
      <w:r>
        <w:br/>
      </w:r>
      <w:r>
        <w:br/>
      </w:r>
      <w:r>
        <w:br/>
      </w:r>
      <w:r>
        <w:br/>
      </w:r>
      <w:r>
        <w:br/>
      </w:r>
      <w:r>
        <w:br/>
      </w:r>
      <w:r>
        <w:br/>
      </w:r>
      <w:r>
        <w:tab/>
      </w:r>
      <w:r/>
    </w:p>
    <w:p>
      <w:pPr>
        <w:jc w:val="center"/>
        <w:spacing w:before="50" w:after="50"/>
        <w:widowControl/>
      </w:pPr>
      <w:r/>
      <w:r/>
    </w:p>
    <w:p>
      <w:pPr>
        <w:jc w:val="center"/>
        <w:spacing w:before="50" w:after="50"/>
        <w:widowControl/>
      </w:pPr>
      <w:r/>
      <w:r/>
    </w:p>
    <w:p>
      <w:pPr>
        <w:jc w:val="center"/>
        <w:spacing w:before="50" w:after="50"/>
        <w:widowControl/>
      </w:pPr>
      <w:r/>
      <w:r/>
    </w:p>
    <w:p>
      <w:pPr>
        <w:pStyle w:val="799"/>
      </w:pPr>
      <w:r/>
      <w:r/>
    </w:p>
    <w:p>
      <w:pPr>
        <w:pStyle w:val="799"/>
      </w:pPr>
      <w:r>
        <w:br/>
      </w:r>
      <w:r/>
    </w:p>
    <w:p>
      <w:pPr>
        <w:pStyle w:val="799"/>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十五、技术方案、服务承诺等</w:t>
      </w:r>
      <w:r/>
    </w:p>
    <w:p>
      <w:pPr>
        <w:pStyle w:val="641"/>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br/>
      </w:r>
      <w:r>
        <w:rPr>
          <w:rFonts w:ascii="宋体" w:hAnsi="宋体" w:eastAsia="宋体" w:cs="宋体"/>
          <w:color w:val="000000"/>
          <w:sz w:val="32"/>
          <w:szCs w:val="32"/>
        </w:rPr>
        <w:b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br/>
      </w:r>
      <w:r>
        <w:rPr>
          <w:rFonts w:ascii="宋体" w:hAnsi="宋体" w:eastAsia="宋体" w:cs="宋体"/>
          <w:color w:val="000000"/>
          <w:sz w:val="32"/>
          <w:szCs w:val="32"/>
        </w:rPr>
        <w:br/>
      </w:r>
      <w:r>
        <w:rPr>
          <w:rFonts w:ascii="宋体" w:hAnsi="宋体" w:eastAsia="宋体" w:cs="宋体"/>
          <w:color w:val="000000"/>
          <w:sz w:val="32"/>
          <w:szCs w:val="32"/>
        </w:rPr>
        <w:br/>
      </w:r>
      <w:r>
        <w:rPr>
          <w:rFonts w:ascii="宋体" w:hAnsi="宋体" w:eastAsia="宋体" w:cs="宋体"/>
          <w:color w:val="000000"/>
          <w:sz w:val="32"/>
          <w:szCs w:val="32"/>
        </w:rPr>
        <w:br/>
      </w:r>
      <w:r>
        <w:rPr>
          <w:rFonts w:ascii="宋体" w:hAnsi="宋体" w:eastAsia="宋体" w:cs="宋体"/>
          <w:color w:val="000000"/>
          <w:sz w:val="32"/>
          <w:szCs w:val="32"/>
        </w:rPr>
        <w:br/>
      </w:r>
      <w:r>
        <w:rPr>
          <w:rFonts w:ascii="宋体" w:hAnsi="宋体" w:eastAsia="宋体" w:cs="宋体"/>
          <w:color w:val="000000"/>
          <w:sz w:val="32"/>
          <w:szCs w:val="32"/>
        </w:rPr>
        <w:br/>
      </w:r>
      <w:r>
        <w:rPr>
          <w:rFonts w:ascii="宋体" w:hAnsi="宋体" w:eastAsia="宋体" w:cs="宋体"/>
          <w:color w:val="000000"/>
          <w:sz w:val="32"/>
          <w:szCs w:val="32"/>
        </w:rPr>
        <w:b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十六、盐城市政府采购事前信用承诺书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77"/>
      <w:bookmarkEnd w:id="185"/>
      <w:bookmarkEnd w:id="189"/>
      <w:bookmarkEnd w:id="190"/>
      <w:bookmarkEnd w:id="192"/>
      <w:bookmarkEnd w:id="193"/>
      <w:bookmarkEnd w:id="194"/>
      <w:bookmarkEnd w:id="195"/>
      <w:bookmarkEnd w:id="204"/>
      <w:bookmarkEnd w:id="205"/>
      <w:bookmarkEnd w:id="206"/>
      <w:bookmarkEnd w:id="207"/>
      <w:bookmarkEnd w:id="208"/>
      <w:r/>
    </w:p>
    <w:p>
      <w:pPr>
        <w:pStyle w:val="641"/>
        <w:jc w:val="center"/>
        <w:spacing w:beforeAutospacing="0" w:afterAutospacing="0"/>
      </w:pPr>
      <w:r/>
      <w:r/>
    </w:p>
    <w:p>
      <w:r/>
      <w:r/>
    </w:p>
    <w:p>
      <w:pPr>
        <w:pStyle w:val="641"/>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41"/>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41"/>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41"/>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41"/>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4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4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4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4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4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41"/>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41"/>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Cambria">
    <w:panose1 w:val="02040503050406030204"/>
  </w:font>
  <w:font w:name="等线">
    <w:panose1 w:val="02010600030101010101"/>
  </w:font>
  <w:font w:name="仿宋">
    <w:panose1 w:val="02010609060101010101"/>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07">
    <w:name w:val="Heading 1"/>
    <w:basedOn w:val="606"/>
    <w:next w:val="606"/>
    <w:uiPriority w:val="0"/>
    <w:qFormat/>
    <w:pPr>
      <w:jc w:val="center"/>
      <w:keepNext/>
      <w:outlineLvl w:val="0"/>
    </w:pPr>
    <w:rPr>
      <w:rFonts w:ascii="楷体_GB2312" w:eastAsia="楷体_GB2312"/>
      <w:sz w:val="28"/>
      <w:szCs w:val="28"/>
    </w:rPr>
  </w:style>
  <w:style w:type="paragraph" w:styleId="608">
    <w:name w:val="Heading 2"/>
    <w:basedOn w:val="606"/>
    <w:next w:val="60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09">
    <w:name w:val="Heading 3"/>
    <w:basedOn w:val="606"/>
    <w:next w:val="606"/>
    <w:link w:val="653"/>
    <w:uiPriority w:val="9"/>
    <w:unhideWhenUsed/>
    <w:qFormat/>
    <w:pPr>
      <w:keepLines/>
      <w:keepNext/>
      <w:spacing w:before="320" w:after="200"/>
      <w:outlineLvl w:val="2"/>
    </w:pPr>
    <w:rPr>
      <w:rFonts w:ascii="Arial" w:hAnsi="Arial" w:eastAsia="Arial" w:cs="Arial"/>
      <w:sz w:val="30"/>
      <w:szCs w:val="30"/>
    </w:rPr>
  </w:style>
  <w:style w:type="paragraph" w:styleId="610">
    <w:name w:val="Heading 4"/>
    <w:basedOn w:val="606"/>
    <w:next w:val="606"/>
    <w:link w:val="654"/>
    <w:uiPriority w:val="9"/>
    <w:unhideWhenUsed/>
    <w:qFormat/>
    <w:pPr>
      <w:keepLines/>
      <w:keepNext/>
      <w:spacing w:before="320" w:after="200"/>
      <w:outlineLvl w:val="3"/>
    </w:pPr>
    <w:rPr>
      <w:rFonts w:ascii="Arial" w:hAnsi="Arial" w:eastAsia="Arial" w:cs="Arial"/>
      <w:b/>
      <w:bCs/>
      <w:sz w:val="26"/>
      <w:szCs w:val="26"/>
    </w:rPr>
  </w:style>
  <w:style w:type="paragraph" w:styleId="611">
    <w:name w:val="Heading 5"/>
    <w:basedOn w:val="606"/>
    <w:next w:val="606"/>
    <w:link w:val="655"/>
    <w:uiPriority w:val="9"/>
    <w:unhideWhenUsed/>
    <w:qFormat/>
    <w:pPr>
      <w:keepLines/>
      <w:keepNext/>
      <w:spacing w:before="320" w:after="200"/>
      <w:outlineLvl w:val="4"/>
    </w:pPr>
    <w:rPr>
      <w:rFonts w:ascii="Arial" w:hAnsi="Arial" w:eastAsia="Arial" w:cs="Arial"/>
      <w:b/>
      <w:bCs/>
      <w:sz w:val="24"/>
      <w:szCs w:val="24"/>
    </w:rPr>
  </w:style>
  <w:style w:type="paragraph" w:styleId="612">
    <w:name w:val="Heading 6"/>
    <w:basedOn w:val="606"/>
    <w:next w:val="606"/>
    <w:link w:val="656"/>
    <w:uiPriority w:val="9"/>
    <w:unhideWhenUsed/>
    <w:qFormat/>
    <w:pPr>
      <w:keepLines/>
      <w:keepNext/>
      <w:spacing w:before="320" w:after="200"/>
      <w:outlineLvl w:val="5"/>
    </w:pPr>
    <w:rPr>
      <w:rFonts w:ascii="Arial" w:hAnsi="Arial" w:eastAsia="Arial" w:cs="Arial"/>
      <w:b/>
      <w:bCs/>
      <w:sz w:val="22"/>
      <w:szCs w:val="22"/>
    </w:rPr>
  </w:style>
  <w:style w:type="paragraph" w:styleId="613">
    <w:name w:val="Heading 7"/>
    <w:basedOn w:val="606"/>
    <w:next w:val="606"/>
    <w:link w:val="657"/>
    <w:uiPriority w:val="9"/>
    <w:unhideWhenUsed/>
    <w:qFormat/>
    <w:pPr>
      <w:keepLines/>
      <w:keepNext/>
      <w:spacing w:before="320" w:after="200"/>
      <w:outlineLvl w:val="6"/>
    </w:pPr>
    <w:rPr>
      <w:rFonts w:ascii="Arial" w:hAnsi="Arial" w:eastAsia="Arial" w:cs="Arial"/>
      <w:b/>
      <w:bCs/>
      <w:i/>
      <w:iCs/>
      <w:sz w:val="22"/>
      <w:szCs w:val="22"/>
    </w:rPr>
  </w:style>
  <w:style w:type="paragraph" w:styleId="614">
    <w:name w:val="Heading 8"/>
    <w:basedOn w:val="606"/>
    <w:next w:val="606"/>
    <w:link w:val="658"/>
    <w:uiPriority w:val="9"/>
    <w:unhideWhenUsed/>
    <w:qFormat/>
    <w:pPr>
      <w:keepLines/>
      <w:keepNext/>
      <w:spacing w:before="320" w:after="200"/>
      <w:outlineLvl w:val="7"/>
    </w:pPr>
    <w:rPr>
      <w:rFonts w:ascii="Arial" w:hAnsi="Arial" w:eastAsia="Arial" w:cs="Arial"/>
      <w:i/>
      <w:iCs/>
      <w:sz w:val="22"/>
      <w:szCs w:val="22"/>
    </w:rPr>
  </w:style>
  <w:style w:type="paragraph" w:styleId="615">
    <w:name w:val="Heading 9"/>
    <w:basedOn w:val="606"/>
    <w:next w:val="606"/>
    <w:link w:val="659"/>
    <w:uiPriority w:val="9"/>
    <w:unhideWhenUsed/>
    <w:qFormat/>
    <w:pPr>
      <w:keepLines/>
      <w:keepNext/>
      <w:spacing w:before="320" w:after="200"/>
      <w:outlineLvl w:val="8"/>
    </w:pPr>
    <w:rPr>
      <w:rFonts w:ascii="Arial" w:hAnsi="Arial" w:eastAsia="Arial" w:cs="Arial"/>
      <w:i/>
      <w:iCs/>
      <w:sz w:val="21"/>
      <w:szCs w:val="21"/>
    </w:rPr>
  </w:style>
  <w:style w:type="character" w:styleId="616" w:default="1">
    <w:name w:val="Default Paragraph Font"/>
    <w:uiPriority w:val="1"/>
    <w:semiHidden/>
    <w:unhideWhenUsed/>
    <w:qFormat/>
  </w:style>
  <w:style w:type="table" w:styleId="617" w:default="1">
    <w:name w:val="Normal Table"/>
    <w:uiPriority w:val="99"/>
    <w:semiHidden/>
    <w:unhideWhenUsed/>
    <w:qFormat/>
    <w:tblPr>
      <w:tblCellMar>
        <w:left w:w="108" w:type="dxa"/>
        <w:top w:w="0" w:type="dxa"/>
        <w:right w:w="108" w:type="dxa"/>
        <w:bottom w:w="0" w:type="dxa"/>
      </w:tblCellMar>
    </w:tblPr>
  </w:style>
  <w:style w:type="paragraph" w:styleId="618">
    <w:name w:val="toc 7"/>
    <w:basedOn w:val="606"/>
    <w:next w:val="606"/>
    <w:uiPriority w:val="39"/>
    <w:unhideWhenUsed/>
    <w:qFormat/>
    <w:pPr>
      <w:ind w:left="1701" w:right="0" w:firstLine="0"/>
      <w:spacing w:after="57"/>
    </w:pPr>
  </w:style>
  <w:style w:type="paragraph" w:styleId="619">
    <w:name w:val="Normal Indent"/>
    <w:basedOn w:val="606"/>
    <w:uiPriority w:val="0"/>
    <w:qFormat/>
    <w:pPr>
      <w:ind w:firstLine="420"/>
    </w:pPr>
  </w:style>
  <w:style w:type="paragraph" w:styleId="620">
    <w:name w:val="Caption"/>
    <w:basedOn w:val="606"/>
    <w:next w:val="6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21">
    <w:name w:val="annotation text"/>
    <w:basedOn w:val="606"/>
    <w:uiPriority w:val="0"/>
    <w:qFormat/>
    <w:pPr>
      <w:jc w:val="left"/>
    </w:pPr>
  </w:style>
  <w:style w:type="paragraph" w:styleId="622">
    <w:name w:val="Body Text"/>
    <w:basedOn w:val="606"/>
    <w:uiPriority w:val="0"/>
    <w:semiHidden/>
    <w:qFormat/>
    <w:rPr>
      <w:rFonts w:ascii="仿宋" w:hAnsi="仿宋" w:eastAsia="仿宋" w:cs="仿宋"/>
      <w:sz w:val="31"/>
      <w:szCs w:val="31"/>
      <w:lang w:eastAsia="en-US"/>
    </w:rPr>
  </w:style>
  <w:style w:type="paragraph" w:styleId="623">
    <w:name w:val="Body Text Indent"/>
    <w:basedOn w:val="606"/>
    <w:next w:val="624"/>
    <w:uiPriority w:val="0"/>
    <w:qFormat/>
    <w:pPr>
      <w:ind w:firstLine="645"/>
    </w:pPr>
    <w:rPr>
      <w:rFonts w:ascii="楷体_GB2312" w:eastAsia="楷体_GB2312"/>
      <w:sz w:val="32"/>
      <w:szCs w:val="32"/>
    </w:rPr>
  </w:style>
  <w:style w:type="paragraph" w:styleId="624">
    <w:name w:val="envelope return"/>
    <w:basedOn w:val="606"/>
    <w:uiPriority w:val="0"/>
    <w:qFormat/>
    <w:rPr>
      <w:rFonts w:ascii="Cambria" w:hAnsi="Cambria"/>
    </w:rPr>
  </w:style>
  <w:style w:type="paragraph" w:styleId="625">
    <w:name w:val="toc 5"/>
    <w:basedOn w:val="606"/>
    <w:next w:val="606"/>
    <w:uiPriority w:val="39"/>
    <w:unhideWhenUsed/>
    <w:qFormat/>
    <w:pPr>
      <w:ind w:left="1134" w:right="0" w:firstLine="0"/>
      <w:spacing w:after="57"/>
    </w:pPr>
  </w:style>
  <w:style w:type="paragraph" w:styleId="626">
    <w:name w:val="toc 3"/>
    <w:basedOn w:val="606"/>
    <w:next w:val="606"/>
    <w:uiPriority w:val="39"/>
    <w:unhideWhenUsed/>
    <w:qFormat/>
    <w:pPr>
      <w:ind w:left="567" w:right="0" w:firstLine="0"/>
      <w:spacing w:after="57"/>
    </w:pPr>
  </w:style>
  <w:style w:type="paragraph" w:styleId="627">
    <w:name w:val="Plain Text"/>
    <w:basedOn w:val="606"/>
    <w:uiPriority w:val="0"/>
    <w:qFormat/>
    <w:rPr>
      <w:rFonts w:ascii="宋体" w:hAnsi="Courier New" w:cs="Courier New"/>
    </w:rPr>
  </w:style>
  <w:style w:type="paragraph" w:styleId="628">
    <w:name w:val="toc 8"/>
    <w:basedOn w:val="606"/>
    <w:next w:val="606"/>
    <w:uiPriority w:val="39"/>
    <w:unhideWhenUsed/>
    <w:qFormat/>
    <w:pPr>
      <w:ind w:left="1984" w:right="0" w:firstLine="0"/>
      <w:spacing w:after="57"/>
    </w:pPr>
  </w:style>
  <w:style w:type="paragraph" w:styleId="629">
    <w:name w:val="endnote text"/>
    <w:basedOn w:val="606"/>
    <w:link w:val="797"/>
    <w:uiPriority w:val="99"/>
    <w:semiHidden/>
    <w:unhideWhenUsed/>
    <w:qFormat/>
    <w:pPr>
      <w:spacing w:after="0" w:line="240" w:lineRule="auto"/>
    </w:pPr>
    <w:rPr>
      <w:sz w:val="20"/>
    </w:rPr>
  </w:style>
  <w:style w:type="paragraph" w:styleId="630">
    <w:name w:val="Balloon Text"/>
    <w:basedOn w:val="606"/>
    <w:link w:val="807"/>
    <w:uiPriority w:val="0"/>
    <w:qFormat/>
    <w:rPr>
      <w:sz w:val="18"/>
      <w:szCs w:val="18"/>
    </w:rPr>
  </w:style>
  <w:style w:type="paragraph" w:styleId="631">
    <w:name w:val="Footer"/>
    <w:basedOn w:val="606"/>
    <w:link w:val="801"/>
    <w:uiPriority w:val="0"/>
    <w:qFormat/>
    <w:pPr>
      <w:jc w:val="left"/>
      <w:tabs>
        <w:tab w:val="center" w:pos="4153" w:leader="none"/>
        <w:tab w:val="right" w:pos="8306" w:leader="none"/>
      </w:tabs>
    </w:pPr>
    <w:rPr>
      <w:sz w:val="18"/>
      <w:szCs w:val="18"/>
    </w:rPr>
  </w:style>
  <w:style w:type="paragraph" w:styleId="632">
    <w:name w:val="Header"/>
    <w:basedOn w:val="606"/>
    <w:link w:val="800"/>
    <w:uiPriority w:val="0"/>
    <w:qFormat/>
    <w:pPr>
      <w:jc w:val="center"/>
      <w:tabs>
        <w:tab w:val="center" w:pos="4153" w:leader="none"/>
        <w:tab w:val="right" w:pos="8306" w:leader="none"/>
      </w:tabs>
      <w:pBdr>
        <w:bottom w:val="single" w:color="auto" w:sz="6" w:space="1"/>
      </w:pBdr>
    </w:pPr>
    <w:rPr>
      <w:sz w:val="18"/>
      <w:szCs w:val="18"/>
    </w:rPr>
  </w:style>
  <w:style w:type="paragraph" w:styleId="633">
    <w:name w:val="toc 1"/>
    <w:basedOn w:val="606"/>
    <w:next w:val="606"/>
    <w:uiPriority w:val="39"/>
    <w:unhideWhenUsed/>
    <w:qFormat/>
    <w:pPr>
      <w:ind w:left="0" w:right="0" w:firstLine="0"/>
      <w:spacing w:after="57"/>
    </w:pPr>
  </w:style>
  <w:style w:type="paragraph" w:styleId="634">
    <w:name w:val="toc 4"/>
    <w:basedOn w:val="606"/>
    <w:next w:val="606"/>
    <w:uiPriority w:val="39"/>
    <w:unhideWhenUsed/>
    <w:pPr>
      <w:ind w:left="850" w:right="0" w:firstLine="0"/>
      <w:spacing w:after="57"/>
    </w:pPr>
  </w:style>
  <w:style w:type="paragraph" w:styleId="635">
    <w:name w:val="Subtitle"/>
    <w:basedOn w:val="606"/>
    <w:next w:val="606"/>
    <w:link w:val="663"/>
    <w:uiPriority w:val="11"/>
    <w:qFormat/>
    <w:pPr>
      <w:spacing w:before="200" w:after="200"/>
    </w:pPr>
    <w:rPr>
      <w:sz w:val="24"/>
      <w:szCs w:val="24"/>
    </w:rPr>
  </w:style>
  <w:style w:type="paragraph" w:styleId="636">
    <w:name w:val="footnote text"/>
    <w:basedOn w:val="606"/>
    <w:link w:val="796"/>
    <w:uiPriority w:val="99"/>
    <w:semiHidden/>
    <w:unhideWhenUsed/>
    <w:pPr>
      <w:spacing w:after="40" w:line="240" w:lineRule="auto"/>
    </w:pPr>
    <w:rPr>
      <w:sz w:val="18"/>
    </w:rPr>
  </w:style>
  <w:style w:type="paragraph" w:styleId="637">
    <w:name w:val="toc 6"/>
    <w:basedOn w:val="606"/>
    <w:next w:val="606"/>
    <w:uiPriority w:val="0"/>
    <w:semiHidden/>
    <w:qFormat/>
    <w:pPr>
      <w:ind w:left="1050"/>
      <w:jc w:val="left"/>
    </w:pPr>
  </w:style>
  <w:style w:type="paragraph" w:styleId="638">
    <w:name w:val="table of figures"/>
    <w:basedOn w:val="606"/>
    <w:next w:val="606"/>
    <w:uiPriority w:val="99"/>
    <w:unhideWhenUsed/>
    <w:qFormat/>
    <w:pPr>
      <w:spacing w:after="0" w:afterAutospacing="0"/>
    </w:pPr>
  </w:style>
  <w:style w:type="paragraph" w:styleId="639">
    <w:name w:val="toc 2"/>
    <w:basedOn w:val="606"/>
    <w:next w:val="606"/>
    <w:uiPriority w:val="39"/>
    <w:unhideWhenUsed/>
    <w:qFormat/>
    <w:pPr>
      <w:ind w:left="283" w:right="0" w:firstLine="0"/>
      <w:spacing w:after="57"/>
    </w:pPr>
  </w:style>
  <w:style w:type="paragraph" w:styleId="640">
    <w:name w:val="toc 9"/>
    <w:basedOn w:val="606"/>
    <w:next w:val="606"/>
    <w:uiPriority w:val="39"/>
    <w:unhideWhenUsed/>
    <w:qFormat/>
    <w:pPr>
      <w:ind w:left="2268" w:right="0" w:firstLine="0"/>
      <w:spacing w:after="57"/>
    </w:pPr>
  </w:style>
  <w:style w:type="paragraph" w:styleId="641">
    <w:name w:val="Normal (Web)"/>
    <w:basedOn w:val="606"/>
    <w:uiPriority w:val="0"/>
    <w:qFormat/>
    <w:pPr>
      <w:jc w:val="left"/>
      <w:spacing w:beforeAutospacing="1" w:afterAutospacing="1"/>
    </w:pPr>
    <w:rPr>
      <w:rFonts w:cs="Times New Roman"/>
      <w:sz w:val="24"/>
    </w:rPr>
  </w:style>
  <w:style w:type="paragraph" w:styleId="642">
    <w:name w:val="Title"/>
    <w:basedOn w:val="606"/>
    <w:next w:val="606"/>
    <w:link w:val="662"/>
    <w:uiPriority w:val="10"/>
    <w:qFormat/>
    <w:pPr>
      <w:contextualSpacing/>
      <w:spacing w:before="300" w:after="200"/>
    </w:pPr>
    <w:rPr>
      <w:sz w:val="48"/>
      <w:szCs w:val="48"/>
    </w:rPr>
  </w:style>
  <w:style w:type="paragraph" w:styleId="643">
    <w:name w:val="Body Text First Indent"/>
    <w:basedOn w:val="606"/>
    <w:next w:val="637"/>
    <w:uiPriority w:val="0"/>
    <w:qFormat/>
    <w:pPr>
      <w:ind w:firstLine="200"/>
      <w:spacing w:line="360" w:lineRule="auto"/>
    </w:pPr>
    <w:rPr>
      <w:rFonts w:ascii="仿宋_GB2312" w:eastAsia="仿宋_GB2312"/>
      <w:sz w:val="30"/>
      <w:szCs w:val="30"/>
    </w:rPr>
  </w:style>
  <w:style w:type="paragraph" w:styleId="644">
    <w:name w:val="Body Text First Indent 2"/>
    <w:basedOn w:val="623"/>
    <w:uiPriority w:val="0"/>
    <w:qFormat/>
    <w:pPr>
      <w:ind w:firstLine="420"/>
      <w:spacing w:line="360" w:lineRule="auto"/>
    </w:pPr>
    <w:rPr>
      <w:rFonts w:ascii="宋体" w:hAnsi="宋体" w:eastAsia="宋体"/>
      <w:sz w:val="21"/>
      <w:szCs w:val="20"/>
    </w:rPr>
  </w:style>
  <w:style w:type="table" w:styleId="645">
    <w:name w:val="Table Grid"/>
    <w:basedOn w:val="6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6">
    <w:name w:val="endnote reference"/>
    <w:basedOn w:val="616"/>
    <w:uiPriority w:val="99"/>
    <w:semiHidden/>
    <w:unhideWhenUsed/>
    <w:rPr>
      <w:vertAlign w:val="superscript"/>
    </w:rPr>
  </w:style>
  <w:style w:type="character" w:styleId="647">
    <w:name w:val="Emphasis"/>
    <w:uiPriority w:val="0"/>
    <w:qFormat/>
    <w:rPr>
      <w:i/>
    </w:rPr>
  </w:style>
  <w:style w:type="character" w:styleId="648">
    <w:name w:val="Hyperlink"/>
    <w:uiPriority w:val="99"/>
    <w:unhideWhenUsed/>
    <w:qFormat/>
    <w:rPr>
      <w:color w:val="0563c1" w:themeColor="hyperlink"/>
      <w:u w:val="single"/>
      <w14:textFill>
        <w14:solidFill>
          <w14:schemeClr w14:val="hlink"/>
        </w14:solidFill>
      </w14:textFill>
    </w:rPr>
  </w:style>
  <w:style w:type="character" w:styleId="649">
    <w:name w:val="annotation reference"/>
    <w:basedOn w:val="616"/>
    <w:uiPriority w:val="0"/>
    <w:qFormat/>
    <w:rPr>
      <w:sz w:val="21"/>
      <w:szCs w:val="21"/>
    </w:rPr>
  </w:style>
  <w:style w:type="character" w:styleId="650">
    <w:name w:val="footnote reference"/>
    <w:basedOn w:val="616"/>
    <w:uiPriority w:val="99"/>
    <w:unhideWhenUsed/>
    <w:rPr>
      <w:vertAlign w:val="superscript"/>
    </w:rPr>
  </w:style>
  <w:style w:type="character" w:styleId="651" w:customStyle="1">
    <w:name w:val="Heading 1 Char"/>
    <w:basedOn w:val="616"/>
    <w:uiPriority w:val="9"/>
    <w:rPr>
      <w:rFonts w:ascii="Arial" w:hAnsi="Arial" w:eastAsia="Arial" w:cs="Arial"/>
      <w:sz w:val="40"/>
      <w:szCs w:val="40"/>
    </w:rPr>
  </w:style>
  <w:style w:type="character" w:styleId="652" w:customStyle="1">
    <w:name w:val="Heading 2 Char"/>
    <w:basedOn w:val="616"/>
    <w:uiPriority w:val="9"/>
    <w:rPr>
      <w:rFonts w:ascii="Arial" w:hAnsi="Arial" w:eastAsia="Arial" w:cs="Arial"/>
      <w:sz w:val="34"/>
    </w:rPr>
  </w:style>
  <w:style w:type="character" w:styleId="653" w:customStyle="1">
    <w:name w:val="Heading 3 Char"/>
    <w:basedOn w:val="616"/>
    <w:link w:val="609"/>
    <w:uiPriority w:val="9"/>
    <w:rPr>
      <w:rFonts w:ascii="Arial" w:hAnsi="Arial" w:eastAsia="Arial" w:cs="Arial"/>
      <w:sz w:val="30"/>
      <w:szCs w:val="30"/>
    </w:rPr>
  </w:style>
  <w:style w:type="character" w:styleId="654" w:customStyle="1">
    <w:name w:val="Heading 4 Char"/>
    <w:basedOn w:val="616"/>
    <w:link w:val="610"/>
    <w:uiPriority w:val="9"/>
    <w:rPr>
      <w:rFonts w:ascii="Arial" w:hAnsi="Arial" w:eastAsia="Arial" w:cs="Arial"/>
      <w:b/>
      <w:bCs/>
      <w:sz w:val="26"/>
      <w:szCs w:val="26"/>
    </w:rPr>
  </w:style>
  <w:style w:type="character" w:styleId="655" w:customStyle="1">
    <w:name w:val="Heading 5 Char"/>
    <w:basedOn w:val="616"/>
    <w:link w:val="611"/>
    <w:uiPriority w:val="9"/>
    <w:rPr>
      <w:rFonts w:ascii="Arial" w:hAnsi="Arial" w:eastAsia="Arial" w:cs="Arial"/>
      <w:b/>
      <w:bCs/>
      <w:sz w:val="24"/>
      <w:szCs w:val="24"/>
    </w:rPr>
  </w:style>
  <w:style w:type="character" w:styleId="656" w:customStyle="1">
    <w:name w:val="Heading 6 Char"/>
    <w:basedOn w:val="616"/>
    <w:link w:val="612"/>
    <w:uiPriority w:val="9"/>
    <w:rPr>
      <w:rFonts w:ascii="Arial" w:hAnsi="Arial" w:eastAsia="Arial" w:cs="Arial"/>
      <w:b/>
      <w:bCs/>
      <w:sz w:val="22"/>
      <w:szCs w:val="22"/>
    </w:rPr>
  </w:style>
  <w:style w:type="character" w:styleId="657" w:customStyle="1">
    <w:name w:val="Heading 7 Char"/>
    <w:basedOn w:val="616"/>
    <w:link w:val="613"/>
    <w:uiPriority w:val="9"/>
    <w:rPr>
      <w:rFonts w:ascii="Arial" w:hAnsi="Arial" w:eastAsia="Arial" w:cs="Arial"/>
      <w:b/>
      <w:bCs/>
      <w:i/>
      <w:iCs/>
      <w:sz w:val="22"/>
      <w:szCs w:val="22"/>
    </w:rPr>
  </w:style>
  <w:style w:type="character" w:styleId="658" w:customStyle="1">
    <w:name w:val="Heading 8 Char"/>
    <w:basedOn w:val="616"/>
    <w:link w:val="614"/>
    <w:uiPriority w:val="9"/>
    <w:rPr>
      <w:rFonts w:ascii="Arial" w:hAnsi="Arial" w:eastAsia="Arial" w:cs="Arial"/>
      <w:i/>
      <w:iCs/>
      <w:sz w:val="22"/>
      <w:szCs w:val="22"/>
    </w:rPr>
  </w:style>
  <w:style w:type="character" w:styleId="659" w:customStyle="1">
    <w:name w:val="Heading 9 Char"/>
    <w:basedOn w:val="616"/>
    <w:link w:val="615"/>
    <w:uiPriority w:val="9"/>
    <w:rPr>
      <w:rFonts w:ascii="Arial" w:hAnsi="Arial" w:eastAsia="Arial" w:cs="Arial"/>
      <w:i/>
      <w:iCs/>
      <w:sz w:val="21"/>
      <w:szCs w:val="21"/>
    </w:rPr>
  </w:style>
  <w:style w:type="paragraph" w:styleId="660">
    <w:name w:val="List Paragraph"/>
    <w:basedOn w:val="606"/>
    <w:uiPriority w:val="34"/>
    <w:qFormat/>
    <w:pPr>
      <w:contextualSpacing/>
      <w:ind w:left="720"/>
    </w:pPr>
  </w:style>
  <w:style w:type="paragraph" w:styleId="661">
    <w:name w:val="No Spacing"/>
    <w:uiPriority w:val="1"/>
    <w:qFormat/>
    <w:pPr>
      <w:spacing w:before="0" w:after="0" w:line="240" w:lineRule="auto"/>
    </w:pPr>
    <w:rPr>
      <w:rFonts w:hint="default" w:ascii="Times New Roman" w:hAnsi="Times New Roman" w:eastAsia="宋体" w:cs="Times New Roman"/>
    </w:rPr>
  </w:style>
  <w:style w:type="character" w:styleId="662" w:customStyle="1">
    <w:name w:val="Title Char"/>
    <w:basedOn w:val="616"/>
    <w:link w:val="642"/>
    <w:uiPriority w:val="10"/>
    <w:rPr>
      <w:sz w:val="48"/>
      <w:szCs w:val="48"/>
    </w:rPr>
  </w:style>
  <w:style w:type="character" w:styleId="663" w:customStyle="1">
    <w:name w:val="Subtitle Char"/>
    <w:basedOn w:val="616"/>
    <w:link w:val="635"/>
    <w:uiPriority w:val="11"/>
    <w:rPr>
      <w:sz w:val="24"/>
      <w:szCs w:val="24"/>
    </w:rPr>
  </w:style>
  <w:style w:type="paragraph" w:styleId="664">
    <w:name w:val="Quote"/>
    <w:basedOn w:val="606"/>
    <w:next w:val="606"/>
    <w:link w:val="665"/>
    <w:uiPriority w:val="29"/>
    <w:qFormat/>
    <w:pPr>
      <w:ind w:left="720" w:right="720"/>
    </w:pPr>
    <w:rPr>
      <w:i/>
    </w:rPr>
  </w:style>
  <w:style w:type="character" w:styleId="665" w:customStyle="1">
    <w:name w:val="Quote Char"/>
    <w:link w:val="664"/>
    <w:uiPriority w:val="29"/>
    <w:rPr>
      <w:i/>
    </w:rPr>
  </w:style>
  <w:style w:type="paragraph" w:styleId="666">
    <w:name w:val="Intense Quote"/>
    <w:basedOn w:val="606"/>
    <w:next w:val="606"/>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customStyle="1">
    <w:name w:val="Intense Quote Char"/>
    <w:link w:val="666"/>
    <w:uiPriority w:val="30"/>
    <w:rPr>
      <w:i/>
    </w:rPr>
  </w:style>
  <w:style w:type="character" w:styleId="668" w:customStyle="1">
    <w:name w:val="Header Char"/>
    <w:basedOn w:val="616"/>
    <w:uiPriority w:val="99"/>
  </w:style>
  <w:style w:type="character" w:styleId="669" w:customStyle="1">
    <w:name w:val="Footer Char"/>
    <w:basedOn w:val="616"/>
    <w:uiPriority w:val="99"/>
    <w:qFormat/>
  </w:style>
  <w:style w:type="character" w:styleId="670" w:customStyle="1">
    <w:name w:val="Caption Char"/>
    <w:uiPriority w:val="99"/>
  </w:style>
  <w:style w:type="table" w:styleId="671" w:customStyle="1">
    <w:name w:val="Table Grid Light"/>
    <w:basedOn w:val="6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2" w:customStyle="1">
    <w:name w:val="Plain Table 1"/>
    <w:basedOn w:val="61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customStyle="1">
    <w:name w:val="Plain Table 2"/>
    <w:basedOn w:val="6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customStyle="1">
    <w:name w:val="Plain Table 3"/>
    <w:basedOn w:val="6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customStyle="1">
    <w:name w:val="Plain Table 4"/>
    <w:basedOn w:val="61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customStyle="1">
    <w:name w:val="Plain Table 5"/>
    <w:basedOn w:val="61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7" w:customStyle="1">
    <w:name w:val="Grid Table 1 Light"/>
    <w:basedOn w:val="61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1"/>
    <w:basedOn w:val="61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2"/>
    <w:basedOn w:val="61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3"/>
    <w:basedOn w:val="617"/>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4"/>
    <w:basedOn w:val="6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5"/>
    <w:basedOn w:val="6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6"/>
    <w:basedOn w:val="6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84" w:customStyle="1">
    <w:name w:val="Grid Table 2"/>
    <w:basedOn w:val="6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5" w:customStyle="1">
    <w:name w:val="Grid Table 2 - Accent 1"/>
    <w:basedOn w:val="617"/>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686" w:customStyle="1">
    <w:name w:val="Grid Table 2 - Accent 2"/>
    <w:basedOn w:val="617"/>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687" w:customStyle="1">
    <w:name w:val="Grid Table 2 - Accent 3"/>
    <w:basedOn w:val="61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688" w:customStyle="1">
    <w:name w:val="Grid Table 2 - Accent 4"/>
    <w:basedOn w:val="6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689" w:customStyle="1">
    <w:name w:val="Grid Table 2 - Accent 5"/>
    <w:basedOn w:val="6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690" w:customStyle="1">
    <w:name w:val="Grid Table 2 - Accent 6"/>
    <w:basedOn w:val="617"/>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691" w:customStyle="1">
    <w:name w:val="Grid Table 3"/>
    <w:basedOn w:val="6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1"/>
    <w:basedOn w:val="6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2"/>
    <w:basedOn w:val="6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3"/>
    <w:basedOn w:val="61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4"/>
    <w:basedOn w:val="6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5"/>
    <w:basedOn w:val="617"/>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6"/>
    <w:basedOn w:val="6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4"/>
    <w:basedOn w:val="61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customStyle="1">
    <w:name w:val="Grid Table 4 - Accent 1"/>
    <w:basedOn w:val="617"/>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00" w:customStyle="1">
    <w:name w:val="Grid Table 4 - Accent 2"/>
    <w:basedOn w:val="617"/>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01" w:customStyle="1">
    <w:name w:val="Grid Table 4 - Accent 3"/>
    <w:basedOn w:val="6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02" w:customStyle="1">
    <w:name w:val="Grid Table 4 - Accent 4"/>
    <w:basedOn w:val="617"/>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03" w:customStyle="1">
    <w:name w:val="Grid Table 4 - Accent 5"/>
    <w:basedOn w:val="617"/>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04" w:customStyle="1">
    <w:name w:val="Grid Table 4 - Accent 6"/>
    <w:basedOn w:val="617"/>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05" w:customStyle="1">
    <w:name w:val="Grid Table 5 Dark"/>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6" w:customStyle="1">
    <w:name w:val="Grid Table 5 Dark- Accent 1"/>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07" w:customStyle="1">
    <w:name w:val="Grid Table 5 Dark - Accent 2"/>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08" w:customStyle="1">
    <w:name w:val="Grid Table 5 Dark - Accent 3"/>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09" w:customStyle="1">
    <w:name w:val="Grid Table 5 Dark- Accent 4"/>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10" w:customStyle="1">
    <w:name w:val="Grid Table 5 Dark - Accent 5"/>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11" w:customStyle="1">
    <w:name w:val="Grid Table 5 Dark - Accent 6"/>
    <w:basedOn w:val="6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12" w:customStyle="1">
    <w:name w:val="Grid Table 6 Colorful"/>
    <w:basedOn w:val="6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3" w:customStyle="1">
    <w:name w:val="Grid Table 6 Colorful - Accent 1"/>
    <w:basedOn w:val="617"/>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14" w:customStyle="1">
    <w:name w:val="Grid Table 6 Colorful - Accent 2"/>
    <w:basedOn w:val="61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15" w:customStyle="1">
    <w:name w:val="Grid Table 6 Colorful - Accent 3"/>
    <w:basedOn w:val="6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16" w:customStyle="1">
    <w:name w:val="Grid Table 6 Colorful - Accent 4"/>
    <w:basedOn w:val="6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17" w:customStyle="1">
    <w:name w:val="Grid Table 6 Colorful - Accent 5"/>
    <w:basedOn w:val="617"/>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18" w:customStyle="1">
    <w:name w:val="Grid Table 6 Colorful - Accent 6"/>
    <w:basedOn w:val="617"/>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19" w:customStyle="1">
    <w:name w:val="Grid Table 7 Colorful"/>
    <w:basedOn w:val="6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0" w:customStyle="1">
    <w:name w:val="Grid Table 7 Colorful - Accent 1"/>
    <w:basedOn w:val="617"/>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21" w:customStyle="1">
    <w:name w:val="Grid Table 7 Colorful - Accent 2"/>
    <w:basedOn w:val="6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22" w:customStyle="1">
    <w:name w:val="Grid Table 7 Colorful - Accent 3"/>
    <w:basedOn w:val="6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23" w:customStyle="1">
    <w:name w:val="Grid Table 7 Colorful - Accent 4"/>
    <w:basedOn w:val="6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24" w:customStyle="1">
    <w:name w:val="Grid Table 7 Colorful - Accent 5"/>
    <w:basedOn w:val="6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25" w:customStyle="1">
    <w:name w:val="Grid Table 7 Colorful - Accent 6"/>
    <w:basedOn w:val="6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26" w:customStyle="1">
    <w:name w:val="List Table 1 Light"/>
    <w:basedOn w:val="61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List Table 1 Light - Accent 1"/>
    <w:basedOn w:val="6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28" w:customStyle="1">
    <w:name w:val="List Table 1 Light - Accent 2"/>
    <w:basedOn w:val="617"/>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29" w:customStyle="1">
    <w:name w:val="List Table 1 Light - Accent 3"/>
    <w:basedOn w:val="617"/>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30" w:customStyle="1">
    <w:name w:val="List Table 1 Light - Accent 4"/>
    <w:basedOn w:val="617"/>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31" w:customStyle="1">
    <w:name w:val="List Table 1 Light - Accent 5"/>
    <w:basedOn w:val="617"/>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32" w:customStyle="1">
    <w:name w:val="List Table 1 Light - Accent 6"/>
    <w:basedOn w:val="617"/>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33" w:customStyle="1">
    <w:name w:val="List Table 2"/>
    <w:basedOn w:val="6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2 - Accent 1"/>
    <w:basedOn w:val="61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35" w:customStyle="1">
    <w:name w:val="List Table 2 - Accent 2"/>
    <w:basedOn w:val="61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36" w:customStyle="1">
    <w:name w:val="List Table 2 - Accent 3"/>
    <w:basedOn w:val="617"/>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37" w:customStyle="1">
    <w:name w:val="List Table 2 - Accent 4"/>
    <w:basedOn w:val="6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38" w:customStyle="1">
    <w:name w:val="List Table 2 - Accent 5"/>
    <w:basedOn w:val="6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39" w:customStyle="1">
    <w:name w:val="List Table 2 - Accent 6"/>
    <w:basedOn w:val="61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40" w:customStyle="1">
    <w:name w:val="List Table 3"/>
    <w:basedOn w:val="6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3 - Accent 1"/>
    <w:basedOn w:val="617"/>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42" w:customStyle="1">
    <w:name w:val="List Table 3 - Accent 2"/>
    <w:basedOn w:val="61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43" w:customStyle="1">
    <w:name w:val="List Table 3 - Accent 3"/>
    <w:basedOn w:val="617"/>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44" w:customStyle="1">
    <w:name w:val="List Table 3 - Accent 4"/>
    <w:basedOn w:val="6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45" w:customStyle="1">
    <w:name w:val="List Table 3 - Accent 5"/>
    <w:basedOn w:val="617"/>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46" w:customStyle="1">
    <w:name w:val="List Table 3 - Accent 6"/>
    <w:basedOn w:val="617"/>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47" w:customStyle="1">
    <w:name w:val="List Table 4"/>
    <w:basedOn w:val="6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 Accent 1"/>
    <w:basedOn w:val="617"/>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49" w:customStyle="1">
    <w:name w:val="List Table 4 - Accent 2"/>
    <w:basedOn w:val="6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50" w:customStyle="1">
    <w:name w:val="List Table 4 - Accent 3"/>
    <w:basedOn w:val="617"/>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51" w:customStyle="1">
    <w:name w:val="List Table 4 - Accent 4"/>
    <w:basedOn w:val="617"/>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52" w:customStyle="1">
    <w:name w:val="List Table 4 - Accent 5"/>
    <w:basedOn w:val="617"/>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53" w:customStyle="1">
    <w:name w:val="List Table 4 - Accent 6"/>
    <w:basedOn w:val="617"/>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54" w:customStyle="1">
    <w:name w:val="List Table 5 Dark"/>
    <w:basedOn w:val="61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5 Dark - Accent 1"/>
    <w:basedOn w:val="617"/>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5 Dark - Accent 2"/>
    <w:basedOn w:val="617"/>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3"/>
    <w:basedOn w:val="617"/>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4"/>
    <w:basedOn w:val="617"/>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5"/>
    <w:basedOn w:val="617"/>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6"/>
    <w:basedOn w:val="617"/>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6 Colorful"/>
    <w:basedOn w:val="61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6 Colorful - Accent 1"/>
    <w:basedOn w:val="617"/>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63" w:customStyle="1">
    <w:name w:val="List Table 6 Colorful - Accent 2"/>
    <w:basedOn w:val="617"/>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64" w:customStyle="1">
    <w:name w:val="List Table 6 Colorful - Accent 3"/>
    <w:basedOn w:val="617"/>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65" w:customStyle="1">
    <w:name w:val="List Table 6 Colorful - Accent 4"/>
    <w:basedOn w:val="61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66" w:customStyle="1">
    <w:name w:val="List Table 6 Colorful - Accent 5"/>
    <w:basedOn w:val="617"/>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67" w:customStyle="1">
    <w:name w:val="List Table 6 Colorful - Accent 6"/>
    <w:basedOn w:val="617"/>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68" w:customStyle="1">
    <w:name w:val="List Table 7 Colorful"/>
    <w:basedOn w:val="61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7 Colorful - Accent 1"/>
    <w:basedOn w:val="61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70" w:customStyle="1">
    <w:name w:val="List Table 7 Colorful - Accent 2"/>
    <w:basedOn w:val="61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1" w:customStyle="1">
    <w:name w:val="List Table 7 Colorful - Accent 3"/>
    <w:basedOn w:val="61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72" w:customStyle="1">
    <w:name w:val="List Table 7 Colorful - Accent 4"/>
    <w:basedOn w:val="617"/>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3" w:customStyle="1">
    <w:name w:val="List Table 7 Colorful - Accent 5"/>
    <w:basedOn w:val="617"/>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74" w:customStyle="1">
    <w:name w:val="List Table 7 Colorful - Accent 6"/>
    <w:basedOn w:val="617"/>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75" w:customStyle="1">
    <w:name w:val="Lined - Accent"/>
    <w:basedOn w:val="6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6" w:customStyle="1">
    <w:name w:val="Lined - Accent 1"/>
    <w:basedOn w:val="6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77" w:customStyle="1">
    <w:name w:val="Lined - Accent 2"/>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78" w:customStyle="1">
    <w:name w:val="Lined - Accent 3"/>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79" w:customStyle="1">
    <w:name w:val="Lined - Accent 4"/>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80" w:customStyle="1">
    <w:name w:val="Lined - Accent 5"/>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81" w:customStyle="1">
    <w:name w:val="Lined - Accent 6"/>
    <w:basedOn w:val="61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82" w:customStyle="1">
    <w:name w:val="Bordered &amp; Lined - Accent"/>
    <w:basedOn w:val="617"/>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3" w:customStyle="1">
    <w:name w:val="Bordered &amp; Lined - Accent 1"/>
    <w:basedOn w:val="617"/>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84" w:customStyle="1">
    <w:name w:val="Bordered &amp; Lined - Accent 2"/>
    <w:basedOn w:val="617"/>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85" w:customStyle="1">
    <w:name w:val="Bordered &amp; Lined - Accent 3"/>
    <w:basedOn w:val="617"/>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86" w:customStyle="1">
    <w:name w:val="Bordered &amp; Lined - Accent 4"/>
    <w:basedOn w:val="617"/>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87" w:customStyle="1">
    <w:name w:val="Bordered &amp; Lined - Accent 5"/>
    <w:basedOn w:val="617"/>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88" w:customStyle="1">
    <w:name w:val="Bordered &amp; Lined - Accent 6"/>
    <w:basedOn w:val="617"/>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89" w:customStyle="1">
    <w:name w:val="Bordered"/>
    <w:basedOn w:val="617"/>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0" w:customStyle="1">
    <w:name w:val="Bordered - Accent 1"/>
    <w:basedOn w:val="61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791" w:customStyle="1">
    <w:name w:val="Bordered - Accent 2"/>
    <w:basedOn w:val="61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792" w:customStyle="1">
    <w:name w:val="Bordered - Accent 3"/>
    <w:basedOn w:val="617"/>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93" w:customStyle="1">
    <w:name w:val="Bordered - Accent 4"/>
    <w:basedOn w:val="617"/>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794" w:customStyle="1">
    <w:name w:val="Bordered - Accent 5"/>
    <w:basedOn w:val="617"/>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795" w:customStyle="1">
    <w:name w:val="Bordered - Accent 6"/>
    <w:basedOn w:val="617"/>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796" w:customStyle="1">
    <w:name w:val="Footnote Text Char"/>
    <w:link w:val="636"/>
    <w:uiPriority w:val="99"/>
    <w:rPr>
      <w:sz w:val="18"/>
    </w:rPr>
  </w:style>
  <w:style w:type="character" w:styleId="797" w:customStyle="1">
    <w:name w:val="Endnote Text Char"/>
    <w:link w:val="629"/>
    <w:uiPriority w:val="99"/>
    <w:rPr>
      <w:sz w:val="20"/>
    </w:rPr>
  </w:style>
  <w:style w:type="paragraph" w:styleId="798" w:customStyle="1">
    <w:name w:val="TOC Heading"/>
    <w:uiPriority w:val="39"/>
    <w:unhideWhenUsed/>
    <w:rPr>
      <w:rFonts w:hint="default" w:ascii="Times New Roman" w:hAnsi="Times New Roman" w:eastAsia="宋体" w:cs="Times New Roman"/>
    </w:rPr>
  </w:style>
  <w:style w:type="paragraph" w:styleId="799" w:customStyle="1">
    <w:name w:val="Default"/>
    <w:basedOn w:val="606"/>
    <w:uiPriority w:val="0"/>
    <w:semiHidden/>
    <w:qFormat/>
    <w:pPr>
      <w:jc w:val="left"/>
    </w:pPr>
    <w:rPr>
      <w:rFonts w:ascii="宋体" w:hAnsi="Calibri" w:cs="宋体"/>
      <w:color w:val="000000"/>
      <w:sz w:val="24"/>
    </w:rPr>
  </w:style>
  <w:style w:type="character" w:styleId="800" w:customStyle="1">
    <w:name w:val="页眉 Char"/>
    <w:basedOn w:val="616"/>
    <w:link w:val="632"/>
    <w:uiPriority w:val="0"/>
    <w:qFormat/>
    <w:rPr>
      <w:rFonts w:asciiTheme="minorHAnsi" w:hAnsiTheme="minorHAnsi" w:eastAsiaTheme="minorEastAsia" w:cstheme="minorBidi"/>
      <w:sz w:val="18"/>
      <w:szCs w:val="18"/>
    </w:rPr>
  </w:style>
  <w:style w:type="character" w:styleId="801" w:customStyle="1">
    <w:name w:val="页脚 Char"/>
    <w:basedOn w:val="616"/>
    <w:link w:val="631"/>
    <w:uiPriority w:val="0"/>
    <w:qFormat/>
    <w:rPr>
      <w:rFonts w:asciiTheme="minorHAnsi" w:hAnsiTheme="minorHAnsi" w:eastAsiaTheme="minorEastAsia" w:cstheme="minorBidi"/>
      <w:sz w:val="18"/>
      <w:szCs w:val="18"/>
    </w:rPr>
  </w:style>
  <w:style w:type="paragraph" w:styleId="802" w:customStyle="1">
    <w:name w:val="普通正文"/>
    <w:basedOn w:val="606"/>
    <w:uiPriority w:val="0"/>
    <w:qFormat/>
    <w:pPr>
      <w:ind w:firstLine="480"/>
      <w:jc w:val="left"/>
      <w:spacing w:before="120" w:after="120" w:line="360" w:lineRule="auto"/>
    </w:pPr>
    <w:rPr>
      <w:rFonts w:ascii="Arial" w:hAnsi="Arial" w:eastAsia="等线" w:cs="Arial"/>
      <w:sz w:val="24"/>
    </w:rPr>
  </w:style>
  <w:style w:type="paragraph" w:styleId="803" w:customStyle="1">
    <w:name w:val="正文首行缩进 21"/>
    <w:basedOn w:val="804"/>
    <w:uiPriority w:val="0"/>
    <w:qFormat/>
    <w:pPr>
      <w:ind w:firstLine="420"/>
    </w:pPr>
  </w:style>
  <w:style w:type="paragraph" w:styleId="804" w:customStyle="1">
    <w:name w:val="正文文本缩进1"/>
    <w:basedOn w:val="606"/>
    <w:uiPriority w:val="0"/>
    <w:qFormat/>
    <w:pPr>
      <w:ind w:left="420"/>
      <w:spacing w:after="120"/>
    </w:pPr>
  </w:style>
  <w:style w:type="paragraph" w:styleId="805" w:customStyle="1">
    <w:name w:val="表格"/>
    <w:basedOn w:val="606"/>
    <w:uiPriority w:val="0"/>
    <w:qFormat/>
    <w:pPr>
      <w:jc w:val="center"/>
    </w:pPr>
    <w:rPr>
      <w:rFonts w:ascii="Times New Roman" w:hAnsi="Times New Roman" w:eastAsia="宋体" w:cs="Times New Roman"/>
      <w:szCs w:val="21"/>
    </w:rPr>
  </w:style>
  <w:style w:type="paragraph" w:styleId="806" w:customStyle="1">
    <w:name w:val="null3"/>
    <w:hidden/>
    <w:uiPriority w:val="0"/>
    <w:qFormat/>
    <w:rPr>
      <w:rFonts w:hint="eastAsia" w:asciiTheme="minorHAnsi" w:hAnsiTheme="minorHAnsi" w:eastAsiaTheme="minorEastAsia" w:cstheme="minorBidi"/>
      <w:lang w:val="en-US" w:eastAsia="zh-Hans" w:bidi="ar-SA"/>
    </w:rPr>
  </w:style>
  <w:style w:type="character" w:styleId="807" w:customStyle="1">
    <w:name w:val="批注框文本 Char"/>
    <w:basedOn w:val="616"/>
    <w:link w:val="630"/>
    <w:uiPriority w:val="0"/>
    <w:qFormat/>
    <w:rPr>
      <w:rFonts w:asciiTheme="minorHAnsi" w:hAnsiTheme="minorHAnsi" w:eastAsiaTheme="minorEastAsia" w:cstheme="minorBidi"/>
      <w:sz w:val="18"/>
      <w:szCs w:val="18"/>
    </w:rPr>
  </w:style>
  <w:style w:type="numbering" w:styleId="95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王爽</cp:lastModifiedBy>
  <cp:revision>8</cp:revision>
  <dcterms:created xsi:type="dcterms:W3CDTF">2026-07-09T11:09:00Z</dcterms:created>
  <dcterms:modified xsi:type="dcterms:W3CDTF">2026-09-07T08:46:02Z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4A19DD20FBAD4047B8D1DF4D1E0D1B49_13</vt:lpwstr>
  </property>
  <property fmtid="{D5CDD505-2E9C-101B-9397-08002B2CF9AE}" pid="4" name="KSOTemplateDocerSaveRecord">
    <vt:lpwstr>eyJoZGlkIjoiN2YwYzI5MTdiZmE4MjRkZWI0NzVhNGQ4ZjY4YjZiY2IiLCJ1c2VySWQiOiI0NDkwNzIyODIifQ==</vt:lpwstr>
  </property>
</Properties>
</file>