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84"/>
          <w:szCs w:val="84"/>
          <w:highlight w:val="none"/>
        </w:rPr>
        <w:t xml:space="preserve">单一来源采购文件</w:t>
      </w:r>
      <w:r/>
    </w:p>
    <w:p>
      <w:pPr>
        <w:pStyle w:val="680"/>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0"/>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0"/>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0"/>
        <w:jc w:val="center"/>
        <w:spacing w:before="120" w:beforeAutospacing="0" w:after="120" w:afterAutospacing="0" w:line="360" w:lineRule="auto"/>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项目编号：JSZC-320900-JSJA-D2026-</w:t>
      </w:r>
      <w:r>
        <w:rPr>
          <w:rFonts w:hint="eastAsia" w:ascii="宋体" w:hAnsi="宋体" w:eastAsia="宋体" w:cs="宋体"/>
          <w:b/>
          <w:color w:val="auto"/>
          <w:sz w:val="32"/>
          <w:szCs w:val="32"/>
          <w:highlight w:val="none"/>
          <w:lang w:val="en-US" w:eastAsia="zh-CN"/>
        </w:rPr>
        <w:t xml:space="preserve">0003</w:t>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项目名称：2026年市级党报媒体宣传服务项目</w:t>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采购人：盐城市住房和城乡建设局</w:t>
      </w:r>
      <w:r/>
    </w:p>
    <w:p>
      <w:pPr>
        <w:pStyle w:val="680"/>
        <w:jc w:val="center"/>
        <w:spacing w:before="120" w:beforeAutospacing="0" w:after="120" w:afterAutospacing="0"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2026年6月</w:t>
      </w:r>
      <w:r/>
    </w:p>
    <w:p>
      <w:pPr>
        <w:pStyle w:val="680"/>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360" w:lineRule="auto"/>
        <w:rPr>
          <w:rFonts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auto"/>
          <w:sz w:val="21"/>
          <w:szCs w:val="21"/>
          <w:highlight w:val="none"/>
        </w:rPr>
      </w:r>
      <w:r/>
    </w:p>
    <w:p>
      <w:pPr>
        <w:pStyle w:val="680"/>
        <w:jc w:val="center"/>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sz w:val="21"/>
          <w:szCs w:val="21"/>
          <w:highlight w:val="none"/>
        </w:rPr>
        <w:t xml:space="preserve"> </w:t>
      </w:r>
      <w:bookmarkStart w:id="0" w:name="_Toc479757206"/>
      <w:r/>
      <w:bookmarkStart w:id="1" w:name="_Toc523127445"/>
      <w:r/>
      <w:bookmarkStart w:id="2" w:name="_Toc20823272"/>
      <w:r/>
      <w:bookmarkStart w:id="3" w:name="_Toc16938516"/>
      <w:r/>
      <w:bookmarkStart w:id="4" w:name="_Toc120614210"/>
      <w:r/>
      <w:bookmarkStart w:id="5" w:name="_Toc513029200"/>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left="2160" w:hanging="1440"/>
        <w:jc w:val="both"/>
        <w:spacing w:beforeAutospacing="0" w:afterAutospacing="0" w:line="360" w:lineRule="auto"/>
        <w:tabs>
          <w:tab w:val="left" w:pos="1441" w:leader="none"/>
        </w:tabs>
        <w:rPr>
          <w:rFonts w:ascii="宋体" w:hAnsi="宋体" w:eastAsia="宋体" w:cs="宋体"/>
          <w:color w:val="auto"/>
          <w:highlight w:val="none"/>
        </w:rPr>
      </w:pPr>
      <w:r>
        <w:rPr>
          <w:rFonts w:hint="eastAsia" w:ascii="宋体" w:hAnsi="宋体" w:eastAsia="宋体" w:cs="宋体"/>
          <w:color w:val="auto"/>
          <w:sz w:val="36"/>
          <w:szCs w:val="36"/>
          <w:highlight w:val="none"/>
        </w:rPr>
        <w:t xml:space="preserve">单一来源采购邀请函………………………1</w:t>
      </w:r>
      <w:r/>
    </w:p>
    <w:p>
      <w:pPr>
        <w:pStyle w:val="680"/>
        <w:ind w:left="2160" w:hanging="1440"/>
        <w:jc w:val="both"/>
        <w:spacing w:beforeAutospacing="0" w:afterAutospacing="0" w:line="360" w:lineRule="auto"/>
        <w:tabs>
          <w:tab w:val="left" w:pos="1441" w:leader="none"/>
        </w:tabs>
        <w:rPr>
          <w:rFonts w:ascii="宋体" w:hAnsi="宋体" w:eastAsia="宋体" w:cs="宋体"/>
          <w:color w:val="auto"/>
          <w:highlight w:val="none"/>
        </w:rPr>
      </w:pPr>
      <w:r>
        <w:rPr>
          <w:rFonts w:hint="eastAsia" w:ascii="宋体" w:hAnsi="宋体" w:eastAsia="宋体" w:cs="宋体"/>
          <w:color w:val="auto"/>
          <w:sz w:val="36"/>
          <w:szCs w:val="36"/>
          <w:highlight w:val="none"/>
        </w:rPr>
        <w:t xml:space="preserve">供应商须知…………………………………4  </w:t>
      </w:r>
      <w:r/>
    </w:p>
    <w:p>
      <w:pPr>
        <w:pStyle w:val="680"/>
        <w:ind w:left="2160" w:hanging="1440"/>
        <w:jc w:val="both"/>
        <w:spacing w:beforeAutospacing="0" w:afterAutospacing="0" w:line="360" w:lineRule="auto"/>
        <w:tabs>
          <w:tab w:val="left" w:pos="1441" w:leader="none"/>
        </w:tabs>
        <w:rPr>
          <w:rFonts w:hint="eastAsia" w:ascii="宋体" w:hAnsi="宋体" w:eastAsia="宋体" w:cs="宋体"/>
          <w:color w:val="auto"/>
          <w:highlight w:val="none"/>
          <w:lang w:eastAsia="zh-CN"/>
        </w:rPr>
      </w:pPr>
      <w:r>
        <w:rPr>
          <w:rFonts w:hint="eastAsia" w:ascii="宋体" w:hAnsi="宋体" w:eastAsia="宋体" w:cs="宋体"/>
          <w:color w:val="auto"/>
          <w:sz w:val="36"/>
          <w:szCs w:val="36"/>
          <w:highlight w:val="none"/>
        </w:rPr>
        <w:t xml:space="preserve">合同文本……………………………………1</w:t>
      </w:r>
      <w:r>
        <w:rPr>
          <w:rFonts w:hint="eastAsia" w:ascii="宋体" w:hAnsi="宋体" w:eastAsia="宋体" w:cs="宋体"/>
          <w:color w:val="auto"/>
          <w:sz w:val="36"/>
          <w:szCs w:val="36"/>
          <w:highlight w:val="none"/>
          <w:lang w:val="en-US" w:eastAsia="zh-CN"/>
        </w:rPr>
        <w:t xml:space="preserve">8</w:t>
      </w:r>
      <w:r/>
    </w:p>
    <w:p>
      <w:pPr>
        <w:pStyle w:val="680"/>
        <w:ind w:left="2160" w:hanging="1440"/>
        <w:jc w:val="both"/>
        <w:spacing w:beforeAutospacing="0" w:afterAutospacing="0" w:line="360" w:lineRule="auto"/>
        <w:tabs>
          <w:tab w:val="left" w:pos="1441" w:leader="none"/>
        </w:tabs>
        <w:rPr>
          <w:rFonts w:ascii="宋体" w:hAnsi="宋体" w:eastAsia="宋体" w:cs="宋体"/>
          <w:color w:val="auto"/>
          <w:highlight w:val="none"/>
        </w:rPr>
      </w:pPr>
      <w:r>
        <w:rPr>
          <w:rFonts w:hint="eastAsia" w:ascii="宋体" w:hAnsi="宋体" w:eastAsia="宋体" w:cs="宋体"/>
          <w:color w:val="auto"/>
          <w:sz w:val="36"/>
          <w:szCs w:val="36"/>
          <w:highlight w:val="none"/>
        </w:rPr>
        <w:t xml:space="preserve">采购需求……………………………………23</w:t>
      </w:r>
      <w:r/>
    </w:p>
    <w:p>
      <w:pPr>
        <w:pStyle w:val="680"/>
        <w:ind w:left="2160" w:hanging="1440"/>
        <w:jc w:val="both"/>
        <w:spacing w:beforeAutospacing="0" w:afterAutospacing="0" w:line="360" w:lineRule="auto"/>
        <w:tabs>
          <w:tab w:val="left" w:pos="1441" w:leader="none"/>
        </w:tabs>
        <w:rPr>
          <w:rFonts w:hint="eastAsia" w:ascii="宋体" w:hAnsi="宋体" w:eastAsia="宋体" w:cs="宋体"/>
          <w:color w:val="auto"/>
          <w:highlight w:val="none"/>
          <w:lang w:eastAsia="zh-CN"/>
        </w:rPr>
      </w:pPr>
      <w:r>
        <w:rPr>
          <w:rFonts w:hint="eastAsia" w:ascii="宋体" w:hAnsi="宋体" w:eastAsia="宋体" w:cs="宋体"/>
          <w:color w:val="auto"/>
          <w:sz w:val="36"/>
          <w:szCs w:val="36"/>
          <w:highlight w:val="none"/>
        </w:rPr>
        <w:t xml:space="preserve">响应文件格式………………………………2</w:t>
      </w:r>
      <w:r>
        <w:rPr>
          <w:rFonts w:hint="eastAsia" w:ascii="宋体" w:hAnsi="宋体" w:eastAsia="宋体" w:cs="宋体"/>
          <w:color w:val="auto"/>
          <w:sz w:val="36"/>
          <w:szCs w:val="36"/>
          <w:highlight w:val="none"/>
          <w:lang w:val="en-US" w:eastAsia="zh-CN"/>
        </w:rPr>
        <w:t xml:space="preserve">5</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auto"/>
          <w:highlight w:val="none"/>
        </w:rPr>
      </w:r>
      <w:r/>
    </w:p>
    <w:p>
      <w:pPr>
        <w:pStyle w:val="680"/>
        <w:jc w:val="center"/>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sz w:val="44"/>
          <w:szCs w:val="44"/>
          <w:highlight w:val="none"/>
        </w:rPr>
        <w:t xml:space="preserve">第一章  单一来源采购邀请函</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lang w:val="en-US" w:eastAsia="zh-CN"/>
        </w:rPr>
        <w:t xml:space="preserve">盐城市住房和城乡建设局</w:t>
      </w:r>
      <w:r>
        <w:rPr>
          <w:rFonts w:hint="eastAsia" w:ascii="宋体" w:hAnsi="宋体" w:eastAsia="宋体" w:cs="宋体"/>
          <w:color w:val="000000"/>
          <w:sz w:val="24"/>
          <w:szCs w:val="24"/>
        </w:rPr>
        <w:t xml:space="preserve">的委托，</w:t>
      </w:r>
      <w:r>
        <w:rPr>
          <w:rFonts w:hint="eastAsia" w:ascii="宋体" w:hAnsi="宋体" w:eastAsia="宋体" w:cs="宋体"/>
          <w:color w:val="000000"/>
          <w:sz w:val="24"/>
          <w:szCs w:val="24"/>
          <w:u w:val="single"/>
          <w:lang w:val="en-US" w:eastAsia="zh-CN"/>
        </w:rPr>
        <w:t xml:space="preserve">江苏建安工程管理咨询有限公司</w:t>
      </w:r>
      <w:r>
        <w:rPr>
          <w:rFonts w:hint="eastAsia" w:ascii="宋体" w:hAnsi="宋体" w:eastAsia="宋体" w:cs="宋体"/>
          <w:color w:val="000000"/>
          <w:sz w:val="24"/>
          <w:szCs w:val="24"/>
        </w:rPr>
        <w:t xml:space="preserve">就</w:t>
      </w:r>
      <w:r>
        <w:rPr>
          <w:rFonts w:hint="eastAsia" w:ascii="宋体" w:hAnsi="宋体" w:eastAsia="宋体" w:cs="宋体"/>
          <w:color w:val="auto"/>
          <w:sz w:val="24"/>
          <w:szCs w:val="24"/>
          <w:highlight w:val="none"/>
          <w:u w:val="single"/>
          <w:lang w:eastAsia="zh-CN"/>
        </w:rPr>
        <w:t xml:space="preserve">2026年市级</w:t>
      </w:r>
      <w:r>
        <w:rPr>
          <w:rFonts w:hint="eastAsia" w:ascii="宋体" w:hAnsi="宋体" w:eastAsia="宋体" w:cs="宋体"/>
          <w:color w:val="auto"/>
          <w:sz w:val="24"/>
          <w:szCs w:val="24"/>
          <w:highlight w:val="none"/>
          <w:u w:val="single"/>
          <w:lang w:val="en-US" w:eastAsia="zh-CN"/>
        </w:rPr>
        <w:t xml:space="preserve">党报</w:t>
      </w:r>
      <w:r>
        <w:rPr>
          <w:rFonts w:hint="eastAsia" w:ascii="宋体" w:hAnsi="宋体" w:eastAsia="宋体" w:cs="宋体"/>
          <w:color w:val="auto"/>
          <w:sz w:val="24"/>
          <w:szCs w:val="24"/>
          <w:highlight w:val="none"/>
          <w:u w:val="single"/>
          <w:lang w:eastAsia="zh-CN"/>
        </w:rPr>
        <w:t xml:space="preserve">媒体宣传服务项目</w:t>
      </w:r>
      <w:r>
        <w:rPr>
          <w:rFonts w:hint="eastAsia" w:ascii="宋体" w:hAnsi="宋体" w:eastAsia="宋体" w:cs="宋体"/>
          <w:color w:val="000000"/>
          <w:sz w:val="24"/>
          <w:szCs w:val="24"/>
        </w:rPr>
        <w:t xml:space="preserve">(项目编号：JSZC-</w:t>
      </w:r>
      <w:r>
        <w:rPr>
          <w:rFonts w:hint="eastAsia" w:ascii="宋体" w:hAnsi="宋体" w:eastAsia="宋体" w:cs="宋体"/>
          <w:color w:val="auto"/>
          <w:sz w:val="24"/>
          <w:szCs w:val="24"/>
          <w:highlight w:val="none"/>
          <w:lang w:eastAsia="zh-CN"/>
        </w:rPr>
        <w:t xml:space="preserve">320900-JSJA-D2026-</w:t>
      </w:r>
      <w:r>
        <w:rPr>
          <w:rFonts w:hint="eastAsia" w:ascii="宋体" w:hAnsi="宋体" w:eastAsia="宋体" w:cs="宋体"/>
          <w:color w:val="auto"/>
          <w:sz w:val="24"/>
          <w:szCs w:val="24"/>
          <w:highlight w:val="none"/>
          <w:lang w:val="en-US" w:eastAsia="zh-CN"/>
        </w:rPr>
        <w:t xml:space="preserve">0003</w:t>
      </w:r>
      <w:r>
        <w:rPr>
          <w:rFonts w:hint="eastAsia" w:ascii="宋体" w:hAnsi="宋体" w:eastAsia="宋体" w:cs="宋体"/>
          <w:color w:val="000000"/>
          <w:sz w:val="24"/>
          <w:szCs w:val="24"/>
        </w:rPr>
        <w:t xml:space="preserve">)项目进行单一来源采购，欢迎符合相关条件的</w:t>
      </w:r>
      <w:r>
        <w:rPr>
          <w:rFonts w:hint="eastAsia" w:ascii="宋体" w:hAnsi="宋体" w:eastAsia="宋体" w:cs="宋体"/>
          <w:color w:val="auto"/>
          <w:sz w:val="24"/>
          <w:szCs w:val="24"/>
          <w:highlight w:val="none"/>
          <w:shd w:val="clear" w:color="auto" w:fill="auto"/>
        </w:rPr>
        <w:t xml:space="preserve">合格供应商</w:t>
      </w:r>
      <w:r>
        <w:rPr>
          <w:rFonts w:hint="eastAsia" w:ascii="宋体" w:hAnsi="宋体" w:eastAsia="宋体" w:cs="宋体"/>
          <w:color w:val="000000"/>
          <w:sz w:val="24"/>
          <w:szCs w:val="24"/>
        </w:rPr>
        <w:t xml:space="preserve">参加采购活动。</w:t>
      </w:r>
      <w:r/>
    </w:p>
    <w:p>
      <w:pPr>
        <w:pStyle w:val="680"/>
        <w:ind w:firstLine="498"/>
        <w:jc w:val="both"/>
        <w:keepLines/>
        <w:keepNext/>
        <w:spacing w:beforeAutospacing="0" w:afterAutospacing="0" w:line="360" w:lineRule="auto"/>
        <w:rPr>
          <w:rFonts w:ascii="宋体" w:hAnsi="宋体" w:eastAsia="宋体" w:cs="宋体"/>
          <w:color w:val="auto"/>
          <w:highlight w:val="none"/>
        </w:rPr>
      </w:pPr>
      <w:r/>
      <w:bookmarkStart w:id="6" w:name="_Toc38985263"/>
      <w:r/>
      <w:bookmarkStart w:id="7" w:name="_Toc35393621"/>
      <w:r/>
      <w:bookmarkStart w:id="8" w:name="_Hlk24379207"/>
      <w:r/>
      <w:bookmarkStart w:id="9" w:name="_Toc35393790"/>
      <w:r/>
      <w:bookmarkStart w:id="10" w:name="_Toc28359002"/>
      <w:r/>
      <w:bookmarkStart w:id="11" w:name="_Toc28359079"/>
      <w:r>
        <w:rPr>
          <w:rFonts w:hint="eastAsia" w:ascii="宋体" w:hAnsi="宋体" w:eastAsia="宋体" w:cs="宋体"/>
          <w:b/>
          <w:color w:val="auto"/>
          <w:highlight w:val="none"/>
          <w:lang w:eastAsia="zh-CN"/>
        </w:rPr>
        <w:t xml:space="preserve">一</w:t>
      </w:r>
      <w:r>
        <w:rPr>
          <w:rFonts w:hint="eastAsia" w:ascii="宋体" w:hAnsi="宋体" w:eastAsia="宋体" w:cs="宋体"/>
          <w:b/>
          <w:color w:val="auto"/>
          <w:highlight w:val="none"/>
        </w:rPr>
        <w:t xml:space="preserve">、项目基本情况</w:t>
      </w:r>
      <w:bookmarkEnd w:id="6"/>
      <w:r/>
      <w:bookmarkEnd w:id="7"/>
      <w:r/>
      <w:bookmarkEnd w:id="8"/>
      <w:r/>
      <w:bookmarkEnd w:id="9"/>
      <w:r/>
      <w:bookmarkEnd w:id="10"/>
      <w:r/>
      <w:bookmarkEnd w:id="11"/>
      <w:r/>
      <w:r/>
    </w:p>
    <w:p>
      <w:pPr>
        <w:pStyle w:val="680"/>
        <w:ind w:firstLine="480"/>
        <w:jc w:val="both"/>
        <w:spacing w:beforeAutospacing="0" w:afterAutospacing="0" w:line="360" w:lineRule="auto"/>
        <w:rPr>
          <w:rFonts w:hint="eastAsia" w:ascii="宋体" w:hAnsi="宋体" w:eastAsia="宋体" w:cs="宋体"/>
          <w:color w:val="auto"/>
          <w:highlight w:val="none"/>
          <w:lang w:val="en-US" w:eastAsia="zh-CN"/>
        </w:rPr>
      </w:pPr>
      <w:r/>
      <w:bookmarkStart w:id="12" w:name="_Toc35393791"/>
      <w:r/>
      <w:bookmarkStart w:id="13" w:name="_Toc35393622"/>
      <w:r/>
      <w:bookmarkStart w:id="14" w:name="_Toc38985264"/>
      <w:r/>
      <w:bookmarkStart w:id="15" w:name="_Toc28359080"/>
      <w:r/>
      <w:bookmarkStart w:id="16" w:name="_Toc28359003"/>
      <w:r>
        <w:rPr>
          <w:rFonts w:hint="eastAsia" w:ascii="宋体" w:hAnsi="宋体" w:eastAsia="宋体" w:cs="宋体"/>
          <w:color w:val="auto"/>
          <w:highlight w:val="none"/>
        </w:rPr>
        <w:t xml:space="preserve">1.项目编号：JSZC-320900-JSJA-D2026-</w:t>
      </w:r>
      <w:r>
        <w:rPr>
          <w:rFonts w:hint="eastAsia" w:ascii="宋体" w:hAnsi="宋体" w:eastAsia="宋体" w:cs="宋体"/>
          <w:color w:val="auto"/>
          <w:highlight w:val="none"/>
          <w:lang w:val="en-US" w:eastAsia="zh-CN"/>
        </w:rPr>
        <w:t xml:space="preserve">0003 </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2.项目名称：2026年市级党报媒体宣传服务项目</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3.服务地点：采购人指定</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4.采购方式：单一来源采购</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5.预算金额：117.00万元</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6.最高限价：117.00万元</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7.采购需求：详细内容见本单一来源文件第四章。</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8.合同履行期限：1年</w:t>
      </w:r>
      <w:r/>
    </w:p>
    <w:p>
      <w:pPr>
        <w:pStyle w:val="680"/>
        <w:ind w:firstLine="498"/>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lang w:eastAsia="zh-CN"/>
        </w:rPr>
        <w:t xml:space="preserve">二</w:t>
      </w:r>
      <w:r>
        <w:rPr>
          <w:rFonts w:hint="eastAsia" w:ascii="宋体" w:hAnsi="宋体" w:eastAsia="宋体" w:cs="宋体"/>
          <w:b/>
          <w:color w:val="auto"/>
          <w:highlight w:val="none"/>
        </w:rPr>
        <w:t xml:space="preserve">、</w:t>
      </w:r>
      <w:bookmarkEnd w:id="12"/>
      <w:r/>
      <w:bookmarkEnd w:id="13"/>
      <w:r/>
      <w:bookmarkEnd w:id="14"/>
      <w:r/>
      <w:bookmarkEnd w:id="15"/>
      <w:r/>
      <w:bookmarkEnd w:id="16"/>
      <w:r>
        <w:rPr>
          <w:rFonts w:hint="eastAsia" w:ascii="宋体" w:hAnsi="宋体" w:eastAsia="宋体" w:cs="宋体"/>
          <w:b/>
          <w:color w:val="auto"/>
          <w:highlight w:val="none"/>
        </w:rPr>
        <w:t xml:space="preserve">合格单一来源供应商资格要求</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 上一年度的财务状况报表（成立不满一年无需提供）；</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 具备履行合同所必需的设备和专业技术能力的书面声明；</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 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1.5 参加政府采购活动前3年内在经营活动中没有重大违法记录的书面声明。</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1.6 法律、行政法规规定的其他条件。</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1.7 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1.8 单位负责人为同一人或者存在直接控股、管理关系的不同供应商，不得参加同一合同项下的政府采购活动。</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2.落实政府采购政策需满足的资格要求：无。</w:t>
      </w:r>
      <w:r/>
    </w:p>
    <w:p>
      <w:pPr>
        <w:pStyle w:val="680"/>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3.本项目的特定资格要求：无。</w:t>
      </w:r>
      <w:r/>
    </w:p>
    <w:p>
      <w:pPr>
        <w:pStyle w:val="680"/>
        <w:ind w:firstLine="498"/>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lang w:eastAsia="zh-CN"/>
        </w:rPr>
        <w:t xml:space="preserve">三</w:t>
      </w:r>
      <w:r>
        <w:rPr>
          <w:rFonts w:hint="eastAsia" w:ascii="宋体" w:hAnsi="宋体" w:eastAsia="宋体" w:cs="宋体"/>
          <w:b/>
          <w:color w:val="auto"/>
          <w:highlight w:val="none"/>
        </w:rPr>
        <w:t xml:space="preserve">、获取单一来源文件</w:t>
      </w:r>
      <w:r/>
    </w:p>
    <w:p>
      <w:pPr>
        <w:pStyle w:val="680"/>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1.时间：自采购文件在苏采云系统发布之日起至投标截止时间前。</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680"/>
        <w:ind w:firstLine="498"/>
        <w:jc w:val="both"/>
        <w:keepLines/>
        <w:keepNext/>
        <w:spacing w:beforeAutospacing="0" w:afterAutospacing="0" w:line="360" w:lineRule="auto"/>
        <w:rPr>
          <w:rFonts w:ascii="宋体" w:hAnsi="宋体" w:eastAsia="宋体" w:cs="宋体"/>
          <w:color w:val="auto"/>
          <w:highlight w:val="none"/>
        </w:rPr>
      </w:pPr>
      <w:r/>
      <w:bookmarkStart w:id="17" w:name="_Toc35393624"/>
      <w:r/>
      <w:bookmarkStart w:id="18" w:name="_Toc38985266"/>
      <w:r/>
      <w:bookmarkStart w:id="19" w:name="_Toc35393793"/>
      <w:r/>
      <w:bookmarkStart w:id="20" w:name="_Toc28359005"/>
      <w:r/>
      <w:bookmarkStart w:id="21" w:name="_Toc28359082"/>
      <w:r>
        <w:rPr>
          <w:rFonts w:hint="eastAsia" w:ascii="宋体" w:hAnsi="宋体" w:eastAsia="宋体" w:cs="宋体"/>
          <w:b/>
          <w:color w:val="auto"/>
          <w:highlight w:val="none"/>
          <w:lang w:eastAsia="zh-CN"/>
        </w:rPr>
        <w:t xml:space="preserve">四</w:t>
      </w:r>
      <w:r>
        <w:rPr>
          <w:rFonts w:hint="eastAsia" w:ascii="宋体" w:hAnsi="宋体" w:eastAsia="宋体" w:cs="宋体"/>
          <w:b/>
          <w:color w:val="auto"/>
          <w:highlight w:val="none"/>
        </w:rPr>
        <w:t xml:space="preserve">、提交</w:t>
      </w:r>
      <w:bookmarkEnd w:id="17"/>
      <w:r/>
      <w:bookmarkEnd w:id="18"/>
      <w:r>
        <w:rPr>
          <w:rFonts w:hint="eastAsia" w:ascii="宋体" w:hAnsi="宋体" w:eastAsia="宋体" w:cs="宋体"/>
          <w:b/>
          <w:color w:val="auto"/>
          <w:highlight w:val="none"/>
        </w:rPr>
        <w:t xml:space="preserve">响应文件截止时间</w:t>
      </w:r>
      <w:bookmarkEnd w:id="19"/>
      <w:r/>
      <w:bookmarkEnd w:id="20"/>
      <w:r/>
      <w:bookmarkEnd w:id="21"/>
      <w:r/>
      <w:r/>
    </w:p>
    <w:p>
      <w:pPr>
        <w:pStyle w:val="680"/>
        <w:ind w:firstLine="480"/>
        <w:jc w:val="both"/>
        <w:spacing w:beforeAutospacing="0" w:afterAutospacing="0" w:line="360" w:lineRule="auto"/>
        <w:rPr>
          <w:rFonts w:ascii="宋体" w:hAnsi="宋体" w:eastAsia="宋体" w:cs="宋体"/>
          <w:color w:val="auto"/>
          <w:highlight w:val="none"/>
        </w:rPr>
      </w:pPr>
      <w:r/>
      <w:bookmarkStart w:id="22" w:name="_Toc35393627"/>
      <w:r/>
      <w:bookmarkStart w:id="23" w:name="_Toc28359085"/>
      <w:r/>
      <w:bookmarkStart w:id="24" w:name="_Toc35393796"/>
      <w:r/>
      <w:bookmarkStart w:id="25" w:name="_Toc28359008"/>
      <w:r/>
      <w:bookmarkStart w:id="26" w:name="_Toc38985269"/>
      <w:r>
        <w:rPr>
          <w:rFonts w:hint="eastAsia" w:ascii="宋体" w:hAnsi="宋体" w:eastAsia="宋体" w:cs="宋体"/>
          <w:color w:val="auto"/>
          <w:highlight w:val="none"/>
        </w:rPr>
        <w:t xml:space="preserve">1.截止时间：2026年</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月1</w:t>
      </w:r>
      <w:r>
        <w:rPr>
          <w:rFonts w:hint="eastAsia" w:ascii="宋体" w:hAnsi="宋体" w:eastAsia="宋体" w:cs="宋体"/>
          <w:color w:val="auto"/>
          <w:highlight w:val="none"/>
        </w:rPr>
        <w:t xml:space="preserve">日15点00分（北京时间）。</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2.地点：苏采云“不见面”开标大厅 。</w:t>
      </w:r>
      <w:r/>
    </w:p>
    <w:p>
      <w:pPr>
        <w:pStyle w:val="680"/>
        <w:ind w:firstLine="498"/>
        <w:jc w:val="both"/>
        <w:keepLines/>
        <w:keepNext/>
        <w:spacing w:beforeAutospacing="0" w:afterAutospacing="0" w:line="360" w:lineRule="auto"/>
        <w:rPr>
          <w:rFonts w:ascii="宋体" w:hAnsi="宋体" w:eastAsia="宋体" w:cs="宋体"/>
          <w:b/>
          <w:color w:val="auto"/>
          <w:highlight w:val="none"/>
        </w:rPr>
      </w:pPr>
      <w:r>
        <w:rPr>
          <w:rFonts w:hint="eastAsia" w:ascii="宋体" w:hAnsi="宋体" w:eastAsia="宋体" w:cs="宋体"/>
          <w:b/>
          <w:color w:val="auto"/>
          <w:highlight w:val="none"/>
          <w:lang w:eastAsia="zh-CN"/>
        </w:rPr>
        <w:t xml:space="preserve">五</w:t>
      </w:r>
      <w:r>
        <w:rPr>
          <w:rFonts w:hint="eastAsia" w:ascii="宋体" w:hAnsi="宋体" w:eastAsia="宋体" w:cs="宋体"/>
          <w:b/>
          <w:color w:val="auto"/>
          <w:highlight w:val="none"/>
        </w:rPr>
        <w:t xml:space="preserve">、其他</w:t>
      </w:r>
      <w:bookmarkEnd w:id="22"/>
      <w:r/>
      <w:bookmarkEnd w:id="23"/>
      <w:r/>
      <w:bookmarkEnd w:id="24"/>
      <w:r/>
      <w:bookmarkEnd w:id="25"/>
      <w:r/>
      <w:bookmarkEnd w:id="26"/>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bookmarkStart w:id="27" w:name="_Toc28359086"/>
      <w:r>
        <w:rPr>
          <w:rFonts w:hint="eastAsia" w:ascii="宋体" w:hAnsi="宋体" w:eastAsia="宋体" w:cs="宋体"/>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领取CA和办理电子签章（</w:t>
      </w:r>
      <w:r>
        <w:rPr>
          <w:rFonts w:hint="eastAsia" w:ascii="宋体" w:hAnsi="宋体" w:eastAsia="宋体" w:cs="宋体"/>
          <w:color w:val="auto"/>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color w:val="auto"/>
          <w:highlight w:val="none"/>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2.潜在供应商访问电子招标响应交易平台的网络地址和方法：</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2.2 潜在投标人访问“苏采云”系统方法：江苏省政府采购网首页-“苏采云”链接。</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2.3 采购文件（后缀名为“.kedt”）、供应商操作手册及政府采购客户端工具可通过“苏采云”系统相应链接进行下载。</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2.4 采购代理机构将数据电文形式的采购文件加载至“苏采云”系统，供潜在供应商下载或者查阅。</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2.5 请潜在投标单位提前安装相应的控件（详见《“苏采云”系统供应商操作手册》）并使用谷歌浏览器登录“苏采云”系统参与不见面开评标。</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如潜在投标人未按上述要求操作，将自行承担所产生的风险。</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3.有关本次招标的事项若存在变动或修改，敬请及时关注代理机构在“中国政府采购网”、“江苏政府采购网”、“盐城市政府采购网”发布的更正公告。</w:t>
      </w:r>
      <w:r/>
    </w:p>
    <w:p>
      <w:pPr>
        <w:pStyle w:val="680"/>
        <w:ind w:firstLine="480"/>
        <w:jc w:val="both"/>
        <w:spacing w:beforeAutospacing="0" w:afterAutospacing="0" w:line="360" w:lineRule="auto"/>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4.本次招标不收取投标保证金，不收取质量保证金。</w:t>
      </w:r>
      <w:r/>
    </w:p>
    <w:p>
      <w:pPr>
        <w:pStyle w:val="649"/>
        <w:ind w:firstLine="482"/>
        <w:jc w:val="both"/>
        <w:spacing w:beforeAutospacing="0" w:afterAutospacing="0" w:line="360" w:lineRule="auto"/>
        <w:shd w:val="clear" w:color="auto" w:fill="ffffff"/>
        <w:widowControl/>
        <w:rPr>
          <w:rFonts w:hint="default" w:cs="宋体"/>
          <w:bCs w:val="0"/>
          <w:color w:val="auto"/>
          <w:sz w:val="24"/>
          <w:szCs w:val="24"/>
          <w:highlight w:val="none"/>
        </w:rPr>
      </w:pPr>
      <w:r>
        <w:rPr>
          <w:rFonts w:hint="eastAsia" w:cs="宋体"/>
          <w:bCs w:val="0"/>
          <w:color w:val="auto"/>
          <w:sz w:val="24"/>
          <w:szCs w:val="24"/>
          <w:highlight w:val="none"/>
          <w:lang w:eastAsia="zh-CN"/>
        </w:rPr>
        <w:t xml:space="preserve">六</w:t>
      </w:r>
      <w:r>
        <w:rPr>
          <w:rFonts w:cs="宋体"/>
          <w:bCs w:val="0"/>
          <w:color w:val="auto"/>
          <w:sz w:val="24"/>
          <w:szCs w:val="24"/>
          <w:highlight w:val="none"/>
        </w:rPr>
        <w:t xml:space="preserve">、凡对本次采购提出询问，请按以下方式联系。</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1.采购人信息</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名 称：盐城市住房和城乡建设局  </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地址：盐城市解放南路150号 </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联系人：刘女士              </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联系方式：15151078610</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2.采购代理机构信息</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名 称：江苏建安工程管理咨询有限公司</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地 址：射阳县城幸福华城E1-5号楼214-223号</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联系人：陈工                     </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联系方式：</w:t>
      </w:r>
      <w:bookmarkStart w:id="28" w:name="_Toc28359010"/>
      <w:r/>
      <w:bookmarkStart w:id="29" w:name="_Toc28359087"/>
      <w:r>
        <w:rPr>
          <w:rFonts w:hint="eastAsia" w:ascii="宋体" w:hAnsi="宋体" w:eastAsia="宋体" w:cs="宋体"/>
          <w:color w:val="auto"/>
          <w:highlight w:val="none"/>
        </w:rPr>
        <w:t xml:space="preserve">18452509777       </w:t>
      </w:r>
      <w:bookmarkEnd w:id="28"/>
      <w:r/>
      <w:bookmarkEnd w:id="29"/>
      <w:r>
        <w:rPr>
          <w:rFonts w:hint="eastAsia" w:ascii="宋体" w:hAnsi="宋体" w:eastAsia="宋体" w:cs="宋体"/>
          <w:color w:val="auto"/>
          <w:highlight w:val="none"/>
        </w:rPr>
        <w:t xml:space="preserve">            </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bookmarkStart w:id="30" w:name="_Toc28359021"/>
      <w:r>
        <w:rPr>
          <w:rFonts w:hint="eastAsia" w:ascii="宋体" w:hAnsi="宋体" w:eastAsia="宋体" w:cs="宋体"/>
          <w:color w:val="auto"/>
          <w:highlight w:val="none"/>
        </w:rPr>
        <w:t xml:space="preserve">3.</w:t>
      </w:r>
      <w:bookmarkEnd w:id="30"/>
      <w:r>
        <w:rPr>
          <w:rFonts w:hint="eastAsia" w:ascii="宋体" w:hAnsi="宋体" w:eastAsia="宋体" w:cs="宋体"/>
          <w:color w:val="auto"/>
          <w:highlight w:val="none"/>
        </w:rPr>
        <w:t xml:space="preserve">项目联系方式</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项目联系人：刘女士</w:t>
      </w:r>
      <w:r/>
    </w:p>
    <w:p>
      <w:pPr>
        <w:pStyle w:val="680"/>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电　　 话：15151078610　　　　　　　　　　　</w:t>
      </w:r>
      <w:r/>
    </w:p>
    <w:p>
      <w:pPr>
        <w:rPr>
          <w:rFonts w:hint="eastAsia" w:ascii="宋体" w:hAnsi="宋体" w:eastAsia="宋体" w:cs="宋体"/>
          <w:b/>
          <w:color w:val="auto"/>
          <w:sz w:val="44"/>
          <w:szCs w:val="44"/>
          <w:highlight w:val="none"/>
        </w:rPr>
      </w:pPr>
      <w:r/>
      <w:bookmarkStart w:id="31" w:name="_Toc120614211"/>
      <w:r>
        <w:rPr>
          <w:rFonts w:hint="eastAsia" w:ascii="宋体" w:hAnsi="宋体" w:eastAsia="宋体" w:cs="宋体"/>
          <w:b/>
          <w:color w:val="auto"/>
          <w:sz w:val="44"/>
          <w:szCs w:val="44"/>
          <w:highlight w:val="none"/>
        </w:rPr>
        <w:br w:type="page" w:clear="all"/>
      </w:r>
      <w:r/>
    </w:p>
    <w:p>
      <w:pPr>
        <w:jc w:val="center"/>
        <w:spacing w:line="360" w:lineRule="auto"/>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1"/>
      <w:r>
        <w:rPr>
          <w:rFonts w:hint="eastAsia" w:ascii="宋体" w:hAnsi="宋体" w:eastAsia="宋体" w:cs="宋体"/>
          <w:b/>
          <w:color w:val="auto"/>
          <w:sz w:val="44"/>
          <w:szCs w:val="44"/>
          <w:highlight w:val="none"/>
        </w:rPr>
        <w:t xml:space="preserve">供应商须知</w:t>
      </w:r>
      <w:r/>
    </w:p>
    <w:p>
      <w:pPr>
        <w:pStyle w:val="680"/>
        <w:ind w:firstLine="482"/>
        <w:jc w:val="both"/>
        <w:keepLines/>
        <w:keepNext/>
        <w:spacing w:beforeAutospacing="0" w:afterAutospacing="0" w:line="360" w:lineRule="auto"/>
        <w:rPr>
          <w:rFonts w:ascii="宋体" w:hAnsi="宋体" w:eastAsia="宋体" w:cs="宋体"/>
          <w:color w:val="auto"/>
          <w:highlight w:val="none"/>
        </w:rPr>
      </w:pPr>
      <w:r/>
      <w:bookmarkStart w:id="32" w:name="_Toc513029203"/>
      <w:r/>
      <w:bookmarkStart w:id="33" w:name="_Toc20823275"/>
      <w:r/>
      <w:bookmarkStart w:id="34" w:name="_Toc120614214"/>
      <w:r/>
      <w:bookmarkStart w:id="35" w:name="_Toc16938519"/>
      <w:r>
        <w:rPr>
          <w:rFonts w:hint="eastAsia" w:ascii="宋体" w:hAnsi="宋体" w:eastAsia="宋体" w:cs="宋体"/>
          <w:b/>
          <w:color w:val="auto"/>
          <w:highlight w:val="none"/>
        </w:rPr>
        <w:t xml:space="preserve">一、总则</w:t>
      </w:r>
      <w:bookmarkEnd w:id="32"/>
      <w:r/>
      <w:bookmarkEnd w:id="33"/>
      <w:r/>
      <w:bookmarkEnd w:id="34"/>
      <w:r/>
      <w:bookmarkEnd w:id="35"/>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36" w:name="_Toc20823276"/>
      <w:r/>
      <w:bookmarkStart w:id="37" w:name="_Toc458694821"/>
      <w:r/>
      <w:bookmarkStart w:id="38" w:name="_Toc513029204"/>
      <w:r/>
      <w:bookmarkStart w:id="39" w:name="_Toc16938520"/>
      <w:r/>
      <w:bookmarkStart w:id="40" w:name="_Hlt16619475"/>
      <w:r>
        <w:rPr>
          <w:rFonts w:hint="eastAsia" w:ascii="宋体" w:hAnsi="宋体" w:eastAsia="宋体" w:cs="宋体"/>
          <w:color w:val="auto"/>
          <w:highlight w:val="none"/>
        </w:rPr>
        <w:t xml:space="preserve">1</w:t>
      </w:r>
      <w:bookmarkEnd w:id="36"/>
      <w:r>
        <w:rPr>
          <w:rFonts w:hint="eastAsia" w:ascii="宋体" w:hAnsi="宋体" w:eastAsia="宋体" w:cs="宋体"/>
          <w:color w:val="auto"/>
          <w:highlight w:val="none"/>
        </w:rPr>
        <w:t xml:space="preserve">、采购方式</w:t>
      </w:r>
      <w:bookmarkEnd w:id="37"/>
      <w:r/>
      <w:bookmarkEnd w:id="38"/>
      <w:r/>
      <w:bookmarkEnd w:id="39"/>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 本次政府采购活动采取单一来源采购方式。</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41" w:name="_Toc513029205"/>
      <w:r/>
      <w:bookmarkStart w:id="42" w:name="_Toc16938521"/>
      <w:r/>
      <w:bookmarkStart w:id="43" w:name="_Toc20823277"/>
      <w:r>
        <w:rPr>
          <w:rFonts w:hint="eastAsia" w:ascii="宋体" w:hAnsi="宋体" w:eastAsia="宋体" w:cs="宋体"/>
          <w:color w:val="auto"/>
          <w:highlight w:val="none"/>
        </w:rPr>
        <w:t xml:space="preserve">2、合格的</w:t>
      </w:r>
      <w:bookmarkEnd w:id="41"/>
      <w:r/>
      <w:bookmarkEnd w:id="42"/>
      <w:r/>
      <w:bookmarkEnd w:id="43"/>
      <w:r>
        <w:rPr>
          <w:rFonts w:hint="eastAsia" w:ascii="宋体" w:hAnsi="宋体" w:eastAsia="宋体" w:cs="宋体"/>
          <w:color w:val="auto"/>
          <w:highlight w:val="none"/>
        </w:rPr>
        <w:t xml:space="preserve">供应商</w:t>
      </w:r>
      <w:r/>
    </w:p>
    <w:p>
      <w:pPr>
        <w:pStyle w:val="680"/>
        <w:ind w:firstLine="480"/>
        <w:jc w:val="both"/>
        <w:spacing w:beforeAutospacing="0" w:afterAutospacing="0" w:line="360" w:lineRule="auto"/>
        <w:rPr>
          <w:rFonts w:ascii="宋体" w:hAnsi="宋体" w:eastAsia="宋体" w:cs="宋体"/>
          <w:color w:val="auto"/>
          <w:highlight w:val="none"/>
        </w:rPr>
      </w:pPr>
      <w:r/>
      <w:bookmarkStart w:id="44" w:name="_Toc20823278"/>
      <w:r/>
      <w:bookmarkStart w:id="45" w:name="_Toc16938522"/>
      <w:r/>
      <w:bookmarkStart w:id="46" w:name="_Toc513029206"/>
      <w:r>
        <w:rPr>
          <w:rFonts w:hint="eastAsia" w:ascii="宋体" w:hAnsi="宋体" w:eastAsia="宋体" w:cs="宋体"/>
          <w:color w:val="auto"/>
          <w:highlight w:val="none"/>
        </w:rPr>
        <w:t xml:space="preserve">2.1 满足采购文件中合格单一来源供应商资格要求的规定。</w:t>
      </w:r>
      <w:bookmarkEnd w:id="44"/>
      <w:r/>
      <w:bookmarkEnd w:id="45"/>
      <w:r/>
      <w:bookmarkEnd w:id="46"/>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2.2 满足本采购文件实质性条款的规定。</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3、适用法律</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 本次采购及由此产生的合同受中华人民共和国有关的法律法规制约和保护。</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47" w:name="_Toc462564067"/>
      <w:r/>
      <w:bookmarkStart w:id="48" w:name="_Toc16938523"/>
      <w:r/>
      <w:bookmarkStart w:id="49" w:name="_Toc513029207"/>
      <w:r/>
      <w:bookmarkStart w:id="50" w:name="_Toc20823279"/>
      <w:r>
        <w:rPr>
          <w:rFonts w:hint="eastAsia" w:ascii="宋体" w:hAnsi="宋体" w:eastAsia="宋体" w:cs="宋体"/>
          <w:color w:val="auto"/>
          <w:highlight w:val="none"/>
        </w:rPr>
        <w:t xml:space="preserve">4、相关费用</w:t>
      </w:r>
      <w:bookmarkEnd w:id="47"/>
      <w:r/>
      <w:bookmarkEnd w:id="48"/>
      <w:r/>
      <w:bookmarkEnd w:id="49"/>
      <w:r/>
      <w:bookmarkEnd w:id="50"/>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4.1供应商应自行承担所有与参加本次采购有关的费用，无论采购过程中的做法和结果如何，采购人和代理机构在任何情况下均无义务和责任承担这些费用。</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4.2</w:t>
      </w:r>
      <w:r>
        <w:rPr>
          <w:rFonts w:hint="eastAsia" w:ascii="宋体" w:hAnsi="宋体" w:eastAsia="宋体" w:cs="宋体"/>
          <w:bCs/>
          <w:color w:val="auto"/>
          <w:highlight w:val="none"/>
        </w:rPr>
        <w:t xml:space="preserve">招标代理服务费:根据代理合同约定的收费标准《江苏省招标代理服务收费的指导意见》（苏招协【2022】002号）的40%收取代理服务费，即中标价在50万元以内的项目按1万元*40%计取，中标价在50-400万元的项目按中标价*1.5%*40%计取，由采购人支付。</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color w:val="auto"/>
          <w:highlight w:val="none"/>
        </w:rPr>
        <w:t xml:space="preserve">采购文件的约束力</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80"/>
        <w:ind w:firstLine="482"/>
        <w:jc w:val="both"/>
        <w:spacing w:beforeAutospacing="0" w:afterAutospacing="0" w:line="360" w:lineRule="auto"/>
        <w:rPr>
          <w:rFonts w:ascii="宋体" w:hAnsi="宋体" w:eastAsia="宋体" w:cs="宋体"/>
          <w:color w:val="auto"/>
          <w:highlight w:val="none"/>
        </w:rPr>
      </w:pPr>
      <w:r/>
      <w:bookmarkStart w:id="51" w:name="_Toc513029209"/>
      <w:r/>
      <w:bookmarkStart w:id="52" w:name="_Toc120614215"/>
      <w:r/>
      <w:bookmarkStart w:id="53" w:name="_Toc20823281"/>
      <w:r/>
      <w:bookmarkStart w:id="54" w:name="_Toc16938525"/>
      <w:r>
        <w:rPr>
          <w:rFonts w:hint="eastAsia" w:ascii="宋体" w:hAnsi="宋体" w:eastAsia="宋体" w:cs="宋体"/>
          <w:b/>
          <w:color w:val="auto"/>
          <w:highlight w:val="none"/>
        </w:rPr>
        <w:t xml:space="preserve">二、</w:t>
      </w:r>
      <w:bookmarkEnd w:id="51"/>
      <w:r/>
      <w:bookmarkEnd w:id="52"/>
      <w:r/>
      <w:bookmarkEnd w:id="53"/>
      <w:r/>
      <w:bookmarkEnd w:id="54"/>
      <w:r>
        <w:rPr>
          <w:rFonts w:hint="eastAsia" w:ascii="宋体" w:hAnsi="宋体" w:eastAsia="宋体" w:cs="宋体"/>
          <w:b/>
          <w:color w:val="auto"/>
          <w:highlight w:val="none"/>
        </w:rPr>
        <w:t xml:space="preserve">采购文件</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55" w:name="_Toc513029210"/>
      <w:r/>
      <w:bookmarkStart w:id="56" w:name="_Toc16938526"/>
      <w:r/>
      <w:bookmarkStart w:id="57" w:name="_Toc20823282"/>
      <w:r>
        <w:rPr>
          <w:rFonts w:hint="eastAsia" w:ascii="宋体" w:hAnsi="宋体" w:eastAsia="宋体" w:cs="宋体"/>
          <w:color w:val="auto"/>
          <w:highlight w:val="none"/>
        </w:rPr>
        <w:t xml:space="preserve">6、采购文件构成</w:t>
      </w:r>
      <w:bookmarkEnd w:id="55"/>
      <w:r/>
      <w:bookmarkEnd w:id="56"/>
      <w:r/>
      <w:bookmarkEnd w:id="57"/>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6.1采购文件由以下部分组成：</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（1）单一来源采购邀请</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（2）供应商须知</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（5）响应文件格式</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58" w:name="_Toc20823283"/>
      <w:r/>
      <w:bookmarkStart w:id="59" w:name="_Toc513029211"/>
      <w:r/>
      <w:bookmarkStart w:id="60" w:name="_Toc462564070"/>
      <w:r/>
      <w:bookmarkStart w:id="61" w:name="_Toc16938527"/>
      <w:r>
        <w:rPr>
          <w:rFonts w:hint="eastAsia" w:ascii="宋体" w:hAnsi="宋体" w:eastAsia="宋体" w:cs="宋体"/>
          <w:color w:val="auto"/>
          <w:highlight w:val="none"/>
        </w:rPr>
        <w:t xml:space="preserve">7、采购文件的澄清</w:t>
      </w:r>
      <w:bookmarkEnd w:id="58"/>
      <w:r/>
      <w:bookmarkEnd w:id="59"/>
      <w:r/>
      <w:bookmarkEnd w:id="60"/>
      <w:r/>
      <w:bookmarkEnd w:id="61"/>
      <w:r/>
      <w:r/>
    </w:p>
    <w:p>
      <w:pPr>
        <w:pStyle w:val="680"/>
        <w:ind w:firstLine="480"/>
        <w:jc w:val="both"/>
        <w:spacing w:beforeAutospacing="0" w:afterAutospacing="0" w:line="360" w:lineRule="auto"/>
        <w:rPr>
          <w:rFonts w:ascii="宋体" w:hAnsi="宋体" w:eastAsia="宋体" w:cs="宋体"/>
          <w:color w:val="auto"/>
          <w:highlight w:val="none"/>
        </w:rPr>
      </w:pPr>
      <w:r/>
      <w:bookmarkStart w:id="62" w:name="_Toc462564071"/>
      <w:r/>
      <w:bookmarkStart w:id="63" w:name="_Toc513029212"/>
      <w:r/>
      <w:bookmarkStart w:id="64" w:name="_Toc16938528"/>
      <w:r/>
      <w:bookmarkStart w:id="65" w:name="_Toc20823284"/>
      <w:r>
        <w:rPr>
          <w:rFonts w:hint="eastAsia" w:ascii="宋体" w:hAnsi="宋体" w:eastAsia="宋体" w:cs="宋体"/>
          <w:color w:val="auto"/>
          <w:highlight w:val="none"/>
        </w:rPr>
        <w:t xml:space="preserve">7.1 供应商如果要求对采购文件进行澄清的，应在响应文件接收截止时间（以下简称“截止时间”）</w:t>
      </w:r>
      <w:r>
        <w:rPr>
          <w:rFonts w:hint="eastAsia" w:ascii="宋体" w:hAnsi="宋体" w:eastAsia="宋体" w:cs="宋体"/>
          <w:b/>
          <w:color w:val="auto"/>
          <w:highlight w:val="none"/>
        </w:rPr>
        <w:t xml:space="preserve">三天</w:t>
      </w:r>
      <w:r>
        <w:rPr>
          <w:rFonts w:hint="eastAsia" w:ascii="宋体" w:hAnsi="宋体" w:eastAsia="宋体" w:cs="宋体"/>
          <w:color w:val="auto"/>
          <w:highlight w:val="none"/>
        </w:rPr>
        <w:t xml:space="preserve">前，在苏采云系统中通知代理机构。代理机构将在苏采云系统中对澄清要求予以答复。</w:t>
      </w:r>
      <w:bookmarkEnd w:id="62"/>
      <w:r/>
      <w:bookmarkEnd w:id="63"/>
      <w:r/>
      <w:bookmarkEnd w:id="64"/>
      <w:r/>
      <w:bookmarkEnd w:id="65"/>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66" w:name="_Toc16938529"/>
      <w:r/>
      <w:bookmarkStart w:id="67" w:name="_Toc462564072"/>
      <w:r/>
      <w:bookmarkStart w:id="68" w:name="_Toc20823285"/>
      <w:r/>
      <w:bookmarkStart w:id="69" w:name="_Toc120614216"/>
      <w:r/>
      <w:bookmarkStart w:id="70" w:name="_Toc513029213"/>
      <w:r>
        <w:rPr>
          <w:rFonts w:hint="eastAsia" w:ascii="宋体" w:hAnsi="宋体" w:eastAsia="宋体" w:cs="宋体"/>
          <w:color w:val="auto"/>
          <w:highlight w:val="none"/>
        </w:rPr>
        <w:t xml:space="preserve">8、采购文件的修改</w:t>
      </w:r>
      <w:bookmarkEnd w:id="66"/>
      <w:r/>
      <w:bookmarkEnd w:id="67"/>
      <w:r/>
      <w:bookmarkEnd w:id="68"/>
      <w:r/>
      <w:bookmarkEnd w:id="69"/>
      <w:r/>
      <w:bookmarkEnd w:id="70"/>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 在截止时间之前，代理机构可以以补充文件的方式对采购文件进行修改。</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8.2代理机构有权按照政府采购的有关要求推迟截止时间。</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8.3采购文件的补充文件将作为采购文件的组成部分，并对供应商具有约束力。</w:t>
      </w:r>
      <w:r/>
    </w:p>
    <w:p>
      <w:pPr>
        <w:pStyle w:val="680"/>
        <w:ind w:firstLine="482"/>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三、响应文件的编制</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71" w:name="_Toc462564073"/>
      <w:r/>
      <w:bookmarkStart w:id="72" w:name="_Toc513029214"/>
      <w:r/>
      <w:bookmarkStart w:id="73" w:name="_Toc16938530"/>
      <w:r/>
      <w:bookmarkStart w:id="74" w:name="_Toc20823286"/>
      <w:r>
        <w:rPr>
          <w:rFonts w:hint="eastAsia" w:ascii="宋体" w:hAnsi="宋体" w:eastAsia="宋体" w:cs="宋体"/>
          <w:color w:val="auto"/>
          <w:highlight w:val="none"/>
        </w:rPr>
        <w:t xml:space="preserve">9、响应文件的语言及度量衡单位</w:t>
      </w:r>
      <w:bookmarkEnd w:id="71"/>
      <w:r/>
      <w:bookmarkEnd w:id="72"/>
      <w:r/>
      <w:bookmarkEnd w:id="73"/>
      <w:r/>
      <w:bookmarkEnd w:id="74"/>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9.1供应商提交的响应文件以及供应商与代理机构就有关采购活动的所有来往通知、函件和文件均应使用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9.2 除技术性能另有规定外，响应文件所使用的度量衡单位，均须采用国家法定计量单位。</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75" w:name="_Toc513029215"/>
      <w:r/>
      <w:bookmarkStart w:id="76" w:name="_Toc20823287"/>
      <w:r/>
      <w:bookmarkStart w:id="77" w:name="_Toc462564074"/>
      <w:r/>
      <w:bookmarkStart w:id="78" w:name="_Toc16938531"/>
      <w:r>
        <w:rPr>
          <w:rFonts w:hint="eastAsia" w:ascii="宋体" w:hAnsi="宋体" w:eastAsia="宋体" w:cs="宋体"/>
          <w:color w:val="auto"/>
          <w:highlight w:val="none"/>
        </w:rPr>
        <w:t xml:space="preserve">10、响应文件构成</w:t>
      </w:r>
      <w:bookmarkEnd w:id="75"/>
      <w:r/>
      <w:bookmarkEnd w:id="76"/>
      <w:r/>
      <w:bookmarkEnd w:id="77"/>
      <w:r/>
      <w:bookmarkEnd w:id="78"/>
      <w:r/>
      <w:r/>
    </w:p>
    <w:p>
      <w:pPr>
        <w:pStyle w:val="680"/>
        <w:ind w:firstLine="480"/>
        <w:jc w:val="both"/>
        <w:spacing w:beforeAutospacing="0" w:afterAutospacing="0" w:line="360" w:lineRule="auto"/>
        <w:rPr>
          <w:rFonts w:ascii="宋体" w:hAnsi="宋体" w:eastAsia="宋体" w:cs="宋体"/>
          <w:color w:val="auto"/>
          <w:highlight w:val="none"/>
        </w:rPr>
      </w:pPr>
      <w:r/>
      <w:bookmarkStart w:id="79" w:name="_Toc14577355"/>
      <w:r/>
      <w:bookmarkStart w:id="80" w:name="_Toc513029219"/>
      <w:r/>
      <w:bookmarkStart w:id="81" w:name="_Toc513029216"/>
      <w:r/>
      <w:bookmarkStart w:id="82" w:name="_Toc49090507"/>
      <w:r/>
      <w:bookmarkStart w:id="83" w:name="_Toc14577357"/>
      <w:r/>
      <w:bookmarkStart w:id="84" w:name="_Toc49090508"/>
      <w:r/>
      <w:bookmarkStart w:id="85" w:name="_Toc49090509"/>
      <w:r/>
      <w:bookmarkStart w:id="86" w:name="_Toc14577354"/>
      <w:r/>
      <w:bookmarkStart w:id="87" w:name="_Hlt26954838"/>
      <w:r/>
      <w:bookmarkStart w:id="88" w:name="_Hlt26668975"/>
      <w:r/>
      <w:bookmarkStart w:id="89" w:name="_Hlt26670360"/>
      <w:r>
        <w:rPr>
          <w:rFonts w:hint="eastAsia" w:ascii="宋体" w:hAnsi="宋体" w:eastAsia="宋体" w:cs="宋体"/>
          <w:color w:val="auto"/>
          <w:highlight w:val="none"/>
        </w:rPr>
        <w:t xml:space="preserve">10.1 供应商编写的响应文件应包括资格证明文件、符合性证明文件、分项报价表、技术要求响应及偏离表、商务要求响应及偏离表、其他证明文件、单一来源响应函等部分。</w:t>
      </w:r>
      <w:bookmarkEnd w:id="79"/>
      <w:r/>
      <w:bookmarkEnd w:id="80"/>
      <w:r/>
      <w:bookmarkEnd w:id="81"/>
      <w:r/>
      <w:bookmarkEnd w:id="82"/>
      <w:r/>
      <w:bookmarkEnd w:id="83"/>
      <w:r/>
      <w:bookmarkEnd w:id="84"/>
      <w:r/>
      <w:bookmarkEnd w:id="85"/>
      <w:r/>
      <w:bookmarkEnd w:id="86"/>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11、证明供应商及响应标的符合采购文件规定的文件</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11.1 供应商应按照法律法规、规章和规范性文件以及采购文件要求提交证明文件，证明其及响应标的符合采购文件规定。</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11.2采购文件对证明文件无明确形式要求的，证明文件可以以文字资料、图纸和数据等形式提交。</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12、分项报价表</w:t>
      </w:r>
      <w:r/>
    </w:p>
    <w:p>
      <w:pPr>
        <w:pStyle w:val="680"/>
        <w:ind w:firstLine="480"/>
        <w:jc w:val="both"/>
        <w:spacing w:beforeAutospacing="0" w:afterAutospacing="0" w:line="360" w:lineRule="auto"/>
        <w:rPr>
          <w:rFonts w:ascii="宋体" w:hAnsi="宋体" w:eastAsia="宋体" w:cs="宋体"/>
          <w:color w:val="auto"/>
          <w:highlight w:val="none"/>
        </w:rPr>
      </w:pPr>
      <w:r/>
      <w:bookmarkStart w:id="90" w:name="_Hlt26954731"/>
      <w:r/>
      <w:bookmarkStart w:id="91" w:name="_Hlt26954848"/>
      <w:r/>
      <w:bookmarkStart w:id="92" w:name="_Hlt26954846"/>
      <w:r/>
      <w:bookmarkStart w:id="93" w:name="_Hlt26670486"/>
      <w:r/>
      <w:bookmarkStart w:id="94" w:name="_Hlt26670482"/>
      <w:r>
        <w:rPr>
          <w:rFonts w:hint="eastAsia" w:ascii="宋体" w:hAnsi="宋体" w:eastAsia="宋体" w:cs="宋体"/>
          <w:color w:val="auto"/>
          <w:highlight w:val="none"/>
        </w:rPr>
        <w:t xml:space="preserve">12.1 供应商应按照采购文件规定格式填报分项报价表。</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12.2报价货币。响应文件中的单价和总价无特殊规定的采用人民币报价，以元为单位标注。采购文件中另有规定的按规定执行。</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13、技术要求响应及偏离表、商务要求响应及偏离表</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13.1供应商需对采购文件中的技术要求与商务要求逐项作出响应或偏离，并说明原因。</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95" w:name="_Toc49090510"/>
      <w:r/>
      <w:bookmarkStart w:id="96" w:name="_Toc14577359"/>
      <w:r>
        <w:rPr>
          <w:rFonts w:hint="eastAsia" w:ascii="宋体" w:hAnsi="宋体" w:eastAsia="宋体" w:cs="宋体"/>
          <w:color w:val="auto"/>
          <w:highlight w:val="none"/>
        </w:rPr>
        <w:t xml:space="preserve">14、服务承诺、培训计划、人员安排及其他</w:t>
      </w:r>
      <w:bookmarkEnd w:id="95"/>
      <w:r/>
      <w:bookmarkEnd w:id="96"/>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14.1 供应商需根据采购文件要求提供有关售后服务的管理制度，售后服务机构的分布情况，售后服务人员的数量、素质、技术水平及售后服务的反应能力等。</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14.2 供应商需根据采购文件要求提供培训计划。</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14.3 供应商需根据采购文件要求提供所投标的的主要组成部分、功能设计、实现思路及关键技术等。</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97" w:name="_Toc14577360"/>
      <w:r/>
      <w:bookmarkStart w:id="98" w:name="_Toc49090511"/>
      <w:r>
        <w:rPr>
          <w:rFonts w:hint="eastAsia" w:ascii="宋体" w:hAnsi="宋体" w:eastAsia="宋体" w:cs="宋体"/>
          <w:color w:val="auto"/>
          <w:highlight w:val="none"/>
        </w:rPr>
        <w:t xml:space="preserve">15、单一来源响应函</w:t>
      </w:r>
      <w:bookmarkEnd w:id="97"/>
      <w:r/>
      <w:bookmarkEnd w:id="98"/>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15.1 供应商应按照采购文件中提供的格式完整、正确填写单一来源响应函。</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16、单一来源采购有效期</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16.1单一来源采购有效期（以下简称“有效期”）为采购文件规定的响应文件接收截止之日后</w:t>
      </w:r>
      <w:r>
        <w:rPr>
          <w:rFonts w:hint="eastAsia" w:ascii="宋体" w:hAnsi="宋体" w:eastAsia="宋体" w:cs="宋体"/>
          <w:b/>
          <w:color w:val="auto"/>
          <w:highlight w:val="none"/>
          <w:u w:val="single"/>
        </w:rPr>
        <w:t xml:space="preserve">三十（30）天</w:t>
      </w:r>
      <w:r>
        <w:rPr>
          <w:rFonts w:hint="eastAsia" w:ascii="宋体" w:hAnsi="宋体" w:eastAsia="宋体" w:cs="宋体"/>
          <w:color w:val="auto"/>
          <w:highlight w:val="none"/>
        </w:rPr>
        <w:t xml:space="preserve">。有效期比规定期限短的将被视为未响应采购文件要求而予以拒绝。</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17、有效期的延长</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17.1在特殊情况下，采购人于原有效期满之前，可向供应商提出延长有效期的要求。这种要求与答复均应采用书面形式。供应商可以拒绝采购人的这一要求而放弃单一来源采购活动，同意延长有效期的供应商既不能要求也不允许修改其响应文件。受有效期约束的所有权利与义务均延长至新的有效期。</w:t>
      </w:r>
      <w:r/>
    </w:p>
    <w:p>
      <w:pPr>
        <w:pStyle w:val="680"/>
        <w:ind w:firstLine="482"/>
        <w:jc w:val="both"/>
        <w:keepLines/>
        <w:keepNext/>
        <w:spacing w:beforeAutospacing="0" w:afterAutospacing="0" w:line="360" w:lineRule="auto"/>
        <w:rPr>
          <w:rFonts w:ascii="宋体" w:hAnsi="宋体" w:eastAsia="宋体" w:cs="宋体"/>
          <w:color w:val="auto"/>
          <w:highlight w:val="none"/>
        </w:rPr>
      </w:pPr>
      <w:r/>
      <w:bookmarkStart w:id="99" w:name="_Toc20823296"/>
      <w:r/>
      <w:bookmarkStart w:id="100" w:name="_Toc513029224"/>
      <w:r/>
      <w:bookmarkStart w:id="101" w:name="_Toc16938540"/>
      <w:r/>
      <w:bookmarkStart w:id="102" w:name="_Toc120614217"/>
      <w:r/>
      <w:bookmarkStart w:id="103" w:name="_Hlt26954852"/>
      <w:r/>
      <w:bookmarkStart w:id="104" w:name="_Hlt26954739"/>
      <w:r>
        <w:rPr>
          <w:rFonts w:hint="eastAsia" w:ascii="宋体" w:hAnsi="宋体" w:eastAsia="宋体" w:cs="宋体"/>
          <w:b/>
          <w:color w:val="auto"/>
          <w:highlight w:val="none"/>
        </w:rPr>
        <w:t xml:space="preserve">四、响应文件的递交</w:t>
      </w:r>
      <w:bookmarkEnd w:id="99"/>
      <w:r/>
      <w:bookmarkEnd w:id="100"/>
      <w:r/>
      <w:bookmarkEnd w:id="101"/>
      <w:r/>
      <w:bookmarkEnd w:id="102"/>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105" w:name="_Toc513029225"/>
      <w:r/>
      <w:bookmarkStart w:id="106" w:name="_Toc20823297"/>
      <w:r/>
      <w:bookmarkStart w:id="107" w:name="_Toc462564084"/>
      <w:r/>
      <w:bookmarkStart w:id="108" w:name="_Toc16938541"/>
      <w:r>
        <w:rPr>
          <w:rFonts w:hint="eastAsia" w:ascii="宋体" w:hAnsi="宋体" w:eastAsia="宋体" w:cs="宋体"/>
          <w:color w:val="auto"/>
          <w:highlight w:val="none"/>
        </w:rPr>
        <w:t xml:space="preserve">18、电子</w:t>
      </w:r>
      <w:bookmarkEnd w:id="105"/>
      <w:r/>
      <w:bookmarkEnd w:id="106"/>
      <w:r/>
      <w:bookmarkEnd w:id="107"/>
      <w:r/>
      <w:bookmarkEnd w:id="108"/>
      <w:r>
        <w:rPr>
          <w:rFonts w:hint="eastAsia" w:ascii="宋体" w:hAnsi="宋体" w:eastAsia="宋体" w:cs="宋体"/>
          <w:color w:val="auto"/>
          <w:highlight w:val="none"/>
        </w:rPr>
        <w:t xml:space="preserve">响应文件的递交</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18.1供应商应当按照《操作手册》规定，在截止时间前制作并上传电子响应文件。</w:t>
      </w:r>
      <w:bookmarkStart w:id="109" w:name="_Toc20823298"/>
      <w:r/>
      <w:bookmarkEnd w:id="109"/>
      <w:r/>
      <w:bookmarkStart w:id="110" w:name="_Toc16938542"/>
      <w:r/>
      <w:bookmarkEnd w:id="110"/>
      <w:r/>
      <w:bookmarkStart w:id="111" w:name="_Toc513029226"/>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19、提交响应文件截止时间</w:t>
      </w:r>
      <w:r/>
    </w:p>
    <w:p>
      <w:pPr>
        <w:pStyle w:val="680"/>
        <w:ind w:firstLine="480"/>
        <w:jc w:val="both"/>
        <w:spacing w:beforeAutospacing="0" w:afterAutospacing="0" w:line="360" w:lineRule="auto"/>
        <w:rPr>
          <w:rFonts w:ascii="宋体" w:hAnsi="宋体" w:eastAsia="宋体" w:cs="宋体"/>
          <w:i/>
          <w:color w:val="auto"/>
          <w:highlight w:val="none"/>
        </w:rPr>
      </w:pPr>
      <w:r>
        <w:rPr>
          <w:rFonts w:hint="eastAsia" w:ascii="宋体" w:hAnsi="宋体" w:eastAsia="宋体" w:cs="宋体"/>
          <w:i/>
          <w:color w:val="auto"/>
          <w:highlight w:val="none"/>
          <w:u w:val="single"/>
        </w:rPr>
        <w:t xml:space="preserve">19.1供应商上传电子响应文件的时间不得迟于单一来源采购邀请中规定的截止时间。</w:t>
      </w:r>
      <w:r/>
    </w:p>
    <w:p>
      <w:pPr>
        <w:pStyle w:val="680"/>
        <w:ind w:firstLine="480"/>
        <w:jc w:val="both"/>
        <w:spacing w:beforeAutospacing="0" w:afterAutospacing="0" w:line="360" w:lineRule="auto"/>
        <w:rPr>
          <w:rFonts w:ascii="宋体" w:hAnsi="宋体" w:eastAsia="宋体" w:cs="宋体"/>
          <w:color w:val="auto"/>
          <w:highlight w:val="none"/>
        </w:rPr>
      </w:pPr>
      <w:r/>
      <w:bookmarkStart w:id="112" w:name="_Toc513029227"/>
      <w:r/>
      <w:bookmarkStart w:id="113" w:name="_Toc20823299"/>
      <w:r/>
      <w:bookmarkStart w:id="114" w:name="_Toc16938543"/>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bookmarkEnd w:id="112"/>
      <w:r/>
      <w:bookmarkEnd w:id="113"/>
      <w:r/>
      <w:bookmarkEnd w:id="114"/>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19.2 采购人可以按照规定，通过修改采购文件酌情延长截止时间，在此情况下，供应商的所有权利和义务以及供应商受制的截止时间以延长后新的截止时间为准。</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20、响应文件的拒收</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20.1 采购人拒绝接收在其规定的截止时间后上传的任何电子响应文件。</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115" w:name="_Toc16938544"/>
      <w:r/>
      <w:bookmarkStart w:id="116" w:name="_Toc513029228"/>
      <w:r/>
      <w:bookmarkStart w:id="117" w:name="_Toc20823300"/>
      <w:r>
        <w:rPr>
          <w:rFonts w:hint="eastAsia" w:ascii="宋体" w:hAnsi="宋体" w:eastAsia="宋体" w:cs="宋体"/>
          <w:color w:val="auto"/>
          <w:highlight w:val="none"/>
        </w:rPr>
        <w:t xml:space="preserve">21、响应文件的撤回和修改</w:t>
      </w:r>
      <w:bookmarkEnd w:id="115"/>
      <w:r/>
      <w:bookmarkEnd w:id="116"/>
      <w:r/>
      <w:bookmarkEnd w:id="117"/>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21.1响应文件的撤回</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21.1.1 电子响应文件的撤回</w:t>
      </w:r>
      <w:r/>
    </w:p>
    <w:p>
      <w:pPr>
        <w:pStyle w:val="680"/>
        <w:ind w:firstLine="60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供应商可在截止时间前，撤回其电子响应文件，具体操作方法见《操作手册》。</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21.1.2供应商撤回电子响应文件，则认为其不再参与本项目采购活动。</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21.2响应文件的修改</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供应商可在截止时间前，对其电子响应文件进行修改，具体操作方法见《操作手册》。</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21.3 在截止时间之后，供应商不得对其电子响应文件作任何修改。</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21.4 在截止时间至有效期满之间的这段时间内，供应商不得撤回其响应文件。</w:t>
      </w:r>
      <w:r/>
    </w:p>
    <w:p>
      <w:pPr>
        <w:pStyle w:val="680"/>
        <w:ind w:firstLine="482"/>
        <w:jc w:val="both"/>
        <w:keepLines/>
        <w:keepNext/>
        <w:spacing w:beforeAutospacing="0" w:afterAutospacing="0" w:line="360" w:lineRule="auto"/>
        <w:rPr>
          <w:rFonts w:ascii="宋体" w:hAnsi="宋体" w:eastAsia="宋体" w:cs="宋体"/>
          <w:color w:val="auto"/>
          <w:highlight w:val="none"/>
        </w:rPr>
      </w:pPr>
      <w:r/>
      <w:bookmarkStart w:id="118" w:name="_Toc120614218"/>
      <w:r/>
      <w:bookmarkStart w:id="119" w:name="_Toc16938545"/>
      <w:r/>
      <w:bookmarkStart w:id="120" w:name="_Toc513029229"/>
      <w:r/>
      <w:bookmarkStart w:id="121" w:name="_Toc20823301"/>
      <w:r>
        <w:rPr>
          <w:rFonts w:hint="eastAsia" w:ascii="宋体" w:hAnsi="宋体" w:eastAsia="宋体" w:cs="宋体"/>
          <w:b/>
          <w:color w:val="auto"/>
          <w:highlight w:val="none"/>
        </w:rPr>
        <w:t xml:space="preserve">五、响应文件的解密与评审</w:t>
      </w:r>
      <w:bookmarkEnd w:id="118"/>
      <w:r/>
      <w:bookmarkEnd w:id="119"/>
      <w:r/>
      <w:bookmarkEnd w:id="120"/>
      <w:r/>
      <w:bookmarkEnd w:id="121"/>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122" w:name="_Toc20823302"/>
      <w:r/>
      <w:bookmarkStart w:id="123" w:name="_Toc16938546"/>
      <w:r/>
      <w:bookmarkStart w:id="124" w:name="_Toc513029230"/>
      <w:r>
        <w:rPr>
          <w:rFonts w:hint="eastAsia" w:ascii="宋体" w:hAnsi="宋体" w:eastAsia="宋体" w:cs="宋体"/>
          <w:color w:val="auto"/>
          <w:highlight w:val="none"/>
        </w:rPr>
        <w:t xml:space="preserve">22、</w:t>
      </w:r>
      <w:bookmarkEnd w:id="122"/>
      <w:r/>
      <w:bookmarkEnd w:id="123"/>
      <w:r/>
      <w:bookmarkEnd w:id="124"/>
      <w:r>
        <w:rPr>
          <w:rFonts w:hint="eastAsia" w:ascii="宋体" w:hAnsi="宋体" w:eastAsia="宋体" w:cs="宋体"/>
          <w:color w:val="auto"/>
          <w:highlight w:val="none"/>
        </w:rPr>
        <w:t xml:space="preserve">响应文件解密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22.1供应商应当按照《操作手册》规定，在苏采云系统规定的时间内对响应文件进行解密。</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125" w:name="_Toc16938547"/>
      <w:r/>
      <w:bookmarkStart w:id="126" w:name="_Toc513029231"/>
      <w:r/>
      <w:bookmarkStart w:id="127" w:name="_Toc20823303"/>
      <w:r>
        <w:rPr>
          <w:rFonts w:hint="eastAsia" w:ascii="宋体" w:hAnsi="宋体" w:eastAsia="宋体" w:cs="宋体"/>
          <w:color w:val="auto"/>
          <w:highlight w:val="none"/>
        </w:rPr>
        <w:t xml:space="preserve">23、单一来源协商小组</w:t>
      </w:r>
      <w:bookmarkEnd w:id="125"/>
      <w:r/>
      <w:bookmarkEnd w:id="126"/>
      <w:r/>
      <w:bookmarkEnd w:id="127"/>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23.1单一来源协商小组（以下简称“协商小组”）由政府采购评审专家、采购人代表组成，且人员构成符合政府采购有关规定。</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23.2协商小组应当按照客观、公正、审慎的原则评审供应商的响应文件，并与供应商协商采购标的的价格。</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24、单一来源协商过程的保密与公正</w:t>
      </w:r>
      <w:r/>
    </w:p>
    <w:p>
      <w:pPr>
        <w:pStyle w:val="680"/>
        <w:ind w:firstLine="480"/>
        <w:jc w:val="both"/>
        <w:spacing w:beforeAutospacing="0" w:afterAutospacing="0" w:line="360" w:lineRule="auto"/>
        <w:rPr>
          <w:rFonts w:ascii="宋体" w:hAnsi="宋体" w:eastAsia="宋体" w:cs="宋体"/>
          <w:color w:val="auto"/>
          <w:highlight w:val="none"/>
        </w:rPr>
      </w:pPr>
      <w:r/>
      <w:bookmarkStart w:id="128" w:name="_Toc20823304"/>
      <w:r/>
      <w:bookmarkStart w:id="129" w:name="_Toc16938548"/>
      <w:r/>
      <w:bookmarkStart w:id="130" w:name="_Toc513029232"/>
      <w:r>
        <w:rPr>
          <w:rFonts w:hint="eastAsia" w:ascii="宋体" w:hAnsi="宋体" w:eastAsia="宋体" w:cs="宋体"/>
          <w:color w:val="auto"/>
          <w:highlight w:val="none"/>
        </w:rPr>
        <w:t xml:space="preserve">24.1协商小组、采购人和代理机构工作人员、相关监督人员等与评审工作有关的人员，对评审、单一来源协商情况以及在评审、单一来源协商过程（以下简称“协商过程”）中获悉的国家秘密、商业秘密负有保密责任。</w:t>
      </w:r>
      <w:bookmarkEnd w:id="128"/>
      <w:r/>
      <w:bookmarkEnd w:id="129"/>
      <w:r/>
      <w:bookmarkEnd w:id="130"/>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24.2在协商过程中，供应商不得以任何行为影响评审及协商过程，否则将会导致其响应文件被拒绝。</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25、评审及协商过程中的澄清</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25.1项目评审及协商过程中，协商小组有权要求供应商对响应文件中含义不明确、同类问题表述不一致或者有明显文字和计算错误的内容等作出必要的澄清、说明或者更正。</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25.3 接到协商小组澄清、说明和更正要求的供应商如未按规定做出澄清、说明和更正，其风险由供应商自行承担。</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131" w:name="_Toc513029233"/>
      <w:r/>
      <w:bookmarkStart w:id="132" w:name="_Toc16938549"/>
      <w:r/>
      <w:bookmarkStart w:id="133" w:name="_Toc20823305"/>
      <w:r>
        <w:rPr>
          <w:rFonts w:hint="eastAsia" w:ascii="宋体" w:hAnsi="宋体" w:eastAsia="宋体" w:cs="宋体"/>
          <w:color w:val="auto"/>
          <w:highlight w:val="none"/>
        </w:rPr>
        <w:t xml:space="preserve">26、对响应文件的审</w:t>
      </w:r>
      <w:bookmarkEnd w:id="131"/>
      <w:r/>
      <w:bookmarkEnd w:id="132"/>
      <w:r/>
      <w:bookmarkEnd w:id="133"/>
      <w:r>
        <w:rPr>
          <w:rFonts w:hint="eastAsia" w:ascii="宋体" w:hAnsi="宋体" w:eastAsia="宋体" w:cs="宋体"/>
          <w:color w:val="auto"/>
          <w:highlight w:val="none"/>
        </w:rPr>
        <w:t xml:space="preserve">查</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26.1响应文件审查分为资格审查和符合性审查。</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26.1.1 资格审查：由协商小组依据法律法规和采购文件的规定，对响应文件中的资格证明文件进行审查，以确定供应商是否具备参加单一来源协商的资格。</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协商小组在进行资格审查的同时，将在“信用中国”网站（www.creditchina.gov.cn）查询供应商的信用记录，以确定供应商是否具备协商资格,查询结果留存并归档。</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26.1.2 符合性审查：依据采购文件的规定，由协商小组从响应文件的有效性、完整性和对采购文件的响应程度进行审查，以确定是否对采购文件的实质性要求作出响应。</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26.3未实质性响应采购文件的情形</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26.3.2供应商未按照采购文件要求上传电子响应文件的。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26.3.3供应商提交两个（含两个）以上不同的响应文件或者最后报价的。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26.3.4供应商不具备采购文件中规定资格要求的。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26.3.6不符合采购文件中规定的实质性要求和条件的</w:t>
      </w:r>
      <w:r>
        <w:rPr>
          <w:rFonts w:hint="eastAsia" w:ascii="宋体" w:hAnsi="宋体" w:eastAsia="宋体" w:cs="宋体"/>
          <w:i/>
          <w:color w:val="auto"/>
          <w:highlight w:val="none"/>
          <w:u w:val="single"/>
        </w:rPr>
        <w:t xml:space="preserve">（本采购文件中斜体且有下划线部分为实质性要求和条件）。</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26.3.9响应文件未按照采购文件要求加盖CA电子公章的。</w:t>
      </w:r>
      <w:r/>
    </w:p>
    <w:p>
      <w:pPr>
        <w:pStyle w:val="680"/>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rPr>
          <w:rFonts w:hint="eastAsia" w:ascii="宋体" w:hAnsi="宋体" w:eastAsia="宋体" w:cs="宋体"/>
          <w:color w:val="auto"/>
          <w:sz w:val="24"/>
          <w:szCs w:val="24"/>
          <w:highlight w:val="none"/>
          <w:shd w:val="clear" w:color="auto" w:fill="auto"/>
        </w:rPr>
        <w:t xml:space="preserve">。</w:t>
      </w:r>
      <w:r/>
    </w:p>
    <w:p>
      <w:pPr>
        <w:pStyle w:val="68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评审过程中出现下列情形之一的，协商小组应当启动异常低价响应审查程</w:t>
      </w:r>
      <w:r>
        <w:rPr>
          <w:rFonts w:hint="eastAsia" w:ascii="宋体" w:hAnsi="宋体" w:eastAsia="宋体" w:cs="宋体"/>
          <w:color w:val="auto"/>
          <w:sz w:val="24"/>
          <w:szCs w:val="24"/>
          <w:highlight w:val="none"/>
          <w:shd w:val="clear" w:color="auto" w:fill="auto"/>
          <w:lang w:val="en-US" w:eastAsia="zh-CN"/>
        </w:rPr>
        <w:t xml:space="preserve">序：</w:t>
      </w:r>
      <w:r/>
    </w:p>
    <w:p>
      <w:pPr>
        <w:pStyle w:val="68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1.投标（响应）报价低于采购项目最高限价45%的，即投标（响应）报价&lt;采购项目最高限价×45%；</w:t>
      </w:r>
      <w:r/>
    </w:p>
    <w:p>
      <w:pPr>
        <w:pStyle w:val="68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2评审委员会基于专业判断，认为供应商报价过低，有可能影响产品质量或者不能诚信履约的其他情形。</w:t>
      </w:r>
      <w:r/>
    </w:p>
    <w:p>
      <w:pPr>
        <w:pStyle w:val="68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相关法律法规对供应商报价有规定的，从其规定。</w:t>
      </w:r>
      <w:r/>
    </w:p>
    <w:p>
      <w:pPr>
        <w:pStyle w:val="68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68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26.4未实质性响应采购文件的响应文件按无效响应处理。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26.5如果响应文件实质上没有响应采购文件的要求，协商小组将予以拒绝。</w:t>
      </w:r>
      <w:r/>
    </w:p>
    <w:p>
      <w:pPr>
        <w:pStyle w:val="680"/>
        <w:ind w:firstLine="480"/>
        <w:jc w:val="both"/>
        <w:spacing w:beforeAutospacing="0" w:afterAutospacing="0" w:line="360" w:lineRule="auto"/>
        <w:rPr>
          <w:rFonts w:ascii="宋体" w:hAnsi="宋体" w:eastAsia="宋体" w:cs="宋体"/>
          <w:color w:val="auto"/>
          <w:highlight w:val="none"/>
        </w:rPr>
      </w:pPr>
      <w:r/>
      <w:bookmarkStart w:id="134" w:name="_Toc20823306"/>
      <w:r/>
      <w:bookmarkStart w:id="135" w:name="_Toc513029234"/>
      <w:r/>
      <w:bookmarkStart w:id="136" w:name="_Toc16938550"/>
      <w:r>
        <w:rPr>
          <w:rFonts w:hint="eastAsia" w:ascii="宋体" w:hAnsi="宋体" w:eastAsia="宋体" w:cs="宋体"/>
          <w:color w:val="auto"/>
          <w:highlight w:val="none"/>
        </w:rPr>
        <w:t xml:space="preserve">26.6供应商在项目评审及协商全过程中应保持通讯畅通，并安排专人与代理机构及协商小组联系。</w:t>
      </w:r>
      <w:bookmarkEnd w:id="134"/>
      <w:r/>
      <w:bookmarkEnd w:id="135"/>
      <w:r/>
      <w:bookmarkEnd w:id="136"/>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27、单一来源协商及成交原则</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27.1单一来源协商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27.1.1 对于通过资格审查和符合性审查的供应商，协商小组将通过苏采云系统与其就采购标的的价格、服务等内容进行单一来源协商。</w:t>
      </w:r>
      <w:r/>
    </w:p>
    <w:p>
      <w:pPr>
        <w:pStyle w:val="680"/>
        <w:ind w:firstLine="47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27.1.2供应商应当在苏采云系统中以书面形式对协商过程中做出的承诺与澄清进行确认，并在协商小组规定的时间内完成最后报价。</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27.2成交原则</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协商小组根据政府采购相关法律、规章的规定，在供应商的响应情况能保证采购项目质量且最后报价合理的基础上确定其为成交供应商。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27.3单一来源协商终止情形处理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出现下列情形之一的，采购人将终止采购活动，发布项目终止公告并说明原因，重新开展采购活动：</w:t>
      </w:r>
      <w:r/>
    </w:p>
    <w:p>
      <w:pPr>
        <w:pStyle w:val="680"/>
        <w:ind w:left="4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27.3.1 因情况变化，不再符合规定的单一来源采购方式适用情形的；</w:t>
      </w:r>
      <w:r>
        <w:rPr>
          <w:rFonts w:hint="eastAsia" w:ascii="宋体" w:hAnsi="宋体" w:eastAsia="宋体" w:cs="宋体"/>
          <w:color w:val="auto"/>
          <w:highlight w:val="none"/>
        </w:rPr>
        <w:br/>
      </w:r>
      <w:r>
        <w:rPr>
          <w:rFonts w:hint="eastAsia" w:ascii="宋体" w:hAnsi="宋体" w:eastAsia="宋体" w:cs="宋体"/>
          <w:color w:val="auto"/>
          <w:highlight w:val="none"/>
        </w:rPr>
        <w:t xml:space="preserve">27.3.2 出现影响采购公正的违法、违规行为的；</w:t>
      </w:r>
      <w:r/>
    </w:p>
    <w:p>
      <w:pPr>
        <w:pStyle w:val="680"/>
        <w:ind w:left="4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27.3.3供应商最后报价超过采购预算的；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27.3.4供应商的技术方案、服务承诺、商务条款等不能满足采购人或协商小组的要求；</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27.3.5 法律、法规、规章规定的其他应当终止的情形。</w:t>
      </w:r>
      <w:r/>
    </w:p>
    <w:p>
      <w:pPr>
        <w:pStyle w:val="680"/>
        <w:ind w:firstLine="482"/>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六、成交</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28、确定成交供应商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28.1协商小组根据协商情况编写单一来源评审报告，推荐成交候选供应商。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28.2 采购人根据协商小组推荐的成交候选供应商确定成交供应商。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 若有充分证据证明，成交供应商出现下列情况之一的，一经查实，将被取消成交资格：</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28.3.2与评审专家、采购人、其他供应商或者代理机构工作人员恶意串通的。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28.3.3向评审专家、采购人或代理机构工作人员行贿或者提供其他不正当利益的。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28.3.5不满足本采购文件规定的实质性要求，但在评审过程中又未被协商小组发现的。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28.3.6成交后无正当理由拒不与采购人签订政府采购合同或者未按照采购文件确定的事项签订政府采购合同的。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成交供应商被取消成交资格后，采购人有权重新组织采购。</w:t>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137" w:name="_Toc200451960"/>
      <w:r>
        <w:rPr>
          <w:rFonts w:hint="eastAsia" w:ascii="宋体" w:hAnsi="宋体" w:eastAsia="宋体" w:cs="宋体"/>
          <w:color w:val="auto"/>
          <w:highlight w:val="none"/>
        </w:rPr>
        <w:t xml:space="preserve">29、质疑处理</w:t>
      </w:r>
      <w:bookmarkEnd w:id="137"/>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29.1供应商认为采购过程和采购结果使自己的权益受到损害的，可以从采购结果公布之日起七个工作日内，以书面形式向代理机构提出质疑。</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29.2 供应商应当在法定质疑期内一次性提出针对同一采购程序环节的质疑。供应商如在法定期限内对同一采购程序环节提出多次质疑的，采购人、代理机构将只对供应商第一次质疑作出答复。</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jc w:val="left"/>
        <w:spacing w:line="360" w:lineRule="auto"/>
        <w:tabs>
          <w:tab w:val="left" w:pos="133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29.4 代理机构只接收以纸质原件形式送达的质疑,采购人和代理机构不接受未填写快递运单的快件。</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29.5.2 超出政府采购法定期限的质疑。</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29.5.4未参加单一来源采购活动的供应商所提出的质疑。</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29.5.5供应商组成联合体参加协商，联合体中任何一方或多方未按要求签字、盖章、加盖公章的质疑。</w:t>
      </w:r>
      <w:r/>
    </w:p>
    <w:p>
      <w:pPr>
        <w:pStyle w:val="680"/>
        <w:ind w:firstLine="4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30、成交通知书</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80"/>
        <w:ind w:firstLine="482"/>
        <w:jc w:val="both"/>
        <w:keepLines/>
        <w:keepNext/>
        <w:spacing w:beforeAutospacing="0" w:afterAutospacing="0" w:line="360" w:lineRule="auto"/>
        <w:rPr>
          <w:rFonts w:ascii="宋体" w:hAnsi="宋体" w:eastAsia="宋体" w:cs="宋体"/>
          <w:color w:val="auto"/>
          <w:highlight w:val="none"/>
        </w:rPr>
      </w:pPr>
      <w:r/>
      <w:bookmarkStart w:id="138" w:name="_Toc120614220"/>
      <w:r/>
      <w:bookmarkStart w:id="139" w:name="_Toc513029236"/>
      <w:r/>
      <w:bookmarkStart w:id="140" w:name="_Toc16938552"/>
      <w:r/>
      <w:bookmarkStart w:id="141" w:name="_Toc20823308"/>
      <w:r>
        <w:rPr>
          <w:rFonts w:hint="eastAsia" w:ascii="宋体" w:hAnsi="宋体" w:eastAsia="宋体" w:cs="宋体"/>
          <w:b/>
          <w:color w:val="auto"/>
          <w:highlight w:val="none"/>
        </w:rPr>
        <w:t xml:space="preserve">七、授予合同</w:t>
      </w:r>
      <w:bookmarkEnd w:id="138"/>
      <w:r/>
      <w:bookmarkEnd w:id="139"/>
      <w:r/>
      <w:bookmarkEnd w:id="140"/>
      <w:r/>
      <w:bookmarkEnd w:id="141"/>
      <w:r/>
      <w:r/>
    </w:p>
    <w:p>
      <w:pPr>
        <w:pStyle w:val="680"/>
        <w:ind w:firstLine="480"/>
        <w:jc w:val="both"/>
        <w:keepLines/>
        <w:keepNext/>
        <w:spacing w:beforeAutospacing="0" w:afterAutospacing="0" w:line="360" w:lineRule="auto"/>
        <w:rPr>
          <w:rFonts w:ascii="宋体" w:hAnsi="宋体" w:eastAsia="宋体" w:cs="宋体"/>
          <w:color w:val="auto"/>
          <w:highlight w:val="none"/>
        </w:rPr>
      </w:pPr>
      <w:r/>
      <w:bookmarkStart w:id="142" w:name="_Toc16938553"/>
      <w:r/>
      <w:bookmarkStart w:id="143" w:name="_Toc513029237"/>
      <w:r/>
      <w:bookmarkStart w:id="144" w:name="_Toc20823309"/>
      <w:r>
        <w:rPr>
          <w:rFonts w:hint="eastAsia" w:ascii="宋体" w:hAnsi="宋体" w:eastAsia="宋体" w:cs="宋体"/>
          <w:color w:val="auto"/>
          <w:highlight w:val="none"/>
        </w:rPr>
        <w:t xml:space="preserve">31. 签订合同</w:t>
      </w:r>
      <w:bookmarkEnd w:id="142"/>
      <w:r/>
      <w:bookmarkEnd w:id="143"/>
      <w:r/>
      <w:bookmarkEnd w:id="144"/>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31.l成交供应商应当在成交通知书发出之日起三十日内，按照采购文件确定的事项与采购人签订政府采购合同。</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31.2采购文件、成交供应商的响应文件及协商过程中有关澄清、承诺文件均应作为合同附件。</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32、标的物的追加</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680"/>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33.3.7本项目是否专门面向中小企业预留采购份额见第一章《单一来源采购邀请》。</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78"/>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33.8实施本国产品标准及相关政策</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1.本项目对采购本国产品给予政策支持</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auto"/>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履约保证金政策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本项目不</w:t>
      </w:r>
      <w:r>
        <w:rPr>
          <w:rFonts w:hint="eastAsia" w:ascii="宋体" w:hAnsi="宋体" w:eastAsia="宋体" w:cs="宋体"/>
          <w:color w:val="auto"/>
          <w:sz w:val="24"/>
          <w:szCs w:val="24"/>
          <w:highlight w:val="none"/>
        </w:rPr>
        <w:t xml:space="preserve">收取履约保证金</w:t>
      </w:r>
      <w:r>
        <w:rPr>
          <w:rFonts w:hint="eastAsia" w:ascii="宋体" w:hAnsi="宋体" w:eastAsia="宋体" w:cs="宋体"/>
          <w:color w:val="auto"/>
          <w:sz w:val="24"/>
          <w:szCs w:val="24"/>
          <w:highlight w:val="none"/>
          <w:lang w:eastAsia="zh-CN"/>
        </w:rPr>
        <w:t xml:space="preserve">。</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34.预付款制度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680"/>
        <w:jc w:val="center"/>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sz w:val="44"/>
          <w:szCs w:val="44"/>
          <w:highlight w:val="none"/>
        </w:rPr>
        <w:t xml:space="preserve">第三章  合同文本</w:t>
      </w:r>
      <w:r/>
    </w:p>
    <w:p>
      <w:pPr>
        <w:pStyle w:val="680"/>
        <w:jc w:val="center"/>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盐城市政府采购合同（合同编号）</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项目名称：2026年市级党报媒体宣传服务项目</w:t>
      </w:r>
      <w:r/>
    </w:p>
    <w:p>
      <w:pPr>
        <w:pStyle w:val="680"/>
        <w:ind w:firstLine="480"/>
        <w:jc w:val="both"/>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项目编号：JSZC-320900-JSJA-D2026-</w:t>
      </w:r>
      <w:r>
        <w:rPr>
          <w:rFonts w:hint="eastAsia" w:ascii="宋体" w:hAnsi="宋体" w:eastAsia="宋体" w:cs="宋体"/>
          <w:color w:val="auto"/>
          <w:highlight w:val="none"/>
          <w:lang w:val="en-US" w:eastAsia="zh-CN"/>
        </w:rPr>
        <w:t xml:space="preserve">0003</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甲方：盐城市住房和城乡建设局</w:t>
      </w:r>
      <w:r/>
    </w:p>
    <w:p>
      <w:pPr>
        <w:pStyle w:val="680"/>
        <w:ind w:firstLine="480"/>
        <w:jc w:val="both"/>
        <w:spacing w:beforeAutospacing="0" w:afterAutospacing="0" w:line="360" w:lineRule="auto"/>
        <w:rPr>
          <w:rFonts w:ascii="宋体" w:hAnsi="宋体" w:eastAsia="宋体" w:cs="宋体"/>
          <w:b/>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rPr>
        <w:t xml:space="preserve">   </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2026年市级党报媒体宣传服务项目</w:t>
      </w:r>
      <w:r>
        <w:rPr>
          <w:rFonts w:hint="eastAsia" w:ascii="宋体" w:hAnsi="宋体" w:eastAsia="宋体" w:cs="宋体"/>
          <w:color w:val="auto"/>
          <w:highlight w:val="none"/>
        </w:rPr>
        <w:t xml:space="preserve">单一来源采购的结果，签署本合同。</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 标的名称：2026年市级党报媒体宣传服务项目</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 标的质量：合格</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 标的数量（规模）：满足甲方要求</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 履行时间（期限）：1年</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1.5 履行地点：盐城市亭湖区</w:t>
      </w:r>
      <w:r/>
    </w:p>
    <w:p>
      <w:pPr>
        <w:pStyle w:val="680"/>
        <w:ind w:firstLine="482"/>
        <w:jc w:val="both"/>
        <w:spacing w:beforeAutospacing="0" w:afterAutospacing="0"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二、合同金额</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 本合同金额为（大写）：______</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_______圆（_____</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________元）人民币或其他币种。</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3.1乙方应按采购文件规定的时间向甲方提供与合同标的有关的技术资料。</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0"/>
        <w:ind w:firstLine="482"/>
        <w:jc w:val="both"/>
        <w:spacing w:beforeAutospacing="0" w:afterAutospacing="0"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四、知识产权</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六、合同转包或分包</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6.1乙方不得将合同标的转包给他人履行。</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6.2乙方不得将合同标的分包给他人履行。</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6.3乙方如有转包或未经甲方同意的分包行为，甲方有权解除合同。</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七、合同款项支付</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7.1甲方按季度将合作费打入乙方账户，乙方负责提供服务清单，不足部分在第四季度费用中按实扣减。</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7.2支付方式：甲方以银行转账支付费用给乙方（此转账凭证作为甲方付款依据，乙方所开发票不作为甲方付款依据）。</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八、税费</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8.1本合同执行中相关的一切税费均由乙方负担。</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九、服务要求</w:t>
      </w:r>
      <w:r/>
    </w:p>
    <w:p>
      <w:pPr>
        <w:pStyle w:val="840"/>
        <w:ind w:firstLine="480"/>
        <w:spacing w:line="360" w:lineRule="auto"/>
        <w:rPr>
          <w:rFonts w:ascii="Segoe UI" w:hAnsi="Segoe UI" w:eastAsia="Segoe UI" w:cs="Segoe UI"/>
          <w:color w:val="auto"/>
          <w:sz w:val="24"/>
          <w:szCs w:val="24"/>
          <w:highlight w:val="none"/>
          <w:shd w:val="clear" w:color="auto" w:fill="ffffff"/>
        </w:rPr>
      </w:pPr>
      <w:r>
        <w:rPr>
          <w:rFonts w:ascii="Segoe UI" w:hAnsi="Segoe UI" w:eastAsia="Segoe UI" w:cs="Segoe UI"/>
          <w:color w:val="auto"/>
          <w:sz w:val="24"/>
          <w:szCs w:val="24"/>
          <w:highlight w:val="none"/>
          <w:shd w:val="clear" w:color="auto" w:fill="ffffff"/>
        </w:rPr>
        <w:t xml:space="preserve">乙方应根据甲方工作要求，围绕以下重点领域及社会关注热点，组织开展系统性宣传工作：房地产市场平稳健康发展、建筑业转型升级、城市有机更新、历史文化全域保护、园林绿化品质提升、住房保障体系完善、物业服务提质增效、城市本质安全提升等。宣传应注重提升盐城住建系统公众形象，加强舆论引导。乙方应充分运用市级党报媒体集团所属各类宣传载体及对外合作资源，实现多平台、全方位、常态化、立体化传播，具体方式包括但不限于：</w:t>
      </w:r>
      <w:r/>
    </w:p>
    <w:p>
      <w:pPr>
        <w:pStyle w:val="840"/>
        <w:ind w:firstLine="480"/>
        <w:spacing w:line="360" w:lineRule="auto"/>
        <w:rPr>
          <w:color w:val="auto"/>
          <w:sz w:val="24"/>
          <w:szCs w:val="24"/>
          <w:highlight w:val="none"/>
        </w:rPr>
      </w:pPr>
      <w:r>
        <w:rPr>
          <w:rFonts w:hint="eastAsia"/>
          <w:color w:val="auto"/>
          <w:sz w:val="24"/>
          <w:szCs w:val="24"/>
          <w:highlight w:val="none"/>
        </w:rPr>
        <w:t xml:space="preserve">9.1日常宣传。围绕市委市政府、盐城市住建局确定的年度重点工作任务，组织骨干采编力量深入住建一线采写报道，在市级党报媒体刊发头版、要闻类稿件不少于20篇，同时组织策划、采编专版宣传不少于10篇，专版原则上每期不少于半个版面。</w:t>
      </w:r>
      <w:r/>
    </w:p>
    <w:p>
      <w:pPr>
        <w:pStyle w:val="840"/>
        <w:ind w:firstLine="480"/>
        <w:spacing w:line="360" w:lineRule="auto"/>
        <w:rPr>
          <w:color w:val="auto"/>
          <w:sz w:val="24"/>
          <w:szCs w:val="24"/>
          <w:highlight w:val="none"/>
        </w:rPr>
      </w:pPr>
      <w:r>
        <w:rPr>
          <w:rFonts w:hint="eastAsia"/>
          <w:color w:val="auto"/>
          <w:sz w:val="24"/>
          <w:szCs w:val="24"/>
          <w:highlight w:val="none"/>
        </w:rPr>
        <w:t xml:space="preserve">9.2融媒体宣传。“盐城住建”微信公众号、视频号、微博号等高质量运维管理，并择优在《盐城发布》《盐城新闻网》《我言客户端》《登瀛观察》等新媒体平台推送宣传内容，形成立体传播矩阵，推送总量不少于100篇。</w:t>
      </w:r>
      <w:r/>
    </w:p>
    <w:p>
      <w:pPr>
        <w:pStyle w:val="840"/>
        <w:ind w:firstLine="480"/>
        <w:spacing w:line="360" w:lineRule="auto"/>
        <w:rPr>
          <w:color w:val="auto"/>
          <w:sz w:val="24"/>
          <w:szCs w:val="24"/>
          <w:highlight w:val="none"/>
        </w:rPr>
      </w:pPr>
      <w:r>
        <w:rPr>
          <w:rFonts w:hint="eastAsia"/>
          <w:color w:val="auto"/>
          <w:sz w:val="24"/>
          <w:szCs w:val="24"/>
          <w:highlight w:val="none"/>
        </w:rPr>
        <w:t xml:space="preserve">9.3外宣推介与媒体协调。运用新闻资源优势，做好新华社、人民日报、学习强国、新华日报、省广电总台等国家、省市主流媒体的对接和媒体协调工作，推介旗下新媒体平台稿件不少于1</w:t>
      </w:r>
      <w:r>
        <w:rPr>
          <w:rFonts w:hint="eastAsia"/>
          <w:color w:val="auto"/>
          <w:sz w:val="24"/>
          <w:szCs w:val="24"/>
          <w:highlight w:val="none"/>
          <w:lang w:val="en-US" w:eastAsia="zh-CN"/>
        </w:rPr>
        <w:t xml:space="preserve">5</w:t>
      </w:r>
      <w:r>
        <w:rPr>
          <w:rFonts w:hint="eastAsia"/>
          <w:color w:val="auto"/>
          <w:sz w:val="24"/>
          <w:szCs w:val="24"/>
          <w:highlight w:val="none"/>
        </w:rPr>
        <w:t xml:space="preserve">篇。</w:t>
      </w:r>
      <w:r/>
    </w:p>
    <w:p>
      <w:pPr>
        <w:pStyle w:val="840"/>
        <w:ind w:firstLine="480"/>
        <w:spacing w:line="360" w:lineRule="auto"/>
        <w:rPr>
          <w:color w:val="auto"/>
          <w:sz w:val="24"/>
          <w:szCs w:val="24"/>
          <w:highlight w:val="none"/>
        </w:rPr>
      </w:pPr>
      <w:r>
        <w:rPr>
          <w:rFonts w:hint="eastAsia"/>
          <w:color w:val="auto"/>
          <w:sz w:val="24"/>
          <w:szCs w:val="24"/>
          <w:highlight w:val="none"/>
        </w:rPr>
        <w:t xml:space="preserve">9.4场地服务。根据甲方工作需要，乙方无偿提供新闻发布中心、演播厅等宣传工作场地，并做好相关配套服务，包括但不限于场地布置、设备调试、技术支持、现场秩序维护等，确保各类宣传活动、新闻发布会、专题采访及视频录制工作的顺利开展。</w:t>
      </w:r>
      <w:r/>
    </w:p>
    <w:p>
      <w:pPr>
        <w:pStyle w:val="840"/>
        <w:ind w:firstLine="480"/>
        <w:spacing w:line="360" w:lineRule="auto"/>
        <w:rPr>
          <w:color w:val="auto"/>
          <w:sz w:val="24"/>
          <w:szCs w:val="24"/>
          <w:highlight w:val="none"/>
        </w:rPr>
      </w:pPr>
      <w:r>
        <w:rPr>
          <w:rFonts w:hint="eastAsia"/>
          <w:color w:val="auto"/>
          <w:sz w:val="24"/>
          <w:szCs w:val="24"/>
          <w:highlight w:val="none"/>
        </w:rPr>
        <w:t xml:space="preserve">9.5图片资料库合作。乙方邀请市新闻摄影学会会员及专职摄影记者，对住建系统重点工作、重大活动及典型人物等进行摄影报道，留存完整影像记录，择优在市级党报媒体平台发表，并协助甲方系统整理、分类归档图片资料库。</w:t>
      </w:r>
      <w:r/>
    </w:p>
    <w:p>
      <w:pPr>
        <w:pStyle w:val="840"/>
        <w:ind w:firstLine="480"/>
        <w:spacing w:line="360" w:lineRule="auto"/>
        <w:rPr>
          <w:color w:val="auto"/>
          <w:sz w:val="24"/>
          <w:szCs w:val="24"/>
          <w:highlight w:val="none"/>
        </w:rPr>
      </w:pPr>
      <w:r>
        <w:rPr>
          <w:rFonts w:hint="eastAsia"/>
          <w:color w:val="auto"/>
          <w:sz w:val="24"/>
          <w:szCs w:val="24"/>
          <w:highlight w:val="none"/>
        </w:rPr>
        <w:t xml:space="preserve">9.6业务培训合作。乙方邀请具有高级职称的资深记者、新闻传播领域专家学者，为住建系统通讯员集中授课，系统讲解新闻采写、新媒体运营、舆情应对等理论与实务知识。</w:t>
      </w:r>
      <w:r/>
    </w:p>
    <w:p>
      <w:pPr>
        <w:pStyle w:val="840"/>
        <w:ind w:firstLine="480"/>
        <w:spacing w:line="360" w:lineRule="auto"/>
        <w:rPr>
          <w:color w:val="auto"/>
          <w:sz w:val="24"/>
          <w:szCs w:val="24"/>
          <w:highlight w:val="none"/>
        </w:rPr>
      </w:pPr>
      <w:r>
        <w:rPr>
          <w:rFonts w:hint="eastAsia"/>
          <w:color w:val="auto"/>
          <w:sz w:val="24"/>
          <w:szCs w:val="24"/>
          <w:highlight w:val="none"/>
        </w:rPr>
        <w:t xml:space="preserve">9.7舆情引导与自媒体联动。乙方年度内组织不少于两次城建领域自媒体采风或座谈活动，邀请本地有影响力的自媒体从业者深入住建系统重点项目、民生工程一线实地走访，增进对住建工作的理解与认同，引导自媒体正面发声，营造良好的网络舆论氛围。</w:t>
      </w:r>
      <w:r/>
    </w:p>
    <w:p>
      <w:pPr>
        <w:pStyle w:val="840"/>
        <w:ind w:firstLine="480"/>
        <w:spacing w:line="360" w:lineRule="auto"/>
        <w:rPr>
          <w:color w:val="auto"/>
          <w:sz w:val="24"/>
          <w:szCs w:val="24"/>
          <w:highlight w:val="none"/>
        </w:rPr>
      </w:pPr>
      <w:r>
        <w:rPr>
          <w:rFonts w:hint="eastAsia"/>
          <w:color w:val="auto"/>
          <w:sz w:val="24"/>
          <w:szCs w:val="24"/>
          <w:highlight w:val="none"/>
        </w:rPr>
        <w:t xml:space="preserve">9.8联络对接机制。乙方应组建由资深采编人员、摄影摄像人员组成的工作专班，负责住建系统相关稿件的采编、影像拍摄及制作工作，并及时协调旗下各媒体平台记者对接局内采访报道任务，确保信息传递畅通、响应及时、执行高效。</w:t>
      </w:r>
      <w:r/>
    </w:p>
    <w:p>
      <w:pPr>
        <w:pStyle w:val="840"/>
        <w:ind w:firstLine="480"/>
        <w:spacing w:line="360" w:lineRule="auto"/>
        <w:rPr>
          <w:color w:val="auto"/>
          <w:sz w:val="24"/>
          <w:szCs w:val="24"/>
          <w:highlight w:val="none"/>
        </w:rPr>
      </w:pPr>
      <w:r>
        <w:rPr>
          <w:rFonts w:hint="eastAsia"/>
          <w:color w:val="auto"/>
          <w:sz w:val="24"/>
          <w:szCs w:val="24"/>
          <w:highlight w:val="none"/>
        </w:rPr>
        <w:t xml:space="preserve">9.9素材使用与版权归属。</w:t>
      </w:r>
      <w:r>
        <w:rPr>
          <w:rFonts w:ascii="Segoe UI" w:hAnsi="Segoe UI" w:eastAsia="Segoe UI" w:cs="Segoe UI"/>
          <w:color w:val="auto"/>
          <w:sz w:val="24"/>
          <w:szCs w:val="24"/>
          <w:highlight w:val="none"/>
          <w:shd w:val="clear" w:color="auto" w:fill="ffffff"/>
        </w:rPr>
        <w:t xml:space="preserve">乙方采编、拍摄涉及甲方工作的文字、图片、视频等素材，可根据甲方需要无偿使用，但使用时须署名以尊重版权。合作期间，运维发布内容及所产生素材的版权归乙方所有。</w:t>
      </w:r>
      <w:r>
        <w:rPr>
          <w:rFonts w:hint="eastAsia"/>
          <w:color w:val="auto"/>
          <w:sz w:val="24"/>
          <w:szCs w:val="24"/>
          <w:highlight w:val="none"/>
        </w:rPr>
        <w:t xml:space="preserve">为了让甲方便于了解以及汇总宣传成果，年底汇编住建系统宣传画册。</w:t>
      </w:r>
      <w:r/>
    </w:p>
    <w:p>
      <w:pPr>
        <w:pStyle w:val="680"/>
        <w:ind w:firstLine="482"/>
        <w:jc w:val="both"/>
        <w:spacing w:beforeAutospacing="0" w:afterAutospacing="0"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十、版权责任</w:t>
      </w:r>
      <w:r/>
    </w:p>
    <w:p>
      <w:pPr>
        <w:pStyle w:val="840"/>
        <w:ind w:firstLine="480"/>
        <w:spacing w:line="360" w:lineRule="auto"/>
        <w:rPr>
          <w:color w:val="auto"/>
          <w:sz w:val="24"/>
          <w:szCs w:val="24"/>
          <w:highlight w:val="none"/>
        </w:rPr>
      </w:pPr>
      <w:r>
        <w:rPr>
          <w:rFonts w:hint="eastAsia"/>
          <w:color w:val="auto"/>
          <w:sz w:val="24"/>
          <w:szCs w:val="24"/>
          <w:highlight w:val="none"/>
        </w:rPr>
        <w:t xml:space="preserve">10.1甲方所提供给乙方的素材（包括但不限于文字、图片、视频、声音、字体等）不侵犯任何第三方的合法权益（包括但不限于肖像权、版权等），如因此发生纠纷，由其承担全部责任。</w:t>
      </w:r>
      <w:r>
        <w:rPr>
          <w:rFonts w:ascii="Segoe UI" w:hAnsi="Segoe UI" w:eastAsia="Segoe UI" w:cs="Segoe UI"/>
          <w:color w:val="auto"/>
          <w:sz w:val="24"/>
          <w:szCs w:val="24"/>
          <w:highlight w:val="none"/>
          <w:shd w:val="clear" w:color="auto" w:fill="ffffff"/>
        </w:rPr>
        <w:t xml:space="preserve">乙方保证其所设计、制作及发布的全部素材（包括但不限于文字、图片、视频、音频、字体等）均不侵犯任何第三方合法权益（包括但不限于肖像权、著作权等）。如因此引发任何纠纷，由乙方承担全部法律责任。</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十一、违约责任</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11.1 甲方无正当理由拒绝接受乙方提供合同标的的，甲方向乙方偿付拒绝接受合同价款总值</w:t>
      </w:r>
      <w:r>
        <w:rPr>
          <w:rFonts w:hint="eastAsia" w:ascii="宋体" w:hAnsi="宋体" w:eastAsia="宋体" w:cs="宋体"/>
          <w:color w:val="auto"/>
          <w:highlight w:val="none"/>
          <w:u w:val="single"/>
        </w:rPr>
        <w:t xml:space="preserve">百分之五</w:t>
      </w:r>
      <w:r>
        <w:rPr>
          <w:rFonts w:hint="eastAsia" w:ascii="宋体" w:hAnsi="宋体" w:eastAsia="宋体" w:cs="宋体"/>
          <w:color w:val="auto"/>
          <w:highlight w:val="none"/>
        </w:rPr>
        <w:t xml:space="preserve">的违约金。</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11.2 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rPr>
        <w:t xml:space="preserve">百分之五</w:t>
      </w:r>
      <w:r>
        <w:rPr>
          <w:rFonts w:hint="eastAsia" w:ascii="宋体" w:hAnsi="宋体" w:eastAsia="宋体" w:cs="宋体"/>
          <w:color w:val="auto"/>
          <w:highlight w:val="none"/>
        </w:rPr>
        <w:t xml:space="preserve">的违约金，如造成甲方损失超过违约金的，超出部分由乙方继续承担赔偿责任。 </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11.4 乙方交付合同标的的标准不符合合同规定及采购文件规定标准的，甲方有权拒绝接受合同标的，并可单方面解除合同。</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十二、不可抗力事件处理</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12.1 在合同有效期内，任何一方因不可抗力事件导致不能履行合同，则合同履行期可延长，其延长期与不可抗力影响期相同。</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12.2 不可抗力事件发生后，应立即通知对方，并寄送有关权威机构出具的证明。</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12.3 不可抗力事件延续120天以上，双方应通过友好协商，确定是否继续履行合同。</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十三、解决争议的方法</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13.1双方在签订、履行合同中所发生的一切争议，应通过友好协商解决。如协商不成，向合同订立所在地有管辖权的人民法院提起诉讼。</w:t>
      </w:r>
      <w:r/>
    </w:p>
    <w:p>
      <w:pPr>
        <w:pStyle w:val="680"/>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十四、合同生效及其它</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14.1 合同经双方法定代表人或授权委托代表人签字并加盖单位公章后生效。</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14.2本合同未尽事宜，遵照《中华人民共和国民法典》《中华人民共和国政府采购法》有关条文执行。</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14.3 本合同正本一式陆份，具有同等法律效力，甲方、乙方各执叁份。</w:t>
      </w:r>
      <w:r/>
    </w:p>
    <w:p>
      <w:pPr>
        <w:pStyle w:val="680"/>
        <w:ind w:hanging="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pStyle w:val="680"/>
        <w:jc w:val="both"/>
        <w:spacing w:beforeAutospacing="0" w:afterAutospacing="0" w:line="360" w:lineRule="auto"/>
        <w:rPr>
          <w:rFonts w:ascii="宋体" w:hAnsi="宋体" w:eastAsia="宋体" w:cs="宋体"/>
          <w:color w:val="auto"/>
          <w:highlight w:val="none"/>
        </w:rPr>
      </w:pPr>
      <w:r>
        <w:rPr>
          <w:rFonts w:ascii="宋体" w:hAnsi="宋体" w:eastAsia="宋体" w:cs="宋体"/>
          <w:color w:val="auto"/>
          <w:highlight w:val="none"/>
        </w:rPr>
      </w:r>
      <w:r/>
    </w:p>
    <w:p>
      <w:pPr>
        <w:pStyle w:val="680"/>
        <w:ind w:firstLine="28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签订日期：      年    月   日</w:t>
      </w:r>
      <w:r/>
    </w:p>
    <w:p>
      <w:pPr>
        <w:pStyle w:val="680"/>
        <w:jc w:val="center"/>
        <w:spacing w:before="120" w:beforeAutospacing="0" w:after="120" w:afterAutospacing="0" w:line="360" w:lineRule="auto"/>
        <w:rPr>
          <w:rFonts w:ascii="宋体" w:hAnsi="宋体" w:eastAsia="宋体" w:cs="宋体"/>
          <w:color w:val="auto"/>
          <w:sz w:val="44"/>
          <w:szCs w:val="44"/>
          <w:highlight w:val="none"/>
        </w:rPr>
      </w:pPr>
      <w:r/>
      <w:bookmarkStart w:id="145" w:name="_Toc479757211"/>
      <w:r/>
      <w:bookmarkStart w:id="146" w:name="_Toc16938590"/>
      <w:r/>
      <w:bookmarkStart w:id="147" w:name="_Toc20823346"/>
      <w:r/>
      <w:bookmarkStart w:id="148" w:name="_Toc120614244"/>
      <w:r/>
      <w:bookmarkStart w:id="149" w:name="_Toc462564139"/>
      <w:r/>
      <w:bookmarkStart w:id="150" w:name="_Hlt16619350"/>
      <w:r/>
      <w:bookmarkStart w:id="151" w:name="_Hlt16619369"/>
      <w:r>
        <w:rPr>
          <w:rFonts w:hint="eastAsia" w:ascii="宋体" w:hAnsi="宋体" w:eastAsia="宋体" w:cs="宋体"/>
          <w:color w:val="auto"/>
          <w:sz w:val="44"/>
          <w:szCs w:val="44"/>
          <w:highlight w:val="none"/>
        </w:rPr>
        <w:t xml:space="preserve"> </w:t>
      </w:r>
      <w:r/>
    </w:p>
    <w:p>
      <w:pP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680"/>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sz w:val="44"/>
          <w:szCs w:val="44"/>
          <w:highlight w:val="none"/>
        </w:rPr>
        <w:t xml:space="preserve">第</w:t>
      </w:r>
      <w:bookmarkEnd w:id="145"/>
      <w:r>
        <w:rPr>
          <w:rFonts w:hint="eastAsia" w:ascii="宋体" w:hAnsi="宋体" w:eastAsia="宋体" w:cs="宋体"/>
          <w:color w:val="auto"/>
          <w:sz w:val="44"/>
          <w:szCs w:val="44"/>
          <w:highlight w:val="none"/>
        </w:rPr>
        <w:t xml:space="preserve">四章 采购需求</w:t>
      </w:r>
      <w:bookmarkEnd w:id="146"/>
      <w:r/>
      <w:bookmarkEnd w:id="147"/>
      <w:r/>
      <w:bookmarkEnd w:id="148"/>
      <w:r/>
      <w:bookmarkEnd w:id="149"/>
      <w:r/>
      <w:bookmarkStart w:id="152" w:name="_Toc49090575"/>
      <w:r/>
      <w:bookmarkEnd w:id="152"/>
      <w:r/>
      <w:bookmarkStart w:id="153" w:name="_Toc26554093"/>
      <w:r/>
      <w:bookmarkEnd w:id="153"/>
      <w:r/>
      <w:r/>
    </w:p>
    <w:p>
      <w:pPr>
        <w:pStyle w:val="680"/>
        <w:ind w:firstLine="482"/>
        <w:jc w:val="both"/>
        <w:spacing w:beforeAutospacing="0" w:afterAutospacing="0" w:line="360" w:lineRule="auto"/>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项目属性:服务类项目。</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采购标的对应的中小企业划分标准所属行业一览表</w:t>
      </w:r>
      <w:r/>
    </w:p>
    <w:tbl>
      <w:tblPr>
        <w:tblStyle w:val="658"/>
        <w:tblW w:w="845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3913"/>
        <w:gridCol w:w="3824"/>
      </w:tblGrid>
      <w:tr>
        <w:trPr>
          <w:jc w:val="center"/>
          <w:tblCellSpacing w:w="0" w:type="dxa"/>
        </w:trPr>
        <w:tc>
          <w:tcPr>
            <w:tcW w:w="722" w:type="dxa"/>
            <w:vAlign w:val="center"/>
            <w:textDirection w:val="lrTb"/>
            <w:noWrap/>
          </w:tcPr>
          <w:p>
            <w:pPr>
              <w:pStyle w:val="839"/>
              <w:jc w:val="center"/>
              <w:spacing w:beforeAutospacing="0" w:afterAutospacing="0" w:line="360" w:lineRule="auto"/>
              <w:rPr>
                <w:rFonts w:eastAsia="宋体"/>
                <w:color w:val="auto"/>
                <w:highlight w:val="none"/>
              </w:rPr>
            </w:pPr>
            <w:r>
              <w:rPr>
                <w:rFonts w:hint="eastAsia" w:eastAsia="宋体"/>
                <w:color w:val="auto"/>
                <w:highlight w:val="none"/>
              </w:rPr>
              <w:t xml:space="preserve">序号</w:t>
            </w:r>
            <w:r/>
          </w:p>
        </w:tc>
        <w:tc>
          <w:tcPr>
            <w:tcW w:w="3913" w:type="dxa"/>
            <w:vAlign w:val="center"/>
            <w:textDirection w:val="lrTb"/>
            <w:noWrap/>
          </w:tcPr>
          <w:p>
            <w:pPr>
              <w:pStyle w:val="839"/>
              <w:jc w:val="center"/>
              <w:spacing w:beforeAutospacing="0" w:afterAutospacing="0" w:line="360" w:lineRule="auto"/>
              <w:rPr>
                <w:rFonts w:eastAsia="宋体"/>
                <w:color w:val="auto"/>
                <w:highlight w:val="none"/>
              </w:rPr>
            </w:pPr>
            <w:r>
              <w:rPr>
                <w:rFonts w:hint="eastAsia" w:eastAsia="宋体"/>
                <w:color w:val="auto"/>
                <w:highlight w:val="none"/>
              </w:rPr>
              <w:t xml:space="preserve">采购标的</w:t>
            </w:r>
            <w:r/>
          </w:p>
        </w:tc>
        <w:tc>
          <w:tcPr>
            <w:tcW w:w="3824" w:type="dxa"/>
            <w:vAlign w:val="center"/>
            <w:textDirection w:val="lrTb"/>
            <w:noWrap/>
          </w:tcPr>
          <w:p>
            <w:pPr>
              <w:pStyle w:val="839"/>
              <w:jc w:val="center"/>
              <w:spacing w:beforeAutospacing="0" w:afterAutospacing="0" w:line="360" w:lineRule="auto"/>
              <w:rPr>
                <w:rFonts w:eastAsia="宋体"/>
                <w:color w:val="auto"/>
                <w:highlight w:val="none"/>
              </w:rPr>
            </w:pPr>
            <w:r>
              <w:rPr>
                <w:rFonts w:hint="eastAsia" w:eastAsia="宋体"/>
                <w:color w:val="auto"/>
                <w:highlight w:val="none"/>
              </w:rPr>
              <w:t xml:space="preserve">对应中小企业划分标准所属行业</w:t>
            </w:r>
            <w:r/>
          </w:p>
        </w:tc>
      </w:tr>
      <w:tr>
        <w:trPr>
          <w:jc w:val="center"/>
          <w:tblCellSpacing w:w="0" w:type="dxa"/>
          <w:trHeight w:val="291"/>
        </w:trPr>
        <w:tc>
          <w:tcPr>
            <w:tcW w:w="722" w:type="dxa"/>
            <w:vAlign w:val="center"/>
            <w:textDirection w:val="lrTb"/>
            <w:noWrap/>
          </w:tcPr>
          <w:p>
            <w:pPr>
              <w:pStyle w:val="839"/>
              <w:jc w:val="center"/>
              <w:spacing w:beforeAutospacing="0" w:afterAutospacing="0" w:line="360" w:lineRule="auto"/>
              <w:rPr>
                <w:rFonts w:eastAsia="宋体"/>
                <w:color w:val="auto"/>
                <w:highlight w:val="none"/>
              </w:rPr>
            </w:pPr>
            <w:r>
              <w:rPr>
                <w:rFonts w:hint="eastAsia" w:eastAsia="宋体"/>
                <w:color w:val="auto"/>
                <w:highlight w:val="none"/>
              </w:rPr>
              <w:t xml:space="preserve">1</w:t>
            </w:r>
            <w:r/>
          </w:p>
        </w:tc>
        <w:tc>
          <w:tcPr>
            <w:tcW w:w="3913" w:type="dxa"/>
            <w:vAlign w:val="center"/>
            <w:textDirection w:val="lrTb"/>
            <w:noWrap/>
          </w:tcPr>
          <w:p>
            <w:pPr>
              <w:pStyle w:val="839"/>
              <w:jc w:val="center"/>
              <w:spacing w:beforeAutospacing="0" w:afterAutospacing="0" w:line="360" w:lineRule="auto"/>
              <w:rPr>
                <w:rFonts w:eastAsia="宋体"/>
                <w:color w:val="auto"/>
                <w:highlight w:val="none"/>
              </w:rPr>
            </w:pPr>
            <w:r>
              <w:rPr>
                <w:rFonts w:hint="eastAsia" w:eastAsia="宋体"/>
                <w:color w:val="auto"/>
                <w:highlight w:val="none"/>
              </w:rPr>
              <w:t xml:space="preserve">2026年市级党报媒体宣传服务项目</w:t>
            </w:r>
            <w:r/>
          </w:p>
        </w:tc>
        <w:tc>
          <w:tcPr>
            <w:tcW w:w="3824" w:type="dxa"/>
            <w:vAlign w:val="center"/>
            <w:textDirection w:val="lrTb"/>
            <w:noWrap/>
          </w:tcPr>
          <w:p>
            <w:pPr>
              <w:pStyle w:val="839"/>
              <w:jc w:val="center"/>
              <w:spacing w:beforeAutospacing="0" w:afterAutospacing="0" w:line="360" w:lineRule="auto"/>
              <w:rPr>
                <w:rFonts w:eastAsia="宋体"/>
                <w:color w:val="auto"/>
                <w:highlight w:val="none"/>
              </w:rPr>
            </w:pPr>
            <w:r>
              <w:rPr>
                <w:rFonts w:hint="eastAsia" w:eastAsia="宋体"/>
                <w:color w:val="auto"/>
                <w:highlight w:val="none"/>
              </w:rPr>
              <w:t xml:space="preserve">其他未列明行业</w:t>
            </w:r>
            <w:r/>
          </w:p>
        </w:tc>
      </w:tr>
    </w:tbl>
    <w:p>
      <w:pPr>
        <w:pStyle w:val="680"/>
        <w:jc w:val="both"/>
        <w:spacing w:beforeAutospacing="0" w:afterAutospacing="0" w:line="360" w:lineRule="auto"/>
        <w:rPr>
          <w:rFonts w:ascii="宋体" w:hAnsi="宋体" w:eastAsia="宋体" w:cs="宋体"/>
          <w:b/>
          <w:bCs/>
          <w:color w:val="auto"/>
          <w:highlight w:val="none"/>
        </w:rPr>
      </w:pPr>
      <w:r/>
      <w:bookmarkStart w:id="154" w:name="_Toc618"/>
      <w:r/>
      <w:r/>
    </w:p>
    <w:p>
      <w:pPr>
        <w:pStyle w:val="6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一、项目概况</w:t>
      </w:r>
      <w:bookmarkEnd w:id="154"/>
      <w:r/>
      <w:r/>
    </w:p>
    <w:p>
      <w:pPr>
        <w:pStyle w:val="680"/>
        <w:ind w:firstLine="480"/>
        <w:jc w:val="both"/>
        <w:spacing w:beforeAutospacing="0" w:afterAutospacing="0" w:line="360" w:lineRule="auto"/>
        <w:rPr>
          <w:rFonts w:ascii="宋体" w:hAnsi="宋体" w:eastAsia="宋体" w:cs="宋体"/>
          <w:color w:val="auto"/>
          <w:highlight w:val="none"/>
        </w:rPr>
      </w:pPr>
      <w:r/>
      <w:bookmarkStart w:id="155" w:name="_Toc517777390"/>
      <w:r/>
      <w:bookmarkStart w:id="156" w:name="_Toc1166"/>
      <w:r>
        <w:rPr>
          <w:rFonts w:hint="eastAsia" w:ascii="宋体" w:hAnsi="宋体" w:eastAsia="宋体" w:cs="宋体"/>
          <w:color w:val="auto"/>
          <w:highlight w:val="none"/>
        </w:rPr>
        <w:t xml:space="preserve">1.项目名称：</w:t>
      </w:r>
      <w:bookmarkEnd w:id="155"/>
      <w:r>
        <w:rPr>
          <w:rFonts w:hint="eastAsia" w:ascii="宋体" w:hAnsi="宋体" w:eastAsia="宋体" w:cs="宋体"/>
          <w:color w:val="auto"/>
          <w:highlight w:val="none"/>
        </w:rPr>
        <w:t xml:space="preserve">2026年市级党报媒体宣传服务项目</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2.采购内容：</w:t>
      </w:r>
      <w:r/>
    </w:p>
    <w:p>
      <w:pPr>
        <w:pStyle w:val="680"/>
        <w:ind w:firstLine="480"/>
        <w:jc w:val="both"/>
        <w:spacing w:beforeAutospacing="0" w:afterAutospacing="0" w:line="360" w:lineRule="auto"/>
        <w:rPr>
          <w:rFonts w:hint="eastAsia" w:ascii="宋体" w:hAnsi="宋体" w:eastAsia="宋体" w:cs="宋体"/>
          <w:color w:val="auto"/>
          <w:highlight w:val="none"/>
          <w:lang w:eastAsia="zh-CN"/>
        </w:rPr>
      </w:pPr>
      <w:r>
        <w:rPr>
          <w:rFonts w:ascii="Segoe UI" w:hAnsi="Segoe UI" w:eastAsia="Segoe UI" w:cs="Segoe UI"/>
          <w:color w:val="auto"/>
          <w:highlight w:val="none"/>
          <w:shd w:val="clear" w:color="auto" w:fill="ffffff"/>
        </w:rPr>
        <w:t xml:space="preserve">围绕以下重点领域及社会关注热点，组织开展系统性宣传工作：房地产市场平稳健康发展、建筑业转型升级、城市有机更新、历史文化全域保护、园林绿化品质提升、住房保障体系完善、物业服务提质增效、城市本质安全提升等。宣传应注重提升盐城住建系统公众形象，加强舆论引导。充分运用市级党报媒体集团所属各类宣传载体及对外合作资源，实现多平台、全方位、常态化、立体化传播</w:t>
      </w:r>
      <w:r>
        <w:rPr>
          <w:rFonts w:hint="eastAsia" w:ascii="Segoe UI" w:hAnsi="Segoe UI" w:eastAsia="宋体" w:cs="Segoe UI"/>
          <w:color w:val="auto"/>
          <w:highlight w:val="none"/>
          <w:shd w:val="clear" w:color="auto" w:fill="ffffff"/>
          <w:lang w:eastAsia="zh-CN"/>
        </w:rPr>
        <w:t xml:space="preserve">。</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3.合同履行期限（服务期）：1年</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4.预算金额：117.00万元</w:t>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5.最高限价：117.00万元</w:t>
      </w:r>
      <w:bookmarkEnd w:id="156"/>
      <w:r/>
      <w:r/>
    </w:p>
    <w:p>
      <w:pPr>
        <w:pStyle w:val="680"/>
        <w:jc w:val="both"/>
        <w:spacing w:beforeAutospacing="0" w:afterAutospacing="0" w:line="360" w:lineRule="auto"/>
        <w:rPr>
          <w:rFonts w:ascii="宋体" w:hAnsi="宋体" w:eastAsia="宋体" w:cs="宋体"/>
          <w:b/>
          <w:bCs/>
          <w:color w:val="auto"/>
          <w:highlight w:val="none"/>
        </w:rPr>
      </w:pPr>
      <w:r/>
      <w:bookmarkStart w:id="157" w:name="_Toc9565"/>
      <w:r>
        <w:rPr>
          <w:rFonts w:hint="eastAsia" w:ascii="宋体" w:hAnsi="宋体" w:eastAsia="宋体" w:cs="宋体"/>
          <w:b/>
          <w:bCs/>
          <w:color w:val="auto"/>
          <w:highlight w:val="none"/>
        </w:rPr>
        <w:t xml:space="preserve">二、具体要求</w:t>
      </w:r>
      <w:bookmarkEnd w:id="157"/>
      <w:r/>
      <w:r/>
    </w:p>
    <w:p>
      <w:pPr>
        <w:pStyle w:val="840"/>
        <w:ind w:firstLine="480"/>
        <w:spacing w:line="360" w:lineRule="auto"/>
        <w:rPr>
          <w:color w:val="auto"/>
          <w:sz w:val="24"/>
          <w:szCs w:val="24"/>
          <w:highlight w:val="none"/>
        </w:rPr>
      </w:pPr>
      <w:r>
        <w:rPr>
          <w:rFonts w:hint="eastAsia"/>
          <w:color w:val="auto"/>
          <w:sz w:val="24"/>
          <w:szCs w:val="24"/>
          <w:highlight w:val="none"/>
        </w:rPr>
        <w:t xml:space="preserve">1.日常宣传。围绕市委市政府、盐城市住建局确定的年度重点工作任务，组织骨干采编力量深入住建一线采写报道，在市级党报媒体刊发头版、要闻类稿件不少于20篇，同时组织策划、采编专版宣传不少于10篇，专版原则上每期不少于半个版面。</w:t>
      </w:r>
      <w:r/>
    </w:p>
    <w:p>
      <w:pPr>
        <w:pStyle w:val="840"/>
        <w:ind w:firstLine="480"/>
        <w:spacing w:line="360" w:lineRule="auto"/>
        <w:rPr>
          <w:color w:val="auto"/>
          <w:sz w:val="24"/>
          <w:szCs w:val="24"/>
          <w:highlight w:val="none"/>
        </w:rPr>
      </w:pPr>
      <w:r>
        <w:rPr>
          <w:rFonts w:hint="eastAsia"/>
          <w:color w:val="auto"/>
          <w:sz w:val="24"/>
          <w:szCs w:val="24"/>
          <w:highlight w:val="none"/>
        </w:rPr>
        <w:t xml:space="preserve">2.融媒体宣传。“盐城住建”微信公众号、视频号、微博号等高质量运维管理，并择优在《盐城发布》《盐城新闻网》《我言客户端》《登瀛观察》等新媒体平台推送宣传内容，形成立体传播矩阵，推送总量不少于100篇。</w:t>
      </w:r>
      <w:r/>
    </w:p>
    <w:p>
      <w:pPr>
        <w:pStyle w:val="840"/>
        <w:ind w:firstLine="480"/>
        <w:spacing w:line="360" w:lineRule="auto"/>
        <w:rPr>
          <w:color w:val="auto"/>
          <w:sz w:val="24"/>
          <w:szCs w:val="24"/>
          <w:highlight w:val="none"/>
        </w:rPr>
      </w:pPr>
      <w:r>
        <w:rPr>
          <w:rFonts w:hint="eastAsia"/>
          <w:color w:val="auto"/>
          <w:sz w:val="24"/>
          <w:szCs w:val="24"/>
          <w:highlight w:val="none"/>
        </w:rPr>
        <w:t xml:space="preserve">3.外宣推介与媒体协调。运用新闻资源优势，做好新华社、人民日报、学习强国、新华日报、省广电总台等国家、省市主流媒体的对接和媒体协调工作，推介乙方旗下新媒体平台稿件不少于1</w:t>
      </w:r>
      <w:r>
        <w:rPr>
          <w:rFonts w:hint="eastAsia"/>
          <w:color w:val="auto"/>
          <w:sz w:val="24"/>
          <w:szCs w:val="24"/>
          <w:highlight w:val="none"/>
          <w:lang w:val="en-US" w:eastAsia="zh-CN"/>
        </w:rPr>
        <w:t xml:space="preserve">5</w:t>
      </w:r>
      <w:r>
        <w:rPr>
          <w:rFonts w:hint="eastAsia"/>
          <w:color w:val="auto"/>
          <w:sz w:val="24"/>
          <w:szCs w:val="24"/>
          <w:highlight w:val="none"/>
        </w:rPr>
        <w:t xml:space="preserve">篇。</w:t>
      </w:r>
      <w:r/>
    </w:p>
    <w:p>
      <w:pPr>
        <w:pStyle w:val="840"/>
        <w:ind w:firstLine="480"/>
        <w:spacing w:line="360" w:lineRule="auto"/>
        <w:rPr>
          <w:color w:val="auto"/>
          <w:sz w:val="24"/>
          <w:szCs w:val="24"/>
          <w:highlight w:val="none"/>
        </w:rPr>
      </w:pPr>
      <w:r>
        <w:rPr>
          <w:rFonts w:hint="eastAsia"/>
          <w:color w:val="auto"/>
          <w:sz w:val="24"/>
          <w:szCs w:val="24"/>
          <w:highlight w:val="none"/>
        </w:rPr>
        <w:t xml:space="preserve">4.场地服务。根据甲方工作需要，乙方无偿提供新闻发布中心、演播厅等宣传工作场地，并做好相关配套服务，包括但不限于场地布置、设备调试、技术支持、现场秩序维护等，确保各类宣传活动、新闻发布会、专题采访及视频录制工作的顺利开展。</w:t>
      </w:r>
      <w:r/>
    </w:p>
    <w:p>
      <w:pPr>
        <w:pStyle w:val="840"/>
        <w:ind w:firstLine="480"/>
        <w:spacing w:line="360" w:lineRule="auto"/>
        <w:rPr>
          <w:color w:val="auto"/>
          <w:sz w:val="24"/>
          <w:szCs w:val="24"/>
          <w:highlight w:val="none"/>
        </w:rPr>
      </w:pPr>
      <w:r>
        <w:rPr>
          <w:rFonts w:hint="eastAsia"/>
          <w:color w:val="auto"/>
          <w:sz w:val="24"/>
          <w:szCs w:val="24"/>
          <w:highlight w:val="none"/>
        </w:rPr>
        <w:t xml:space="preserve">5.图片资料库合作。乙方邀请市新闻摄影学会会员及专职摄影记者，对住建系统重点工作、重大活动及典型人物等进行摄影报道，留存完整影像记录，择优在市级党报媒体平台发表，并协助甲方系统整理、分类归档图片资料库。</w:t>
      </w:r>
      <w:r/>
    </w:p>
    <w:p>
      <w:pPr>
        <w:pStyle w:val="840"/>
        <w:ind w:firstLine="480"/>
        <w:spacing w:line="360" w:lineRule="auto"/>
        <w:rPr>
          <w:color w:val="auto"/>
          <w:sz w:val="24"/>
          <w:szCs w:val="24"/>
          <w:highlight w:val="none"/>
        </w:rPr>
      </w:pPr>
      <w:r>
        <w:rPr>
          <w:rFonts w:hint="eastAsia"/>
          <w:color w:val="auto"/>
          <w:sz w:val="24"/>
          <w:szCs w:val="24"/>
          <w:highlight w:val="none"/>
        </w:rPr>
        <w:t xml:space="preserve">6.业务培训合作。乙方邀请具有高级职称的资深记者、新闻传播领域专家学者，为住建系统通讯员集中授课，系统讲解新闻采写、新媒体运营、舆情应对等理论与实务知识。</w:t>
      </w:r>
      <w:r/>
    </w:p>
    <w:p>
      <w:pPr>
        <w:pStyle w:val="840"/>
        <w:ind w:firstLine="480"/>
        <w:spacing w:line="360" w:lineRule="auto"/>
        <w:rPr>
          <w:color w:val="auto"/>
          <w:sz w:val="24"/>
          <w:szCs w:val="24"/>
          <w:highlight w:val="none"/>
        </w:rPr>
      </w:pPr>
      <w:r>
        <w:rPr>
          <w:rFonts w:hint="eastAsia"/>
          <w:color w:val="auto"/>
          <w:sz w:val="24"/>
          <w:szCs w:val="24"/>
          <w:highlight w:val="none"/>
        </w:rPr>
        <w:t xml:space="preserve">7.舆情引导与自媒体联动。乙方年度内组织不少于两次城建领域自媒体采风或座谈活动，邀请本地有影响力的自媒体从业者深入住建系统重点项目、民生工程一线实地走访，增进对住建工作的理解与认同，引导自媒体正面发声，营造良好的网络舆论氛围。</w:t>
      </w:r>
      <w:r/>
    </w:p>
    <w:p>
      <w:pPr>
        <w:pStyle w:val="840"/>
        <w:ind w:firstLine="480"/>
        <w:spacing w:line="360" w:lineRule="auto"/>
        <w:rPr>
          <w:color w:val="auto"/>
          <w:sz w:val="24"/>
          <w:szCs w:val="24"/>
          <w:highlight w:val="none"/>
        </w:rPr>
      </w:pPr>
      <w:r>
        <w:rPr>
          <w:rFonts w:hint="eastAsia"/>
          <w:color w:val="auto"/>
          <w:sz w:val="24"/>
          <w:szCs w:val="24"/>
          <w:highlight w:val="none"/>
        </w:rPr>
        <w:t xml:space="preserve">8.联络对接机制。乙方应组建由资深采编人员、摄影摄像人员组成的工作专班，负责住建系统相关稿件的采编、影像拍摄及制作工作，并及时协调旗下各媒体平台记者对接局内采访报道任务，确保信息传递畅通、响应及时、执行高效。</w:t>
      </w:r>
      <w:r/>
    </w:p>
    <w:p>
      <w:pPr>
        <w:pStyle w:val="840"/>
        <w:ind w:firstLine="480"/>
        <w:spacing w:line="360" w:lineRule="auto"/>
        <w:rPr>
          <w:color w:val="auto"/>
          <w:sz w:val="24"/>
          <w:szCs w:val="24"/>
          <w:highlight w:val="none"/>
        </w:rPr>
      </w:pPr>
      <w:r>
        <w:rPr>
          <w:rFonts w:hint="eastAsia"/>
          <w:color w:val="auto"/>
          <w:sz w:val="24"/>
          <w:szCs w:val="24"/>
          <w:highlight w:val="none"/>
        </w:rPr>
        <w:t xml:space="preserve">9.素材使用与版权归属。</w:t>
      </w:r>
      <w:r>
        <w:rPr>
          <w:rFonts w:hint="eastAsia"/>
          <w:color w:val="auto"/>
          <w:sz w:val="24"/>
          <w:szCs w:val="24"/>
          <w:highlight w:val="none"/>
          <w:shd w:val="clear" w:color="auto" w:fill="ffffff"/>
        </w:rPr>
        <w:t xml:space="preserve">乙方采编、拍摄涉及甲方工作的文字、图片、视频等素材，可根据甲方需要无偿使用，但使用时须署名以尊重版权。合作期间，运维发布内容及所产生素材的版权归乙方所有。</w:t>
      </w:r>
      <w:r>
        <w:rPr>
          <w:rFonts w:hint="eastAsia"/>
          <w:color w:val="auto"/>
          <w:sz w:val="24"/>
          <w:szCs w:val="24"/>
          <w:highlight w:val="none"/>
        </w:rPr>
        <w:t xml:space="preserve">为了让甲方便于了解以及汇总宣传成果，年底汇编住建系统宣传画册。</w:t>
      </w:r>
      <w:r/>
    </w:p>
    <w:p>
      <w:pPr>
        <w:pStyle w:val="840"/>
        <w:ind w:firstLine="480"/>
        <w:spacing w:line="360" w:lineRule="auto"/>
        <w:rPr>
          <w:color w:val="auto"/>
          <w:sz w:val="24"/>
          <w:szCs w:val="24"/>
          <w:highlight w:val="none"/>
        </w:rPr>
      </w:pPr>
      <w:r>
        <w:rPr>
          <w:rFonts w:hint="eastAsia"/>
          <w:color w:val="auto"/>
          <w:sz w:val="24"/>
          <w:szCs w:val="24"/>
          <w:highlight w:val="none"/>
        </w:rPr>
        <w:t xml:space="preserve">甲方所提供给乙方的素材（包括但不限于文字、图片、视频、声音、字体等）不侵犯任何第三方的合法权益（包括但不限于肖像权、版权等），如因此发生纠纷，由其承担全部责任。</w:t>
      </w:r>
      <w:r>
        <w:rPr>
          <w:rFonts w:ascii="Segoe UI" w:hAnsi="Segoe UI" w:eastAsia="Segoe UI" w:cs="Segoe UI"/>
          <w:color w:val="auto"/>
          <w:sz w:val="24"/>
          <w:szCs w:val="24"/>
          <w:highlight w:val="none"/>
          <w:shd w:val="clear" w:color="auto" w:fill="ffffff"/>
        </w:rPr>
        <w:t xml:space="preserve">乙方保证其所设计、制作及发布的全部素材（包括但不限于文字、图片、视频、音频、字体等）均不侵犯任何第三方合法权益（包括但不限于肖像权、著作权等）。如因此引发任何纠纷，由乙方承担全部法律责任。</w:t>
      </w:r>
      <w:r/>
    </w:p>
    <w:p>
      <w:pPr>
        <w:pStyle w:val="841"/>
        <w:rPr>
          <w:rFonts w:eastAsiaTheme="minorEastAsia"/>
          <w:color w:val="auto"/>
          <w:highlight w:val="none"/>
        </w:rPr>
      </w:pPr>
      <w:r>
        <w:rPr>
          <w:rFonts w:eastAsiaTheme="minorEastAsia"/>
          <w:color w:val="auto"/>
          <w:highlight w:val="none"/>
        </w:rPr>
      </w:r>
      <w:r/>
    </w:p>
    <w:p>
      <w:pPr>
        <w:rPr>
          <w:rFonts w:hint="eastAsia" w:ascii="宋体" w:hAnsi="宋体" w:eastAsia="宋体" w:cs="宋体"/>
          <w:color w:val="auto"/>
          <w:sz w:val="44"/>
          <w:szCs w:val="44"/>
          <w:highlight w:val="none"/>
        </w:rPr>
      </w:pPr>
      <w:r/>
      <w:bookmarkStart w:id="158" w:name="_Toc120614281"/>
      <w:r>
        <w:rPr>
          <w:rFonts w:hint="eastAsia" w:ascii="宋体" w:hAnsi="宋体" w:eastAsia="宋体" w:cs="宋体"/>
          <w:color w:val="auto"/>
          <w:sz w:val="44"/>
          <w:szCs w:val="44"/>
          <w:highlight w:val="none"/>
        </w:rPr>
        <w:br w:type="page" w:clear="all"/>
      </w:r>
      <w:r/>
    </w:p>
    <w:p>
      <w:pPr>
        <w:pStyle w:val="680"/>
        <w:jc w:val="center"/>
        <w:keepNext/>
        <w:spacing w:beforeAutospacing="0" w:afterAutospacing="0"/>
        <w:rPr>
          <w:rFonts w:ascii="宋体" w:hAnsi="宋体" w:eastAsia="宋体" w:cs="宋体"/>
          <w:color w:val="auto"/>
          <w:highlight w:val="none"/>
        </w:rPr>
      </w:pPr>
      <w:r>
        <w:rPr>
          <w:rFonts w:hint="eastAsia" w:ascii="宋体" w:hAnsi="宋体" w:eastAsia="宋体" w:cs="宋体"/>
          <w:color w:val="auto"/>
          <w:sz w:val="44"/>
          <w:szCs w:val="44"/>
          <w:highlight w:val="none"/>
        </w:rPr>
        <w:t xml:space="preserve">第五章  响应文件格式 </w:t>
      </w:r>
      <w:r/>
    </w:p>
    <w:p>
      <w:pPr>
        <w:pStyle w:val="680"/>
        <w:jc w:val="center"/>
        <w:spacing w:beforeAutospacing="0" w:afterAutospacing="0"/>
        <w:rPr>
          <w:rFonts w:ascii="宋体" w:hAnsi="宋体" w:eastAsia="宋体" w:cs="宋体"/>
          <w:b/>
          <w:color w:val="auto"/>
          <w:sz w:val="72"/>
          <w:szCs w:val="72"/>
          <w:highlight w:val="none"/>
        </w:rPr>
      </w:pPr>
      <w:r/>
      <w:bookmarkStart w:id="159" w:name="_Toc49090576"/>
      <w:r/>
      <w:bookmarkEnd w:id="159"/>
      <w:r/>
      <w:bookmarkStart w:id="160" w:name="_Toc120614282"/>
      <w:r/>
      <w:bookmarkEnd w:id="160"/>
      <w:r/>
      <w:bookmarkStart w:id="161" w:name="_Toc26554094"/>
      <w:r/>
      <w:bookmarkStart w:id="162" w:name="_Hlt26671244"/>
      <w:r/>
      <w:bookmarkStart w:id="163" w:name="_Hlt26955039"/>
      <w:r/>
      <w:r/>
    </w:p>
    <w:p>
      <w:pPr>
        <w:pStyle w:val="680"/>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b/>
          <w:color w:val="auto"/>
          <w:sz w:val="72"/>
          <w:szCs w:val="72"/>
          <w:highlight w:val="none"/>
        </w:rPr>
        <w:t xml:space="preserve">响  应  文  件</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80"/>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采 购 编 号：</w:t>
      </w:r>
      <w:r>
        <w:rPr>
          <w:rFonts w:hint="eastAsia" w:ascii="宋体" w:hAnsi="宋体" w:eastAsia="宋体" w:cs="宋体"/>
          <w:b/>
          <w:color w:val="auto"/>
          <w:sz w:val="36"/>
          <w:szCs w:val="36"/>
          <w:highlight w:val="none"/>
          <w:u w:val="singl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  （加盖CA电子公章）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8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响应文件目录</w:t>
      </w:r>
      <w:r/>
    </w:p>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left="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二、上一年度的财务状况报表（至少提供资产负债表、利润表、现金流量表，协商供应商成立不满一年无需提供）</w:t>
      </w:r>
      <w:r/>
    </w:p>
    <w:p>
      <w:pPr>
        <w:pStyle w:val="680"/>
        <w:numPr>
          <w:ilvl w:val="0"/>
          <w:numId w:val="1"/>
        </w:numPr>
        <w:ind w:left="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具备履行合同所必需的设备和专业技术能力的书面声明</w:t>
      </w:r>
      <w:r/>
    </w:p>
    <w:p>
      <w:pPr>
        <w:pStyle w:val="680"/>
        <w:ind w:firstLine="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80"/>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680"/>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六、特定资格要求的证明文件（如果本项目设置特定资格要求，则需要提供）</w:t>
      </w:r>
      <w:r/>
    </w:p>
    <w:p>
      <w:pPr>
        <w:pStyle w:val="680"/>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七、法人授权书</w:t>
      </w:r>
      <w:r/>
    </w:p>
    <w:p>
      <w:pPr>
        <w:pStyle w:val="680"/>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八、单一来源响应函</w:t>
      </w:r>
      <w:r/>
    </w:p>
    <w:p>
      <w:pPr>
        <w:pStyle w:val="680"/>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九、中小企业声明函</w:t>
      </w:r>
      <w:r/>
    </w:p>
    <w:p>
      <w:pPr>
        <w:pStyle w:val="680"/>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十、分项报价表</w:t>
      </w:r>
      <w:r/>
    </w:p>
    <w:p>
      <w:pPr>
        <w:pStyle w:val="680"/>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十一、技术要求响应及偏离表</w:t>
      </w:r>
      <w:r/>
    </w:p>
    <w:p>
      <w:pPr>
        <w:pStyle w:val="680"/>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十二、商务要求响应及偏离表</w:t>
      </w:r>
      <w:r/>
    </w:p>
    <w:p>
      <w:pPr>
        <w:pStyle w:val="680"/>
        <w:ind w:left="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十三、开标一览表</w:t>
      </w:r>
      <w:r/>
    </w:p>
    <w:p>
      <w:pPr>
        <w:ind w:firstLine="480"/>
        <w:spacing w:before="50" w:after="50"/>
        <w:widowControl/>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十四、技术方案、服务承诺、培训承诺等</w:t>
      </w:r>
      <w:r/>
    </w:p>
    <w:p>
      <w:pPr>
        <w:pStyle w:val="680"/>
        <w:ind w:firstLine="480"/>
        <w:jc w:val="both"/>
        <w:spacing w:beforeAutospacing="0" w:afterAutospacing="0" w:line="360" w:lineRule="auto"/>
        <w:rPr>
          <w:rFonts w:ascii="宋体" w:hAnsi="宋体" w:eastAsia="宋体" w:cs="宋体"/>
          <w:iCs/>
          <w:color w:val="auto"/>
          <w:highlight w:val="none"/>
        </w:rPr>
      </w:pPr>
      <w:r>
        <w:rPr>
          <w:rFonts w:hint="eastAsia" w:ascii="宋体" w:hAnsi="宋体" w:eastAsia="宋体" w:cs="宋体"/>
          <w:iCs/>
          <w:color w:val="auto"/>
          <w:highlight w:val="none"/>
        </w:rPr>
        <w:t xml:space="preserve">十五、盐城市政府采购事前信用承诺书</w:t>
      </w:r>
      <w:r/>
    </w:p>
    <w:p>
      <w:pPr>
        <w:pStyle w:val="680"/>
        <w:ind w:firstLine="480"/>
        <w:jc w:val="both"/>
        <w:spacing w:beforeAutospacing="0" w:afterAutospacing="0" w:line="0" w:lineRule="atLeast"/>
        <w:rPr>
          <w:rFonts w:ascii="宋体" w:hAnsi="宋体" w:eastAsia="宋体" w:cs="宋体"/>
          <w:iCs/>
          <w:color w:val="auto"/>
          <w:highlight w:val="none"/>
        </w:rPr>
      </w:pPr>
      <w:r>
        <w:rPr>
          <w:rFonts w:ascii="宋体" w:hAnsi="宋体" w:eastAsia="宋体" w:cs="宋体"/>
          <w:iCs/>
          <w:color w:val="auto"/>
          <w:highlight w:val="none"/>
        </w:rPr>
      </w:r>
      <w:r/>
    </w:p>
    <w:p>
      <w:pPr>
        <w:pStyle w:val="68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二、上一年度的财务状况报表</w:t>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供应商成立不满一年无需提供</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680"/>
        <w:ind w:firstLine="49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80"/>
        <w:ind w:firstLine="49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80"/>
        <w:ind w:firstLine="49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四、依法缴纳税收和社会保障资金的相关材料</w:t>
      </w:r>
      <w:r/>
    </w:p>
    <w:p>
      <w:pPr>
        <w:pStyle w:val="680"/>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6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80"/>
        <w:jc w:val="center"/>
        <w:spacing w:beforeAutospacing="0" w:afterAutospacing="0"/>
        <w:rPr>
          <w:rFonts w:ascii="宋体" w:hAnsi="宋体" w:eastAsia="宋体" w:cs="宋体"/>
          <w:i/>
          <w:color w:val="auto"/>
          <w:sz w:val="32"/>
          <w:szCs w:val="32"/>
          <w:highlight w:val="none"/>
          <w:u w:val="single"/>
        </w:rPr>
      </w:pPr>
      <w:r/>
      <w:bookmarkStart w:id="164" w:name="_Toc120614284"/>
      <w:r/>
      <w:r/>
    </w:p>
    <w:p>
      <w:pPr>
        <w:pStyle w:val="680"/>
        <w:jc w:val="center"/>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pStyle w:val="680"/>
        <w:jc w:val="center"/>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680"/>
        <w:jc w:val="center"/>
        <w:spacing w:beforeAutospacing="0" w:afterAutospacing="0"/>
        <w:rPr>
          <w:rFonts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t xml:space="preserve">七、法人授权书</w:t>
      </w:r>
      <w:r/>
    </w:p>
    <w:p>
      <w:pPr>
        <w:pStyle w:val="680"/>
        <w:ind w:firstLine="4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本授权书声明：____________（供应商名称）授权________________（被授权人的姓名）为我方就JSZC-320900-JSJA-D2026-000</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80"/>
        <w:ind w:firstLine="4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680"/>
        <w:ind w:firstLine="4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680"/>
        <w:ind w:firstLine="4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80"/>
        <w:ind w:firstLine="4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680"/>
        <w:ind w:firstLine="4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日期：</w:t>
      </w:r>
      <w:bookmarkStart w:id="165" w:name="_Hlt26671380"/>
      <w:r/>
      <w:bookmarkStart w:id="166" w:name="_Hlt26955070"/>
      <w:r/>
      <w:bookmarkStart w:id="167" w:name="_格式3__银行出具的资信证明"/>
      <w:r>
        <w:rPr>
          <w:rFonts w:hint="eastAsia" w:ascii="宋体" w:hAnsi="宋体" w:eastAsia="宋体" w:cs="宋体"/>
          <w:color w:val="auto"/>
          <w:highlight w:val="none"/>
          <w:u w:val="single"/>
        </w:rPr>
        <w:t xml:space="preserve">                                 </w:t>
      </w:r>
      <w:r/>
    </w:p>
    <w:p>
      <w:pPr>
        <w:pStyle w:val="680"/>
        <w:ind w:firstLine="4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keepLines/>
        <w:keepNext/>
        <w:spacing w:before="260" w:beforeAutospacing="0" w:after="260" w:afterAutospacing="0" w:line="415" w:lineRule="auto"/>
        <w:rPr>
          <w:rFonts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 xml:space="preserve">八、单一来源响应函</w:t>
      </w:r>
      <w:r/>
    </w:p>
    <w:p>
      <w:pPr>
        <w:pStyle w:val="6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致：盐城市住房和城乡建设局</w:t>
      </w:r>
      <w:r/>
    </w:p>
    <w:p>
      <w:pPr>
        <w:pStyle w:val="680"/>
        <w:ind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JSZC-320900-JSJA-D2026-000</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rPr>
        <w:t xml:space="preserve">号采购文件，正式授权下述签字人______(姓名)代表我方______________（供应商的名称），全权处理本次项目单一来源采购的有关事宜。</w:t>
      </w:r>
      <w:r/>
    </w:p>
    <w:p>
      <w:pPr>
        <w:pStyle w:val="680"/>
        <w:ind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80"/>
        <w:ind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1.按采购文件规定的各项要求，向买方提供所需货物、服务（包含与货物相关的服务及与服务相关的货物）。</w:t>
      </w:r>
      <w:r/>
    </w:p>
    <w:p>
      <w:pPr>
        <w:pStyle w:val="680"/>
        <w:ind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2.我们已详细审核全部采购文件及其有效补充文件，我们知道必须放弃提出含糊不清或误解问题的权利。</w:t>
      </w:r>
      <w:r/>
    </w:p>
    <w:p>
      <w:pPr>
        <w:pStyle w:val="680"/>
        <w:ind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3.我们同意从规定的单一来源协商时间起遵循本响应文件，并在规定的单一来源协商有效期期满之前均具有约束力。</w:t>
      </w:r>
      <w:r/>
    </w:p>
    <w:p>
      <w:pPr>
        <w:pStyle w:val="680"/>
        <w:ind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4.同意向贵方提供贵方可能另外要求的与单一来源采购有关的任何证据或资料，并保证我方已提供和将要提供的文件是真实的、准确的。</w:t>
      </w:r>
      <w:r/>
    </w:p>
    <w:p>
      <w:pPr>
        <w:pStyle w:val="680"/>
        <w:ind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5.一旦我方成交,我方将根据采购文件的规定，严格履行合同的责任和义务,并保证在采购文件规定的时间完成项目，交付买方验收、使用。</w:t>
      </w:r>
      <w:r/>
    </w:p>
    <w:p>
      <w:pPr>
        <w:pStyle w:val="680"/>
        <w:ind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6.我方与本次单一来源采购有关的正式通讯地址为：</w:t>
      </w:r>
      <w:r/>
    </w:p>
    <w:p>
      <w:pPr>
        <w:pStyle w:val="680"/>
        <w:ind w:left="420"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80"/>
        <w:ind w:left="420"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80"/>
        <w:ind w:left="420"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80"/>
        <w:ind w:left="420"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80"/>
        <w:ind w:left="420"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680"/>
        <w:ind w:left="420"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80"/>
        <w:ind w:left="420" w:firstLine="480"/>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680"/>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九、中小企业声明函（服务）</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号）的规定，本公司（联合体）参加盐城市政府采购中心组织的</w:t>
      </w:r>
      <w:r>
        <w:rPr>
          <w:rFonts w:hint="eastAsia" w:ascii="宋体" w:hAnsi="宋体" w:eastAsia="宋体" w:cs="宋体"/>
          <w:i/>
          <w:iCs/>
          <w:color w:val="auto"/>
          <w:sz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rFonts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2"/>
        </w:numPr>
        <w:ind w:firstLine="480"/>
        <w:spacing w:line="500" w:lineRule="exact"/>
        <w:rPr>
          <w:rFonts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80"/>
        <w:ind w:right="72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right="180" w:firstLine="360"/>
        <w:jc w:val="right"/>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80"/>
        <w:ind w:right="480" w:firstLine="540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80"/>
        <w:ind w:firstLine="24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sz w:val="32"/>
          <w:szCs w:val="32"/>
          <w:highlight w:val="none"/>
        </w:rPr>
        <w:t xml:space="preserve">十、分项报价表（服务类）</w:t>
      </w:r>
      <w:r/>
    </w:p>
    <w:tbl>
      <w:tblPr>
        <w:tblStyle w:val="65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分项</w:t>
            </w:r>
            <w:r/>
          </w:p>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分项</w:t>
            </w:r>
            <w:r/>
          </w:p>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lang w:eastAsia="zh-CN"/>
              </w:rPr>
              <w:t xml:space="preserve">日常</w:t>
            </w:r>
            <w:r>
              <w:rPr>
                <w:rFonts w:hint="eastAsia" w:ascii="宋体" w:hAnsi="宋体" w:eastAsia="宋体" w:cs="宋体"/>
                <w:color w:val="auto"/>
                <w:highlight w:val="none"/>
              </w:rPr>
              <w:t xml:space="preserve">宣传</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篇</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lang w:eastAsia="zh-CN"/>
              </w:rPr>
              <w:t xml:space="preserve">融媒体</w:t>
            </w:r>
            <w:r>
              <w:rPr>
                <w:rFonts w:hint="eastAsia" w:ascii="宋体" w:hAnsi="宋体" w:eastAsia="宋体" w:cs="宋体"/>
                <w:color w:val="auto"/>
                <w:highlight w:val="none"/>
              </w:rPr>
              <w:t xml:space="preserve">宣传</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篇</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外宣推介</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篇</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场地服务</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图片库建立</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业务培训</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舆情引导与自媒体联动</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联络对接机制</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素材使用与版权归属</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0"/>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8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备注：1、包括但不限于以上服务内容及数量要求，具体详见采购需求；2、报价采用总承包方式，供应商的报价应包括采购人需求的服务价格、质量保证费用、培训费用及售后服务费用，项目在指定地点、环境交付、安装、调试、验收所需费用和所有相关税金费用及为完成整个项目所产生的其它所有费用。</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十一、技术要求响应及偏离表</w:t>
      </w:r>
      <w:r/>
    </w:p>
    <w:tbl>
      <w:tblPr>
        <w:tblStyle w:val="6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bookmarkStart w:id="168" w:name="_Hlt26955054"/>
      <w:r/>
      <w:r/>
    </w:p>
    <w:p>
      <w:pPr>
        <w:pStyle w:val="68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十二、商务要求响应及偏离表</w:t>
      </w:r>
      <w:r/>
    </w:p>
    <w:tbl>
      <w:tblPr>
        <w:tblStyle w:val="6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bookmarkStart w:id="169" w:name="_Hlt26671372"/>
            <w:r/>
            <w:bookmarkStart w:id="170" w:name="_Hlt26782999"/>
            <w:r/>
            <w:bookmarkStart w:id="171" w:name="_Hlt26580838"/>
            <w:r/>
            <w:bookmarkStart w:id="172" w:name="_Hlt26955064"/>
            <w:r/>
            <w:bookmarkStart w:id="173" w:name="_Hlt24879081"/>
            <w:r/>
            <w:bookmarkStart w:id="174" w:name="_Hlt26671343"/>
            <w:r/>
            <w:bookmarkStart w:id="175" w:name="_Hlt26609391"/>
            <w:r/>
            <w:bookmarkStart w:id="176" w:name="_Hlt26955056"/>
            <w:r>
              <w:rPr>
                <w:rFonts w:hint="eastAsia" w:ascii="宋体" w:hAnsi="宋体" w:eastAsia="宋体" w:cs="宋体"/>
                <w:color w:val="auto"/>
                <w:highlight w:val="none"/>
              </w:rPr>
              <w:t xml:space="preserve">序号</w:t>
            </w:r>
            <w:bookmarkEnd w:id="169"/>
            <w:r/>
            <w:bookmarkEnd w:id="170"/>
            <w:r/>
            <w:bookmarkEnd w:id="171"/>
            <w:r/>
            <w:bookmarkEnd w:id="172"/>
            <w:r/>
            <w:bookmarkEnd w:id="173"/>
            <w:r/>
            <w:bookmarkEnd w:id="174"/>
            <w:r/>
            <w:bookmarkEnd w:id="175"/>
            <w:r/>
            <w:bookmarkEnd w:id="176"/>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80"/>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bookmarkEnd w:id="27"/>
      <w:bookmarkEnd w:id="40"/>
      <w:bookmarkEnd w:id="87"/>
      <w:bookmarkEnd w:id="88"/>
      <w:bookmarkEnd w:id="89"/>
      <w:bookmarkEnd w:id="90"/>
      <w:bookmarkEnd w:id="91"/>
      <w:bookmarkEnd w:id="92"/>
      <w:bookmarkEnd w:id="93"/>
      <w:bookmarkEnd w:id="94"/>
      <w:bookmarkEnd w:id="103"/>
      <w:bookmarkEnd w:id="104"/>
      <w:bookmarkEnd w:id="111"/>
      <w:bookmarkEnd w:id="150"/>
      <w:bookmarkEnd w:id="151"/>
      <w:bookmarkEnd w:id="158"/>
      <w:bookmarkEnd w:id="161"/>
      <w:bookmarkEnd w:id="162"/>
      <w:bookmarkEnd w:id="163"/>
      <w:bookmarkEnd w:id="164"/>
      <w:bookmarkEnd w:id="165"/>
      <w:bookmarkEnd w:id="166"/>
      <w:bookmarkEnd w:id="167"/>
      <w:bookmarkEnd w:id="168"/>
      <w:r/>
    </w:p>
    <w:p>
      <w:pPr>
        <w:pStyle w:val="680"/>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68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80"/>
        <w:jc w:val="center"/>
        <w:spacing w:beforeAutospacing="0" w:afterAutospacing="0"/>
        <w:rPr>
          <w:rFonts w:ascii="宋体" w:hAnsi="宋体" w:eastAsia="宋体" w:cs="宋体"/>
          <w:b/>
          <w:bCs/>
          <w:i/>
          <w:color w:val="auto"/>
          <w:sz w:val="32"/>
          <w:szCs w:val="32"/>
          <w:highlight w:val="none"/>
          <w:u w:val="single"/>
        </w:rPr>
      </w:pPr>
      <w:r>
        <w:rPr>
          <w:rFonts w:hint="eastAsia" w:ascii="宋体" w:hAnsi="宋体" w:eastAsia="宋体" w:cs="宋体"/>
          <w:b/>
          <w:i/>
          <w:color w:val="auto"/>
          <w:sz w:val="32"/>
          <w:szCs w:val="32"/>
          <w:highlight w:val="none"/>
          <w:u w:val="single"/>
        </w:rPr>
        <w:t xml:space="preserve">十三、开标一览表</w:t>
      </w:r>
      <w:r/>
    </w:p>
    <w:p>
      <w:pPr>
        <w:pStyle w:val="680"/>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48"/>
        <w:jc w:val="center"/>
        <w:keepLines w:val="0"/>
        <w:keepNext w:val="0"/>
        <w:widowControl/>
        <w:rPr>
          <w:highlight w:val="yellow"/>
        </w:rPr>
        <w:suppressLineNumbers w:val="0"/>
      </w:pPr>
      <w:r>
        <w:rPr>
          <w:highlight w:val="none"/>
        </w:rPr>
        <w:t xml:space="preserve">单一来源报价表</w:t>
      </w:r>
      <w:bookmarkStart w:id="177" w:name="_GoBack"/>
      <w:r/>
      <w:bookmarkEnd w:id="177"/>
      <w:r/>
      <w:r/>
    </w:p>
    <w:p>
      <w:pPr>
        <w:pStyle w:val="680"/>
        <w:keepLines w:val="0"/>
        <w:keepNext w:val="0"/>
        <w:widowControl/>
        <w:suppressLineNumbers w:val="0"/>
      </w:pPr>
      <w:r>
        <w:t xml:space="preserve">项目编号：项目编号  </w:t>
      </w:r>
      <w:r/>
    </w:p>
    <w:p>
      <w:pPr>
        <w:pStyle w:val="680"/>
        <w:keepLines w:val="0"/>
        <w:keepNext w:val="0"/>
        <w:widowControl/>
        <w:suppressLineNumbers w:val="0"/>
      </w:pPr>
      <w:r>
        <w:t xml:space="preserve">货币单位：人民币元</w:t>
      </w:r>
      <w:r/>
    </w:p>
    <w:tbl>
      <w:tblPr>
        <w:tblW w:w="8362"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1870"/>
        <w:gridCol w:w="2978"/>
        <w:gridCol w:w="2352"/>
        <w:gridCol w:w="1162"/>
      </w:tblGrid>
      <w:tr>
        <w:trPr>
          <w:tblCellSpacing w:w="15" w:type="dxa"/>
        </w:trPr>
        <w:tc>
          <w:tcPr>
            <w:shd w:val="clear" w:color="auto"/>
            <w:tcW w:w="1825" w:type="dxa"/>
            <w:vAlign w:val="center"/>
            <w:textDirection w:val="lrTb"/>
            <w:noWrap w:val="false"/>
          </w:tcPr>
          <w:p>
            <w:pPr>
              <w:pStyle w:val="680"/>
              <w:keepLines w:val="0"/>
              <w:keepNext w:val="0"/>
              <w:widowControl/>
              <w:suppressLineNumbers w:val="0"/>
            </w:pPr>
            <w:r>
              <w:t xml:space="preserve"> 项目名称</w:t>
            </w:r>
            <w:r/>
          </w:p>
        </w:tc>
        <w:tc>
          <w:tcPr>
            <w:shd w:val="clear" w:color="auto"/>
            <w:tcW w:w="2948" w:type="dxa"/>
            <w:vAlign w:val="center"/>
            <w:textDirection w:val="lrTb"/>
            <w:noWrap w:val="false"/>
          </w:tcPr>
          <w:p>
            <w:pPr>
              <w:pStyle w:val="680"/>
              <w:keepLines w:val="0"/>
              <w:keepNext w:val="0"/>
              <w:widowControl/>
              <w:suppressLineNumbers w:val="0"/>
            </w:pPr>
            <w:r>
              <w:t xml:space="preserve">报价项目品牌规格型号</w:t>
            </w:r>
            <w:r/>
          </w:p>
        </w:tc>
        <w:tc>
          <w:tcPr>
            <w:shd w:val="clear" w:color="auto"/>
            <w:tcW w:w="2322" w:type="dxa"/>
            <w:vAlign w:val="center"/>
            <w:textDirection w:val="lrTb"/>
            <w:noWrap w:val="false"/>
          </w:tcPr>
          <w:p>
            <w:pPr>
              <w:pStyle w:val="680"/>
              <w:keepLines w:val="0"/>
              <w:keepNext w:val="0"/>
              <w:widowControl/>
              <w:suppressLineNumbers w:val="0"/>
            </w:pPr>
            <w:r>
              <w:t xml:space="preserve">报价（小写）</w:t>
            </w:r>
            <w:r/>
          </w:p>
        </w:tc>
        <w:tc>
          <w:tcPr>
            <w:shd w:val="clear" w:color="auto"/>
            <w:tcW w:w="1117" w:type="dxa"/>
            <w:vAlign w:val="center"/>
            <w:textDirection w:val="lrTb"/>
            <w:noWrap w:val="false"/>
          </w:tcPr>
          <w:p>
            <w:pPr>
              <w:pStyle w:val="680"/>
              <w:keepLines w:val="0"/>
              <w:keepNext w:val="0"/>
              <w:widowControl/>
              <w:suppressLineNumbers w:val="0"/>
            </w:pPr>
            <w:r>
              <w:t xml:space="preserve">备注</w:t>
            </w:r>
            <w:r/>
          </w:p>
        </w:tc>
      </w:tr>
      <w:tr>
        <w:trPr>
          <w:tblCellSpacing w:w="15" w:type="dxa"/>
          <w:trHeight w:val="817"/>
        </w:trPr>
        <w:tc>
          <w:tcPr>
            <w:shd w:val="clear" w:color="auto"/>
            <w:tcW w:w="1825" w:type="dxa"/>
            <w:vAlign w:val="center"/>
            <w:textDirection w:val="lrTb"/>
            <w:noWrap w:val="false"/>
          </w:tcPr>
          <w:p>
            <w:pPr>
              <w:pStyle w:val="680"/>
              <w:keepLines w:val="0"/>
              <w:keepNext w:val="0"/>
              <w:widowControl/>
              <w:suppressLineNumbers w:val="0"/>
            </w:pPr>
            <w:r>
              <w:t xml:space="preserve"> </w:t>
            </w:r>
            <w:r>
              <w:rPr>
                <w:rFonts w:hint="eastAsia" w:ascii="宋体" w:hAnsi="宋体" w:eastAsia="宋体" w:cs="宋体"/>
                <w:color w:val="auto"/>
                <w:highlight w:val="none"/>
              </w:rPr>
              <w:t xml:space="preserve">2026年市级党报媒体宣传服务项目</w:t>
            </w:r>
            <w:r>
              <w:t xml:space="preserve"> </w:t>
            </w:r>
            <w:r/>
          </w:p>
        </w:tc>
        <w:tc>
          <w:tcPr>
            <w:shd w:val="clear" w:color="auto"/>
            <w:tcW w:w="2948" w:type="dxa"/>
            <w:vAlign w:val="center"/>
            <w:textDirection w:val="lrTb"/>
            <w:noWrap w:val="false"/>
          </w:tcPr>
          <w:p>
            <w:pPr>
              <w:pStyle w:val="680"/>
              <w:keepLines w:val="0"/>
              <w:keepNext w:val="0"/>
              <w:widowControl/>
              <w:suppressLineNumbers w:val="0"/>
            </w:pPr>
            <w:r>
              <w:t xml:space="preserve">详见投标文件</w:t>
            </w:r>
            <w:r/>
          </w:p>
        </w:tc>
        <w:tc>
          <w:tcPr>
            <w:shd w:val="clear" w:color="auto"/>
            <w:tcW w:w="2322" w:type="dxa"/>
            <w:vAlign w:val="center"/>
            <w:textDirection w:val="lrTb"/>
            <w:noWrap w:val="false"/>
          </w:tcPr>
          <w:p>
            <w:pPr>
              <w:pStyle w:val="680"/>
              <w:keepLines w:val="0"/>
              <w:keepNext w:val="0"/>
              <w:widowControl/>
              <w:suppressLineNumbers w:val="0"/>
            </w:pPr>
            <w: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t xml:space="preserve"> 元</w:t>
            </w:r>
            <w:r/>
          </w:p>
        </w:tc>
        <w:tc>
          <w:tcPr>
            <w:shd w:val="clear" w:color="auto"/>
            <w:tcW w:w="1117" w:type="dxa"/>
            <w:vAlign w:val="center"/>
            <w:textDirection w:val="lrTb"/>
            <w:noWrap w:val="false"/>
          </w:tcPr>
          <w:p>
            <w:pPr>
              <w:pStyle w:val="680"/>
              <w:keepLines w:val="0"/>
              <w:keepNext w:val="0"/>
              <w:widowControl/>
              <w:suppressLineNumbers w:val="0"/>
            </w:pPr>
            <w:r>
              <w:t xml:space="preserve"> </w:t>
            </w:r>
            <w:r/>
          </w:p>
        </w:tc>
      </w:tr>
      <w:tr>
        <w:trPr>
          <w:tblCellSpacing w:w="15" w:type="dxa"/>
          <w:trHeight w:val="801"/>
        </w:trPr>
        <w:tc>
          <w:tcPr>
            <w:gridSpan w:val="4"/>
            <w:shd w:val="clear" w:color="auto"/>
            <w:tcW w:w="8302" w:type="dxa"/>
            <w:vAlign w:val="center"/>
            <w:textDirection w:val="lrTb"/>
            <w:noWrap w:val="false"/>
          </w:tcPr>
          <w:p>
            <w:pPr>
              <w:pStyle w:val="680"/>
              <w:keepLines w:val="0"/>
              <w:keepNext w:val="0"/>
              <w:widowControl/>
              <w:suppressLineNumbers w:val="0"/>
            </w:pPr>
            <w:r>
              <w:t xml:space="preserve">报价（大写）： 金额大写 </w:t>
            </w:r>
            <w:r/>
          </w:p>
        </w:tc>
      </w:tr>
    </w:tbl>
    <w:p>
      <w:pPr>
        <w:pStyle w:val="680"/>
        <w:keepLines w:val="0"/>
        <w:keepNext w:val="0"/>
        <w:widowControl/>
        <w:suppressLineNumbers w:val="0"/>
      </w:pPr>
      <w:r>
        <w:t xml:space="preserve">本次报价为总价，大小写不一致以大写为准。</w:t>
      </w:r>
      <w:r/>
    </w:p>
    <w:p>
      <w:pPr>
        <w:pStyle w:val="680"/>
        <w:keepLines w:val="0"/>
        <w:keepNext w:val="0"/>
        <w:widowControl/>
        <w:suppressLineNumbers w:val="0"/>
      </w:pPr>
      <w:r>
        <w:t xml:space="preserve"> </w:t>
      </w:r>
      <w:r/>
    </w:p>
    <w:p>
      <w:pPr>
        <w:pStyle w:val="680"/>
        <w:keepLines w:val="0"/>
        <w:keepNext w:val="0"/>
        <w:widowControl/>
        <w:suppressLineNumbers w:val="0"/>
      </w:pPr>
      <w:r>
        <w:t xml:space="preserve">投标人盖章：                              （电子签章）</w:t>
      </w:r>
      <w:r/>
    </w:p>
    <w:p>
      <w:pPr>
        <w:pStyle w:val="680"/>
        <w:keepLines w:val="0"/>
        <w:keepNext w:val="0"/>
        <w:widowControl/>
        <w:suppressLineNumbers w:val="0"/>
      </w:pPr>
      <w:r>
        <w:t xml:space="preserve">                                                </w:t>
      </w:r>
      <w:r>
        <w:rPr>
          <w:rFonts w:hint="eastAsia"/>
          <w:lang w:val="en-US" w:eastAsia="zh-CN"/>
        </w:rPr>
        <w:t xml:space="preserve">            </w:t>
      </w:r>
      <w:r>
        <w:t xml:space="preserve">日期：  </w:t>
      </w:r>
      <w: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t xml:space="preserve"> 年  </w:t>
      </w:r>
      <w: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t xml:space="preserve"> 月   </w:t>
      </w:r>
      <w: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日</w:t>
      </w:r>
      <w:r/>
    </w:p>
    <w:p>
      <w:pPr>
        <w:pStyle w:val="68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十四、技术方案、服务承诺、培训承诺等</w:t>
      </w:r>
      <w:r/>
    </w:p>
    <w:p>
      <w:pPr>
        <w:pStyle w:val="680"/>
        <w:jc w:val="both"/>
        <w:spacing w:beforeAutospacing="0" w:afterAutospacing="0"/>
        <w:tabs>
          <w:tab w:val="left" w:pos="2160" w:leader="none"/>
        </w:tabs>
        <w:rPr>
          <w:rFonts w:ascii="宋体" w:hAnsi="宋体" w:eastAsia="宋体" w:cs="宋体"/>
          <w:color w:val="auto"/>
          <w:highlight w:val="none"/>
        </w:rPr>
      </w:pPr>
      <w:r>
        <w:rPr>
          <w:rFonts w:ascii="宋体" w:hAnsi="宋体" w:eastAsia="宋体" w:cs="宋体"/>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1600"/>
        <w:spacing w:line="499" w:lineRule="atLeast"/>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十五、盐城市政府采购事前信用承诺书</w:t>
      </w:r>
      <w:r/>
    </w:p>
    <w:p>
      <w:pPr>
        <w:ind w:firstLine="640"/>
        <w:jc w:val="left"/>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68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0"/>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8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8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8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8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8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8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楷体_GB2312">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7"/>
    <w:link w:val="648"/>
    <w:uiPriority w:val="9"/>
    <w:rPr>
      <w:rFonts w:ascii="Arial" w:hAnsi="Arial" w:eastAsia="Arial" w:cs="Arial"/>
      <w:sz w:val="40"/>
      <w:szCs w:val="40"/>
    </w:rPr>
  </w:style>
  <w:style w:type="character" w:styleId="17">
    <w:name w:val="Heading 3 Char"/>
    <w:basedOn w:val="657"/>
    <w:link w:val="650"/>
    <w:uiPriority w:val="9"/>
    <w:rPr>
      <w:rFonts w:ascii="Arial" w:hAnsi="Arial" w:eastAsia="Arial" w:cs="Arial"/>
      <w:sz w:val="30"/>
      <w:szCs w:val="30"/>
    </w:rPr>
  </w:style>
  <w:style w:type="character" w:styleId="19">
    <w:name w:val="Heading 4 Char"/>
    <w:basedOn w:val="657"/>
    <w:link w:val="651"/>
    <w:uiPriority w:val="9"/>
    <w:rPr>
      <w:rFonts w:ascii="Arial" w:hAnsi="Arial" w:eastAsia="Arial" w:cs="Arial"/>
      <w:b/>
      <w:bCs/>
      <w:sz w:val="26"/>
      <w:szCs w:val="26"/>
    </w:rPr>
  </w:style>
  <w:style w:type="character" w:styleId="21">
    <w:name w:val="Heading 5 Char"/>
    <w:basedOn w:val="657"/>
    <w:link w:val="652"/>
    <w:uiPriority w:val="9"/>
    <w:rPr>
      <w:rFonts w:ascii="Arial" w:hAnsi="Arial" w:eastAsia="Arial" w:cs="Arial"/>
      <w:b/>
      <w:bCs/>
      <w:sz w:val="24"/>
      <w:szCs w:val="24"/>
    </w:rPr>
  </w:style>
  <w:style w:type="character" w:styleId="23">
    <w:name w:val="Heading 6 Char"/>
    <w:basedOn w:val="657"/>
    <w:link w:val="653"/>
    <w:uiPriority w:val="9"/>
    <w:rPr>
      <w:rFonts w:ascii="Arial" w:hAnsi="Arial" w:eastAsia="Arial" w:cs="Arial"/>
      <w:b/>
      <w:bCs/>
      <w:sz w:val="22"/>
      <w:szCs w:val="22"/>
    </w:rPr>
  </w:style>
  <w:style w:type="character" w:styleId="25">
    <w:name w:val="Heading 7 Char"/>
    <w:basedOn w:val="657"/>
    <w:link w:val="654"/>
    <w:uiPriority w:val="9"/>
    <w:rPr>
      <w:rFonts w:ascii="Arial" w:hAnsi="Arial" w:eastAsia="Arial" w:cs="Arial"/>
      <w:b/>
      <w:bCs/>
      <w:i/>
      <w:iCs/>
      <w:sz w:val="22"/>
      <w:szCs w:val="22"/>
    </w:rPr>
  </w:style>
  <w:style w:type="character" w:styleId="27">
    <w:name w:val="Heading 8 Char"/>
    <w:basedOn w:val="657"/>
    <w:link w:val="655"/>
    <w:uiPriority w:val="9"/>
    <w:rPr>
      <w:rFonts w:ascii="Arial" w:hAnsi="Arial" w:eastAsia="Arial" w:cs="Arial"/>
      <w:i/>
      <w:iCs/>
      <w:sz w:val="22"/>
      <w:szCs w:val="22"/>
    </w:rPr>
  </w:style>
  <w:style w:type="character" w:styleId="29">
    <w:name w:val="Heading 9 Char"/>
    <w:basedOn w:val="657"/>
    <w:link w:val="656"/>
    <w:uiPriority w:val="9"/>
    <w:rPr>
      <w:rFonts w:ascii="Arial" w:hAnsi="Arial" w:eastAsia="Arial" w:cs="Arial"/>
      <w:i/>
      <w:iCs/>
      <w:sz w:val="21"/>
      <w:szCs w:val="21"/>
    </w:rPr>
  </w:style>
  <w:style w:type="character" w:styleId="34">
    <w:name w:val="Title Char"/>
    <w:basedOn w:val="657"/>
    <w:link w:val="681"/>
    <w:uiPriority w:val="10"/>
    <w:rPr>
      <w:sz w:val="48"/>
      <w:szCs w:val="48"/>
    </w:rPr>
  </w:style>
  <w:style w:type="character" w:styleId="36">
    <w:name w:val="Subtitle Char"/>
    <w:basedOn w:val="657"/>
    <w:link w:val="675"/>
    <w:uiPriority w:val="11"/>
    <w:rPr>
      <w:sz w:val="24"/>
      <w:szCs w:val="24"/>
    </w:rPr>
  </w:style>
  <w:style w:type="character" w:styleId="38">
    <w:name w:val="Quote Char"/>
    <w:link w:val="700"/>
    <w:uiPriority w:val="29"/>
    <w:rPr>
      <w:i/>
    </w:rPr>
  </w:style>
  <w:style w:type="character" w:styleId="40">
    <w:name w:val="Intense Quote Char"/>
    <w:link w:val="702"/>
    <w:uiPriority w:val="30"/>
    <w:rPr>
      <w:i/>
    </w:rPr>
  </w:style>
  <w:style w:type="character" w:styleId="175">
    <w:name w:val="Footnote Text Char"/>
    <w:link w:val="676"/>
    <w:uiPriority w:val="99"/>
    <w:rPr>
      <w:sz w:val="18"/>
    </w:rPr>
  </w:style>
  <w:style w:type="character" w:styleId="178">
    <w:name w:val="Endnote Text Char"/>
    <w:link w:val="669"/>
    <w:uiPriority w:val="99"/>
    <w:rPr>
      <w:sz w:val="20"/>
    </w:rPr>
  </w:style>
  <w:style w:type="paragraph" w:styleId="189">
    <w:name w:val="TOC Heading"/>
    <w:uiPriority w:val="39"/>
    <w:unhideWhenUsed/>
  </w:style>
  <w:style w:type="paragraph" w:styleId="64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8">
    <w:name w:val="Heading 1"/>
    <w:basedOn w:val="647"/>
    <w:next w:val="647"/>
    <w:link w:val="687"/>
    <w:uiPriority w:val="9"/>
    <w:qFormat/>
    <w:pPr>
      <w:keepLines/>
      <w:keepNext/>
      <w:spacing w:before="480" w:after="200"/>
      <w:outlineLvl w:val="0"/>
    </w:pPr>
    <w:rPr>
      <w:rFonts w:ascii="Arial" w:hAnsi="Arial" w:eastAsia="Arial" w:cs="Arial"/>
      <w:sz w:val="40"/>
      <w:szCs w:val="40"/>
    </w:rPr>
  </w:style>
  <w:style w:type="paragraph" w:styleId="649">
    <w:name w:val="Heading 2"/>
    <w:basedOn w:val="647"/>
    <w:next w:val="64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50">
    <w:name w:val="Heading 3"/>
    <w:basedOn w:val="647"/>
    <w:next w:val="647"/>
    <w:link w:val="689"/>
    <w:uiPriority w:val="9"/>
    <w:unhideWhenUsed/>
    <w:qFormat/>
    <w:pPr>
      <w:keepLines/>
      <w:keepNext/>
      <w:spacing w:before="320" w:after="200"/>
      <w:outlineLvl w:val="2"/>
    </w:pPr>
    <w:rPr>
      <w:rFonts w:ascii="Arial" w:hAnsi="Arial" w:eastAsia="Arial" w:cs="Arial"/>
      <w:sz w:val="30"/>
      <w:szCs w:val="30"/>
    </w:rPr>
  </w:style>
  <w:style w:type="paragraph" w:styleId="651">
    <w:name w:val="Heading 4"/>
    <w:basedOn w:val="647"/>
    <w:next w:val="647"/>
    <w:link w:val="690"/>
    <w:uiPriority w:val="9"/>
    <w:unhideWhenUsed/>
    <w:qFormat/>
    <w:pPr>
      <w:keepLines/>
      <w:keepNext/>
      <w:spacing w:before="320" w:after="200"/>
      <w:outlineLvl w:val="3"/>
    </w:pPr>
    <w:rPr>
      <w:rFonts w:ascii="Arial" w:hAnsi="Arial" w:eastAsia="Arial" w:cs="Arial"/>
      <w:b/>
      <w:bCs/>
      <w:sz w:val="26"/>
      <w:szCs w:val="26"/>
    </w:rPr>
  </w:style>
  <w:style w:type="paragraph" w:styleId="652">
    <w:name w:val="Heading 5"/>
    <w:basedOn w:val="647"/>
    <w:next w:val="647"/>
    <w:link w:val="691"/>
    <w:uiPriority w:val="9"/>
    <w:unhideWhenUsed/>
    <w:qFormat/>
    <w:pPr>
      <w:keepLines/>
      <w:keepNext/>
      <w:spacing w:before="320" w:after="200"/>
      <w:outlineLvl w:val="4"/>
    </w:pPr>
    <w:rPr>
      <w:rFonts w:ascii="Arial" w:hAnsi="Arial" w:eastAsia="Arial" w:cs="Arial"/>
      <w:b/>
      <w:bCs/>
      <w:sz w:val="24"/>
    </w:rPr>
  </w:style>
  <w:style w:type="paragraph" w:styleId="653">
    <w:name w:val="Heading 6"/>
    <w:basedOn w:val="647"/>
    <w:next w:val="647"/>
    <w:link w:val="692"/>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basedOn w:val="647"/>
    <w:next w:val="647"/>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basedOn w:val="647"/>
    <w:next w:val="647"/>
    <w:link w:val="694"/>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basedOn w:val="647"/>
    <w:next w:val="647"/>
    <w:link w:val="695"/>
    <w:uiPriority w:val="9"/>
    <w:unhideWhenUsed/>
    <w:qFormat/>
    <w:pPr>
      <w:keepLines/>
      <w:keepNext/>
      <w:spacing w:before="320" w:after="200"/>
      <w:outlineLvl w:val="8"/>
    </w:pPr>
    <w:rPr>
      <w:rFonts w:ascii="Arial" w:hAnsi="Arial" w:eastAsia="Arial" w:cs="Arial"/>
      <w:i/>
      <w:iCs/>
      <w:szCs w:val="21"/>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toc 7"/>
    <w:basedOn w:val="647"/>
    <w:next w:val="647"/>
    <w:uiPriority w:val="39"/>
    <w:unhideWhenUsed/>
    <w:qFormat/>
    <w:pPr>
      <w:ind w:left="1701"/>
      <w:spacing w:after="57"/>
    </w:pPr>
  </w:style>
  <w:style w:type="paragraph" w:styleId="660">
    <w:name w:val="Caption"/>
    <w:basedOn w:val="647"/>
    <w:next w:val="64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1">
    <w:name w:val="annotation text"/>
    <w:basedOn w:val="647"/>
    <w:uiPriority w:val="0"/>
    <w:qFormat/>
    <w:pPr>
      <w:jc w:val="left"/>
    </w:pPr>
  </w:style>
  <w:style w:type="paragraph" w:styleId="662">
    <w:name w:val="Body Text"/>
    <w:basedOn w:val="647"/>
    <w:next w:val="663"/>
    <w:uiPriority w:val="0"/>
    <w:qFormat/>
    <w:pPr>
      <w:spacing w:after="120"/>
    </w:pPr>
  </w:style>
  <w:style w:type="paragraph" w:styleId="663">
    <w:name w:val="Body Text First Indent"/>
    <w:basedOn w:val="662"/>
    <w:next w:val="664"/>
    <w:uiPriority w:val="0"/>
    <w:qFormat/>
    <w:pPr>
      <w:ind w:firstLine="200"/>
      <w:spacing w:line="360" w:lineRule="auto"/>
    </w:pPr>
    <w:rPr>
      <w:rFonts w:ascii="仿宋_GB2312" w:eastAsia="仿宋_GB2312"/>
      <w:sz w:val="30"/>
      <w:szCs w:val="30"/>
    </w:rPr>
  </w:style>
  <w:style w:type="paragraph" w:styleId="664">
    <w:name w:val="toc 6"/>
    <w:basedOn w:val="647"/>
    <w:next w:val="647"/>
    <w:uiPriority w:val="0"/>
    <w:semiHidden/>
    <w:qFormat/>
    <w:pPr>
      <w:ind w:left="2100"/>
    </w:pPr>
  </w:style>
  <w:style w:type="paragraph" w:styleId="665">
    <w:name w:val="Body Text Indent"/>
    <w:basedOn w:val="647"/>
    <w:next w:val="647"/>
    <w:uiPriority w:val="0"/>
    <w:qFormat/>
    <w:pPr>
      <w:ind w:firstLine="645"/>
    </w:pPr>
    <w:rPr>
      <w:rFonts w:ascii="楷体_GB2312" w:eastAsia="楷体_GB2312"/>
      <w:sz w:val="32"/>
      <w:szCs w:val="32"/>
    </w:rPr>
  </w:style>
  <w:style w:type="paragraph" w:styleId="666">
    <w:name w:val="toc 5"/>
    <w:basedOn w:val="647"/>
    <w:next w:val="647"/>
    <w:uiPriority w:val="39"/>
    <w:unhideWhenUsed/>
    <w:qFormat/>
    <w:pPr>
      <w:ind w:left="1134"/>
      <w:spacing w:after="57"/>
    </w:pPr>
  </w:style>
  <w:style w:type="paragraph" w:styleId="667">
    <w:name w:val="toc 3"/>
    <w:basedOn w:val="647"/>
    <w:next w:val="647"/>
    <w:uiPriority w:val="39"/>
    <w:unhideWhenUsed/>
    <w:qFormat/>
    <w:pPr>
      <w:ind w:left="567"/>
      <w:spacing w:after="57"/>
    </w:pPr>
  </w:style>
  <w:style w:type="paragraph" w:styleId="668">
    <w:name w:val="toc 8"/>
    <w:basedOn w:val="647"/>
    <w:next w:val="647"/>
    <w:uiPriority w:val="39"/>
    <w:unhideWhenUsed/>
    <w:qFormat/>
    <w:pPr>
      <w:ind w:left="1984"/>
      <w:spacing w:after="57"/>
    </w:pPr>
  </w:style>
  <w:style w:type="paragraph" w:styleId="669">
    <w:name w:val="endnote text"/>
    <w:basedOn w:val="647"/>
    <w:link w:val="833"/>
    <w:uiPriority w:val="99"/>
    <w:semiHidden/>
    <w:unhideWhenUsed/>
    <w:qFormat/>
    <w:rPr>
      <w:sz w:val="20"/>
    </w:rPr>
  </w:style>
  <w:style w:type="paragraph" w:styleId="670">
    <w:name w:val="Balloon Text"/>
    <w:basedOn w:val="647"/>
    <w:link w:val="842"/>
    <w:uiPriority w:val="99"/>
    <w:semiHidden/>
    <w:unhideWhenUsed/>
    <w:qFormat/>
    <w:rPr>
      <w:sz w:val="18"/>
      <w:szCs w:val="18"/>
    </w:rPr>
  </w:style>
  <w:style w:type="paragraph" w:styleId="671">
    <w:name w:val="Footer"/>
    <w:basedOn w:val="647"/>
    <w:link w:val="836"/>
    <w:uiPriority w:val="0"/>
    <w:qFormat/>
    <w:pPr>
      <w:jc w:val="left"/>
      <w:tabs>
        <w:tab w:val="center" w:pos="4153" w:leader="none"/>
        <w:tab w:val="right" w:pos="8306" w:leader="none"/>
      </w:tabs>
    </w:pPr>
    <w:rPr>
      <w:sz w:val="18"/>
      <w:szCs w:val="18"/>
    </w:rPr>
  </w:style>
  <w:style w:type="paragraph" w:styleId="672">
    <w:name w:val="Header"/>
    <w:basedOn w:val="647"/>
    <w:link w:val="835"/>
    <w:uiPriority w:val="0"/>
    <w:qFormat/>
    <w:pPr>
      <w:jc w:val="center"/>
      <w:tabs>
        <w:tab w:val="center" w:pos="4153" w:leader="none"/>
        <w:tab w:val="right" w:pos="8306" w:leader="none"/>
      </w:tabs>
      <w:pBdr>
        <w:bottom w:val="single" w:color="auto" w:sz="6" w:space="1"/>
      </w:pBdr>
    </w:pPr>
    <w:rPr>
      <w:sz w:val="18"/>
      <w:szCs w:val="18"/>
    </w:rPr>
  </w:style>
  <w:style w:type="paragraph" w:styleId="673">
    <w:name w:val="toc 1"/>
    <w:basedOn w:val="647"/>
    <w:next w:val="647"/>
    <w:uiPriority w:val="39"/>
    <w:unhideWhenUsed/>
    <w:qFormat/>
    <w:pPr>
      <w:spacing w:after="57"/>
    </w:pPr>
  </w:style>
  <w:style w:type="paragraph" w:styleId="674">
    <w:name w:val="toc 4"/>
    <w:basedOn w:val="647"/>
    <w:next w:val="647"/>
    <w:uiPriority w:val="39"/>
    <w:unhideWhenUsed/>
    <w:qFormat/>
    <w:pPr>
      <w:ind w:left="850"/>
      <w:spacing w:after="57"/>
    </w:pPr>
  </w:style>
  <w:style w:type="paragraph" w:styleId="675">
    <w:name w:val="Subtitle"/>
    <w:basedOn w:val="647"/>
    <w:next w:val="647"/>
    <w:link w:val="699"/>
    <w:uiPriority w:val="11"/>
    <w:qFormat/>
    <w:pPr>
      <w:spacing w:before="200" w:after="200"/>
    </w:pPr>
    <w:rPr>
      <w:sz w:val="24"/>
    </w:rPr>
  </w:style>
  <w:style w:type="paragraph" w:styleId="676">
    <w:name w:val="footnote text"/>
    <w:basedOn w:val="647"/>
    <w:link w:val="832"/>
    <w:uiPriority w:val="99"/>
    <w:semiHidden/>
    <w:unhideWhenUsed/>
    <w:qFormat/>
    <w:pPr>
      <w:spacing w:after="40"/>
    </w:pPr>
    <w:rPr>
      <w:sz w:val="18"/>
    </w:rPr>
  </w:style>
  <w:style w:type="paragraph" w:styleId="677">
    <w:name w:val="table of figures"/>
    <w:basedOn w:val="647"/>
    <w:next w:val="647"/>
    <w:uiPriority w:val="99"/>
    <w:unhideWhenUsed/>
    <w:qFormat/>
  </w:style>
  <w:style w:type="paragraph" w:styleId="678">
    <w:name w:val="toc 2"/>
    <w:basedOn w:val="647"/>
    <w:next w:val="647"/>
    <w:uiPriority w:val="39"/>
    <w:unhideWhenUsed/>
    <w:qFormat/>
    <w:pPr>
      <w:ind w:left="283"/>
      <w:spacing w:after="57"/>
    </w:pPr>
  </w:style>
  <w:style w:type="paragraph" w:styleId="679">
    <w:name w:val="toc 9"/>
    <w:basedOn w:val="647"/>
    <w:next w:val="647"/>
    <w:uiPriority w:val="39"/>
    <w:unhideWhenUsed/>
    <w:qFormat/>
    <w:pPr>
      <w:ind w:left="2268"/>
      <w:spacing w:after="57"/>
    </w:pPr>
  </w:style>
  <w:style w:type="paragraph" w:styleId="680">
    <w:name w:val="Normal (Web)"/>
    <w:basedOn w:val="647"/>
    <w:uiPriority w:val="0"/>
    <w:qFormat/>
    <w:pPr>
      <w:jc w:val="left"/>
      <w:spacing w:beforeAutospacing="1" w:afterAutospacing="1"/>
    </w:pPr>
    <w:rPr>
      <w:rFonts w:cs="Times New Roman"/>
      <w:sz w:val="24"/>
    </w:rPr>
  </w:style>
  <w:style w:type="paragraph" w:styleId="681">
    <w:name w:val="Title"/>
    <w:basedOn w:val="647"/>
    <w:next w:val="647"/>
    <w:link w:val="698"/>
    <w:uiPriority w:val="10"/>
    <w:qFormat/>
    <w:pPr>
      <w:contextualSpacing/>
      <w:spacing w:before="300" w:after="200"/>
    </w:pPr>
    <w:rPr>
      <w:sz w:val="48"/>
      <w:szCs w:val="48"/>
    </w:rPr>
  </w:style>
  <w:style w:type="table" w:styleId="682">
    <w:name w:val="Table Grid"/>
    <w:basedOn w:val="6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3">
    <w:name w:val="endnote reference"/>
    <w:basedOn w:val="657"/>
    <w:uiPriority w:val="99"/>
    <w:semiHidden/>
    <w:unhideWhenUsed/>
    <w:qFormat/>
    <w:rPr>
      <w:vertAlign w:val="superscript"/>
    </w:rPr>
  </w:style>
  <w:style w:type="character" w:styleId="684">
    <w:name w:val="Hyperlink"/>
    <w:uiPriority w:val="99"/>
    <w:unhideWhenUsed/>
    <w:qFormat/>
    <w:rPr>
      <w:color w:val="0563c1" w:themeColor="hyperlink"/>
      <w:u w:val="single"/>
      <w14:textFill>
        <w14:solidFill>
          <w14:schemeClr w14:val="hlink"/>
        </w14:solidFill>
      </w14:textFill>
    </w:rPr>
  </w:style>
  <w:style w:type="character" w:styleId="685">
    <w:name w:val="footnote reference"/>
    <w:basedOn w:val="657"/>
    <w:uiPriority w:val="99"/>
    <w:unhideWhenUsed/>
    <w:qFormat/>
    <w:rPr>
      <w:vertAlign w:val="superscript"/>
    </w:rPr>
  </w:style>
  <w:style w:type="paragraph" w:styleId="686" w:customStyle="1">
    <w:name w:val="Default"/>
    <w:uiPriority w:val="99"/>
    <w:qFormat/>
    <w:pPr>
      <w:widowControl w:val="off"/>
    </w:pPr>
    <w:rPr>
      <w:rFonts w:ascii="宋体" w:hAnsi="宋体" w:eastAsia="等线" w:cs="宋体"/>
      <w:color w:val="000000"/>
      <w:sz w:val="24"/>
      <w:szCs w:val="24"/>
      <w:lang w:val="en-US" w:eastAsia="zh-CN" w:bidi="ar-SA"/>
    </w:rPr>
  </w:style>
  <w:style w:type="character" w:styleId="687" w:customStyle="1">
    <w:name w:val="标题 1 Char"/>
    <w:basedOn w:val="657"/>
    <w:link w:val="648"/>
    <w:uiPriority w:val="9"/>
    <w:qFormat/>
    <w:rPr>
      <w:rFonts w:ascii="Arial" w:hAnsi="Arial" w:eastAsia="Arial" w:cs="Arial"/>
      <w:sz w:val="40"/>
      <w:szCs w:val="40"/>
    </w:rPr>
  </w:style>
  <w:style w:type="character" w:styleId="688" w:customStyle="1">
    <w:name w:val="Heading 2 Char"/>
    <w:basedOn w:val="657"/>
    <w:uiPriority w:val="9"/>
    <w:qFormat/>
    <w:rPr>
      <w:rFonts w:ascii="Arial" w:hAnsi="Arial" w:eastAsia="Arial" w:cs="Arial"/>
      <w:sz w:val="34"/>
    </w:rPr>
  </w:style>
  <w:style w:type="character" w:styleId="689" w:customStyle="1">
    <w:name w:val="标题 3 Char"/>
    <w:basedOn w:val="657"/>
    <w:link w:val="650"/>
    <w:uiPriority w:val="9"/>
    <w:qFormat/>
    <w:rPr>
      <w:rFonts w:ascii="Arial" w:hAnsi="Arial" w:eastAsia="Arial" w:cs="Arial"/>
      <w:sz w:val="30"/>
      <w:szCs w:val="30"/>
    </w:rPr>
  </w:style>
  <w:style w:type="character" w:styleId="690" w:customStyle="1">
    <w:name w:val="标题 4 Char"/>
    <w:basedOn w:val="657"/>
    <w:link w:val="651"/>
    <w:uiPriority w:val="9"/>
    <w:qFormat/>
    <w:rPr>
      <w:rFonts w:ascii="Arial" w:hAnsi="Arial" w:eastAsia="Arial" w:cs="Arial"/>
      <w:b/>
      <w:bCs/>
      <w:sz w:val="26"/>
      <w:szCs w:val="26"/>
    </w:rPr>
  </w:style>
  <w:style w:type="character" w:styleId="691" w:customStyle="1">
    <w:name w:val="标题 5 Char"/>
    <w:basedOn w:val="657"/>
    <w:link w:val="652"/>
    <w:uiPriority w:val="9"/>
    <w:qFormat/>
    <w:rPr>
      <w:rFonts w:ascii="Arial" w:hAnsi="Arial" w:eastAsia="Arial" w:cs="Arial"/>
      <w:b/>
      <w:bCs/>
      <w:sz w:val="24"/>
      <w:szCs w:val="24"/>
    </w:rPr>
  </w:style>
  <w:style w:type="character" w:styleId="692" w:customStyle="1">
    <w:name w:val="标题 6 Char"/>
    <w:basedOn w:val="657"/>
    <w:link w:val="653"/>
    <w:uiPriority w:val="9"/>
    <w:qFormat/>
    <w:rPr>
      <w:rFonts w:ascii="Arial" w:hAnsi="Arial" w:eastAsia="Arial" w:cs="Arial"/>
      <w:b/>
      <w:bCs/>
      <w:sz w:val="22"/>
      <w:szCs w:val="22"/>
    </w:rPr>
  </w:style>
  <w:style w:type="character" w:styleId="693" w:customStyle="1">
    <w:name w:val="标题 7 Char"/>
    <w:basedOn w:val="657"/>
    <w:link w:val="654"/>
    <w:uiPriority w:val="9"/>
    <w:qFormat/>
    <w:rPr>
      <w:rFonts w:ascii="Arial" w:hAnsi="Arial" w:eastAsia="Arial" w:cs="Arial"/>
      <w:b/>
      <w:bCs/>
      <w:i/>
      <w:iCs/>
      <w:sz w:val="22"/>
      <w:szCs w:val="22"/>
    </w:rPr>
  </w:style>
  <w:style w:type="character" w:styleId="694" w:customStyle="1">
    <w:name w:val="标题 8 Char"/>
    <w:basedOn w:val="657"/>
    <w:link w:val="655"/>
    <w:uiPriority w:val="9"/>
    <w:qFormat/>
    <w:rPr>
      <w:rFonts w:ascii="Arial" w:hAnsi="Arial" w:eastAsia="Arial" w:cs="Arial"/>
      <w:i/>
      <w:iCs/>
      <w:sz w:val="22"/>
      <w:szCs w:val="22"/>
    </w:rPr>
  </w:style>
  <w:style w:type="character" w:styleId="695" w:customStyle="1">
    <w:name w:val="标题 9 Char"/>
    <w:basedOn w:val="657"/>
    <w:link w:val="656"/>
    <w:uiPriority w:val="9"/>
    <w:qFormat/>
    <w:rPr>
      <w:rFonts w:ascii="Arial" w:hAnsi="Arial" w:eastAsia="Arial" w:cs="Arial"/>
      <w:i/>
      <w:iCs/>
      <w:sz w:val="21"/>
      <w:szCs w:val="21"/>
    </w:rPr>
  </w:style>
  <w:style w:type="paragraph" w:styleId="696">
    <w:name w:val="List Paragraph"/>
    <w:basedOn w:val="647"/>
    <w:uiPriority w:val="34"/>
    <w:qFormat/>
    <w:pPr>
      <w:contextualSpacing/>
      <w:ind w:left="720"/>
    </w:pPr>
  </w:style>
  <w:style w:type="paragraph" w:styleId="697">
    <w:name w:val="No Spacing"/>
    <w:uiPriority w:val="1"/>
    <w:qFormat/>
    <w:rPr>
      <w:rFonts w:ascii="Times New Roman" w:hAnsi="Times New Roman" w:eastAsia="宋体" w:cs="Times New Roman"/>
      <w:lang w:val="en-US" w:eastAsia="zh-CN" w:bidi="ar-SA"/>
    </w:rPr>
  </w:style>
  <w:style w:type="character" w:styleId="698" w:customStyle="1">
    <w:name w:val="标题 Char"/>
    <w:basedOn w:val="657"/>
    <w:link w:val="681"/>
    <w:uiPriority w:val="10"/>
    <w:qFormat/>
    <w:rPr>
      <w:sz w:val="48"/>
      <w:szCs w:val="48"/>
    </w:rPr>
  </w:style>
  <w:style w:type="character" w:styleId="699" w:customStyle="1">
    <w:name w:val="副标题 Char"/>
    <w:basedOn w:val="657"/>
    <w:link w:val="675"/>
    <w:uiPriority w:val="11"/>
    <w:qFormat/>
    <w:rPr>
      <w:sz w:val="24"/>
      <w:szCs w:val="24"/>
    </w:rPr>
  </w:style>
  <w:style w:type="paragraph" w:styleId="700">
    <w:name w:val="Quote"/>
    <w:basedOn w:val="647"/>
    <w:next w:val="647"/>
    <w:link w:val="701"/>
    <w:uiPriority w:val="29"/>
    <w:qFormat/>
    <w:pPr>
      <w:ind w:left="720" w:right="720"/>
    </w:pPr>
    <w:rPr>
      <w:i/>
    </w:rPr>
  </w:style>
  <w:style w:type="character" w:styleId="701" w:customStyle="1">
    <w:name w:val="引用 Char"/>
    <w:link w:val="700"/>
    <w:uiPriority w:val="29"/>
    <w:qFormat/>
    <w:rPr>
      <w:i/>
    </w:rPr>
  </w:style>
  <w:style w:type="paragraph" w:styleId="702">
    <w:name w:val="Intense Quote"/>
    <w:basedOn w:val="647"/>
    <w:next w:val="647"/>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明显引用 Char"/>
    <w:link w:val="702"/>
    <w:uiPriority w:val="30"/>
    <w:qFormat/>
    <w:rPr>
      <w:i/>
    </w:rPr>
  </w:style>
  <w:style w:type="character" w:styleId="704" w:customStyle="1">
    <w:name w:val="Header Char"/>
    <w:basedOn w:val="657"/>
    <w:uiPriority w:val="99"/>
    <w:qFormat/>
  </w:style>
  <w:style w:type="character" w:styleId="705" w:customStyle="1">
    <w:name w:val="Footer Char"/>
    <w:basedOn w:val="657"/>
    <w:uiPriority w:val="99"/>
    <w:qFormat/>
  </w:style>
  <w:style w:type="character" w:styleId="706" w:customStyle="1">
    <w:name w:val="Caption Char"/>
    <w:uiPriority w:val="99"/>
    <w:qFormat/>
  </w:style>
  <w:style w:type="table" w:styleId="707" w:customStyle="1">
    <w:name w:val="Table Grid Light"/>
    <w:basedOn w:val="6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08" w:customStyle="1">
    <w:name w:val="Plain Table 1"/>
    <w:basedOn w:val="6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basedOn w:val="6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basedOn w:val="6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basedOn w:val="6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basedOn w:val="6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basedOn w:val="6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basedOn w:val="6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basedOn w:val="6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basedOn w:val="6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basedOn w:val="6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basedOn w:val="6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basedOn w:val="6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0" w:customStyle="1">
    <w:name w:val="Grid Table 2"/>
    <w:basedOn w:val="6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basedOn w:val="6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basedOn w:val="6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basedOn w:val="6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basedOn w:val="6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basedOn w:val="6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6" w:customStyle="1">
    <w:name w:val="Grid Table 2 - Accent 6"/>
    <w:basedOn w:val="6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7" w:customStyle="1">
    <w:name w:val="Grid Table 3"/>
    <w:basedOn w:val="6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basedOn w:val="6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basedOn w:val="6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basedOn w:val="6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basedOn w:val="6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basedOn w:val="6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basedOn w:val="6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basedOn w:val="65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6" w:customStyle="1">
    <w:name w:val="Grid Table 4 - Accent 2"/>
    <w:basedOn w:val="65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7" w:customStyle="1">
    <w:name w:val="Grid Table 4 - Accent 3"/>
    <w:basedOn w:val="65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8" w:customStyle="1">
    <w:name w:val="Grid Table 4 - Accent 4"/>
    <w:basedOn w:val="65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9" w:customStyle="1">
    <w:name w:val="Grid Table 4 - Accent 5"/>
    <w:basedOn w:val="65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0" w:customStyle="1">
    <w:name w:val="Grid Table 4 - Accent 6"/>
    <w:basedOn w:val="65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1" w:customStyle="1">
    <w:name w:val="Grid Table 5 Dark"/>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3" w:customStyle="1">
    <w:name w:val="Grid Table 5 Dark - Accent 2"/>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4" w:customStyle="1">
    <w:name w:val="Grid Table 5 Dark - Accent 3"/>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5" w:customStyle="1">
    <w:name w:val="Grid Table 5 Dark- Accent 4"/>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6" w:customStyle="1">
    <w:name w:val="Grid Table 5 Dark - Accent 5"/>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7" w:customStyle="1">
    <w:name w:val="Grid Table 5 Dark - Accent 6"/>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8" w:customStyle="1">
    <w:name w:val="Grid Table 6 Colorful"/>
    <w:basedOn w:val="6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basedOn w:val="65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0" w:customStyle="1">
    <w:name w:val="Grid Table 6 Colorful - Accent 2"/>
    <w:basedOn w:val="6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1" w:customStyle="1">
    <w:name w:val="Grid Table 6 Colorful - Accent 3"/>
    <w:basedOn w:val="65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52" w:customStyle="1">
    <w:name w:val="Grid Table 6 Colorful - Accent 4"/>
    <w:basedOn w:val="6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3" w:customStyle="1">
    <w:name w:val="Grid Table 6 Colorful - Accent 5"/>
    <w:basedOn w:val="65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4" w:customStyle="1">
    <w:name w:val="Grid Table 6 Colorful - Accent 6"/>
    <w:basedOn w:val="65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5" w:customStyle="1">
    <w:name w:val="Grid Table 7 Colorful"/>
    <w:basedOn w:val="6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basedOn w:val="65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basedOn w:val="65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basedOn w:val="65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basedOn w:val="65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basedOn w:val="65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basedOn w:val="65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2" w:customStyle="1">
    <w:name w:val="List Table 1 Light"/>
    <w:basedOn w:val="6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basedOn w:val="65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4" w:customStyle="1">
    <w:name w:val="List Table 1 Light - Accent 2"/>
    <w:basedOn w:val="65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5" w:customStyle="1">
    <w:name w:val="List Table 1 Light - Accent 3"/>
    <w:basedOn w:val="65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6" w:customStyle="1">
    <w:name w:val="List Table 1 Light - Accent 4"/>
    <w:basedOn w:val="65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7" w:customStyle="1">
    <w:name w:val="List Table 1 Light - Accent 5"/>
    <w:basedOn w:val="65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List Table 1 Light - Accent 6"/>
    <w:basedOn w:val="65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List Table 2"/>
    <w:basedOn w:val="6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basedOn w:val="65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1" w:customStyle="1">
    <w:name w:val="List Table 2 - Accent 2"/>
    <w:basedOn w:val="65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2" w:customStyle="1">
    <w:name w:val="List Table 2 - Accent 3"/>
    <w:basedOn w:val="65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3" w:customStyle="1">
    <w:name w:val="List Table 2 - Accent 4"/>
    <w:basedOn w:val="65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4" w:customStyle="1">
    <w:name w:val="List Table 2 - Accent 5"/>
    <w:basedOn w:val="65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5" w:customStyle="1">
    <w:name w:val="List Table 2 - Accent 6"/>
    <w:basedOn w:val="65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6" w:customStyle="1">
    <w:name w:val="List Table 3"/>
    <w:basedOn w:val="6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basedOn w:val="65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8" w:customStyle="1">
    <w:name w:val="List Table 3 - Accent 2"/>
    <w:basedOn w:val="6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9" w:customStyle="1">
    <w:name w:val="List Table 3 - Accent 3"/>
    <w:basedOn w:val="65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0" w:customStyle="1">
    <w:name w:val="List Table 3 - Accent 4"/>
    <w:basedOn w:val="6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1" w:customStyle="1">
    <w:name w:val="List Table 3 - Accent 5"/>
    <w:basedOn w:val="65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2" w:customStyle="1">
    <w:name w:val="List Table 3 - Accent 6"/>
    <w:basedOn w:val="65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3" w:customStyle="1">
    <w:name w:val="List Table 4"/>
    <w:basedOn w:val="6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basedOn w:val="65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5" w:customStyle="1">
    <w:name w:val="List Table 4 - Accent 2"/>
    <w:basedOn w:val="65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6" w:customStyle="1">
    <w:name w:val="List Table 4 - Accent 3"/>
    <w:basedOn w:val="65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7" w:customStyle="1">
    <w:name w:val="List Table 4 - Accent 4"/>
    <w:basedOn w:val="65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8" w:customStyle="1">
    <w:name w:val="List Table 4 - Accent 5"/>
    <w:basedOn w:val="65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9" w:customStyle="1">
    <w:name w:val="List Table 4 - Accent 6"/>
    <w:basedOn w:val="65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0" w:customStyle="1">
    <w:name w:val="List Table 5 Dark"/>
    <w:basedOn w:val="6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basedOn w:val="65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basedOn w:val="65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basedOn w:val="65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basedOn w:val="65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basedOn w:val="65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basedOn w:val="65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65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basedOn w:val="65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9" w:customStyle="1">
    <w:name w:val="List Table 6 Colorful - Accent 2"/>
    <w:basedOn w:val="65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0" w:customStyle="1">
    <w:name w:val="List Table 6 Colorful - Accent 3"/>
    <w:basedOn w:val="65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1" w:customStyle="1">
    <w:name w:val="List Table 6 Colorful - Accent 4"/>
    <w:basedOn w:val="65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2" w:customStyle="1">
    <w:name w:val="List Table 6 Colorful - Accent 5"/>
    <w:basedOn w:val="65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3" w:customStyle="1">
    <w:name w:val="List Table 6 Colorful - Accent 6"/>
    <w:basedOn w:val="65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4" w:customStyle="1">
    <w:name w:val="List Table 7 Colorful"/>
    <w:basedOn w:val="65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basedOn w:val="65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basedOn w:val="65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basedOn w:val="65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basedOn w:val="65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basedOn w:val="65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basedOn w:val="65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1" w:customStyle="1">
    <w:name w:val="Lined - Accent"/>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3" w:customStyle="1">
    <w:name w:val="Lined - Accent 2"/>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4" w:customStyle="1">
    <w:name w:val="Lined - Accent 3"/>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5" w:customStyle="1">
    <w:name w:val="Lined - Accent 4"/>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6" w:customStyle="1">
    <w:name w:val="Lined - Accent 5"/>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7" w:customStyle="1">
    <w:name w:val="Lined - Accent 6"/>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8" w:customStyle="1">
    <w:name w:val="Bordered &amp; Lined - Accent"/>
    <w:basedOn w:val="6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basedOn w:val="65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0" w:customStyle="1">
    <w:name w:val="Bordered &amp; Lined - Accent 2"/>
    <w:basedOn w:val="65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1" w:customStyle="1">
    <w:name w:val="Bordered &amp; Lined - Accent 3"/>
    <w:basedOn w:val="65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2" w:customStyle="1">
    <w:name w:val="Bordered &amp; Lined - Accent 4"/>
    <w:basedOn w:val="65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3" w:customStyle="1">
    <w:name w:val="Bordered &amp; Lined - Accent 5"/>
    <w:basedOn w:val="65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4" w:customStyle="1">
    <w:name w:val="Bordered &amp; Lined - Accent 6"/>
    <w:basedOn w:val="65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5" w:customStyle="1">
    <w:name w:val="Bordered"/>
    <w:basedOn w:val="6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basedOn w:val="6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7" w:customStyle="1">
    <w:name w:val="Bordered - Accent 2"/>
    <w:basedOn w:val="6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8" w:customStyle="1">
    <w:name w:val="Bordered - Accent 3"/>
    <w:basedOn w:val="6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9" w:customStyle="1">
    <w:name w:val="Bordered - Accent 4"/>
    <w:basedOn w:val="6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0" w:customStyle="1">
    <w:name w:val="Bordered - Accent 5"/>
    <w:basedOn w:val="6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1" w:customStyle="1">
    <w:name w:val="Bordered - Accent 6"/>
    <w:basedOn w:val="6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2" w:customStyle="1">
    <w:name w:val="脚注文本 Char"/>
    <w:link w:val="676"/>
    <w:uiPriority w:val="99"/>
    <w:qFormat/>
    <w:rPr>
      <w:sz w:val="18"/>
    </w:rPr>
  </w:style>
  <w:style w:type="character" w:styleId="833" w:customStyle="1">
    <w:name w:val="尾注文本 Char"/>
    <w:link w:val="669"/>
    <w:uiPriority w:val="99"/>
    <w:qFormat/>
    <w:rPr>
      <w:sz w:val="20"/>
    </w:rPr>
  </w:style>
  <w:style w:type="paragraph" w:styleId="834" w:customStyle="1">
    <w:name w:val="TOC 标题1"/>
    <w:uiPriority w:val="39"/>
    <w:unhideWhenUsed/>
    <w:qFormat/>
    <w:rPr>
      <w:rFonts w:ascii="Times New Roman" w:hAnsi="Times New Roman" w:eastAsia="宋体" w:cs="Times New Roman"/>
      <w:lang w:val="en-US" w:eastAsia="zh-CN" w:bidi="ar-SA"/>
    </w:rPr>
  </w:style>
  <w:style w:type="character" w:styleId="835" w:customStyle="1">
    <w:name w:val="页眉 Char"/>
    <w:basedOn w:val="657"/>
    <w:link w:val="672"/>
    <w:uiPriority w:val="0"/>
    <w:qFormat/>
    <w:rPr>
      <w:rFonts w:asciiTheme="minorHAnsi" w:hAnsiTheme="minorHAnsi" w:eastAsiaTheme="minorEastAsia" w:cstheme="minorBidi"/>
      <w:sz w:val="18"/>
      <w:szCs w:val="18"/>
    </w:rPr>
  </w:style>
  <w:style w:type="character" w:styleId="836" w:customStyle="1">
    <w:name w:val="页脚 Char"/>
    <w:basedOn w:val="657"/>
    <w:link w:val="671"/>
    <w:uiPriority w:val="0"/>
    <w:qFormat/>
    <w:rPr>
      <w:rFonts w:asciiTheme="minorHAnsi" w:hAnsiTheme="minorHAnsi" w:eastAsiaTheme="minorEastAsia" w:cstheme="minorBidi"/>
      <w:sz w:val="18"/>
      <w:szCs w:val="18"/>
    </w:rPr>
  </w:style>
  <w:style w:type="paragraph" w:styleId="837" w:customStyle="1">
    <w:name w:val="正文首行缩进 21"/>
    <w:basedOn w:val="665"/>
    <w:uiPriority w:val="0"/>
    <w:qFormat/>
    <w:pPr>
      <w:ind w:firstLine="420"/>
    </w:pPr>
  </w:style>
  <w:style w:type="paragraph" w:styleId="838" w:customStyle="1">
    <w:name w:val="正文文本缩进1"/>
    <w:basedOn w:val="647"/>
    <w:uiPriority w:val="0"/>
    <w:qFormat/>
    <w:pPr>
      <w:ind w:left="420"/>
      <w:spacing w:after="120"/>
    </w:pPr>
  </w:style>
  <w:style w:type="paragraph" w:styleId="839" w:customStyle="1">
    <w:name w:val="普通(网站)1"/>
    <w:basedOn w:val="647"/>
    <w:uiPriority w:val="0"/>
    <w:unhideWhenUsed/>
    <w:qFormat/>
    <w:pPr>
      <w:jc w:val="left"/>
      <w:spacing w:before="100" w:beforeAutospacing="1" w:after="100" w:afterAutospacing="1"/>
      <w:widowControl/>
    </w:pPr>
    <w:rPr>
      <w:rFonts w:ascii="宋体" w:hAnsi="宋体" w:cs="宋体"/>
      <w:sz w:val="24"/>
    </w:rPr>
  </w:style>
  <w:style w:type="paragraph" w:styleId="840" w:customStyle="1">
    <w:name w:val="段"/>
    <w:next w:val="84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41" w:customStyle="1">
    <w:name w:val="正文 A"/>
    <w:next w:val="840"/>
    <w:uiPriority w:val="0"/>
    <w:qFormat/>
    <w:pPr>
      <w:jc w:val="both"/>
      <w:widowControl w:val="off"/>
    </w:pPr>
    <w:rPr>
      <w:rFonts w:ascii="Times New Roman" w:hAnsi="Times New Roman" w:eastAsia="Calibri" w:cs="Calibri"/>
      <w:color w:val="000000"/>
      <w:sz w:val="21"/>
      <w:szCs w:val="21"/>
      <w:lang w:val="en-US" w:eastAsia="zh-CN" w:bidi="ar-SA"/>
    </w:rPr>
  </w:style>
  <w:style w:type="character" w:styleId="842" w:customStyle="1">
    <w:name w:val="批注框文本 Char"/>
    <w:basedOn w:val="657"/>
    <w:link w:val="670"/>
    <w:uiPriority w:val="99"/>
    <w:semiHidden/>
    <w:qFormat/>
    <w:rPr>
      <w:rFonts w:asciiTheme="minorHAnsi" w:hAnsiTheme="minorHAnsi" w:eastAsiaTheme="minorEastAsia" w:cstheme="minorBidi"/>
      <w:sz w:val="18"/>
      <w:szCs w:val="18"/>
    </w:rPr>
  </w:style>
  <w:style w:type="numbering" w:styleId="6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ae9a9eca-ab9a-45dd-a627-3eee149f1dbf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13F7F787</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52b45d5f-aa1e-439e-af66-ce5281462f1e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13F7F787</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d0b440a3-96a7-4a8c-9f9b-4fe3ad8e9f34</errorID>
      <errorWord xmlns="http://schemas.wps.cn/vas-ai-hub/contract-review">供证明材料</errorWord>
      <group xmlns="http://schemas.wps.cn/vas-ai-hub/contract-review">L1_Grammar</group>
      <groupName xmlns="http://schemas.wps.cn/vas-ai-hub/contract-review">语法问题</groupName>
      <ability xmlns="http://schemas.wps.cn/vas-ai-hub/contract-review">L2_Collocation</ability>
      <abilityName xmlns="http://schemas.wps.cn/vas-ai-hub/contract-review">搭配不当</abilityName>
      <candidateList xmlns="http://schemas.wps.cn/vas-ai-hub/contract-review">
        <item xmlns="http://schemas.wps.cn/vas-ai-hub/contract-review">供</item>
      </candidateList>
      <explain xmlns="http://schemas.wps.cn/vas-ai-hub/contract-review">句子中可能存在主谓、动宾、定语中心语、状语中心语、补语中心语、关联词搭配不当等问题。</explain>
      <paraID xmlns="http://schemas.wps.cn/vas-ai-hub/contract-review">33EBBC4E</paraID>
      <start xmlns="http://schemas.wps.cn/vas-ai-hub/contract-review">88</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2efa83fa-6643-40cf-9409-273f3f7524c5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14BA05DC</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c5e7db7e-24b2-4cd4-8071-d0b6896aa513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14BA05DC</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3363927a-6f71-4d14-b5b2-07d5f8d41d08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14BA05DC</paraID>
      <start xmlns="http://schemas.wps.cn/vas-ai-hub/contract-review">140</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fa98fe86-ff9f-4cf4-890f-6cf52856b0fd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4818BE26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917d651f-3241-4ab5-ac2b-42da9f99bf29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4818BE26</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a38035aa-f141-452d-9c71-f8f1ab288ff6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4818BE26</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d4e7210f-7ac4-493f-a70e-46a41e13d1b6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4818BE26</paraID>
      <start xmlns="http://schemas.wps.cn/vas-ai-hub/contract-review">71</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fe92edb1-d916-407d-859b-2ff2d31a1669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4818BE26</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f96ee135-7246-41b4-ab31-49a8982e833b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4818BE26</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44400338-7dcf-4997-9647-a70667f153bd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4818BE26</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f6fd9110-8df1-4b1e-9d36-6ae814858bb8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4818BE26</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fe28b41b-3a75-44c1-86a6-b5fe842fc12c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4818BE26</paraID>
      <start xmlns="http://schemas.wps.cn/vas-ai-hub/contract-review">173</start>
      <end xmlns="http://schemas.wps.cn/vas-ai-hub/contract-review">174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6fb8b7ae-96ad-458f-a891-d2929236d11f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2A494E04</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8628f9fc-64d7-4ae3-b746-ed1450765108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16F821A5</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a8e8c262-361d-42c3-bfba-63ae9710b104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7C274B9C</paraID>
      <start xmlns="http://schemas.wps.cn/vas-ai-hub/contract-review">39</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34bc9e95-c8b0-4026-b31e-1f813e18f8f5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7C274B9C</paraID>
      <start xmlns="http://schemas.wps.cn/vas-ai-hub/contract-review">49</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6e51a77f-0b89-4d16-ad69-e515326f4887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7E02CA6A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28cf009f-6cab-4f71-9a5a-17d1547ad4e2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4CA8FB16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8743ba47-6ebd-4991-93aa-6cc6463e0b19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6BA65D5B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9b706e57-9b1e-42c7-a4c9-1e90871eefaf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54F273FC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4c8f3154-1e4d-45d6-8c00-f6f58b476f29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53AB440A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ce2136a5-efbc-4b0d-905e-8eef4bc68e32</errorID>
      <errorWord xmlns="http://schemas.wps.cn/vas-ai-hub/contract-review">【2022】002号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〔2022〕2号</item>
      </candidateList>
      <explain xmlns="http://schemas.wps.cn/vas-ai-hub/contract-review">发文字号格式错误。</explain>
      <paraID xmlns="http://schemas.wps.cn/vas-ai-hub/contract-review">53AB440A</paraID>
      <start xmlns="http://schemas.wps.cn/vas-ai-hub/contract-review">46</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cc253599-9a16-44e6-b8b9-9b6d3f4db79e</errorID>
      <errorWord xmlns="http://schemas.wps.cn/vas-ai-hub/contract-review">50-400万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50万—400万</item>
      </candidateList>
      <explain xmlns="http://schemas.wps.cn/vas-ai-hub/contract-review">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53AB440A</paraID>
      <start xmlns="http://schemas.wps.cn/vas-ai-hub/contract-review">98</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366bb1a8-949b-4494-83d1-dea78b31ef1e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1EC5B109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0eec1fd5-1c6a-4cbc-aedf-bdb2b15a56bb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30EF0E6C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b38cf8ed-8d1f-43e1-a3cd-6d4251458a62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5AA5103D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eefaa656-f75a-4ff6-93b2-497cf2c0d630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70456D31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4470c264-32d8-434a-aa0f-01371ab199cb</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1BE651B3</paraID>
      <start xmlns="http://schemas.wps.cn/vas-ai-hub/contract-review">8</start>
      <end xmlns="http://schemas.wps.cn/vas-ai-hub/contract-review">10</end>
      <status xmlns="http://schemas.wps.cn/vas-ai-hub/contract-review">modified</status>
      <modifiedWord xmlns="http://schemas.wps.cn/vas-ai-hub/contract-review">间之</modifiedWord>
      <trackRevisions xmlns="http://schemas.wps.cn/vas-ai-hub/contract-review">false</trackRevisions>
    </reviewItem>
    <reviewItem xmlns="http://schemas.wps.cn/vas-ai-hub/contract-review">
      <errorID xmlns="http://schemas.wps.cn/vas-ai-hub/contract-review">f2546a66-5392-4d5d-ba6c-738e74513095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3F1C1118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7ab6a264-e0a1-437e-a84d-75c7bcb3e7eb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3C690F62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fc6c20d9-6e08-4426-8db4-fb71507bcc9e</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2327F2B3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36c0f6ce-eb93-40bf-a197-bc151c76197f</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2B29A17</paraID>
      <start xmlns="http://schemas.wps.cn/vas-ai-hub/contract-review">11</start>
      <end xmlns="http://schemas.wps.cn/vas-ai-hub/contract-review">15</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1cceaa2e-474a-48f1-ac8f-384cd2a02226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7E95F136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87625fbd-6c73-4bc5-bbb5-1b13d403d219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7E2F9A77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c62274bc-a9a8-42fc-ac47-652757781c80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AE95043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904de6bb-4388-4abb-bd70-a0e36d94712b</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90DD8F8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77efa691-8234-4164-9951-2ded741e50aa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76E02186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8d57d9a6-fd33-4e6c-a981-433a3713ba19</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46C66FBC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ff024f2e-73cc-4142-a8da-37f59405ff43</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389D16A7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2c53decb-dd7b-48ee-9a86-52f55abbd1ec</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2116D4F0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57330cf5-4903-4b5b-a8f7-c198663e808a</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37257C59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0a13e759-13cf-4755-b3eb-7731e0e85d3c</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4E82E05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6f29b3be-cbf9-46a8-9ec6-1bad961aca78</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20F6BF1C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6870062b-a002-4dbf-b324-baef32da8cfa</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383B6475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2c60d74c-81ae-4237-a1cf-0d17c18cd0d7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6AA2BF88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4c068912-72a3-4623-992d-24228d4a3130</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1370F754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5feb9e88-698f-4cec-bbbe-2cd4edb076a1</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59338A97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01b10c1d-7015-411e-8718-5106aad5a295</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170ECFA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b6d29f69-59ab-47cb-8fa9-27226c0c863e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73793711</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c7ec0afa-facb-4964-b703-3bc688e4ec97</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2CAB8F3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3fa23de6-2f0f-41ee-8097-8d5ad7ab68f8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,将</item>
      </candidateList>
      <explain xmlns="http://schemas.wps.cn/vas-ai-hub/contract-review"/>
      <paraID xmlns="http://schemas.wps.cn/vas-ai-hub/contract-review">5B139A52</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7d23f249-4d27-4c42-981f-72f21a5175bf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77DB2BBA</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bd15a115-15da-4db3-a7d7-1155cd999af7</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32C6968B</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89d53582-7019-41e1-b3d3-f9ab080c1a1a</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587FDB10</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30c0e616-40a5-4abb-b4a9-93809b747680</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38EE6CEC</paraID>
      <start xmlns="http://schemas.wps.cn/vas-ai-hub/contract-review">20</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6575412d-a325-4553-90ef-41a4cfdb2319</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15B2AE68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5cdfa07f-b41b-4145-8bea-aa480967e972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1D41D3D1</paraID>
      <start xmlns="http://schemas.wps.cn/vas-ai-hub/contract-review">7</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6edd0431-7c43-4010-8296-80d27d250766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1F6EE27C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55641937-ce12-4c85-86df-2ac9ef005418</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64B18DB3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2cd61135-542f-4153-830a-d0e9030da55c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5A2A7557</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cdd446e2-a46f-4d8c-b55f-d95ea91e7db3</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7E1393F4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746c07cc-7277-4358-aaf4-4d3bf6b3dc21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73AAA6A0</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d8902086-50d6-4855-9f24-4ad52c2993b7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73AAA6A0</paraID>
      <start xmlns="http://schemas.wps.cn/vas-ai-hub/contract-review">126</start>
      <end xmlns="http://schemas.wps.cn/vas-ai-hub/contract-review">127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3d990f8a-042d-4b30-8b5d-eeb95714fa4f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287EA0FF</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53c77025-d82f-42f9-8f14-e82d74aeb52e</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79220A00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954acfae-06a5-46b3-9848-d77c2f86446c</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56DA4141</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79265eb6-3bc3-42e0-a824-f2cdd38d80c4</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56DA4141</paraID>
      <start xmlns="http://schemas.wps.cn/vas-ai-hub/contract-review">46</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903d8762-71f5-4471-8f3a-e18c8f41a558</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56DA4141</paraID>
      <start xmlns="http://schemas.wps.cn/vas-ai-hub/contract-review">164</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d1c174c7-6fbe-4bf0-9906-9c1dc8acb509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22D9B523</paraID>
      <start xmlns="http://schemas.wps.cn/vas-ai-hub/contract-review">150</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88251758-6da6-446e-95b0-f9612fcbe3ff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5A963FAF</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277d2e9f-4df2-48bc-8c49-7c9ad7af4f8f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5A963FAF</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f3ae4848-5a0b-4847-9850-a3f3fdc650d9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201D22D6</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94993a53-28e1-4e3b-88e1-a415c76ff831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201D22D6</paraID>
      <start xmlns="http://schemas.wps.cn/vas-ai-hub/contract-review">50</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1454212f-4bb0-4b97-b119-375031eaf19c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201D22D6</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7dba9ea4-c555-44ca-a50a-0438b4bf8fa4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201D22D6</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55bd4b5a-8f70-4568-854c-670be5b6d9e3</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15C6BEB1</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0ce4217b-a648-4e03-9f4a-9ce89f2c27b7</errorID>
      <errorWord xmlns="http://schemas.wps.cn/vas-ai-hub/contract-review">签定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item>
      </candidateList>
      <explain xmlns="http://schemas.wps.cn/vas-ai-hub/contract-review">〈动〉订立条约或合同并签字：两国～了贸易议定书和支付协定。</explain>
      <paraID xmlns="http://schemas.wps.cn/vas-ai-hub/contract-review">1C129C6D</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3096755a-47b5-4728-977c-f3f458e876c4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35BB85D2</paraID>
      <start xmlns="http://schemas.wps.cn/vas-ai-hub/contract-review">109</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a5d0fb75-7125-4d5d-a3b1-b465df337d31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35BB85D2</paraID>
      <start xmlns="http://schemas.wps.cn/vas-ai-hub/contract-review">129</start>
      <end xmlns="http://schemas.wps.cn/vas-ai-hub/contract-review">130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bae5991c-f37d-450d-94b6-df2d97c760e0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74293DDA</paraID>
      <start xmlns="http://schemas.wps.cn/vas-ai-hub/contract-review">22</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d350d14b-1062-423d-a8a2-55d0d5302204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8805F14</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cc7b065e-88a9-4a35-a586-c83405fa5565</errorID>
      <errorWord xmlns="http://schemas.wps.cn/vas-ai-hub/contract-review">十五五</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“十五五”</item>
      </candidateList>
      <explain xmlns="http://schemas.wps.cn/vas-ai-hub/contract-review">注意检查当前固定表述标点是否使用规范。</explain>
      <paraID xmlns="http://schemas.wps.cn/vas-ai-hub/contract-review">3E7B8BD9</paraID>
      <start xmlns="http://schemas.wps.cn/vas-ai-hub/contract-review">16</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1f586799-340d-4406-80f7-3b840b5a18ea</errorID>
      <errorWord xmlns="http://schemas.wps.cn/vas-ai-hub/contract-review">市委市政府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市委、市政府</item>
      </candidateList>
      <explain xmlns="http://schemas.wps.cn/vas-ai-hub/contract-review"/>
      <paraID xmlns="http://schemas.wps.cn/vas-ai-hub/contract-review">3DDF4ADE</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3db5463d-4423-4429-9964-74d73c42e5d6</errorID>
      <errorWord xmlns="http://schemas.wps.cn/vas-ai-hub/contract-review">市委市政府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市委、市政府</item>
      </candidateList>
      <explain xmlns="http://schemas.wps.cn/vas-ai-hub/contract-review"/>
      <paraID xmlns="http://schemas.wps.cn/vas-ai-hub/contract-review">7C814ACB</paraID>
      <start xmlns="http://schemas.wps.cn/vas-ai-hub/contract-review">24</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c590acd9-40c8-466f-a7d6-af77ac21c9a7</errorID>
      <errorWord xmlns="http://schemas.wps.cn/vas-ai-hub/contract-review">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发布</item>
      </candidateList>
      <explain xmlns="http://schemas.wps.cn/vas-ai-hub/contract-review"/>
      <paraID xmlns="http://schemas.wps.cn/vas-ai-hub/contract-review">2C1AC847</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db2023dc-15c7-4c6f-8380-0b3aee0e8b44</errorID>
      <errorWord xmlns="http://schemas.wps.cn/vas-ai-hub/contract-review">人民日报</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《人民日报》</item>
      </candidateList>
      <explain xmlns="http://schemas.wps.cn/vas-ai-hub/contract-review"/>
      <paraID xmlns="http://schemas.wps.cn/vas-ai-hub/contract-review"> C57F28A</paraID>
      <start xmlns="http://schemas.wps.cn/vas-ai-hub/contract-review">27</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f9e14831-2369-48d4-8b62-92a31e4cad38</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 74B769B</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20b3b97c-5653-4221-aaea-3f2eddd92bdd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312BCA31</paraID>
      <start xmlns="http://schemas.wps.cn/vas-ai-hub/contract-review">25</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f3700585-701d-42ac-975d-d07e3e2ceea9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312BCA31</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3ee3606c-dc0d-4bc1-9b6f-aa01dd7d1df5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47E9FA17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02ee619d-8cd9-44b9-a26f-075031a08e61</errorID>
      <errorWord xmlns="http://schemas.wps.cn/vas-ai-hub/contract-review">市委市政府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市委、市政府</item>
      </candidateList>
      <explain xmlns="http://schemas.wps.cn/vas-ai-hub/contract-review"/>
      <paraID xmlns="http://schemas.wps.cn/vas-ai-hub/contract-review">544472A5</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dd429adc-3d79-4aa7-a9d2-150700e726b6</errorID>
      <errorWord xmlns="http://schemas.wps.cn/vas-ai-hub/contract-review">市委市政府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市委、市政府</item>
      </candidateList>
      <explain xmlns="http://schemas.wps.cn/vas-ai-hub/contract-review"/>
      <paraID xmlns="http://schemas.wps.cn/vas-ai-hub/contract-review">4CF6A98B</paraID>
      <start xmlns="http://schemas.wps.cn/vas-ai-hub/contract-review">20</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c7823288-1e9a-402c-8d8b-c0f65925a51d</errorID>
      <errorWord xmlns="http://schemas.wps.cn/vas-ai-hub/contract-review">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发布</item>
      </candidateList>
      <explain xmlns="http://schemas.wps.cn/vas-ai-hub/contract-review"/>
      <paraID xmlns="http://schemas.wps.cn/vas-ai-hub/contract-review">309B37AC</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72c41b93-7026-4225-addb-5bbe488f51f7</errorID>
      <errorWord xmlns="http://schemas.wps.cn/vas-ai-hub/contract-review">人民日报</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《人民日报》</item>
      </candidateList>
      <explain xmlns="http://schemas.wps.cn/vas-ai-hub/contract-review"/>
      <paraID xmlns="http://schemas.wps.cn/vas-ai-hub/contract-review">24989BCE</paraID>
      <start xmlns="http://schemas.wps.cn/vas-ai-hub/contract-review">23</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3cd29856-4471-45a9-b30c-051bf7d7a883</errorID>
      <errorWord xmlns="http://schemas.wps.cn/vas-ai-hub/contract-review">但是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❶〈副〉只；仅仅：～愿如此｜不求有功，～求无过｜辽阔的原野上，～见麦浪随风起伏。❷〈连〉但是：屋子小，～挺干净｜工作虽然忙，～一点也没放松学习。❸（Dàn）〈名〉姓。</explain>
      <paraID xmlns="http://schemas.wps.cn/vas-ai-hub/contract-review">2A2FA4F2</paraID>
      <start xmlns="http://schemas.wps.cn/vas-ai-hub/contract-review">38</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0e2c6d91-ce7d-4b93-a8d3-05cb28b85b00</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7FFF486A</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544b52f3-dd9b-455a-9916-786606e5c75d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734187E1</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91733998-072e-4693-84e0-57e706bd397d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734187E1</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c9c57c86-9f50-4dfc-a439-db4129b9aa1f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1F3BD3D8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36be632f-5f01-400c-9b11-d07c181aeb6c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1F3BD3D8</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7276e534-1eca-4277-b669-ca608a713ba5</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1F3BD3D8</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cc89f27f-edf6-46af-8cb1-0c3846aba514</errorID>
      <errorWord xmlns="http://schemas.wps.cn/vas-ai-hub/contract-review">其它所有</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其他所有</item>
      </candidateList>
      <explain xmlns="http://schemas.wps.cn/vas-ai-hub/contract-review">词汇[其它所有]为不规范表述或旧称，其规范书面表述为[其他所有]。</explain>
      <paraID xmlns="http://schemas.wps.cn/vas-ai-hub/contract-review">624DB0EC</paraID>
      <start xmlns="http://schemas.wps.cn/vas-ai-hub/contract-review">98</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a6f34f11-04fc-411b-b174-2a99f93d0ec4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388A4045</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2df8052b-9dd8-4688-be23-7b293bb45086</errorID>
      <errorWord xmlns="http://schemas.wps.cn/vas-ai-hub/contract-review">虚假成份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虚假成分</item>
      </candidateList>
      <explain xmlns="http://schemas.wps.cn/vas-ai-hub/contract-review">词汇[虚假成份]的规范词形写作[虚假成分]。</explain>
      <paraID xmlns="http://schemas.wps.cn/vas-ai-hub/contract-review">182D85CC</paraID>
      <start xmlns="http://schemas.wps.cn/vas-ai-hub/contract-review">92</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ec45a983-0448-412b-ae4b-373ea1526e39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61F07DD4</paraID>
      <start xmlns="http://schemas.wps.cn/vas-ai-hub/contract-review">23</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9525d99e-3040-4af8-b201-5b0fef2e385c</errorID>
      <errorWord xmlns="http://schemas.wps.cn/vas-ai-hub/contract-review">维护和更新维护和更新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维护和更新</item>
      </candidateList>
      <explain xmlns="http://schemas.wps.cn/vas-ai-hub/contract-review"/>
      <paraID xmlns="http://schemas.wps.cn/vas-ai-hub/contract-review">26B2650D</paraID>
      <start xmlns="http://schemas.wps.cn/vas-ai-hub/contract-review">21</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43f32135-ef53-4e4b-9472-ec3c7f8a01fd</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17BCAB86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4f957290-bfa4-440a-beb0-0e9fde74496b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1FA7B95F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cb84826d-aa8d-4e9e-a2f0-396402c12d15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1FA7B95F</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B13667C-1CC1-4C62-BCC5-D1DA03FA7C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政府采购 盐城总公司</cp:lastModifiedBy>
  <cp:revision>4</cp:revision>
  <dcterms:created xsi:type="dcterms:W3CDTF">2026-06-24T10:47:00Z</dcterms:created>
  <dcterms:modified xsi:type="dcterms:W3CDTF">2026-06-29T07:32:13Z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BA803F66E586465DABDDEF48F930A5E6_13</vt:lpwstr>
  </property>
  <property fmtid="{D5CDD505-2E9C-101B-9397-08002B2CF9AE}" pid="4" name="KSOTemplateDocerSaveRecord">
    <vt:lpwstr>eyJoZGlkIjoiZGYyNzRiYzg5NzQ4OTFlOWFlYTY0MTQ4Mjk1ODAyMDYiLCJ1c2VySWQiOiI4MzQwMDQ5MjQifQ==</vt:lpwstr>
  </property>
</Properties>
</file>