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D3879F">
      <w:pPr>
        <w:pStyle w:val="14"/>
        <w:kinsoku w:val="0"/>
        <w:overflowPunct w:val="0"/>
        <w:spacing w:line="300" w:lineRule="auto"/>
        <w:contextualSpacing/>
        <w:rPr>
          <w:rFonts w:ascii="黑体" w:eastAsia="黑体" w:cs="黑体"/>
          <w:sz w:val="20"/>
          <w:szCs w:val="20"/>
        </w:rPr>
      </w:pPr>
    </w:p>
    <w:p w14:paraId="7B0693F5">
      <w:pPr>
        <w:pStyle w:val="14"/>
        <w:kinsoku w:val="0"/>
        <w:overflowPunct w:val="0"/>
        <w:spacing w:line="300" w:lineRule="auto"/>
        <w:contextualSpacing/>
        <w:rPr>
          <w:rFonts w:ascii="黑体" w:eastAsia="黑体" w:cs="黑体"/>
          <w:sz w:val="20"/>
          <w:szCs w:val="20"/>
        </w:rPr>
      </w:pPr>
    </w:p>
    <w:p w14:paraId="46671CDC">
      <w:pPr>
        <w:pStyle w:val="14"/>
        <w:kinsoku w:val="0"/>
        <w:overflowPunct w:val="0"/>
        <w:spacing w:line="300" w:lineRule="auto"/>
        <w:contextualSpacing/>
        <w:rPr>
          <w:rFonts w:ascii="黑体" w:eastAsia="黑体" w:cs="黑体"/>
          <w:sz w:val="20"/>
          <w:szCs w:val="20"/>
        </w:rPr>
      </w:pPr>
    </w:p>
    <w:p w14:paraId="7CCAEB53">
      <w:pPr>
        <w:pStyle w:val="14"/>
        <w:kinsoku w:val="0"/>
        <w:overflowPunct w:val="0"/>
        <w:spacing w:line="300" w:lineRule="auto"/>
        <w:contextualSpacing/>
        <w:rPr>
          <w:rFonts w:ascii="黑体" w:eastAsia="黑体" w:cs="黑体"/>
          <w:sz w:val="20"/>
          <w:szCs w:val="20"/>
        </w:rPr>
      </w:pPr>
    </w:p>
    <w:p w14:paraId="0FB2D354">
      <w:pPr>
        <w:pStyle w:val="14"/>
        <w:kinsoku w:val="0"/>
        <w:overflowPunct w:val="0"/>
        <w:spacing w:line="300" w:lineRule="auto"/>
        <w:contextualSpacing/>
        <w:rPr>
          <w:rFonts w:ascii="黑体" w:eastAsia="黑体" w:cs="黑体"/>
          <w:sz w:val="20"/>
          <w:szCs w:val="20"/>
        </w:rPr>
      </w:pPr>
    </w:p>
    <w:p w14:paraId="5A6200E0">
      <w:pPr>
        <w:pStyle w:val="14"/>
        <w:kinsoku w:val="0"/>
        <w:overflowPunct w:val="0"/>
        <w:spacing w:line="300" w:lineRule="auto"/>
        <w:contextualSpacing/>
        <w:rPr>
          <w:rFonts w:ascii="黑体" w:eastAsia="黑体" w:cs="黑体"/>
          <w:sz w:val="20"/>
          <w:szCs w:val="20"/>
        </w:rPr>
      </w:pPr>
    </w:p>
    <w:p w14:paraId="7CC87686">
      <w:pPr>
        <w:pStyle w:val="14"/>
        <w:kinsoku w:val="0"/>
        <w:overflowPunct w:val="0"/>
        <w:spacing w:line="300" w:lineRule="auto"/>
        <w:contextualSpacing/>
        <w:rPr>
          <w:rFonts w:ascii="黑体" w:eastAsia="黑体" w:cs="黑体"/>
          <w:sz w:val="20"/>
          <w:szCs w:val="20"/>
        </w:rPr>
      </w:pPr>
    </w:p>
    <w:p w14:paraId="3177FB20">
      <w:pPr>
        <w:pStyle w:val="14"/>
        <w:kinsoku w:val="0"/>
        <w:overflowPunct w:val="0"/>
        <w:spacing w:line="300" w:lineRule="auto"/>
        <w:contextualSpacing/>
        <w:rPr>
          <w:rFonts w:ascii="黑体" w:eastAsia="黑体" w:cs="黑体"/>
          <w:sz w:val="20"/>
          <w:szCs w:val="20"/>
        </w:rPr>
      </w:pPr>
    </w:p>
    <w:p w14:paraId="3E357A2A">
      <w:pPr>
        <w:pStyle w:val="14"/>
        <w:kinsoku w:val="0"/>
        <w:overflowPunct w:val="0"/>
        <w:spacing w:line="300" w:lineRule="auto"/>
        <w:ind w:right="-7"/>
        <w:contextualSpacing/>
        <w:jc w:val="center"/>
        <w:rPr>
          <w:rFonts w:ascii="Microsoft JhengHei" w:eastAsia="Microsoft JhengHei" w:cs="Microsoft JhengHei"/>
          <w:b/>
          <w:bCs/>
          <w:sz w:val="55"/>
          <w:szCs w:val="55"/>
        </w:rPr>
      </w:pPr>
    </w:p>
    <w:p w14:paraId="249C6A36">
      <w:pPr>
        <w:pStyle w:val="14"/>
        <w:kinsoku w:val="0"/>
        <w:overflowPunct w:val="0"/>
        <w:spacing w:line="300" w:lineRule="auto"/>
        <w:ind w:right="-7"/>
        <w:contextualSpacing/>
        <w:jc w:val="center"/>
        <w:rPr>
          <w:rFonts w:hint="eastAsia" w:ascii="黑体" w:hAnsi="黑体" w:eastAsia="黑体" w:cs="Microsoft JhengHei"/>
          <w:b/>
          <w:bCs/>
          <w:sz w:val="44"/>
          <w:szCs w:val="44"/>
        </w:rPr>
      </w:pPr>
      <w:r>
        <w:rPr>
          <w:rFonts w:hint="eastAsia" w:ascii="黑体" w:hAnsi="黑体" w:eastAsia="黑体" w:cs="Microsoft JhengHei"/>
          <w:b/>
          <w:bCs/>
          <w:sz w:val="44"/>
          <w:szCs w:val="44"/>
        </w:rPr>
        <w:t>盐城市公安局盐城经济技术开发区分局城乡交通提升优化项目（区际防控圈建设）方案设计</w:t>
      </w:r>
    </w:p>
    <w:p w14:paraId="1FA36200">
      <w:pPr>
        <w:pStyle w:val="14"/>
        <w:kinsoku w:val="0"/>
        <w:overflowPunct w:val="0"/>
        <w:spacing w:line="300" w:lineRule="auto"/>
        <w:contextualSpacing/>
        <w:rPr>
          <w:rFonts w:ascii="Microsoft JhengHei" w:eastAsia="Microsoft JhengHei" w:cs="Microsoft JhengHei"/>
          <w:b/>
          <w:bCs/>
          <w:sz w:val="20"/>
          <w:szCs w:val="20"/>
        </w:rPr>
      </w:pPr>
    </w:p>
    <w:p w14:paraId="59F35F4F">
      <w:pPr>
        <w:pStyle w:val="14"/>
        <w:kinsoku w:val="0"/>
        <w:overflowPunct w:val="0"/>
        <w:spacing w:line="300" w:lineRule="auto"/>
        <w:contextualSpacing/>
        <w:rPr>
          <w:rFonts w:ascii="Microsoft JhengHei" w:eastAsia="Microsoft JhengHei" w:cs="Microsoft JhengHei"/>
          <w:b/>
          <w:bCs/>
          <w:sz w:val="20"/>
          <w:szCs w:val="20"/>
        </w:rPr>
      </w:pPr>
    </w:p>
    <w:p w14:paraId="689C3436">
      <w:pPr>
        <w:pStyle w:val="14"/>
        <w:kinsoku w:val="0"/>
        <w:overflowPunct w:val="0"/>
        <w:spacing w:line="300" w:lineRule="auto"/>
        <w:contextualSpacing/>
        <w:rPr>
          <w:rFonts w:ascii="Microsoft JhengHei" w:eastAsia="Microsoft JhengHei" w:cs="Microsoft JhengHei"/>
          <w:b/>
          <w:bCs/>
          <w:sz w:val="20"/>
          <w:szCs w:val="20"/>
        </w:rPr>
      </w:pPr>
    </w:p>
    <w:p w14:paraId="4B8BE5A4">
      <w:pPr>
        <w:pStyle w:val="14"/>
        <w:kinsoku w:val="0"/>
        <w:overflowPunct w:val="0"/>
        <w:spacing w:line="300" w:lineRule="auto"/>
        <w:contextualSpacing/>
        <w:rPr>
          <w:rFonts w:ascii="Microsoft JhengHei" w:eastAsia="Microsoft JhengHei" w:cs="Microsoft JhengHei"/>
          <w:b/>
          <w:bCs/>
          <w:sz w:val="20"/>
          <w:szCs w:val="20"/>
        </w:rPr>
      </w:pPr>
    </w:p>
    <w:p w14:paraId="50F59F3E">
      <w:pPr>
        <w:pStyle w:val="14"/>
        <w:kinsoku w:val="0"/>
        <w:overflowPunct w:val="0"/>
        <w:spacing w:before="15" w:line="300" w:lineRule="auto"/>
        <w:contextualSpacing/>
        <w:rPr>
          <w:rFonts w:ascii="Microsoft JhengHei" w:eastAsia="Microsoft JhengHei" w:cs="Microsoft JhengHei"/>
          <w:b/>
          <w:bCs/>
          <w:sz w:val="28"/>
          <w:szCs w:val="28"/>
        </w:rPr>
      </w:pPr>
    </w:p>
    <w:p w14:paraId="79EADF1E">
      <w:pPr>
        <w:pStyle w:val="14"/>
        <w:kinsoku w:val="0"/>
        <w:overflowPunct w:val="0"/>
        <w:spacing w:before="233" w:line="300" w:lineRule="auto"/>
        <w:ind w:right="-7"/>
        <w:contextualSpacing/>
        <w:jc w:val="center"/>
        <w:rPr>
          <w:rFonts w:ascii="黑体" w:eastAsia="黑体" w:cs="黑体"/>
          <w:sz w:val="28"/>
          <w:szCs w:val="28"/>
        </w:rPr>
      </w:pPr>
      <w:r>
        <w:rPr>
          <w:rFonts w:hint="eastAsia" w:ascii="黑体" w:eastAsia="黑体" w:cs="黑体"/>
          <w:sz w:val="28"/>
          <w:szCs w:val="28"/>
        </w:rPr>
        <w:t>建设单位：</w:t>
      </w:r>
      <w:r>
        <w:rPr>
          <w:rFonts w:hint="eastAsia" w:ascii="黑体" w:hAnsi="黑体" w:eastAsia="黑体" w:cs="Times New Roman"/>
          <w:sz w:val="28"/>
          <w:szCs w:val="28"/>
        </w:rPr>
        <w:t>盐城市公安局经济技术开发区分局</w:t>
      </w:r>
    </w:p>
    <w:p w14:paraId="427E7AAF">
      <w:pPr>
        <w:pStyle w:val="14"/>
        <w:kinsoku w:val="0"/>
        <w:overflowPunct w:val="0"/>
        <w:spacing w:before="233" w:line="300" w:lineRule="auto"/>
        <w:ind w:right="-7"/>
        <w:contextualSpacing/>
        <w:jc w:val="center"/>
        <w:rPr>
          <w:rFonts w:ascii="黑体" w:eastAsia="黑体" w:cs="黑体"/>
          <w:sz w:val="28"/>
          <w:szCs w:val="28"/>
        </w:rPr>
      </w:pPr>
      <w:r>
        <w:rPr>
          <w:rFonts w:hint="eastAsia" w:ascii="黑体" w:eastAsia="黑体" w:cs="黑体"/>
          <w:sz w:val="28"/>
          <w:szCs w:val="28"/>
        </w:rPr>
        <w:t>设计单位：南京捷途科技发展有限公司</w:t>
      </w:r>
    </w:p>
    <w:p w14:paraId="09355DED">
      <w:pPr>
        <w:pStyle w:val="14"/>
        <w:kinsoku w:val="0"/>
        <w:overflowPunct w:val="0"/>
        <w:spacing w:line="300" w:lineRule="auto"/>
        <w:contextualSpacing/>
        <w:rPr>
          <w:rFonts w:ascii="黑体" w:eastAsia="黑体" w:cs="黑体"/>
          <w:sz w:val="28"/>
          <w:szCs w:val="28"/>
        </w:rPr>
      </w:pPr>
    </w:p>
    <w:p w14:paraId="5F60F21C">
      <w:pPr>
        <w:pStyle w:val="14"/>
        <w:kinsoku w:val="0"/>
        <w:overflowPunct w:val="0"/>
        <w:spacing w:line="300" w:lineRule="auto"/>
        <w:contextualSpacing/>
        <w:rPr>
          <w:rFonts w:ascii="黑体" w:eastAsia="黑体" w:cs="黑体"/>
          <w:sz w:val="28"/>
          <w:szCs w:val="28"/>
        </w:rPr>
      </w:pPr>
    </w:p>
    <w:p w14:paraId="25351209">
      <w:pPr>
        <w:pStyle w:val="14"/>
        <w:kinsoku w:val="0"/>
        <w:overflowPunct w:val="0"/>
        <w:spacing w:line="300" w:lineRule="auto"/>
        <w:contextualSpacing/>
        <w:rPr>
          <w:rFonts w:ascii="黑体" w:eastAsia="黑体" w:cs="黑体"/>
          <w:sz w:val="28"/>
          <w:szCs w:val="28"/>
        </w:rPr>
      </w:pPr>
    </w:p>
    <w:p w14:paraId="0001B266">
      <w:pPr>
        <w:pStyle w:val="14"/>
        <w:kinsoku w:val="0"/>
        <w:overflowPunct w:val="0"/>
        <w:spacing w:line="300" w:lineRule="auto"/>
        <w:contextualSpacing/>
        <w:rPr>
          <w:rFonts w:ascii="黑体" w:eastAsia="黑体" w:cs="黑体"/>
          <w:sz w:val="28"/>
          <w:szCs w:val="28"/>
        </w:rPr>
      </w:pPr>
    </w:p>
    <w:p w14:paraId="5C259F56">
      <w:pPr>
        <w:pStyle w:val="14"/>
        <w:kinsoku w:val="0"/>
        <w:overflowPunct w:val="0"/>
        <w:spacing w:line="300" w:lineRule="auto"/>
        <w:contextualSpacing/>
        <w:rPr>
          <w:rFonts w:ascii="黑体" w:eastAsia="黑体" w:cs="黑体"/>
          <w:sz w:val="28"/>
          <w:szCs w:val="28"/>
        </w:rPr>
      </w:pPr>
    </w:p>
    <w:p w14:paraId="2A5E8D7F">
      <w:pPr>
        <w:pStyle w:val="14"/>
        <w:kinsoku w:val="0"/>
        <w:overflowPunct w:val="0"/>
        <w:spacing w:line="300" w:lineRule="auto"/>
        <w:contextualSpacing/>
        <w:rPr>
          <w:rFonts w:ascii="黑体" w:eastAsia="黑体" w:cs="黑体"/>
          <w:sz w:val="28"/>
          <w:szCs w:val="28"/>
        </w:rPr>
      </w:pPr>
    </w:p>
    <w:p w14:paraId="08670E04">
      <w:pPr>
        <w:pStyle w:val="14"/>
        <w:kinsoku w:val="0"/>
        <w:overflowPunct w:val="0"/>
        <w:spacing w:line="300" w:lineRule="auto"/>
        <w:contextualSpacing/>
        <w:rPr>
          <w:rFonts w:ascii="黑体" w:eastAsia="黑体" w:cs="黑体"/>
          <w:sz w:val="28"/>
          <w:szCs w:val="28"/>
        </w:rPr>
      </w:pPr>
    </w:p>
    <w:p w14:paraId="749170DD">
      <w:pPr>
        <w:pStyle w:val="14"/>
        <w:kinsoku w:val="0"/>
        <w:overflowPunct w:val="0"/>
        <w:spacing w:before="9" w:line="300" w:lineRule="auto"/>
        <w:contextualSpacing/>
        <w:rPr>
          <w:rFonts w:ascii="黑体" w:eastAsia="黑体" w:cs="黑体"/>
          <w:sz w:val="22"/>
          <w:szCs w:val="22"/>
        </w:rPr>
      </w:pPr>
    </w:p>
    <w:p w14:paraId="2499C32B">
      <w:pPr>
        <w:ind w:firstLine="643"/>
        <w:contextualSpacing/>
        <w:jc w:val="center"/>
        <w:rPr>
          <w:rFonts w:hint="eastAsia" w:ascii="宋体" w:hAnsi="宋体" w:cs="Microsoft JhengHei"/>
          <w:b/>
          <w:bCs/>
          <w:sz w:val="32"/>
          <w:szCs w:val="32"/>
        </w:rPr>
      </w:pPr>
      <w:r>
        <w:rPr>
          <w:rFonts w:hint="eastAsia" w:ascii="宋体" w:hAnsi="宋体" w:cs="Microsoft JhengHei"/>
          <w:b/>
          <w:bCs/>
          <w:sz w:val="32"/>
          <w:szCs w:val="32"/>
        </w:rPr>
        <w:t>南京捷途科技发展有限公司</w:t>
      </w:r>
    </w:p>
    <w:p w14:paraId="46BFDF67">
      <w:pPr>
        <w:ind w:firstLine="562"/>
        <w:contextualSpacing/>
        <w:jc w:val="center"/>
        <w:rPr>
          <w:b/>
          <w:sz w:val="28"/>
        </w:rPr>
      </w:pPr>
      <w:r>
        <w:rPr>
          <w:rFonts w:hint="eastAsia"/>
          <w:b/>
          <w:sz w:val="28"/>
        </w:rPr>
        <w:t>2025</w:t>
      </w:r>
      <w:r>
        <w:rPr>
          <w:b/>
          <w:sz w:val="28"/>
        </w:rPr>
        <w:t xml:space="preserve"> </w:t>
      </w:r>
      <w:r>
        <w:rPr>
          <w:rFonts w:hint="eastAsia"/>
          <w:b/>
          <w:sz w:val="28"/>
        </w:rPr>
        <w:t>年</w:t>
      </w:r>
      <w:r>
        <w:rPr>
          <w:b/>
          <w:sz w:val="28"/>
        </w:rPr>
        <w:t xml:space="preserve"> 5 </w:t>
      </w:r>
      <w:r>
        <w:rPr>
          <w:rFonts w:hint="eastAsia"/>
          <w:b/>
          <w:sz w:val="28"/>
        </w:rPr>
        <w:t>月</w:t>
      </w:r>
    </w:p>
    <w:p w14:paraId="49EA5FF6">
      <w:pPr>
        <w:ind w:firstLine="0" w:firstLineChars="0"/>
        <w:contextualSpacing/>
        <w:rPr>
          <w:b/>
          <w:sz w:val="28"/>
        </w:rPr>
      </w:pPr>
    </w:p>
    <w:p w14:paraId="3F704FA3">
      <w:pPr>
        <w:pStyle w:val="14"/>
        <w:kinsoku w:val="0"/>
        <w:overflowPunct w:val="0"/>
        <w:spacing w:before="202" w:line="300" w:lineRule="auto"/>
        <w:ind w:left="115"/>
        <w:contextualSpacing/>
        <w:rPr>
          <w:sz w:val="28"/>
        </w:rPr>
        <w:sectPr>
          <w:pgSz w:w="11900" w:h="16840"/>
          <w:pgMar w:top="1460" w:right="1559" w:bottom="280" w:left="1559" w:header="720" w:footer="720" w:gutter="0"/>
          <w:cols w:equalWidth="0" w:num="1">
            <w:col w:w="9041"/>
          </w:cols>
        </w:sectPr>
      </w:pPr>
    </w:p>
    <w:p w14:paraId="52ABEFF0">
      <w:pPr>
        <w:pStyle w:val="14"/>
        <w:kinsoku w:val="0"/>
        <w:overflowPunct w:val="0"/>
        <w:spacing w:line="300" w:lineRule="auto"/>
        <w:contextualSpacing/>
        <w:rPr>
          <w:sz w:val="20"/>
          <w:szCs w:val="20"/>
        </w:rPr>
      </w:pPr>
    </w:p>
    <w:p w14:paraId="2920AE38">
      <w:pPr>
        <w:pStyle w:val="14"/>
        <w:kinsoku w:val="0"/>
        <w:overflowPunct w:val="0"/>
        <w:spacing w:line="300" w:lineRule="auto"/>
        <w:contextualSpacing/>
        <w:rPr>
          <w:sz w:val="20"/>
          <w:szCs w:val="20"/>
        </w:rPr>
      </w:pPr>
    </w:p>
    <w:p w14:paraId="65C860A0">
      <w:pPr>
        <w:pStyle w:val="14"/>
        <w:kinsoku w:val="0"/>
        <w:overflowPunct w:val="0"/>
        <w:spacing w:line="300" w:lineRule="auto"/>
        <w:contextualSpacing/>
        <w:rPr>
          <w:sz w:val="20"/>
          <w:szCs w:val="20"/>
        </w:rPr>
      </w:pPr>
    </w:p>
    <w:p w14:paraId="532FC280">
      <w:pPr>
        <w:pStyle w:val="14"/>
        <w:kinsoku w:val="0"/>
        <w:overflowPunct w:val="0"/>
        <w:spacing w:line="300" w:lineRule="auto"/>
        <w:contextualSpacing/>
        <w:rPr>
          <w:sz w:val="20"/>
          <w:szCs w:val="20"/>
        </w:rPr>
      </w:pPr>
    </w:p>
    <w:p w14:paraId="6A458350">
      <w:pPr>
        <w:pStyle w:val="14"/>
        <w:kinsoku w:val="0"/>
        <w:overflowPunct w:val="0"/>
        <w:spacing w:line="300" w:lineRule="auto"/>
        <w:contextualSpacing/>
        <w:rPr>
          <w:sz w:val="20"/>
          <w:szCs w:val="20"/>
        </w:rPr>
      </w:pPr>
    </w:p>
    <w:p w14:paraId="07CB739A">
      <w:pPr>
        <w:pStyle w:val="14"/>
        <w:kinsoku w:val="0"/>
        <w:overflowPunct w:val="0"/>
        <w:spacing w:line="300" w:lineRule="auto"/>
        <w:contextualSpacing/>
        <w:rPr>
          <w:sz w:val="20"/>
          <w:szCs w:val="20"/>
        </w:rPr>
      </w:pPr>
    </w:p>
    <w:p w14:paraId="231E7EC3">
      <w:pPr>
        <w:pStyle w:val="14"/>
        <w:kinsoku w:val="0"/>
        <w:overflowPunct w:val="0"/>
        <w:spacing w:before="12" w:line="300" w:lineRule="auto"/>
        <w:contextualSpacing/>
        <w:rPr>
          <w:sz w:val="29"/>
          <w:szCs w:val="29"/>
        </w:rPr>
      </w:pPr>
    </w:p>
    <w:p w14:paraId="2412C8EC">
      <w:pPr>
        <w:pStyle w:val="14"/>
        <w:kinsoku w:val="0"/>
        <w:overflowPunct w:val="0"/>
        <w:spacing w:line="300" w:lineRule="auto"/>
        <w:ind w:right="-7"/>
        <w:contextualSpacing/>
        <w:jc w:val="center"/>
        <w:rPr>
          <w:rFonts w:ascii="Microsoft JhengHei" w:eastAsia="Microsoft JhengHei" w:cs="Microsoft JhengHei"/>
          <w:b/>
          <w:bCs/>
          <w:sz w:val="55"/>
          <w:szCs w:val="55"/>
        </w:rPr>
      </w:pPr>
    </w:p>
    <w:p w14:paraId="7FB2BC5B">
      <w:pPr>
        <w:pStyle w:val="14"/>
        <w:kinsoku w:val="0"/>
        <w:overflowPunct w:val="0"/>
        <w:spacing w:line="300" w:lineRule="auto"/>
        <w:ind w:right="-7"/>
        <w:contextualSpacing/>
        <w:jc w:val="center"/>
        <w:rPr>
          <w:rFonts w:hint="eastAsia" w:ascii="黑体" w:hAnsi="黑体" w:eastAsia="黑体" w:cs="Microsoft JhengHei"/>
          <w:b/>
          <w:bCs/>
          <w:sz w:val="44"/>
          <w:szCs w:val="44"/>
        </w:rPr>
      </w:pPr>
      <w:r>
        <w:rPr>
          <w:rFonts w:hint="eastAsia" w:ascii="黑体" w:hAnsi="黑体" w:eastAsia="黑体" w:cs="Microsoft JhengHei"/>
          <w:b/>
          <w:bCs/>
          <w:sz w:val="44"/>
          <w:szCs w:val="44"/>
        </w:rPr>
        <w:t>盐城市公安局盐城经济技术开发区分局城乡交通提升优化项目（区际防控圈建设）方案设计</w:t>
      </w:r>
    </w:p>
    <w:p w14:paraId="51C434C0">
      <w:pPr>
        <w:pStyle w:val="14"/>
        <w:kinsoku w:val="0"/>
        <w:overflowPunct w:val="0"/>
        <w:spacing w:line="300" w:lineRule="auto"/>
        <w:contextualSpacing/>
        <w:rPr>
          <w:rFonts w:ascii="Microsoft JhengHei" w:cs="Microsoft JhengHei"/>
          <w:b/>
          <w:bCs/>
          <w:sz w:val="52"/>
          <w:szCs w:val="52"/>
        </w:rPr>
      </w:pPr>
    </w:p>
    <w:p w14:paraId="7FB1D082">
      <w:pPr>
        <w:pStyle w:val="14"/>
        <w:kinsoku w:val="0"/>
        <w:overflowPunct w:val="0"/>
        <w:spacing w:line="300" w:lineRule="auto"/>
        <w:contextualSpacing/>
        <w:rPr>
          <w:rFonts w:ascii="Microsoft JhengHei" w:cs="Microsoft JhengHei"/>
          <w:b/>
          <w:bCs/>
          <w:sz w:val="52"/>
          <w:szCs w:val="52"/>
        </w:rPr>
      </w:pPr>
    </w:p>
    <w:p w14:paraId="63990356">
      <w:pPr>
        <w:ind w:firstLine="2158" w:firstLineChars="771"/>
        <w:contextualSpacing/>
        <w:rPr>
          <w:rFonts w:eastAsia="黑体"/>
          <w:sz w:val="28"/>
          <w:szCs w:val="28"/>
        </w:rPr>
      </w:pPr>
      <w:r>
        <w:rPr>
          <w:rFonts w:eastAsia="黑体"/>
          <w:sz w:val="28"/>
          <w:szCs w:val="28"/>
        </w:rPr>
        <w:t xml:space="preserve">总    经    理： </w:t>
      </w:r>
      <w:r>
        <w:rPr>
          <w:rFonts w:hint="eastAsia" w:eastAsia="黑体"/>
          <w:sz w:val="28"/>
          <w:szCs w:val="28"/>
        </w:rPr>
        <w:t>周海俊</w:t>
      </w:r>
    </w:p>
    <w:p w14:paraId="0021DAAE">
      <w:pPr>
        <w:ind w:firstLine="2158" w:firstLineChars="771"/>
        <w:contextualSpacing/>
        <w:rPr>
          <w:rFonts w:eastAsia="黑体"/>
          <w:sz w:val="28"/>
          <w:szCs w:val="28"/>
        </w:rPr>
      </w:pPr>
      <w:r>
        <w:rPr>
          <w:rFonts w:eastAsia="黑体"/>
          <w:sz w:val="28"/>
          <w:szCs w:val="28"/>
        </w:rPr>
        <w:t xml:space="preserve">总  工  程  师： </w:t>
      </w:r>
      <w:r>
        <w:rPr>
          <w:rFonts w:hint="eastAsia" w:eastAsia="黑体"/>
          <w:sz w:val="28"/>
          <w:szCs w:val="28"/>
        </w:rPr>
        <w:t>朱振营</w:t>
      </w:r>
    </w:p>
    <w:p w14:paraId="2DCEEFEC">
      <w:pPr>
        <w:ind w:firstLine="2157" w:firstLineChars="642"/>
        <w:contextualSpacing/>
        <w:rPr>
          <w:rFonts w:eastAsia="黑体"/>
          <w:sz w:val="28"/>
          <w:szCs w:val="28"/>
        </w:rPr>
      </w:pPr>
      <w:r>
        <w:rPr>
          <w:rFonts w:eastAsia="黑体"/>
          <w:spacing w:val="28"/>
          <w:sz w:val="28"/>
          <w:szCs w:val="28"/>
        </w:rPr>
        <w:t>项目</w:t>
      </w:r>
      <w:r>
        <w:rPr>
          <w:rFonts w:hint="eastAsia" w:eastAsia="黑体"/>
          <w:spacing w:val="28"/>
          <w:sz w:val="28"/>
          <w:szCs w:val="28"/>
        </w:rPr>
        <w:t>总</w:t>
      </w:r>
      <w:r>
        <w:rPr>
          <w:rFonts w:eastAsia="黑体"/>
          <w:spacing w:val="28"/>
          <w:sz w:val="28"/>
          <w:szCs w:val="28"/>
        </w:rPr>
        <w:t>负责</w:t>
      </w:r>
      <w:r>
        <w:rPr>
          <w:rFonts w:eastAsia="黑体"/>
          <w:sz w:val="28"/>
          <w:szCs w:val="28"/>
        </w:rPr>
        <w:t>人</w:t>
      </w:r>
      <w:r>
        <w:rPr>
          <w:rFonts w:hint="eastAsia" w:eastAsia="黑体"/>
          <w:sz w:val="28"/>
          <w:szCs w:val="28"/>
        </w:rPr>
        <w:t>：</w:t>
      </w:r>
      <w:r>
        <w:rPr>
          <w:rFonts w:eastAsia="黑体"/>
          <w:sz w:val="28"/>
          <w:szCs w:val="28"/>
        </w:rPr>
        <w:t xml:space="preserve"> </w:t>
      </w:r>
      <w:r>
        <w:rPr>
          <w:rFonts w:hint="eastAsia" w:eastAsia="黑体"/>
          <w:sz w:val="28"/>
          <w:szCs w:val="28"/>
        </w:rPr>
        <w:t>陈丽莉</w:t>
      </w:r>
    </w:p>
    <w:p w14:paraId="76D6F8BD">
      <w:pPr>
        <w:ind w:firstLine="2158" w:firstLineChars="771"/>
        <w:contextualSpacing/>
        <w:rPr>
          <w:rFonts w:eastAsia="黑体"/>
          <w:sz w:val="28"/>
          <w:szCs w:val="28"/>
        </w:rPr>
      </w:pPr>
      <w:r>
        <w:rPr>
          <w:rFonts w:eastAsia="黑体"/>
          <w:sz w:val="28"/>
          <w:szCs w:val="28"/>
        </w:rPr>
        <w:t xml:space="preserve">审    定    人： </w:t>
      </w:r>
      <w:r>
        <w:rPr>
          <w:rFonts w:hint="eastAsia" w:eastAsia="黑体"/>
          <w:sz w:val="28"/>
          <w:szCs w:val="28"/>
        </w:rPr>
        <w:t>陈丽莉</w:t>
      </w:r>
    </w:p>
    <w:p w14:paraId="3011683E">
      <w:pPr>
        <w:ind w:firstLine="2158" w:firstLineChars="771"/>
        <w:contextualSpacing/>
        <w:rPr>
          <w:rFonts w:eastAsia="黑体"/>
          <w:sz w:val="28"/>
          <w:szCs w:val="28"/>
        </w:rPr>
      </w:pPr>
      <w:r>
        <w:rPr>
          <w:rFonts w:eastAsia="黑体"/>
          <w:sz w:val="28"/>
          <w:szCs w:val="28"/>
        </w:rPr>
        <w:t xml:space="preserve">审    核    人： </w:t>
      </w:r>
      <w:r>
        <w:rPr>
          <w:rFonts w:hint="eastAsia" w:eastAsia="黑体"/>
          <w:sz w:val="28"/>
          <w:szCs w:val="28"/>
        </w:rPr>
        <w:t>任东亮</w:t>
      </w:r>
    </w:p>
    <w:p w14:paraId="26D8D67C">
      <w:pPr>
        <w:ind w:firstLine="2158" w:firstLineChars="771"/>
        <w:contextualSpacing/>
        <w:rPr>
          <w:rFonts w:eastAsia="黑体"/>
          <w:sz w:val="28"/>
          <w:szCs w:val="28"/>
        </w:rPr>
      </w:pPr>
      <w:r>
        <w:rPr>
          <w:rFonts w:eastAsia="黑体"/>
          <w:sz w:val="28"/>
          <w:szCs w:val="28"/>
        </w:rPr>
        <w:t>设</w:t>
      </w:r>
      <w:r>
        <w:rPr>
          <w:rFonts w:hint="eastAsia" w:eastAsia="黑体"/>
          <w:sz w:val="28"/>
          <w:szCs w:val="28"/>
        </w:rPr>
        <w:t xml:space="preserve"> </w:t>
      </w:r>
      <w:r>
        <w:rPr>
          <w:rFonts w:eastAsia="黑体"/>
          <w:sz w:val="28"/>
          <w:szCs w:val="28"/>
        </w:rPr>
        <w:t xml:space="preserve"> 计</w:t>
      </w:r>
      <w:r>
        <w:rPr>
          <w:rFonts w:hint="eastAsia" w:eastAsia="黑体"/>
          <w:sz w:val="28"/>
          <w:szCs w:val="28"/>
        </w:rPr>
        <w:t xml:space="preserve"> </w:t>
      </w:r>
      <w:r>
        <w:rPr>
          <w:rFonts w:eastAsia="黑体"/>
          <w:sz w:val="28"/>
          <w:szCs w:val="28"/>
        </w:rPr>
        <w:t xml:space="preserve"> </w:t>
      </w:r>
      <w:r>
        <w:rPr>
          <w:rFonts w:hint="eastAsia" w:eastAsia="黑体"/>
          <w:sz w:val="28"/>
          <w:szCs w:val="28"/>
        </w:rPr>
        <w:t>人  员</w:t>
      </w:r>
      <w:r>
        <w:rPr>
          <w:rFonts w:eastAsia="黑体"/>
          <w:sz w:val="28"/>
          <w:szCs w:val="28"/>
        </w:rPr>
        <w:t>：</w:t>
      </w:r>
      <w:r>
        <w:rPr>
          <w:rFonts w:hint="eastAsia" w:eastAsia="黑体"/>
          <w:sz w:val="28"/>
          <w:szCs w:val="28"/>
        </w:rPr>
        <w:t xml:space="preserve"> 王雨</w:t>
      </w:r>
    </w:p>
    <w:p w14:paraId="67A92338">
      <w:pPr>
        <w:pStyle w:val="59"/>
        <w:adjustRightInd w:val="0"/>
        <w:snapToGrid w:val="0"/>
        <w:spacing w:before="0"/>
        <w:jc w:val="left"/>
        <w:rPr>
          <w:rFonts w:hint="eastAsia" w:ascii="微软雅黑" w:hAnsi="微软雅黑" w:eastAsia="微软雅黑"/>
          <w:b w:val="0"/>
          <w:color w:val="BFBFBF"/>
          <w:sz w:val="21"/>
        </w:rPr>
      </w:pPr>
    </w:p>
    <w:p w14:paraId="5EB902D1">
      <w:pPr>
        <w:pStyle w:val="59"/>
        <w:adjustRightInd w:val="0"/>
        <w:snapToGrid w:val="0"/>
        <w:spacing w:before="0"/>
        <w:jc w:val="left"/>
        <w:rPr>
          <w:rFonts w:hint="eastAsia" w:ascii="微软雅黑" w:hAnsi="微软雅黑" w:eastAsia="微软雅黑"/>
          <w:b w:val="0"/>
          <w:color w:val="BFBFBF"/>
          <w:sz w:val="21"/>
        </w:rPr>
      </w:pPr>
    </w:p>
    <w:p w14:paraId="7AAE0635">
      <w:pPr>
        <w:pStyle w:val="59"/>
        <w:adjustRightInd w:val="0"/>
        <w:snapToGrid w:val="0"/>
        <w:spacing w:before="0"/>
        <w:jc w:val="left"/>
        <w:rPr>
          <w:rFonts w:hint="eastAsia" w:ascii="微软雅黑" w:hAnsi="微软雅黑" w:eastAsia="微软雅黑"/>
          <w:b w:val="0"/>
          <w:color w:val="BFBFBF"/>
          <w:sz w:val="21"/>
        </w:rPr>
      </w:pPr>
    </w:p>
    <w:p w14:paraId="013109E2">
      <w:pPr>
        <w:pStyle w:val="59"/>
        <w:adjustRightInd w:val="0"/>
        <w:snapToGrid w:val="0"/>
        <w:spacing w:before="0"/>
        <w:jc w:val="left"/>
        <w:rPr>
          <w:rFonts w:hint="eastAsia" w:ascii="微软雅黑" w:hAnsi="微软雅黑" w:eastAsia="微软雅黑"/>
          <w:b w:val="0"/>
          <w:color w:val="BFBFBF"/>
          <w:sz w:val="21"/>
        </w:rPr>
      </w:pPr>
    </w:p>
    <w:p w14:paraId="5154C27F">
      <w:pPr>
        <w:pStyle w:val="59"/>
        <w:adjustRightInd w:val="0"/>
        <w:snapToGrid w:val="0"/>
        <w:spacing w:before="0"/>
        <w:jc w:val="left"/>
        <w:rPr>
          <w:rFonts w:hint="eastAsia" w:ascii="微软雅黑" w:hAnsi="微软雅黑" w:eastAsia="微软雅黑"/>
          <w:b w:val="0"/>
          <w:color w:val="BFBFBF"/>
          <w:sz w:val="21"/>
        </w:rPr>
        <w:sectPr>
          <w:headerReference r:id="rId5" w:type="default"/>
          <w:footerReference r:id="rId6" w:type="default"/>
          <w:footerReference r:id="rId7" w:type="even"/>
          <w:pgSz w:w="11907" w:h="16840"/>
          <w:pgMar w:top="1701" w:right="1418" w:bottom="1418" w:left="1418" w:header="1134" w:footer="1021" w:gutter="0"/>
          <w:pgNumType w:fmt="lowerRoman"/>
          <w:cols w:space="425" w:num="1"/>
          <w:docGrid w:linePitch="381" w:charSpace="0"/>
        </w:sectPr>
      </w:pPr>
    </w:p>
    <w:p w14:paraId="3BB66019">
      <w:pPr>
        <w:pStyle w:val="59"/>
      </w:pPr>
      <w:r>
        <w:rPr>
          <w:rFonts w:hint="eastAsia"/>
        </w:rPr>
        <w:t>目   录</w:t>
      </w:r>
    </w:p>
    <w:p w14:paraId="00398E8D">
      <w:pPr>
        <w:pStyle w:val="23"/>
        <w:rPr>
          <w:rFonts w:asciiTheme="minorHAnsi" w:hAnsiTheme="minorHAnsi" w:eastAsiaTheme="minorEastAsia" w:cstheme="minorBidi"/>
          <w:caps w:val="0"/>
          <w:color w:val="auto"/>
          <w:kern w:val="2"/>
          <w:sz w:val="21"/>
          <w:szCs w:val="22"/>
        </w:rPr>
      </w:pPr>
      <w:r>
        <w:fldChar w:fldCharType="begin"/>
      </w:r>
      <w:r>
        <w:rPr>
          <w:rFonts w:hint="eastAsia"/>
        </w:rPr>
        <w:instrText xml:space="preserve"> TOC \o "1-3" \h \z \u</w:instrText>
      </w:r>
      <w:r>
        <w:instrText xml:space="preserve"> </w:instrText>
      </w:r>
      <w:r>
        <w:fldChar w:fldCharType="separate"/>
      </w:r>
      <w:r>
        <w:fldChar w:fldCharType="begin"/>
      </w:r>
      <w:r>
        <w:instrText xml:space="preserve"> HYPERLINK \l "_Toc166686061" </w:instrText>
      </w:r>
      <w:r>
        <w:fldChar w:fldCharType="separate"/>
      </w:r>
      <w:r>
        <w:rPr>
          <w:rStyle w:val="35"/>
        </w:rPr>
        <w:t>一、设计说明</w:t>
      </w:r>
      <w:r>
        <w:tab/>
      </w:r>
      <w:r>
        <w:fldChar w:fldCharType="begin"/>
      </w:r>
      <w:r>
        <w:instrText xml:space="preserve"> PAGEREF _Toc166686061 \h </w:instrText>
      </w:r>
      <w:r>
        <w:fldChar w:fldCharType="separate"/>
      </w:r>
      <w:r>
        <w:t>4</w:t>
      </w:r>
      <w:r>
        <w:fldChar w:fldCharType="end"/>
      </w:r>
      <w:r>
        <w:fldChar w:fldCharType="end"/>
      </w:r>
    </w:p>
    <w:p w14:paraId="3B1E7736">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"_Toc166686062" </w:instrText>
      </w:r>
      <w:r>
        <w:fldChar w:fldCharType="separate"/>
      </w:r>
      <w:r>
        <w:rPr>
          <w:rStyle w:val="35"/>
        </w:rPr>
        <w:t>1、 项目概述</w:t>
      </w:r>
      <w:r>
        <w:tab/>
      </w:r>
      <w:r>
        <w:fldChar w:fldCharType="begin"/>
      </w:r>
      <w:r>
        <w:instrText xml:space="preserve"> PAGEREF _Toc166686062 \h </w:instrText>
      </w:r>
      <w:r>
        <w:fldChar w:fldCharType="separate"/>
      </w:r>
      <w:r>
        <w:t>4</w:t>
      </w:r>
      <w:r>
        <w:fldChar w:fldCharType="end"/>
      </w:r>
      <w:r>
        <w:fldChar w:fldCharType="end"/>
      </w:r>
    </w:p>
    <w:p w14:paraId="1AD0311B">
      <w:pPr>
        <w:pStyle w:val="17"/>
        <w:rPr>
          <w:rFonts w:asciiTheme="minorHAnsi" w:hAnsiTheme="minorHAnsi" w:eastAsiaTheme="minorEastAsia" w:cstheme="minorBidi"/>
          <w:smallCaps w:val="0"/>
          <w:kern w:val="2"/>
          <w:sz w:val="21"/>
          <w:szCs w:val="22"/>
        </w:rPr>
      </w:pPr>
      <w:r>
        <w:fldChar w:fldCharType="begin"/>
      </w:r>
      <w:r>
        <w:instrText xml:space="preserve"> HYPERLINK \l "_Toc166686063" </w:instrText>
      </w:r>
      <w:r>
        <w:fldChar w:fldCharType="separate"/>
      </w:r>
      <w:r>
        <w:rPr>
          <w:rStyle w:val="35"/>
        </w:rPr>
        <w:t>1.1 项目背景</w:t>
      </w:r>
      <w:r>
        <w:tab/>
      </w:r>
      <w:r>
        <w:fldChar w:fldCharType="begin"/>
      </w:r>
      <w:r>
        <w:instrText xml:space="preserve"> PAGEREF _Toc166686063 \h </w:instrText>
      </w:r>
      <w:r>
        <w:fldChar w:fldCharType="separate"/>
      </w:r>
      <w:r>
        <w:t>4</w:t>
      </w:r>
      <w:r>
        <w:fldChar w:fldCharType="end"/>
      </w:r>
      <w:r>
        <w:fldChar w:fldCharType="end"/>
      </w:r>
    </w:p>
    <w:p w14:paraId="3FF89C8B">
      <w:pPr>
        <w:pStyle w:val="17"/>
        <w:rPr>
          <w:rFonts w:asciiTheme="minorHAnsi" w:hAnsiTheme="minorHAnsi" w:eastAsiaTheme="minorEastAsia" w:cstheme="minorBidi"/>
          <w:smallCaps w:val="0"/>
          <w:kern w:val="2"/>
          <w:sz w:val="21"/>
          <w:szCs w:val="22"/>
        </w:rPr>
      </w:pPr>
      <w:r>
        <w:fldChar w:fldCharType="begin"/>
      </w:r>
      <w:r>
        <w:instrText xml:space="preserve"> HYPERLINK \l "_Toc166686064" </w:instrText>
      </w:r>
      <w:r>
        <w:fldChar w:fldCharType="separate"/>
      </w:r>
      <w:r>
        <w:rPr>
          <w:rStyle w:val="35"/>
        </w:rPr>
        <w:t>1.2 项目建设单位</w:t>
      </w:r>
      <w:r>
        <w:tab/>
      </w:r>
      <w:r>
        <w:fldChar w:fldCharType="begin"/>
      </w:r>
      <w:r>
        <w:instrText xml:space="preserve"> PAGEREF _Toc166686064 \h </w:instrText>
      </w:r>
      <w:r>
        <w:fldChar w:fldCharType="separate"/>
      </w:r>
      <w:r>
        <w:t>4</w:t>
      </w:r>
      <w:r>
        <w:fldChar w:fldCharType="end"/>
      </w:r>
      <w:r>
        <w:fldChar w:fldCharType="end"/>
      </w:r>
    </w:p>
    <w:p w14:paraId="3F9A6221">
      <w:pPr>
        <w:pStyle w:val="17"/>
        <w:rPr>
          <w:rFonts w:asciiTheme="minorHAnsi" w:hAnsiTheme="minorHAnsi" w:eastAsiaTheme="minorEastAsia" w:cstheme="minorBidi"/>
          <w:smallCaps w:val="0"/>
          <w:kern w:val="2"/>
          <w:sz w:val="21"/>
          <w:szCs w:val="22"/>
        </w:rPr>
      </w:pPr>
      <w:r>
        <w:fldChar w:fldCharType="begin"/>
      </w:r>
      <w:r>
        <w:instrText xml:space="preserve"> HYPERLINK \l "_Toc166686065" </w:instrText>
      </w:r>
      <w:r>
        <w:fldChar w:fldCharType="separate"/>
      </w:r>
      <w:r>
        <w:rPr>
          <w:rStyle w:val="35"/>
        </w:rPr>
        <w:t>1.3 设计方案编制单位</w:t>
      </w:r>
      <w:r>
        <w:tab/>
      </w:r>
      <w:r>
        <w:fldChar w:fldCharType="begin"/>
      </w:r>
      <w:r>
        <w:instrText xml:space="preserve"> PAGEREF _Toc166686065 \h </w:instrText>
      </w:r>
      <w:r>
        <w:fldChar w:fldCharType="separate"/>
      </w:r>
      <w:r>
        <w:t>4</w:t>
      </w:r>
      <w:r>
        <w:fldChar w:fldCharType="end"/>
      </w:r>
      <w:r>
        <w:fldChar w:fldCharType="end"/>
      </w:r>
    </w:p>
    <w:p w14:paraId="20B35977">
      <w:pPr>
        <w:pStyle w:val="17"/>
        <w:rPr>
          <w:rFonts w:asciiTheme="minorHAnsi" w:hAnsiTheme="minorHAnsi" w:eastAsiaTheme="minorEastAsia" w:cstheme="minorBidi"/>
          <w:smallCaps w:val="0"/>
          <w:kern w:val="2"/>
          <w:sz w:val="21"/>
          <w:szCs w:val="22"/>
        </w:rPr>
      </w:pPr>
      <w:r>
        <w:fldChar w:fldCharType="begin"/>
      </w:r>
      <w:r>
        <w:instrText xml:space="preserve"> HYPERLINK \l "_Toc166686066" </w:instrText>
      </w:r>
      <w:r>
        <w:fldChar w:fldCharType="separate"/>
      </w:r>
      <w:r>
        <w:rPr>
          <w:rStyle w:val="35"/>
        </w:rPr>
        <w:t>1.4 设计编制依据</w:t>
      </w:r>
      <w:r>
        <w:tab/>
      </w:r>
      <w:r>
        <w:fldChar w:fldCharType="begin"/>
      </w:r>
      <w:r>
        <w:instrText xml:space="preserve"> PAGEREF _Toc166686066 \h </w:instrText>
      </w:r>
      <w:r>
        <w:fldChar w:fldCharType="separate"/>
      </w:r>
      <w:r>
        <w:t>4</w:t>
      </w:r>
      <w:r>
        <w:fldChar w:fldCharType="end"/>
      </w:r>
      <w:r>
        <w:fldChar w:fldCharType="end"/>
      </w:r>
    </w:p>
    <w:p w14:paraId="1B7BFD07">
      <w:pPr>
        <w:pStyle w:val="17"/>
        <w:rPr>
          <w:rFonts w:asciiTheme="minorHAnsi" w:hAnsiTheme="minorHAnsi" w:eastAsiaTheme="minorEastAsia" w:cstheme="minorBidi"/>
          <w:smallCaps w:val="0"/>
          <w:kern w:val="2"/>
          <w:sz w:val="21"/>
          <w:szCs w:val="22"/>
        </w:rPr>
      </w:pPr>
      <w:r>
        <w:fldChar w:fldCharType="begin"/>
      </w:r>
      <w:r>
        <w:instrText xml:space="preserve"> HYPERLINK \l "_Toc166686067" </w:instrText>
      </w:r>
      <w:r>
        <w:fldChar w:fldCharType="separate"/>
      </w:r>
      <w:r>
        <w:rPr>
          <w:rStyle w:val="35"/>
        </w:rPr>
        <w:t>1.5 项目建设目标及内容</w:t>
      </w:r>
      <w:r>
        <w:tab/>
      </w:r>
      <w:r>
        <w:fldChar w:fldCharType="begin"/>
      </w:r>
      <w:r>
        <w:instrText xml:space="preserve"> PAGEREF _Toc166686067 \h </w:instrText>
      </w:r>
      <w:r>
        <w:fldChar w:fldCharType="separate"/>
      </w:r>
      <w:r>
        <w:t>5</w:t>
      </w:r>
      <w:r>
        <w:fldChar w:fldCharType="end"/>
      </w:r>
      <w:r>
        <w:fldChar w:fldCharType="end"/>
      </w:r>
    </w:p>
    <w:p w14:paraId="7EA6C45D">
      <w:pPr>
        <w:pStyle w:val="16"/>
        <w:rPr>
          <w:rFonts w:asciiTheme="minorHAnsi" w:hAnsiTheme="minorHAnsi" w:eastAsiaTheme="minorEastAsia" w:cstheme="minorBidi"/>
          <w:smallCaps w:val="0"/>
          <w:kern w:val="2"/>
          <w:sz w:val="21"/>
          <w:szCs w:val="22"/>
        </w:rPr>
      </w:pPr>
      <w:r>
        <w:fldChar w:fldCharType="begin"/>
      </w:r>
      <w:r>
        <w:instrText xml:space="preserve"> HYPERLINK \l "_Toc166686068" </w:instrText>
      </w:r>
      <w:r>
        <w:fldChar w:fldCharType="separate"/>
      </w:r>
      <w:r>
        <w:rPr>
          <w:rStyle w:val="35"/>
        </w:rPr>
        <w:t>1.5.1 建设目标</w:t>
      </w:r>
      <w:r>
        <w:tab/>
      </w:r>
      <w:r>
        <w:fldChar w:fldCharType="begin"/>
      </w:r>
      <w:r>
        <w:instrText xml:space="preserve"> PAGEREF _Toc166686068 \h </w:instrText>
      </w:r>
      <w:r>
        <w:fldChar w:fldCharType="separate"/>
      </w:r>
      <w:r>
        <w:t>5</w:t>
      </w:r>
      <w:r>
        <w:fldChar w:fldCharType="end"/>
      </w:r>
      <w:r>
        <w:fldChar w:fldCharType="end"/>
      </w:r>
    </w:p>
    <w:p w14:paraId="5EC82748">
      <w:pPr>
        <w:pStyle w:val="16"/>
        <w:rPr>
          <w:rFonts w:asciiTheme="minorHAnsi" w:hAnsiTheme="minorHAnsi" w:eastAsiaTheme="minorEastAsia" w:cstheme="minorBidi"/>
          <w:smallCaps w:val="0"/>
          <w:kern w:val="2"/>
          <w:sz w:val="21"/>
          <w:szCs w:val="22"/>
        </w:rPr>
      </w:pPr>
      <w:r>
        <w:fldChar w:fldCharType="begin"/>
      </w:r>
      <w:r>
        <w:instrText xml:space="preserve"> HYPERLINK \l "_Toc166686069" </w:instrText>
      </w:r>
      <w:r>
        <w:fldChar w:fldCharType="separate"/>
      </w:r>
      <w:r>
        <w:rPr>
          <w:rStyle w:val="35"/>
        </w:rPr>
        <w:t>1.5.2 建设内容</w:t>
      </w:r>
      <w:r>
        <w:tab/>
      </w:r>
      <w:r>
        <w:fldChar w:fldCharType="begin"/>
      </w:r>
      <w:r>
        <w:instrText xml:space="preserve"> PAGEREF _Toc166686069 \h </w:instrText>
      </w:r>
      <w:r>
        <w:fldChar w:fldCharType="separate"/>
      </w:r>
      <w:r>
        <w:t>5</w:t>
      </w:r>
      <w:r>
        <w:fldChar w:fldCharType="end"/>
      </w:r>
      <w:r>
        <w:fldChar w:fldCharType="end"/>
      </w:r>
    </w:p>
    <w:p w14:paraId="3F97ECF8">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"_Toc166686070" </w:instrText>
      </w:r>
      <w:r>
        <w:fldChar w:fldCharType="separate"/>
      </w:r>
      <w:r>
        <w:rPr>
          <w:rStyle w:val="35"/>
        </w:rPr>
        <w:t>2、 项目建设需求分析</w:t>
      </w:r>
      <w:r>
        <w:tab/>
      </w:r>
      <w:r>
        <w:fldChar w:fldCharType="begin"/>
      </w:r>
      <w:r>
        <w:instrText xml:space="preserve"> PAGEREF _Toc166686070 \h </w:instrText>
      </w:r>
      <w:r>
        <w:fldChar w:fldCharType="separate"/>
      </w:r>
      <w:r>
        <w:t>7</w:t>
      </w:r>
      <w:r>
        <w:fldChar w:fldCharType="end"/>
      </w:r>
      <w:r>
        <w:fldChar w:fldCharType="end"/>
      </w:r>
    </w:p>
    <w:p w14:paraId="426AAA94">
      <w:pPr>
        <w:pStyle w:val="17"/>
        <w:rPr>
          <w:rFonts w:asciiTheme="minorHAnsi" w:hAnsiTheme="minorHAnsi" w:eastAsiaTheme="minorEastAsia" w:cstheme="minorBidi"/>
          <w:smallCaps w:val="0"/>
          <w:kern w:val="2"/>
          <w:sz w:val="21"/>
          <w:szCs w:val="22"/>
        </w:rPr>
      </w:pPr>
      <w:r>
        <w:fldChar w:fldCharType="begin"/>
      </w:r>
      <w:r>
        <w:instrText xml:space="preserve"> HYPERLINK \l "_Toc166686071" </w:instrText>
      </w:r>
      <w:r>
        <w:fldChar w:fldCharType="separate"/>
      </w:r>
      <w:r>
        <w:rPr>
          <w:rStyle w:val="35"/>
        </w:rPr>
        <w:t>2.1 前端建设需求</w:t>
      </w:r>
      <w:r>
        <w:tab/>
      </w:r>
      <w:r>
        <w:fldChar w:fldCharType="begin"/>
      </w:r>
      <w:r>
        <w:instrText xml:space="preserve"> PAGEREF _Toc166686071 \h </w:instrText>
      </w:r>
      <w:r>
        <w:fldChar w:fldCharType="separate"/>
      </w:r>
      <w:r>
        <w:t>7</w:t>
      </w:r>
      <w:r>
        <w:fldChar w:fldCharType="end"/>
      </w:r>
      <w:r>
        <w:fldChar w:fldCharType="end"/>
      </w:r>
    </w:p>
    <w:p w14:paraId="111ECA5B">
      <w:pPr>
        <w:pStyle w:val="17"/>
        <w:rPr>
          <w:rFonts w:asciiTheme="minorHAnsi" w:hAnsiTheme="minorHAnsi" w:eastAsiaTheme="minorEastAsia" w:cstheme="minorBidi"/>
          <w:smallCaps w:val="0"/>
          <w:kern w:val="2"/>
          <w:sz w:val="21"/>
          <w:szCs w:val="22"/>
        </w:rPr>
      </w:pPr>
      <w:r>
        <w:fldChar w:fldCharType="begin"/>
      </w:r>
      <w:r>
        <w:instrText xml:space="preserve"> HYPERLINK \l "_Toc166686072" </w:instrText>
      </w:r>
      <w:r>
        <w:fldChar w:fldCharType="separate"/>
      </w:r>
      <w:r>
        <w:rPr>
          <w:rStyle w:val="35"/>
        </w:rPr>
        <w:t>2.2 后端存储扩容</w:t>
      </w:r>
      <w:r>
        <w:tab/>
      </w:r>
      <w:r>
        <w:fldChar w:fldCharType="begin"/>
      </w:r>
      <w:r>
        <w:instrText xml:space="preserve"> PAGEREF _Toc166686072 \h </w:instrText>
      </w:r>
      <w:r>
        <w:fldChar w:fldCharType="separate"/>
      </w:r>
      <w:r>
        <w:t>7</w:t>
      </w:r>
      <w:r>
        <w:fldChar w:fldCharType="end"/>
      </w:r>
      <w:r>
        <w:fldChar w:fldCharType="end"/>
      </w:r>
    </w:p>
    <w:p w14:paraId="6545CFAF">
      <w:pPr>
        <w:pStyle w:val="17"/>
        <w:rPr>
          <w:rFonts w:asciiTheme="minorHAnsi" w:hAnsiTheme="minorHAnsi" w:eastAsiaTheme="minorEastAsia" w:cstheme="minorBidi"/>
          <w:smallCaps w:val="0"/>
          <w:kern w:val="2"/>
          <w:sz w:val="21"/>
          <w:szCs w:val="22"/>
        </w:rPr>
      </w:pPr>
      <w:r>
        <w:fldChar w:fldCharType="begin"/>
      </w:r>
      <w:r>
        <w:instrText xml:space="preserve"> HYPERLINK \l "_Toc166686073" </w:instrText>
      </w:r>
      <w:r>
        <w:fldChar w:fldCharType="separate"/>
      </w:r>
      <w:r>
        <w:rPr>
          <w:rStyle w:val="35"/>
        </w:rPr>
        <w:t>2.3 网络传输配套</w:t>
      </w:r>
      <w:r>
        <w:tab/>
      </w:r>
      <w:r>
        <w:fldChar w:fldCharType="begin"/>
      </w:r>
      <w:r>
        <w:instrText xml:space="preserve"> PAGEREF _Toc166686073 \h </w:instrText>
      </w:r>
      <w:r>
        <w:fldChar w:fldCharType="separate"/>
      </w:r>
      <w:r>
        <w:t>9</w:t>
      </w:r>
      <w:r>
        <w:fldChar w:fldCharType="end"/>
      </w:r>
      <w:r>
        <w:fldChar w:fldCharType="end"/>
      </w:r>
    </w:p>
    <w:p w14:paraId="423D697B">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"_Toc166686074" </w:instrText>
      </w:r>
      <w:r>
        <w:fldChar w:fldCharType="separate"/>
      </w:r>
      <w:r>
        <w:rPr>
          <w:rStyle w:val="35"/>
        </w:rPr>
        <w:t>3、 详细设计方案</w:t>
      </w:r>
      <w:r>
        <w:tab/>
      </w:r>
      <w:r>
        <w:fldChar w:fldCharType="begin"/>
      </w:r>
      <w:r>
        <w:instrText xml:space="preserve"> PAGEREF _Toc166686074 \h </w:instrText>
      </w:r>
      <w:r>
        <w:fldChar w:fldCharType="separate"/>
      </w:r>
      <w:r>
        <w:t>10</w:t>
      </w:r>
      <w:r>
        <w:fldChar w:fldCharType="end"/>
      </w:r>
      <w:r>
        <w:fldChar w:fldCharType="end"/>
      </w:r>
    </w:p>
    <w:p w14:paraId="490465A8">
      <w:pPr>
        <w:pStyle w:val="17"/>
        <w:rPr>
          <w:rFonts w:asciiTheme="minorHAnsi" w:hAnsiTheme="minorHAnsi" w:eastAsiaTheme="minorEastAsia" w:cstheme="minorBidi"/>
          <w:smallCaps w:val="0"/>
          <w:kern w:val="2"/>
          <w:sz w:val="21"/>
          <w:szCs w:val="22"/>
        </w:rPr>
      </w:pPr>
      <w:r>
        <w:fldChar w:fldCharType="begin"/>
      </w:r>
      <w:r>
        <w:instrText xml:space="preserve"> HYPERLINK \l "_Toc166686075" </w:instrText>
      </w:r>
      <w:r>
        <w:fldChar w:fldCharType="separate"/>
      </w:r>
      <w:r>
        <w:rPr>
          <w:rStyle w:val="35"/>
        </w:rPr>
        <w:t>3.1 建设思路</w:t>
      </w:r>
      <w:r>
        <w:tab/>
      </w:r>
      <w:r>
        <w:fldChar w:fldCharType="begin"/>
      </w:r>
      <w:r>
        <w:instrText xml:space="preserve"> PAGEREF _Toc166686075 \h </w:instrText>
      </w:r>
      <w:r>
        <w:fldChar w:fldCharType="separate"/>
      </w:r>
      <w:r>
        <w:t>10</w:t>
      </w:r>
      <w:r>
        <w:fldChar w:fldCharType="end"/>
      </w:r>
      <w:r>
        <w:fldChar w:fldCharType="end"/>
      </w:r>
    </w:p>
    <w:p w14:paraId="48BCACEE">
      <w:pPr>
        <w:pStyle w:val="17"/>
        <w:rPr>
          <w:rFonts w:asciiTheme="minorHAnsi" w:hAnsiTheme="minorHAnsi" w:eastAsiaTheme="minorEastAsia" w:cstheme="minorBidi"/>
          <w:smallCaps w:val="0"/>
          <w:kern w:val="2"/>
          <w:sz w:val="21"/>
          <w:szCs w:val="22"/>
        </w:rPr>
      </w:pPr>
      <w:r>
        <w:fldChar w:fldCharType="begin"/>
      </w:r>
      <w:r>
        <w:instrText xml:space="preserve"> HYPERLINK \l "_Toc166686076" </w:instrText>
      </w:r>
      <w:r>
        <w:fldChar w:fldCharType="separate"/>
      </w:r>
      <w:r>
        <w:rPr>
          <w:rStyle w:val="35"/>
        </w:rPr>
        <w:t>3.2 前端建设</w:t>
      </w:r>
      <w:r>
        <w:tab/>
      </w:r>
      <w:r>
        <w:fldChar w:fldCharType="begin"/>
      </w:r>
      <w:r>
        <w:instrText xml:space="preserve"> PAGEREF _Toc166686076 \h </w:instrText>
      </w:r>
      <w:r>
        <w:fldChar w:fldCharType="separate"/>
      </w:r>
      <w:r>
        <w:t>13</w:t>
      </w:r>
      <w:r>
        <w:fldChar w:fldCharType="end"/>
      </w:r>
      <w:r>
        <w:fldChar w:fldCharType="end"/>
      </w:r>
    </w:p>
    <w:p w14:paraId="09430A92">
      <w:pPr>
        <w:pStyle w:val="16"/>
        <w:rPr>
          <w:rFonts w:asciiTheme="minorHAnsi" w:hAnsiTheme="minorHAnsi" w:eastAsiaTheme="minorEastAsia" w:cstheme="minorBidi"/>
          <w:smallCaps w:val="0"/>
          <w:kern w:val="2"/>
          <w:sz w:val="21"/>
          <w:szCs w:val="22"/>
        </w:rPr>
      </w:pPr>
      <w:r>
        <w:fldChar w:fldCharType="begin"/>
      </w:r>
      <w:r>
        <w:instrText xml:space="preserve"> HYPERLINK \l "_Toc166686077" </w:instrText>
      </w:r>
      <w:r>
        <w:fldChar w:fldCharType="separate"/>
      </w:r>
      <w:r>
        <w:rPr>
          <w:rStyle w:val="35"/>
        </w:rPr>
        <w:t>3.2.1 视频监控</w:t>
      </w:r>
      <w:r>
        <w:tab/>
      </w:r>
      <w:r>
        <w:fldChar w:fldCharType="begin"/>
      </w:r>
      <w:r>
        <w:instrText xml:space="preserve"> PAGEREF _Toc166686077 \h </w:instrText>
      </w:r>
      <w:r>
        <w:fldChar w:fldCharType="separate"/>
      </w:r>
      <w:r>
        <w:t>13</w:t>
      </w:r>
      <w:r>
        <w:fldChar w:fldCharType="end"/>
      </w:r>
      <w:r>
        <w:fldChar w:fldCharType="end"/>
      </w:r>
    </w:p>
    <w:p w14:paraId="6BF929ED">
      <w:pPr>
        <w:pStyle w:val="16"/>
        <w:rPr>
          <w:rFonts w:asciiTheme="minorHAnsi" w:hAnsiTheme="minorHAnsi" w:eastAsiaTheme="minorEastAsia" w:cstheme="minorBidi"/>
          <w:smallCaps w:val="0"/>
          <w:kern w:val="2"/>
          <w:sz w:val="21"/>
          <w:szCs w:val="22"/>
        </w:rPr>
      </w:pPr>
      <w:r>
        <w:fldChar w:fldCharType="begin"/>
      </w:r>
      <w:r>
        <w:instrText xml:space="preserve"> HYPERLINK \l "_Toc166686078" </w:instrText>
      </w:r>
      <w:r>
        <w:fldChar w:fldCharType="separate"/>
      </w:r>
      <w:r>
        <w:rPr>
          <w:rStyle w:val="35"/>
        </w:rPr>
        <w:t>3.2.2 人脸抓拍场景</w:t>
      </w:r>
      <w:r>
        <w:tab/>
      </w:r>
      <w:r>
        <w:fldChar w:fldCharType="begin"/>
      </w:r>
      <w:r>
        <w:instrText xml:space="preserve"> PAGEREF _Toc166686078 \h </w:instrText>
      </w:r>
      <w:r>
        <w:fldChar w:fldCharType="separate"/>
      </w:r>
      <w:r>
        <w:t>14</w:t>
      </w:r>
      <w:r>
        <w:fldChar w:fldCharType="end"/>
      </w:r>
      <w:r>
        <w:fldChar w:fldCharType="end"/>
      </w:r>
    </w:p>
    <w:p w14:paraId="50CA4D5A">
      <w:pPr>
        <w:pStyle w:val="16"/>
        <w:rPr>
          <w:rFonts w:asciiTheme="minorHAnsi" w:hAnsiTheme="minorHAnsi" w:eastAsiaTheme="minorEastAsia" w:cstheme="minorBidi"/>
          <w:smallCaps w:val="0"/>
          <w:kern w:val="2"/>
          <w:sz w:val="21"/>
          <w:szCs w:val="22"/>
        </w:rPr>
      </w:pPr>
      <w:r>
        <w:fldChar w:fldCharType="begin"/>
      </w:r>
      <w:r>
        <w:instrText xml:space="preserve"> HYPERLINK \l "_Toc166686079" </w:instrText>
      </w:r>
      <w:r>
        <w:fldChar w:fldCharType="separate"/>
      </w:r>
      <w:r>
        <w:rPr>
          <w:rStyle w:val="35"/>
        </w:rPr>
        <w:t>3.2.3 人车混行抓拍场景</w:t>
      </w:r>
      <w:r>
        <w:tab/>
      </w:r>
      <w:r>
        <w:fldChar w:fldCharType="begin"/>
      </w:r>
      <w:r>
        <w:instrText xml:space="preserve"> PAGEREF _Toc166686079 \h </w:instrText>
      </w:r>
      <w:r>
        <w:fldChar w:fldCharType="separate"/>
      </w:r>
      <w:r>
        <w:t>15</w:t>
      </w:r>
      <w:r>
        <w:fldChar w:fldCharType="end"/>
      </w:r>
      <w:r>
        <w:fldChar w:fldCharType="end"/>
      </w:r>
    </w:p>
    <w:p w14:paraId="7C065108">
      <w:pPr>
        <w:pStyle w:val="16"/>
        <w:rPr>
          <w:rFonts w:asciiTheme="minorHAnsi" w:hAnsiTheme="minorHAnsi" w:eastAsiaTheme="minorEastAsia" w:cstheme="minorBidi"/>
          <w:smallCaps w:val="0"/>
          <w:kern w:val="2"/>
          <w:sz w:val="21"/>
          <w:szCs w:val="22"/>
        </w:rPr>
      </w:pPr>
      <w:r>
        <w:fldChar w:fldCharType="begin"/>
      </w:r>
      <w:r>
        <w:instrText xml:space="preserve"> HYPERLINK \l "_Toc166686080" </w:instrText>
      </w:r>
      <w:r>
        <w:fldChar w:fldCharType="separate"/>
      </w:r>
      <w:r>
        <w:rPr>
          <w:rStyle w:val="35"/>
        </w:rPr>
        <w:t>3.2.4 车辆抓拍系统</w:t>
      </w:r>
      <w:r>
        <w:tab/>
      </w:r>
      <w:r>
        <w:fldChar w:fldCharType="begin"/>
      </w:r>
      <w:r>
        <w:instrText xml:space="preserve"> PAGEREF _Toc166686080 \h </w:instrText>
      </w:r>
      <w:r>
        <w:fldChar w:fldCharType="separate"/>
      </w:r>
      <w:r>
        <w:t>16</w:t>
      </w:r>
      <w:r>
        <w:fldChar w:fldCharType="end"/>
      </w:r>
      <w:r>
        <w:fldChar w:fldCharType="end"/>
      </w:r>
    </w:p>
    <w:p w14:paraId="195F89DC">
      <w:pPr>
        <w:pStyle w:val="16"/>
        <w:rPr>
          <w:rFonts w:asciiTheme="minorHAnsi" w:hAnsiTheme="minorHAnsi" w:eastAsiaTheme="minorEastAsia" w:cstheme="minorBidi"/>
          <w:smallCaps w:val="0"/>
          <w:kern w:val="2"/>
          <w:sz w:val="21"/>
          <w:szCs w:val="22"/>
        </w:rPr>
      </w:pPr>
      <w:r>
        <w:fldChar w:fldCharType="begin"/>
      </w:r>
      <w:r>
        <w:instrText xml:space="preserve"> HYPERLINK \l "_Toc166686081" </w:instrText>
      </w:r>
      <w:r>
        <w:fldChar w:fldCharType="separate"/>
      </w:r>
      <w:r>
        <w:rPr>
          <w:rStyle w:val="35"/>
        </w:rPr>
        <w:t>3.2.5 前端建设明细</w:t>
      </w:r>
      <w:r>
        <w:tab/>
      </w:r>
      <w:r>
        <w:fldChar w:fldCharType="begin"/>
      </w:r>
      <w:r>
        <w:instrText xml:space="preserve"> PAGEREF _Toc166686081 \h </w:instrText>
      </w:r>
      <w:r>
        <w:fldChar w:fldCharType="separate"/>
      </w:r>
      <w:r>
        <w:t>16</w:t>
      </w:r>
      <w:r>
        <w:fldChar w:fldCharType="end"/>
      </w:r>
      <w:r>
        <w:fldChar w:fldCharType="end"/>
      </w:r>
    </w:p>
    <w:p w14:paraId="01386A68">
      <w:pPr>
        <w:pStyle w:val="16"/>
        <w:rPr>
          <w:rFonts w:asciiTheme="minorHAnsi" w:hAnsiTheme="minorHAnsi" w:eastAsiaTheme="minorEastAsia" w:cstheme="minorBidi"/>
          <w:smallCaps w:val="0"/>
          <w:kern w:val="2"/>
          <w:sz w:val="21"/>
          <w:szCs w:val="22"/>
        </w:rPr>
      </w:pPr>
      <w:r>
        <w:fldChar w:fldCharType="begin"/>
      </w:r>
      <w:r>
        <w:instrText xml:space="preserve"> HYPERLINK \l "_Toc166686082" </w:instrText>
      </w:r>
      <w:r>
        <w:fldChar w:fldCharType="separate"/>
      </w:r>
      <w:r>
        <w:rPr>
          <w:rStyle w:val="35"/>
        </w:rPr>
        <w:t>3.2.6 前端配套</w:t>
      </w:r>
      <w:r>
        <w:tab/>
      </w:r>
      <w:r>
        <w:fldChar w:fldCharType="begin"/>
      </w:r>
      <w:r>
        <w:instrText xml:space="preserve"> PAGEREF _Toc166686082 \h </w:instrText>
      </w:r>
      <w:r>
        <w:fldChar w:fldCharType="separate"/>
      </w:r>
      <w:r>
        <w:t>18</w:t>
      </w:r>
      <w:r>
        <w:fldChar w:fldCharType="end"/>
      </w:r>
      <w:r>
        <w:fldChar w:fldCharType="end"/>
      </w:r>
    </w:p>
    <w:p w14:paraId="6C56D512">
      <w:pPr>
        <w:pStyle w:val="16"/>
        <w:rPr>
          <w:rFonts w:asciiTheme="minorHAnsi" w:hAnsiTheme="minorHAnsi" w:eastAsiaTheme="minorEastAsia" w:cstheme="minorBidi"/>
          <w:smallCaps w:val="0"/>
          <w:kern w:val="2"/>
          <w:sz w:val="21"/>
          <w:szCs w:val="22"/>
        </w:rPr>
      </w:pPr>
      <w:r>
        <w:fldChar w:fldCharType="begin"/>
      </w:r>
      <w:r>
        <w:instrText xml:space="preserve"> HYPERLINK \l "_Toc166686083" </w:instrText>
      </w:r>
      <w:r>
        <w:fldChar w:fldCharType="separate"/>
      </w:r>
      <w:r>
        <w:rPr>
          <w:rStyle w:val="35"/>
        </w:rPr>
        <w:t>3.2.7 建设施工要求</w:t>
      </w:r>
      <w:r>
        <w:tab/>
      </w:r>
      <w:r>
        <w:fldChar w:fldCharType="begin"/>
      </w:r>
      <w:r>
        <w:instrText xml:space="preserve"> PAGEREF _Toc166686083 \h </w:instrText>
      </w:r>
      <w:r>
        <w:fldChar w:fldCharType="separate"/>
      </w:r>
      <w:r>
        <w:t>20</w:t>
      </w:r>
      <w:r>
        <w:fldChar w:fldCharType="end"/>
      </w:r>
      <w:r>
        <w:fldChar w:fldCharType="end"/>
      </w:r>
    </w:p>
    <w:p w14:paraId="5A3903B5">
      <w:pPr>
        <w:pStyle w:val="16"/>
        <w:rPr>
          <w:rFonts w:asciiTheme="minorHAnsi" w:hAnsiTheme="minorHAnsi" w:eastAsiaTheme="minorEastAsia" w:cstheme="minorBidi"/>
          <w:smallCaps w:val="0"/>
          <w:kern w:val="2"/>
          <w:sz w:val="21"/>
          <w:szCs w:val="22"/>
        </w:rPr>
      </w:pPr>
      <w:r>
        <w:fldChar w:fldCharType="begin"/>
      </w:r>
      <w:r>
        <w:instrText xml:space="preserve"> HYPERLINK \l "_Toc166686084" </w:instrText>
      </w:r>
      <w:r>
        <w:fldChar w:fldCharType="separate"/>
      </w:r>
      <w:r>
        <w:rPr>
          <w:rStyle w:val="35"/>
        </w:rPr>
        <w:t>3.2.8 建设示例</w:t>
      </w:r>
      <w:r>
        <w:tab/>
      </w:r>
      <w:r>
        <w:fldChar w:fldCharType="begin"/>
      </w:r>
      <w:r>
        <w:instrText xml:space="preserve"> PAGEREF _Toc166686084 \h </w:instrText>
      </w:r>
      <w:r>
        <w:fldChar w:fldCharType="separate"/>
      </w:r>
      <w:r>
        <w:t>21</w:t>
      </w:r>
      <w:r>
        <w:fldChar w:fldCharType="end"/>
      </w:r>
      <w:r>
        <w:fldChar w:fldCharType="end"/>
      </w:r>
    </w:p>
    <w:p w14:paraId="585018FC">
      <w:pPr>
        <w:pStyle w:val="17"/>
        <w:rPr>
          <w:rFonts w:asciiTheme="minorHAnsi" w:hAnsiTheme="minorHAnsi" w:eastAsiaTheme="minorEastAsia" w:cstheme="minorBidi"/>
          <w:smallCaps w:val="0"/>
          <w:kern w:val="2"/>
          <w:sz w:val="21"/>
          <w:szCs w:val="22"/>
        </w:rPr>
      </w:pPr>
      <w:r>
        <w:fldChar w:fldCharType="begin"/>
      </w:r>
      <w:r>
        <w:instrText xml:space="preserve"> HYPERLINK \l "_Toc166686085" </w:instrText>
      </w:r>
      <w:r>
        <w:fldChar w:fldCharType="separate"/>
      </w:r>
      <w:r>
        <w:rPr>
          <w:rStyle w:val="35"/>
        </w:rPr>
        <w:t>3.3 计算及存储扩容</w:t>
      </w:r>
      <w:r>
        <w:tab/>
      </w:r>
      <w:r>
        <w:fldChar w:fldCharType="begin"/>
      </w:r>
      <w:r>
        <w:instrText xml:space="preserve"> PAGEREF _Toc166686085 \h </w:instrText>
      </w:r>
      <w:r>
        <w:fldChar w:fldCharType="separate"/>
      </w:r>
      <w:r>
        <w:t>23</w:t>
      </w:r>
      <w:r>
        <w:fldChar w:fldCharType="end"/>
      </w:r>
      <w:r>
        <w:fldChar w:fldCharType="end"/>
      </w:r>
    </w:p>
    <w:p w14:paraId="13DB5A69">
      <w:pPr>
        <w:pStyle w:val="16"/>
        <w:rPr>
          <w:rFonts w:asciiTheme="minorHAnsi" w:hAnsiTheme="minorHAnsi" w:eastAsiaTheme="minorEastAsia" w:cstheme="minorBidi"/>
          <w:smallCaps w:val="0"/>
          <w:kern w:val="2"/>
          <w:sz w:val="21"/>
          <w:szCs w:val="22"/>
        </w:rPr>
      </w:pPr>
      <w:r>
        <w:fldChar w:fldCharType="begin"/>
      </w:r>
      <w:r>
        <w:instrText xml:space="preserve"> HYPERLINK \l "_Toc166686086" </w:instrText>
      </w:r>
      <w:r>
        <w:fldChar w:fldCharType="separate"/>
      </w:r>
      <w:r>
        <w:rPr>
          <w:rStyle w:val="35"/>
        </w:rPr>
        <w:t>3.3.1 存储扩容</w:t>
      </w:r>
      <w:r>
        <w:tab/>
      </w:r>
      <w:r>
        <w:fldChar w:fldCharType="begin"/>
      </w:r>
      <w:r>
        <w:instrText xml:space="preserve"> PAGEREF _Toc166686086 \h </w:instrText>
      </w:r>
      <w:r>
        <w:fldChar w:fldCharType="separate"/>
      </w:r>
      <w:r>
        <w:t>24</w:t>
      </w:r>
      <w:r>
        <w:fldChar w:fldCharType="end"/>
      </w:r>
      <w:r>
        <w:fldChar w:fldCharType="end"/>
      </w:r>
    </w:p>
    <w:p w14:paraId="61281FF8">
      <w:pPr>
        <w:pStyle w:val="17"/>
        <w:rPr>
          <w:rFonts w:asciiTheme="minorHAnsi" w:hAnsiTheme="minorHAnsi" w:eastAsiaTheme="minorEastAsia" w:cstheme="minorBidi"/>
          <w:smallCaps w:val="0"/>
          <w:kern w:val="2"/>
          <w:sz w:val="21"/>
          <w:szCs w:val="22"/>
        </w:rPr>
      </w:pPr>
      <w:r>
        <w:fldChar w:fldCharType="begin"/>
      </w:r>
      <w:r>
        <w:instrText xml:space="preserve"> HYPERLINK \l "_Toc166686087" </w:instrText>
      </w:r>
      <w:r>
        <w:fldChar w:fldCharType="separate"/>
      </w:r>
      <w:r>
        <w:rPr>
          <w:rStyle w:val="35"/>
        </w:rPr>
        <w:t>3.4 人脸识别系统建设</w:t>
      </w:r>
      <w:r>
        <w:tab/>
      </w:r>
      <w:r>
        <w:fldChar w:fldCharType="begin"/>
      </w:r>
      <w:r>
        <w:instrText xml:space="preserve"> PAGEREF _Toc166686087 \h </w:instrText>
      </w:r>
      <w:r>
        <w:fldChar w:fldCharType="separate"/>
      </w:r>
      <w:r>
        <w:t>25</w:t>
      </w:r>
      <w:r>
        <w:fldChar w:fldCharType="end"/>
      </w:r>
      <w:r>
        <w:fldChar w:fldCharType="end"/>
      </w:r>
    </w:p>
    <w:p w14:paraId="5B5F6547">
      <w:pPr>
        <w:pStyle w:val="16"/>
        <w:rPr>
          <w:rFonts w:asciiTheme="minorHAnsi" w:hAnsiTheme="minorHAnsi" w:eastAsiaTheme="minorEastAsia" w:cstheme="minorBidi"/>
          <w:smallCaps w:val="0"/>
          <w:kern w:val="2"/>
          <w:sz w:val="21"/>
          <w:szCs w:val="22"/>
        </w:rPr>
      </w:pPr>
      <w:r>
        <w:fldChar w:fldCharType="begin"/>
      </w:r>
      <w:r>
        <w:instrText xml:space="preserve"> HYPERLINK \l "_Toc166686088" </w:instrText>
      </w:r>
      <w:r>
        <w:fldChar w:fldCharType="separate"/>
      </w:r>
      <w:r>
        <w:rPr>
          <w:rStyle w:val="35"/>
        </w:rPr>
        <w:t>3.4.1 图像围栏L1/L2基础应用（公安网）</w:t>
      </w:r>
      <w:r>
        <w:tab/>
      </w:r>
      <w:r>
        <w:fldChar w:fldCharType="begin"/>
      </w:r>
      <w:r>
        <w:instrText xml:space="preserve"> PAGEREF _Toc166686088 \h </w:instrText>
      </w:r>
      <w:r>
        <w:fldChar w:fldCharType="separate"/>
      </w:r>
      <w:r>
        <w:t>26</w:t>
      </w:r>
      <w:r>
        <w:fldChar w:fldCharType="end"/>
      </w:r>
      <w:r>
        <w:fldChar w:fldCharType="end"/>
      </w:r>
    </w:p>
    <w:p w14:paraId="75BD3C1E">
      <w:pPr>
        <w:pStyle w:val="16"/>
        <w:rPr>
          <w:rFonts w:asciiTheme="minorHAnsi" w:hAnsiTheme="minorHAnsi" w:eastAsiaTheme="minorEastAsia" w:cstheme="minorBidi"/>
          <w:smallCaps w:val="0"/>
          <w:kern w:val="2"/>
          <w:sz w:val="21"/>
          <w:szCs w:val="22"/>
        </w:rPr>
      </w:pPr>
      <w:r>
        <w:fldChar w:fldCharType="begin"/>
      </w:r>
      <w:r>
        <w:instrText xml:space="preserve"> HYPERLINK \l "_Toc166686089" </w:instrText>
      </w:r>
      <w:r>
        <w:fldChar w:fldCharType="separate"/>
      </w:r>
      <w:r>
        <w:rPr>
          <w:rStyle w:val="35"/>
        </w:rPr>
        <w:t>3.4.2 图像围栏L3/L4大数据应用（公安网）</w:t>
      </w:r>
      <w:r>
        <w:tab/>
      </w:r>
      <w:r>
        <w:fldChar w:fldCharType="begin"/>
      </w:r>
      <w:r>
        <w:instrText xml:space="preserve"> PAGEREF _Toc166686089 \h </w:instrText>
      </w:r>
      <w:r>
        <w:fldChar w:fldCharType="separate"/>
      </w:r>
      <w:r>
        <w:t>26</w:t>
      </w:r>
      <w:r>
        <w:fldChar w:fldCharType="end"/>
      </w:r>
      <w:r>
        <w:fldChar w:fldCharType="end"/>
      </w:r>
    </w:p>
    <w:p w14:paraId="77B8373E">
      <w:pPr>
        <w:pStyle w:val="17"/>
        <w:rPr>
          <w:rFonts w:asciiTheme="minorHAnsi" w:hAnsiTheme="minorHAnsi" w:eastAsiaTheme="minorEastAsia" w:cstheme="minorBidi"/>
          <w:smallCaps w:val="0"/>
          <w:kern w:val="2"/>
          <w:sz w:val="21"/>
          <w:szCs w:val="22"/>
        </w:rPr>
      </w:pPr>
      <w:r>
        <w:fldChar w:fldCharType="begin"/>
      </w:r>
      <w:r>
        <w:instrText xml:space="preserve"> HYPERLINK \l "_Toc166686090" </w:instrText>
      </w:r>
      <w:r>
        <w:fldChar w:fldCharType="separate"/>
      </w:r>
      <w:r>
        <w:rPr>
          <w:rStyle w:val="35"/>
        </w:rPr>
        <w:t>3.5 网络安全</w:t>
      </w:r>
      <w:r>
        <w:tab/>
      </w:r>
      <w:r>
        <w:fldChar w:fldCharType="begin"/>
      </w:r>
      <w:r>
        <w:instrText xml:space="preserve"> PAGEREF _Toc166686090 \h </w:instrText>
      </w:r>
      <w:r>
        <w:fldChar w:fldCharType="separate"/>
      </w:r>
      <w:r>
        <w:t>27</w:t>
      </w:r>
      <w:r>
        <w:fldChar w:fldCharType="end"/>
      </w:r>
      <w:r>
        <w:fldChar w:fldCharType="end"/>
      </w:r>
    </w:p>
    <w:p w14:paraId="712C3889">
      <w:pPr>
        <w:pStyle w:val="16"/>
        <w:rPr>
          <w:rFonts w:asciiTheme="minorHAnsi" w:hAnsiTheme="minorHAnsi" w:eastAsiaTheme="minorEastAsia" w:cstheme="minorBidi"/>
          <w:smallCaps w:val="0"/>
          <w:kern w:val="2"/>
          <w:sz w:val="21"/>
          <w:szCs w:val="22"/>
        </w:rPr>
      </w:pPr>
      <w:r>
        <w:fldChar w:fldCharType="begin"/>
      </w:r>
      <w:r>
        <w:instrText xml:space="preserve"> HYPERLINK \l "_Toc166686091" </w:instrText>
      </w:r>
      <w:r>
        <w:fldChar w:fldCharType="separate"/>
      </w:r>
      <w:r>
        <w:rPr>
          <w:rStyle w:val="35"/>
        </w:rPr>
        <w:t>3.5.1 系统建设概述</w:t>
      </w:r>
      <w:r>
        <w:tab/>
      </w:r>
      <w:r>
        <w:fldChar w:fldCharType="begin"/>
      </w:r>
      <w:r>
        <w:instrText xml:space="preserve"> PAGEREF _Toc166686091 \h </w:instrText>
      </w:r>
      <w:r>
        <w:fldChar w:fldCharType="separate"/>
      </w:r>
      <w:r>
        <w:t>27</w:t>
      </w:r>
      <w:r>
        <w:fldChar w:fldCharType="end"/>
      </w:r>
      <w:r>
        <w:fldChar w:fldCharType="end"/>
      </w:r>
    </w:p>
    <w:p w14:paraId="4881D914">
      <w:pPr>
        <w:pStyle w:val="16"/>
        <w:rPr>
          <w:rFonts w:asciiTheme="minorHAnsi" w:hAnsiTheme="minorHAnsi" w:eastAsiaTheme="minorEastAsia" w:cstheme="minorBidi"/>
          <w:smallCaps w:val="0"/>
          <w:kern w:val="2"/>
          <w:sz w:val="21"/>
          <w:szCs w:val="22"/>
        </w:rPr>
      </w:pPr>
      <w:r>
        <w:fldChar w:fldCharType="begin"/>
      </w:r>
      <w:r>
        <w:instrText xml:space="preserve"> HYPERLINK \l "_Toc166686092" </w:instrText>
      </w:r>
      <w:r>
        <w:fldChar w:fldCharType="separate"/>
      </w:r>
      <w:r>
        <w:rPr>
          <w:rStyle w:val="35"/>
        </w:rPr>
        <w:t>3.5.2 安全域划分</w:t>
      </w:r>
      <w:r>
        <w:tab/>
      </w:r>
      <w:r>
        <w:fldChar w:fldCharType="begin"/>
      </w:r>
      <w:r>
        <w:instrText xml:space="preserve"> PAGEREF _Toc166686092 \h </w:instrText>
      </w:r>
      <w:r>
        <w:fldChar w:fldCharType="separate"/>
      </w:r>
      <w:r>
        <w:t>27</w:t>
      </w:r>
      <w:r>
        <w:fldChar w:fldCharType="end"/>
      </w:r>
      <w:r>
        <w:fldChar w:fldCharType="end"/>
      </w:r>
    </w:p>
    <w:p w14:paraId="3871B11A">
      <w:pPr>
        <w:pStyle w:val="16"/>
        <w:rPr>
          <w:rFonts w:asciiTheme="minorHAnsi" w:hAnsiTheme="minorHAnsi" w:eastAsiaTheme="minorEastAsia" w:cstheme="minorBidi"/>
          <w:smallCaps w:val="0"/>
          <w:kern w:val="2"/>
          <w:sz w:val="21"/>
          <w:szCs w:val="22"/>
        </w:rPr>
      </w:pPr>
      <w:r>
        <w:fldChar w:fldCharType="begin"/>
      </w:r>
      <w:r>
        <w:instrText xml:space="preserve"> HYPERLINK \l "_Toc166686093" </w:instrText>
      </w:r>
      <w:r>
        <w:fldChar w:fldCharType="separate"/>
      </w:r>
      <w:r>
        <w:rPr>
          <w:rStyle w:val="35"/>
        </w:rPr>
        <w:t>3.5.3 安全技术体系</w:t>
      </w:r>
      <w:r>
        <w:tab/>
      </w:r>
      <w:r>
        <w:fldChar w:fldCharType="begin"/>
      </w:r>
      <w:r>
        <w:instrText xml:space="preserve"> PAGEREF _Toc166686093 \h </w:instrText>
      </w:r>
      <w:r>
        <w:fldChar w:fldCharType="separate"/>
      </w:r>
      <w:r>
        <w:t>27</w:t>
      </w:r>
      <w:r>
        <w:fldChar w:fldCharType="end"/>
      </w:r>
      <w:r>
        <w:fldChar w:fldCharType="end"/>
      </w:r>
    </w:p>
    <w:p w14:paraId="7CA40E4E">
      <w:pPr>
        <w:pStyle w:val="17"/>
        <w:rPr>
          <w:rFonts w:asciiTheme="minorHAnsi" w:hAnsiTheme="minorHAnsi" w:eastAsiaTheme="minorEastAsia" w:cstheme="minorBidi"/>
          <w:smallCaps w:val="0"/>
          <w:kern w:val="2"/>
          <w:sz w:val="21"/>
          <w:szCs w:val="22"/>
        </w:rPr>
      </w:pPr>
      <w:r>
        <w:fldChar w:fldCharType="begin"/>
      </w:r>
      <w:r>
        <w:instrText xml:space="preserve"> HYPERLINK \l "_Toc166686094" </w:instrText>
      </w:r>
      <w:r>
        <w:fldChar w:fldCharType="separate"/>
      </w:r>
      <w:r>
        <w:rPr>
          <w:rStyle w:val="35"/>
        </w:rPr>
        <w:t>3.6 网络传输配套</w:t>
      </w:r>
      <w:r>
        <w:tab/>
      </w:r>
      <w:r>
        <w:fldChar w:fldCharType="begin"/>
      </w:r>
      <w:r>
        <w:instrText xml:space="preserve"> PAGEREF _Toc166686094 \h </w:instrText>
      </w:r>
      <w:r>
        <w:fldChar w:fldCharType="separate"/>
      </w:r>
      <w:r>
        <w:t>29</w:t>
      </w:r>
      <w:r>
        <w:fldChar w:fldCharType="end"/>
      </w:r>
      <w:r>
        <w:fldChar w:fldCharType="end"/>
      </w:r>
    </w:p>
    <w:p w14:paraId="3CC5BAB3">
      <w:pPr>
        <w:pStyle w:val="16"/>
        <w:rPr>
          <w:rFonts w:asciiTheme="minorHAnsi" w:hAnsiTheme="minorHAnsi" w:eastAsiaTheme="minorEastAsia" w:cstheme="minorBidi"/>
          <w:smallCaps w:val="0"/>
          <w:kern w:val="2"/>
          <w:sz w:val="21"/>
          <w:szCs w:val="22"/>
        </w:rPr>
      </w:pPr>
      <w:r>
        <w:fldChar w:fldCharType="begin"/>
      </w:r>
      <w:r>
        <w:instrText xml:space="preserve"> HYPERLINK \l "_Toc166686095" </w:instrText>
      </w:r>
      <w:r>
        <w:fldChar w:fldCharType="separate"/>
      </w:r>
      <w:r>
        <w:rPr>
          <w:rStyle w:val="35"/>
        </w:rPr>
        <w:t>3.6.1 建设内容</w:t>
      </w:r>
      <w:r>
        <w:tab/>
      </w:r>
      <w:r>
        <w:fldChar w:fldCharType="begin"/>
      </w:r>
      <w:r>
        <w:instrText xml:space="preserve"> PAGEREF _Toc166686095 \h </w:instrText>
      </w:r>
      <w:r>
        <w:fldChar w:fldCharType="separate"/>
      </w:r>
      <w:r>
        <w:t>29</w:t>
      </w:r>
      <w:r>
        <w:fldChar w:fldCharType="end"/>
      </w:r>
      <w:r>
        <w:fldChar w:fldCharType="end"/>
      </w:r>
    </w:p>
    <w:p w14:paraId="08984251">
      <w:pPr>
        <w:pStyle w:val="16"/>
        <w:rPr>
          <w:rFonts w:asciiTheme="minorHAnsi" w:hAnsiTheme="minorHAnsi" w:eastAsiaTheme="minorEastAsia" w:cstheme="minorBidi"/>
          <w:smallCaps w:val="0"/>
          <w:kern w:val="2"/>
          <w:sz w:val="21"/>
          <w:szCs w:val="22"/>
        </w:rPr>
      </w:pPr>
      <w:r>
        <w:fldChar w:fldCharType="begin"/>
      </w:r>
      <w:r>
        <w:instrText xml:space="preserve"> HYPERLINK \l "_Toc166686096" </w:instrText>
      </w:r>
      <w:r>
        <w:fldChar w:fldCharType="separate"/>
      </w:r>
      <w:r>
        <w:rPr>
          <w:rStyle w:val="35"/>
        </w:rPr>
        <w:t>3.6.2 建设方案</w:t>
      </w:r>
      <w:r>
        <w:tab/>
      </w:r>
      <w:r>
        <w:fldChar w:fldCharType="begin"/>
      </w:r>
      <w:r>
        <w:instrText xml:space="preserve"> PAGEREF _Toc166686096 \h </w:instrText>
      </w:r>
      <w:r>
        <w:fldChar w:fldCharType="separate"/>
      </w:r>
      <w:r>
        <w:t>30</w:t>
      </w:r>
      <w:r>
        <w:fldChar w:fldCharType="end"/>
      </w:r>
      <w:r>
        <w:fldChar w:fldCharType="end"/>
      </w:r>
    </w:p>
    <w:p w14:paraId="5434D65F">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"_Toc166686097" </w:instrText>
      </w:r>
      <w:r>
        <w:fldChar w:fldCharType="separate"/>
      </w:r>
      <w:r>
        <w:rPr>
          <w:rStyle w:val="35"/>
        </w:rPr>
        <w:t>4、 主要设备技术参数</w:t>
      </w:r>
      <w:r>
        <w:tab/>
      </w:r>
      <w:r>
        <w:fldChar w:fldCharType="begin"/>
      </w:r>
      <w:r>
        <w:instrText xml:space="preserve"> PAGEREF _Toc166686097 \h </w:instrText>
      </w:r>
      <w:r>
        <w:fldChar w:fldCharType="separate"/>
      </w:r>
      <w:r>
        <w:t>31</w:t>
      </w:r>
      <w:r>
        <w:fldChar w:fldCharType="end"/>
      </w:r>
      <w:r>
        <w:fldChar w:fldCharType="end"/>
      </w:r>
    </w:p>
    <w:p w14:paraId="0A10D627">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"_Toc166686098" </w:instrText>
      </w:r>
      <w:r>
        <w:fldChar w:fldCharType="separate"/>
      </w:r>
      <w:r>
        <w:rPr>
          <w:rStyle w:val="35"/>
        </w:rPr>
        <w:t>5、 项目建设与运行管理</w:t>
      </w:r>
      <w:r>
        <w:tab/>
      </w:r>
      <w:r>
        <w:fldChar w:fldCharType="begin"/>
      </w:r>
      <w:r>
        <w:instrText xml:space="preserve"> PAGEREF _Toc166686098 \h </w:instrText>
      </w:r>
      <w:r>
        <w:fldChar w:fldCharType="separate"/>
      </w:r>
      <w:r>
        <w:t>31</w:t>
      </w:r>
      <w:r>
        <w:fldChar w:fldCharType="end"/>
      </w:r>
      <w:r>
        <w:fldChar w:fldCharType="end"/>
      </w:r>
    </w:p>
    <w:p w14:paraId="42F44F43">
      <w:pPr>
        <w:pStyle w:val="17"/>
        <w:rPr>
          <w:rFonts w:asciiTheme="minorHAnsi" w:hAnsiTheme="minorHAnsi" w:eastAsiaTheme="minorEastAsia" w:cstheme="minorBidi"/>
          <w:smallCaps w:val="0"/>
          <w:kern w:val="2"/>
          <w:sz w:val="21"/>
          <w:szCs w:val="22"/>
        </w:rPr>
      </w:pPr>
      <w:r>
        <w:fldChar w:fldCharType="begin"/>
      </w:r>
      <w:r>
        <w:instrText xml:space="preserve"> HYPERLINK \l "_Toc166686099" </w:instrText>
      </w:r>
      <w:r>
        <w:fldChar w:fldCharType="separate"/>
      </w:r>
      <w:r>
        <w:rPr>
          <w:rStyle w:val="35"/>
        </w:rPr>
        <w:t>5.1 项目实施机构</w:t>
      </w:r>
      <w:r>
        <w:tab/>
      </w:r>
      <w:r>
        <w:fldChar w:fldCharType="begin"/>
      </w:r>
      <w:r>
        <w:instrText xml:space="preserve"> PAGEREF _Toc166686099 \h </w:instrText>
      </w:r>
      <w:r>
        <w:fldChar w:fldCharType="separate"/>
      </w:r>
      <w:r>
        <w:t>31</w:t>
      </w:r>
      <w:r>
        <w:fldChar w:fldCharType="end"/>
      </w:r>
      <w:r>
        <w:fldChar w:fldCharType="end"/>
      </w:r>
    </w:p>
    <w:p w14:paraId="3191A6EA">
      <w:pPr>
        <w:pStyle w:val="17"/>
        <w:rPr>
          <w:rFonts w:asciiTheme="minorHAnsi" w:hAnsiTheme="minorHAnsi" w:eastAsiaTheme="minorEastAsia" w:cstheme="minorBidi"/>
          <w:smallCaps w:val="0"/>
          <w:kern w:val="2"/>
          <w:sz w:val="21"/>
          <w:szCs w:val="22"/>
        </w:rPr>
      </w:pPr>
      <w:r>
        <w:fldChar w:fldCharType="begin"/>
      </w:r>
      <w:r>
        <w:instrText xml:space="preserve"> HYPERLINK \l "_Toc166686100" </w:instrText>
      </w:r>
      <w:r>
        <w:fldChar w:fldCharType="separate"/>
      </w:r>
      <w:r>
        <w:rPr>
          <w:rStyle w:val="35"/>
        </w:rPr>
        <w:t>5.2 运行维护机构</w:t>
      </w:r>
      <w:r>
        <w:tab/>
      </w:r>
      <w:r>
        <w:fldChar w:fldCharType="begin"/>
      </w:r>
      <w:r>
        <w:instrText xml:space="preserve"> PAGEREF _Toc166686100 \h </w:instrText>
      </w:r>
      <w:r>
        <w:fldChar w:fldCharType="separate"/>
      </w:r>
      <w:r>
        <w:t>31</w:t>
      </w:r>
      <w:r>
        <w:fldChar w:fldCharType="end"/>
      </w:r>
      <w:r>
        <w:fldChar w:fldCharType="end"/>
      </w:r>
    </w:p>
    <w:p w14:paraId="3BBD363A">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"_Toc166686101" </w:instrText>
      </w:r>
      <w:r>
        <w:fldChar w:fldCharType="separate"/>
      </w:r>
      <w:r>
        <w:rPr>
          <w:rStyle w:val="35"/>
        </w:rPr>
        <w:t>6、 人员配置与培训</w:t>
      </w:r>
      <w:r>
        <w:tab/>
      </w:r>
      <w:r>
        <w:fldChar w:fldCharType="begin"/>
      </w:r>
      <w:r>
        <w:instrText xml:space="preserve"> PAGEREF _Toc166686101 \h </w:instrText>
      </w:r>
      <w:r>
        <w:fldChar w:fldCharType="separate"/>
      </w:r>
      <w:r>
        <w:t>32</w:t>
      </w:r>
      <w:r>
        <w:fldChar w:fldCharType="end"/>
      </w:r>
      <w:r>
        <w:fldChar w:fldCharType="end"/>
      </w:r>
    </w:p>
    <w:p w14:paraId="64D61307">
      <w:pPr>
        <w:pStyle w:val="17"/>
        <w:rPr>
          <w:rFonts w:asciiTheme="minorHAnsi" w:hAnsiTheme="minorHAnsi" w:eastAsiaTheme="minorEastAsia" w:cstheme="minorBidi"/>
          <w:smallCaps w:val="0"/>
          <w:kern w:val="2"/>
          <w:sz w:val="21"/>
          <w:szCs w:val="22"/>
        </w:rPr>
      </w:pPr>
      <w:r>
        <w:fldChar w:fldCharType="begin"/>
      </w:r>
      <w:r>
        <w:instrText xml:space="preserve"> HYPERLINK \l "_Toc166686102" </w:instrText>
      </w:r>
      <w:r>
        <w:fldChar w:fldCharType="separate"/>
      </w:r>
      <w:r>
        <w:rPr>
          <w:rStyle w:val="35"/>
        </w:rPr>
        <w:t>6.1 人员配置计划</w:t>
      </w:r>
      <w:r>
        <w:tab/>
      </w:r>
      <w:r>
        <w:fldChar w:fldCharType="begin"/>
      </w:r>
      <w:r>
        <w:instrText xml:space="preserve"> PAGEREF _Toc166686102 \h </w:instrText>
      </w:r>
      <w:r>
        <w:fldChar w:fldCharType="separate"/>
      </w:r>
      <w:r>
        <w:t>32</w:t>
      </w:r>
      <w:r>
        <w:fldChar w:fldCharType="end"/>
      </w:r>
      <w:r>
        <w:fldChar w:fldCharType="end"/>
      </w:r>
    </w:p>
    <w:p w14:paraId="03A4EA15">
      <w:pPr>
        <w:pStyle w:val="17"/>
        <w:rPr>
          <w:rFonts w:asciiTheme="minorHAnsi" w:hAnsiTheme="minorHAnsi" w:eastAsiaTheme="minorEastAsia" w:cstheme="minorBidi"/>
          <w:smallCaps w:val="0"/>
          <w:kern w:val="2"/>
          <w:sz w:val="21"/>
          <w:szCs w:val="22"/>
        </w:rPr>
      </w:pPr>
      <w:r>
        <w:fldChar w:fldCharType="begin"/>
      </w:r>
      <w:r>
        <w:instrText xml:space="preserve"> HYPERLINK \l "_Toc166686103" </w:instrText>
      </w:r>
      <w:r>
        <w:fldChar w:fldCharType="separate"/>
      </w:r>
      <w:r>
        <w:rPr>
          <w:rStyle w:val="35"/>
        </w:rPr>
        <w:t>6.2 人员培训方案</w:t>
      </w:r>
      <w:r>
        <w:tab/>
      </w:r>
      <w:r>
        <w:fldChar w:fldCharType="begin"/>
      </w:r>
      <w:r>
        <w:instrText xml:space="preserve"> PAGEREF _Toc166686103 \h </w:instrText>
      </w:r>
      <w:r>
        <w:fldChar w:fldCharType="separate"/>
      </w:r>
      <w:r>
        <w:t>32</w:t>
      </w:r>
      <w:r>
        <w:fldChar w:fldCharType="end"/>
      </w:r>
      <w:r>
        <w:fldChar w:fldCharType="end"/>
      </w:r>
    </w:p>
    <w:p w14:paraId="68B4E8BD">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"_Toc166686104" </w:instrText>
      </w:r>
      <w:r>
        <w:fldChar w:fldCharType="separate"/>
      </w:r>
      <w:r>
        <w:rPr>
          <w:rStyle w:val="35"/>
        </w:rPr>
        <w:t>7、 项目进度</w:t>
      </w:r>
      <w:r>
        <w:tab/>
      </w:r>
      <w:r>
        <w:fldChar w:fldCharType="begin"/>
      </w:r>
      <w:r>
        <w:instrText xml:space="preserve"> PAGEREF _Toc166686104 \h </w:instrText>
      </w:r>
      <w:r>
        <w:fldChar w:fldCharType="separate"/>
      </w:r>
      <w:r>
        <w:t>33</w:t>
      </w:r>
      <w:r>
        <w:fldChar w:fldCharType="end"/>
      </w:r>
      <w:r>
        <w:fldChar w:fldCharType="end"/>
      </w:r>
    </w:p>
    <w:p w14:paraId="7F5194F1">
      <w:pPr>
        <w:pStyle w:val="17"/>
        <w:rPr>
          <w:rFonts w:asciiTheme="minorHAnsi" w:hAnsiTheme="minorHAnsi" w:eastAsiaTheme="minorEastAsia" w:cstheme="minorBidi"/>
          <w:smallCaps w:val="0"/>
          <w:kern w:val="2"/>
          <w:sz w:val="21"/>
          <w:szCs w:val="22"/>
        </w:rPr>
      </w:pPr>
      <w:r>
        <w:fldChar w:fldCharType="begin"/>
      </w:r>
      <w:r>
        <w:instrText xml:space="preserve"> HYPERLINK \l "_Toc166686105" </w:instrText>
      </w:r>
      <w:r>
        <w:fldChar w:fldCharType="separate"/>
      </w:r>
      <w:r>
        <w:rPr>
          <w:rStyle w:val="35"/>
        </w:rPr>
        <w:t>7.1 项目建设期</w:t>
      </w:r>
      <w:r>
        <w:tab/>
      </w:r>
      <w:r>
        <w:fldChar w:fldCharType="begin"/>
      </w:r>
      <w:r>
        <w:instrText xml:space="preserve"> PAGEREF _Toc166686105 \h </w:instrText>
      </w:r>
      <w:r>
        <w:fldChar w:fldCharType="separate"/>
      </w:r>
      <w:r>
        <w:t>33</w:t>
      </w:r>
      <w:r>
        <w:fldChar w:fldCharType="end"/>
      </w:r>
      <w:r>
        <w:fldChar w:fldCharType="end"/>
      </w:r>
    </w:p>
    <w:p w14:paraId="77CBCC2C">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"_Toc166686106" </w:instrText>
      </w:r>
      <w:r>
        <w:fldChar w:fldCharType="separate"/>
      </w:r>
      <w:r>
        <w:rPr>
          <w:rStyle w:val="35"/>
        </w:rPr>
        <w:t>8、 项目风险与管理</w:t>
      </w:r>
      <w:r>
        <w:tab/>
      </w:r>
      <w:r>
        <w:fldChar w:fldCharType="begin"/>
      </w:r>
      <w:r>
        <w:instrText xml:space="preserve"> PAGEREF _Toc166686106 \h </w:instrText>
      </w:r>
      <w:r>
        <w:fldChar w:fldCharType="separate"/>
      </w:r>
      <w:r>
        <w:t>34</w:t>
      </w:r>
      <w:r>
        <w:fldChar w:fldCharType="end"/>
      </w:r>
      <w:r>
        <w:fldChar w:fldCharType="end"/>
      </w:r>
    </w:p>
    <w:p w14:paraId="6064A01B">
      <w:pPr>
        <w:pStyle w:val="17"/>
        <w:rPr>
          <w:rFonts w:asciiTheme="minorHAnsi" w:hAnsiTheme="minorHAnsi" w:eastAsiaTheme="minorEastAsia" w:cstheme="minorBidi"/>
          <w:smallCaps w:val="0"/>
          <w:kern w:val="2"/>
          <w:sz w:val="21"/>
          <w:szCs w:val="22"/>
        </w:rPr>
      </w:pPr>
      <w:r>
        <w:fldChar w:fldCharType="begin"/>
      </w:r>
      <w:r>
        <w:instrText xml:space="preserve"> HYPERLINK \l "_Toc166686107" </w:instrText>
      </w:r>
      <w:r>
        <w:fldChar w:fldCharType="separate"/>
      </w:r>
      <w:r>
        <w:rPr>
          <w:rStyle w:val="35"/>
        </w:rPr>
        <w:t>8.1 风险识别和分析</w:t>
      </w:r>
      <w:r>
        <w:tab/>
      </w:r>
      <w:r>
        <w:fldChar w:fldCharType="begin"/>
      </w:r>
      <w:r>
        <w:instrText xml:space="preserve"> PAGEREF _Toc166686107 \h </w:instrText>
      </w:r>
      <w:r>
        <w:fldChar w:fldCharType="separate"/>
      </w:r>
      <w:r>
        <w:t>34</w:t>
      </w:r>
      <w:r>
        <w:fldChar w:fldCharType="end"/>
      </w:r>
      <w:r>
        <w:fldChar w:fldCharType="end"/>
      </w:r>
    </w:p>
    <w:p w14:paraId="0F5F09D9">
      <w:pPr>
        <w:pStyle w:val="16"/>
        <w:rPr>
          <w:rFonts w:asciiTheme="minorHAnsi" w:hAnsiTheme="minorHAnsi" w:eastAsiaTheme="minorEastAsia" w:cstheme="minorBidi"/>
          <w:smallCaps w:val="0"/>
          <w:kern w:val="2"/>
          <w:sz w:val="21"/>
          <w:szCs w:val="22"/>
        </w:rPr>
      </w:pPr>
      <w:r>
        <w:fldChar w:fldCharType="begin"/>
      </w:r>
      <w:r>
        <w:instrText xml:space="preserve"> HYPERLINK \l "_Toc166686108" </w:instrText>
      </w:r>
      <w:r>
        <w:fldChar w:fldCharType="separate"/>
      </w:r>
      <w:r>
        <w:rPr>
          <w:rStyle w:val="35"/>
        </w:rPr>
        <w:t>8.1.1 产品风险</w:t>
      </w:r>
      <w:r>
        <w:tab/>
      </w:r>
      <w:r>
        <w:fldChar w:fldCharType="begin"/>
      </w:r>
      <w:r>
        <w:instrText xml:space="preserve"> PAGEREF _Toc166686108 \h </w:instrText>
      </w:r>
      <w:r>
        <w:fldChar w:fldCharType="separate"/>
      </w:r>
      <w:r>
        <w:t>34</w:t>
      </w:r>
      <w:r>
        <w:fldChar w:fldCharType="end"/>
      </w:r>
      <w:r>
        <w:fldChar w:fldCharType="end"/>
      </w:r>
    </w:p>
    <w:p w14:paraId="4C097BBC">
      <w:pPr>
        <w:pStyle w:val="16"/>
        <w:rPr>
          <w:rFonts w:asciiTheme="minorHAnsi" w:hAnsiTheme="minorHAnsi" w:eastAsiaTheme="minorEastAsia" w:cstheme="minorBidi"/>
          <w:smallCaps w:val="0"/>
          <w:kern w:val="2"/>
          <w:sz w:val="21"/>
          <w:szCs w:val="22"/>
        </w:rPr>
      </w:pPr>
      <w:r>
        <w:fldChar w:fldCharType="begin"/>
      </w:r>
      <w:r>
        <w:instrText xml:space="preserve"> HYPERLINK \l "_Toc166686109" </w:instrText>
      </w:r>
      <w:r>
        <w:fldChar w:fldCharType="separate"/>
      </w:r>
      <w:r>
        <w:rPr>
          <w:rStyle w:val="35"/>
        </w:rPr>
        <w:t>8.1.2 技术风险</w:t>
      </w:r>
      <w:r>
        <w:tab/>
      </w:r>
      <w:r>
        <w:fldChar w:fldCharType="begin"/>
      </w:r>
      <w:r>
        <w:instrText xml:space="preserve"> PAGEREF _Toc166686109 \h </w:instrText>
      </w:r>
      <w:r>
        <w:fldChar w:fldCharType="separate"/>
      </w:r>
      <w:r>
        <w:t>34</w:t>
      </w:r>
      <w:r>
        <w:fldChar w:fldCharType="end"/>
      </w:r>
      <w:r>
        <w:fldChar w:fldCharType="end"/>
      </w:r>
    </w:p>
    <w:p w14:paraId="22DCB417">
      <w:pPr>
        <w:pStyle w:val="16"/>
        <w:rPr>
          <w:rFonts w:asciiTheme="minorHAnsi" w:hAnsiTheme="minorHAnsi" w:eastAsiaTheme="minorEastAsia" w:cstheme="minorBidi"/>
          <w:smallCaps w:val="0"/>
          <w:kern w:val="2"/>
          <w:sz w:val="21"/>
          <w:szCs w:val="22"/>
        </w:rPr>
      </w:pPr>
      <w:r>
        <w:fldChar w:fldCharType="begin"/>
      </w:r>
      <w:r>
        <w:instrText xml:space="preserve"> HYPERLINK \l "_Toc166686110" </w:instrText>
      </w:r>
      <w:r>
        <w:fldChar w:fldCharType="separate"/>
      </w:r>
      <w:r>
        <w:rPr>
          <w:rStyle w:val="35"/>
        </w:rPr>
        <w:t>8.1.3 成本风险</w:t>
      </w:r>
      <w:r>
        <w:tab/>
      </w:r>
      <w:r>
        <w:fldChar w:fldCharType="begin"/>
      </w:r>
      <w:r>
        <w:instrText xml:space="preserve"> PAGEREF _Toc166686110 \h </w:instrText>
      </w:r>
      <w:r>
        <w:fldChar w:fldCharType="separate"/>
      </w:r>
      <w:r>
        <w:t>34</w:t>
      </w:r>
      <w:r>
        <w:fldChar w:fldCharType="end"/>
      </w:r>
      <w:r>
        <w:fldChar w:fldCharType="end"/>
      </w:r>
    </w:p>
    <w:p w14:paraId="07F59333">
      <w:pPr>
        <w:pStyle w:val="16"/>
        <w:rPr>
          <w:rFonts w:asciiTheme="minorHAnsi" w:hAnsiTheme="minorHAnsi" w:eastAsiaTheme="minorEastAsia" w:cstheme="minorBidi"/>
          <w:smallCaps w:val="0"/>
          <w:kern w:val="2"/>
          <w:sz w:val="21"/>
          <w:szCs w:val="22"/>
        </w:rPr>
      </w:pPr>
      <w:r>
        <w:fldChar w:fldCharType="begin"/>
      </w:r>
      <w:r>
        <w:instrText xml:space="preserve"> HYPERLINK \l "_Toc166686111" </w:instrText>
      </w:r>
      <w:r>
        <w:fldChar w:fldCharType="separate"/>
      </w:r>
      <w:r>
        <w:rPr>
          <w:rStyle w:val="35"/>
        </w:rPr>
        <w:t>8.1.4 需求风险</w:t>
      </w:r>
      <w:r>
        <w:tab/>
      </w:r>
      <w:r>
        <w:fldChar w:fldCharType="begin"/>
      </w:r>
      <w:r>
        <w:instrText xml:space="preserve"> PAGEREF _Toc166686111 \h </w:instrText>
      </w:r>
      <w:r>
        <w:fldChar w:fldCharType="separate"/>
      </w:r>
      <w:r>
        <w:t>34</w:t>
      </w:r>
      <w:r>
        <w:fldChar w:fldCharType="end"/>
      </w:r>
      <w:r>
        <w:fldChar w:fldCharType="end"/>
      </w:r>
    </w:p>
    <w:p w14:paraId="731CD1E2">
      <w:pPr>
        <w:pStyle w:val="16"/>
        <w:rPr>
          <w:rFonts w:asciiTheme="minorHAnsi" w:hAnsiTheme="minorHAnsi" w:eastAsiaTheme="minorEastAsia" w:cstheme="minorBidi"/>
          <w:smallCaps w:val="0"/>
          <w:kern w:val="2"/>
          <w:sz w:val="21"/>
          <w:szCs w:val="22"/>
        </w:rPr>
      </w:pPr>
      <w:r>
        <w:fldChar w:fldCharType="begin"/>
      </w:r>
      <w:r>
        <w:instrText xml:space="preserve"> HYPERLINK \l "_Toc166686112" </w:instrText>
      </w:r>
      <w:r>
        <w:fldChar w:fldCharType="separate"/>
      </w:r>
      <w:r>
        <w:rPr>
          <w:rStyle w:val="35"/>
        </w:rPr>
        <w:t>8.1.5 相关性风险</w:t>
      </w:r>
      <w:r>
        <w:tab/>
      </w:r>
      <w:r>
        <w:fldChar w:fldCharType="begin"/>
      </w:r>
      <w:r>
        <w:instrText xml:space="preserve"> PAGEREF _Toc166686112 \h </w:instrText>
      </w:r>
      <w:r>
        <w:fldChar w:fldCharType="separate"/>
      </w:r>
      <w:r>
        <w:t>34</w:t>
      </w:r>
      <w:r>
        <w:fldChar w:fldCharType="end"/>
      </w:r>
      <w:r>
        <w:fldChar w:fldCharType="end"/>
      </w:r>
    </w:p>
    <w:p w14:paraId="33ACBA72">
      <w:pPr>
        <w:pStyle w:val="16"/>
        <w:rPr>
          <w:rFonts w:asciiTheme="minorHAnsi" w:hAnsiTheme="minorHAnsi" w:eastAsiaTheme="minorEastAsia" w:cstheme="minorBidi"/>
          <w:smallCaps w:val="0"/>
          <w:kern w:val="2"/>
          <w:sz w:val="21"/>
          <w:szCs w:val="22"/>
        </w:rPr>
      </w:pPr>
      <w:r>
        <w:fldChar w:fldCharType="begin"/>
      </w:r>
      <w:r>
        <w:instrText xml:space="preserve"> HYPERLINK \l "_Toc166686113" </w:instrText>
      </w:r>
      <w:r>
        <w:fldChar w:fldCharType="separate"/>
      </w:r>
      <w:r>
        <w:rPr>
          <w:rStyle w:val="35"/>
        </w:rPr>
        <w:t>8.1.6 管理风险</w:t>
      </w:r>
      <w:r>
        <w:tab/>
      </w:r>
      <w:r>
        <w:fldChar w:fldCharType="begin"/>
      </w:r>
      <w:r>
        <w:instrText xml:space="preserve"> PAGEREF _Toc166686113 \h </w:instrText>
      </w:r>
      <w:r>
        <w:fldChar w:fldCharType="separate"/>
      </w:r>
      <w:r>
        <w:t>35</w:t>
      </w:r>
      <w:r>
        <w:fldChar w:fldCharType="end"/>
      </w:r>
      <w:r>
        <w:fldChar w:fldCharType="end"/>
      </w:r>
    </w:p>
    <w:p w14:paraId="04797E43">
      <w:pPr>
        <w:pStyle w:val="17"/>
        <w:rPr>
          <w:rFonts w:asciiTheme="minorHAnsi" w:hAnsiTheme="minorHAnsi" w:eastAsiaTheme="minorEastAsia" w:cstheme="minorBidi"/>
          <w:smallCaps w:val="0"/>
          <w:kern w:val="2"/>
          <w:sz w:val="21"/>
          <w:szCs w:val="22"/>
        </w:rPr>
      </w:pPr>
      <w:r>
        <w:fldChar w:fldCharType="begin"/>
      </w:r>
      <w:r>
        <w:instrText xml:space="preserve"> HYPERLINK \l "_Toc166686114" </w:instrText>
      </w:r>
      <w:r>
        <w:fldChar w:fldCharType="separate"/>
      </w:r>
      <w:r>
        <w:rPr>
          <w:rStyle w:val="35"/>
        </w:rPr>
        <w:t>8.2 风险对策和管理</w:t>
      </w:r>
      <w:r>
        <w:tab/>
      </w:r>
      <w:r>
        <w:fldChar w:fldCharType="begin"/>
      </w:r>
      <w:r>
        <w:instrText xml:space="preserve"> PAGEREF _Toc166686114 \h </w:instrText>
      </w:r>
      <w:r>
        <w:fldChar w:fldCharType="separate"/>
      </w:r>
      <w:r>
        <w:t>35</w:t>
      </w:r>
      <w:r>
        <w:fldChar w:fldCharType="end"/>
      </w:r>
      <w:r>
        <w:fldChar w:fldCharType="end"/>
      </w:r>
    </w:p>
    <w:p w14:paraId="43ED7175">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"_Toc166686115" </w:instrText>
      </w:r>
      <w:r>
        <w:fldChar w:fldCharType="separate"/>
      </w:r>
      <w:r>
        <w:rPr>
          <w:rStyle w:val="35"/>
        </w:rPr>
        <w:t>9、 安全生产管理</w:t>
      </w:r>
      <w:r>
        <w:tab/>
      </w:r>
      <w:r>
        <w:fldChar w:fldCharType="begin"/>
      </w:r>
      <w:r>
        <w:instrText xml:space="preserve"> PAGEREF _Toc166686115 \h </w:instrText>
      </w:r>
      <w:r>
        <w:fldChar w:fldCharType="separate"/>
      </w:r>
      <w:r>
        <w:t>36</w:t>
      </w:r>
      <w:r>
        <w:fldChar w:fldCharType="end"/>
      </w:r>
      <w:r>
        <w:fldChar w:fldCharType="end"/>
      </w:r>
    </w:p>
    <w:p w14:paraId="07267A49">
      <w:pPr>
        <w:pStyle w:val="17"/>
        <w:rPr>
          <w:rFonts w:asciiTheme="minorHAnsi" w:hAnsiTheme="minorHAnsi" w:eastAsiaTheme="minorEastAsia" w:cstheme="minorBidi"/>
          <w:smallCaps w:val="0"/>
          <w:kern w:val="2"/>
          <w:sz w:val="21"/>
          <w:szCs w:val="22"/>
        </w:rPr>
      </w:pPr>
      <w:r>
        <w:fldChar w:fldCharType="begin"/>
      </w:r>
      <w:r>
        <w:instrText xml:space="preserve"> HYPERLINK \l "_Toc166686116" </w:instrText>
      </w:r>
      <w:r>
        <w:fldChar w:fldCharType="separate"/>
      </w:r>
      <w:r>
        <w:rPr>
          <w:rStyle w:val="35"/>
        </w:rPr>
        <w:t>9.1 工程安全管理组织</w:t>
      </w:r>
      <w:r>
        <w:tab/>
      </w:r>
      <w:r>
        <w:fldChar w:fldCharType="begin"/>
      </w:r>
      <w:r>
        <w:instrText xml:space="preserve"> PAGEREF _Toc166686116 \h </w:instrText>
      </w:r>
      <w:r>
        <w:fldChar w:fldCharType="separate"/>
      </w:r>
      <w:r>
        <w:t>36</w:t>
      </w:r>
      <w:r>
        <w:fldChar w:fldCharType="end"/>
      </w:r>
      <w:r>
        <w:fldChar w:fldCharType="end"/>
      </w:r>
    </w:p>
    <w:p w14:paraId="6A2E01C2">
      <w:pPr>
        <w:pStyle w:val="17"/>
        <w:rPr>
          <w:rFonts w:asciiTheme="minorHAnsi" w:hAnsiTheme="minorHAnsi" w:eastAsiaTheme="minorEastAsia" w:cstheme="minorBidi"/>
          <w:smallCaps w:val="0"/>
          <w:kern w:val="2"/>
          <w:sz w:val="21"/>
          <w:szCs w:val="22"/>
        </w:rPr>
      </w:pPr>
      <w:r>
        <w:fldChar w:fldCharType="begin"/>
      </w:r>
      <w:r>
        <w:instrText xml:space="preserve"> HYPERLINK \l "_Toc166686117" </w:instrText>
      </w:r>
      <w:r>
        <w:fldChar w:fldCharType="separate"/>
      </w:r>
      <w:r>
        <w:rPr>
          <w:rStyle w:val="35"/>
        </w:rPr>
        <w:t>9.2 安全施工基本要求</w:t>
      </w:r>
      <w:r>
        <w:tab/>
      </w:r>
      <w:r>
        <w:fldChar w:fldCharType="begin"/>
      </w:r>
      <w:r>
        <w:instrText xml:space="preserve"> PAGEREF _Toc166686117 \h </w:instrText>
      </w:r>
      <w:r>
        <w:fldChar w:fldCharType="separate"/>
      </w:r>
      <w:r>
        <w:t>36</w:t>
      </w:r>
      <w:r>
        <w:fldChar w:fldCharType="end"/>
      </w:r>
      <w:r>
        <w:fldChar w:fldCharType="end"/>
      </w:r>
    </w:p>
    <w:p w14:paraId="02065502">
      <w:pPr>
        <w:pStyle w:val="17"/>
        <w:rPr>
          <w:rFonts w:asciiTheme="minorHAnsi" w:hAnsiTheme="minorHAnsi" w:eastAsiaTheme="minorEastAsia" w:cstheme="minorBidi"/>
          <w:smallCaps w:val="0"/>
          <w:kern w:val="2"/>
          <w:sz w:val="21"/>
          <w:szCs w:val="22"/>
        </w:rPr>
      </w:pPr>
      <w:r>
        <w:fldChar w:fldCharType="begin"/>
      </w:r>
      <w:r>
        <w:instrText xml:space="preserve"> HYPERLINK \l "_Toc166686118" </w:instrText>
      </w:r>
      <w:r>
        <w:fldChar w:fldCharType="separate"/>
      </w:r>
      <w:r>
        <w:rPr>
          <w:rStyle w:val="35"/>
        </w:rPr>
        <w:t>9.3 施工消防安全要求</w:t>
      </w:r>
      <w:r>
        <w:tab/>
      </w:r>
      <w:r>
        <w:fldChar w:fldCharType="begin"/>
      </w:r>
      <w:r>
        <w:instrText xml:space="preserve"> PAGEREF _Toc166686118 \h </w:instrText>
      </w:r>
      <w:r>
        <w:fldChar w:fldCharType="separate"/>
      </w:r>
      <w:r>
        <w:t>37</w:t>
      </w:r>
      <w:r>
        <w:fldChar w:fldCharType="end"/>
      </w:r>
      <w:r>
        <w:fldChar w:fldCharType="end"/>
      </w:r>
    </w:p>
    <w:p w14:paraId="47F7E5EC">
      <w:pPr>
        <w:pStyle w:val="17"/>
        <w:rPr>
          <w:rFonts w:asciiTheme="minorHAnsi" w:hAnsiTheme="minorHAnsi" w:eastAsiaTheme="minorEastAsia" w:cstheme="minorBidi"/>
          <w:smallCaps w:val="0"/>
          <w:kern w:val="2"/>
          <w:sz w:val="21"/>
          <w:szCs w:val="22"/>
        </w:rPr>
      </w:pPr>
      <w:r>
        <w:fldChar w:fldCharType="begin"/>
      </w:r>
      <w:r>
        <w:instrText xml:space="preserve"> HYPERLINK \l "_Toc166686119" </w:instrText>
      </w:r>
      <w:r>
        <w:fldChar w:fldCharType="separate"/>
      </w:r>
      <w:r>
        <w:rPr>
          <w:rStyle w:val="35"/>
        </w:rPr>
        <w:t>9.4 施工行为安全要求</w:t>
      </w:r>
      <w:r>
        <w:tab/>
      </w:r>
      <w:r>
        <w:fldChar w:fldCharType="begin"/>
      </w:r>
      <w:r>
        <w:instrText xml:space="preserve"> PAGEREF _Toc166686119 \h </w:instrText>
      </w:r>
      <w:r>
        <w:fldChar w:fldCharType="separate"/>
      </w:r>
      <w:r>
        <w:t>38</w:t>
      </w:r>
      <w:r>
        <w:fldChar w:fldCharType="end"/>
      </w:r>
      <w:r>
        <w:fldChar w:fldCharType="end"/>
      </w:r>
    </w:p>
    <w:p w14:paraId="0C3C716C">
      <w:pPr>
        <w:pStyle w:val="17"/>
        <w:rPr>
          <w:rFonts w:asciiTheme="minorHAnsi" w:hAnsiTheme="minorHAnsi" w:eastAsiaTheme="minorEastAsia" w:cstheme="minorBidi"/>
          <w:smallCaps w:val="0"/>
          <w:kern w:val="2"/>
          <w:sz w:val="21"/>
          <w:szCs w:val="22"/>
        </w:rPr>
      </w:pPr>
      <w:r>
        <w:fldChar w:fldCharType="begin"/>
      </w:r>
      <w:r>
        <w:instrText xml:space="preserve"> HYPERLINK \l "_Toc166686120" </w:instrText>
      </w:r>
      <w:r>
        <w:fldChar w:fldCharType="separate"/>
      </w:r>
      <w:r>
        <w:rPr>
          <w:rStyle w:val="35"/>
        </w:rPr>
        <w:t>9.5 施工监理安全要求</w:t>
      </w:r>
      <w:r>
        <w:tab/>
      </w:r>
      <w:r>
        <w:fldChar w:fldCharType="begin"/>
      </w:r>
      <w:r>
        <w:instrText xml:space="preserve"> PAGEREF _Toc166686120 \h </w:instrText>
      </w:r>
      <w:r>
        <w:fldChar w:fldCharType="separate"/>
      </w:r>
      <w:r>
        <w:t>38</w:t>
      </w:r>
      <w:r>
        <w:fldChar w:fldCharType="end"/>
      </w:r>
      <w:r>
        <w:fldChar w:fldCharType="end"/>
      </w:r>
    </w:p>
    <w:p w14:paraId="05D7E8D2">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"_Toc166686121" </w:instrText>
      </w:r>
      <w:r>
        <w:fldChar w:fldCharType="separate"/>
      </w:r>
      <w:r>
        <w:rPr>
          <w:rStyle w:val="35"/>
        </w:rPr>
        <w:t>二、概算说明</w:t>
      </w:r>
      <w:r>
        <w:tab/>
      </w:r>
      <w:r>
        <w:fldChar w:fldCharType="begin"/>
      </w:r>
      <w:r>
        <w:instrText xml:space="preserve"> PAGEREF _Toc166686121 \h </w:instrText>
      </w:r>
      <w:r>
        <w:fldChar w:fldCharType="separate"/>
      </w:r>
      <w:r>
        <w:t>40</w:t>
      </w:r>
      <w:r>
        <w:fldChar w:fldCharType="end"/>
      </w:r>
      <w:r>
        <w:fldChar w:fldCharType="end"/>
      </w:r>
    </w:p>
    <w:p w14:paraId="470B76B0">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"_Toc166686122" </w:instrText>
      </w:r>
      <w:r>
        <w:fldChar w:fldCharType="separate"/>
      </w:r>
      <w:r>
        <w:rPr>
          <w:rStyle w:val="35"/>
        </w:rPr>
        <w:t>1、 投资概算说明</w:t>
      </w:r>
      <w:r>
        <w:tab/>
      </w:r>
      <w:r>
        <w:fldChar w:fldCharType="begin"/>
      </w:r>
      <w:r>
        <w:instrText xml:space="preserve"> PAGEREF _Toc166686122 \h </w:instrText>
      </w:r>
      <w:r>
        <w:fldChar w:fldCharType="separate"/>
      </w:r>
      <w:r>
        <w:t>40</w:t>
      </w:r>
      <w:r>
        <w:fldChar w:fldCharType="end"/>
      </w:r>
      <w:r>
        <w:fldChar w:fldCharType="end"/>
      </w:r>
    </w:p>
    <w:p w14:paraId="1DD512D5">
      <w:pPr>
        <w:pStyle w:val="17"/>
        <w:rPr>
          <w:rFonts w:asciiTheme="minorHAnsi" w:hAnsiTheme="minorHAnsi" w:eastAsiaTheme="minorEastAsia" w:cstheme="minorBidi"/>
          <w:smallCaps w:val="0"/>
          <w:kern w:val="2"/>
          <w:sz w:val="21"/>
          <w:szCs w:val="22"/>
        </w:rPr>
      </w:pPr>
      <w:r>
        <w:fldChar w:fldCharType="begin"/>
      </w:r>
      <w:r>
        <w:instrText xml:space="preserve"> HYPERLINK \l "_Toc166686123" </w:instrText>
      </w:r>
      <w:r>
        <w:fldChar w:fldCharType="separate"/>
      </w:r>
      <w:r>
        <w:rPr>
          <w:rStyle w:val="35"/>
        </w:rPr>
        <w:t>1.1 投资概算依据</w:t>
      </w:r>
      <w:r>
        <w:tab/>
      </w:r>
      <w:r>
        <w:fldChar w:fldCharType="begin"/>
      </w:r>
      <w:r>
        <w:instrText xml:space="preserve"> PAGEREF _Toc166686123 \h </w:instrText>
      </w:r>
      <w:r>
        <w:fldChar w:fldCharType="separate"/>
      </w:r>
      <w:r>
        <w:t>40</w:t>
      </w:r>
      <w:r>
        <w:fldChar w:fldCharType="end"/>
      </w:r>
      <w:r>
        <w:fldChar w:fldCharType="end"/>
      </w:r>
    </w:p>
    <w:p w14:paraId="12404781">
      <w:pPr>
        <w:pStyle w:val="17"/>
        <w:rPr>
          <w:rFonts w:asciiTheme="minorHAnsi" w:hAnsiTheme="minorHAnsi" w:eastAsiaTheme="minorEastAsia" w:cstheme="minorBidi"/>
          <w:smallCaps w:val="0"/>
          <w:kern w:val="2"/>
          <w:sz w:val="21"/>
          <w:szCs w:val="22"/>
        </w:rPr>
      </w:pPr>
      <w:r>
        <w:fldChar w:fldCharType="begin"/>
      </w:r>
      <w:r>
        <w:instrText xml:space="preserve"> HYPERLINK \l "_Toc166686124" </w:instrText>
      </w:r>
      <w:r>
        <w:fldChar w:fldCharType="separate"/>
      </w:r>
      <w:r>
        <w:rPr>
          <w:rStyle w:val="35"/>
        </w:rPr>
        <w:t>1.2 投资概算范围</w:t>
      </w:r>
      <w:r>
        <w:tab/>
      </w:r>
      <w:r>
        <w:fldChar w:fldCharType="begin"/>
      </w:r>
      <w:r>
        <w:instrText xml:space="preserve"> PAGEREF _Toc166686124 \h </w:instrText>
      </w:r>
      <w:r>
        <w:fldChar w:fldCharType="separate"/>
      </w:r>
      <w:r>
        <w:t>40</w:t>
      </w:r>
      <w:r>
        <w:fldChar w:fldCharType="end"/>
      </w:r>
      <w:r>
        <w:fldChar w:fldCharType="end"/>
      </w:r>
    </w:p>
    <w:p w14:paraId="4703D656">
      <w:pPr>
        <w:pStyle w:val="17"/>
        <w:rPr>
          <w:rFonts w:asciiTheme="minorHAnsi" w:hAnsiTheme="minorHAnsi" w:eastAsiaTheme="minorEastAsia" w:cstheme="minorBidi"/>
          <w:smallCaps w:val="0"/>
          <w:kern w:val="2"/>
          <w:sz w:val="21"/>
          <w:szCs w:val="22"/>
        </w:rPr>
      </w:pPr>
      <w:r>
        <w:fldChar w:fldCharType="begin"/>
      </w:r>
      <w:r>
        <w:instrText xml:space="preserve"> HYPERLINK \l "_Toc166686125" </w:instrText>
      </w:r>
      <w:r>
        <w:fldChar w:fldCharType="separate"/>
      </w:r>
      <w:r>
        <w:rPr>
          <w:rStyle w:val="35"/>
        </w:rPr>
        <w:t>1.3 投资概算说明</w:t>
      </w:r>
      <w:r>
        <w:tab/>
      </w:r>
      <w:r>
        <w:fldChar w:fldCharType="begin"/>
      </w:r>
      <w:r>
        <w:instrText xml:space="preserve"> PAGEREF _Toc166686125 \h </w:instrText>
      </w:r>
      <w:r>
        <w:fldChar w:fldCharType="separate"/>
      </w:r>
      <w:r>
        <w:t>40</w:t>
      </w:r>
      <w:r>
        <w:fldChar w:fldCharType="end"/>
      </w:r>
      <w:r>
        <w:fldChar w:fldCharType="end"/>
      </w:r>
    </w:p>
    <w:p w14:paraId="79427D1A">
      <w:pPr>
        <w:pStyle w:val="16"/>
        <w:rPr>
          <w:rFonts w:asciiTheme="minorHAnsi" w:hAnsiTheme="minorHAnsi" w:eastAsiaTheme="minorEastAsia" w:cstheme="minorBidi"/>
          <w:smallCaps w:val="0"/>
          <w:kern w:val="2"/>
          <w:sz w:val="21"/>
          <w:szCs w:val="22"/>
        </w:rPr>
      </w:pPr>
      <w:r>
        <w:fldChar w:fldCharType="begin"/>
      </w:r>
      <w:r>
        <w:instrText xml:space="preserve"> HYPERLINK \l "_Toc166686126" </w:instrText>
      </w:r>
      <w:r>
        <w:fldChar w:fldCharType="separate"/>
      </w:r>
      <w:r>
        <w:rPr>
          <w:rStyle w:val="35"/>
        </w:rPr>
        <w:t>1.3.1 工程费用</w:t>
      </w:r>
      <w:r>
        <w:tab/>
      </w:r>
      <w:r>
        <w:fldChar w:fldCharType="begin"/>
      </w:r>
      <w:r>
        <w:instrText xml:space="preserve"> PAGEREF _Toc166686126 \h </w:instrText>
      </w:r>
      <w:r>
        <w:fldChar w:fldCharType="separate"/>
      </w:r>
      <w:r>
        <w:t>40</w:t>
      </w:r>
      <w:r>
        <w:fldChar w:fldCharType="end"/>
      </w:r>
      <w:r>
        <w:fldChar w:fldCharType="end"/>
      </w:r>
    </w:p>
    <w:p w14:paraId="06C642D0">
      <w:pPr>
        <w:pStyle w:val="16"/>
        <w:rPr>
          <w:rFonts w:asciiTheme="minorHAnsi" w:hAnsiTheme="minorHAnsi" w:eastAsiaTheme="minorEastAsia" w:cstheme="minorBidi"/>
          <w:smallCaps w:val="0"/>
          <w:kern w:val="2"/>
          <w:sz w:val="21"/>
          <w:szCs w:val="22"/>
        </w:rPr>
      </w:pPr>
      <w:r>
        <w:fldChar w:fldCharType="begin"/>
      </w:r>
      <w:r>
        <w:instrText xml:space="preserve"> HYPERLINK \l "_Toc166686127" </w:instrText>
      </w:r>
      <w:r>
        <w:fldChar w:fldCharType="separate"/>
      </w:r>
      <w:r>
        <w:rPr>
          <w:rStyle w:val="35"/>
        </w:rPr>
        <w:t>1.3.2 建设期利息</w:t>
      </w:r>
      <w:r>
        <w:tab/>
      </w:r>
      <w:r>
        <w:fldChar w:fldCharType="begin"/>
      </w:r>
      <w:r>
        <w:instrText xml:space="preserve"> PAGEREF _Toc166686127 \h </w:instrText>
      </w:r>
      <w:r>
        <w:fldChar w:fldCharType="separate"/>
      </w:r>
      <w:r>
        <w:t>40</w:t>
      </w:r>
      <w:r>
        <w:fldChar w:fldCharType="end"/>
      </w:r>
      <w:r>
        <w:fldChar w:fldCharType="end"/>
      </w:r>
    </w:p>
    <w:p w14:paraId="7EFDDC7B">
      <w:pPr>
        <w:pStyle w:val="17"/>
        <w:rPr>
          <w:rFonts w:asciiTheme="minorHAnsi" w:hAnsiTheme="minorHAnsi" w:eastAsiaTheme="minorEastAsia" w:cstheme="minorBidi"/>
          <w:smallCaps w:val="0"/>
          <w:kern w:val="2"/>
          <w:sz w:val="21"/>
          <w:szCs w:val="22"/>
        </w:rPr>
      </w:pPr>
      <w:r>
        <w:fldChar w:fldCharType="begin"/>
      </w:r>
      <w:r>
        <w:instrText xml:space="preserve"> HYPERLINK \l "_Toc166686128" </w:instrText>
      </w:r>
      <w:r>
        <w:fldChar w:fldCharType="separate"/>
      </w:r>
      <w:r>
        <w:rPr>
          <w:rStyle w:val="35"/>
        </w:rPr>
        <w:t>1.4 资金来源和落实</w:t>
      </w:r>
      <w:r>
        <w:tab/>
      </w:r>
      <w:r>
        <w:fldChar w:fldCharType="begin"/>
      </w:r>
      <w:r>
        <w:instrText xml:space="preserve"> PAGEREF _Toc166686128 \h </w:instrText>
      </w:r>
      <w:r>
        <w:fldChar w:fldCharType="separate"/>
      </w:r>
      <w:r>
        <w:t>40</w:t>
      </w:r>
      <w:r>
        <w:fldChar w:fldCharType="end"/>
      </w:r>
      <w:r>
        <w:fldChar w:fldCharType="end"/>
      </w:r>
    </w:p>
    <w:p w14:paraId="6C00605A">
      <w:pPr>
        <w:pStyle w:val="23"/>
        <w:rPr>
          <w:rFonts w:asciiTheme="minorHAnsi" w:hAnsiTheme="minorHAnsi" w:eastAsiaTheme="minorEastAsia" w:cstheme="minorBidi"/>
          <w:caps w:val="0"/>
          <w:color w:val="auto"/>
          <w:kern w:val="2"/>
          <w:sz w:val="21"/>
          <w:szCs w:val="22"/>
        </w:rPr>
      </w:pPr>
      <w:r>
        <w:fldChar w:fldCharType="begin"/>
      </w:r>
      <w:r>
        <w:instrText xml:space="preserve"> HYPERLINK \l "_Toc166686129" </w:instrText>
      </w:r>
      <w:r>
        <w:fldChar w:fldCharType="separate"/>
      </w:r>
      <w:r>
        <w:rPr>
          <w:rStyle w:val="35"/>
        </w:rPr>
        <w:t>三、附表</w:t>
      </w:r>
      <w:r>
        <w:tab/>
      </w:r>
      <w:r>
        <w:fldChar w:fldCharType="begin"/>
      </w:r>
      <w:r>
        <w:instrText xml:space="preserve"> PAGEREF _Toc166686129 \h </w:instrText>
      </w:r>
      <w:r>
        <w:fldChar w:fldCharType="separate"/>
      </w:r>
      <w:r>
        <w:t>41</w:t>
      </w:r>
      <w:r>
        <w:fldChar w:fldCharType="end"/>
      </w:r>
      <w:r>
        <w:fldChar w:fldCharType="end"/>
      </w:r>
    </w:p>
    <w:p w14:paraId="6683C498">
      <w:pPr>
        <w:ind w:firstLine="0" w:firstLineChars="0"/>
        <w:rPr>
          <w:rFonts w:eastAsia="黑体"/>
          <w:sz w:val="28"/>
          <w:szCs w:val="28"/>
        </w:rPr>
      </w:pPr>
      <w:r>
        <w:fldChar w:fldCharType="end"/>
      </w:r>
    </w:p>
    <w:p w14:paraId="6819E551">
      <w:pPr>
        <w:ind w:firstLine="0" w:firstLineChars="0"/>
      </w:pPr>
    </w:p>
    <w:p w14:paraId="447F360F">
      <w:pPr>
        <w:ind w:firstLine="0" w:firstLineChars="0"/>
        <w:sectPr>
          <w:headerReference r:id="rId8" w:type="default"/>
          <w:footerReference r:id="rId9" w:type="default"/>
          <w:pgSz w:w="11907" w:h="16840"/>
          <w:pgMar w:top="1701" w:right="1418" w:bottom="1418" w:left="1418" w:header="1134" w:footer="1021" w:gutter="0"/>
          <w:pgNumType w:fmt="lowerRoman" w:start="1"/>
          <w:cols w:space="425" w:num="1"/>
          <w:docGrid w:linePitch="381" w:charSpace="0"/>
        </w:sectPr>
      </w:pPr>
      <w:bookmarkStart w:id="160" w:name="_GoBack"/>
      <w:bookmarkEnd w:id="160"/>
    </w:p>
    <w:p w14:paraId="5F49AAEC">
      <w:pPr>
        <w:pStyle w:val="2"/>
        <w:numPr>
          <w:ilvl w:val="0"/>
          <w:numId w:val="0"/>
        </w:numPr>
      </w:pPr>
      <w:bookmarkStart w:id="0" w:name="_Toc166686061"/>
      <w:r>
        <w:rPr>
          <w:rFonts w:hint="eastAsia"/>
        </w:rPr>
        <w:t>一</w:t>
      </w:r>
      <w:r>
        <w:t>、</w:t>
      </w:r>
      <w:r>
        <w:rPr>
          <w:rFonts w:hint="eastAsia"/>
        </w:rPr>
        <w:t>设计说明</w:t>
      </w:r>
      <w:bookmarkEnd w:id="0"/>
    </w:p>
    <w:p w14:paraId="282F18E5">
      <w:pPr>
        <w:pStyle w:val="2"/>
        <w:pageBreakBefore w:val="0"/>
      </w:pPr>
      <w:bookmarkStart w:id="1" w:name="_Toc166686062"/>
      <w:r>
        <w:rPr>
          <w:rFonts w:hint="eastAsia"/>
        </w:rPr>
        <w:t>项目概述</w:t>
      </w:r>
      <w:bookmarkEnd w:id="1"/>
    </w:p>
    <w:p w14:paraId="31DAD804">
      <w:pPr>
        <w:pStyle w:val="3"/>
      </w:pPr>
      <w:bookmarkStart w:id="2" w:name="_Toc166686063"/>
      <w:r>
        <w:rPr>
          <w:rFonts w:hint="eastAsia"/>
        </w:rPr>
        <w:t>项目背景</w:t>
      </w:r>
      <w:bookmarkEnd w:id="2"/>
    </w:p>
    <w:p w14:paraId="165BC5F9">
      <w:pP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为深入贯彻落实盐城市九届人大四次会议精神，高质量完成 2025年市政府为民办实事项目区际防控圈建设项目任务，进一步提升农村地区安防设施建设密度和质量，全面加强农村地区社会治安掌控力，助力平安盐城建设。市局结合盐城实际，特制定本方案。</w:t>
      </w:r>
    </w:p>
    <w:p w14:paraId="3C0434FD">
      <w:pPr>
        <w:pStyle w:val="3"/>
      </w:pPr>
      <w:bookmarkStart w:id="3" w:name="_Toc166686064"/>
      <w:r>
        <w:rPr>
          <w:rFonts w:hint="eastAsia"/>
        </w:rPr>
        <w:t>项目建设单位</w:t>
      </w:r>
      <w:bookmarkEnd w:id="3"/>
    </w:p>
    <w:p w14:paraId="0871982B">
      <w:r>
        <w:rPr>
          <w:rFonts w:hint="eastAsia"/>
        </w:rPr>
        <w:t>盐城市公安局经济技术开发区分局</w:t>
      </w:r>
    </w:p>
    <w:p w14:paraId="08E75D53">
      <w:pPr>
        <w:pStyle w:val="3"/>
      </w:pPr>
      <w:bookmarkStart w:id="4" w:name="_Toc166686065"/>
      <w:r>
        <w:rPr>
          <w:rFonts w:hint="eastAsia"/>
        </w:rPr>
        <w:t>设计方案编制单位</w:t>
      </w:r>
      <w:bookmarkEnd w:id="4"/>
    </w:p>
    <w:p w14:paraId="2EF3F95E">
      <w:r>
        <w:rPr>
          <w:rFonts w:hint="eastAsia"/>
        </w:rPr>
        <w:t>南京捷途科技发展有限公司</w:t>
      </w:r>
    </w:p>
    <w:p w14:paraId="60B2582C">
      <w:pPr>
        <w:pStyle w:val="3"/>
      </w:pPr>
      <w:bookmarkStart w:id="5" w:name="_Toc73213431"/>
      <w:bookmarkStart w:id="6" w:name="_Toc166686066"/>
      <w:r>
        <w:rPr>
          <w:rFonts w:hint="eastAsia"/>
        </w:rPr>
        <w:t>设计编制依据</w:t>
      </w:r>
      <w:bookmarkEnd w:id="5"/>
      <w:bookmarkEnd w:id="6"/>
    </w:p>
    <w:p w14:paraId="34ED85B3">
      <w:pPr>
        <w:pStyle w:val="62"/>
        <w:numPr>
          <w:ilvl w:val="0"/>
          <w:numId w:val="6"/>
        </w:numPr>
        <w:ind w:firstLineChars="0"/>
      </w:pPr>
      <w:r>
        <w:t>《中华人民共和国网络安全法》</w:t>
      </w:r>
      <w:r>
        <w:rPr>
          <w:rFonts w:hint="eastAsia"/>
        </w:rPr>
        <w:t>；</w:t>
      </w:r>
    </w:p>
    <w:p w14:paraId="172EE538">
      <w:pPr>
        <w:pStyle w:val="62"/>
        <w:numPr>
          <w:ilvl w:val="0"/>
          <w:numId w:val="6"/>
        </w:numPr>
        <w:ind w:firstLineChars="0"/>
      </w:pPr>
      <w:r>
        <w:t>《中华人民共和国反恐怖主义法》</w:t>
      </w:r>
      <w:r>
        <w:rPr>
          <w:rFonts w:hint="eastAsia"/>
        </w:rPr>
        <w:t>；</w:t>
      </w:r>
    </w:p>
    <w:p w14:paraId="7D1C49DD">
      <w:pPr>
        <w:pStyle w:val="62"/>
        <w:numPr>
          <w:ilvl w:val="0"/>
          <w:numId w:val="6"/>
        </w:numPr>
        <w:ind w:firstLineChars="0"/>
      </w:pPr>
      <w:r>
        <w:rPr>
          <w:rFonts w:hint="eastAsia"/>
        </w:rPr>
        <w:t>《公安视频传输网建设指南》；</w:t>
      </w:r>
    </w:p>
    <w:p w14:paraId="414AB027">
      <w:pPr>
        <w:pStyle w:val="62"/>
        <w:numPr>
          <w:ilvl w:val="0"/>
          <w:numId w:val="6"/>
        </w:numPr>
        <w:ind w:firstLineChars="0"/>
      </w:pPr>
      <w:r>
        <w:rPr>
          <w:rFonts w:hint="eastAsia"/>
        </w:rPr>
        <w:t>《公共安全防范视频监控联网系统信息传输、交换、控制技术要求》</w:t>
      </w:r>
      <w:r>
        <w:t></w:t>
      </w:r>
      <w:r>
        <w:rPr>
          <w:rFonts w:hint="eastAsia"/>
        </w:rPr>
        <w:t>（</w:t>
      </w:r>
      <w:r>
        <w:t>GB/T 28181-2016</w:t>
      </w:r>
      <w:r>
        <w:rPr>
          <w:rFonts w:hint="eastAsia"/>
        </w:rPr>
        <w:t>）；</w:t>
      </w:r>
    </w:p>
    <w:p w14:paraId="69548E39">
      <w:pPr>
        <w:pStyle w:val="62"/>
        <w:numPr>
          <w:ilvl w:val="0"/>
          <w:numId w:val="6"/>
        </w:numPr>
        <w:adjustRightInd/>
        <w:ind w:firstLineChars="0"/>
        <w:textAlignment w:val="auto"/>
      </w:pPr>
      <w:r>
        <w:rPr>
          <w:rFonts w:hint="eastAsia"/>
        </w:rPr>
        <w:t>《公共安全视频监控联网信息安全技术要求》 (GB 35114-2017 )；</w:t>
      </w:r>
    </w:p>
    <w:p w14:paraId="6BE11A8A">
      <w:pPr>
        <w:pStyle w:val="62"/>
        <w:numPr>
          <w:ilvl w:val="0"/>
          <w:numId w:val="6"/>
        </w:numPr>
        <w:adjustRightInd/>
        <w:ind w:firstLineChars="0"/>
        <w:textAlignment w:val="auto"/>
      </w:pPr>
      <w:r>
        <w:rPr>
          <w:rFonts w:hint="eastAsia"/>
        </w:rPr>
        <w:t>《公共安全视频监控数字视音频编解码技术要求》（GB/T 25724-2017）；</w:t>
      </w:r>
    </w:p>
    <w:p w14:paraId="35C4074F">
      <w:pPr>
        <w:pStyle w:val="62"/>
        <w:numPr>
          <w:ilvl w:val="0"/>
          <w:numId w:val="6"/>
        </w:numPr>
        <w:ind w:firstLineChars="0"/>
      </w:pPr>
      <w:r>
        <w:rPr>
          <w:rFonts w:hint="eastAsia"/>
        </w:rPr>
        <w:t>《安全防范高清视频监控系统技术要求》</w:t>
      </w:r>
      <w:r>
        <w:t>GA/T 1211-2014</w:t>
      </w:r>
      <w:r>
        <w:rPr>
          <w:rFonts w:hint="eastAsia"/>
        </w:rPr>
        <w:t>；</w:t>
      </w:r>
    </w:p>
    <w:p w14:paraId="3C59402F">
      <w:pPr>
        <w:pStyle w:val="62"/>
        <w:numPr>
          <w:ilvl w:val="0"/>
          <w:numId w:val="6"/>
        </w:numPr>
        <w:ind w:firstLineChars="0"/>
      </w:pPr>
      <w:r>
        <w:rPr>
          <w:rFonts w:hint="eastAsia"/>
        </w:rPr>
        <w:t>《安全防范视频监控人脸识别系统技术要求》</w:t>
      </w:r>
      <w:r>
        <w:t>GB/T 31488-2015</w:t>
      </w:r>
      <w:r>
        <w:rPr>
          <w:rFonts w:hint="eastAsia"/>
        </w:rPr>
        <w:t>；</w:t>
      </w:r>
    </w:p>
    <w:p w14:paraId="470026C9">
      <w:pPr>
        <w:pStyle w:val="62"/>
        <w:numPr>
          <w:ilvl w:val="0"/>
          <w:numId w:val="6"/>
        </w:numPr>
        <w:adjustRightInd/>
        <w:ind w:firstLineChars="0"/>
        <w:textAlignment w:val="auto"/>
      </w:pPr>
      <w:r>
        <w:rPr>
          <w:rFonts w:hint="eastAsia"/>
        </w:rPr>
        <w:t>《安防监控视频实时智能分析设备技术要求》(GB/T 30147-2013)；</w:t>
      </w:r>
    </w:p>
    <w:p w14:paraId="6BDCD372">
      <w:pPr>
        <w:pStyle w:val="62"/>
        <w:numPr>
          <w:ilvl w:val="0"/>
          <w:numId w:val="6"/>
        </w:numPr>
        <w:ind w:firstLineChars="0"/>
      </w:pPr>
      <w:r>
        <w:rPr>
          <w:rFonts w:hint="eastAsia"/>
        </w:rPr>
        <w:t>《安全防范系统雷电浪涌防护技术要求》</w:t>
      </w:r>
      <w:r>
        <w:t>GA/T 670-2006</w:t>
      </w:r>
      <w:r>
        <w:rPr>
          <w:rFonts w:hint="eastAsia"/>
        </w:rPr>
        <w:t>；</w:t>
      </w:r>
    </w:p>
    <w:p w14:paraId="11A8A1DF">
      <w:pPr>
        <w:pStyle w:val="62"/>
        <w:numPr>
          <w:ilvl w:val="0"/>
          <w:numId w:val="6"/>
        </w:numPr>
        <w:ind w:firstLineChars="0"/>
      </w:pPr>
      <w:r>
        <w:rPr>
          <w:rFonts w:hint="eastAsia"/>
        </w:rPr>
        <w:t>《安全防范系统供电技术要求》</w:t>
      </w:r>
      <w:r>
        <w:t>GB/T 15408-2011</w:t>
      </w:r>
      <w:r>
        <w:rPr>
          <w:rFonts w:hint="eastAsia"/>
        </w:rPr>
        <w:t>；</w:t>
      </w:r>
    </w:p>
    <w:p w14:paraId="0D569965">
      <w:pPr>
        <w:pStyle w:val="62"/>
        <w:numPr>
          <w:ilvl w:val="0"/>
          <w:numId w:val="6"/>
        </w:numPr>
        <w:ind w:firstLineChars="0"/>
      </w:pPr>
      <w:r>
        <w:rPr>
          <w:rFonts w:hint="eastAsia"/>
        </w:rPr>
        <w:t>《安全防范工程技术规范》</w:t>
      </w:r>
      <w:r>
        <w:t>(GB 50348-2004)</w:t>
      </w:r>
      <w:r>
        <w:rPr>
          <w:rFonts w:hint="eastAsia"/>
        </w:rPr>
        <w:t>；</w:t>
      </w:r>
    </w:p>
    <w:p w14:paraId="4E475FB4">
      <w:pPr>
        <w:pStyle w:val="62"/>
        <w:numPr>
          <w:ilvl w:val="0"/>
          <w:numId w:val="6"/>
        </w:numPr>
        <w:ind w:firstLineChars="0"/>
      </w:pPr>
      <w:r>
        <w:rPr>
          <w:rFonts w:hint="eastAsia"/>
        </w:rPr>
        <w:t>《视频安防监控系统技术要求》（</w:t>
      </w:r>
      <w:r>
        <w:t>GA/T367-2001</w:t>
      </w:r>
      <w:r>
        <w:rPr>
          <w:rFonts w:hint="eastAsia"/>
        </w:rPr>
        <w:t>）；</w:t>
      </w:r>
    </w:p>
    <w:p w14:paraId="232F5615">
      <w:pPr>
        <w:pStyle w:val="62"/>
        <w:numPr>
          <w:ilvl w:val="0"/>
          <w:numId w:val="6"/>
        </w:numPr>
        <w:adjustRightInd/>
        <w:ind w:firstLineChars="0"/>
        <w:textAlignment w:val="auto"/>
      </w:pPr>
      <w:r>
        <w:rPr>
          <w:rFonts w:hint="eastAsia"/>
        </w:rPr>
        <w:t>《公安信息通信网边界接入平台安全规范（试行）》（公信通〔</w:t>
      </w:r>
      <w:r>
        <w:t>2007</w:t>
      </w:r>
      <w:r>
        <w:rPr>
          <w:rFonts w:hint="eastAsia"/>
        </w:rPr>
        <w:t>〕</w:t>
      </w:r>
      <w:r>
        <w:t>191</w:t>
      </w:r>
      <w:r>
        <w:rPr>
          <w:rFonts w:hint="eastAsia"/>
        </w:rPr>
        <w:t>号）；</w:t>
      </w:r>
    </w:p>
    <w:p w14:paraId="6A06275D">
      <w:pPr>
        <w:pStyle w:val="62"/>
        <w:numPr>
          <w:ilvl w:val="0"/>
          <w:numId w:val="6"/>
        </w:numPr>
        <w:ind w:firstLineChars="0"/>
      </w:pPr>
      <w:r>
        <w:rPr>
          <w:rFonts w:hint="eastAsia"/>
        </w:rPr>
        <w:t>《公安信息通信网边界接入平台安全规范（试行）——视频接入部分》；</w:t>
      </w:r>
    </w:p>
    <w:p w14:paraId="0920FC6C">
      <w:pPr>
        <w:pStyle w:val="62"/>
        <w:numPr>
          <w:ilvl w:val="0"/>
          <w:numId w:val="6"/>
        </w:numPr>
        <w:ind w:firstLineChars="0"/>
      </w:pPr>
      <w:r>
        <w:rPr>
          <w:rFonts w:hint="eastAsia"/>
        </w:rPr>
        <w:t>《道路交通安全违法行为图像取证技术规范》（</w:t>
      </w:r>
      <w:r>
        <w:t>GA/T 832—2009</w:t>
      </w:r>
      <w:r>
        <w:rPr>
          <w:rFonts w:hint="eastAsia"/>
        </w:rPr>
        <w:t>）；</w:t>
      </w:r>
    </w:p>
    <w:p w14:paraId="51806259">
      <w:pPr>
        <w:pStyle w:val="62"/>
        <w:numPr>
          <w:ilvl w:val="0"/>
          <w:numId w:val="6"/>
        </w:numPr>
        <w:ind w:firstLineChars="0"/>
      </w:pPr>
      <w:r>
        <w:rPr>
          <w:rFonts w:hint="eastAsia"/>
        </w:rPr>
        <w:t>《建筑及建筑群综合布线工程设计规范》（</w:t>
      </w:r>
      <w:r>
        <w:t>GB/T50311-2000</w:t>
      </w:r>
      <w:r>
        <w:rPr>
          <w:rFonts w:hint="eastAsia"/>
        </w:rPr>
        <w:t>）；</w:t>
      </w:r>
      <w:r>
        <w:t xml:space="preserve"> </w:t>
      </w:r>
    </w:p>
    <w:p w14:paraId="4549C321">
      <w:pPr>
        <w:pStyle w:val="62"/>
        <w:numPr>
          <w:ilvl w:val="0"/>
          <w:numId w:val="6"/>
        </w:numPr>
        <w:ind w:firstLineChars="0"/>
      </w:pPr>
      <w:r>
        <w:rPr>
          <w:rFonts w:hint="eastAsia"/>
        </w:rPr>
        <w:t>《安全防范系统通用图形符号》（</w:t>
      </w:r>
      <w:r>
        <w:t>GA/T75-2000</w:t>
      </w:r>
      <w:r>
        <w:rPr>
          <w:rFonts w:hint="eastAsia"/>
        </w:rPr>
        <w:t>）；</w:t>
      </w:r>
    </w:p>
    <w:p w14:paraId="39CF97D0">
      <w:pPr>
        <w:pStyle w:val="62"/>
        <w:numPr>
          <w:ilvl w:val="0"/>
          <w:numId w:val="6"/>
        </w:numPr>
        <w:ind w:firstLineChars="0"/>
      </w:pPr>
      <w:r>
        <w:rPr>
          <w:rFonts w:hint="eastAsia"/>
        </w:rPr>
        <w:t>《公安视频图像信息联网与应用标准体系表》（</w:t>
      </w:r>
      <w:r>
        <w:t>GA/Z 1164-2014</w:t>
      </w:r>
      <w:r>
        <w:rPr>
          <w:rFonts w:hint="eastAsia"/>
        </w:rPr>
        <w:t>）；</w:t>
      </w:r>
    </w:p>
    <w:p w14:paraId="6BFFE3B2">
      <w:pPr>
        <w:pStyle w:val="62"/>
        <w:numPr>
          <w:ilvl w:val="0"/>
          <w:numId w:val="6"/>
        </w:numPr>
        <w:ind w:firstLineChars="0"/>
      </w:pPr>
      <w:r>
        <w:rPr>
          <w:rFonts w:hint="eastAsia"/>
        </w:rPr>
        <w:t>《公安视频图像分析系统》（</w:t>
      </w:r>
      <w:r>
        <w:t>GA-T 1399.1-2017</w:t>
      </w:r>
      <w:r>
        <w:rPr>
          <w:rFonts w:hint="eastAsia"/>
        </w:rPr>
        <w:t>）；</w:t>
      </w:r>
    </w:p>
    <w:p w14:paraId="52CF1B66">
      <w:pPr>
        <w:pStyle w:val="62"/>
        <w:numPr>
          <w:ilvl w:val="0"/>
          <w:numId w:val="6"/>
        </w:numPr>
        <w:ind w:firstLineChars="0"/>
      </w:pPr>
      <w:r>
        <w:rPr>
          <w:rFonts w:hint="eastAsia"/>
        </w:rPr>
        <w:t>《公安视频图像信息应用系统》（</w:t>
      </w:r>
      <w:r>
        <w:t>GA-T1400.1-2017</w:t>
      </w:r>
      <w:r>
        <w:rPr>
          <w:rFonts w:hint="eastAsia"/>
        </w:rPr>
        <w:t>）；</w:t>
      </w:r>
    </w:p>
    <w:p w14:paraId="6E5AFC15">
      <w:pPr>
        <w:pStyle w:val="62"/>
        <w:numPr>
          <w:ilvl w:val="0"/>
          <w:numId w:val="6"/>
        </w:numPr>
        <w:ind w:firstLineChars="0"/>
      </w:pPr>
      <w:r>
        <w:rPr>
          <w:rFonts w:hint="eastAsia"/>
        </w:rPr>
        <w:t>《信息安全技术</w:t>
      </w:r>
      <w:r>
        <w:t xml:space="preserve"> </w:t>
      </w:r>
      <w:r>
        <w:rPr>
          <w:rFonts w:hint="eastAsia"/>
        </w:rPr>
        <w:t>网络安全等级保护实施指南》（</w:t>
      </w:r>
      <w:r>
        <w:t>GB/T 25058-2019</w:t>
      </w:r>
      <w:r>
        <w:rPr>
          <w:rFonts w:hint="eastAsia"/>
        </w:rPr>
        <w:t>）；</w:t>
      </w:r>
    </w:p>
    <w:p w14:paraId="33859E47">
      <w:pPr>
        <w:pStyle w:val="62"/>
        <w:numPr>
          <w:ilvl w:val="0"/>
          <w:numId w:val="6"/>
        </w:numPr>
        <w:adjustRightInd/>
        <w:ind w:firstLineChars="0"/>
        <w:textAlignment w:val="auto"/>
      </w:pPr>
      <w:r>
        <w:rPr>
          <w:rFonts w:hint="eastAsia"/>
        </w:rPr>
        <w:t>《信息安全技术</w:t>
      </w:r>
      <w:r>
        <w:t xml:space="preserve"> </w:t>
      </w:r>
      <w:r>
        <w:rPr>
          <w:rFonts w:hint="eastAsia"/>
        </w:rPr>
        <w:t>网络安全等级保护基本要求》（</w:t>
      </w:r>
      <w:r>
        <w:t>GB/T 22239-2019</w:t>
      </w:r>
      <w:r>
        <w:rPr>
          <w:rFonts w:hint="eastAsia"/>
        </w:rPr>
        <w:t>）；</w:t>
      </w:r>
    </w:p>
    <w:p w14:paraId="2815CBF5">
      <w:pPr>
        <w:pStyle w:val="62"/>
        <w:numPr>
          <w:ilvl w:val="0"/>
          <w:numId w:val="6"/>
        </w:numPr>
        <w:adjustRightInd/>
        <w:ind w:firstLineChars="0"/>
        <w:textAlignment w:val="auto"/>
      </w:pPr>
      <w:r>
        <w:rPr>
          <w:rFonts w:hint="eastAsia"/>
        </w:rPr>
        <w:t>《信息安全技术 网络安全等级保护定级指南》（</w:t>
      </w:r>
      <w:r>
        <w:t>GB/T 22240-2020</w:t>
      </w:r>
      <w:r>
        <w:rPr>
          <w:rFonts w:hint="eastAsia"/>
        </w:rPr>
        <w:t>）；</w:t>
      </w:r>
    </w:p>
    <w:p w14:paraId="673E3863">
      <w:pPr>
        <w:pStyle w:val="62"/>
        <w:numPr>
          <w:ilvl w:val="0"/>
          <w:numId w:val="6"/>
        </w:numPr>
        <w:ind w:firstLineChars="0"/>
      </w:pPr>
      <w:r>
        <w:rPr>
          <w:rFonts w:hint="eastAsia"/>
        </w:rPr>
        <w:t>《信息安全技术信息系统等级保护安全设计技术要求》</w:t>
      </w:r>
      <w:r>
        <w:t>GB/T25070-2010</w:t>
      </w:r>
      <w:r>
        <w:rPr>
          <w:rFonts w:hint="eastAsia"/>
        </w:rPr>
        <w:t>；</w:t>
      </w:r>
    </w:p>
    <w:p w14:paraId="59062B9E">
      <w:pPr>
        <w:pStyle w:val="62"/>
        <w:numPr>
          <w:ilvl w:val="0"/>
          <w:numId w:val="6"/>
        </w:numPr>
        <w:adjustRightInd/>
        <w:ind w:firstLineChars="0"/>
        <w:textAlignment w:val="auto"/>
      </w:pPr>
      <w:r>
        <w:rPr>
          <w:rFonts w:hint="eastAsia"/>
        </w:rPr>
        <w:t>《信息安全技术</w:t>
      </w:r>
      <w:r>
        <w:t xml:space="preserve"> </w:t>
      </w:r>
      <w:r>
        <w:rPr>
          <w:rFonts w:hint="eastAsia"/>
        </w:rPr>
        <w:t>网络安全等级保护测评要求》（</w:t>
      </w:r>
      <w:r>
        <w:t>GB/T 28448-2019</w:t>
      </w:r>
      <w:r>
        <w:rPr>
          <w:rFonts w:hint="eastAsia"/>
        </w:rPr>
        <w:t>）；</w:t>
      </w:r>
    </w:p>
    <w:p w14:paraId="5CC43DB0">
      <w:pPr>
        <w:pStyle w:val="62"/>
        <w:numPr>
          <w:ilvl w:val="0"/>
          <w:numId w:val="6"/>
        </w:numPr>
        <w:ind w:firstLineChars="0"/>
      </w:pPr>
      <w:r>
        <w:rPr>
          <w:rFonts w:hint="eastAsia"/>
        </w:rPr>
        <w:t>《城市监控报警联网系统技术标准》（</w:t>
      </w:r>
      <w:r>
        <w:t>GA/T 669-2008</w:t>
      </w:r>
      <w:r>
        <w:rPr>
          <w:rFonts w:hint="eastAsia"/>
        </w:rPr>
        <w:t>）；</w:t>
      </w:r>
    </w:p>
    <w:p w14:paraId="08AC138D">
      <w:pPr>
        <w:pStyle w:val="62"/>
        <w:numPr>
          <w:ilvl w:val="0"/>
          <w:numId w:val="6"/>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《2025年全市农村地区区际防控圈建设项目工作方案》</w:t>
      </w:r>
    </w:p>
    <w:p w14:paraId="2712C8FA">
      <w:pPr>
        <w:pStyle w:val="62"/>
        <w:numPr>
          <w:ilvl w:val="0"/>
          <w:numId w:val="6"/>
        </w:numPr>
        <w:adjustRightInd/>
        <w:ind w:firstLineChars="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现场调研及访谈资料。</w:t>
      </w:r>
    </w:p>
    <w:p w14:paraId="16B4E4F5">
      <w:pPr>
        <w:pStyle w:val="3"/>
      </w:pPr>
      <w:bookmarkStart w:id="7" w:name="_Toc73213432"/>
      <w:bookmarkStart w:id="8" w:name="_Toc166686067"/>
      <w:r>
        <w:rPr>
          <w:rFonts w:hint="eastAsia"/>
        </w:rPr>
        <w:t>项目建设目标</w:t>
      </w:r>
      <w:bookmarkEnd w:id="7"/>
      <w:bookmarkStart w:id="9" w:name="_Toc29885940"/>
      <w:bookmarkStart w:id="10" w:name="_Toc516399629"/>
      <w:r>
        <w:rPr>
          <w:rFonts w:hint="eastAsia"/>
        </w:rPr>
        <w:t>及</w:t>
      </w:r>
      <w:r>
        <w:t>内容</w:t>
      </w:r>
      <w:bookmarkEnd w:id="8"/>
      <w:bookmarkEnd w:id="9"/>
      <w:bookmarkEnd w:id="10"/>
    </w:p>
    <w:p w14:paraId="34C04A95">
      <w:pPr>
        <w:pStyle w:val="4"/>
      </w:pPr>
      <w:bookmarkStart w:id="11" w:name="_Toc166686068"/>
      <w:r>
        <w:rPr>
          <w:rFonts w:hint="eastAsia"/>
        </w:rPr>
        <w:t>建设目标</w:t>
      </w:r>
      <w:bookmarkEnd w:id="11"/>
    </w:p>
    <w:p w14:paraId="02332B1C">
      <w:pPr>
        <w:rPr>
          <w:szCs w:val="24"/>
        </w:rPr>
      </w:pPr>
      <w:r>
        <w:rPr>
          <w:rFonts w:hint="eastAsia"/>
          <w:szCs w:val="24"/>
        </w:rPr>
        <w:t>根据《公安信息化建设“十四五”规划》和《公安视频图像智能化建设应用指南》的总体要求，秉持“开放兼容、分层解耦”的理念，围绕智能化视频前端点位、视频传输网络、视频图像基础支撑服务、视图数据资源服务、视频图像智能应用、视频图像安全防护、视频图像运管和基础设施等方面，建设全时解析的“智感”前端，优化承载的“智联”网络，云边协同的“智算”环境，价值挖掘的“智萃”能力，全流程运维管控和立体化纵深防护的“智防”体系，全时段高效调阅、多要素解析比对、多维度关联分析、各警种普遍受益的“智惠”应用，全面提升公安工作智能化水平，以机器换人力、以智能增效能，最大限度地释放警力，提高公安机关核心战斗力。</w:t>
      </w:r>
    </w:p>
    <w:p w14:paraId="000982A1">
      <w:pPr>
        <w:rPr>
          <w:szCs w:val="24"/>
        </w:rPr>
      </w:pPr>
      <w:r>
        <w:rPr>
          <w:rFonts w:hint="eastAsia"/>
          <w:szCs w:val="24"/>
        </w:rPr>
        <w:t>紧紧围绕打、防、管、控的实际需求，加强公安业务需求与物联网、云平台技术、大数据技术对接，在更深层次上落实基础信息化建设创新，使得物联网、云平台技术和大数据技术能够在警务掌控、预警、实战方向找到实质的落地应用。通过视频图像、过车图像、人员图像的结构化分析，运用物联网技术、大数据技术实现车辆信息、人员信息的实时查询及分析。通过丰富的接口应用，与警用地理信息系统、机动车缉查布控系统业务系统等已有业务系统实现对接，为大数据挖掘分析和案件串并等深度应用提供技术支撑，充分发挥大数据研判的引擎作用，深化“人—车—物—案”的案件侦查新模式，深化“人—车—物—案”间的关联碰撞挖掘，打通各个信息资源库，使之互联互通、开放共享，更加便捷高效的处理巨量、复杂的警务数据，实现科学的预测预警，大幅提升全市警务资源数据的深度挖掘和综合开发、多维度应用效能，为我市社会治安提供有力的数据支撑。</w:t>
      </w:r>
    </w:p>
    <w:p w14:paraId="43BC4783">
      <w:pPr>
        <w:rPr>
          <w:szCs w:val="24"/>
        </w:rPr>
      </w:pPr>
      <w:r>
        <w:rPr>
          <w:rFonts w:hint="eastAsia"/>
          <w:szCs w:val="24"/>
        </w:rPr>
        <w:t>着力打造“点位精准覆盖、信息自动采集、要素智能管控、市县联动应用”的城乡一体感知网络，促进境内治安防控更有保障，平安社会建设成效更加显著，城乡居民安全感进一步增强。从“人防”转变为“智防”，建立起智慧化的安全控制力与威慑力，有效提升社会治理能力水平。</w:t>
      </w:r>
    </w:p>
    <w:p w14:paraId="6681734D">
      <w:pPr>
        <w:pStyle w:val="4"/>
      </w:pPr>
      <w:bookmarkStart w:id="12" w:name="_Toc166686069"/>
      <w:r>
        <w:rPr>
          <w:rFonts w:hint="eastAsia"/>
        </w:rPr>
        <w:t>建设内容</w:t>
      </w:r>
      <w:bookmarkEnd w:id="12"/>
    </w:p>
    <w:p w14:paraId="0CFA62D5">
      <w:pPr>
        <w:tabs>
          <w:tab w:val="center" w:pos="4155"/>
        </w:tabs>
        <w:spacing w:line="360" w:lineRule="auto"/>
        <w:rPr>
          <w:szCs w:val="24"/>
        </w:rPr>
      </w:pPr>
      <w:r>
        <w:rPr>
          <w:szCs w:val="24"/>
        </w:rPr>
        <w:t>按照“利旧、补盲、升级”三个维度，选择</w:t>
      </w:r>
      <w:r>
        <w:rPr>
          <w:rFonts w:hint="eastAsia"/>
          <w:szCs w:val="24"/>
        </w:rPr>
        <w:t>2</w:t>
      </w:r>
      <w:r>
        <w:rPr>
          <w:szCs w:val="24"/>
        </w:rPr>
        <w:t>种前端设备，在整体实现场景区域视频监控全覆盖、图像采集无盲区的前提下，统筹做好集约建设。</w:t>
      </w:r>
    </w:p>
    <w:p w14:paraId="7CAE4524">
      <w:pPr>
        <w:tabs>
          <w:tab w:val="center" w:pos="4155"/>
        </w:tabs>
        <w:spacing w:line="360" w:lineRule="auto"/>
        <w:rPr>
          <w:szCs w:val="24"/>
        </w:rPr>
      </w:pPr>
      <w:r>
        <w:rPr>
          <w:szCs w:val="24"/>
        </w:rPr>
        <w:t>重点围绕</w:t>
      </w:r>
      <w:r>
        <w:rPr>
          <w:rFonts w:hint="eastAsia"/>
          <w:szCs w:val="24"/>
        </w:rPr>
        <w:t>经济技术开发区与其它区县（盐南高新区，大丰区，亭湖区）交界处</w:t>
      </w:r>
      <w:r>
        <w:rPr>
          <w:szCs w:val="24"/>
        </w:rPr>
        <w:t>、</w:t>
      </w:r>
      <w:r>
        <w:rPr>
          <w:rFonts w:hint="eastAsia"/>
          <w:szCs w:val="24"/>
        </w:rPr>
        <w:t>区际</w:t>
      </w:r>
      <w:r>
        <w:rPr>
          <w:szCs w:val="24"/>
        </w:rPr>
        <w:t>道路“三口”区域等重点道路、桥梁、集市、村部、人员活动场所等典型场景。分类选择使用</w:t>
      </w:r>
    </w:p>
    <w:p w14:paraId="449F6605">
      <w:pPr>
        <w:tabs>
          <w:tab w:val="center" w:pos="4155"/>
        </w:tabs>
        <w:spacing w:line="360" w:lineRule="auto"/>
        <w:rPr>
          <w:szCs w:val="24"/>
        </w:rPr>
      </w:pPr>
      <w:r>
        <w:rPr>
          <w:rFonts w:hint="eastAsia" w:ascii="宋体" w:hAnsi="宋体" w:cs="宋体"/>
          <w:szCs w:val="24"/>
        </w:rPr>
        <w:t>⑴</w:t>
      </w:r>
      <w:r>
        <w:rPr>
          <w:rFonts w:hint="eastAsia"/>
          <w:szCs w:val="24"/>
        </w:rPr>
        <w:t>全结构化摄像机、</w:t>
      </w:r>
    </w:p>
    <w:p w14:paraId="3219B60B">
      <w:pPr>
        <w:tabs>
          <w:tab w:val="center" w:pos="4155"/>
        </w:tabs>
        <w:spacing w:line="360" w:lineRule="auto"/>
        <w:rPr>
          <w:szCs w:val="24"/>
        </w:rPr>
      </w:pPr>
      <w:r>
        <w:rPr>
          <w:rFonts w:hint="eastAsia" w:ascii="宋体" w:hAnsi="宋体" w:cs="宋体"/>
          <w:szCs w:val="24"/>
        </w:rPr>
        <w:t>⑵</w:t>
      </w:r>
      <w:r>
        <w:rPr>
          <w:rFonts w:hint="eastAsia"/>
          <w:szCs w:val="24"/>
        </w:rPr>
        <w:t>车辆卡口单元、</w:t>
      </w:r>
    </w:p>
    <w:p w14:paraId="1F6990E0">
      <w:pPr>
        <w:tabs>
          <w:tab w:val="center" w:pos="4155"/>
        </w:tabs>
        <w:spacing w:line="360" w:lineRule="auto"/>
        <w:rPr>
          <w:szCs w:val="24"/>
        </w:rPr>
      </w:pPr>
      <w:r>
        <w:rPr>
          <w:rFonts w:hint="eastAsia"/>
          <w:szCs w:val="24"/>
        </w:rPr>
        <w:t>2</w:t>
      </w:r>
      <w:r>
        <w:rPr>
          <w:szCs w:val="24"/>
        </w:rPr>
        <w:t>种前端设备。实现视频监控覆盖、机动车号牌识别、机动车基本特征识别、机动车前排人脸识别、非机动车骑行人员人脸识别、行人人脸识别、行人人体识别、行人步态识别等，为全市视频监控、人员、车辆、人体等感知数据汇聚做支撑。</w:t>
      </w:r>
    </w:p>
    <w:p w14:paraId="2FE7A2CA">
      <w:pPr>
        <w:tabs>
          <w:tab w:val="center" w:pos="4155"/>
        </w:tabs>
        <w:spacing w:line="360" w:lineRule="auto"/>
        <w:rPr>
          <w:szCs w:val="24"/>
        </w:rPr>
      </w:pPr>
      <w:r>
        <w:rPr>
          <w:rFonts w:hint="eastAsia"/>
          <w:szCs w:val="24"/>
        </w:rPr>
        <w:t>2</w:t>
      </w:r>
      <w:r>
        <w:rPr>
          <w:szCs w:val="24"/>
        </w:rPr>
        <w:t>种前端设备</w:t>
      </w:r>
      <w:r>
        <w:rPr>
          <w:rFonts w:hint="eastAsia"/>
          <w:szCs w:val="24"/>
        </w:rPr>
        <w:t>1</w:t>
      </w:r>
      <w:r>
        <w:rPr>
          <w:szCs w:val="24"/>
        </w:rPr>
        <w:t>类标准</w:t>
      </w:r>
    </w:p>
    <w:p w14:paraId="645CE8D0">
      <w:pPr>
        <w:tabs>
          <w:tab w:val="center" w:pos="4155"/>
        </w:tabs>
        <w:spacing w:line="360" w:lineRule="auto"/>
        <w:rPr>
          <w:szCs w:val="24"/>
        </w:rPr>
      </w:pPr>
      <w:r>
        <w:rPr>
          <w:szCs w:val="24"/>
        </w:rPr>
        <w:t></w:t>
      </w:r>
      <w:r>
        <w:rPr>
          <w:rFonts w:hint="eastAsia"/>
          <w:szCs w:val="24"/>
        </w:rPr>
        <w:t>全结构化摄像机，车辆卡口单元</w:t>
      </w:r>
    </w:p>
    <w:p w14:paraId="5B5C4DB3">
      <w:pPr>
        <w:tabs>
          <w:tab w:val="center" w:pos="4155"/>
        </w:tabs>
        <w:spacing w:line="360" w:lineRule="auto"/>
        <w:rPr>
          <w:szCs w:val="24"/>
        </w:rPr>
      </w:pPr>
      <w:r>
        <w:rPr>
          <w:szCs w:val="24"/>
        </w:rPr>
        <w:t xml:space="preserve">35114A级要求， </w:t>
      </w:r>
    </w:p>
    <w:p w14:paraId="7F1DB992">
      <w:pPr>
        <w:tabs>
          <w:tab w:val="center" w:pos="4155"/>
        </w:tabs>
        <w:spacing w:line="360" w:lineRule="auto"/>
        <w:rPr>
          <w:szCs w:val="24"/>
        </w:rPr>
      </w:pPr>
      <w:r>
        <w:rPr>
          <w:rFonts w:hint="eastAsia"/>
          <w:szCs w:val="24"/>
        </w:rPr>
        <w:t>3</w:t>
      </w:r>
      <w:r>
        <w:rPr>
          <w:szCs w:val="24"/>
        </w:rPr>
        <w:t>类建设场景</w:t>
      </w:r>
    </w:p>
    <w:p w14:paraId="3265054F">
      <w:pPr>
        <w:tabs>
          <w:tab w:val="center" w:pos="4155"/>
        </w:tabs>
        <w:spacing w:line="360" w:lineRule="auto"/>
        <w:rPr>
          <w:szCs w:val="24"/>
        </w:rPr>
      </w:pPr>
      <w:r>
        <w:rPr>
          <w:szCs w:val="24"/>
        </w:rPr>
        <w:t></w:t>
      </w:r>
      <w:r>
        <w:rPr>
          <w:rFonts w:hint="eastAsia"/>
          <w:szCs w:val="24"/>
        </w:rPr>
        <w:t>开发区</w:t>
      </w:r>
      <w:r>
        <w:rPr>
          <w:szCs w:val="24"/>
        </w:rPr>
        <w:t>出入口</w:t>
      </w:r>
    </w:p>
    <w:p w14:paraId="6889777F">
      <w:pPr>
        <w:tabs>
          <w:tab w:val="center" w:pos="4155"/>
        </w:tabs>
        <w:spacing w:line="360" w:lineRule="auto"/>
        <w:rPr>
          <w:szCs w:val="24"/>
        </w:rPr>
      </w:pPr>
      <w:r>
        <w:rPr>
          <w:szCs w:val="24"/>
        </w:rPr>
        <w:t></w:t>
      </w:r>
      <w:r>
        <w:rPr>
          <w:rFonts w:hint="eastAsia"/>
          <w:szCs w:val="24"/>
        </w:rPr>
        <w:t>区际</w:t>
      </w:r>
      <w:r>
        <w:rPr>
          <w:szCs w:val="24"/>
        </w:rPr>
        <w:t xml:space="preserve">道路“三口”区域等重点道路 </w:t>
      </w:r>
    </w:p>
    <w:p w14:paraId="7CBA2E22">
      <w:pPr>
        <w:tabs>
          <w:tab w:val="center" w:pos="4155"/>
        </w:tabs>
        <w:spacing w:line="360" w:lineRule="auto"/>
        <w:rPr>
          <w:szCs w:val="24"/>
        </w:rPr>
      </w:pPr>
      <w:r>
        <w:rPr>
          <w:szCs w:val="24"/>
        </w:rPr>
        <w:t>桥梁</w:t>
      </w:r>
    </w:p>
    <w:p w14:paraId="0D88B6E1">
      <w:pPr>
        <w:tabs>
          <w:tab w:val="center" w:pos="4155"/>
        </w:tabs>
        <w:spacing w:line="360" w:lineRule="auto"/>
        <w:rPr>
          <w:szCs w:val="24"/>
        </w:rPr>
      </w:pPr>
      <w:r>
        <w:rPr>
          <w:szCs w:val="24"/>
        </w:rPr>
        <w:t>3种存储数据</w:t>
      </w:r>
    </w:p>
    <w:p w14:paraId="50DC9833">
      <w:pPr>
        <w:tabs>
          <w:tab w:val="center" w:pos="4155"/>
        </w:tabs>
        <w:spacing w:line="360" w:lineRule="auto"/>
        <w:rPr>
          <w:szCs w:val="24"/>
        </w:rPr>
      </w:pPr>
      <w:r>
        <w:rPr>
          <w:szCs w:val="24"/>
        </w:rPr>
        <w:t>过车数据：≥3年</w:t>
      </w:r>
    </w:p>
    <w:p w14:paraId="39C7BACA">
      <w:pPr>
        <w:tabs>
          <w:tab w:val="center" w:pos="4155"/>
        </w:tabs>
        <w:spacing w:line="360" w:lineRule="auto"/>
        <w:rPr>
          <w:szCs w:val="24"/>
        </w:rPr>
      </w:pPr>
      <w:r>
        <w:rPr>
          <w:szCs w:val="24"/>
        </w:rPr>
        <w:t>图片数据：小图≥2年、大图≥1年</w:t>
      </w:r>
    </w:p>
    <w:p w14:paraId="3E559E31">
      <w:pPr>
        <w:tabs>
          <w:tab w:val="center" w:pos="4155"/>
        </w:tabs>
        <w:spacing w:line="360" w:lineRule="auto"/>
        <w:rPr>
          <w:szCs w:val="24"/>
        </w:rPr>
      </w:pPr>
      <w:r>
        <w:rPr>
          <w:szCs w:val="24"/>
        </w:rPr>
        <w:t>视频数据：重点部位≥90天、其他≥30天</w:t>
      </w:r>
    </w:p>
    <w:p w14:paraId="75A28A3A">
      <w:pPr>
        <w:tabs>
          <w:tab w:val="center" w:pos="4155"/>
        </w:tabs>
        <w:spacing w:line="360" w:lineRule="auto"/>
        <w:rPr>
          <w:szCs w:val="24"/>
        </w:rPr>
      </w:pPr>
      <w:r>
        <w:rPr>
          <w:rFonts w:hint="eastAsia"/>
          <w:szCs w:val="24"/>
        </w:rPr>
        <w:t>本期工程在区内85个主要路口及重点单元外围部署感知前端设备。建设内容包含感知前端部署与数据传输网络搭建，采用新建与利旧相结合的模式。通过复用现有杆件及光纤资源，提高政府资源利用效率。</w:t>
      </w:r>
    </w:p>
    <w:p w14:paraId="779DB765">
      <w:pPr>
        <w:tabs>
          <w:tab w:val="center" w:pos="4155"/>
        </w:tabs>
        <w:spacing w:line="360" w:lineRule="auto"/>
        <w:rPr>
          <w:szCs w:val="24"/>
        </w:rPr>
      </w:pPr>
      <w:r>
        <w:rPr>
          <w:rFonts w:hint="eastAsia"/>
          <w:szCs w:val="24"/>
        </w:rPr>
        <w:t>前端设备（含全结构化摄像机与车辆卡口单元）采集的数据，通过运营商专线光纤、区公安分局现有自建光纤传输，汇聚至租赁的区警务云存储资源（用于视频录像与抓拍图片）。系统平台基于现有设施进行数据接入与应用。</w:t>
      </w:r>
    </w:p>
    <w:p w14:paraId="7891A648">
      <w:pPr>
        <w:tabs>
          <w:tab w:val="center" w:pos="4155"/>
        </w:tabs>
        <w:spacing w:line="360" w:lineRule="auto"/>
        <w:rPr>
          <w:szCs w:val="24"/>
        </w:rPr>
      </w:pPr>
      <w:r>
        <w:rPr>
          <w:rFonts w:hint="eastAsia"/>
          <w:szCs w:val="24"/>
        </w:rPr>
        <w:t>本期新增设备规模：</w:t>
      </w:r>
    </w:p>
    <w:p w14:paraId="06A51D75">
      <w:pPr>
        <w:tabs>
          <w:tab w:val="center" w:pos="4155"/>
        </w:tabs>
        <w:spacing w:line="360" w:lineRule="auto"/>
        <w:rPr>
          <w:szCs w:val="24"/>
        </w:rPr>
      </w:pPr>
      <w:r>
        <w:rPr>
          <w:rFonts w:hint="eastAsia"/>
          <w:szCs w:val="24"/>
        </w:rPr>
        <w:t>全结构化摄像机：103套</w:t>
      </w:r>
    </w:p>
    <w:p w14:paraId="0767CA61">
      <w:pPr>
        <w:tabs>
          <w:tab w:val="center" w:pos="4155"/>
        </w:tabs>
        <w:spacing w:line="360" w:lineRule="auto"/>
        <w:rPr>
          <w:szCs w:val="24"/>
        </w:rPr>
      </w:pPr>
      <w:r>
        <w:rPr>
          <w:rFonts w:hint="eastAsia"/>
          <w:szCs w:val="24"/>
        </w:rPr>
        <w:t>车辆卡口单元：57套</w:t>
      </w:r>
    </w:p>
    <w:p w14:paraId="1E813CB1">
      <w:pPr>
        <w:widowControl/>
        <w:adjustRightInd/>
        <w:spacing w:line="240" w:lineRule="auto"/>
        <w:ind w:firstLine="0" w:firstLineChars="0"/>
        <w:jc w:val="left"/>
        <w:textAlignment w:val="auto"/>
        <w:rPr>
          <w:rFonts w:eastAsia="黑体"/>
        </w:rPr>
      </w:pPr>
      <w:r>
        <w:rPr>
          <w:rFonts w:eastAsia="黑体"/>
        </w:rPr>
        <w:br w:type="page"/>
      </w:r>
    </w:p>
    <w:p w14:paraId="6FF2A360">
      <w:pPr>
        <w:pStyle w:val="2"/>
        <w:pageBreakBefore w:val="0"/>
      </w:pPr>
      <w:bookmarkStart w:id="13" w:name="_Toc29885965"/>
      <w:bookmarkStart w:id="14" w:name="_Toc166686070"/>
      <w:r>
        <w:rPr>
          <w:rFonts w:hint="eastAsia"/>
        </w:rPr>
        <w:t>项目建设需求</w:t>
      </w:r>
      <w:bookmarkEnd w:id="13"/>
      <w:r>
        <w:rPr>
          <w:rFonts w:hint="eastAsia"/>
        </w:rPr>
        <w:t>分析</w:t>
      </w:r>
      <w:bookmarkEnd w:id="14"/>
    </w:p>
    <w:p w14:paraId="4A728998">
      <w:pPr>
        <w:pStyle w:val="3"/>
      </w:pPr>
      <w:bookmarkStart w:id="15" w:name="_Toc59224385"/>
      <w:bookmarkStart w:id="16" w:name="_Toc166686071"/>
      <w:r>
        <w:rPr>
          <w:rFonts w:hint="eastAsia"/>
        </w:rPr>
        <w:t>前端</w:t>
      </w:r>
      <w:bookmarkEnd w:id="15"/>
      <w:r>
        <w:rPr>
          <w:rFonts w:hint="eastAsia"/>
        </w:rPr>
        <w:t>建设需求</w:t>
      </w:r>
      <w:bookmarkEnd w:id="16"/>
    </w:p>
    <w:p w14:paraId="4CFED7C6">
      <w:pPr>
        <w:wordWrap w:val="0"/>
        <w:spacing w:line="360" w:lineRule="auto"/>
        <w:rPr>
          <w:szCs w:val="24"/>
        </w:rPr>
      </w:pPr>
      <w:bookmarkStart w:id="17" w:name="OLE_LINK5"/>
      <w:r>
        <w:rPr>
          <w:rFonts w:hint="eastAsia"/>
          <w:szCs w:val="24"/>
        </w:rPr>
        <w:t>1、智能设备全域覆盖</w:t>
      </w:r>
    </w:p>
    <w:p w14:paraId="67A8B2F9">
      <w:pPr>
        <w:wordWrap w:val="0"/>
        <w:spacing w:line="360" w:lineRule="auto"/>
        <w:rPr>
          <w:szCs w:val="24"/>
        </w:rPr>
      </w:pPr>
      <w:r>
        <w:rPr>
          <w:rFonts w:hint="eastAsia"/>
          <w:szCs w:val="24"/>
        </w:rPr>
        <w:t>在盐城市经济技术开发区与周边区县交界主要出入口、人员密集区及重点部位，全面部署人像抓拍、车辆抓拍前端及高清监控设备，实现行人、车辆及驾乘人员特征清晰采集，完整记录人车活动轨迹。</w:t>
      </w:r>
    </w:p>
    <w:p w14:paraId="4DE6F7D0">
      <w:pPr>
        <w:wordWrap w:val="0"/>
        <w:spacing w:line="360" w:lineRule="auto"/>
        <w:rPr>
          <w:szCs w:val="24"/>
        </w:rPr>
      </w:pPr>
      <w:r>
        <w:rPr>
          <w:rFonts w:hint="eastAsia"/>
          <w:szCs w:val="24"/>
        </w:rPr>
        <w:t>2、感知数据全量联网</w:t>
      </w:r>
    </w:p>
    <w:p w14:paraId="30BDBBFB">
      <w:pPr>
        <w:wordWrap w:val="0"/>
        <w:spacing w:line="360" w:lineRule="auto"/>
        <w:rPr>
          <w:szCs w:val="24"/>
        </w:rPr>
      </w:pPr>
      <w:r>
        <w:rPr>
          <w:rFonts w:hint="eastAsia"/>
          <w:szCs w:val="24"/>
        </w:rPr>
        <w:t>视频监控、人像识别、车辆抓拍等设施通过专用汇聚系统，接入公安机关数据平台，确保感知数据依法依规共享应用。</w:t>
      </w:r>
    </w:p>
    <w:p w14:paraId="79E168B8">
      <w:pPr>
        <w:wordWrap w:val="0"/>
        <w:spacing w:line="360" w:lineRule="auto"/>
        <w:rPr>
          <w:szCs w:val="24"/>
        </w:rPr>
      </w:pPr>
      <w:r>
        <w:rPr>
          <w:rFonts w:hint="eastAsia"/>
          <w:szCs w:val="24"/>
        </w:rPr>
        <w:t>3、运维管理规范达标</w:t>
      </w:r>
    </w:p>
    <w:p w14:paraId="6BD14259">
      <w:pPr>
        <w:wordWrap w:val="0"/>
        <w:spacing w:line="360" w:lineRule="auto"/>
        <w:rPr>
          <w:szCs w:val="24"/>
        </w:rPr>
      </w:pPr>
      <w:r>
        <w:rPr>
          <w:rFonts w:hint="eastAsia"/>
          <w:szCs w:val="24"/>
        </w:rPr>
        <w:t>按照"图像清晰可辨、数据可调可用、存储安全合规"标准，实施前端点位标准化管理，保障设备命名规范、时钟同步精准、存储容量充足。</w:t>
      </w:r>
      <w:bookmarkEnd w:id="17"/>
    </w:p>
    <w:p w14:paraId="79F12291">
      <w:pPr>
        <w:pStyle w:val="3"/>
        <w:spacing w:before="0" w:after="0" w:line="300" w:lineRule="auto"/>
      </w:pPr>
      <w:bookmarkStart w:id="18" w:name="_Toc78880494"/>
      <w:bookmarkStart w:id="19" w:name="_Toc166686072"/>
      <w:r>
        <w:rPr>
          <w:rFonts w:hint="eastAsia"/>
        </w:rPr>
        <w:t>后端存储扩容</w:t>
      </w:r>
      <w:bookmarkEnd w:id="18"/>
      <w:bookmarkEnd w:id="19"/>
    </w:p>
    <w:p w14:paraId="29C3B5CD">
      <w:pPr>
        <w:textAlignment w:val="auto"/>
        <w:rPr>
          <w:color w:val="000000" w:themeColor="text1"/>
          <w14:textFill>
            <w14:solidFill>
              <w14:schemeClr w14:val="tx1"/>
            </w14:solidFill>
          </w14:textFill>
        </w:rPr>
      </w:pPr>
      <w:r>
        <w:rPr>
          <w:rFonts w:hint="eastAsia"/>
        </w:rPr>
        <w:t>租用盐城市经济技术开发区警务云资源，基于运营商光纤专线构建加密传输通道，将前端摄像头采集的视频流及抓拍图片经专网地址加密封装后，实时回传至区警务云平台实施集中存储与管理。</w:t>
      </w:r>
    </w:p>
    <w:p w14:paraId="26748C56">
      <w:pPr>
        <w:wordWrap w:val="0"/>
        <w:autoSpaceDE w:val="0"/>
        <w:autoSpaceDN w:val="0"/>
        <w:spacing w:line="360" w:lineRule="auto"/>
      </w:pPr>
      <w:r>
        <w:rPr>
          <w:szCs w:val="24"/>
        </w:rPr>
        <w:t>完</w:t>
      </w:r>
      <w:r>
        <w:t>成前端监控视频存储，支持按时间、设备分类存储存储时间视频监控存储重点部位3个月，常用点位1个月；大图12个月，小图24个月，过车数据3年，反恐重点单位视频存储不少于90天。</w:t>
      </w:r>
    </w:p>
    <w:p w14:paraId="6038902A">
      <w:pPr>
        <w:wordWrap w:val="0"/>
        <w:autoSpaceDE w:val="0"/>
        <w:autoSpaceDN w:val="0"/>
        <w:spacing w:line="360" w:lineRule="auto"/>
      </w:pPr>
      <w:r>
        <w:rPr>
          <w:rFonts w:hint="eastAsia"/>
        </w:rPr>
        <w:t>存储系统提供自动透明的分级存储功能和分区存储功能。将单一文件系统分为大数据存储区和虚拟化存储区。将对容量要求较高的分析业务绑定在由大容量磁盘设备组成的大数据存储区（SATA磁盘分区），将IOPS要求较高的虚拟化业务绑定在由高速磁盘设备组成的虚拟化存储区（SSD固态盘分区）。</w:t>
      </w:r>
    </w:p>
    <w:p w14:paraId="74FF7BB0">
      <w:pPr>
        <w:wordWrap w:val="0"/>
        <w:autoSpaceDE w:val="0"/>
        <w:autoSpaceDN w:val="0"/>
        <w:spacing w:line="360" w:lineRule="auto"/>
      </w:pPr>
      <w:r>
        <w:rPr>
          <w:rFonts w:hint="eastAsia"/>
        </w:rPr>
        <w:t>对访问存储系统的用户实现权限管理与控制，支持不同用户对存储数据的读、写、删、查等不同权限的灵活组合。支持视频回放倍速调节、画面截图、片段下载，生成加密证据文件，满足公安侦查、司法取证等场景需求。</w:t>
      </w:r>
      <w:r>
        <w:t>提供视频检索功能，支持按时间、设备、违规行为等条件进行视频检索和回放。按时间范围检索视频（支持按天、按小时检索），按设备检索视频，支持指定设备的视频回放。支持视频快进、快退、暂停功能，方便用户查看细节。提供视频截图功能，支持将关键画面导出为图片。支持视频导出功能，支持将视频导出为标准格式（如MP4）</w:t>
      </w:r>
    </w:p>
    <w:p w14:paraId="75E524F3">
      <w:pPr>
        <w:wordWrap w:val="0"/>
        <w:autoSpaceDE w:val="0"/>
        <w:autoSpaceDN w:val="0"/>
        <w:spacing w:line="360" w:lineRule="auto"/>
      </w:pPr>
      <w:r>
        <w:rPr>
          <w:rFonts w:hint="eastAsia"/>
        </w:rPr>
        <w:t>存储系统采用盐城市经济技术开发区警务云租赁资源，一次性配置足量存储容量。警务云平台具备弹性扩展能力，可基于实际业务增长需求动态扩容，保障资源利用效率并避免业务中断。</w:t>
      </w:r>
    </w:p>
    <w:p w14:paraId="1492EE95">
      <w:pPr>
        <w:pStyle w:val="3"/>
        <w:spacing w:before="0" w:after="0" w:line="300" w:lineRule="auto"/>
      </w:pPr>
      <w:bookmarkStart w:id="20" w:name="_Toc78880496"/>
      <w:bookmarkStart w:id="21" w:name="_Toc166686073"/>
      <w:r>
        <w:t>网络</w:t>
      </w:r>
      <w:r>
        <w:rPr>
          <w:rFonts w:hint="eastAsia"/>
        </w:rPr>
        <w:t>传输配套</w:t>
      </w:r>
      <w:bookmarkEnd w:id="20"/>
      <w:bookmarkEnd w:id="21"/>
    </w:p>
    <w:p w14:paraId="4F4B617E">
      <w:pPr>
        <w:spacing w:line="360" w:lineRule="auto"/>
      </w:pPr>
      <w:r>
        <w:rPr>
          <w:rFonts w:hint="eastAsia"/>
        </w:rPr>
        <w:t>本项目采用点对点裸光纤直连架构构建监控数据传输专网，前端视频流直连盐城市经济技术开发区警务云平台进行集中存储与处理。</w:t>
      </w:r>
    </w:p>
    <w:p w14:paraId="19E7EEF3">
      <w:pPr>
        <w:spacing w:line="360" w:lineRule="auto"/>
      </w:pPr>
      <w:r>
        <w:rPr>
          <w:rFonts w:hint="eastAsia"/>
        </w:rPr>
        <w:t>在警务云数据中心侧，通过多路信号汇聚服务由运营商提供（本项目传输链路采用租用运营商专用光纤方案）。实现数据统一接入。传输链路设计带宽 ≥1280Mbps，基于系统高可靠性与未来扩容需求，推荐采用 2000Mbps冗余带宽组网方案，全面保障数据传输的 实时性、稳定性及可扩展性。</w:t>
      </w:r>
    </w:p>
    <w:p w14:paraId="68D41CD1">
      <w:pPr>
        <w:spacing w:line="360" w:lineRule="auto"/>
      </w:pPr>
      <w:r>
        <w:rPr>
          <w:rFonts w:hint="eastAsia"/>
        </w:rPr>
        <w:t>按当前160路监控设备规模测算，在设备总量不变的前提下，未来3-5年无需升级传输带宽。</w:t>
      </w:r>
    </w:p>
    <w:p w14:paraId="62FC0C51">
      <w:r>
        <w:rPr>
          <w:rFonts w:hint="eastAsia"/>
        </w:rPr>
        <w:t>前端点位接入所需网络设备及传输线路由运营商负责建设，经济技术开发区分局以租赁方式向运营商结算相关费用</w:t>
      </w:r>
      <w:r>
        <w:t>。</w:t>
      </w:r>
    </w:p>
    <w:p w14:paraId="7A716DDE">
      <w:pPr>
        <w:widowControl/>
        <w:adjustRightInd/>
        <w:spacing w:line="240" w:lineRule="auto"/>
        <w:ind w:firstLine="0" w:firstLineChars="0"/>
        <w:jc w:val="left"/>
        <w:textAlignment w:val="auto"/>
      </w:pPr>
    </w:p>
    <w:p w14:paraId="6C90DF46">
      <w:pPr>
        <w:widowControl/>
        <w:adjustRightInd/>
        <w:spacing w:line="240" w:lineRule="auto"/>
        <w:ind w:firstLine="0" w:firstLineChars="0"/>
        <w:jc w:val="left"/>
        <w:textAlignment w:val="auto"/>
      </w:pPr>
    </w:p>
    <w:p w14:paraId="268D6925">
      <w:pPr>
        <w:pStyle w:val="97"/>
        <w:ind w:firstLine="440"/>
        <w:rPr>
          <w:rFonts w:hint="eastAsia"/>
        </w:rPr>
        <w:sectPr>
          <w:headerReference r:id="rId10" w:type="default"/>
          <w:footerReference r:id="rId11" w:type="default"/>
          <w:pgSz w:w="11907" w:h="16840"/>
          <w:pgMar w:top="1701" w:right="1418" w:bottom="1418" w:left="1418" w:header="1134" w:footer="1021" w:gutter="0"/>
          <w:cols w:space="425" w:num="1"/>
          <w:docGrid w:linePitch="381" w:charSpace="0"/>
        </w:sectPr>
      </w:pPr>
      <w:r>
        <w:br w:type="page"/>
      </w:r>
    </w:p>
    <w:p w14:paraId="7DDF5D64">
      <w:pPr>
        <w:pStyle w:val="2"/>
        <w:pageBreakBefore w:val="0"/>
        <w:spacing w:before="0" w:after="0" w:line="300" w:lineRule="auto"/>
        <w:rPr>
          <w:rFonts w:cs="Times New Roman"/>
        </w:rPr>
      </w:pPr>
      <w:bookmarkStart w:id="22" w:name="_Toc78880502"/>
      <w:bookmarkStart w:id="23" w:name="_Toc166686074"/>
      <w:bookmarkStart w:id="24" w:name="_Toc29885987"/>
      <w:r>
        <w:rPr>
          <w:rFonts w:hint="eastAsia" w:cs="Times New Roman"/>
        </w:rPr>
        <w:t>详细设计</w:t>
      </w:r>
      <w:r>
        <w:rPr>
          <w:rFonts w:cs="Times New Roman"/>
        </w:rPr>
        <w:t>方案</w:t>
      </w:r>
      <w:bookmarkEnd w:id="22"/>
      <w:bookmarkEnd w:id="23"/>
      <w:bookmarkEnd w:id="24"/>
    </w:p>
    <w:p w14:paraId="014D2E38">
      <w:pPr>
        <w:pStyle w:val="3"/>
        <w:spacing w:before="0" w:after="0" w:line="300" w:lineRule="auto"/>
      </w:pPr>
      <w:bookmarkStart w:id="25" w:name="_Toc166686075"/>
      <w:r>
        <w:rPr>
          <w:rFonts w:hint="eastAsia"/>
        </w:rPr>
        <w:t>建设思路</w:t>
      </w:r>
      <w:bookmarkEnd w:id="25"/>
    </w:p>
    <w:p w14:paraId="28287B86">
      <w:pPr>
        <w:pStyle w:val="93"/>
        <w:ind w:firstLine="0" w:firstLineChars="0"/>
        <w:rPr>
          <w:rFonts w:cs="Times New Roman"/>
          <w:kern w:val="0"/>
          <w:szCs w:val="20"/>
        </w:rPr>
      </w:pPr>
      <w:r>
        <w:rPr>
          <w:rFonts w:hint="eastAsia" w:cs="Times New Roman"/>
          <w:kern w:val="0"/>
          <w:szCs w:val="20"/>
        </w:rPr>
        <w:t>部署全结构化摄像机与卡口单元组网，实现：</w:t>
      </w:r>
    </w:p>
    <w:p w14:paraId="34179846">
      <w:pPr>
        <w:pStyle w:val="93"/>
        <w:ind w:firstLine="0" w:firstLineChars="0"/>
        <w:rPr>
          <w:rFonts w:cs="Times New Roman"/>
          <w:kern w:val="0"/>
          <w:szCs w:val="20"/>
        </w:rPr>
      </w:pPr>
      <w:r>
        <w:rPr>
          <w:rFonts w:hint="eastAsia" w:cs="Times New Roman"/>
          <w:kern w:val="0"/>
          <w:szCs w:val="20"/>
        </w:rPr>
        <w:t>多目标实时跟踪（至少160个移动目标并发处理）</w:t>
      </w:r>
    </w:p>
    <w:p w14:paraId="0839920B">
      <w:pPr>
        <w:pStyle w:val="93"/>
        <w:ind w:firstLine="0" w:firstLineChars="0"/>
        <w:rPr>
          <w:rFonts w:cs="Times New Roman"/>
          <w:kern w:val="0"/>
          <w:szCs w:val="20"/>
        </w:rPr>
      </w:pPr>
      <w:r>
        <w:rPr>
          <w:rFonts w:hint="eastAsia" w:cs="Times New Roman"/>
          <w:kern w:val="0"/>
          <w:szCs w:val="20"/>
        </w:rPr>
        <w:t>人车全要素关联（车牌/人脸/衣着特征同步提取）</w:t>
      </w:r>
    </w:p>
    <w:p w14:paraId="23A476F5">
      <w:pPr>
        <w:pStyle w:val="93"/>
        <w:ind w:firstLine="0" w:firstLineChars="0"/>
        <w:rPr>
          <w:rFonts w:cs="Times New Roman"/>
          <w:kern w:val="0"/>
          <w:szCs w:val="20"/>
        </w:rPr>
      </w:pPr>
      <w:r>
        <w:rPr>
          <w:rFonts w:hint="eastAsia" w:cs="Times New Roman"/>
          <w:kern w:val="0"/>
          <w:szCs w:val="20"/>
        </w:rPr>
        <w:t>前排驾乘人员人脸抓拍（瞳距≥20像素）</w:t>
      </w:r>
    </w:p>
    <w:p w14:paraId="4E9959F7">
      <w:pPr>
        <w:pStyle w:val="93"/>
        <w:ind w:firstLine="0" w:firstLineChars="0"/>
        <w:rPr>
          <w:rFonts w:hint="eastAsia" w:cs="Times New Roman" w:asciiTheme="minorEastAsia" w:hAnsiTheme="minorEastAsia" w:eastAsiaTheme="minorEastAsia"/>
        </w:rPr>
      </w:pPr>
      <w:r>
        <w:rPr>
          <w:rFonts w:hint="eastAsia" w:cs="Times New Roman"/>
          <w:kern w:val="0"/>
          <w:szCs w:val="20"/>
        </w:rPr>
        <w:t>GA/T 1400结构化数据输出，支持GB 35114-2017标准化接入。</w:t>
      </w:r>
    </w:p>
    <w:p w14:paraId="76329D08">
      <w:pPr>
        <w:pStyle w:val="93"/>
        <w:ind w:firstLine="420" w:firstLineChars="0"/>
        <w:rPr>
          <w:rFonts w:hint="eastAsia" w:cs="Times New Roman" w:asciiTheme="minorEastAsia" w:hAnsiTheme="minorEastAsia" w:eastAsiaTheme="minorEastAsia"/>
          <w:b/>
        </w:rPr>
      </w:pPr>
      <w:r>
        <w:rPr>
          <w:rFonts w:hint="eastAsia" w:cs="Times New Roman" w:asciiTheme="minorEastAsia" w:hAnsiTheme="minorEastAsia" w:eastAsiaTheme="minorEastAsia"/>
          <w:b/>
        </w:rPr>
        <w:t>本工程设备选型建议如下：</w:t>
      </w:r>
    </w:p>
    <w:p w14:paraId="564B53AE">
      <w:pPr>
        <w:pStyle w:val="93"/>
        <w:ind w:firstLine="0" w:firstLineChars="0"/>
        <w:rPr>
          <w:rFonts w:hint="eastAsia" w:cs="Times New Roman" w:asciiTheme="minorEastAsia" w:hAnsiTheme="minorEastAsia" w:eastAsiaTheme="minorEastAsia"/>
          <w:b/>
        </w:rPr>
      </w:pPr>
      <w:r>
        <w:rPr>
          <w:rFonts w:hint="eastAsia" w:cs="Times New Roman" w:asciiTheme="minorEastAsia" w:hAnsiTheme="minorEastAsia" w:eastAsiaTheme="minorEastAsia"/>
          <w:b/>
        </w:rPr>
        <w:t>建设方式：利旧、补盲、升级</w:t>
      </w:r>
    </w:p>
    <w:p w14:paraId="22D6163A">
      <w:pPr>
        <w:pStyle w:val="93"/>
        <w:ind w:firstLine="0" w:firstLineChars="0"/>
        <w:rPr>
          <w:rFonts w:hint="eastAsia" w:cs="Times New Roman" w:asciiTheme="minorEastAsia" w:hAnsiTheme="minorEastAsia" w:eastAsiaTheme="minorEastAsia"/>
          <w:b/>
        </w:rPr>
      </w:pPr>
      <w:r>
        <w:rPr>
          <w:rFonts w:hint="eastAsia" w:cs="Times New Roman" w:asciiTheme="minorEastAsia" w:hAnsiTheme="minorEastAsia" w:eastAsiaTheme="minorEastAsia"/>
          <w:b/>
        </w:rPr>
        <w:t>建设场景：重点围绕全区人员/车辆出入口</w:t>
      </w:r>
    </w:p>
    <w:p w14:paraId="15DF56D4">
      <w:pPr>
        <w:pStyle w:val="93"/>
        <w:ind w:firstLine="0" w:firstLineChars="0"/>
        <w:rPr>
          <w:rFonts w:hint="eastAsia" w:cs="Times New Roman" w:asciiTheme="minorEastAsia" w:hAnsiTheme="minorEastAsia" w:eastAsiaTheme="minorEastAsia"/>
          <w:b/>
        </w:rPr>
      </w:pPr>
      <w:r>
        <w:rPr>
          <w:rFonts w:hint="eastAsia" w:cs="Times New Roman" w:asciiTheme="minorEastAsia" w:hAnsiTheme="minorEastAsia" w:eastAsiaTheme="minorEastAsia"/>
          <w:b/>
        </w:rPr>
        <w:t>建设设备：分类选择使用900万像素卡口摄像机，800万像素双通道结构化摄像机，两种前端设备</w:t>
      </w:r>
    </w:p>
    <w:p w14:paraId="5A2454D4">
      <w:pPr>
        <w:pStyle w:val="93"/>
        <w:ind w:firstLine="0" w:firstLineChars="0"/>
        <w:rPr>
          <w:rFonts w:hint="eastAsia" w:cs="Times New Roman" w:asciiTheme="minorEastAsia" w:hAnsiTheme="minorEastAsia" w:eastAsiaTheme="minorEastAsia"/>
          <w:b/>
        </w:rPr>
      </w:pPr>
      <w:r>
        <w:drawing>
          <wp:inline distT="0" distB="0" distL="0" distR="0">
            <wp:extent cx="5760085" cy="267716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760085" cy="2677160"/>
                    </a:xfrm>
                    <a:prstGeom prst="rect">
                      <a:avLst/>
                    </a:prstGeom>
                  </pic:spPr>
                </pic:pic>
              </a:graphicData>
            </a:graphic>
          </wp:inline>
        </w:drawing>
      </w:r>
    </w:p>
    <w:p w14:paraId="3BEFE9A3">
      <w:pPr>
        <w:pStyle w:val="93"/>
        <w:ind w:firstLine="0" w:firstLineChars="0"/>
        <w:rPr>
          <w:rFonts w:hint="eastAsia" w:cs="Times New Roman" w:asciiTheme="minorEastAsia" w:hAnsiTheme="minorEastAsia" w:eastAsiaTheme="minorEastAsia"/>
          <w:b/>
        </w:rPr>
      </w:pPr>
    </w:p>
    <w:p w14:paraId="44462D74">
      <w:pPr>
        <w:pStyle w:val="93"/>
        <w:ind w:firstLine="0" w:firstLineChars="0"/>
        <w:rPr>
          <w:rFonts w:hint="eastAsia" w:cs="Times New Roman" w:asciiTheme="minorEastAsia" w:hAnsiTheme="minorEastAsia" w:eastAsiaTheme="minorEastAsia"/>
          <w:b/>
        </w:rPr>
      </w:pPr>
    </w:p>
    <w:p w14:paraId="70D60385">
      <w:pPr>
        <w:pStyle w:val="93"/>
        <w:ind w:firstLine="0" w:firstLineChars="0"/>
        <w:rPr>
          <w:rFonts w:hint="eastAsia" w:cs="Times New Roman" w:asciiTheme="minorEastAsia" w:hAnsiTheme="minorEastAsia" w:eastAsiaTheme="minorEastAsia"/>
          <w:b/>
        </w:rPr>
      </w:pPr>
    </w:p>
    <w:p w14:paraId="12937269">
      <w:pPr>
        <w:pStyle w:val="93"/>
        <w:ind w:firstLine="0" w:firstLineChars="0"/>
        <w:rPr>
          <w:rFonts w:hint="eastAsia" w:cs="Times New Roman" w:asciiTheme="minorEastAsia" w:hAnsiTheme="minorEastAsia" w:eastAsiaTheme="minorEastAsia"/>
          <w:b/>
        </w:rPr>
      </w:pPr>
    </w:p>
    <w:p w14:paraId="17A65E3C">
      <w:pPr>
        <w:pStyle w:val="93"/>
        <w:ind w:firstLine="0" w:firstLineChars="0"/>
        <w:rPr>
          <w:rFonts w:hint="eastAsia" w:cs="Times New Roman" w:asciiTheme="minorEastAsia" w:hAnsiTheme="minorEastAsia" w:eastAsiaTheme="minorEastAsia"/>
          <w:b/>
        </w:rPr>
      </w:pPr>
    </w:p>
    <w:p w14:paraId="327C84CE">
      <w:pPr>
        <w:pStyle w:val="93"/>
        <w:ind w:firstLine="0" w:firstLineChars="0"/>
        <w:rPr>
          <w:rFonts w:hint="eastAsia" w:cs="Times New Roman" w:asciiTheme="minorEastAsia" w:hAnsiTheme="minorEastAsia" w:eastAsiaTheme="minorEastAsia"/>
          <w:b/>
        </w:rPr>
      </w:pPr>
    </w:p>
    <w:p w14:paraId="5FEEE3D5">
      <w:pPr>
        <w:pStyle w:val="93"/>
        <w:ind w:firstLine="0" w:firstLineChars="0"/>
        <w:rPr>
          <w:rFonts w:hint="eastAsia" w:cs="Times New Roman" w:asciiTheme="minorEastAsia" w:hAnsiTheme="minorEastAsia" w:eastAsiaTheme="minorEastAsia"/>
          <w:b/>
        </w:rPr>
      </w:pPr>
    </w:p>
    <w:p w14:paraId="6BF6D5CB">
      <w:pPr>
        <w:pStyle w:val="93"/>
        <w:ind w:firstLine="0" w:firstLineChars="0"/>
        <w:rPr>
          <w:rFonts w:hint="eastAsia" w:cs="Times New Roman" w:asciiTheme="minorEastAsia" w:hAnsiTheme="minorEastAsia" w:eastAsiaTheme="minorEastAsia"/>
          <w:b/>
        </w:rPr>
      </w:pPr>
    </w:p>
    <w:p w14:paraId="7D0EBCD6">
      <w:pPr>
        <w:pStyle w:val="3"/>
        <w:spacing w:before="0" w:after="0" w:line="300" w:lineRule="auto"/>
      </w:pPr>
      <w:bookmarkStart w:id="26" w:name="_Toc78880503"/>
      <w:bookmarkStart w:id="27" w:name="_Toc166686076"/>
      <w:r>
        <w:rPr>
          <w:rFonts w:hint="eastAsia"/>
        </w:rPr>
        <w:t>前端建设</w:t>
      </w:r>
      <w:bookmarkEnd w:id="26"/>
      <w:bookmarkEnd w:id="27"/>
    </w:p>
    <w:p w14:paraId="4CE8EA20">
      <w:pPr>
        <w:pStyle w:val="4"/>
      </w:pPr>
      <w:bookmarkStart w:id="28" w:name="_Toc166686077"/>
      <w:bookmarkStart w:id="29" w:name="_Toc77889663"/>
      <w:bookmarkStart w:id="30" w:name="_Toc29885990"/>
      <w:bookmarkStart w:id="31" w:name="_Toc29886033"/>
      <w:r>
        <w:t>视频监控</w:t>
      </w:r>
      <w:bookmarkEnd w:id="28"/>
      <w:bookmarkEnd w:id="29"/>
    </w:p>
    <w:p w14:paraId="1E6AA405">
      <w:pPr>
        <w:rPr>
          <w:rFonts w:hint="eastAsia" w:asciiTheme="minorEastAsia" w:hAnsiTheme="minorEastAsia" w:eastAsiaTheme="minorEastAsia"/>
          <w:szCs w:val="24"/>
        </w:rPr>
      </w:pPr>
      <w:r>
        <w:rPr>
          <w:rFonts w:asciiTheme="minorEastAsia" w:hAnsiTheme="minorEastAsia" w:eastAsiaTheme="minorEastAsia"/>
          <w:szCs w:val="24"/>
        </w:rPr>
        <w:t>（1）</w:t>
      </w:r>
      <w:r>
        <w:rPr>
          <w:rFonts w:hint="eastAsia" w:asciiTheme="minorEastAsia" w:hAnsiTheme="minorEastAsia" w:eastAsiaTheme="minorEastAsia"/>
          <w:szCs w:val="24"/>
        </w:rPr>
        <w:t>系统</w:t>
      </w:r>
      <w:r>
        <w:rPr>
          <w:rFonts w:asciiTheme="minorEastAsia" w:hAnsiTheme="minorEastAsia" w:eastAsiaTheme="minorEastAsia"/>
          <w:szCs w:val="24"/>
        </w:rPr>
        <w:t>概述</w:t>
      </w:r>
    </w:p>
    <w:p w14:paraId="7C2317D9">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视频监控是基于固定区域目标监测的全天候、多环境的视频监控，主要通过</w:t>
      </w:r>
      <w:r>
        <w:rPr>
          <w:rFonts w:hint="eastAsia" w:cs="Times New Roman" w:asciiTheme="minorEastAsia" w:hAnsiTheme="minorEastAsia" w:eastAsiaTheme="minorEastAsia"/>
        </w:rPr>
        <w:t>结构化枪机</w:t>
      </w:r>
      <w:r>
        <w:rPr>
          <w:rFonts w:cs="Times New Roman" w:asciiTheme="minorEastAsia" w:hAnsiTheme="minorEastAsia" w:eastAsiaTheme="minorEastAsia"/>
        </w:rPr>
        <w:t>进行构建，应采用黑光技术、可视域技术、主从跟踪系统、深度学习等先进技术，实现对各类场景、重点区域视频监控的“加密”式部署，开展因地制宜的场景式监控，</w:t>
      </w:r>
      <w:r>
        <w:rPr>
          <w:rFonts w:hint="eastAsia" w:cs="Times New Roman" w:asciiTheme="minorEastAsia" w:hAnsiTheme="minorEastAsia" w:eastAsiaTheme="minorEastAsia"/>
        </w:rPr>
        <w:t>数据采集，</w:t>
      </w:r>
      <w:r>
        <w:rPr>
          <w:rFonts w:cs="Times New Roman" w:asciiTheme="minorEastAsia" w:hAnsiTheme="minorEastAsia" w:eastAsiaTheme="minorEastAsia"/>
        </w:rPr>
        <w:t>全面提升立体化防控网络感知水平。</w:t>
      </w:r>
    </w:p>
    <w:p w14:paraId="6956DD56">
      <w:pPr>
        <w:rPr>
          <w:rFonts w:hint="eastAsia"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摄像机安装注意事项</w:t>
      </w:r>
    </w:p>
    <w:p w14:paraId="44760FAC">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1）部署位置应规避强磁等干扰源（例如雷达等）。</w:t>
      </w:r>
    </w:p>
    <w:p w14:paraId="004414C0">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2）摄像机安装时，尽量安装在固定的地方，摄像机的防抖功能和算法本身能对相机抖动进行一定程度的补偿，但是过大的晃动还是会影响到目标检测的准确性。</w:t>
      </w:r>
    </w:p>
    <w:p w14:paraId="4EDCC65E">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3）在未开启宽动态的功能下，摄像机视场内尽量不要出现天空等逆光场景。</w:t>
      </w:r>
    </w:p>
    <w:p w14:paraId="06B2DBF8">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4）为了让场景目标采集更加准确，设备安装时应避开遮挡物，安装高度需要保证能对目标场景画面的全覆盖，同时兼顾设备焦距调节的需求。</w:t>
      </w:r>
    </w:p>
    <w:p w14:paraId="16AD7676">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5）尽量避免选择玻璃、地砖、湖面等反光的场景。</w:t>
      </w:r>
    </w:p>
    <w:p w14:paraId="17A65DA5">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6）尽量避免狭小或者是过多遮蔽的监控现场。</w:t>
      </w:r>
    </w:p>
    <w:p w14:paraId="64632F13">
      <w:pPr>
        <w:pStyle w:val="4"/>
      </w:pPr>
      <w:bookmarkStart w:id="32" w:name="_Toc166686078"/>
      <w:bookmarkStart w:id="33" w:name="_Toc77889664"/>
      <w:r>
        <w:t>人脸抓拍场景</w:t>
      </w:r>
      <w:bookmarkEnd w:id="32"/>
      <w:bookmarkEnd w:id="33"/>
    </w:p>
    <w:p w14:paraId="4C11C537">
      <w:pPr>
        <w:rPr>
          <w:rFonts w:hint="eastAsia" w:asciiTheme="minorEastAsia" w:hAnsiTheme="minorEastAsia" w:eastAsiaTheme="minorEastAsia"/>
          <w:szCs w:val="24"/>
        </w:rPr>
      </w:pPr>
      <w:r>
        <w:rPr>
          <w:rFonts w:asciiTheme="minorEastAsia" w:hAnsiTheme="minorEastAsia" w:eastAsiaTheme="minorEastAsia"/>
          <w:szCs w:val="24"/>
        </w:rPr>
        <w:t>（1）概述</w:t>
      </w:r>
    </w:p>
    <w:p w14:paraId="60C7BC99">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人脸抓拍场景是指通过专业的智能人脸抓拍设备，在前端实现实时识别、抓拍、提取人脸照片。通过抓拍算法前置，可快速调整人脸区域曝光、人脸图像质量调优，从而统一规范输出人脸图像，降低后端服务器性能压力。</w:t>
      </w:r>
    </w:p>
    <w:p w14:paraId="699B2FD1">
      <w:pPr>
        <w:rPr>
          <w:rFonts w:hint="eastAsia" w:asciiTheme="minorEastAsia" w:hAnsiTheme="minorEastAsia" w:eastAsiaTheme="minorEastAsia"/>
          <w:szCs w:val="24"/>
        </w:rPr>
      </w:pPr>
      <w:r>
        <w:rPr>
          <w:rFonts w:asciiTheme="minorEastAsia" w:hAnsiTheme="minorEastAsia" w:eastAsiaTheme="minorEastAsia"/>
          <w:szCs w:val="24"/>
        </w:rPr>
        <w:t>人脸</w:t>
      </w:r>
      <w:r>
        <w:rPr>
          <w:rFonts w:hint="eastAsia" w:asciiTheme="minorEastAsia" w:hAnsiTheme="minorEastAsia" w:eastAsiaTheme="minorEastAsia"/>
          <w:szCs w:val="24"/>
        </w:rPr>
        <w:t>抓拍</w:t>
      </w:r>
      <w:r>
        <w:rPr>
          <w:rFonts w:asciiTheme="minorEastAsia" w:hAnsiTheme="minorEastAsia" w:eastAsiaTheme="minorEastAsia"/>
          <w:szCs w:val="24"/>
        </w:rPr>
        <w:t>布建场景主要小区人员</w:t>
      </w:r>
      <w:r>
        <w:rPr>
          <w:rFonts w:hint="eastAsia" w:asciiTheme="minorEastAsia" w:hAnsiTheme="minorEastAsia" w:eastAsiaTheme="minorEastAsia"/>
          <w:szCs w:val="24"/>
        </w:rPr>
        <w:t>的主要</w:t>
      </w:r>
      <w:r>
        <w:rPr>
          <w:rFonts w:asciiTheme="minorEastAsia" w:hAnsiTheme="minorEastAsia" w:eastAsiaTheme="minorEastAsia"/>
          <w:szCs w:val="24"/>
        </w:rPr>
        <w:t>出入口部位。</w:t>
      </w:r>
    </w:p>
    <w:p w14:paraId="018656E5">
      <w:pPr>
        <w:rPr>
          <w:rFonts w:hint="eastAsia" w:asciiTheme="minorEastAsia" w:hAnsiTheme="minorEastAsia" w:eastAsiaTheme="minorEastAsia"/>
          <w:szCs w:val="24"/>
        </w:rPr>
      </w:pPr>
      <w:r>
        <w:rPr>
          <w:rFonts w:asciiTheme="minorEastAsia" w:hAnsiTheme="minorEastAsia" w:eastAsiaTheme="minorEastAsia"/>
          <w:szCs w:val="24"/>
        </w:rPr>
        <w:t>（2）安装环境要求</w:t>
      </w:r>
    </w:p>
    <w:p w14:paraId="19C04D3C">
      <w:pPr>
        <w:rPr>
          <w:rFonts w:hint="eastAsia" w:asciiTheme="minorEastAsia" w:hAnsiTheme="minorEastAsia" w:eastAsiaTheme="minorEastAsia"/>
          <w:szCs w:val="24"/>
        </w:rPr>
      </w:pPr>
      <w:r>
        <w:rPr>
          <w:rFonts w:asciiTheme="minorEastAsia" w:hAnsiTheme="minorEastAsia" w:eastAsiaTheme="minorEastAsia"/>
          <w:szCs w:val="24"/>
        </w:rPr>
        <w:t>人脸识别准确率与摄像机安装位置、现场环境光线（如过暗、过亮）等因素影响极大。为保证系统有更好的效果，环境要求建议如下：</w:t>
      </w:r>
    </w:p>
    <w:p w14:paraId="015FB990">
      <w:pPr>
        <w:jc w:val="left"/>
        <w:rPr>
          <w:rFonts w:hint="eastAsia" w:asciiTheme="minorEastAsia" w:hAnsiTheme="minorEastAsia" w:eastAsiaTheme="minorEastAsia"/>
          <w:szCs w:val="24"/>
        </w:rPr>
      </w:pPr>
      <w:r>
        <w:rPr>
          <w:rFonts w:asciiTheme="minorEastAsia" w:hAnsiTheme="minorEastAsia" w:eastAsiaTheme="minorEastAsia"/>
          <w:szCs w:val="24"/>
        </w:rPr>
        <w:t>1）选择具有标准的人员通道或者出入口的安装环境，以规范人员具有唯一的通行方向，确保摄像机能够抓拍到该方向上所有进入或者离开人员的正脸。</w:t>
      </w:r>
    </w:p>
    <w:p w14:paraId="505E8238">
      <w:pPr>
        <w:jc w:val="left"/>
        <w:rPr>
          <w:rFonts w:hint="eastAsia" w:asciiTheme="minorEastAsia" w:hAnsiTheme="minorEastAsia" w:eastAsiaTheme="minorEastAsia"/>
          <w:szCs w:val="24"/>
        </w:rPr>
      </w:pPr>
      <w:r>
        <w:rPr>
          <w:rFonts w:asciiTheme="minorEastAsia" w:hAnsiTheme="minorEastAsia" w:eastAsiaTheme="minorEastAsia"/>
          <w:szCs w:val="24"/>
        </w:rPr>
        <w:t>2）选择具有稳定、充足的光照环境，在背光条件及光线不足条件下要求补光，确保人脸特征的清晰可见。</w:t>
      </w:r>
    </w:p>
    <w:p w14:paraId="54B689AE">
      <w:pPr>
        <w:rPr>
          <w:rFonts w:hint="eastAsia" w:asciiTheme="minorEastAsia" w:hAnsiTheme="minorEastAsia" w:eastAsiaTheme="minorEastAsia"/>
          <w:szCs w:val="24"/>
        </w:rPr>
      </w:pPr>
      <w:r>
        <w:rPr>
          <w:rFonts w:asciiTheme="minorEastAsia" w:hAnsiTheme="minorEastAsia" w:eastAsiaTheme="minorEastAsia"/>
          <w:szCs w:val="24"/>
        </w:rPr>
        <w:t>（3）摄像机安装要求</w:t>
      </w:r>
    </w:p>
    <w:p w14:paraId="79CCB20C">
      <w:pPr>
        <w:rPr>
          <w:rFonts w:hint="eastAsia" w:asciiTheme="minorEastAsia" w:hAnsiTheme="minorEastAsia" w:eastAsiaTheme="minorEastAsia"/>
          <w:szCs w:val="24"/>
        </w:rPr>
      </w:pPr>
      <w:r>
        <w:rPr>
          <w:rFonts w:asciiTheme="minorEastAsia" w:hAnsiTheme="minorEastAsia" w:eastAsiaTheme="minorEastAsia"/>
          <w:szCs w:val="24"/>
        </w:rPr>
        <w:t>智能人脸抓拍摄像机安装位置非常重要，一旦安装位置不佳，对人脸识别的准确率有很大影响，安装时需要引起重视。</w:t>
      </w:r>
    </w:p>
    <w:p w14:paraId="3CD76E65">
      <w:pPr>
        <w:tabs>
          <w:tab w:val="left" w:pos="284"/>
        </w:tabs>
        <w:jc w:val="center"/>
        <w:rPr>
          <w:rFonts w:hint="eastAsia" w:asciiTheme="minorEastAsia" w:hAnsiTheme="minorEastAsia" w:eastAsiaTheme="minorEastAsia"/>
          <w:szCs w:val="24"/>
        </w:rPr>
      </w:pPr>
      <w:r>
        <w:rPr>
          <w:rFonts w:asciiTheme="minorEastAsia" w:hAnsiTheme="minorEastAsia" w:eastAsiaTheme="minorEastAsia"/>
          <w:szCs w:val="24"/>
        </w:rPr>
        <w:drawing>
          <wp:inline distT="0" distB="0" distL="0" distR="0">
            <wp:extent cx="4895850" cy="3048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95850" cy="3048000"/>
                    </a:xfrm>
                    <a:prstGeom prst="rect">
                      <a:avLst/>
                    </a:prstGeom>
                    <a:noFill/>
                    <a:ln>
                      <a:noFill/>
                    </a:ln>
                  </pic:spPr>
                </pic:pic>
              </a:graphicData>
            </a:graphic>
          </wp:inline>
        </w:drawing>
      </w:r>
    </w:p>
    <w:p w14:paraId="2FB2F23B">
      <w:pPr>
        <w:pStyle w:val="12"/>
        <w:adjustRightInd/>
        <w:spacing w:line="360" w:lineRule="auto"/>
        <w:ind w:firstLineChars="0"/>
        <w:jc w:val="center"/>
        <w:textAlignment w:val="auto"/>
        <w:rPr>
          <w:rFonts w:hint="eastAsia" w:asciiTheme="minorEastAsia" w:hAnsiTheme="minorEastAsia" w:eastAsiaTheme="minorEastAsia"/>
          <w:b/>
          <w:sz w:val="21"/>
          <w:szCs w:val="21"/>
        </w:rPr>
      </w:pPr>
      <w:r>
        <w:rPr>
          <w:rFonts w:asciiTheme="minorEastAsia" w:hAnsiTheme="minorEastAsia" w:eastAsiaTheme="minorEastAsia"/>
          <w:b/>
          <w:sz w:val="21"/>
          <w:szCs w:val="21"/>
        </w:rPr>
        <w:t>智能人脸抓拍摄像机安装示意图</w:t>
      </w:r>
    </w:p>
    <w:p w14:paraId="7F039D98">
      <w:pPr>
        <w:rPr>
          <w:rFonts w:hint="eastAsia" w:asciiTheme="minorEastAsia" w:hAnsiTheme="minorEastAsia" w:eastAsiaTheme="minorEastAsia"/>
          <w:szCs w:val="24"/>
        </w:rPr>
      </w:pPr>
      <w:r>
        <w:rPr>
          <w:rFonts w:asciiTheme="minorEastAsia" w:hAnsiTheme="minorEastAsia" w:eastAsiaTheme="minorEastAsia"/>
          <w:szCs w:val="24"/>
        </w:rPr>
        <w:t>智能人脸抓拍摄像机安装位置选择规范如下：</w:t>
      </w:r>
    </w:p>
    <w:p w14:paraId="48C1BA18">
      <w:pPr>
        <w:rPr>
          <w:rFonts w:hint="eastAsia" w:asciiTheme="minorEastAsia" w:hAnsiTheme="minorEastAsia" w:eastAsiaTheme="minorEastAsia"/>
          <w:szCs w:val="24"/>
        </w:rPr>
      </w:pPr>
      <w:r>
        <w:rPr>
          <w:rFonts w:asciiTheme="minorEastAsia" w:hAnsiTheme="minorEastAsia" w:eastAsiaTheme="minorEastAsia"/>
          <w:szCs w:val="24"/>
        </w:rPr>
        <w:t>1）摄像机设在通道正前方，正面抓拍人脸，水平方向偏转角度&lt;25°，越小越好。</w:t>
      </w:r>
    </w:p>
    <w:p w14:paraId="4B0CF785">
      <w:pPr>
        <w:rPr>
          <w:rFonts w:hint="eastAsia" w:asciiTheme="minorEastAsia" w:hAnsiTheme="minorEastAsia" w:eastAsiaTheme="minorEastAsia"/>
          <w:szCs w:val="24"/>
        </w:rPr>
      </w:pPr>
      <w:r>
        <w:rPr>
          <w:rFonts w:asciiTheme="minorEastAsia" w:hAnsiTheme="minorEastAsia" w:eastAsiaTheme="minorEastAsia"/>
          <w:szCs w:val="24"/>
        </w:rPr>
        <w:t>2）摄像机安装需具有一定俯视角度，避免一前一后人员经过通道时后方人脸被遮挡，垂直方向俯视角度α=15±5°。</w:t>
      </w:r>
    </w:p>
    <w:p w14:paraId="4B808A20">
      <w:pPr>
        <w:rPr>
          <w:rFonts w:hint="eastAsia" w:asciiTheme="minorEastAsia" w:hAnsiTheme="minorEastAsia" w:eastAsiaTheme="minorEastAsia"/>
          <w:szCs w:val="24"/>
        </w:rPr>
      </w:pPr>
      <w:r>
        <w:rPr>
          <w:rFonts w:asciiTheme="minorEastAsia" w:hAnsiTheme="minorEastAsia" w:eastAsiaTheme="minorEastAsia"/>
          <w:szCs w:val="24"/>
        </w:rPr>
        <w:t>3）抓拍图片中要辨清人脸细节要求人脸覆盖的像素大于120像素点，</w:t>
      </w:r>
      <w:r>
        <w:rPr>
          <w:rFonts w:hint="eastAsia" w:asciiTheme="minorEastAsia" w:hAnsiTheme="minorEastAsia" w:eastAsiaTheme="minorEastAsia"/>
          <w:szCs w:val="24"/>
        </w:rPr>
        <w:t>800</w:t>
      </w:r>
      <w:r>
        <w:rPr>
          <w:rFonts w:asciiTheme="minorEastAsia" w:hAnsiTheme="minorEastAsia" w:eastAsiaTheme="minorEastAsia"/>
          <w:szCs w:val="24"/>
        </w:rPr>
        <w:t>万摄像机人脸检测位置的实际宽度V≤2.5米，</w:t>
      </w:r>
      <w:r>
        <w:rPr>
          <w:rFonts w:hint="eastAsia" w:asciiTheme="minorEastAsia" w:hAnsiTheme="minorEastAsia" w:eastAsiaTheme="minorEastAsia"/>
          <w:szCs w:val="24"/>
        </w:rPr>
        <w:t>900</w:t>
      </w:r>
      <w:r>
        <w:rPr>
          <w:rFonts w:asciiTheme="minorEastAsia" w:hAnsiTheme="minorEastAsia" w:eastAsiaTheme="minorEastAsia"/>
          <w:szCs w:val="24"/>
        </w:rPr>
        <w:t xml:space="preserve">万摄像机人脸检测位置的实际宽度V≤4.0米。 </w:t>
      </w:r>
    </w:p>
    <w:p w14:paraId="1D3FBB2E">
      <w:pPr>
        <w:rPr>
          <w:rFonts w:hint="eastAsia" w:asciiTheme="minorEastAsia" w:hAnsiTheme="minorEastAsia" w:eastAsiaTheme="minorEastAsia"/>
          <w:szCs w:val="24"/>
        </w:rPr>
      </w:pPr>
      <w:r>
        <w:rPr>
          <w:rFonts w:asciiTheme="minorEastAsia" w:hAnsiTheme="minorEastAsia" w:eastAsiaTheme="minorEastAsia"/>
          <w:szCs w:val="24"/>
        </w:rPr>
        <w:t>4）摄像机镜头至人员通道出入口中间空旷、无遮挡。</w:t>
      </w:r>
    </w:p>
    <w:p w14:paraId="30FC871D">
      <w:pPr>
        <w:rPr>
          <w:rFonts w:hint="eastAsia" w:asciiTheme="minorEastAsia" w:hAnsiTheme="minorEastAsia" w:eastAsiaTheme="minorEastAsia"/>
          <w:szCs w:val="24"/>
        </w:rPr>
      </w:pPr>
      <w:r>
        <w:rPr>
          <w:rFonts w:asciiTheme="minorEastAsia" w:hAnsiTheme="minorEastAsia" w:eastAsiaTheme="minorEastAsia"/>
          <w:szCs w:val="24"/>
        </w:rPr>
        <w:t>（4）部署高度及监控距离</w:t>
      </w:r>
    </w:p>
    <w:p w14:paraId="62D82E3D">
      <w:pPr>
        <w:rPr>
          <w:rFonts w:hint="eastAsia" w:asciiTheme="minorEastAsia" w:hAnsiTheme="minorEastAsia" w:eastAsiaTheme="minorEastAsia"/>
          <w:szCs w:val="24"/>
        </w:rPr>
      </w:pPr>
      <w:r>
        <w:rPr>
          <w:rFonts w:asciiTheme="minorEastAsia" w:hAnsiTheme="minorEastAsia" w:eastAsiaTheme="minorEastAsia"/>
          <w:szCs w:val="24"/>
        </w:rPr>
        <w:t>不同的相机、镜头焦距、监控的宽度也决定了其不同的监控距离和摄像机架设。</w:t>
      </w:r>
    </w:p>
    <w:p w14:paraId="1A72B7AC">
      <w:pPr>
        <w:rPr>
          <w:rFonts w:hint="eastAsia" w:asciiTheme="minorEastAsia" w:hAnsiTheme="minorEastAsia" w:eastAsiaTheme="minorEastAsia"/>
          <w:szCs w:val="24"/>
        </w:rPr>
      </w:pPr>
      <w:r>
        <w:rPr>
          <w:rFonts w:asciiTheme="minorEastAsia" w:hAnsiTheme="minorEastAsia" w:eastAsiaTheme="minorEastAsia"/>
          <w:szCs w:val="24"/>
        </w:rPr>
        <w:t>镜头架设高度为：H = tan(α°)×D+1.5。其中，D为监控距离，人头部以下高度取平均值1.5米，α为摄像机俯视角度，推荐俯视角度为10°，tan(10°)≈0.18，tan(15°)≈0.27，tan(20°)≈0.36。</w:t>
      </w:r>
    </w:p>
    <w:p w14:paraId="3DFD0F56">
      <w:pPr>
        <w:pStyle w:val="4"/>
      </w:pPr>
      <w:bookmarkStart w:id="34" w:name="_Toc77889665"/>
      <w:bookmarkStart w:id="35" w:name="_Toc166686079"/>
      <w:r>
        <w:t>人车混行抓拍场景</w:t>
      </w:r>
      <w:bookmarkEnd w:id="34"/>
      <w:bookmarkEnd w:id="35"/>
    </w:p>
    <w:p w14:paraId="30422585">
      <w:pPr>
        <w:rPr>
          <w:rFonts w:hint="eastAsia" w:asciiTheme="minorEastAsia" w:hAnsiTheme="minorEastAsia" w:eastAsiaTheme="minorEastAsia"/>
          <w:szCs w:val="24"/>
        </w:rPr>
      </w:pPr>
      <w:r>
        <w:rPr>
          <w:rFonts w:asciiTheme="minorEastAsia" w:hAnsiTheme="minorEastAsia" w:eastAsiaTheme="minorEastAsia"/>
          <w:szCs w:val="24"/>
        </w:rPr>
        <w:t>（1）概述</w:t>
      </w:r>
    </w:p>
    <w:p w14:paraId="74A61988">
      <w:pPr>
        <w:rPr>
          <w:rFonts w:hint="eastAsia" w:asciiTheme="minorEastAsia" w:hAnsiTheme="minorEastAsia" w:eastAsiaTheme="minorEastAsia"/>
          <w:szCs w:val="24"/>
        </w:rPr>
      </w:pPr>
      <w:r>
        <w:rPr>
          <w:rFonts w:asciiTheme="minorEastAsia" w:hAnsiTheme="minorEastAsia" w:eastAsiaTheme="minorEastAsia"/>
          <w:szCs w:val="24"/>
        </w:rPr>
        <w:t>人车混行抓拍检测场景是指在复杂人车混合场景中实现人员（人体、人脸）及车辆（非机动车、机动车）的自动检测及抓拍，输出人体、车辆结构化属性，此外可以将抓拍的人体、人脸自动关联，方便作进一步业务应用。</w:t>
      </w:r>
    </w:p>
    <w:p w14:paraId="232E7BC8">
      <w:pPr>
        <w:rPr>
          <w:rFonts w:hint="eastAsia" w:asciiTheme="minorEastAsia" w:hAnsiTheme="minorEastAsia" w:eastAsiaTheme="minorEastAsia"/>
          <w:szCs w:val="24"/>
        </w:rPr>
      </w:pPr>
      <w:r>
        <w:rPr>
          <w:rFonts w:asciiTheme="minorEastAsia" w:hAnsiTheme="minorEastAsia" w:eastAsiaTheme="minorEastAsia"/>
          <w:szCs w:val="24"/>
        </w:rPr>
        <w:t>（2）安装部署场景</w:t>
      </w:r>
    </w:p>
    <w:p w14:paraId="494F676C">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1）推荐标准安装方式分两类场景：人车混行、人车分离，根据安装高度、盲区、挑壁长度、覆盖范围这几个要素，选择适合的安装位置。</w:t>
      </w:r>
    </w:p>
    <w:p w14:paraId="063F63D1">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2）人车混行道路，相机架设路中间，兼顾行人和车辆的抓拍。人车分离道路，相机安装在非机动车道与机动车分离界面，有效抓拍范围为一车道的车辆、来往的行人，最大不得超过10米宽，对30km/h以内行驶车辆进行抓拍。</w:t>
      </w:r>
    </w:p>
    <w:p w14:paraId="48E50AA3">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3）夜晚抓拍需要加装常亮补光灯，以保证车辆抓拍率。注意补光灯与全局摄像机保持0.5~1米的水平距离，以近处车辆补光为主。</w:t>
      </w:r>
    </w:p>
    <w:p w14:paraId="15D5F485">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4）全局摄像机安装时，注意俯视角度的调整，使画面有效覆盖车辆检测区域，建议在盲区边缘处摆块红砖，调整俯视角直至画面小边缘出现红砖即可。</w:t>
      </w:r>
    </w:p>
    <w:p w14:paraId="4C125BF8">
      <w:pPr>
        <w:pStyle w:val="93"/>
        <w:ind w:firstLine="480"/>
        <w:rPr>
          <w:rFonts w:hint="eastAsia" w:cs="Times New Roman" w:asciiTheme="minorEastAsia" w:hAnsiTheme="minorEastAsia" w:eastAsiaTheme="minorEastAsia"/>
        </w:rPr>
      </w:pPr>
      <w:r>
        <w:rPr>
          <w:rFonts w:cs="Times New Roman" w:asciiTheme="minorEastAsia" w:hAnsiTheme="minorEastAsia" w:eastAsiaTheme="minorEastAsia"/>
        </w:rPr>
        <w:t>5）推荐车辆抓拍距离为到立杆点8-15米。</w:t>
      </w:r>
    </w:p>
    <w:p w14:paraId="775F2822">
      <w:pPr>
        <w:jc w:val="center"/>
        <w:rPr>
          <w:rFonts w:hint="eastAsia" w:asciiTheme="minorEastAsia" w:hAnsiTheme="minorEastAsia" w:eastAsiaTheme="minorEastAsia"/>
          <w:szCs w:val="24"/>
        </w:rPr>
      </w:pPr>
      <w:r>
        <w:rPr>
          <w:rFonts w:asciiTheme="minorEastAsia" w:hAnsiTheme="minorEastAsia" w:eastAsiaTheme="minorEastAsia"/>
          <w:szCs w:val="24"/>
        </w:rPr>
        <w:drawing>
          <wp:inline distT="0" distB="0" distL="0" distR="0">
            <wp:extent cx="5289550" cy="4051300"/>
            <wp:effectExtent l="0" t="0" r="635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89550" cy="4051300"/>
                    </a:xfrm>
                    <a:prstGeom prst="rect">
                      <a:avLst/>
                    </a:prstGeom>
                    <a:noFill/>
                    <a:ln>
                      <a:noFill/>
                    </a:ln>
                  </pic:spPr>
                </pic:pic>
              </a:graphicData>
            </a:graphic>
          </wp:inline>
        </w:drawing>
      </w:r>
    </w:p>
    <w:p w14:paraId="1893A7E6">
      <w:pPr>
        <w:pStyle w:val="12"/>
        <w:adjustRightInd/>
        <w:spacing w:line="360" w:lineRule="auto"/>
        <w:ind w:firstLineChars="0"/>
        <w:jc w:val="center"/>
        <w:textAlignment w:val="auto"/>
        <w:rPr>
          <w:rFonts w:hint="eastAsia" w:asciiTheme="minorEastAsia" w:hAnsiTheme="minorEastAsia" w:eastAsiaTheme="minorEastAsia"/>
          <w:b/>
          <w:sz w:val="21"/>
          <w:szCs w:val="21"/>
        </w:rPr>
      </w:pPr>
      <w:r>
        <w:rPr>
          <w:rFonts w:asciiTheme="minorEastAsia" w:hAnsiTheme="minorEastAsia" w:eastAsiaTheme="minorEastAsia"/>
          <w:b/>
          <w:sz w:val="21"/>
          <w:szCs w:val="21"/>
        </w:rPr>
        <w:t>人车混行抓拍安装示意图</w:t>
      </w:r>
    </w:p>
    <w:p w14:paraId="739CECA8">
      <w:pPr>
        <w:pStyle w:val="4"/>
      </w:pPr>
      <w:bookmarkStart w:id="36" w:name="_Toc77889666"/>
      <w:bookmarkStart w:id="37" w:name="_Toc166686080"/>
      <w:r>
        <w:t>车辆</w:t>
      </w:r>
      <w:r>
        <w:rPr>
          <w:rFonts w:hint="eastAsia"/>
        </w:rPr>
        <w:t>抓拍</w:t>
      </w:r>
      <w:r>
        <w:t>系统</w:t>
      </w:r>
      <w:bookmarkEnd w:id="36"/>
      <w:bookmarkEnd w:id="37"/>
    </w:p>
    <w:p w14:paraId="662FDB85">
      <w:pPr>
        <w:rPr>
          <w:rFonts w:hint="eastAsia" w:asciiTheme="minorEastAsia" w:hAnsiTheme="minorEastAsia" w:eastAsiaTheme="minorEastAsia"/>
          <w:szCs w:val="24"/>
        </w:rPr>
      </w:pPr>
      <w:r>
        <w:rPr>
          <w:rFonts w:asciiTheme="minorEastAsia" w:hAnsiTheme="minorEastAsia" w:eastAsiaTheme="minorEastAsia"/>
          <w:szCs w:val="24"/>
        </w:rPr>
        <w:t>（1）概述</w:t>
      </w:r>
    </w:p>
    <w:p w14:paraId="55056C22">
      <w:pPr>
        <w:rPr>
          <w:rFonts w:hint="eastAsia" w:asciiTheme="minorEastAsia" w:hAnsiTheme="minorEastAsia" w:eastAsiaTheme="minorEastAsia"/>
          <w:szCs w:val="24"/>
        </w:rPr>
      </w:pPr>
      <w:r>
        <w:rPr>
          <w:rFonts w:asciiTheme="minorEastAsia" w:hAnsiTheme="minorEastAsia" w:eastAsiaTheme="minorEastAsia"/>
          <w:szCs w:val="24"/>
        </w:rPr>
        <w:t>车辆</w:t>
      </w:r>
      <w:r>
        <w:rPr>
          <w:rFonts w:hint="eastAsia" w:asciiTheme="minorEastAsia" w:hAnsiTheme="minorEastAsia" w:eastAsiaTheme="minorEastAsia"/>
          <w:szCs w:val="24"/>
        </w:rPr>
        <w:t>抓拍</w:t>
      </w:r>
      <w:r>
        <w:rPr>
          <w:rFonts w:asciiTheme="minorEastAsia" w:hAnsiTheme="minorEastAsia" w:eastAsiaTheme="minorEastAsia"/>
          <w:szCs w:val="24"/>
        </w:rPr>
        <w:t>系统是指通过车辆</w:t>
      </w:r>
      <w:r>
        <w:rPr>
          <w:rFonts w:hint="eastAsia" w:asciiTheme="minorEastAsia" w:hAnsiTheme="minorEastAsia" w:eastAsiaTheme="minorEastAsia"/>
          <w:szCs w:val="24"/>
        </w:rPr>
        <w:t>全结构化</w:t>
      </w:r>
      <w:r>
        <w:rPr>
          <w:rFonts w:asciiTheme="minorEastAsia" w:hAnsiTheme="minorEastAsia" w:eastAsiaTheme="minorEastAsia"/>
          <w:szCs w:val="24"/>
        </w:rPr>
        <w:t>抓拍设备，实现对所有经过车辆进行捕获和记录通行车辆信息，并能对机动车特征属性（车牌号码、车牌颜色、车身颜色、车辆类型、车辆标志、车辆子品牌等）自动提取。另外在补光条件允许的情况下，采用视频检测技术还对车辆内部特征属性、驾驶员行为等进行检测识别，同时将驾驶员人脸图片抠出，并与车辆信息进行自动关联，为公安机关针对人员和车辆的管控提供了关联手段。</w:t>
      </w:r>
    </w:p>
    <w:p w14:paraId="4C1246FE">
      <w:pPr>
        <w:rPr>
          <w:rFonts w:hint="eastAsia" w:asciiTheme="minorEastAsia" w:hAnsiTheme="minorEastAsia" w:eastAsiaTheme="minorEastAsia"/>
          <w:szCs w:val="24"/>
        </w:rPr>
      </w:pPr>
      <w:r>
        <w:rPr>
          <w:rFonts w:asciiTheme="minorEastAsia" w:hAnsiTheme="minorEastAsia" w:eastAsiaTheme="minorEastAsia"/>
          <w:szCs w:val="24"/>
        </w:rPr>
        <w:t>（2）安装部署场景</w:t>
      </w:r>
    </w:p>
    <w:p w14:paraId="743A54AA">
      <w:pPr>
        <w:rPr>
          <w:rFonts w:hint="eastAsia" w:asciiTheme="minorEastAsia" w:hAnsiTheme="minorEastAsia" w:eastAsiaTheme="minorEastAsia"/>
          <w:szCs w:val="24"/>
        </w:rPr>
      </w:pPr>
      <w:r>
        <w:rPr>
          <w:rFonts w:asciiTheme="minorEastAsia" w:hAnsiTheme="minorEastAsia" w:eastAsiaTheme="minorEastAsia"/>
          <w:szCs w:val="24"/>
        </w:rPr>
        <w:t>在</w:t>
      </w:r>
      <w:r>
        <w:rPr>
          <w:rFonts w:hint="eastAsia" w:asciiTheme="minorEastAsia" w:hAnsiTheme="minorEastAsia" w:eastAsiaTheme="minorEastAsia"/>
          <w:szCs w:val="24"/>
        </w:rPr>
        <w:t>路口的抓拍位置需注意以下几点</w:t>
      </w:r>
      <w:r>
        <w:rPr>
          <w:rFonts w:asciiTheme="minorEastAsia" w:hAnsiTheme="minorEastAsia" w:eastAsiaTheme="minorEastAsia"/>
          <w:szCs w:val="24"/>
        </w:rPr>
        <w:t>：</w:t>
      </w:r>
    </w:p>
    <w:p w14:paraId="7CCEE827">
      <w:pPr>
        <w:rPr>
          <w:rFonts w:hint="eastAsia" w:asciiTheme="minorEastAsia" w:hAnsiTheme="minorEastAsia" w:eastAsiaTheme="minorEastAsia"/>
          <w:szCs w:val="24"/>
        </w:rPr>
      </w:pPr>
      <w:r>
        <w:rPr>
          <w:rFonts w:asciiTheme="minorEastAsia" w:hAnsiTheme="minorEastAsia" w:eastAsiaTheme="minorEastAsia"/>
          <w:szCs w:val="24"/>
        </w:rPr>
        <w:t>1）</w:t>
      </w:r>
      <w:r>
        <w:rPr>
          <w:rFonts w:hint="eastAsia" w:asciiTheme="minorEastAsia" w:hAnsiTheme="minorEastAsia" w:eastAsiaTheme="minorEastAsia"/>
          <w:szCs w:val="24"/>
        </w:rPr>
        <w:t>安装位置不宜有遮挡，不背光</w:t>
      </w:r>
    </w:p>
    <w:p w14:paraId="28AD1DAD">
      <w:pPr>
        <w:rPr>
          <w:rFonts w:hint="eastAsia" w:asciiTheme="minorEastAsia" w:hAnsiTheme="minorEastAsia" w:eastAsiaTheme="minorEastAsia"/>
          <w:szCs w:val="24"/>
        </w:rPr>
      </w:pPr>
      <w:r>
        <w:rPr>
          <w:rFonts w:asciiTheme="minorEastAsia" w:hAnsiTheme="minorEastAsia" w:eastAsiaTheme="minorEastAsia"/>
          <w:szCs w:val="24"/>
        </w:rPr>
        <w:t>2）</w:t>
      </w:r>
      <w:r>
        <w:rPr>
          <w:rFonts w:hint="eastAsia" w:asciiTheme="minorEastAsia" w:hAnsiTheme="minorEastAsia" w:eastAsiaTheme="minorEastAsia"/>
          <w:szCs w:val="24"/>
        </w:rPr>
        <w:t>抓拍设备在</w:t>
      </w:r>
      <w:r>
        <w:rPr>
          <w:rFonts w:asciiTheme="minorEastAsia" w:hAnsiTheme="minorEastAsia" w:eastAsiaTheme="minorEastAsia"/>
          <w:szCs w:val="24"/>
        </w:rPr>
        <w:t>车辆特别多，易排队的</w:t>
      </w:r>
      <w:r>
        <w:rPr>
          <w:rFonts w:hint="eastAsia" w:asciiTheme="minorEastAsia" w:hAnsiTheme="minorEastAsia" w:eastAsiaTheme="minorEastAsia"/>
          <w:szCs w:val="24"/>
        </w:rPr>
        <w:t>的场景下需安装更高位置，</w:t>
      </w:r>
      <w:r>
        <w:rPr>
          <w:rFonts w:asciiTheme="minorEastAsia" w:hAnsiTheme="minorEastAsia" w:eastAsiaTheme="minorEastAsia"/>
          <w:szCs w:val="24"/>
        </w:rPr>
        <w:t>车辆排队且相邻近容易造成跟车现象，这样后面的车牌和人脸都看不到。</w:t>
      </w:r>
    </w:p>
    <w:p w14:paraId="63EBA076">
      <w:pPr>
        <w:pStyle w:val="4"/>
        <w:ind w:left="226"/>
      </w:pPr>
      <w:bookmarkStart w:id="38" w:name="_Toc166686081"/>
      <w:r>
        <w:t>前端</w:t>
      </w:r>
      <w:r>
        <w:rPr>
          <w:rFonts w:hint="eastAsia"/>
        </w:rPr>
        <w:t>建设明细</w:t>
      </w:r>
      <w:bookmarkEnd w:id="38"/>
    </w:p>
    <w:p w14:paraId="2F8B16CB">
      <w:pPr>
        <w:rPr>
          <w:color w:val="000000" w:themeColor="text1"/>
          <w:szCs w:val="24"/>
          <w14:textFill>
            <w14:solidFill>
              <w14:schemeClr w14:val="tx1"/>
            </w14:solidFill>
          </w14:textFill>
        </w:rPr>
      </w:pPr>
      <w:r>
        <w:rPr>
          <w:rFonts w:hint="eastAsia"/>
          <w:szCs w:val="24"/>
        </w:rPr>
        <w:t>本项目点位分布如下：</w:t>
      </w:r>
    </w:p>
    <w:tbl>
      <w:tblPr>
        <w:tblStyle w:val="31"/>
        <w:tblW w:w="8921" w:type="dxa"/>
        <w:tblInd w:w="0" w:type="dxa"/>
        <w:tblLayout w:type="autofit"/>
        <w:tblCellMar>
          <w:top w:w="0" w:type="dxa"/>
          <w:left w:w="108" w:type="dxa"/>
          <w:bottom w:w="0" w:type="dxa"/>
          <w:right w:w="108" w:type="dxa"/>
        </w:tblCellMar>
      </w:tblPr>
      <w:tblGrid>
        <w:gridCol w:w="940"/>
        <w:gridCol w:w="4295"/>
        <w:gridCol w:w="2080"/>
        <w:gridCol w:w="1606"/>
      </w:tblGrid>
      <w:tr w14:paraId="68B14F4F">
        <w:tblPrEx>
          <w:tblCellMar>
            <w:top w:w="0" w:type="dxa"/>
            <w:left w:w="108" w:type="dxa"/>
            <w:bottom w:w="0" w:type="dxa"/>
            <w:right w:w="108" w:type="dxa"/>
          </w:tblCellMar>
        </w:tblPrEx>
        <w:trPr>
          <w:trHeight w:val="402" w:hRule="atLeast"/>
        </w:trPr>
        <w:tc>
          <w:tcPr>
            <w:tcW w:w="940" w:type="dxa"/>
            <w:tcBorders>
              <w:top w:val="single" w:color="auto" w:sz="8" w:space="0"/>
              <w:left w:val="single" w:color="auto" w:sz="8" w:space="0"/>
              <w:bottom w:val="single" w:color="auto" w:sz="4" w:space="0"/>
              <w:right w:val="single" w:color="auto" w:sz="4" w:space="0"/>
            </w:tcBorders>
            <w:noWrap/>
            <w:vAlign w:val="center"/>
          </w:tcPr>
          <w:p w14:paraId="05F63534">
            <w:pPr>
              <w:widowControl/>
              <w:ind w:firstLine="482"/>
              <w:jc w:val="center"/>
              <w:rPr>
                <w:rFonts w:hint="eastAsia" w:ascii="宋体" w:hAnsi="宋体" w:cs="宋体"/>
                <w:b/>
                <w:bCs/>
                <w:color w:val="000000"/>
              </w:rPr>
            </w:pPr>
            <w:r>
              <w:rPr>
                <w:rFonts w:hint="eastAsia" w:ascii="宋体" w:hAnsi="宋体" w:cs="宋体"/>
                <w:b/>
                <w:bCs/>
                <w:color w:val="000000"/>
              </w:rPr>
              <w:t>序号</w:t>
            </w:r>
          </w:p>
        </w:tc>
        <w:tc>
          <w:tcPr>
            <w:tcW w:w="4295" w:type="dxa"/>
            <w:tcBorders>
              <w:top w:val="single" w:color="auto" w:sz="8" w:space="0"/>
              <w:left w:val="nil"/>
              <w:bottom w:val="single" w:color="auto" w:sz="4" w:space="0"/>
              <w:right w:val="single" w:color="auto" w:sz="4" w:space="0"/>
            </w:tcBorders>
            <w:noWrap/>
            <w:vAlign w:val="center"/>
          </w:tcPr>
          <w:p w14:paraId="5163BBFE">
            <w:pPr>
              <w:widowControl/>
              <w:ind w:firstLine="482"/>
              <w:jc w:val="center"/>
              <w:rPr>
                <w:rFonts w:hint="eastAsia" w:ascii="宋体" w:hAnsi="宋体" w:cs="宋体"/>
                <w:b/>
                <w:bCs/>
                <w:color w:val="000000"/>
              </w:rPr>
            </w:pPr>
            <w:r>
              <w:rPr>
                <w:rFonts w:hint="eastAsia" w:ascii="宋体" w:hAnsi="宋体" w:cs="宋体"/>
                <w:b/>
                <w:bCs/>
                <w:color w:val="000000"/>
              </w:rPr>
              <w:t>点位名称</w:t>
            </w:r>
          </w:p>
        </w:tc>
        <w:tc>
          <w:tcPr>
            <w:tcW w:w="2080" w:type="dxa"/>
            <w:tcBorders>
              <w:top w:val="single" w:color="auto" w:sz="8" w:space="0"/>
              <w:left w:val="nil"/>
              <w:bottom w:val="single" w:color="auto" w:sz="4" w:space="0"/>
              <w:right w:val="single" w:color="auto" w:sz="4" w:space="0"/>
            </w:tcBorders>
            <w:noWrap/>
            <w:vAlign w:val="center"/>
          </w:tcPr>
          <w:p w14:paraId="7A2FF0A3">
            <w:pPr>
              <w:widowControl/>
              <w:ind w:firstLine="482"/>
              <w:jc w:val="center"/>
              <w:rPr>
                <w:rFonts w:hint="eastAsia" w:ascii="宋体" w:hAnsi="宋体" w:cs="宋体"/>
                <w:b/>
                <w:bCs/>
                <w:color w:val="000000"/>
              </w:rPr>
            </w:pPr>
            <w:r>
              <w:rPr>
                <w:rFonts w:hint="eastAsia" w:ascii="宋体" w:hAnsi="宋体" w:cs="宋体"/>
                <w:b/>
                <w:bCs/>
                <w:color w:val="000000"/>
              </w:rPr>
              <w:t>全结构化摄像机</w:t>
            </w:r>
          </w:p>
        </w:tc>
        <w:tc>
          <w:tcPr>
            <w:tcW w:w="1606" w:type="dxa"/>
            <w:tcBorders>
              <w:top w:val="single" w:color="auto" w:sz="8" w:space="0"/>
              <w:left w:val="nil"/>
              <w:bottom w:val="single" w:color="auto" w:sz="4" w:space="0"/>
              <w:right w:val="single" w:color="auto" w:sz="4" w:space="0"/>
            </w:tcBorders>
            <w:noWrap/>
            <w:vAlign w:val="center"/>
          </w:tcPr>
          <w:p w14:paraId="1C2F969A">
            <w:pPr>
              <w:widowControl/>
              <w:ind w:firstLine="482"/>
              <w:jc w:val="left"/>
              <w:rPr>
                <w:rFonts w:hint="eastAsia" w:ascii="宋体" w:hAnsi="宋体" w:cs="宋体"/>
                <w:b/>
                <w:bCs/>
                <w:color w:val="000000"/>
              </w:rPr>
            </w:pPr>
            <w:r>
              <w:rPr>
                <w:rFonts w:hint="eastAsia" w:ascii="宋体" w:hAnsi="宋体" w:cs="宋体"/>
                <w:b/>
                <w:bCs/>
                <w:color w:val="000000"/>
              </w:rPr>
              <w:t>车辆卡口单元</w:t>
            </w:r>
          </w:p>
        </w:tc>
      </w:tr>
      <w:tr w14:paraId="56DD7387">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753C80D5">
            <w:pPr>
              <w:widowControl/>
              <w:ind w:firstLine="482"/>
              <w:jc w:val="center"/>
              <w:rPr>
                <w:rFonts w:hint="eastAsia" w:ascii="宋体" w:hAnsi="宋体" w:cs="宋体"/>
                <w:b/>
                <w:bCs/>
                <w:color w:val="000000"/>
              </w:rPr>
            </w:pPr>
            <w:r>
              <w:rPr>
                <w:rFonts w:hint="eastAsia" w:ascii="宋体" w:hAnsi="宋体" w:cs="宋体"/>
                <w:b/>
                <w:bCs/>
                <w:color w:val="000000"/>
              </w:rPr>
              <w:t>1</w:t>
            </w:r>
          </w:p>
        </w:tc>
        <w:tc>
          <w:tcPr>
            <w:tcW w:w="4295" w:type="dxa"/>
            <w:tcBorders>
              <w:top w:val="nil"/>
              <w:left w:val="nil"/>
              <w:bottom w:val="single" w:color="auto" w:sz="4" w:space="0"/>
              <w:right w:val="single" w:color="auto" w:sz="4" w:space="0"/>
            </w:tcBorders>
            <w:noWrap/>
            <w:vAlign w:val="bottom"/>
          </w:tcPr>
          <w:p w14:paraId="2D27643D">
            <w:pPr>
              <w:widowControl/>
              <w:ind w:firstLine="482"/>
              <w:jc w:val="left"/>
              <w:rPr>
                <w:rFonts w:hint="eastAsia" w:ascii="宋体" w:hAnsi="宋体" w:cs="宋体"/>
                <w:b/>
                <w:bCs/>
                <w:color w:val="000000"/>
              </w:rPr>
            </w:pPr>
            <w:r>
              <w:rPr>
                <w:rFonts w:hint="eastAsia" w:ascii="宋体" w:hAnsi="宋体" w:cs="宋体"/>
                <w:b/>
                <w:bCs/>
                <w:color w:val="000000"/>
              </w:rPr>
              <w:t>新洼亭湖美满村二组交界</w:t>
            </w:r>
          </w:p>
        </w:tc>
        <w:tc>
          <w:tcPr>
            <w:tcW w:w="2080" w:type="dxa"/>
            <w:tcBorders>
              <w:top w:val="nil"/>
              <w:left w:val="nil"/>
              <w:bottom w:val="single" w:color="auto" w:sz="4" w:space="0"/>
              <w:right w:val="single" w:color="auto" w:sz="4" w:space="0"/>
            </w:tcBorders>
            <w:noWrap/>
            <w:vAlign w:val="bottom"/>
          </w:tcPr>
          <w:p w14:paraId="5B3D518C">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A6E5C72">
            <w:pPr>
              <w:widowControl/>
              <w:jc w:val="center"/>
              <w:rPr>
                <w:rFonts w:hint="eastAsia" w:ascii="宋体" w:hAnsi="宋体" w:cs="宋体"/>
                <w:color w:val="000000"/>
              </w:rPr>
            </w:pPr>
            <w:r>
              <w:rPr>
                <w:rFonts w:hint="eastAsia" w:ascii="宋体" w:hAnsi="宋体" w:cs="宋体"/>
                <w:color w:val="000000"/>
              </w:rPr>
              <w:t>2</w:t>
            </w:r>
          </w:p>
        </w:tc>
      </w:tr>
      <w:tr w14:paraId="7FE7D9DD">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08A5F463">
            <w:pPr>
              <w:widowControl/>
              <w:ind w:firstLine="482"/>
              <w:jc w:val="center"/>
              <w:rPr>
                <w:rFonts w:hint="eastAsia" w:ascii="宋体" w:hAnsi="宋体" w:cs="宋体"/>
                <w:b/>
                <w:bCs/>
                <w:color w:val="000000"/>
              </w:rPr>
            </w:pPr>
            <w:r>
              <w:rPr>
                <w:rFonts w:hint="eastAsia" w:ascii="宋体" w:hAnsi="宋体" w:cs="宋体"/>
                <w:b/>
                <w:bCs/>
                <w:color w:val="000000"/>
              </w:rPr>
              <w:t>2</w:t>
            </w:r>
          </w:p>
        </w:tc>
        <w:tc>
          <w:tcPr>
            <w:tcW w:w="4295" w:type="dxa"/>
            <w:tcBorders>
              <w:top w:val="nil"/>
              <w:left w:val="nil"/>
              <w:bottom w:val="single" w:color="auto" w:sz="4" w:space="0"/>
              <w:right w:val="single" w:color="auto" w:sz="4" w:space="0"/>
            </w:tcBorders>
            <w:noWrap/>
            <w:vAlign w:val="bottom"/>
          </w:tcPr>
          <w:p w14:paraId="619D347B">
            <w:pPr>
              <w:widowControl/>
              <w:ind w:firstLine="482"/>
              <w:jc w:val="left"/>
              <w:rPr>
                <w:rFonts w:hint="eastAsia" w:ascii="宋体" w:hAnsi="宋体" w:cs="宋体"/>
                <w:b/>
                <w:bCs/>
                <w:color w:val="000000"/>
              </w:rPr>
            </w:pPr>
            <w:r>
              <w:rPr>
                <w:rFonts w:hint="eastAsia" w:ascii="宋体" w:hAnsi="宋体" w:cs="宋体"/>
                <w:b/>
                <w:bCs/>
                <w:color w:val="000000"/>
              </w:rPr>
              <w:t>新洼与226省道交界</w:t>
            </w:r>
          </w:p>
        </w:tc>
        <w:tc>
          <w:tcPr>
            <w:tcW w:w="2080" w:type="dxa"/>
            <w:tcBorders>
              <w:top w:val="nil"/>
              <w:left w:val="nil"/>
              <w:bottom w:val="single" w:color="auto" w:sz="4" w:space="0"/>
              <w:right w:val="single" w:color="auto" w:sz="4" w:space="0"/>
            </w:tcBorders>
            <w:noWrap/>
            <w:vAlign w:val="bottom"/>
          </w:tcPr>
          <w:p w14:paraId="66F34D90">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EF38952">
            <w:pPr>
              <w:widowControl/>
              <w:jc w:val="center"/>
              <w:rPr>
                <w:rFonts w:hint="eastAsia" w:ascii="宋体" w:hAnsi="宋体" w:cs="宋体"/>
                <w:color w:val="000000"/>
              </w:rPr>
            </w:pPr>
            <w:r>
              <w:rPr>
                <w:rFonts w:hint="eastAsia" w:ascii="宋体" w:hAnsi="宋体" w:cs="宋体"/>
                <w:color w:val="000000"/>
              </w:rPr>
              <w:t>2</w:t>
            </w:r>
          </w:p>
        </w:tc>
      </w:tr>
      <w:tr w14:paraId="4F33CB94">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7C9DF3A2">
            <w:pPr>
              <w:widowControl/>
              <w:ind w:firstLine="482"/>
              <w:jc w:val="center"/>
              <w:rPr>
                <w:rFonts w:hint="eastAsia" w:ascii="宋体" w:hAnsi="宋体" w:cs="宋体"/>
                <w:b/>
                <w:bCs/>
                <w:color w:val="000000"/>
              </w:rPr>
            </w:pPr>
            <w:r>
              <w:rPr>
                <w:rFonts w:hint="eastAsia" w:ascii="宋体" w:hAnsi="宋体" w:cs="宋体"/>
                <w:b/>
                <w:bCs/>
                <w:color w:val="000000"/>
              </w:rPr>
              <w:t>3</w:t>
            </w:r>
          </w:p>
        </w:tc>
        <w:tc>
          <w:tcPr>
            <w:tcW w:w="4295" w:type="dxa"/>
            <w:tcBorders>
              <w:top w:val="nil"/>
              <w:left w:val="nil"/>
              <w:bottom w:val="single" w:color="auto" w:sz="4" w:space="0"/>
              <w:right w:val="single" w:color="auto" w:sz="4" w:space="0"/>
            </w:tcBorders>
            <w:noWrap/>
            <w:vAlign w:val="bottom"/>
          </w:tcPr>
          <w:p w14:paraId="529893E6">
            <w:pPr>
              <w:widowControl/>
              <w:ind w:firstLine="482"/>
              <w:jc w:val="left"/>
              <w:rPr>
                <w:rFonts w:hint="eastAsia" w:ascii="宋体" w:hAnsi="宋体" w:cs="宋体"/>
                <w:b/>
                <w:bCs/>
                <w:color w:val="000000"/>
              </w:rPr>
            </w:pPr>
            <w:r>
              <w:rPr>
                <w:rFonts w:hint="eastAsia" w:ascii="宋体" w:hAnsi="宋体" w:cs="宋体"/>
                <w:b/>
                <w:bCs/>
                <w:color w:val="000000"/>
              </w:rPr>
              <w:t>新洼一组226省道交界</w:t>
            </w:r>
          </w:p>
        </w:tc>
        <w:tc>
          <w:tcPr>
            <w:tcW w:w="2080" w:type="dxa"/>
            <w:tcBorders>
              <w:top w:val="nil"/>
              <w:left w:val="nil"/>
              <w:bottom w:val="single" w:color="auto" w:sz="4" w:space="0"/>
              <w:right w:val="single" w:color="auto" w:sz="4" w:space="0"/>
            </w:tcBorders>
            <w:noWrap/>
            <w:vAlign w:val="bottom"/>
          </w:tcPr>
          <w:p w14:paraId="426EB6BF">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2C658F36">
            <w:pPr>
              <w:widowControl/>
              <w:jc w:val="center"/>
              <w:rPr>
                <w:rFonts w:hint="eastAsia" w:ascii="宋体" w:hAnsi="宋体" w:cs="宋体"/>
                <w:color w:val="000000"/>
              </w:rPr>
            </w:pPr>
            <w:r>
              <w:rPr>
                <w:rFonts w:hint="eastAsia" w:ascii="宋体" w:hAnsi="宋体" w:cs="宋体"/>
                <w:color w:val="000000"/>
              </w:rPr>
              <w:t>2</w:t>
            </w:r>
          </w:p>
        </w:tc>
      </w:tr>
      <w:tr w14:paraId="64139C75">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1115D91D">
            <w:pPr>
              <w:widowControl/>
              <w:ind w:firstLine="482"/>
              <w:jc w:val="center"/>
              <w:rPr>
                <w:rFonts w:hint="eastAsia" w:ascii="宋体" w:hAnsi="宋体" w:cs="宋体"/>
                <w:b/>
                <w:bCs/>
                <w:color w:val="000000"/>
              </w:rPr>
            </w:pPr>
            <w:r>
              <w:rPr>
                <w:rFonts w:hint="eastAsia" w:ascii="宋体" w:hAnsi="宋体" w:cs="宋体"/>
                <w:b/>
                <w:bCs/>
                <w:color w:val="000000"/>
              </w:rPr>
              <w:t>4</w:t>
            </w:r>
          </w:p>
        </w:tc>
        <w:tc>
          <w:tcPr>
            <w:tcW w:w="4295" w:type="dxa"/>
            <w:tcBorders>
              <w:top w:val="nil"/>
              <w:left w:val="nil"/>
              <w:bottom w:val="single" w:color="auto" w:sz="4" w:space="0"/>
              <w:right w:val="single" w:color="auto" w:sz="4" w:space="0"/>
            </w:tcBorders>
            <w:noWrap/>
            <w:vAlign w:val="bottom"/>
          </w:tcPr>
          <w:p w14:paraId="0E36FA0A">
            <w:pPr>
              <w:widowControl/>
              <w:ind w:firstLine="482"/>
              <w:jc w:val="left"/>
              <w:rPr>
                <w:rFonts w:hint="eastAsia" w:ascii="宋体" w:hAnsi="宋体" w:cs="宋体"/>
                <w:b/>
                <w:bCs/>
                <w:color w:val="000000"/>
              </w:rPr>
            </w:pPr>
            <w:r>
              <w:rPr>
                <w:rFonts w:hint="eastAsia" w:ascii="宋体" w:hAnsi="宋体" w:cs="宋体"/>
                <w:b/>
                <w:bCs/>
                <w:color w:val="000000"/>
              </w:rPr>
              <w:t>新洼一组226省道交界</w:t>
            </w:r>
          </w:p>
        </w:tc>
        <w:tc>
          <w:tcPr>
            <w:tcW w:w="2080" w:type="dxa"/>
            <w:tcBorders>
              <w:top w:val="nil"/>
              <w:left w:val="nil"/>
              <w:bottom w:val="single" w:color="auto" w:sz="4" w:space="0"/>
              <w:right w:val="single" w:color="auto" w:sz="4" w:space="0"/>
            </w:tcBorders>
            <w:noWrap/>
            <w:vAlign w:val="bottom"/>
          </w:tcPr>
          <w:p w14:paraId="6E231690">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532596B6">
            <w:pPr>
              <w:widowControl/>
              <w:jc w:val="center"/>
              <w:rPr>
                <w:rFonts w:hint="eastAsia" w:ascii="宋体" w:hAnsi="宋体" w:cs="宋体"/>
                <w:color w:val="000000"/>
              </w:rPr>
            </w:pPr>
            <w:r>
              <w:rPr>
                <w:rFonts w:hint="eastAsia" w:ascii="宋体" w:hAnsi="宋体" w:cs="宋体"/>
                <w:color w:val="000000"/>
              </w:rPr>
              <w:t>2</w:t>
            </w:r>
          </w:p>
        </w:tc>
      </w:tr>
      <w:tr w14:paraId="550DE2B1">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5F661443">
            <w:pPr>
              <w:widowControl/>
              <w:ind w:firstLine="482"/>
              <w:jc w:val="center"/>
              <w:rPr>
                <w:rFonts w:hint="eastAsia" w:ascii="宋体" w:hAnsi="宋体" w:cs="宋体"/>
                <w:b/>
                <w:bCs/>
                <w:color w:val="000000"/>
              </w:rPr>
            </w:pPr>
            <w:r>
              <w:rPr>
                <w:rFonts w:hint="eastAsia" w:ascii="宋体" w:hAnsi="宋体" w:cs="宋体"/>
                <w:b/>
                <w:bCs/>
                <w:color w:val="000000"/>
              </w:rPr>
              <w:t>5</w:t>
            </w:r>
          </w:p>
        </w:tc>
        <w:tc>
          <w:tcPr>
            <w:tcW w:w="4295" w:type="dxa"/>
            <w:tcBorders>
              <w:top w:val="nil"/>
              <w:left w:val="nil"/>
              <w:bottom w:val="single" w:color="auto" w:sz="4" w:space="0"/>
              <w:right w:val="single" w:color="auto" w:sz="4" w:space="0"/>
            </w:tcBorders>
            <w:noWrap/>
            <w:vAlign w:val="bottom"/>
          </w:tcPr>
          <w:p w14:paraId="6A242D6C">
            <w:pPr>
              <w:widowControl/>
              <w:ind w:firstLine="482"/>
              <w:jc w:val="left"/>
              <w:rPr>
                <w:rFonts w:hint="eastAsia" w:ascii="宋体" w:hAnsi="宋体" w:cs="宋体"/>
                <w:b/>
                <w:bCs/>
                <w:color w:val="000000"/>
              </w:rPr>
            </w:pPr>
            <w:r>
              <w:rPr>
                <w:rFonts w:hint="eastAsia" w:ascii="宋体" w:hAnsi="宋体" w:cs="宋体"/>
                <w:b/>
                <w:bCs/>
                <w:color w:val="000000"/>
              </w:rPr>
              <w:t>咸洼大丰交界</w:t>
            </w:r>
          </w:p>
        </w:tc>
        <w:tc>
          <w:tcPr>
            <w:tcW w:w="2080" w:type="dxa"/>
            <w:tcBorders>
              <w:top w:val="nil"/>
              <w:left w:val="nil"/>
              <w:bottom w:val="single" w:color="auto" w:sz="4" w:space="0"/>
              <w:right w:val="single" w:color="auto" w:sz="4" w:space="0"/>
            </w:tcBorders>
            <w:noWrap/>
            <w:vAlign w:val="bottom"/>
          </w:tcPr>
          <w:p w14:paraId="08EF7555">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65750356">
            <w:pPr>
              <w:widowControl/>
              <w:jc w:val="center"/>
              <w:rPr>
                <w:rFonts w:hint="eastAsia" w:ascii="宋体" w:hAnsi="宋体" w:cs="宋体"/>
                <w:color w:val="000000"/>
              </w:rPr>
            </w:pPr>
            <w:r>
              <w:rPr>
                <w:rFonts w:hint="eastAsia" w:ascii="宋体" w:hAnsi="宋体" w:cs="宋体"/>
                <w:color w:val="000000"/>
              </w:rPr>
              <w:t>2</w:t>
            </w:r>
          </w:p>
        </w:tc>
      </w:tr>
      <w:tr w14:paraId="64168F12">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10BE8216">
            <w:pPr>
              <w:widowControl/>
              <w:ind w:firstLine="482"/>
              <w:jc w:val="center"/>
              <w:rPr>
                <w:rFonts w:hint="eastAsia" w:ascii="宋体" w:hAnsi="宋体" w:cs="宋体"/>
                <w:b/>
                <w:bCs/>
                <w:color w:val="000000"/>
              </w:rPr>
            </w:pPr>
            <w:r>
              <w:rPr>
                <w:rFonts w:hint="eastAsia" w:ascii="宋体" w:hAnsi="宋体" w:cs="宋体"/>
                <w:b/>
                <w:bCs/>
                <w:color w:val="000000"/>
              </w:rPr>
              <w:t>6</w:t>
            </w:r>
          </w:p>
        </w:tc>
        <w:tc>
          <w:tcPr>
            <w:tcW w:w="4295" w:type="dxa"/>
            <w:tcBorders>
              <w:top w:val="nil"/>
              <w:left w:val="nil"/>
              <w:bottom w:val="single" w:color="auto" w:sz="4" w:space="0"/>
              <w:right w:val="single" w:color="auto" w:sz="4" w:space="0"/>
            </w:tcBorders>
            <w:noWrap/>
            <w:vAlign w:val="bottom"/>
          </w:tcPr>
          <w:p w14:paraId="77913B0A">
            <w:pPr>
              <w:widowControl/>
              <w:ind w:firstLine="482"/>
              <w:jc w:val="left"/>
              <w:rPr>
                <w:rFonts w:hint="eastAsia" w:ascii="宋体" w:hAnsi="宋体" w:cs="宋体"/>
                <w:b/>
                <w:bCs/>
                <w:color w:val="000000"/>
              </w:rPr>
            </w:pPr>
            <w:r>
              <w:rPr>
                <w:rFonts w:hint="eastAsia" w:ascii="宋体" w:hAnsi="宋体" w:cs="宋体"/>
                <w:b/>
                <w:bCs/>
                <w:color w:val="000000"/>
              </w:rPr>
              <w:t>东升河桥</w:t>
            </w:r>
          </w:p>
        </w:tc>
        <w:tc>
          <w:tcPr>
            <w:tcW w:w="2080" w:type="dxa"/>
            <w:tcBorders>
              <w:top w:val="nil"/>
              <w:left w:val="nil"/>
              <w:bottom w:val="single" w:color="auto" w:sz="4" w:space="0"/>
              <w:right w:val="single" w:color="auto" w:sz="4" w:space="0"/>
            </w:tcBorders>
            <w:noWrap/>
            <w:vAlign w:val="bottom"/>
          </w:tcPr>
          <w:p w14:paraId="1992DF8D">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3296F3DF">
            <w:pPr>
              <w:widowControl/>
              <w:jc w:val="center"/>
              <w:rPr>
                <w:rFonts w:hint="eastAsia" w:ascii="宋体" w:hAnsi="宋体" w:cs="宋体"/>
                <w:color w:val="000000"/>
              </w:rPr>
            </w:pPr>
            <w:r>
              <w:rPr>
                <w:rFonts w:hint="eastAsia" w:ascii="宋体" w:hAnsi="宋体" w:cs="宋体"/>
                <w:color w:val="000000"/>
              </w:rPr>
              <w:t>2</w:t>
            </w:r>
          </w:p>
        </w:tc>
      </w:tr>
      <w:tr w14:paraId="2648C2F4">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507B964E">
            <w:pPr>
              <w:widowControl/>
              <w:ind w:firstLine="482"/>
              <w:jc w:val="center"/>
              <w:rPr>
                <w:rFonts w:hint="eastAsia" w:ascii="宋体" w:hAnsi="宋体" w:cs="宋体"/>
                <w:b/>
                <w:bCs/>
                <w:color w:val="000000"/>
              </w:rPr>
            </w:pPr>
            <w:r>
              <w:rPr>
                <w:rFonts w:hint="eastAsia" w:ascii="宋体" w:hAnsi="宋体" w:cs="宋体"/>
                <w:b/>
                <w:bCs/>
                <w:color w:val="000000"/>
              </w:rPr>
              <w:t>7</w:t>
            </w:r>
          </w:p>
        </w:tc>
        <w:tc>
          <w:tcPr>
            <w:tcW w:w="4295" w:type="dxa"/>
            <w:tcBorders>
              <w:top w:val="nil"/>
              <w:left w:val="nil"/>
              <w:bottom w:val="single" w:color="auto" w:sz="4" w:space="0"/>
              <w:right w:val="single" w:color="auto" w:sz="4" w:space="0"/>
            </w:tcBorders>
            <w:noWrap/>
            <w:vAlign w:val="bottom"/>
          </w:tcPr>
          <w:p w14:paraId="30421656">
            <w:pPr>
              <w:widowControl/>
              <w:ind w:firstLine="482"/>
              <w:jc w:val="left"/>
              <w:rPr>
                <w:rFonts w:hint="eastAsia" w:ascii="宋体" w:hAnsi="宋体" w:cs="宋体"/>
                <w:b/>
                <w:bCs/>
                <w:color w:val="000000"/>
              </w:rPr>
            </w:pPr>
            <w:r>
              <w:rPr>
                <w:rFonts w:hint="eastAsia" w:ascii="宋体" w:hAnsi="宋体" w:cs="宋体"/>
                <w:b/>
                <w:bCs/>
                <w:color w:val="000000"/>
              </w:rPr>
              <w:t>步凤大丰交界</w:t>
            </w:r>
          </w:p>
        </w:tc>
        <w:tc>
          <w:tcPr>
            <w:tcW w:w="2080" w:type="dxa"/>
            <w:tcBorders>
              <w:top w:val="nil"/>
              <w:left w:val="nil"/>
              <w:bottom w:val="single" w:color="auto" w:sz="4" w:space="0"/>
              <w:right w:val="single" w:color="auto" w:sz="4" w:space="0"/>
            </w:tcBorders>
            <w:noWrap/>
            <w:vAlign w:val="bottom"/>
          </w:tcPr>
          <w:p w14:paraId="725FBF93">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5E455E8A">
            <w:pPr>
              <w:widowControl/>
              <w:jc w:val="center"/>
              <w:rPr>
                <w:rFonts w:hint="eastAsia" w:ascii="宋体" w:hAnsi="宋体" w:cs="宋体"/>
                <w:color w:val="000000"/>
              </w:rPr>
            </w:pPr>
            <w:r>
              <w:rPr>
                <w:rFonts w:hint="eastAsia" w:ascii="宋体" w:hAnsi="宋体" w:cs="宋体"/>
                <w:color w:val="000000"/>
              </w:rPr>
              <w:t>2</w:t>
            </w:r>
          </w:p>
        </w:tc>
      </w:tr>
      <w:tr w14:paraId="567F0E54">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506BD6EB">
            <w:pPr>
              <w:widowControl/>
              <w:ind w:firstLine="482"/>
              <w:jc w:val="center"/>
              <w:rPr>
                <w:rFonts w:hint="eastAsia" w:ascii="宋体" w:hAnsi="宋体" w:cs="宋体"/>
                <w:b/>
                <w:bCs/>
                <w:color w:val="000000"/>
              </w:rPr>
            </w:pPr>
            <w:r>
              <w:rPr>
                <w:rFonts w:hint="eastAsia" w:ascii="宋体" w:hAnsi="宋体" w:cs="宋体"/>
                <w:b/>
                <w:bCs/>
                <w:color w:val="000000"/>
              </w:rPr>
              <w:t>8</w:t>
            </w:r>
          </w:p>
        </w:tc>
        <w:tc>
          <w:tcPr>
            <w:tcW w:w="4295" w:type="dxa"/>
            <w:tcBorders>
              <w:top w:val="nil"/>
              <w:left w:val="nil"/>
              <w:bottom w:val="single" w:color="auto" w:sz="4" w:space="0"/>
              <w:right w:val="single" w:color="auto" w:sz="4" w:space="0"/>
            </w:tcBorders>
            <w:noWrap/>
            <w:vAlign w:val="bottom"/>
          </w:tcPr>
          <w:p w14:paraId="5420CBC3">
            <w:pPr>
              <w:widowControl/>
              <w:ind w:firstLine="482"/>
              <w:jc w:val="left"/>
              <w:rPr>
                <w:rFonts w:hint="eastAsia" w:ascii="宋体" w:hAnsi="宋体" w:cs="宋体"/>
                <w:b/>
                <w:bCs/>
                <w:color w:val="000000"/>
              </w:rPr>
            </w:pPr>
            <w:r>
              <w:rPr>
                <w:rFonts w:hint="eastAsia" w:ascii="宋体" w:hAnsi="宋体" w:cs="宋体"/>
                <w:b/>
                <w:bCs/>
                <w:color w:val="000000"/>
              </w:rPr>
              <w:t>步凤大丰交界</w:t>
            </w:r>
          </w:p>
        </w:tc>
        <w:tc>
          <w:tcPr>
            <w:tcW w:w="2080" w:type="dxa"/>
            <w:tcBorders>
              <w:top w:val="nil"/>
              <w:left w:val="nil"/>
              <w:bottom w:val="single" w:color="auto" w:sz="4" w:space="0"/>
              <w:right w:val="single" w:color="auto" w:sz="4" w:space="0"/>
            </w:tcBorders>
            <w:noWrap/>
            <w:vAlign w:val="bottom"/>
          </w:tcPr>
          <w:p w14:paraId="0935E23E">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335154D">
            <w:pPr>
              <w:widowControl/>
              <w:jc w:val="center"/>
              <w:rPr>
                <w:rFonts w:hint="eastAsia" w:ascii="宋体" w:hAnsi="宋体" w:cs="宋体"/>
                <w:color w:val="000000"/>
              </w:rPr>
            </w:pPr>
            <w:r>
              <w:rPr>
                <w:rFonts w:hint="eastAsia" w:ascii="宋体" w:hAnsi="宋体" w:cs="宋体"/>
                <w:color w:val="000000"/>
              </w:rPr>
              <w:t>2</w:t>
            </w:r>
          </w:p>
        </w:tc>
      </w:tr>
      <w:tr w14:paraId="45D9096C">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635580F5">
            <w:pPr>
              <w:widowControl/>
              <w:ind w:firstLine="482"/>
              <w:jc w:val="center"/>
              <w:rPr>
                <w:rFonts w:hint="eastAsia" w:ascii="宋体" w:hAnsi="宋体" w:cs="宋体"/>
                <w:b/>
                <w:bCs/>
                <w:color w:val="000000"/>
              </w:rPr>
            </w:pPr>
            <w:r>
              <w:rPr>
                <w:rFonts w:hint="eastAsia" w:ascii="宋体" w:hAnsi="宋体" w:cs="宋体"/>
                <w:b/>
                <w:bCs/>
                <w:color w:val="000000"/>
              </w:rPr>
              <w:t>9</w:t>
            </w:r>
          </w:p>
        </w:tc>
        <w:tc>
          <w:tcPr>
            <w:tcW w:w="4295" w:type="dxa"/>
            <w:tcBorders>
              <w:top w:val="nil"/>
              <w:left w:val="nil"/>
              <w:bottom w:val="single" w:color="auto" w:sz="4" w:space="0"/>
              <w:right w:val="single" w:color="auto" w:sz="4" w:space="0"/>
            </w:tcBorders>
            <w:noWrap/>
            <w:vAlign w:val="bottom"/>
          </w:tcPr>
          <w:p w14:paraId="62412C0A">
            <w:pPr>
              <w:widowControl/>
              <w:ind w:firstLine="482"/>
              <w:jc w:val="left"/>
              <w:rPr>
                <w:rFonts w:hint="eastAsia" w:ascii="宋体" w:hAnsi="宋体" w:cs="宋体"/>
                <w:b/>
                <w:bCs/>
                <w:color w:val="000000"/>
              </w:rPr>
            </w:pPr>
            <w:r>
              <w:rPr>
                <w:rFonts w:hint="eastAsia" w:ascii="宋体" w:hAnsi="宋体" w:cs="宋体"/>
                <w:b/>
                <w:bCs/>
                <w:color w:val="000000"/>
              </w:rPr>
              <w:t>黄冈渠北兆新河桥路口</w:t>
            </w:r>
          </w:p>
        </w:tc>
        <w:tc>
          <w:tcPr>
            <w:tcW w:w="2080" w:type="dxa"/>
            <w:tcBorders>
              <w:top w:val="nil"/>
              <w:left w:val="nil"/>
              <w:bottom w:val="single" w:color="auto" w:sz="4" w:space="0"/>
              <w:right w:val="single" w:color="auto" w:sz="4" w:space="0"/>
            </w:tcBorders>
            <w:noWrap/>
            <w:vAlign w:val="bottom"/>
          </w:tcPr>
          <w:p w14:paraId="79437131">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2B5A64C8">
            <w:pPr>
              <w:widowControl/>
              <w:jc w:val="center"/>
              <w:rPr>
                <w:rFonts w:hint="eastAsia" w:ascii="宋体" w:hAnsi="宋体" w:cs="宋体"/>
                <w:color w:val="000000"/>
              </w:rPr>
            </w:pPr>
            <w:r>
              <w:rPr>
                <w:rFonts w:hint="eastAsia" w:ascii="宋体" w:hAnsi="宋体" w:cs="宋体"/>
                <w:color w:val="000000"/>
              </w:rPr>
              <w:t>2</w:t>
            </w:r>
          </w:p>
        </w:tc>
      </w:tr>
      <w:tr w14:paraId="2DFE74E2">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324B59FD">
            <w:pPr>
              <w:widowControl/>
              <w:ind w:firstLine="482"/>
              <w:jc w:val="center"/>
              <w:rPr>
                <w:rFonts w:hint="eastAsia" w:ascii="宋体" w:hAnsi="宋体" w:cs="宋体"/>
                <w:b/>
                <w:bCs/>
                <w:color w:val="000000"/>
              </w:rPr>
            </w:pPr>
            <w:r>
              <w:rPr>
                <w:rFonts w:hint="eastAsia" w:ascii="宋体" w:hAnsi="宋体" w:cs="宋体"/>
                <w:b/>
                <w:bCs/>
                <w:color w:val="000000"/>
              </w:rPr>
              <w:t>10</w:t>
            </w:r>
          </w:p>
        </w:tc>
        <w:tc>
          <w:tcPr>
            <w:tcW w:w="4295" w:type="dxa"/>
            <w:tcBorders>
              <w:top w:val="nil"/>
              <w:left w:val="nil"/>
              <w:bottom w:val="single" w:color="auto" w:sz="4" w:space="0"/>
              <w:right w:val="single" w:color="auto" w:sz="4" w:space="0"/>
            </w:tcBorders>
            <w:noWrap/>
            <w:vAlign w:val="bottom"/>
          </w:tcPr>
          <w:p w14:paraId="0FC80C04">
            <w:pPr>
              <w:widowControl/>
              <w:ind w:firstLine="482"/>
              <w:jc w:val="left"/>
              <w:rPr>
                <w:rFonts w:hint="eastAsia" w:ascii="宋体" w:hAnsi="宋体" w:cs="宋体"/>
                <w:b/>
                <w:bCs/>
                <w:color w:val="000000"/>
              </w:rPr>
            </w:pPr>
            <w:r>
              <w:rPr>
                <w:rFonts w:hint="eastAsia" w:ascii="宋体" w:hAnsi="宋体" w:cs="宋体"/>
                <w:b/>
                <w:bCs/>
                <w:color w:val="000000"/>
              </w:rPr>
              <w:t>步凤大丰三总村交界</w:t>
            </w:r>
          </w:p>
        </w:tc>
        <w:tc>
          <w:tcPr>
            <w:tcW w:w="2080" w:type="dxa"/>
            <w:tcBorders>
              <w:top w:val="nil"/>
              <w:left w:val="nil"/>
              <w:bottom w:val="single" w:color="auto" w:sz="4" w:space="0"/>
              <w:right w:val="single" w:color="auto" w:sz="4" w:space="0"/>
            </w:tcBorders>
            <w:noWrap/>
            <w:vAlign w:val="bottom"/>
          </w:tcPr>
          <w:p w14:paraId="0881A569">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70B36A35">
            <w:pPr>
              <w:widowControl/>
              <w:jc w:val="center"/>
              <w:rPr>
                <w:rFonts w:hint="eastAsia" w:ascii="宋体" w:hAnsi="宋体" w:cs="宋体"/>
                <w:color w:val="000000"/>
              </w:rPr>
            </w:pPr>
            <w:r>
              <w:rPr>
                <w:rFonts w:hint="eastAsia" w:ascii="宋体" w:hAnsi="宋体" w:cs="宋体"/>
                <w:color w:val="000000"/>
              </w:rPr>
              <w:t>2</w:t>
            </w:r>
          </w:p>
        </w:tc>
      </w:tr>
      <w:tr w14:paraId="6A156A47">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15D6BEDF">
            <w:pPr>
              <w:widowControl/>
              <w:ind w:firstLine="482"/>
              <w:jc w:val="center"/>
              <w:rPr>
                <w:rFonts w:hint="eastAsia" w:ascii="宋体" w:hAnsi="宋体" w:cs="宋体"/>
                <w:b/>
                <w:bCs/>
                <w:color w:val="000000"/>
              </w:rPr>
            </w:pPr>
            <w:r>
              <w:rPr>
                <w:rFonts w:hint="eastAsia" w:ascii="宋体" w:hAnsi="宋体" w:cs="宋体"/>
                <w:b/>
                <w:bCs/>
                <w:color w:val="000000"/>
              </w:rPr>
              <w:t>11</w:t>
            </w:r>
          </w:p>
        </w:tc>
        <w:tc>
          <w:tcPr>
            <w:tcW w:w="4295" w:type="dxa"/>
            <w:tcBorders>
              <w:top w:val="nil"/>
              <w:left w:val="nil"/>
              <w:bottom w:val="single" w:color="auto" w:sz="4" w:space="0"/>
              <w:right w:val="single" w:color="auto" w:sz="4" w:space="0"/>
            </w:tcBorders>
            <w:noWrap/>
            <w:vAlign w:val="bottom"/>
          </w:tcPr>
          <w:p w14:paraId="6A653066">
            <w:pPr>
              <w:widowControl/>
              <w:ind w:firstLine="482"/>
              <w:jc w:val="left"/>
              <w:rPr>
                <w:rFonts w:hint="eastAsia" w:ascii="宋体" w:hAnsi="宋体" w:cs="宋体"/>
                <w:b/>
                <w:bCs/>
                <w:color w:val="000000"/>
              </w:rPr>
            </w:pPr>
            <w:r>
              <w:rPr>
                <w:rFonts w:hint="eastAsia" w:ascii="宋体" w:hAnsi="宋体" w:cs="宋体"/>
                <w:b/>
                <w:bCs/>
                <w:color w:val="000000"/>
              </w:rPr>
              <w:t>步凤伍新大丰交界</w:t>
            </w:r>
          </w:p>
        </w:tc>
        <w:tc>
          <w:tcPr>
            <w:tcW w:w="2080" w:type="dxa"/>
            <w:tcBorders>
              <w:top w:val="nil"/>
              <w:left w:val="nil"/>
              <w:bottom w:val="single" w:color="auto" w:sz="4" w:space="0"/>
              <w:right w:val="single" w:color="auto" w:sz="4" w:space="0"/>
            </w:tcBorders>
            <w:noWrap/>
            <w:vAlign w:val="bottom"/>
          </w:tcPr>
          <w:p w14:paraId="46FEAC85">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332D40A3">
            <w:pPr>
              <w:widowControl/>
              <w:jc w:val="center"/>
              <w:rPr>
                <w:rFonts w:hint="eastAsia" w:ascii="宋体" w:hAnsi="宋体" w:cs="宋体"/>
                <w:color w:val="000000"/>
              </w:rPr>
            </w:pPr>
            <w:r>
              <w:rPr>
                <w:rFonts w:hint="eastAsia" w:ascii="宋体" w:hAnsi="宋体" w:cs="宋体"/>
                <w:color w:val="000000"/>
              </w:rPr>
              <w:t>2</w:t>
            </w:r>
          </w:p>
        </w:tc>
      </w:tr>
      <w:tr w14:paraId="2297E8E5">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529B276B">
            <w:pPr>
              <w:widowControl/>
              <w:ind w:firstLine="482"/>
              <w:jc w:val="center"/>
              <w:rPr>
                <w:rFonts w:hint="eastAsia" w:ascii="宋体" w:hAnsi="宋体" w:cs="宋体"/>
                <w:b/>
                <w:bCs/>
                <w:color w:val="000000"/>
              </w:rPr>
            </w:pPr>
            <w:r>
              <w:rPr>
                <w:rFonts w:hint="eastAsia" w:ascii="宋体" w:hAnsi="宋体" w:cs="宋体"/>
                <w:b/>
                <w:bCs/>
                <w:color w:val="000000"/>
              </w:rPr>
              <w:t>12</w:t>
            </w:r>
          </w:p>
        </w:tc>
        <w:tc>
          <w:tcPr>
            <w:tcW w:w="4295" w:type="dxa"/>
            <w:tcBorders>
              <w:top w:val="nil"/>
              <w:left w:val="nil"/>
              <w:bottom w:val="single" w:color="auto" w:sz="4" w:space="0"/>
              <w:right w:val="single" w:color="auto" w:sz="4" w:space="0"/>
            </w:tcBorders>
            <w:noWrap/>
            <w:vAlign w:val="bottom"/>
          </w:tcPr>
          <w:p w14:paraId="254416DA">
            <w:pPr>
              <w:widowControl/>
              <w:ind w:firstLine="482"/>
              <w:jc w:val="left"/>
              <w:rPr>
                <w:rFonts w:hint="eastAsia" w:ascii="宋体" w:hAnsi="宋体" w:cs="宋体"/>
                <w:b/>
                <w:bCs/>
                <w:color w:val="000000"/>
              </w:rPr>
            </w:pPr>
            <w:r>
              <w:rPr>
                <w:rFonts w:hint="eastAsia" w:ascii="宋体" w:hAnsi="宋体" w:cs="宋体"/>
                <w:b/>
                <w:bCs/>
                <w:color w:val="000000"/>
              </w:rPr>
              <w:t>步凤兆顺大丰交界</w:t>
            </w:r>
          </w:p>
        </w:tc>
        <w:tc>
          <w:tcPr>
            <w:tcW w:w="2080" w:type="dxa"/>
            <w:tcBorders>
              <w:top w:val="nil"/>
              <w:left w:val="nil"/>
              <w:bottom w:val="single" w:color="auto" w:sz="4" w:space="0"/>
              <w:right w:val="single" w:color="auto" w:sz="4" w:space="0"/>
            </w:tcBorders>
            <w:noWrap/>
            <w:vAlign w:val="bottom"/>
          </w:tcPr>
          <w:p w14:paraId="402D8103">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2CBB256F">
            <w:pPr>
              <w:widowControl/>
              <w:jc w:val="center"/>
              <w:rPr>
                <w:rFonts w:hint="eastAsia" w:ascii="宋体" w:hAnsi="宋体" w:cs="宋体"/>
                <w:color w:val="000000"/>
              </w:rPr>
            </w:pPr>
            <w:r>
              <w:rPr>
                <w:rFonts w:hint="eastAsia" w:ascii="宋体" w:hAnsi="宋体" w:cs="宋体"/>
                <w:color w:val="000000"/>
              </w:rPr>
              <w:t>2</w:t>
            </w:r>
          </w:p>
        </w:tc>
      </w:tr>
      <w:tr w14:paraId="33F47739">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38CE5D4D">
            <w:pPr>
              <w:widowControl/>
              <w:ind w:firstLine="482"/>
              <w:jc w:val="center"/>
              <w:rPr>
                <w:rFonts w:hint="eastAsia" w:ascii="宋体" w:hAnsi="宋体" w:cs="宋体"/>
                <w:b/>
                <w:bCs/>
                <w:color w:val="000000"/>
              </w:rPr>
            </w:pPr>
            <w:r>
              <w:rPr>
                <w:rFonts w:hint="eastAsia" w:ascii="宋体" w:hAnsi="宋体" w:cs="宋体"/>
                <w:b/>
                <w:bCs/>
                <w:color w:val="000000"/>
              </w:rPr>
              <w:t>13</w:t>
            </w:r>
          </w:p>
        </w:tc>
        <w:tc>
          <w:tcPr>
            <w:tcW w:w="4295" w:type="dxa"/>
            <w:tcBorders>
              <w:top w:val="nil"/>
              <w:left w:val="nil"/>
              <w:bottom w:val="single" w:color="auto" w:sz="4" w:space="0"/>
              <w:right w:val="single" w:color="auto" w:sz="4" w:space="0"/>
            </w:tcBorders>
            <w:noWrap/>
            <w:vAlign w:val="bottom"/>
          </w:tcPr>
          <w:p w14:paraId="5FDE3115">
            <w:pPr>
              <w:widowControl/>
              <w:ind w:firstLine="482"/>
              <w:jc w:val="left"/>
              <w:rPr>
                <w:rFonts w:hint="eastAsia" w:ascii="宋体" w:hAnsi="宋体" w:cs="宋体"/>
                <w:b/>
                <w:bCs/>
                <w:color w:val="000000"/>
              </w:rPr>
            </w:pPr>
            <w:r>
              <w:rPr>
                <w:rFonts w:hint="eastAsia" w:ascii="宋体" w:hAnsi="宋体" w:cs="宋体"/>
                <w:b/>
                <w:bCs/>
                <w:color w:val="000000"/>
              </w:rPr>
              <w:t>兆顺二组大丰交界</w:t>
            </w:r>
          </w:p>
        </w:tc>
        <w:tc>
          <w:tcPr>
            <w:tcW w:w="2080" w:type="dxa"/>
            <w:tcBorders>
              <w:top w:val="nil"/>
              <w:left w:val="nil"/>
              <w:bottom w:val="single" w:color="auto" w:sz="4" w:space="0"/>
              <w:right w:val="single" w:color="auto" w:sz="4" w:space="0"/>
            </w:tcBorders>
            <w:noWrap/>
            <w:vAlign w:val="bottom"/>
          </w:tcPr>
          <w:p w14:paraId="6A0DD1DC">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2F38DFF5">
            <w:pPr>
              <w:widowControl/>
              <w:jc w:val="center"/>
              <w:rPr>
                <w:rFonts w:hint="eastAsia" w:ascii="宋体" w:hAnsi="宋体" w:cs="宋体"/>
                <w:color w:val="000000"/>
              </w:rPr>
            </w:pPr>
            <w:r>
              <w:rPr>
                <w:rFonts w:hint="eastAsia" w:ascii="宋体" w:hAnsi="宋体" w:cs="宋体"/>
                <w:color w:val="000000"/>
              </w:rPr>
              <w:t>2</w:t>
            </w:r>
          </w:p>
        </w:tc>
      </w:tr>
      <w:tr w14:paraId="5F939DC9">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448E888B">
            <w:pPr>
              <w:widowControl/>
              <w:ind w:firstLine="482"/>
              <w:jc w:val="center"/>
              <w:rPr>
                <w:rFonts w:hint="eastAsia" w:ascii="宋体" w:hAnsi="宋体" w:cs="宋体"/>
                <w:b/>
                <w:bCs/>
                <w:color w:val="000000"/>
              </w:rPr>
            </w:pPr>
            <w:r>
              <w:rPr>
                <w:rFonts w:hint="eastAsia" w:ascii="宋体" w:hAnsi="宋体" w:cs="宋体"/>
                <w:b/>
                <w:bCs/>
                <w:color w:val="000000"/>
              </w:rPr>
              <w:t>14</w:t>
            </w:r>
          </w:p>
        </w:tc>
        <w:tc>
          <w:tcPr>
            <w:tcW w:w="4295" w:type="dxa"/>
            <w:tcBorders>
              <w:top w:val="nil"/>
              <w:left w:val="nil"/>
              <w:bottom w:val="single" w:color="auto" w:sz="4" w:space="0"/>
              <w:right w:val="single" w:color="auto" w:sz="4" w:space="0"/>
            </w:tcBorders>
            <w:noWrap/>
            <w:vAlign w:val="bottom"/>
          </w:tcPr>
          <w:p w14:paraId="2B19173C">
            <w:pPr>
              <w:widowControl/>
              <w:ind w:firstLine="482"/>
              <w:jc w:val="left"/>
              <w:rPr>
                <w:rFonts w:hint="eastAsia" w:ascii="宋体" w:hAnsi="宋体" w:cs="宋体"/>
                <w:b/>
                <w:bCs/>
                <w:color w:val="000000"/>
              </w:rPr>
            </w:pPr>
            <w:r>
              <w:rPr>
                <w:rFonts w:hint="eastAsia" w:ascii="宋体" w:hAnsi="宋体" w:cs="宋体"/>
                <w:b/>
                <w:bCs/>
                <w:color w:val="000000"/>
              </w:rPr>
              <w:t>兆顺四组大丰交界</w:t>
            </w:r>
          </w:p>
        </w:tc>
        <w:tc>
          <w:tcPr>
            <w:tcW w:w="2080" w:type="dxa"/>
            <w:tcBorders>
              <w:top w:val="nil"/>
              <w:left w:val="nil"/>
              <w:bottom w:val="single" w:color="auto" w:sz="4" w:space="0"/>
              <w:right w:val="single" w:color="auto" w:sz="4" w:space="0"/>
            </w:tcBorders>
            <w:noWrap/>
            <w:vAlign w:val="bottom"/>
          </w:tcPr>
          <w:p w14:paraId="7C9D315C">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357B8B16">
            <w:pPr>
              <w:widowControl/>
              <w:jc w:val="center"/>
              <w:rPr>
                <w:rFonts w:hint="eastAsia" w:ascii="宋体" w:hAnsi="宋体" w:cs="宋体"/>
                <w:color w:val="000000"/>
              </w:rPr>
            </w:pPr>
            <w:r>
              <w:rPr>
                <w:rFonts w:hint="eastAsia" w:ascii="宋体" w:hAnsi="宋体" w:cs="宋体"/>
                <w:color w:val="000000"/>
              </w:rPr>
              <w:t>2</w:t>
            </w:r>
          </w:p>
        </w:tc>
      </w:tr>
      <w:tr w14:paraId="4E5168FD">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3D191D35">
            <w:pPr>
              <w:widowControl/>
              <w:ind w:firstLine="482"/>
              <w:jc w:val="center"/>
              <w:rPr>
                <w:rFonts w:hint="eastAsia" w:ascii="宋体" w:hAnsi="宋体" w:cs="宋体"/>
                <w:b/>
                <w:bCs/>
                <w:color w:val="000000"/>
              </w:rPr>
            </w:pPr>
            <w:r>
              <w:rPr>
                <w:rFonts w:hint="eastAsia" w:ascii="宋体" w:hAnsi="宋体" w:cs="宋体"/>
                <w:b/>
                <w:bCs/>
                <w:color w:val="000000"/>
              </w:rPr>
              <w:t>15</w:t>
            </w:r>
          </w:p>
        </w:tc>
        <w:tc>
          <w:tcPr>
            <w:tcW w:w="4295" w:type="dxa"/>
            <w:tcBorders>
              <w:top w:val="nil"/>
              <w:left w:val="nil"/>
              <w:bottom w:val="single" w:color="auto" w:sz="4" w:space="0"/>
              <w:right w:val="single" w:color="auto" w:sz="4" w:space="0"/>
            </w:tcBorders>
            <w:noWrap/>
            <w:vAlign w:val="bottom"/>
          </w:tcPr>
          <w:p w14:paraId="07825765">
            <w:pPr>
              <w:widowControl/>
              <w:ind w:firstLine="482"/>
              <w:jc w:val="left"/>
              <w:rPr>
                <w:rFonts w:hint="eastAsia" w:ascii="宋体" w:hAnsi="宋体" w:cs="宋体"/>
                <w:b/>
                <w:bCs/>
                <w:color w:val="000000"/>
              </w:rPr>
            </w:pPr>
            <w:r>
              <w:rPr>
                <w:rFonts w:hint="eastAsia" w:ascii="宋体" w:hAnsi="宋体" w:cs="宋体"/>
                <w:b/>
                <w:bCs/>
                <w:color w:val="000000"/>
              </w:rPr>
              <w:t>步凤仁智大丰交界</w:t>
            </w:r>
          </w:p>
        </w:tc>
        <w:tc>
          <w:tcPr>
            <w:tcW w:w="2080" w:type="dxa"/>
            <w:tcBorders>
              <w:top w:val="nil"/>
              <w:left w:val="nil"/>
              <w:bottom w:val="single" w:color="auto" w:sz="4" w:space="0"/>
              <w:right w:val="single" w:color="auto" w:sz="4" w:space="0"/>
            </w:tcBorders>
            <w:noWrap/>
            <w:vAlign w:val="bottom"/>
          </w:tcPr>
          <w:p w14:paraId="2E5F68B4">
            <w:pPr>
              <w:widowControl/>
              <w:jc w:val="center"/>
              <w:rPr>
                <w:rFonts w:hint="eastAsia" w:ascii="宋体" w:hAnsi="宋体" w:cs="宋体"/>
                <w:color w:val="000000"/>
              </w:rPr>
            </w:pPr>
            <w:r>
              <w:rPr>
                <w:rFonts w:hint="eastAsia" w:ascii="宋体" w:hAnsi="宋体" w:cs="宋体"/>
                <w:color w:val="000000"/>
              </w:rPr>
              <w:t>　</w:t>
            </w:r>
          </w:p>
        </w:tc>
        <w:tc>
          <w:tcPr>
            <w:tcW w:w="1606" w:type="dxa"/>
            <w:tcBorders>
              <w:top w:val="nil"/>
              <w:left w:val="nil"/>
              <w:bottom w:val="single" w:color="auto" w:sz="4" w:space="0"/>
              <w:right w:val="single" w:color="auto" w:sz="4" w:space="0"/>
            </w:tcBorders>
            <w:noWrap/>
            <w:vAlign w:val="bottom"/>
          </w:tcPr>
          <w:p w14:paraId="1D407EE9">
            <w:pPr>
              <w:widowControl/>
              <w:jc w:val="center"/>
              <w:rPr>
                <w:rFonts w:hint="eastAsia" w:ascii="宋体" w:hAnsi="宋体" w:cs="宋体"/>
                <w:color w:val="000000"/>
              </w:rPr>
            </w:pPr>
            <w:r>
              <w:rPr>
                <w:rFonts w:hint="eastAsia" w:ascii="宋体" w:hAnsi="宋体" w:cs="宋体"/>
                <w:color w:val="000000"/>
              </w:rPr>
              <w:t>2</w:t>
            </w:r>
          </w:p>
        </w:tc>
      </w:tr>
      <w:tr w14:paraId="7245669F">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2435A288">
            <w:pPr>
              <w:widowControl/>
              <w:ind w:firstLine="482"/>
              <w:jc w:val="center"/>
              <w:rPr>
                <w:rFonts w:hint="eastAsia" w:ascii="宋体" w:hAnsi="宋体" w:cs="宋体"/>
                <w:b/>
                <w:bCs/>
                <w:color w:val="000000"/>
              </w:rPr>
            </w:pPr>
            <w:r>
              <w:rPr>
                <w:rFonts w:hint="eastAsia" w:ascii="宋体" w:hAnsi="宋体" w:cs="宋体"/>
                <w:b/>
                <w:bCs/>
                <w:color w:val="000000"/>
              </w:rPr>
              <w:t>16</w:t>
            </w:r>
          </w:p>
        </w:tc>
        <w:tc>
          <w:tcPr>
            <w:tcW w:w="4295" w:type="dxa"/>
            <w:tcBorders>
              <w:top w:val="nil"/>
              <w:left w:val="nil"/>
              <w:bottom w:val="single" w:color="auto" w:sz="4" w:space="0"/>
              <w:right w:val="single" w:color="auto" w:sz="4" w:space="0"/>
            </w:tcBorders>
            <w:noWrap/>
            <w:vAlign w:val="bottom"/>
          </w:tcPr>
          <w:p w14:paraId="38A8EF1C">
            <w:pPr>
              <w:widowControl/>
              <w:ind w:firstLine="482"/>
              <w:jc w:val="left"/>
              <w:rPr>
                <w:rFonts w:hint="eastAsia" w:ascii="宋体" w:hAnsi="宋体" w:cs="宋体"/>
                <w:b/>
                <w:bCs/>
                <w:color w:val="000000"/>
              </w:rPr>
            </w:pPr>
            <w:r>
              <w:rPr>
                <w:rFonts w:hint="eastAsia" w:ascii="宋体" w:hAnsi="宋体" w:cs="宋体"/>
                <w:b/>
                <w:bCs/>
                <w:color w:val="000000"/>
              </w:rPr>
              <w:t>沈海高速下路口</w:t>
            </w:r>
          </w:p>
        </w:tc>
        <w:tc>
          <w:tcPr>
            <w:tcW w:w="2080" w:type="dxa"/>
            <w:tcBorders>
              <w:top w:val="nil"/>
              <w:left w:val="nil"/>
              <w:bottom w:val="single" w:color="auto" w:sz="4" w:space="0"/>
              <w:right w:val="single" w:color="auto" w:sz="4" w:space="0"/>
            </w:tcBorders>
            <w:noWrap/>
            <w:vAlign w:val="bottom"/>
          </w:tcPr>
          <w:p w14:paraId="43E9C563">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7A4633FD">
            <w:pPr>
              <w:widowControl/>
              <w:jc w:val="center"/>
              <w:rPr>
                <w:rFonts w:hint="eastAsia" w:ascii="宋体" w:hAnsi="宋体" w:cs="宋体"/>
                <w:color w:val="000000"/>
              </w:rPr>
            </w:pPr>
            <w:r>
              <w:rPr>
                <w:rFonts w:hint="eastAsia" w:ascii="宋体" w:hAnsi="宋体" w:cs="宋体"/>
                <w:color w:val="000000"/>
              </w:rPr>
              <w:t>2</w:t>
            </w:r>
          </w:p>
        </w:tc>
      </w:tr>
      <w:tr w14:paraId="45B6D349">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6B7EC963">
            <w:pPr>
              <w:widowControl/>
              <w:ind w:firstLine="482"/>
              <w:jc w:val="center"/>
              <w:rPr>
                <w:rFonts w:hint="eastAsia" w:ascii="宋体" w:hAnsi="宋体" w:cs="宋体"/>
                <w:b/>
                <w:bCs/>
                <w:color w:val="000000"/>
              </w:rPr>
            </w:pPr>
            <w:r>
              <w:rPr>
                <w:rFonts w:hint="eastAsia" w:ascii="宋体" w:hAnsi="宋体" w:cs="宋体"/>
                <w:b/>
                <w:bCs/>
                <w:color w:val="000000"/>
              </w:rPr>
              <w:t>17</w:t>
            </w:r>
          </w:p>
        </w:tc>
        <w:tc>
          <w:tcPr>
            <w:tcW w:w="4295" w:type="dxa"/>
            <w:tcBorders>
              <w:top w:val="nil"/>
              <w:left w:val="nil"/>
              <w:bottom w:val="single" w:color="auto" w:sz="4" w:space="0"/>
              <w:right w:val="single" w:color="auto" w:sz="4" w:space="0"/>
            </w:tcBorders>
            <w:noWrap/>
            <w:vAlign w:val="bottom"/>
          </w:tcPr>
          <w:p w14:paraId="7A00BCE5">
            <w:pPr>
              <w:widowControl/>
              <w:ind w:firstLine="482"/>
              <w:jc w:val="left"/>
              <w:rPr>
                <w:rFonts w:hint="eastAsia" w:ascii="宋体" w:hAnsi="宋体" w:cs="宋体"/>
                <w:b/>
                <w:bCs/>
                <w:color w:val="000000"/>
              </w:rPr>
            </w:pPr>
            <w:r>
              <w:rPr>
                <w:rFonts w:hint="eastAsia" w:ascii="宋体" w:hAnsi="宋体" w:cs="宋体"/>
                <w:b/>
                <w:bCs/>
                <w:color w:val="000000"/>
              </w:rPr>
              <w:t>布新线交界</w:t>
            </w:r>
          </w:p>
        </w:tc>
        <w:tc>
          <w:tcPr>
            <w:tcW w:w="2080" w:type="dxa"/>
            <w:tcBorders>
              <w:top w:val="nil"/>
              <w:left w:val="nil"/>
              <w:bottom w:val="single" w:color="auto" w:sz="4" w:space="0"/>
              <w:right w:val="single" w:color="auto" w:sz="4" w:space="0"/>
            </w:tcBorders>
            <w:noWrap/>
            <w:vAlign w:val="bottom"/>
          </w:tcPr>
          <w:p w14:paraId="095B869F">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174824C2">
            <w:pPr>
              <w:widowControl/>
              <w:jc w:val="center"/>
              <w:rPr>
                <w:rFonts w:hint="eastAsia" w:ascii="宋体" w:hAnsi="宋体" w:cs="宋体"/>
                <w:color w:val="000000"/>
              </w:rPr>
            </w:pPr>
            <w:r>
              <w:rPr>
                <w:rFonts w:hint="eastAsia" w:ascii="宋体" w:hAnsi="宋体" w:cs="宋体"/>
                <w:color w:val="000000"/>
              </w:rPr>
              <w:t>2</w:t>
            </w:r>
          </w:p>
        </w:tc>
      </w:tr>
      <w:tr w14:paraId="1BFDA960">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11D462D3">
            <w:pPr>
              <w:widowControl/>
              <w:ind w:firstLine="482"/>
              <w:jc w:val="center"/>
              <w:rPr>
                <w:rFonts w:hint="eastAsia" w:ascii="宋体" w:hAnsi="宋体" w:cs="宋体"/>
                <w:b/>
                <w:bCs/>
                <w:color w:val="000000"/>
              </w:rPr>
            </w:pPr>
            <w:r>
              <w:rPr>
                <w:rFonts w:hint="eastAsia" w:ascii="宋体" w:hAnsi="宋体" w:cs="宋体"/>
                <w:b/>
                <w:bCs/>
                <w:color w:val="000000"/>
              </w:rPr>
              <w:t>18</w:t>
            </w:r>
          </w:p>
        </w:tc>
        <w:tc>
          <w:tcPr>
            <w:tcW w:w="4295" w:type="dxa"/>
            <w:tcBorders>
              <w:top w:val="nil"/>
              <w:left w:val="nil"/>
              <w:bottom w:val="single" w:color="auto" w:sz="4" w:space="0"/>
              <w:right w:val="single" w:color="auto" w:sz="4" w:space="0"/>
            </w:tcBorders>
            <w:noWrap/>
            <w:vAlign w:val="bottom"/>
          </w:tcPr>
          <w:p w14:paraId="1BE0012F">
            <w:pPr>
              <w:widowControl/>
              <w:ind w:firstLine="482"/>
              <w:jc w:val="left"/>
              <w:rPr>
                <w:rFonts w:hint="eastAsia" w:ascii="宋体" w:hAnsi="宋体" w:cs="宋体"/>
                <w:b/>
                <w:bCs/>
                <w:color w:val="000000"/>
              </w:rPr>
            </w:pPr>
            <w:r>
              <w:rPr>
                <w:rFonts w:hint="eastAsia" w:ascii="宋体" w:hAnsi="宋体" w:cs="宋体"/>
                <w:b/>
                <w:bCs/>
                <w:color w:val="000000"/>
              </w:rPr>
              <w:t>新龙路二用河桥</w:t>
            </w:r>
          </w:p>
        </w:tc>
        <w:tc>
          <w:tcPr>
            <w:tcW w:w="2080" w:type="dxa"/>
            <w:tcBorders>
              <w:top w:val="nil"/>
              <w:left w:val="nil"/>
              <w:bottom w:val="single" w:color="auto" w:sz="4" w:space="0"/>
              <w:right w:val="single" w:color="auto" w:sz="4" w:space="0"/>
            </w:tcBorders>
            <w:noWrap/>
            <w:vAlign w:val="bottom"/>
          </w:tcPr>
          <w:p w14:paraId="7B9A3B51">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66E28B0F">
            <w:pPr>
              <w:widowControl/>
              <w:jc w:val="center"/>
              <w:rPr>
                <w:rFonts w:hint="eastAsia" w:ascii="宋体" w:hAnsi="宋体" w:cs="宋体"/>
                <w:color w:val="000000"/>
              </w:rPr>
            </w:pPr>
            <w:r>
              <w:rPr>
                <w:rFonts w:hint="eastAsia" w:ascii="宋体" w:hAnsi="宋体" w:cs="宋体"/>
                <w:color w:val="000000"/>
              </w:rPr>
              <w:t>2</w:t>
            </w:r>
          </w:p>
        </w:tc>
      </w:tr>
      <w:tr w14:paraId="389E4A13">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6D578311">
            <w:pPr>
              <w:widowControl/>
              <w:ind w:firstLine="482"/>
              <w:jc w:val="center"/>
              <w:rPr>
                <w:rFonts w:hint="eastAsia" w:ascii="宋体" w:hAnsi="宋体" w:cs="宋体"/>
                <w:b/>
                <w:bCs/>
                <w:color w:val="000000"/>
              </w:rPr>
            </w:pPr>
            <w:r>
              <w:rPr>
                <w:rFonts w:hint="eastAsia" w:ascii="宋体" w:hAnsi="宋体" w:cs="宋体"/>
                <w:b/>
                <w:bCs/>
                <w:color w:val="000000"/>
              </w:rPr>
              <w:t>19</w:t>
            </w:r>
          </w:p>
        </w:tc>
        <w:tc>
          <w:tcPr>
            <w:tcW w:w="4295" w:type="dxa"/>
            <w:tcBorders>
              <w:top w:val="nil"/>
              <w:left w:val="nil"/>
              <w:bottom w:val="single" w:color="auto" w:sz="4" w:space="0"/>
              <w:right w:val="single" w:color="auto" w:sz="4" w:space="0"/>
            </w:tcBorders>
            <w:noWrap/>
            <w:vAlign w:val="bottom"/>
          </w:tcPr>
          <w:p w14:paraId="514C100C">
            <w:pPr>
              <w:widowControl/>
              <w:ind w:firstLine="482"/>
              <w:jc w:val="left"/>
              <w:rPr>
                <w:rFonts w:hint="eastAsia" w:ascii="宋体" w:hAnsi="宋体" w:cs="宋体"/>
                <w:b/>
                <w:bCs/>
                <w:color w:val="000000"/>
              </w:rPr>
            </w:pPr>
            <w:r>
              <w:rPr>
                <w:rFonts w:hint="eastAsia" w:ascii="宋体" w:hAnsi="宋体" w:cs="宋体"/>
                <w:b/>
                <w:bCs/>
                <w:color w:val="000000"/>
              </w:rPr>
              <w:t>步凤大丰西南角交界</w:t>
            </w:r>
          </w:p>
        </w:tc>
        <w:tc>
          <w:tcPr>
            <w:tcW w:w="2080" w:type="dxa"/>
            <w:tcBorders>
              <w:top w:val="nil"/>
              <w:left w:val="nil"/>
              <w:bottom w:val="single" w:color="auto" w:sz="4" w:space="0"/>
              <w:right w:val="single" w:color="auto" w:sz="4" w:space="0"/>
            </w:tcBorders>
            <w:noWrap/>
            <w:vAlign w:val="bottom"/>
          </w:tcPr>
          <w:p w14:paraId="6E107359">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826191E">
            <w:pPr>
              <w:widowControl/>
              <w:jc w:val="center"/>
              <w:rPr>
                <w:rFonts w:hint="eastAsia" w:ascii="宋体" w:hAnsi="宋体" w:cs="宋体"/>
                <w:color w:val="000000"/>
              </w:rPr>
            </w:pPr>
            <w:r>
              <w:rPr>
                <w:rFonts w:hint="eastAsia" w:ascii="宋体" w:hAnsi="宋体" w:cs="宋体"/>
                <w:color w:val="000000"/>
              </w:rPr>
              <w:t>2</w:t>
            </w:r>
          </w:p>
        </w:tc>
      </w:tr>
      <w:tr w14:paraId="15EFF184">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2B8C7AE5">
            <w:pPr>
              <w:widowControl/>
              <w:ind w:firstLine="482"/>
              <w:jc w:val="center"/>
              <w:rPr>
                <w:rFonts w:hint="eastAsia" w:ascii="宋体" w:hAnsi="宋体" w:cs="宋体"/>
                <w:b/>
                <w:bCs/>
                <w:color w:val="000000"/>
              </w:rPr>
            </w:pPr>
            <w:r>
              <w:rPr>
                <w:rFonts w:hint="eastAsia" w:ascii="宋体" w:hAnsi="宋体" w:cs="宋体"/>
                <w:b/>
                <w:bCs/>
                <w:color w:val="000000"/>
              </w:rPr>
              <w:t>20</w:t>
            </w:r>
          </w:p>
        </w:tc>
        <w:tc>
          <w:tcPr>
            <w:tcW w:w="4295" w:type="dxa"/>
            <w:tcBorders>
              <w:top w:val="nil"/>
              <w:left w:val="nil"/>
              <w:bottom w:val="single" w:color="auto" w:sz="4" w:space="0"/>
              <w:right w:val="single" w:color="auto" w:sz="4" w:space="0"/>
            </w:tcBorders>
            <w:noWrap/>
            <w:vAlign w:val="bottom"/>
          </w:tcPr>
          <w:p w14:paraId="47535B50">
            <w:pPr>
              <w:widowControl/>
              <w:ind w:firstLine="482"/>
              <w:jc w:val="left"/>
              <w:rPr>
                <w:rFonts w:hint="eastAsia" w:ascii="宋体" w:hAnsi="宋体" w:cs="宋体"/>
                <w:b/>
                <w:bCs/>
                <w:color w:val="000000"/>
              </w:rPr>
            </w:pPr>
            <w:r>
              <w:rPr>
                <w:rFonts w:hint="eastAsia" w:ascii="宋体" w:hAnsi="宋体" w:cs="宋体"/>
                <w:b/>
                <w:bCs/>
                <w:color w:val="000000"/>
              </w:rPr>
              <w:t>步凤亭湖便仓交界</w:t>
            </w:r>
          </w:p>
        </w:tc>
        <w:tc>
          <w:tcPr>
            <w:tcW w:w="2080" w:type="dxa"/>
            <w:tcBorders>
              <w:top w:val="nil"/>
              <w:left w:val="nil"/>
              <w:bottom w:val="single" w:color="auto" w:sz="4" w:space="0"/>
              <w:right w:val="single" w:color="auto" w:sz="4" w:space="0"/>
            </w:tcBorders>
            <w:noWrap/>
            <w:vAlign w:val="bottom"/>
          </w:tcPr>
          <w:p w14:paraId="63E2E7C6">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2E27D5C">
            <w:pPr>
              <w:widowControl/>
              <w:jc w:val="center"/>
              <w:rPr>
                <w:rFonts w:hint="eastAsia" w:ascii="宋体" w:hAnsi="宋体" w:cs="宋体"/>
                <w:color w:val="000000"/>
              </w:rPr>
            </w:pPr>
            <w:r>
              <w:rPr>
                <w:rFonts w:hint="eastAsia" w:ascii="宋体" w:hAnsi="宋体" w:cs="宋体"/>
                <w:color w:val="000000"/>
              </w:rPr>
              <w:t>2</w:t>
            </w:r>
          </w:p>
        </w:tc>
      </w:tr>
      <w:tr w14:paraId="578A1561">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3111062F">
            <w:pPr>
              <w:widowControl/>
              <w:ind w:firstLine="482"/>
              <w:jc w:val="center"/>
              <w:rPr>
                <w:rFonts w:hint="eastAsia" w:ascii="宋体" w:hAnsi="宋体" w:cs="宋体"/>
                <w:b/>
                <w:bCs/>
                <w:color w:val="000000"/>
              </w:rPr>
            </w:pPr>
            <w:r>
              <w:rPr>
                <w:rFonts w:hint="eastAsia" w:ascii="宋体" w:hAnsi="宋体" w:cs="宋体"/>
                <w:b/>
                <w:bCs/>
                <w:color w:val="000000"/>
              </w:rPr>
              <w:t>21</w:t>
            </w:r>
          </w:p>
        </w:tc>
        <w:tc>
          <w:tcPr>
            <w:tcW w:w="4295" w:type="dxa"/>
            <w:tcBorders>
              <w:top w:val="nil"/>
              <w:left w:val="nil"/>
              <w:bottom w:val="single" w:color="auto" w:sz="4" w:space="0"/>
              <w:right w:val="single" w:color="auto" w:sz="4" w:space="0"/>
            </w:tcBorders>
            <w:noWrap/>
            <w:vAlign w:val="bottom"/>
          </w:tcPr>
          <w:p w14:paraId="7526F982">
            <w:pPr>
              <w:widowControl/>
              <w:ind w:firstLine="482"/>
              <w:jc w:val="left"/>
              <w:rPr>
                <w:rFonts w:hint="eastAsia" w:ascii="宋体" w:hAnsi="宋体" w:cs="宋体"/>
                <w:b/>
                <w:bCs/>
                <w:color w:val="000000"/>
              </w:rPr>
            </w:pPr>
            <w:r>
              <w:rPr>
                <w:rFonts w:hint="eastAsia" w:ascii="宋体" w:hAnsi="宋体" w:cs="宋体"/>
                <w:b/>
                <w:bCs/>
                <w:color w:val="000000"/>
              </w:rPr>
              <w:t>新洼六组亭湖交界</w:t>
            </w:r>
          </w:p>
        </w:tc>
        <w:tc>
          <w:tcPr>
            <w:tcW w:w="2080" w:type="dxa"/>
            <w:tcBorders>
              <w:top w:val="nil"/>
              <w:left w:val="nil"/>
              <w:bottom w:val="single" w:color="auto" w:sz="4" w:space="0"/>
              <w:right w:val="single" w:color="auto" w:sz="4" w:space="0"/>
            </w:tcBorders>
            <w:noWrap/>
            <w:vAlign w:val="bottom"/>
          </w:tcPr>
          <w:p w14:paraId="733EF885">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1D0EFBD">
            <w:pPr>
              <w:widowControl/>
              <w:jc w:val="center"/>
              <w:rPr>
                <w:rFonts w:hint="eastAsia" w:ascii="宋体" w:hAnsi="宋体" w:cs="宋体"/>
                <w:color w:val="000000"/>
              </w:rPr>
            </w:pPr>
            <w:r>
              <w:rPr>
                <w:rFonts w:hint="eastAsia" w:ascii="宋体" w:hAnsi="宋体" w:cs="宋体"/>
                <w:color w:val="000000"/>
              </w:rPr>
              <w:t>2</w:t>
            </w:r>
          </w:p>
        </w:tc>
      </w:tr>
      <w:tr w14:paraId="7D63CF2F">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6762FD68">
            <w:pPr>
              <w:widowControl/>
              <w:ind w:firstLine="482"/>
              <w:jc w:val="center"/>
              <w:rPr>
                <w:rFonts w:hint="eastAsia" w:ascii="宋体" w:hAnsi="宋体" w:cs="宋体"/>
                <w:b/>
                <w:bCs/>
                <w:color w:val="000000"/>
              </w:rPr>
            </w:pPr>
            <w:r>
              <w:rPr>
                <w:rFonts w:hint="eastAsia" w:ascii="宋体" w:hAnsi="宋体" w:cs="宋体"/>
                <w:b/>
                <w:bCs/>
                <w:color w:val="000000"/>
              </w:rPr>
              <w:t>22</w:t>
            </w:r>
          </w:p>
        </w:tc>
        <w:tc>
          <w:tcPr>
            <w:tcW w:w="4295" w:type="dxa"/>
            <w:tcBorders>
              <w:top w:val="nil"/>
              <w:left w:val="nil"/>
              <w:bottom w:val="single" w:color="auto" w:sz="4" w:space="0"/>
              <w:right w:val="single" w:color="auto" w:sz="4" w:space="0"/>
            </w:tcBorders>
            <w:noWrap/>
            <w:vAlign w:val="bottom"/>
          </w:tcPr>
          <w:p w14:paraId="5BA07072">
            <w:pPr>
              <w:widowControl/>
              <w:ind w:firstLine="482"/>
              <w:jc w:val="left"/>
              <w:rPr>
                <w:rFonts w:hint="eastAsia" w:ascii="宋体" w:hAnsi="宋体" w:cs="宋体"/>
                <w:b/>
                <w:bCs/>
                <w:color w:val="000000"/>
              </w:rPr>
            </w:pPr>
            <w:r>
              <w:rPr>
                <w:rFonts w:hint="eastAsia" w:ascii="宋体" w:hAnsi="宋体" w:cs="宋体"/>
                <w:b/>
                <w:bCs/>
                <w:color w:val="000000"/>
              </w:rPr>
              <w:t>蔡龙路口</w:t>
            </w:r>
          </w:p>
        </w:tc>
        <w:tc>
          <w:tcPr>
            <w:tcW w:w="2080" w:type="dxa"/>
            <w:tcBorders>
              <w:top w:val="nil"/>
              <w:left w:val="nil"/>
              <w:bottom w:val="single" w:color="auto" w:sz="4" w:space="0"/>
              <w:right w:val="single" w:color="auto" w:sz="4" w:space="0"/>
            </w:tcBorders>
            <w:noWrap/>
            <w:vAlign w:val="bottom"/>
          </w:tcPr>
          <w:p w14:paraId="3506B44F">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5D400DF1">
            <w:pPr>
              <w:widowControl/>
              <w:jc w:val="center"/>
              <w:rPr>
                <w:rFonts w:hint="eastAsia" w:ascii="宋体" w:hAnsi="宋体" w:cs="宋体"/>
                <w:color w:val="000000"/>
              </w:rPr>
            </w:pPr>
            <w:r>
              <w:rPr>
                <w:rFonts w:hint="eastAsia" w:ascii="宋体" w:hAnsi="宋体" w:cs="宋体"/>
                <w:color w:val="000000"/>
              </w:rPr>
              <w:t>2</w:t>
            </w:r>
          </w:p>
        </w:tc>
      </w:tr>
      <w:tr w14:paraId="1DEAB619">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791028D8">
            <w:pPr>
              <w:widowControl/>
              <w:ind w:firstLine="482"/>
              <w:jc w:val="center"/>
              <w:rPr>
                <w:rFonts w:hint="eastAsia" w:ascii="宋体" w:hAnsi="宋体" w:cs="宋体"/>
                <w:b/>
                <w:bCs/>
                <w:color w:val="000000"/>
              </w:rPr>
            </w:pPr>
            <w:r>
              <w:rPr>
                <w:rFonts w:hint="eastAsia" w:ascii="宋体" w:hAnsi="宋体" w:cs="宋体"/>
                <w:b/>
                <w:bCs/>
                <w:color w:val="000000"/>
              </w:rPr>
              <w:t>23</w:t>
            </w:r>
          </w:p>
        </w:tc>
        <w:tc>
          <w:tcPr>
            <w:tcW w:w="4295" w:type="dxa"/>
            <w:tcBorders>
              <w:top w:val="nil"/>
              <w:left w:val="nil"/>
              <w:bottom w:val="single" w:color="auto" w:sz="4" w:space="0"/>
              <w:right w:val="single" w:color="auto" w:sz="4" w:space="0"/>
            </w:tcBorders>
            <w:noWrap/>
            <w:vAlign w:val="bottom"/>
          </w:tcPr>
          <w:p w14:paraId="7BFBE086">
            <w:pPr>
              <w:widowControl/>
              <w:ind w:firstLine="482"/>
              <w:jc w:val="left"/>
              <w:rPr>
                <w:rFonts w:hint="eastAsia" w:ascii="宋体" w:hAnsi="宋体" w:cs="宋体"/>
                <w:b/>
                <w:bCs/>
                <w:color w:val="000000"/>
              </w:rPr>
            </w:pPr>
            <w:r>
              <w:rPr>
                <w:rFonts w:hint="eastAsia" w:ascii="宋体" w:hAnsi="宋体" w:cs="宋体"/>
                <w:b/>
                <w:bCs/>
                <w:color w:val="000000"/>
              </w:rPr>
              <w:t>蔡墩亭湖交界</w:t>
            </w:r>
          </w:p>
        </w:tc>
        <w:tc>
          <w:tcPr>
            <w:tcW w:w="2080" w:type="dxa"/>
            <w:tcBorders>
              <w:top w:val="nil"/>
              <w:left w:val="nil"/>
              <w:bottom w:val="single" w:color="auto" w:sz="4" w:space="0"/>
              <w:right w:val="single" w:color="auto" w:sz="4" w:space="0"/>
            </w:tcBorders>
            <w:noWrap/>
            <w:vAlign w:val="bottom"/>
          </w:tcPr>
          <w:p w14:paraId="08E170D7">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4BB29AD5">
            <w:pPr>
              <w:widowControl/>
              <w:jc w:val="center"/>
              <w:rPr>
                <w:rFonts w:hint="eastAsia" w:ascii="宋体" w:hAnsi="宋体" w:cs="宋体"/>
                <w:color w:val="000000"/>
              </w:rPr>
            </w:pPr>
            <w:r>
              <w:rPr>
                <w:rFonts w:hint="eastAsia" w:ascii="宋体" w:hAnsi="宋体" w:cs="宋体"/>
                <w:color w:val="000000"/>
              </w:rPr>
              <w:t>2</w:t>
            </w:r>
          </w:p>
        </w:tc>
      </w:tr>
      <w:tr w14:paraId="7049A81F">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505892F4">
            <w:pPr>
              <w:widowControl/>
              <w:ind w:firstLine="482"/>
              <w:jc w:val="center"/>
              <w:rPr>
                <w:rFonts w:hint="eastAsia" w:ascii="宋体" w:hAnsi="宋体" w:cs="宋体"/>
                <w:b/>
                <w:bCs/>
                <w:color w:val="000000"/>
              </w:rPr>
            </w:pPr>
            <w:r>
              <w:rPr>
                <w:rFonts w:hint="eastAsia" w:ascii="宋体" w:hAnsi="宋体" w:cs="宋体"/>
                <w:b/>
                <w:bCs/>
                <w:color w:val="000000"/>
              </w:rPr>
              <w:t>24</w:t>
            </w:r>
          </w:p>
        </w:tc>
        <w:tc>
          <w:tcPr>
            <w:tcW w:w="4295" w:type="dxa"/>
            <w:tcBorders>
              <w:top w:val="nil"/>
              <w:left w:val="nil"/>
              <w:bottom w:val="single" w:color="auto" w:sz="4" w:space="0"/>
              <w:right w:val="single" w:color="auto" w:sz="4" w:space="0"/>
            </w:tcBorders>
            <w:noWrap/>
            <w:vAlign w:val="bottom"/>
          </w:tcPr>
          <w:p w14:paraId="710A8B7B">
            <w:pPr>
              <w:widowControl/>
              <w:ind w:firstLine="482"/>
              <w:jc w:val="left"/>
              <w:rPr>
                <w:rFonts w:hint="eastAsia" w:ascii="宋体" w:hAnsi="宋体" w:cs="宋体"/>
                <w:b/>
                <w:bCs/>
                <w:color w:val="000000"/>
              </w:rPr>
            </w:pPr>
            <w:r>
              <w:rPr>
                <w:rFonts w:hint="eastAsia" w:ascii="宋体" w:hAnsi="宋体" w:cs="宋体"/>
                <w:b/>
                <w:bCs/>
                <w:color w:val="000000"/>
              </w:rPr>
              <w:t>东滩公墓</w:t>
            </w:r>
          </w:p>
        </w:tc>
        <w:tc>
          <w:tcPr>
            <w:tcW w:w="2080" w:type="dxa"/>
            <w:tcBorders>
              <w:top w:val="nil"/>
              <w:left w:val="nil"/>
              <w:bottom w:val="single" w:color="auto" w:sz="4" w:space="0"/>
              <w:right w:val="single" w:color="auto" w:sz="4" w:space="0"/>
            </w:tcBorders>
            <w:noWrap/>
            <w:vAlign w:val="bottom"/>
          </w:tcPr>
          <w:p w14:paraId="3C95DCA7">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5C3ECCF5">
            <w:pPr>
              <w:widowControl/>
              <w:jc w:val="center"/>
              <w:rPr>
                <w:rFonts w:hint="eastAsia" w:ascii="宋体" w:hAnsi="宋体" w:cs="宋体"/>
                <w:color w:val="000000"/>
              </w:rPr>
            </w:pPr>
            <w:r>
              <w:rPr>
                <w:rFonts w:hint="eastAsia" w:ascii="宋体" w:hAnsi="宋体" w:cs="宋体"/>
                <w:color w:val="000000"/>
              </w:rPr>
              <w:t>2</w:t>
            </w:r>
          </w:p>
        </w:tc>
      </w:tr>
      <w:tr w14:paraId="717731CF">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54C3944A">
            <w:pPr>
              <w:widowControl/>
              <w:ind w:firstLine="482"/>
              <w:jc w:val="center"/>
              <w:rPr>
                <w:rFonts w:hint="eastAsia" w:ascii="宋体" w:hAnsi="宋体" w:cs="宋体"/>
                <w:b/>
                <w:bCs/>
                <w:color w:val="000000"/>
              </w:rPr>
            </w:pPr>
            <w:r>
              <w:rPr>
                <w:rFonts w:hint="eastAsia" w:ascii="宋体" w:hAnsi="宋体" w:cs="宋体"/>
                <w:b/>
                <w:bCs/>
                <w:color w:val="000000"/>
              </w:rPr>
              <w:t>25</w:t>
            </w:r>
          </w:p>
        </w:tc>
        <w:tc>
          <w:tcPr>
            <w:tcW w:w="4295" w:type="dxa"/>
            <w:tcBorders>
              <w:top w:val="nil"/>
              <w:left w:val="nil"/>
              <w:bottom w:val="single" w:color="auto" w:sz="4" w:space="0"/>
              <w:right w:val="single" w:color="auto" w:sz="4" w:space="0"/>
            </w:tcBorders>
            <w:noWrap/>
            <w:vAlign w:val="bottom"/>
          </w:tcPr>
          <w:p w14:paraId="6E1CAB6E">
            <w:pPr>
              <w:widowControl/>
              <w:ind w:firstLine="482"/>
              <w:jc w:val="left"/>
              <w:rPr>
                <w:rFonts w:hint="eastAsia" w:ascii="宋体" w:hAnsi="宋体" w:cs="宋体"/>
                <w:b/>
                <w:bCs/>
                <w:color w:val="000000"/>
              </w:rPr>
            </w:pPr>
            <w:r>
              <w:rPr>
                <w:rFonts w:hint="eastAsia" w:ascii="宋体" w:hAnsi="宋体" w:cs="宋体"/>
                <w:b/>
                <w:bCs/>
                <w:color w:val="000000"/>
              </w:rPr>
              <w:t>潮北河二桥</w:t>
            </w:r>
          </w:p>
        </w:tc>
        <w:tc>
          <w:tcPr>
            <w:tcW w:w="2080" w:type="dxa"/>
            <w:tcBorders>
              <w:top w:val="nil"/>
              <w:left w:val="nil"/>
              <w:bottom w:val="single" w:color="auto" w:sz="4" w:space="0"/>
              <w:right w:val="single" w:color="auto" w:sz="4" w:space="0"/>
            </w:tcBorders>
            <w:noWrap/>
            <w:vAlign w:val="bottom"/>
          </w:tcPr>
          <w:p w14:paraId="5CE97EEA">
            <w:pPr>
              <w:widowControl/>
              <w:jc w:val="center"/>
              <w:rPr>
                <w:rFonts w:hint="eastAsia" w:ascii="宋体" w:hAnsi="宋体" w:cs="宋体"/>
                <w:color w:val="000000"/>
              </w:rPr>
            </w:pPr>
            <w:r>
              <w:rPr>
                <w:rFonts w:hint="eastAsia" w:ascii="宋体" w:hAnsi="宋体" w:cs="宋体"/>
                <w:color w:val="000000"/>
              </w:rPr>
              <w:t>3</w:t>
            </w:r>
          </w:p>
        </w:tc>
        <w:tc>
          <w:tcPr>
            <w:tcW w:w="1606" w:type="dxa"/>
            <w:tcBorders>
              <w:top w:val="nil"/>
              <w:left w:val="nil"/>
              <w:bottom w:val="single" w:color="auto" w:sz="4" w:space="0"/>
              <w:right w:val="single" w:color="auto" w:sz="4" w:space="0"/>
            </w:tcBorders>
            <w:noWrap/>
            <w:vAlign w:val="bottom"/>
          </w:tcPr>
          <w:p w14:paraId="04B6BCD7">
            <w:pPr>
              <w:widowControl/>
              <w:jc w:val="center"/>
              <w:rPr>
                <w:rFonts w:hint="eastAsia" w:ascii="宋体" w:hAnsi="宋体" w:cs="宋体"/>
                <w:color w:val="000000"/>
              </w:rPr>
            </w:pPr>
            <w:r>
              <w:rPr>
                <w:rFonts w:hint="eastAsia" w:ascii="宋体" w:hAnsi="宋体" w:cs="宋体"/>
                <w:color w:val="000000"/>
              </w:rPr>
              <w:t>3</w:t>
            </w:r>
          </w:p>
        </w:tc>
      </w:tr>
      <w:tr w14:paraId="4E5C066D">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04BECAC3">
            <w:pPr>
              <w:widowControl/>
              <w:ind w:firstLine="482"/>
              <w:jc w:val="center"/>
              <w:rPr>
                <w:rFonts w:hint="eastAsia" w:ascii="宋体" w:hAnsi="宋体" w:cs="宋体"/>
                <w:b/>
                <w:bCs/>
                <w:color w:val="000000"/>
              </w:rPr>
            </w:pPr>
            <w:r>
              <w:rPr>
                <w:rFonts w:hint="eastAsia" w:ascii="宋体" w:hAnsi="宋体" w:cs="宋体"/>
                <w:b/>
                <w:bCs/>
                <w:color w:val="000000"/>
              </w:rPr>
              <w:t>26</w:t>
            </w:r>
          </w:p>
        </w:tc>
        <w:tc>
          <w:tcPr>
            <w:tcW w:w="4295" w:type="dxa"/>
            <w:tcBorders>
              <w:top w:val="nil"/>
              <w:left w:val="nil"/>
              <w:bottom w:val="single" w:color="auto" w:sz="4" w:space="0"/>
              <w:right w:val="single" w:color="auto" w:sz="4" w:space="0"/>
            </w:tcBorders>
            <w:noWrap/>
            <w:vAlign w:val="bottom"/>
          </w:tcPr>
          <w:p w14:paraId="2675585C">
            <w:pPr>
              <w:widowControl/>
              <w:ind w:firstLine="482"/>
              <w:jc w:val="left"/>
              <w:rPr>
                <w:rFonts w:hint="eastAsia" w:ascii="宋体" w:hAnsi="宋体" w:cs="宋体"/>
                <w:b/>
                <w:bCs/>
                <w:color w:val="000000"/>
              </w:rPr>
            </w:pPr>
            <w:r>
              <w:rPr>
                <w:rFonts w:hint="eastAsia" w:ascii="宋体" w:hAnsi="宋体" w:cs="宋体"/>
                <w:b/>
                <w:bCs/>
                <w:color w:val="000000"/>
              </w:rPr>
              <w:t>东滩亭湖东团交界</w:t>
            </w:r>
          </w:p>
        </w:tc>
        <w:tc>
          <w:tcPr>
            <w:tcW w:w="2080" w:type="dxa"/>
            <w:tcBorders>
              <w:top w:val="nil"/>
              <w:left w:val="nil"/>
              <w:bottom w:val="single" w:color="auto" w:sz="4" w:space="0"/>
              <w:right w:val="single" w:color="auto" w:sz="4" w:space="0"/>
            </w:tcBorders>
            <w:noWrap/>
            <w:vAlign w:val="bottom"/>
          </w:tcPr>
          <w:p w14:paraId="7ECB79C4">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5F0B44D2">
            <w:pPr>
              <w:widowControl/>
              <w:jc w:val="center"/>
              <w:rPr>
                <w:rFonts w:hint="eastAsia" w:ascii="宋体" w:hAnsi="宋体" w:cs="宋体"/>
                <w:color w:val="000000"/>
              </w:rPr>
            </w:pPr>
            <w:r>
              <w:rPr>
                <w:rFonts w:hint="eastAsia" w:ascii="宋体" w:hAnsi="宋体" w:cs="宋体"/>
                <w:color w:val="000000"/>
              </w:rPr>
              <w:t>2</w:t>
            </w:r>
          </w:p>
        </w:tc>
      </w:tr>
      <w:tr w14:paraId="2A14E92F">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3B6F7125">
            <w:pPr>
              <w:widowControl/>
              <w:ind w:firstLine="482"/>
              <w:jc w:val="center"/>
              <w:rPr>
                <w:rFonts w:hint="eastAsia" w:ascii="宋体" w:hAnsi="宋体" w:cs="宋体"/>
                <w:b/>
                <w:bCs/>
                <w:color w:val="000000"/>
              </w:rPr>
            </w:pPr>
            <w:r>
              <w:rPr>
                <w:rFonts w:hint="eastAsia" w:ascii="宋体" w:hAnsi="宋体" w:cs="宋体"/>
                <w:b/>
                <w:bCs/>
                <w:color w:val="000000"/>
              </w:rPr>
              <w:t>27</w:t>
            </w:r>
          </w:p>
        </w:tc>
        <w:tc>
          <w:tcPr>
            <w:tcW w:w="4295" w:type="dxa"/>
            <w:tcBorders>
              <w:top w:val="nil"/>
              <w:left w:val="nil"/>
              <w:bottom w:val="single" w:color="auto" w:sz="4" w:space="0"/>
              <w:right w:val="single" w:color="auto" w:sz="4" w:space="0"/>
            </w:tcBorders>
            <w:noWrap/>
            <w:vAlign w:val="bottom"/>
          </w:tcPr>
          <w:p w14:paraId="3D546159">
            <w:pPr>
              <w:widowControl/>
              <w:ind w:firstLine="482"/>
              <w:jc w:val="left"/>
              <w:rPr>
                <w:rFonts w:hint="eastAsia" w:ascii="宋体" w:hAnsi="宋体" w:cs="宋体"/>
                <w:b/>
                <w:bCs/>
                <w:color w:val="000000"/>
              </w:rPr>
            </w:pPr>
            <w:r>
              <w:rPr>
                <w:rFonts w:hint="eastAsia" w:ascii="宋体" w:hAnsi="宋体" w:cs="宋体"/>
                <w:b/>
                <w:bCs/>
                <w:color w:val="000000"/>
              </w:rPr>
              <w:t>新生七组亭湖交界</w:t>
            </w:r>
          </w:p>
        </w:tc>
        <w:tc>
          <w:tcPr>
            <w:tcW w:w="2080" w:type="dxa"/>
            <w:tcBorders>
              <w:top w:val="nil"/>
              <w:left w:val="nil"/>
              <w:bottom w:val="single" w:color="auto" w:sz="4" w:space="0"/>
              <w:right w:val="single" w:color="auto" w:sz="4" w:space="0"/>
            </w:tcBorders>
            <w:noWrap/>
            <w:vAlign w:val="bottom"/>
          </w:tcPr>
          <w:p w14:paraId="6927630E">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270FF41E">
            <w:pPr>
              <w:widowControl/>
              <w:jc w:val="center"/>
              <w:rPr>
                <w:rFonts w:hint="eastAsia" w:ascii="宋体" w:hAnsi="宋体" w:cs="宋体"/>
                <w:color w:val="000000"/>
              </w:rPr>
            </w:pPr>
            <w:r>
              <w:rPr>
                <w:rFonts w:hint="eastAsia" w:ascii="宋体" w:hAnsi="宋体" w:cs="宋体"/>
                <w:color w:val="000000"/>
              </w:rPr>
              <w:t>2</w:t>
            </w:r>
          </w:p>
        </w:tc>
      </w:tr>
      <w:tr w14:paraId="31988566">
        <w:tblPrEx>
          <w:tblCellMar>
            <w:top w:w="0" w:type="dxa"/>
            <w:left w:w="108" w:type="dxa"/>
            <w:bottom w:w="0" w:type="dxa"/>
            <w:right w:w="108" w:type="dxa"/>
          </w:tblCellMar>
        </w:tblPrEx>
        <w:trPr>
          <w:trHeight w:val="402" w:hRule="atLeast"/>
        </w:trPr>
        <w:tc>
          <w:tcPr>
            <w:tcW w:w="940" w:type="dxa"/>
            <w:tcBorders>
              <w:top w:val="nil"/>
              <w:left w:val="single" w:color="auto" w:sz="8" w:space="0"/>
              <w:bottom w:val="single" w:color="auto" w:sz="4" w:space="0"/>
              <w:right w:val="single" w:color="auto" w:sz="4" w:space="0"/>
            </w:tcBorders>
            <w:noWrap/>
            <w:vAlign w:val="center"/>
          </w:tcPr>
          <w:p w14:paraId="7F427215">
            <w:pPr>
              <w:widowControl/>
              <w:ind w:firstLine="482"/>
              <w:jc w:val="center"/>
              <w:rPr>
                <w:rFonts w:hint="eastAsia" w:ascii="宋体" w:hAnsi="宋体" w:cs="宋体"/>
                <w:b/>
                <w:bCs/>
                <w:color w:val="000000"/>
              </w:rPr>
            </w:pPr>
            <w:r>
              <w:rPr>
                <w:rFonts w:hint="eastAsia" w:ascii="宋体" w:hAnsi="宋体" w:cs="宋体"/>
                <w:b/>
                <w:bCs/>
                <w:color w:val="000000"/>
              </w:rPr>
              <w:t>28</w:t>
            </w:r>
          </w:p>
        </w:tc>
        <w:tc>
          <w:tcPr>
            <w:tcW w:w="4295" w:type="dxa"/>
            <w:tcBorders>
              <w:top w:val="nil"/>
              <w:left w:val="nil"/>
              <w:bottom w:val="single" w:color="auto" w:sz="4" w:space="0"/>
              <w:right w:val="single" w:color="auto" w:sz="4" w:space="0"/>
            </w:tcBorders>
            <w:noWrap/>
            <w:vAlign w:val="bottom"/>
          </w:tcPr>
          <w:p w14:paraId="331F90CE">
            <w:pPr>
              <w:widowControl/>
              <w:ind w:firstLine="482"/>
              <w:jc w:val="left"/>
              <w:rPr>
                <w:rFonts w:hint="eastAsia" w:ascii="宋体" w:hAnsi="宋体" w:cs="宋体"/>
                <w:b/>
                <w:bCs/>
                <w:color w:val="000000"/>
              </w:rPr>
            </w:pPr>
            <w:r>
              <w:rPr>
                <w:rFonts w:hint="eastAsia" w:ascii="宋体" w:hAnsi="宋体" w:cs="宋体"/>
                <w:b/>
                <w:bCs/>
                <w:color w:val="000000"/>
              </w:rPr>
              <w:t>民升邵林交界建新河桥</w:t>
            </w:r>
          </w:p>
        </w:tc>
        <w:tc>
          <w:tcPr>
            <w:tcW w:w="2080" w:type="dxa"/>
            <w:tcBorders>
              <w:top w:val="nil"/>
              <w:left w:val="nil"/>
              <w:bottom w:val="single" w:color="auto" w:sz="4" w:space="0"/>
              <w:right w:val="single" w:color="auto" w:sz="4" w:space="0"/>
            </w:tcBorders>
            <w:noWrap/>
            <w:vAlign w:val="bottom"/>
          </w:tcPr>
          <w:p w14:paraId="5D030E5E">
            <w:pPr>
              <w:widowControl/>
              <w:jc w:val="center"/>
              <w:rPr>
                <w:rFonts w:hint="eastAsia" w:ascii="宋体" w:hAnsi="宋体" w:cs="宋体"/>
                <w:color w:val="000000"/>
              </w:rPr>
            </w:pPr>
            <w:r>
              <w:rPr>
                <w:rFonts w:hint="eastAsia" w:ascii="宋体" w:hAnsi="宋体" w:cs="宋体"/>
                <w:color w:val="000000"/>
              </w:rPr>
              <w:t>2</w:t>
            </w:r>
          </w:p>
        </w:tc>
        <w:tc>
          <w:tcPr>
            <w:tcW w:w="1606" w:type="dxa"/>
            <w:tcBorders>
              <w:top w:val="nil"/>
              <w:left w:val="nil"/>
              <w:bottom w:val="single" w:color="auto" w:sz="4" w:space="0"/>
              <w:right w:val="single" w:color="auto" w:sz="4" w:space="0"/>
            </w:tcBorders>
            <w:noWrap/>
            <w:vAlign w:val="bottom"/>
          </w:tcPr>
          <w:p w14:paraId="594B1CB1">
            <w:pPr>
              <w:widowControl/>
              <w:jc w:val="center"/>
              <w:rPr>
                <w:rFonts w:hint="eastAsia" w:ascii="宋体" w:hAnsi="宋体" w:cs="宋体"/>
                <w:color w:val="000000"/>
              </w:rPr>
            </w:pPr>
            <w:r>
              <w:rPr>
                <w:rFonts w:hint="eastAsia" w:ascii="宋体" w:hAnsi="宋体" w:cs="宋体"/>
                <w:color w:val="000000"/>
              </w:rPr>
              <w:t>2</w:t>
            </w:r>
          </w:p>
        </w:tc>
      </w:tr>
      <w:tr w14:paraId="3F049CC1">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3425E64">
            <w:pPr>
              <w:widowControl/>
              <w:ind w:firstLine="482"/>
              <w:jc w:val="center"/>
              <w:rPr>
                <w:rFonts w:hint="eastAsia" w:ascii="宋体" w:hAnsi="宋体" w:cs="宋体"/>
                <w:b/>
                <w:bCs/>
                <w:color w:val="000000"/>
              </w:rPr>
            </w:pPr>
            <w:r>
              <w:rPr>
                <w:rFonts w:hint="eastAsia" w:ascii="宋体" w:hAnsi="宋体" w:cs="宋体"/>
                <w:b/>
                <w:bCs/>
                <w:color w:val="000000"/>
              </w:rPr>
              <w:t>29</w:t>
            </w:r>
          </w:p>
        </w:tc>
        <w:tc>
          <w:tcPr>
            <w:tcW w:w="4295" w:type="dxa"/>
            <w:tcBorders>
              <w:top w:val="nil"/>
              <w:left w:val="nil"/>
              <w:bottom w:val="single" w:color="auto" w:sz="4" w:space="0"/>
              <w:right w:val="single" w:color="auto" w:sz="4" w:space="0"/>
            </w:tcBorders>
            <w:noWrap/>
            <w:vAlign w:val="bottom"/>
          </w:tcPr>
          <w:p w14:paraId="642BEEFA">
            <w:pPr>
              <w:widowControl/>
              <w:ind w:firstLine="482"/>
              <w:jc w:val="left"/>
              <w:rPr>
                <w:rFonts w:hint="eastAsia" w:ascii="宋体" w:hAnsi="宋体" w:cs="宋体"/>
                <w:b/>
                <w:bCs/>
                <w:color w:val="000000"/>
              </w:rPr>
            </w:pPr>
            <w:r>
              <w:rPr>
                <w:rFonts w:hint="eastAsia" w:ascii="宋体" w:hAnsi="宋体" w:cs="宋体"/>
                <w:b/>
                <w:bCs/>
                <w:color w:val="000000"/>
              </w:rPr>
              <w:t>世纪大道南侧天山路西侧辅道</w:t>
            </w:r>
          </w:p>
        </w:tc>
        <w:tc>
          <w:tcPr>
            <w:tcW w:w="2080" w:type="dxa"/>
            <w:tcBorders>
              <w:top w:val="nil"/>
              <w:left w:val="nil"/>
              <w:bottom w:val="single" w:color="auto" w:sz="4" w:space="0"/>
              <w:right w:val="single" w:color="auto" w:sz="4" w:space="0"/>
            </w:tcBorders>
            <w:noWrap/>
            <w:vAlign w:val="bottom"/>
          </w:tcPr>
          <w:p w14:paraId="047BE60F">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20357CE2">
            <w:pPr>
              <w:widowControl/>
              <w:jc w:val="center"/>
              <w:rPr>
                <w:rFonts w:hint="eastAsia" w:ascii="宋体" w:hAnsi="宋体" w:cs="宋体"/>
                <w:color w:val="000000"/>
              </w:rPr>
            </w:pPr>
            <w:r>
              <w:rPr>
                <w:rFonts w:hint="eastAsia" w:ascii="宋体" w:hAnsi="宋体" w:cs="宋体"/>
                <w:color w:val="000000"/>
              </w:rPr>
              <w:t>　</w:t>
            </w:r>
          </w:p>
        </w:tc>
      </w:tr>
      <w:tr w14:paraId="2A9086EC">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EFE69DD">
            <w:pPr>
              <w:widowControl/>
              <w:ind w:firstLine="482"/>
              <w:jc w:val="center"/>
              <w:rPr>
                <w:rFonts w:hint="eastAsia" w:ascii="宋体" w:hAnsi="宋体" w:cs="宋体"/>
                <w:b/>
                <w:bCs/>
                <w:color w:val="000000"/>
              </w:rPr>
            </w:pPr>
            <w:r>
              <w:rPr>
                <w:rFonts w:hint="eastAsia" w:ascii="宋体" w:hAnsi="宋体" w:cs="宋体"/>
                <w:b/>
                <w:bCs/>
                <w:color w:val="000000"/>
              </w:rPr>
              <w:t>30</w:t>
            </w:r>
          </w:p>
        </w:tc>
        <w:tc>
          <w:tcPr>
            <w:tcW w:w="4295" w:type="dxa"/>
            <w:tcBorders>
              <w:top w:val="nil"/>
              <w:left w:val="nil"/>
              <w:bottom w:val="single" w:color="auto" w:sz="4" w:space="0"/>
              <w:right w:val="single" w:color="auto" w:sz="4" w:space="0"/>
            </w:tcBorders>
            <w:noWrap/>
            <w:vAlign w:val="bottom"/>
          </w:tcPr>
          <w:p w14:paraId="712FFD47">
            <w:pPr>
              <w:widowControl/>
              <w:ind w:firstLine="482"/>
              <w:jc w:val="left"/>
              <w:rPr>
                <w:rFonts w:hint="eastAsia" w:ascii="宋体" w:hAnsi="宋体" w:cs="宋体"/>
                <w:b/>
                <w:bCs/>
                <w:color w:val="000000"/>
              </w:rPr>
            </w:pPr>
            <w:r>
              <w:rPr>
                <w:rFonts w:hint="eastAsia" w:ascii="宋体" w:hAnsi="宋体" w:cs="宋体"/>
                <w:b/>
                <w:bCs/>
                <w:color w:val="000000"/>
              </w:rPr>
              <w:t>世纪大道南侧天山路东侧辅道</w:t>
            </w:r>
          </w:p>
        </w:tc>
        <w:tc>
          <w:tcPr>
            <w:tcW w:w="2080" w:type="dxa"/>
            <w:tcBorders>
              <w:top w:val="nil"/>
              <w:left w:val="nil"/>
              <w:bottom w:val="single" w:color="auto" w:sz="4" w:space="0"/>
              <w:right w:val="single" w:color="auto" w:sz="4" w:space="0"/>
            </w:tcBorders>
            <w:noWrap/>
            <w:vAlign w:val="bottom"/>
          </w:tcPr>
          <w:p w14:paraId="59147D42">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2163F8C">
            <w:pPr>
              <w:widowControl/>
              <w:jc w:val="center"/>
              <w:rPr>
                <w:rFonts w:hint="eastAsia" w:ascii="宋体" w:hAnsi="宋体" w:cs="宋体"/>
                <w:color w:val="000000"/>
              </w:rPr>
            </w:pPr>
            <w:r>
              <w:rPr>
                <w:rFonts w:hint="eastAsia" w:ascii="宋体" w:hAnsi="宋体" w:cs="宋体"/>
                <w:color w:val="000000"/>
              </w:rPr>
              <w:t>　</w:t>
            </w:r>
          </w:p>
        </w:tc>
      </w:tr>
      <w:tr w14:paraId="335F83E0">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594D3E6">
            <w:pPr>
              <w:widowControl/>
              <w:ind w:firstLine="482"/>
              <w:jc w:val="center"/>
              <w:rPr>
                <w:rFonts w:hint="eastAsia" w:ascii="宋体" w:hAnsi="宋体" w:cs="宋体"/>
                <w:b/>
                <w:bCs/>
                <w:color w:val="000000"/>
              </w:rPr>
            </w:pPr>
            <w:r>
              <w:rPr>
                <w:rFonts w:hint="eastAsia" w:ascii="宋体" w:hAnsi="宋体" w:cs="宋体"/>
                <w:b/>
                <w:bCs/>
                <w:color w:val="000000"/>
              </w:rPr>
              <w:t>31</w:t>
            </w:r>
          </w:p>
        </w:tc>
        <w:tc>
          <w:tcPr>
            <w:tcW w:w="4295" w:type="dxa"/>
            <w:tcBorders>
              <w:top w:val="nil"/>
              <w:left w:val="nil"/>
              <w:bottom w:val="single" w:color="auto" w:sz="4" w:space="0"/>
              <w:right w:val="single" w:color="auto" w:sz="4" w:space="0"/>
            </w:tcBorders>
            <w:noWrap/>
            <w:vAlign w:val="bottom"/>
          </w:tcPr>
          <w:p w14:paraId="3991BF99">
            <w:pPr>
              <w:widowControl/>
              <w:ind w:firstLine="482"/>
              <w:jc w:val="left"/>
              <w:rPr>
                <w:rFonts w:hint="eastAsia" w:ascii="宋体" w:hAnsi="宋体" w:cs="宋体"/>
                <w:b/>
                <w:bCs/>
                <w:color w:val="000000"/>
              </w:rPr>
            </w:pPr>
            <w:r>
              <w:rPr>
                <w:rFonts w:hint="eastAsia" w:ascii="宋体" w:hAnsi="宋体" w:cs="宋体"/>
                <w:b/>
                <w:bCs/>
                <w:color w:val="000000"/>
              </w:rPr>
              <w:t>世纪大道南侧希望大道西侧辅道</w:t>
            </w:r>
          </w:p>
        </w:tc>
        <w:tc>
          <w:tcPr>
            <w:tcW w:w="2080" w:type="dxa"/>
            <w:tcBorders>
              <w:top w:val="nil"/>
              <w:left w:val="nil"/>
              <w:bottom w:val="single" w:color="auto" w:sz="4" w:space="0"/>
              <w:right w:val="single" w:color="auto" w:sz="4" w:space="0"/>
            </w:tcBorders>
            <w:noWrap/>
            <w:vAlign w:val="bottom"/>
          </w:tcPr>
          <w:p w14:paraId="27702E65">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5B09C0E">
            <w:pPr>
              <w:widowControl/>
              <w:jc w:val="center"/>
              <w:rPr>
                <w:rFonts w:hint="eastAsia" w:ascii="宋体" w:hAnsi="宋体" w:cs="宋体"/>
                <w:color w:val="000000"/>
              </w:rPr>
            </w:pPr>
            <w:r>
              <w:rPr>
                <w:rFonts w:hint="eastAsia" w:ascii="宋体" w:hAnsi="宋体" w:cs="宋体"/>
                <w:color w:val="000000"/>
              </w:rPr>
              <w:t>　</w:t>
            </w:r>
          </w:p>
        </w:tc>
      </w:tr>
      <w:tr w14:paraId="3F7CA923">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2530A74">
            <w:pPr>
              <w:widowControl/>
              <w:ind w:firstLine="482"/>
              <w:jc w:val="center"/>
              <w:rPr>
                <w:rFonts w:hint="eastAsia" w:ascii="宋体" w:hAnsi="宋体" w:cs="宋体"/>
                <w:b/>
                <w:bCs/>
                <w:color w:val="000000"/>
              </w:rPr>
            </w:pPr>
            <w:r>
              <w:rPr>
                <w:rFonts w:hint="eastAsia" w:ascii="宋体" w:hAnsi="宋体" w:cs="宋体"/>
                <w:b/>
                <w:bCs/>
                <w:color w:val="000000"/>
              </w:rPr>
              <w:t>32</w:t>
            </w:r>
          </w:p>
        </w:tc>
        <w:tc>
          <w:tcPr>
            <w:tcW w:w="4295" w:type="dxa"/>
            <w:tcBorders>
              <w:top w:val="nil"/>
              <w:left w:val="nil"/>
              <w:bottom w:val="single" w:color="auto" w:sz="4" w:space="0"/>
              <w:right w:val="single" w:color="auto" w:sz="4" w:space="0"/>
            </w:tcBorders>
            <w:noWrap/>
            <w:vAlign w:val="bottom"/>
          </w:tcPr>
          <w:p w14:paraId="76C4FB6C">
            <w:pPr>
              <w:widowControl/>
              <w:ind w:firstLine="482"/>
              <w:jc w:val="left"/>
              <w:rPr>
                <w:rFonts w:hint="eastAsia" w:ascii="宋体" w:hAnsi="宋体" w:cs="宋体"/>
                <w:b/>
                <w:bCs/>
                <w:color w:val="000000"/>
              </w:rPr>
            </w:pPr>
            <w:r>
              <w:rPr>
                <w:rFonts w:hint="eastAsia" w:ascii="宋体" w:hAnsi="宋体" w:cs="宋体"/>
                <w:b/>
                <w:bCs/>
                <w:color w:val="000000"/>
              </w:rPr>
              <w:t>世纪大道南侧希望大道东侧辅道</w:t>
            </w:r>
          </w:p>
        </w:tc>
        <w:tc>
          <w:tcPr>
            <w:tcW w:w="2080" w:type="dxa"/>
            <w:tcBorders>
              <w:top w:val="nil"/>
              <w:left w:val="nil"/>
              <w:bottom w:val="single" w:color="auto" w:sz="4" w:space="0"/>
              <w:right w:val="single" w:color="auto" w:sz="4" w:space="0"/>
            </w:tcBorders>
            <w:noWrap/>
            <w:vAlign w:val="bottom"/>
          </w:tcPr>
          <w:p w14:paraId="7DEE6507">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DA6B50E">
            <w:pPr>
              <w:widowControl/>
              <w:jc w:val="center"/>
              <w:rPr>
                <w:rFonts w:hint="eastAsia" w:ascii="宋体" w:hAnsi="宋体" w:cs="宋体"/>
                <w:color w:val="000000"/>
              </w:rPr>
            </w:pPr>
            <w:r>
              <w:rPr>
                <w:rFonts w:hint="eastAsia" w:ascii="宋体" w:hAnsi="宋体" w:cs="宋体"/>
                <w:color w:val="000000"/>
              </w:rPr>
              <w:t>　</w:t>
            </w:r>
          </w:p>
        </w:tc>
      </w:tr>
      <w:tr w14:paraId="7680F0E2">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C716F65">
            <w:pPr>
              <w:widowControl/>
              <w:ind w:firstLine="482"/>
              <w:jc w:val="center"/>
              <w:rPr>
                <w:rFonts w:hint="eastAsia" w:ascii="宋体" w:hAnsi="宋体" w:cs="宋体"/>
                <w:b/>
                <w:bCs/>
                <w:color w:val="000000"/>
              </w:rPr>
            </w:pPr>
            <w:r>
              <w:rPr>
                <w:rFonts w:hint="eastAsia" w:ascii="宋体" w:hAnsi="宋体" w:cs="宋体"/>
                <w:b/>
                <w:bCs/>
                <w:color w:val="000000"/>
              </w:rPr>
              <w:t>33</w:t>
            </w:r>
          </w:p>
        </w:tc>
        <w:tc>
          <w:tcPr>
            <w:tcW w:w="4295" w:type="dxa"/>
            <w:tcBorders>
              <w:top w:val="nil"/>
              <w:left w:val="nil"/>
              <w:bottom w:val="single" w:color="auto" w:sz="4" w:space="0"/>
              <w:right w:val="single" w:color="auto" w:sz="4" w:space="0"/>
            </w:tcBorders>
            <w:noWrap/>
            <w:vAlign w:val="bottom"/>
          </w:tcPr>
          <w:p w14:paraId="16CB3AB4">
            <w:pPr>
              <w:widowControl/>
              <w:ind w:firstLine="482"/>
              <w:jc w:val="left"/>
              <w:rPr>
                <w:rFonts w:hint="eastAsia" w:ascii="宋体" w:hAnsi="宋体" w:cs="宋体"/>
                <w:b/>
                <w:bCs/>
                <w:color w:val="000000"/>
              </w:rPr>
            </w:pPr>
            <w:r>
              <w:rPr>
                <w:rFonts w:hint="eastAsia" w:ascii="宋体" w:hAnsi="宋体" w:cs="宋体"/>
                <w:b/>
                <w:bCs/>
                <w:color w:val="000000"/>
              </w:rPr>
              <w:t>世纪大道南侧泰山路西侧辅道</w:t>
            </w:r>
          </w:p>
        </w:tc>
        <w:tc>
          <w:tcPr>
            <w:tcW w:w="2080" w:type="dxa"/>
            <w:tcBorders>
              <w:top w:val="nil"/>
              <w:left w:val="nil"/>
              <w:bottom w:val="single" w:color="auto" w:sz="4" w:space="0"/>
              <w:right w:val="single" w:color="auto" w:sz="4" w:space="0"/>
            </w:tcBorders>
            <w:noWrap/>
            <w:vAlign w:val="bottom"/>
          </w:tcPr>
          <w:p w14:paraId="0D97CA09">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32E690E">
            <w:pPr>
              <w:widowControl/>
              <w:jc w:val="center"/>
              <w:rPr>
                <w:rFonts w:hint="eastAsia" w:ascii="宋体" w:hAnsi="宋体" w:cs="宋体"/>
                <w:color w:val="000000"/>
              </w:rPr>
            </w:pPr>
            <w:r>
              <w:rPr>
                <w:rFonts w:hint="eastAsia" w:ascii="宋体" w:hAnsi="宋体" w:cs="宋体"/>
                <w:color w:val="000000"/>
              </w:rPr>
              <w:t>　</w:t>
            </w:r>
          </w:p>
        </w:tc>
      </w:tr>
      <w:tr w14:paraId="7BB54D5C">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BA61426">
            <w:pPr>
              <w:widowControl/>
              <w:ind w:firstLine="482"/>
              <w:jc w:val="center"/>
              <w:rPr>
                <w:rFonts w:hint="eastAsia" w:ascii="宋体" w:hAnsi="宋体" w:cs="宋体"/>
                <w:b/>
                <w:bCs/>
                <w:color w:val="000000"/>
              </w:rPr>
            </w:pPr>
            <w:r>
              <w:rPr>
                <w:rFonts w:hint="eastAsia" w:ascii="宋体" w:hAnsi="宋体" w:cs="宋体"/>
                <w:b/>
                <w:bCs/>
                <w:color w:val="000000"/>
              </w:rPr>
              <w:t>34</w:t>
            </w:r>
          </w:p>
        </w:tc>
        <w:tc>
          <w:tcPr>
            <w:tcW w:w="4295" w:type="dxa"/>
            <w:tcBorders>
              <w:top w:val="nil"/>
              <w:left w:val="nil"/>
              <w:bottom w:val="single" w:color="auto" w:sz="4" w:space="0"/>
              <w:right w:val="single" w:color="auto" w:sz="4" w:space="0"/>
            </w:tcBorders>
            <w:noWrap/>
            <w:vAlign w:val="bottom"/>
          </w:tcPr>
          <w:p w14:paraId="3D5FCDFF">
            <w:pPr>
              <w:widowControl/>
              <w:ind w:firstLine="482"/>
              <w:jc w:val="left"/>
              <w:rPr>
                <w:rFonts w:hint="eastAsia" w:ascii="宋体" w:hAnsi="宋体" w:cs="宋体"/>
                <w:b/>
                <w:bCs/>
                <w:color w:val="000000"/>
              </w:rPr>
            </w:pPr>
            <w:r>
              <w:rPr>
                <w:rFonts w:hint="eastAsia" w:ascii="宋体" w:hAnsi="宋体" w:cs="宋体"/>
                <w:b/>
                <w:bCs/>
                <w:color w:val="000000"/>
              </w:rPr>
              <w:t>世纪大道南侧泰山路东侧辅道</w:t>
            </w:r>
          </w:p>
        </w:tc>
        <w:tc>
          <w:tcPr>
            <w:tcW w:w="2080" w:type="dxa"/>
            <w:tcBorders>
              <w:top w:val="nil"/>
              <w:left w:val="nil"/>
              <w:bottom w:val="single" w:color="auto" w:sz="4" w:space="0"/>
              <w:right w:val="single" w:color="auto" w:sz="4" w:space="0"/>
            </w:tcBorders>
            <w:noWrap/>
            <w:vAlign w:val="bottom"/>
          </w:tcPr>
          <w:p w14:paraId="1F6E8176">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6D694CD4">
            <w:pPr>
              <w:widowControl/>
              <w:jc w:val="center"/>
              <w:rPr>
                <w:rFonts w:hint="eastAsia" w:ascii="宋体" w:hAnsi="宋体" w:cs="宋体"/>
                <w:color w:val="000000"/>
              </w:rPr>
            </w:pPr>
            <w:r>
              <w:rPr>
                <w:rFonts w:hint="eastAsia" w:ascii="宋体" w:hAnsi="宋体" w:cs="宋体"/>
                <w:color w:val="000000"/>
              </w:rPr>
              <w:t>　</w:t>
            </w:r>
          </w:p>
        </w:tc>
      </w:tr>
      <w:tr w14:paraId="70B53C78">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565B56F">
            <w:pPr>
              <w:widowControl/>
              <w:ind w:firstLine="482"/>
              <w:jc w:val="center"/>
              <w:rPr>
                <w:rFonts w:hint="eastAsia" w:ascii="宋体" w:hAnsi="宋体" w:cs="宋体"/>
                <w:b/>
                <w:bCs/>
                <w:color w:val="000000"/>
              </w:rPr>
            </w:pPr>
            <w:r>
              <w:rPr>
                <w:rFonts w:hint="eastAsia" w:ascii="宋体" w:hAnsi="宋体" w:cs="宋体"/>
                <w:b/>
                <w:bCs/>
                <w:color w:val="000000"/>
              </w:rPr>
              <w:t>35</w:t>
            </w:r>
          </w:p>
        </w:tc>
        <w:tc>
          <w:tcPr>
            <w:tcW w:w="4295" w:type="dxa"/>
            <w:tcBorders>
              <w:top w:val="nil"/>
              <w:left w:val="nil"/>
              <w:bottom w:val="single" w:color="auto" w:sz="4" w:space="0"/>
              <w:right w:val="single" w:color="auto" w:sz="4" w:space="0"/>
            </w:tcBorders>
            <w:noWrap/>
            <w:vAlign w:val="bottom"/>
          </w:tcPr>
          <w:p w14:paraId="59EE5CA2">
            <w:pPr>
              <w:widowControl/>
              <w:ind w:firstLine="482"/>
              <w:jc w:val="left"/>
              <w:rPr>
                <w:rFonts w:hint="eastAsia" w:ascii="宋体" w:hAnsi="宋体" w:cs="宋体"/>
                <w:b/>
                <w:bCs/>
                <w:color w:val="000000"/>
              </w:rPr>
            </w:pPr>
            <w:r>
              <w:rPr>
                <w:rFonts w:hint="eastAsia" w:ascii="宋体" w:hAnsi="宋体" w:cs="宋体"/>
                <w:b/>
                <w:bCs/>
                <w:color w:val="000000"/>
              </w:rPr>
              <w:t>世纪大道南侧黄山路西侧辅道</w:t>
            </w:r>
          </w:p>
        </w:tc>
        <w:tc>
          <w:tcPr>
            <w:tcW w:w="2080" w:type="dxa"/>
            <w:tcBorders>
              <w:top w:val="nil"/>
              <w:left w:val="nil"/>
              <w:bottom w:val="single" w:color="auto" w:sz="4" w:space="0"/>
              <w:right w:val="single" w:color="auto" w:sz="4" w:space="0"/>
            </w:tcBorders>
            <w:noWrap/>
            <w:vAlign w:val="bottom"/>
          </w:tcPr>
          <w:p w14:paraId="28648FB1">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4E92ECD">
            <w:pPr>
              <w:widowControl/>
              <w:jc w:val="center"/>
              <w:rPr>
                <w:rFonts w:hint="eastAsia" w:ascii="宋体" w:hAnsi="宋体" w:cs="宋体"/>
                <w:color w:val="000000"/>
              </w:rPr>
            </w:pPr>
            <w:r>
              <w:rPr>
                <w:rFonts w:hint="eastAsia" w:ascii="宋体" w:hAnsi="宋体" w:cs="宋体"/>
                <w:color w:val="000000"/>
              </w:rPr>
              <w:t>　</w:t>
            </w:r>
          </w:p>
        </w:tc>
      </w:tr>
      <w:tr w14:paraId="0BD3C5E5">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3DDCB2A">
            <w:pPr>
              <w:widowControl/>
              <w:ind w:firstLine="482"/>
              <w:jc w:val="center"/>
              <w:rPr>
                <w:rFonts w:hint="eastAsia" w:ascii="宋体" w:hAnsi="宋体" w:cs="宋体"/>
                <w:b/>
                <w:bCs/>
                <w:color w:val="000000"/>
              </w:rPr>
            </w:pPr>
            <w:r>
              <w:rPr>
                <w:rFonts w:hint="eastAsia" w:ascii="宋体" w:hAnsi="宋体" w:cs="宋体"/>
                <w:b/>
                <w:bCs/>
                <w:color w:val="000000"/>
              </w:rPr>
              <w:t>36</w:t>
            </w:r>
          </w:p>
        </w:tc>
        <w:tc>
          <w:tcPr>
            <w:tcW w:w="4295" w:type="dxa"/>
            <w:tcBorders>
              <w:top w:val="nil"/>
              <w:left w:val="nil"/>
              <w:bottom w:val="single" w:color="auto" w:sz="4" w:space="0"/>
              <w:right w:val="single" w:color="auto" w:sz="4" w:space="0"/>
            </w:tcBorders>
            <w:noWrap/>
            <w:vAlign w:val="bottom"/>
          </w:tcPr>
          <w:p w14:paraId="1EC808F7">
            <w:pPr>
              <w:widowControl/>
              <w:ind w:firstLine="482"/>
              <w:jc w:val="left"/>
              <w:rPr>
                <w:rFonts w:hint="eastAsia" w:ascii="宋体" w:hAnsi="宋体" w:cs="宋体"/>
                <w:b/>
                <w:bCs/>
                <w:color w:val="000000"/>
              </w:rPr>
            </w:pPr>
            <w:r>
              <w:rPr>
                <w:rFonts w:hint="eastAsia" w:ascii="宋体" w:hAnsi="宋体" w:cs="宋体"/>
                <w:b/>
                <w:bCs/>
                <w:color w:val="000000"/>
              </w:rPr>
              <w:t>世纪大道南侧黄山路东侧辅道</w:t>
            </w:r>
          </w:p>
        </w:tc>
        <w:tc>
          <w:tcPr>
            <w:tcW w:w="2080" w:type="dxa"/>
            <w:tcBorders>
              <w:top w:val="nil"/>
              <w:left w:val="nil"/>
              <w:bottom w:val="single" w:color="auto" w:sz="4" w:space="0"/>
              <w:right w:val="single" w:color="auto" w:sz="4" w:space="0"/>
            </w:tcBorders>
            <w:noWrap/>
            <w:vAlign w:val="bottom"/>
          </w:tcPr>
          <w:p w14:paraId="7B0CA532">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2F2A7B95">
            <w:pPr>
              <w:widowControl/>
              <w:jc w:val="center"/>
              <w:rPr>
                <w:rFonts w:hint="eastAsia" w:ascii="宋体" w:hAnsi="宋体" w:cs="宋体"/>
                <w:color w:val="000000"/>
              </w:rPr>
            </w:pPr>
            <w:r>
              <w:rPr>
                <w:rFonts w:hint="eastAsia" w:ascii="宋体" w:hAnsi="宋体" w:cs="宋体"/>
                <w:color w:val="000000"/>
              </w:rPr>
              <w:t>　</w:t>
            </w:r>
          </w:p>
        </w:tc>
      </w:tr>
      <w:tr w14:paraId="744D2769">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565B8F99">
            <w:pPr>
              <w:widowControl/>
              <w:ind w:firstLine="482"/>
              <w:jc w:val="center"/>
              <w:rPr>
                <w:rFonts w:hint="eastAsia" w:ascii="宋体" w:hAnsi="宋体" w:cs="宋体"/>
                <w:b/>
                <w:bCs/>
                <w:color w:val="000000"/>
              </w:rPr>
            </w:pPr>
            <w:r>
              <w:rPr>
                <w:rFonts w:hint="eastAsia" w:ascii="宋体" w:hAnsi="宋体" w:cs="宋体"/>
                <w:b/>
                <w:bCs/>
                <w:color w:val="000000"/>
              </w:rPr>
              <w:t>37</w:t>
            </w:r>
          </w:p>
        </w:tc>
        <w:tc>
          <w:tcPr>
            <w:tcW w:w="4295" w:type="dxa"/>
            <w:tcBorders>
              <w:top w:val="nil"/>
              <w:left w:val="nil"/>
              <w:bottom w:val="single" w:color="auto" w:sz="4" w:space="0"/>
              <w:right w:val="single" w:color="auto" w:sz="4" w:space="0"/>
            </w:tcBorders>
            <w:noWrap/>
            <w:vAlign w:val="bottom"/>
          </w:tcPr>
          <w:p w14:paraId="11A0BD45">
            <w:pPr>
              <w:widowControl/>
              <w:ind w:firstLine="482"/>
              <w:jc w:val="left"/>
              <w:rPr>
                <w:rFonts w:hint="eastAsia" w:ascii="宋体" w:hAnsi="宋体" w:cs="宋体"/>
                <w:b/>
                <w:bCs/>
                <w:color w:val="000000"/>
              </w:rPr>
            </w:pPr>
            <w:r>
              <w:rPr>
                <w:rFonts w:hint="eastAsia" w:ascii="宋体" w:hAnsi="宋体" w:cs="宋体"/>
                <w:b/>
                <w:bCs/>
                <w:color w:val="000000"/>
              </w:rPr>
              <w:t>世纪大道南侧东环路西侧辅道</w:t>
            </w:r>
          </w:p>
        </w:tc>
        <w:tc>
          <w:tcPr>
            <w:tcW w:w="2080" w:type="dxa"/>
            <w:tcBorders>
              <w:top w:val="nil"/>
              <w:left w:val="nil"/>
              <w:bottom w:val="single" w:color="auto" w:sz="4" w:space="0"/>
              <w:right w:val="single" w:color="auto" w:sz="4" w:space="0"/>
            </w:tcBorders>
            <w:noWrap/>
            <w:vAlign w:val="bottom"/>
          </w:tcPr>
          <w:p w14:paraId="5E89CDFE">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67B05F84">
            <w:pPr>
              <w:widowControl/>
              <w:jc w:val="center"/>
              <w:rPr>
                <w:rFonts w:hint="eastAsia" w:ascii="宋体" w:hAnsi="宋体" w:cs="宋体"/>
                <w:color w:val="000000"/>
              </w:rPr>
            </w:pPr>
            <w:r>
              <w:rPr>
                <w:rFonts w:hint="eastAsia" w:ascii="宋体" w:hAnsi="宋体" w:cs="宋体"/>
                <w:color w:val="000000"/>
              </w:rPr>
              <w:t>　</w:t>
            </w:r>
          </w:p>
        </w:tc>
      </w:tr>
      <w:tr w14:paraId="260D8EDE">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EEDECE4">
            <w:pPr>
              <w:widowControl/>
              <w:ind w:firstLine="482"/>
              <w:jc w:val="center"/>
              <w:rPr>
                <w:rFonts w:hint="eastAsia" w:ascii="宋体" w:hAnsi="宋体" w:cs="宋体"/>
                <w:b/>
                <w:bCs/>
                <w:color w:val="000000"/>
              </w:rPr>
            </w:pPr>
            <w:r>
              <w:rPr>
                <w:rFonts w:hint="eastAsia" w:ascii="宋体" w:hAnsi="宋体" w:cs="宋体"/>
                <w:b/>
                <w:bCs/>
                <w:color w:val="000000"/>
              </w:rPr>
              <w:t>38</w:t>
            </w:r>
          </w:p>
        </w:tc>
        <w:tc>
          <w:tcPr>
            <w:tcW w:w="4295" w:type="dxa"/>
            <w:tcBorders>
              <w:top w:val="nil"/>
              <w:left w:val="nil"/>
              <w:bottom w:val="single" w:color="auto" w:sz="4" w:space="0"/>
              <w:right w:val="single" w:color="auto" w:sz="4" w:space="0"/>
            </w:tcBorders>
            <w:noWrap/>
            <w:vAlign w:val="bottom"/>
          </w:tcPr>
          <w:p w14:paraId="18A5C983">
            <w:pPr>
              <w:widowControl/>
              <w:ind w:firstLine="482"/>
              <w:jc w:val="left"/>
              <w:rPr>
                <w:rFonts w:hint="eastAsia" w:ascii="宋体" w:hAnsi="宋体" w:cs="宋体"/>
                <w:b/>
                <w:bCs/>
                <w:color w:val="000000"/>
              </w:rPr>
            </w:pPr>
            <w:r>
              <w:rPr>
                <w:rFonts w:hint="eastAsia" w:ascii="宋体" w:hAnsi="宋体" w:cs="宋体"/>
                <w:b/>
                <w:bCs/>
                <w:color w:val="000000"/>
              </w:rPr>
              <w:t>世纪大道南侧东环路东侧辅道</w:t>
            </w:r>
          </w:p>
        </w:tc>
        <w:tc>
          <w:tcPr>
            <w:tcW w:w="2080" w:type="dxa"/>
            <w:tcBorders>
              <w:top w:val="nil"/>
              <w:left w:val="nil"/>
              <w:bottom w:val="single" w:color="auto" w:sz="4" w:space="0"/>
              <w:right w:val="single" w:color="auto" w:sz="4" w:space="0"/>
            </w:tcBorders>
            <w:noWrap/>
            <w:vAlign w:val="bottom"/>
          </w:tcPr>
          <w:p w14:paraId="2B306289">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A40E13B">
            <w:pPr>
              <w:widowControl/>
              <w:jc w:val="center"/>
              <w:rPr>
                <w:rFonts w:hint="eastAsia" w:ascii="宋体" w:hAnsi="宋体" w:cs="宋体"/>
                <w:color w:val="000000"/>
              </w:rPr>
            </w:pPr>
            <w:r>
              <w:rPr>
                <w:rFonts w:hint="eastAsia" w:ascii="宋体" w:hAnsi="宋体" w:cs="宋体"/>
                <w:color w:val="000000"/>
              </w:rPr>
              <w:t>　</w:t>
            </w:r>
          </w:p>
        </w:tc>
      </w:tr>
      <w:tr w14:paraId="1DECA6A2">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12EACFE">
            <w:pPr>
              <w:widowControl/>
              <w:ind w:firstLine="482"/>
              <w:jc w:val="center"/>
              <w:rPr>
                <w:rFonts w:hint="eastAsia" w:ascii="宋体" w:hAnsi="宋体" w:cs="宋体"/>
                <w:b/>
                <w:bCs/>
                <w:color w:val="000000"/>
              </w:rPr>
            </w:pPr>
            <w:r>
              <w:rPr>
                <w:rFonts w:hint="eastAsia" w:ascii="宋体" w:hAnsi="宋体" w:cs="宋体"/>
                <w:b/>
                <w:bCs/>
                <w:color w:val="000000"/>
              </w:rPr>
              <w:t>39</w:t>
            </w:r>
          </w:p>
        </w:tc>
        <w:tc>
          <w:tcPr>
            <w:tcW w:w="4295" w:type="dxa"/>
            <w:tcBorders>
              <w:top w:val="nil"/>
              <w:left w:val="nil"/>
              <w:bottom w:val="single" w:color="auto" w:sz="4" w:space="0"/>
              <w:right w:val="single" w:color="auto" w:sz="4" w:space="0"/>
            </w:tcBorders>
            <w:noWrap/>
            <w:vAlign w:val="bottom"/>
          </w:tcPr>
          <w:p w14:paraId="26AF7E04">
            <w:pPr>
              <w:widowControl/>
              <w:ind w:firstLine="482"/>
              <w:jc w:val="left"/>
              <w:rPr>
                <w:rFonts w:hint="eastAsia" w:ascii="宋体" w:hAnsi="宋体" w:cs="宋体"/>
                <w:b/>
                <w:bCs/>
                <w:color w:val="000000"/>
              </w:rPr>
            </w:pPr>
            <w:r>
              <w:rPr>
                <w:rFonts w:hint="eastAsia" w:ascii="宋体" w:hAnsi="宋体" w:cs="宋体"/>
                <w:b/>
                <w:bCs/>
                <w:color w:val="000000"/>
              </w:rPr>
              <w:t>世纪大道南侧天柱山路西侧辅道</w:t>
            </w:r>
          </w:p>
        </w:tc>
        <w:tc>
          <w:tcPr>
            <w:tcW w:w="2080" w:type="dxa"/>
            <w:tcBorders>
              <w:top w:val="nil"/>
              <w:left w:val="nil"/>
              <w:bottom w:val="single" w:color="auto" w:sz="4" w:space="0"/>
              <w:right w:val="single" w:color="auto" w:sz="4" w:space="0"/>
            </w:tcBorders>
            <w:noWrap/>
            <w:vAlign w:val="bottom"/>
          </w:tcPr>
          <w:p w14:paraId="35822F1A">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E55D581">
            <w:pPr>
              <w:widowControl/>
              <w:jc w:val="center"/>
              <w:rPr>
                <w:rFonts w:hint="eastAsia" w:ascii="宋体" w:hAnsi="宋体" w:cs="宋体"/>
                <w:color w:val="000000"/>
              </w:rPr>
            </w:pPr>
            <w:r>
              <w:rPr>
                <w:rFonts w:hint="eastAsia" w:ascii="宋体" w:hAnsi="宋体" w:cs="宋体"/>
                <w:color w:val="000000"/>
              </w:rPr>
              <w:t>　</w:t>
            </w:r>
          </w:p>
        </w:tc>
      </w:tr>
      <w:tr w14:paraId="35792804">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1AC1567E">
            <w:pPr>
              <w:widowControl/>
              <w:ind w:firstLine="482"/>
              <w:jc w:val="center"/>
              <w:rPr>
                <w:rFonts w:hint="eastAsia" w:ascii="宋体" w:hAnsi="宋体" w:cs="宋体"/>
                <w:b/>
                <w:bCs/>
                <w:color w:val="000000"/>
              </w:rPr>
            </w:pPr>
            <w:r>
              <w:rPr>
                <w:rFonts w:hint="eastAsia" w:ascii="宋体" w:hAnsi="宋体" w:cs="宋体"/>
                <w:b/>
                <w:bCs/>
                <w:color w:val="000000"/>
              </w:rPr>
              <w:t>40</w:t>
            </w:r>
          </w:p>
        </w:tc>
        <w:tc>
          <w:tcPr>
            <w:tcW w:w="4295" w:type="dxa"/>
            <w:tcBorders>
              <w:top w:val="nil"/>
              <w:left w:val="nil"/>
              <w:bottom w:val="single" w:color="auto" w:sz="4" w:space="0"/>
              <w:right w:val="single" w:color="auto" w:sz="4" w:space="0"/>
            </w:tcBorders>
            <w:noWrap/>
            <w:vAlign w:val="bottom"/>
          </w:tcPr>
          <w:p w14:paraId="061FD7C0">
            <w:pPr>
              <w:widowControl/>
              <w:ind w:firstLine="482"/>
              <w:jc w:val="left"/>
              <w:rPr>
                <w:rFonts w:hint="eastAsia" w:ascii="宋体" w:hAnsi="宋体" w:cs="宋体"/>
                <w:b/>
                <w:bCs/>
                <w:color w:val="000000"/>
              </w:rPr>
            </w:pPr>
            <w:r>
              <w:rPr>
                <w:rFonts w:hint="eastAsia" w:ascii="宋体" w:hAnsi="宋体" w:cs="宋体"/>
                <w:b/>
                <w:bCs/>
                <w:color w:val="000000"/>
              </w:rPr>
              <w:t>世纪大道南侧天柱山路东侧辅道</w:t>
            </w:r>
          </w:p>
        </w:tc>
        <w:tc>
          <w:tcPr>
            <w:tcW w:w="2080" w:type="dxa"/>
            <w:tcBorders>
              <w:top w:val="nil"/>
              <w:left w:val="nil"/>
              <w:bottom w:val="single" w:color="auto" w:sz="4" w:space="0"/>
              <w:right w:val="single" w:color="auto" w:sz="4" w:space="0"/>
            </w:tcBorders>
            <w:noWrap/>
            <w:vAlign w:val="bottom"/>
          </w:tcPr>
          <w:p w14:paraId="0EA4882A">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9087B90">
            <w:pPr>
              <w:widowControl/>
              <w:jc w:val="center"/>
              <w:rPr>
                <w:rFonts w:hint="eastAsia" w:ascii="宋体" w:hAnsi="宋体" w:cs="宋体"/>
                <w:color w:val="000000"/>
              </w:rPr>
            </w:pPr>
            <w:r>
              <w:rPr>
                <w:rFonts w:hint="eastAsia" w:ascii="宋体" w:hAnsi="宋体" w:cs="宋体"/>
                <w:color w:val="000000"/>
              </w:rPr>
              <w:t>　</w:t>
            </w:r>
          </w:p>
        </w:tc>
      </w:tr>
      <w:tr w14:paraId="09527B8C">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4010017">
            <w:pPr>
              <w:widowControl/>
              <w:ind w:firstLine="482"/>
              <w:jc w:val="center"/>
              <w:rPr>
                <w:rFonts w:hint="eastAsia" w:ascii="宋体" w:hAnsi="宋体" w:cs="宋体"/>
                <w:b/>
                <w:bCs/>
                <w:color w:val="000000"/>
              </w:rPr>
            </w:pPr>
            <w:r>
              <w:rPr>
                <w:rFonts w:hint="eastAsia" w:ascii="宋体" w:hAnsi="宋体" w:cs="宋体"/>
                <w:b/>
                <w:bCs/>
                <w:color w:val="000000"/>
              </w:rPr>
              <w:t>41</w:t>
            </w:r>
          </w:p>
        </w:tc>
        <w:tc>
          <w:tcPr>
            <w:tcW w:w="4295" w:type="dxa"/>
            <w:tcBorders>
              <w:top w:val="nil"/>
              <w:left w:val="nil"/>
              <w:bottom w:val="single" w:color="auto" w:sz="4" w:space="0"/>
              <w:right w:val="single" w:color="auto" w:sz="4" w:space="0"/>
            </w:tcBorders>
            <w:noWrap/>
            <w:vAlign w:val="bottom"/>
          </w:tcPr>
          <w:p w14:paraId="356D35A4">
            <w:pPr>
              <w:widowControl/>
              <w:ind w:firstLine="482"/>
              <w:jc w:val="left"/>
              <w:rPr>
                <w:rFonts w:hint="eastAsia" w:ascii="宋体" w:hAnsi="宋体" w:cs="宋体"/>
                <w:b/>
                <w:bCs/>
                <w:color w:val="000000"/>
              </w:rPr>
            </w:pPr>
            <w:r>
              <w:rPr>
                <w:rFonts w:hint="eastAsia" w:ascii="宋体" w:hAnsi="宋体" w:cs="宋体"/>
                <w:b/>
                <w:bCs/>
                <w:color w:val="000000"/>
              </w:rPr>
              <w:t>世纪大道南侧香山路西侧辅道</w:t>
            </w:r>
          </w:p>
        </w:tc>
        <w:tc>
          <w:tcPr>
            <w:tcW w:w="2080" w:type="dxa"/>
            <w:tcBorders>
              <w:top w:val="nil"/>
              <w:left w:val="nil"/>
              <w:bottom w:val="single" w:color="auto" w:sz="4" w:space="0"/>
              <w:right w:val="single" w:color="auto" w:sz="4" w:space="0"/>
            </w:tcBorders>
            <w:noWrap/>
            <w:vAlign w:val="bottom"/>
          </w:tcPr>
          <w:p w14:paraId="39AFB2C4">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2469C90B">
            <w:pPr>
              <w:widowControl/>
              <w:jc w:val="center"/>
              <w:rPr>
                <w:rFonts w:hint="eastAsia" w:ascii="宋体" w:hAnsi="宋体" w:cs="宋体"/>
                <w:color w:val="000000"/>
              </w:rPr>
            </w:pPr>
            <w:r>
              <w:rPr>
                <w:rFonts w:hint="eastAsia" w:ascii="宋体" w:hAnsi="宋体" w:cs="宋体"/>
                <w:color w:val="000000"/>
              </w:rPr>
              <w:t>　</w:t>
            </w:r>
          </w:p>
        </w:tc>
      </w:tr>
      <w:tr w14:paraId="2639AEBA">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C5A6773">
            <w:pPr>
              <w:widowControl/>
              <w:ind w:firstLine="482"/>
              <w:jc w:val="center"/>
              <w:rPr>
                <w:rFonts w:hint="eastAsia" w:ascii="宋体" w:hAnsi="宋体" w:cs="宋体"/>
                <w:b/>
                <w:bCs/>
                <w:color w:val="000000"/>
              </w:rPr>
            </w:pPr>
            <w:r>
              <w:rPr>
                <w:rFonts w:hint="eastAsia" w:ascii="宋体" w:hAnsi="宋体" w:cs="宋体"/>
                <w:b/>
                <w:bCs/>
                <w:color w:val="000000"/>
              </w:rPr>
              <w:t>42</w:t>
            </w:r>
          </w:p>
        </w:tc>
        <w:tc>
          <w:tcPr>
            <w:tcW w:w="4295" w:type="dxa"/>
            <w:tcBorders>
              <w:top w:val="nil"/>
              <w:left w:val="nil"/>
              <w:bottom w:val="single" w:color="auto" w:sz="4" w:space="0"/>
              <w:right w:val="single" w:color="auto" w:sz="4" w:space="0"/>
            </w:tcBorders>
            <w:noWrap/>
            <w:vAlign w:val="bottom"/>
          </w:tcPr>
          <w:p w14:paraId="733F8C74">
            <w:pPr>
              <w:widowControl/>
              <w:ind w:firstLine="482"/>
              <w:jc w:val="left"/>
              <w:rPr>
                <w:rFonts w:hint="eastAsia" w:ascii="宋体" w:hAnsi="宋体" w:cs="宋体"/>
                <w:b/>
                <w:bCs/>
                <w:color w:val="000000"/>
              </w:rPr>
            </w:pPr>
            <w:r>
              <w:rPr>
                <w:rFonts w:hint="eastAsia" w:ascii="宋体" w:hAnsi="宋体" w:cs="宋体"/>
                <w:b/>
                <w:bCs/>
                <w:color w:val="000000"/>
              </w:rPr>
              <w:t>世纪大道南侧香山路东侧辅道</w:t>
            </w:r>
          </w:p>
        </w:tc>
        <w:tc>
          <w:tcPr>
            <w:tcW w:w="2080" w:type="dxa"/>
            <w:tcBorders>
              <w:top w:val="nil"/>
              <w:left w:val="nil"/>
              <w:bottom w:val="single" w:color="auto" w:sz="4" w:space="0"/>
              <w:right w:val="single" w:color="auto" w:sz="4" w:space="0"/>
            </w:tcBorders>
            <w:noWrap/>
            <w:vAlign w:val="bottom"/>
          </w:tcPr>
          <w:p w14:paraId="67FC2AA2">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FFC89A7">
            <w:pPr>
              <w:widowControl/>
              <w:jc w:val="center"/>
              <w:rPr>
                <w:rFonts w:hint="eastAsia" w:ascii="宋体" w:hAnsi="宋体" w:cs="宋体"/>
                <w:color w:val="000000"/>
              </w:rPr>
            </w:pPr>
            <w:r>
              <w:rPr>
                <w:rFonts w:hint="eastAsia" w:ascii="宋体" w:hAnsi="宋体" w:cs="宋体"/>
                <w:color w:val="000000"/>
              </w:rPr>
              <w:t>　</w:t>
            </w:r>
          </w:p>
        </w:tc>
      </w:tr>
      <w:tr w14:paraId="5FC3CBD9">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DF0CDFF">
            <w:pPr>
              <w:widowControl/>
              <w:ind w:firstLine="482"/>
              <w:jc w:val="center"/>
              <w:rPr>
                <w:rFonts w:hint="eastAsia" w:ascii="宋体" w:hAnsi="宋体" w:cs="宋体"/>
                <w:b/>
                <w:bCs/>
                <w:color w:val="000000"/>
              </w:rPr>
            </w:pPr>
            <w:r>
              <w:rPr>
                <w:rFonts w:hint="eastAsia" w:ascii="宋体" w:hAnsi="宋体" w:cs="宋体"/>
                <w:b/>
                <w:bCs/>
                <w:color w:val="000000"/>
              </w:rPr>
              <w:t>43</w:t>
            </w:r>
          </w:p>
        </w:tc>
        <w:tc>
          <w:tcPr>
            <w:tcW w:w="4295" w:type="dxa"/>
            <w:tcBorders>
              <w:top w:val="nil"/>
              <w:left w:val="nil"/>
              <w:bottom w:val="single" w:color="auto" w:sz="4" w:space="0"/>
              <w:right w:val="single" w:color="auto" w:sz="4" w:space="0"/>
            </w:tcBorders>
            <w:noWrap/>
            <w:vAlign w:val="bottom"/>
          </w:tcPr>
          <w:p w14:paraId="6A1B5A7E">
            <w:pPr>
              <w:widowControl/>
              <w:ind w:firstLine="482"/>
              <w:jc w:val="left"/>
              <w:rPr>
                <w:rFonts w:hint="eastAsia" w:ascii="宋体" w:hAnsi="宋体" w:cs="宋体"/>
                <w:b/>
                <w:bCs/>
                <w:color w:val="000000"/>
              </w:rPr>
            </w:pPr>
            <w:r>
              <w:rPr>
                <w:rFonts w:hint="eastAsia" w:ascii="宋体" w:hAnsi="宋体" w:cs="宋体"/>
                <w:b/>
                <w:bCs/>
                <w:color w:val="000000"/>
              </w:rPr>
              <w:t>世纪大道南侧北舍路西侧辅道</w:t>
            </w:r>
          </w:p>
        </w:tc>
        <w:tc>
          <w:tcPr>
            <w:tcW w:w="2080" w:type="dxa"/>
            <w:tcBorders>
              <w:top w:val="nil"/>
              <w:left w:val="nil"/>
              <w:bottom w:val="single" w:color="auto" w:sz="4" w:space="0"/>
              <w:right w:val="single" w:color="auto" w:sz="4" w:space="0"/>
            </w:tcBorders>
            <w:noWrap/>
            <w:vAlign w:val="bottom"/>
          </w:tcPr>
          <w:p w14:paraId="366B9015">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7833637">
            <w:pPr>
              <w:widowControl/>
              <w:jc w:val="center"/>
              <w:rPr>
                <w:rFonts w:hint="eastAsia" w:ascii="宋体" w:hAnsi="宋体" w:cs="宋体"/>
                <w:color w:val="000000"/>
              </w:rPr>
            </w:pPr>
            <w:r>
              <w:rPr>
                <w:rFonts w:hint="eastAsia" w:ascii="宋体" w:hAnsi="宋体" w:cs="宋体"/>
                <w:color w:val="000000"/>
              </w:rPr>
              <w:t>　</w:t>
            </w:r>
          </w:p>
        </w:tc>
      </w:tr>
      <w:tr w14:paraId="3984C0CE">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57024F0">
            <w:pPr>
              <w:widowControl/>
              <w:ind w:firstLine="482"/>
              <w:jc w:val="center"/>
              <w:rPr>
                <w:rFonts w:hint="eastAsia" w:ascii="宋体" w:hAnsi="宋体" w:cs="宋体"/>
                <w:b/>
                <w:bCs/>
                <w:color w:val="000000"/>
              </w:rPr>
            </w:pPr>
            <w:r>
              <w:rPr>
                <w:rFonts w:hint="eastAsia" w:ascii="宋体" w:hAnsi="宋体" w:cs="宋体"/>
                <w:b/>
                <w:bCs/>
                <w:color w:val="000000"/>
              </w:rPr>
              <w:t>44</w:t>
            </w:r>
          </w:p>
        </w:tc>
        <w:tc>
          <w:tcPr>
            <w:tcW w:w="4295" w:type="dxa"/>
            <w:tcBorders>
              <w:top w:val="nil"/>
              <w:left w:val="nil"/>
              <w:bottom w:val="single" w:color="auto" w:sz="4" w:space="0"/>
              <w:right w:val="single" w:color="auto" w:sz="4" w:space="0"/>
            </w:tcBorders>
            <w:noWrap/>
            <w:vAlign w:val="bottom"/>
          </w:tcPr>
          <w:p w14:paraId="6A45F49C">
            <w:pPr>
              <w:widowControl/>
              <w:ind w:firstLine="482"/>
              <w:jc w:val="left"/>
              <w:rPr>
                <w:rFonts w:hint="eastAsia" w:ascii="宋体" w:hAnsi="宋体" w:cs="宋体"/>
                <w:b/>
                <w:bCs/>
                <w:color w:val="000000"/>
              </w:rPr>
            </w:pPr>
            <w:r>
              <w:rPr>
                <w:rFonts w:hint="eastAsia" w:ascii="宋体" w:hAnsi="宋体" w:cs="宋体"/>
                <w:b/>
                <w:bCs/>
                <w:color w:val="000000"/>
              </w:rPr>
              <w:t>世纪大道南侧北舍路东侧辅道</w:t>
            </w:r>
          </w:p>
        </w:tc>
        <w:tc>
          <w:tcPr>
            <w:tcW w:w="2080" w:type="dxa"/>
            <w:tcBorders>
              <w:top w:val="nil"/>
              <w:left w:val="nil"/>
              <w:bottom w:val="single" w:color="auto" w:sz="4" w:space="0"/>
              <w:right w:val="single" w:color="auto" w:sz="4" w:space="0"/>
            </w:tcBorders>
            <w:noWrap/>
            <w:vAlign w:val="bottom"/>
          </w:tcPr>
          <w:p w14:paraId="18C5F465">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D3D737F">
            <w:pPr>
              <w:widowControl/>
              <w:jc w:val="center"/>
              <w:rPr>
                <w:rFonts w:hint="eastAsia" w:ascii="宋体" w:hAnsi="宋体" w:cs="宋体"/>
                <w:color w:val="000000"/>
              </w:rPr>
            </w:pPr>
            <w:r>
              <w:rPr>
                <w:rFonts w:hint="eastAsia" w:ascii="宋体" w:hAnsi="宋体" w:cs="宋体"/>
                <w:color w:val="000000"/>
              </w:rPr>
              <w:t>　</w:t>
            </w:r>
          </w:p>
        </w:tc>
      </w:tr>
      <w:tr w14:paraId="52D7F011">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4E56771">
            <w:pPr>
              <w:widowControl/>
              <w:ind w:firstLine="482"/>
              <w:jc w:val="center"/>
              <w:rPr>
                <w:rFonts w:hint="eastAsia" w:ascii="宋体" w:hAnsi="宋体" w:cs="宋体"/>
                <w:b/>
                <w:bCs/>
                <w:color w:val="000000"/>
              </w:rPr>
            </w:pPr>
            <w:r>
              <w:rPr>
                <w:rFonts w:hint="eastAsia" w:ascii="宋体" w:hAnsi="宋体" w:cs="宋体"/>
                <w:b/>
                <w:bCs/>
                <w:color w:val="000000"/>
              </w:rPr>
              <w:t>45</w:t>
            </w:r>
          </w:p>
        </w:tc>
        <w:tc>
          <w:tcPr>
            <w:tcW w:w="4295" w:type="dxa"/>
            <w:tcBorders>
              <w:top w:val="nil"/>
              <w:left w:val="nil"/>
              <w:bottom w:val="single" w:color="auto" w:sz="4" w:space="0"/>
              <w:right w:val="single" w:color="auto" w:sz="4" w:space="0"/>
            </w:tcBorders>
            <w:noWrap/>
            <w:vAlign w:val="bottom"/>
          </w:tcPr>
          <w:p w14:paraId="5FBE3443">
            <w:pPr>
              <w:widowControl/>
              <w:ind w:firstLine="482"/>
              <w:jc w:val="left"/>
              <w:rPr>
                <w:rFonts w:hint="eastAsia" w:ascii="宋体" w:hAnsi="宋体" w:cs="宋体"/>
                <w:b/>
                <w:bCs/>
                <w:color w:val="000000"/>
              </w:rPr>
            </w:pPr>
            <w:r>
              <w:rPr>
                <w:rFonts w:hint="eastAsia" w:ascii="宋体" w:hAnsi="宋体" w:cs="宋体"/>
                <w:b/>
                <w:bCs/>
                <w:color w:val="000000"/>
              </w:rPr>
              <w:t>世纪大道南侧武夷山路西侧辅道</w:t>
            </w:r>
          </w:p>
        </w:tc>
        <w:tc>
          <w:tcPr>
            <w:tcW w:w="2080" w:type="dxa"/>
            <w:tcBorders>
              <w:top w:val="nil"/>
              <w:left w:val="nil"/>
              <w:bottom w:val="single" w:color="auto" w:sz="4" w:space="0"/>
              <w:right w:val="single" w:color="auto" w:sz="4" w:space="0"/>
            </w:tcBorders>
            <w:noWrap/>
            <w:vAlign w:val="bottom"/>
          </w:tcPr>
          <w:p w14:paraId="1EE7E2DB">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0F6B058">
            <w:pPr>
              <w:widowControl/>
              <w:jc w:val="center"/>
              <w:rPr>
                <w:rFonts w:hint="eastAsia" w:ascii="宋体" w:hAnsi="宋体" w:cs="宋体"/>
                <w:color w:val="000000"/>
              </w:rPr>
            </w:pPr>
            <w:r>
              <w:rPr>
                <w:rFonts w:hint="eastAsia" w:ascii="宋体" w:hAnsi="宋体" w:cs="宋体"/>
                <w:color w:val="000000"/>
              </w:rPr>
              <w:t>　</w:t>
            </w:r>
          </w:p>
        </w:tc>
      </w:tr>
      <w:tr w14:paraId="408643CE">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1219CAF">
            <w:pPr>
              <w:widowControl/>
              <w:ind w:firstLine="482"/>
              <w:jc w:val="center"/>
              <w:rPr>
                <w:rFonts w:hint="eastAsia" w:ascii="宋体" w:hAnsi="宋体" w:cs="宋体"/>
                <w:b/>
                <w:bCs/>
                <w:color w:val="000000"/>
              </w:rPr>
            </w:pPr>
            <w:r>
              <w:rPr>
                <w:rFonts w:hint="eastAsia" w:ascii="宋体" w:hAnsi="宋体" w:cs="宋体"/>
                <w:b/>
                <w:bCs/>
                <w:color w:val="000000"/>
              </w:rPr>
              <w:t>46</w:t>
            </w:r>
          </w:p>
        </w:tc>
        <w:tc>
          <w:tcPr>
            <w:tcW w:w="4295" w:type="dxa"/>
            <w:tcBorders>
              <w:top w:val="nil"/>
              <w:left w:val="nil"/>
              <w:bottom w:val="single" w:color="auto" w:sz="4" w:space="0"/>
              <w:right w:val="single" w:color="auto" w:sz="4" w:space="0"/>
            </w:tcBorders>
            <w:noWrap/>
            <w:vAlign w:val="bottom"/>
          </w:tcPr>
          <w:p w14:paraId="4184BD9D">
            <w:pPr>
              <w:widowControl/>
              <w:ind w:firstLine="482"/>
              <w:jc w:val="left"/>
              <w:rPr>
                <w:rFonts w:hint="eastAsia" w:ascii="宋体" w:hAnsi="宋体" w:cs="宋体"/>
                <w:b/>
                <w:bCs/>
                <w:color w:val="000000"/>
              </w:rPr>
            </w:pPr>
            <w:r>
              <w:rPr>
                <w:rFonts w:hint="eastAsia" w:ascii="宋体" w:hAnsi="宋体" w:cs="宋体"/>
                <w:b/>
                <w:bCs/>
                <w:color w:val="000000"/>
              </w:rPr>
              <w:t>世纪大道南侧武夷山路东侧辅道</w:t>
            </w:r>
          </w:p>
        </w:tc>
        <w:tc>
          <w:tcPr>
            <w:tcW w:w="2080" w:type="dxa"/>
            <w:tcBorders>
              <w:top w:val="nil"/>
              <w:left w:val="nil"/>
              <w:bottom w:val="single" w:color="auto" w:sz="4" w:space="0"/>
              <w:right w:val="single" w:color="auto" w:sz="4" w:space="0"/>
            </w:tcBorders>
            <w:noWrap/>
            <w:vAlign w:val="bottom"/>
          </w:tcPr>
          <w:p w14:paraId="1C6B1A49">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3DC2BB9">
            <w:pPr>
              <w:widowControl/>
              <w:jc w:val="center"/>
              <w:rPr>
                <w:rFonts w:hint="eastAsia" w:ascii="宋体" w:hAnsi="宋体" w:cs="宋体"/>
                <w:color w:val="000000"/>
              </w:rPr>
            </w:pPr>
            <w:r>
              <w:rPr>
                <w:rFonts w:hint="eastAsia" w:ascii="宋体" w:hAnsi="宋体" w:cs="宋体"/>
                <w:color w:val="000000"/>
              </w:rPr>
              <w:t>　</w:t>
            </w:r>
          </w:p>
        </w:tc>
      </w:tr>
      <w:tr w14:paraId="19B9DEB9">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9E40961">
            <w:pPr>
              <w:widowControl/>
              <w:ind w:firstLine="482"/>
              <w:jc w:val="center"/>
              <w:rPr>
                <w:rFonts w:hint="eastAsia" w:ascii="宋体" w:hAnsi="宋体" w:cs="宋体"/>
                <w:b/>
                <w:bCs/>
                <w:color w:val="000000"/>
              </w:rPr>
            </w:pPr>
            <w:r>
              <w:rPr>
                <w:rFonts w:hint="eastAsia" w:ascii="宋体" w:hAnsi="宋体" w:cs="宋体"/>
                <w:b/>
                <w:bCs/>
                <w:color w:val="000000"/>
              </w:rPr>
              <w:t>47</w:t>
            </w:r>
          </w:p>
        </w:tc>
        <w:tc>
          <w:tcPr>
            <w:tcW w:w="4295" w:type="dxa"/>
            <w:tcBorders>
              <w:top w:val="nil"/>
              <w:left w:val="nil"/>
              <w:bottom w:val="single" w:color="auto" w:sz="4" w:space="0"/>
              <w:right w:val="single" w:color="auto" w:sz="4" w:space="0"/>
            </w:tcBorders>
            <w:noWrap/>
            <w:vAlign w:val="bottom"/>
          </w:tcPr>
          <w:p w14:paraId="3C48BC62">
            <w:pPr>
              <w:widowControl/>
              <w:ind w:firstLine="482"/>
              <w:jc w:val="left"/>
              <w:rPr>
                <w:rFonts w:hint="eastAsia" w:ascii="宋体" w:hAnsi="宋体" w:cs="宋体"/>
                <w:b/>
                <w:bCs/>
                <w:color w:val="000000"/>
              </w:rPr>
            </w:pPr>
            <w:r>
              <w:rPr>
                <w:rFonts w:hint="eastAsia" w:ascii="宋体" w:hAnsi="宋体" w:cs="宋体"/>
                <w:b/>
                <w:bCs/>
                <w:color w:val="000000"/>
              </w:rPr>
              <w:t>世纪大道南侧东山路西侧辅道</w:t>
            </w:r>
          </w:p>
        </w:tc>
        <w:tc>
          <w:tcPr>
            <w:tcW w:w="2080" w:type="dxa"/>
            <w:tcBorders>
              <w:top w:val="nil"/>
              <w:left w:val="nil"/>
              <w:bottom w:val="single" w:color="auto" w:sz="4" w:space="0"/>
              <w:right w:val="single" w:color="auto" w:sz="4" w:space="0"/>
            </w:tcBorders>
            <w:noWrap/>
            <w:vAlign w:val="bottom"/>
          </w:tcPr>
          <w:p w14:paraId="4D6FD60A">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67320B0">
            <w:pPr>
              <w:widowControl/>
              <w:jc w:val="center"/>
              <w:rPr>
                <w:rFonts w:hint="eastAsia" w:ascii="宋体" w:hAnsi="宋体" w:cs="宋体"/>
                <w:color w:val="000000"/>
              </w:rPr>
            </w:pPr>
            <w:r>
              <w:rPr>
                <w:rFonts w:hint="eastAsia" w:ascii="宋体" w:hAnsi="宋体" w:cs="宋体"/>
                <w:color w:val="000000"/>
              </w:rPr>
              <w:t>　</w:t>
            </w:r>
          </w:p>
        </w:tc>
      </w:tr>
      <w:tr w14:paraId="60F7F60F">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AA2306F">
            <w:pPr>
              <w:widowControl/>
              <w:ind w:firstLine="482"/>
              <w:jc w:val="center"/>
              <w:rPr>
                <w:rFonts w:hint="eastAsia" w:ascii="宋体" w:hAnsi="宋体" w:cs="宋体"/>
                <w:b/>
                <w:bCs/>
                <w:color w:val="000000"/>
              </w:rPr>
            </w:pPr>
            <w:r>
              <w:rPr>
                <w:rFonts w:hint="eastAsia" w:ascii="宋体" w:hAnsi="宋体" w:cs="宋体"/>
                <w:b/>
                <w:bCs/>
                <w:color w:val="000000"/>
              </w:rPr>
              <w:t>48</w:t>
            </w:r>
          </w:p>
        </w:tc>
        <w:tc>
          <w:tcPr>
            <w:tcW w:w="4295" w:type="dxa"/>
            <w:tcBorders>
              <w:top w:val="nil"/>
              <w:left w:val="nil"/>
              <w:bottom w:val="single" w:color="auto" w:sz="4" w:space="0"/>
              <w:right w:val="single" w:color="auto" w:sz="4" w:space="0"/>
            </w:tcBorders>
            <w:noWrap/>
            <w:vAlign w:val="bottom"/>
          </w:tcPr>
          <w:p w14:paraId="0B28C1E8">
            <w:pPr>
              <w:widowControl/>
              <w:ind w:firstLine="482"/>
              <w:jc w:val="left"/>
              <w:rPr>
                <w:rFonts w:hint="eastAsia" w:ascii="宋体" w:hAnsi="宋体" w:cs="宋体"/>
                <w:b/>
                <w:bCs/>
                <w:color w:val="000000"/>
              </w:rPr>
            </w:pPr>
            <w:r>
              <w:rPr>
                <w:rFonts w:hint="eastAsia" w:ascii="宋体" w:hAnsi="宋体" w:cs="宋体"/>
                <w:b/>
                <w:bCs/>
                <w:color w:val="000000"/>
              </w:rPr>
              <w:t>世纪大道南侧东山路东侧辅道</w:t>
            </w:r>
          </w:p>
        </w:tc>
        <w:tc>
          <w:tcPr>
            <w:tcW w:w="2080" w:type="dxa"/>
            <w:tcBorders>
              <w:top w:val="nil"/>
              <w:left w:val="nil"/>
              <w:bottom w:val="single" w:color="auto" w:sz="4" w:space="0"/>
              <w:right w:val="single" w:color="auto" w:sz="4" w:space="0"/>
            </w:tcBorders>
            <w:noWrap/>
            <w:vAlign w:val="bottom"/>
          </w:tcPr>
          <w:p w14:paraId="35A3A1DF">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6185B184">
            <w:pPr>
              <w:widowControl/>
              <w:jc w:val="center"/>
              <w:rPr>
                <w:rFonts w:hint="eastAsia" w:ascii="宋体" w:hAnsi="宋体" w:cs="宋体"/>
                <w:color w:val="000000"/>
              </w:rPr>
            </w:pPr>
            <w:r>
              <w:rPr>
                <w:rFonts w:hint="eastAsia" w:ascii="宋体" w:hAnsi="宋体" w:cs="宋体"/>
                <w:color w:val="000000"/>
              </w:rPr>
              <w:t>　</w:t>
            </w:r>
          </w:p>
        </w:tc>
      </w:tr>
      <w:tr w14:paraId="7DFD54BC">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3A786E0">
            <w:pPr>
              <w:widowControl/>
              <w:ind w:firstLine="482"/>
              <w:jc w:val="center"/>
              <w:rPr>
                <w:rFonts w:hint="eastAsia" w:ascii="宋体" w:hAnsi="宋体" w:cs="宋体"/>
                <w:b/>
                <w:bCs/>
                <w:color w:val="000000"/>
              </w:rPr>
            </w:pPr>
            <w:r>
              <w:rPr>
                <w:rFonts w:hint="eastAsia" w:ascii="宋体" w:hAnsi="宋体" w:cs="宋体"/>
                <w:b/>
                <w:bCs/>
                <w:color w:val="000000"/>
              </w:rPr>
              <w:t>49</w:t>
            </w:r>
          </w:p>
        </w:tc>
        <w:tc>
          <w:tcPr>
            <w:tcW w:w="4295" w:type="dxa"/>
            <w:tcBorders>
              <w:top w:val="nil"/>
              <w:left w:val="nil"/>
              <w:bottom w:val="single" w:color="auto" w:sz="4" w:space="0"/>
              <w:right w:val="single" w:color="auto" w:sz="4" w:space="0"/>
            </w:tcBorders>
            <w:noWrap/>
            <w:vAlign w:val="bottom"/>
          </w:tcPr>
          <w:p w14:paraId="6CEE08A7">
            <w:pPr>
              <w:widowControl/>
              <w:ind w:firstLine="482"/>
              <w:jc w:val="left"/>
              <w:rPr>
                <w:rFonts w:hint="eastAsia" w:ascii="宋体" w:hAnsi="宋体" w:cs="宋体"/>
                <w:b/>
                <w:bCs/>
                <w:color w:val="000000"/>
              </w:rPr>
            </w:pPr>
            <w:r>
              <w:rPr>
                <w:rFonts w:hint="eastAsia" w:ascii="宋体" w:hAnsi="宋体" w:cs="宋体"/>
                <w:b/>
                <w:bCs/>
                <w:color w:val="000000"/>
              </w:rPr>
              <w:t>世纪大道南侧雁荡山路西侧辅道</w:t>
            </w:r>
          </w:p>
        </w:tc>
        <w:tc>
          <w:tcPr>
            <w:tcW w:w="2080" w:type="dxa"/>
            <w:tcBorders>
              <w:top w:val="nil"/>
              <w:left w:val="nil"/>
              <w:bottom w:val="single" w:color="auto" w:sz="4" w:space="0"/>
              <w:right w:val="single" w:color="auto" w:sz="4" w:space="0"/>
            </w:tcBorders>
            <w:noWrap/>
            <w:vAlign w:val="bottom"/>
          </w:tcPr>
          <w:p w14:paraId="02CEE13D">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5A38A4B">
            <w:pPr>
              <w:widowControl/>
              <w:jc w:val="center"/>
              <w:rPr>
                <w:rFonts w:hint="eastAsia" w:ascii="宋体" w:hAnsi="宋体" w:cs="宋体"/>
                <w:color w:val="000000"/>
              </w:rPr>
            </w:pPr>
            <w:r>
              <w:rPr>
                <w:rFonts w:hint="eastAsia" w:ascii="宋体" w:hAnsi="宋体" w:cs="宋体"/>
                <w:color w:val="000000"/>
              </w:rPr>
              <w:t>　</w:t>
            </w:r>
          </w:p>
        </w:tc>
      </w:tr>
      <w:tr w14:paraId="1CD1B76E">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AA899F1">
            <w:pPr>
              <w:widowControl/>
              <w:ind w:firstLine="482"/>
              <w:jc w:val="center"/>
              <w:rPr>
                <w:rFonts w:hint="eastAsia" w:ascii="宋体" w:hAnsi="宋体" w:cs="宋体"/>
                <w:b/>
                <w:bCs/>
                <w:color w:val="000000"/>
              </w:rPr>
            </w:pPr>
            <w:r>
              <w:rPr>
                <w:rFonts w:hint="eastAsia" w:ascii="宋体" w:hAnsi="宋体" w:cs="宋体"/>
                <w:b/>
                <w:bCs/>
                <w:color w:val="000000"/>
              </w:rPr>
              <w:t>50</w:t>
            </w:r>
          </w:p>
        </w:tc>
        <w:tc>
          <w:tcPr>
            <w:tcW w:w="4295" w:type="dxa"/>
            <w:tcBorders>
              <w:top w:val="nil"/>
              <w:left w:val="nil"/>
              <w:bottom w:val="single" w:color="auto" w:sz="4" w:space="0"/>
              <w:right w:val="single" w:color="auto" w:sz="4" w:space="0"/>
            </w:tcBorders>
            <w:noWrap/>
            <w:vAlign w:val="bottom"/>
          </w:tcPr>
          <w:p w14:paraId="3126B740">
            <w:pPr>
              <w:widowControl/>
              <w:ind w:firstLine="482"/>
              <w:jc w:val="left"/>
              <w:rPr>
                <w:rFonts w:hint="eastAsia" w:ascii="宋体" w:hAnsi="宋体" w:cs="宋体"/>
                <w:b/>
                <w:bCs/>
                <w:color w:val="000000"/>
              </w:rPr>
            </w:pPr>
            <w:r>
              <w:rPr>
                <w:rFonts w:hint="eastAsia" w:ascii="宋体" w:hAnsi="宋体" w:cs="宋体"/>
                <w:b/>
                <w:bCs/>
                <w:color w:val="000000"/>
              </w:rPr>
              <w:t>世纪大道南侧雁荡山路东侧辅道</w:t>
            </w:r>
          </w:p>
        </w:tc>
        <w:tc>
          <w:tcPr>
            <w:tcW w:w="2080" w:type="dxa"/>
            <w:tcBorders>
              <w:top w:val="nil"/>
              <w:left w:val="nil"/>
              <w:bottom w:val="single" w:color="auto" w:sz="4" w:space="0"/>
              <w:right w:val="single" w:color="auto" w:sz="4" w:space="0"/>
            </w:tcBorders>
            <w:noWrap/>
            <w:vAlign w:val="bottom"/>
          </w:tcPr>
          <w:p w14:paraId="3550E01A">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AB214B7">
            <w:pPr>
              <w:widowControl/>
              <w:jc w:val="center"/>
              <w:rPr>
                <w:rFonts w:hint="eastAsia" w:ascii="宋体" w:hAnsi="宋体" w:cs="宋体"/>
                <w:color w:val="000000"/>
              </w:rPr>
            </w:pPr>
            <w:r>
              <w:rPr>
                <w:rFonts w:hint="eastAsia" w:ascii="宋体" w:hAnsi="宋体" w:cs="宋体"/>
                <w:color w:val="000000"/>
              </w:rPr>
              <w:t>　</w:t>
            </w:r>
          </w:p>
        </w:tc>
      </w:tr>
      <w:tr w14:paraId="09C367F8">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476AFAF">
            <w:pPr>
              <w:widowControl/>
              <w:ind w:firstLine="482"/>
              <w:jc w:val="center"/>
              <w:rPr>
                <w:rFonts w:hint="eastAsia" w:ascii="宋体" w:hAnsi="宋体" w:cs="宋体"/>
                <w:b/>
                <w:bCs/>
                <w:color w:val="000000"/>
              </w:rPr>
            </w:pPr>
            <w:r>
              <w:rPr>
                <w:rFonts w:hint="eastAsia" w:ascii="宋体" w:hAnsi="宋体" w:cs="宋体"/>
                <w:b/>
                <w:bCs/>
                <w:color w:val="000000"/>
              </w:rPr>
              <w:t>51</w:t>
            </w:r>
          </w:p>
        </w:tc>
        <w:tc>
          <w:tcPr>
            <w:tcW w:w="4295" w:type="dxa"/>
            <w:tcBorders>
              <w:top w:val="nil"/>
              <w:left w:val="nil"/>
              <w:bottom w:val="single" w:color="auto" w:sz="4" w:space="0"/>
              <w:right w:val="single" w:color="auto" w:sz="4" w:space="0"/>
            </w:tcBorders>
            <w:noWrap/>
            <w:vAlign w:val="bottom"/>
          </w:tcPr>
          <w:p w14:paraId="483E934E">
            <w:pPr>
              <w:widowControl/>
              <w:ind w:firstLine="482"/>
              <w:jc w:val="left"/>
              <w:rPr>
                <w:rFonts w:hint="eastAsia" w:ascii="宋体" w:hAnsi="宋体" w:cs="宋体"/>
                <w:b/>
                <w:bCs/>
                <w:color w:val="000000"/>
              </w:rPr>
            </w:pPr>
            <w:r>
              <w:rPr>
                <w:rFonts w:hint="eastAsia" w:ascii="宋体" w:hAnsi="宋体" w:cs="宋体"/>
                <w:b/>
                <w:bCs/>
                <w:color w:val="000000"/>
              </w:rPr>
              <w:t>世纪大道南侧峨眉山路西侧辅道</w:t>
            </w:r>
          </w:p>
        </w:tc>
        <w:tc>
          <w:tcPr>
            <w:tcW w:w="2080" w:type="dxa"/>
            <w:tcBorders>
              <w:top w:val="nil"/>
              <w:left w:val="nil"/>
              <w:bottom w:val="single" w:color="auto" w:sz="4" w:space="0"/>
              <w:right w:val="single" w:color="auto" w:sz="4" w:space="0"/>
            </w:tcBorders>
            <w:noWrap/>
            <w:vAlign w:val="bottom"/>
          </w:tcPr>
          <w:p w14:paraId="23A60329">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2D3FDFB">
            <w:pPr>
              <w:widowControl/>
              <w:jc w:val="center"/>
              <w:rPr>
                <w:rFonts w:hint="eastAsia" w:ascii="宋体" w:hAnsi="宋体" w:cs="宋体"/>
                <w:color w:val="000000"/>
              </w:rPr>
            </w:pPr>
            <w:r>
              <w:rPr>
                <w:rFonts w:hint="eastAsia" w:ascii="宋体" w:hAnsi="宋体" w:cs="宋体"/>
                <w:color w:val="000000"/>
              </w:rPr>
              <w:t>　</w:t>
            </w:r>
          </w:p>
        </w:tc>
      </w:tr>
      <w:tr w14:paraId="262BF6B8">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8784A25">
            <w:pPr>
              <w:widowControl/>
              <w:ind w:firstLine="482"/>
              <w:jc w:val="center"/>
              <w:rPr>
                <w:rFonts w:hint="eastAsia" w:ascii="宋体" w:hAnsi="宋体" w:cs="宋体"/>
                <w:b/>
                <w:bCs/>
                <w:color w:val="000000"/>
              </w:rPr>
            </w:pPr>
            <w:r>
              <w:rPr>
                <w:rFonts w:hint="eastAsia" w:ascii="宋体" w:hAnsi="宋体" w:cs="宋体"/>
                <w:b/>
                <w:bCs/>
                <w:color w:val="000000"/>
              </w:rPr>
              <w:t>52</w:t>
            </w:r>
          </w:p>
        </w:tc>
        <w:tc>
          <w:tcPr>
            <w:tcW w:w="4295" w:type="dxa"/>
            <w:tcBorders>
              <w:top w:val="nil"/>
              <w:left w:val="nil"/>
              <w:bottom w:val="single" w:color="auto" w:sz="4" w:space="0"/>
              <w:right w:val="single" w:color="auto" w:sz="4" w:space="0"/>
            </w:tcBorders>
            <w:noWrap/>
            <w:vAlign w:val="bottom"/>
          </w:tcPr>
          <w:p w14:paraId="29C137FF">
            <w:pPr>
              <w:widowControl/>
              <w:ind w:firstLine="482"/>
              <w:jc w:val="left"/>
              <w:rPr>
                <w:rFonts w:hint="eastAsia" w:ascii="宋体" w:hAnsi="宋体" w:cs="宋体"/>
                <w:b/>
                <w:bCs/>
                <w:color w:val="000000"/>
              </w:rPr>
            </w:pPr>
            <w:r>
              <w:rPr>
                <w:rFonts w:hint="eastAsia" w:ascii="宋体" w:hAnsi="宋体" w:cs="宋体"/>
                <w:b/>
                <w:bCs/>
                <w:color w:val="000000"/>
              </w:rPr>
              <w:t>世纪大道南侧峨眉山路东侧辅道</w:t>
            </w:r>
          </w:p>
        </w:tc>
        <w:tc>
          <w:tcPr>
            <w:tcW w:w="2080" w:type="dxa"/>
            <w:tcBorders>
              <w:top w:val="nil"/>
              <w:left w:val="nil"/>
              <w:bottom w:val="single" w:color="auto" w:sz="4" w:space="0"/>
              <w:right w:val="single" w:color="auto" w:sz="4" w:space="0"/>
            </w:tcBorders>
            <w:noWrap/>
            <w:vAlign w:val="bottom"/>
          </w:tcPr>
          <w:p w14:paraId="748E0135">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6D14AB7">
            <w:pPr>
              <w:widowControl/>
              <w:jc w:val="center"/>
              <w:rPr>
                <w:rFonts w:hint="eastAsia" w:ascii="宋体" w:hAnsi="宋体" w:cs="宋体"/>
                <w:color w:val="000000"/>
              </w:rPr>
            </w:pPr>
            <w:r>
              <w:rPr>
                <w:rFonts w:hint="eastAsia" w:ascii="宋体" w:hAnsi="宋体" w:cs="宋体"/>
                <w:color w:val="000000"/>
              </w:rPr>
              <w:t>　</w:t>
            </w:r>
          </w:p>
        </w:tc>
      </w:tr>
      <w:tr w14:paraId="116DC69F">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FA4B912">
            <w:pPr>
              <w:widowControl/>
              <w:ind w:firstLine="482"/>
              <w:jc w:val="center"/>
              <w:rPr>
                <w:rFonts w:hint="eastAsia" w:ascii="宋体" w:hAnsi="宋体" w:cs="宋体"/>
                <w:b/>
                <w:bCs/>
                <w:color w:val="000000"/>
              </w:rPr>
            </w:pPr>
            <w:r>
              <w:rPr>
                <w:rFonts w:hint="eastAsia" w:ascii="宋体" w:hAnsi="宋体" w:cs="宋体"/>
                <w:b/>
                <w:bCs/>
                <w:color w:val="000000"/>
              </w:rPr>
              <w:t>53</w:t>
            </w:r>
          </w:p>
        </w:tc>
        <w:tc>
          <w:tcPr>
            <w:tcW w:w="4295" w:type="dxa"/>
            <w:tcBorders>
              <w:top w:val="nil"/>
              <w:left w:val="nil"/>
              <w:bottom w:val="single" w:color="auto" w:sz="4" w:space="0"/>
              <w:right w:val="single" w:color="auto" w:sz="4" w:space="0"/>
            </w:tcBorders>
            <w:noWrap/>
            <w:vAlign w:val="bottom"/>
          </w:tcPr>
          <w:p w14:paraId="6D5CEBA3">
            <w:pPr>
              <w:widowControl/>
              <w:ind w:firstLine="482"/>
              <w:jc w:val="left"/>
              <w:rPr>
                <w:rFonts w:hint="eastAsia" w:ascii="宋体" w:hAnsi="宋体" w:cs="宋体"/>
                <w:b/>
                <w:bCs/>
                <w:color w:val="000000"/>
              </w:rPr>
            </w:pPr>
            <w:r>
              <w:rPr>
                <w:rFonts w:hint="eastAsia" w:ascii="宋体" w:hAnsi="宋体" w:cs="宋体"/>
                <w:b/>
                <w:bCs/>
                <w:color w:val="000000"/>
              </w:rPr>
              <w:t>世纪大道南侧九华山路西侧辅道</w:t>
            </w:r>
          </w:p>
        </w:tc>
        <w:tc>
          <w:tcPr>
            <w:tcW w:w="2080" w:type="dxa"/>
            <w:tcBorders>
              <w:top w:val="nil"/>
              <w:left w:val="nil"/>
              <w:bottom w:val="single" w:color="auto" w:sz="4" w:space="0"/>
              <w:right w:val="single" w:color="auto" w:sz="4" w:space="0"/>
            </w:tcBorders>
            <w:noWrap/>
            <w:vAlign w:val="bottom"/>
          </w:tcPr>
          <w:p w14:paraId="20C8AF0C">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DF02950">
            <w:pPr>
              <w:widowControl/>
              <w:jc w:val="center"/>
              <w:rPr>
                <w:rFonts w:hint="eastAsia" w:ascii="宋体" w:hAnsi="宋体" w:cs="宋体"/>
                <w:color w:val="000000"/>
              </w:rPr>
            </w:pPr>
            <w:r>
              <w:rPr>
                <w:rFonts w:hint="eastAsia" w:ascii="宋体" w:hAnsi="宋体" w:cs="宋体"/>
                <w:color w:val="000000"/>
              </w:rPr>
              <w:t>　</w:t>
            </w:r>
          </w:p>
        </w:tc>
      </w:tr>
      <w:tr w14:paraId="6511EDA1">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B696C19">
            <w:pPr>
              <w:widowControl/>
              <w:ind w:firstLine="482"/>
              <w:jc w:val="center"/>
              <w:rPr>
                <w:rFonts w:hint="eastAsia" w:ascii="宋体" w:hAnsi="宋体" w:cs="宋体"/>
                <w:b/>
                <w:bCs/>
                <w:color w:val="000000"/>
              </w:rPr>
            </w:pPr>
            <w:r>
              <w:rPr>
                <w:rFonts w:hint="eastAsia" w:ascii="宋体" w:hAnsi="宋体" w:cs="宋体"/>
                <w:b/>
                <w:bCs/>
                <w:color w:val="000000"/>
              </w:rPr>
              <w:t>54</w:t>
            </w:r>
          </w:p>
        </w:tc>
        <w:tc>
          <w:tcPr>
            <w:tcW w:w="4295" w:type="dxa"/>
            <w:tcBorders>
              <w:top w:val="nil"/>
              <w:left w:val="nil"/>
              <w:bottom w:val="single" w:color="auto" w:sz="4" w:space="0"/>
              <w:right w:val="single" w:color="auto" w:sz="4" w:space="0"/>
            </w:tcBorders>
            <w:noWrap/>
            <w:vAlign w:val="bottom"/>
          </w:tcPr>
          <w:p w14:paraId="5664C69C">
            <w:pPr>
              <w:widowControl/>
              <w:ind w:firstLine="482"/>
              <w:jc w:val="left"/>
              <w:rPr>
                <w:rFonts w:hint="eastAsia" w:ascii="宋体" w:hAnsi="宋体" w:cs="宋体"/>
                <w:b/>
                <w:bCs/>
                <w:color w:val="000000"/>
              </w:rPr>
            </w:pPr>
            <w:r>
              <w:rPr>
                <w:rFonts w:hint="eastAsia" w:ascii="宋体" w:hAnsi="宋体" w:cs="宋体"/>
                <w:b/>
                <w:bCs/>
                <w:color w:val="000000"/>
              </w:rPr>
              <w:t>世纪大道南侧九华山路东侧辅道</w:t>
            </w:r>
          </w:p>
        </w:tc>
        <w:tc>
          <w:tcPr>
            <w:tcW w:w="2080" w:type="dxa"/>
            <w:tcBorders>
              <w:top w:val="nil"/>
              <w:left w:val="nil"/>
              <w:bottom w:val="single" w:color="auto" w:sz="4" w:space="0"/>
              <w:right w:val="single" w:color="auto" w:sz="4" w:space="0"/>
            </w:tcBorders>
            <w:noWrap/>
            <w:vAlign w:val="bottom"/>
          </w:tcPr>
          <w:p w14:paraId="73242C1B">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DBCF50E">
            <w:pPr>
              <w:widowControl/>
              <w:jc w:val="center"/>
              <w:rPr>
                <w:rFonts w:hint="eastAsia" w:ascii="宋体" w:hAnsi="宋体" w:cs="宋体"/>
                <w:color w:val="000000"/>
              </w:rPr>
            </w:pPr>
            <w:r>
              <w:rPr>
                <w:rFonts w:hint="eastAsia" w:ascii="宋体" w:hAnsi="宋体" w:cs="宋体"/>
                <w:color w:val="000000"/>
              </w:rPr>
              <w:t>　</w:t>
            </w:r>
          </w:p>
        </w:tc>
      </w:tr>
      <w:tr w14:paraId="42EB492A">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BD627A1">
            <w:pPr>
              <w:widowControl/>
              <w:ind w:firstLine="482"/>
              <w:jc w:val="center"/>
              <w:rPr>
                <w:rFonts w:hint="eastAsia" w:ascii="宋体" w:hAnsi="宋体" w:cs="宋体"/>
                <w:b/>
                <w:bCs/>
                <w:color w:val="000000"/>
              </w:rPr>
            </w:pPr>
            <w:r>
              <w:rPr>
                <w:rFonts w:hint="eastAsia" w:ascii="宋体" w:hAnsi="宋体" w:cs="宋体"/>
                <w:b/>
                <w:bCs/>
                <w:color w:val="000000"/>
              </w:rPr>
              <w:t>55</w:t>
            </w:r>
          </w:p>
        </w:tc>
        <w:tc>
          <w:tcPr>
            <w:tcW w:w="4295" w:type="dxa"/>
            <w:tcBorders>
              <w:top w:val="nil"/>
              <w:left w:val="nil"/>
              <w:bottom w:val="single" w:color="auto" w:sz="4" w:space="0"/>
              <w:right w:val="single" w:color="auto" w:sz="4" w:space="0"/>
            </w:tcBorders>
            <w:noWrap/>
            <w:vAlign w:val="bottom"/>
          </w:tcPr>
          <w:p w14:paraId="61BB4C23">
            <w:pPr>
              <w:widowControl/>
              <w:ind w:firstLine="482"/>
              <w:jc w:val="left"/>
              <w:rPr>
                <w:rFonts w:hint="eastAsia" w:ascii="宋体" w:hAnsi="宋体" w:cs="宋体"/>
                <w:b/>
                <w:bCs/>
                <w:color w:val="000000"/>
              </w:rPr>
            </w:pPr>
            <w:r>
              <w:rPr>
                <w:rFonts w:hint="eastAsia" w:ascii="宋体" w:hAnsi="宋体" w:cs="宋体"/>
                <w:b/>
                <w:bCs/>
                <w:color w:val="000000"/>
              </w:rPr>
              <w:t>盐渎路北侧天山路东侧辅道</w:t>
            </w:r>
          </w:p>
        </w:tc>
        <w:tc>
          <w:tcPr>
            <w:tcW w:w="2080" w:type="dxa"/>
            <w:tcBorders>
              <w:top w:val="nil"/>
              <w:left w:val="nil"/>
              <w:bottom w:val="single" w:color="auto" w:sz="4" w:space="0"/>
              <w:right w:val="single" w:color="auto" w:sz="4" w:space="0"/>
            </w:tcBorders>
            <w:noWrap/>
            <w:vAlign w:val="bottom"/>
          </w:tcPr>
          <w:p w14:paraId="6964D645">
            <w:pPr>
              <w:widowControl/>
              <w:jc w:val="center"/>
              <w:rPr>
                <w:rFonts w:hint="eastAsia" w:ascii="宋体" w:hAnsi="宋体" w:cs="宋体"/>
                <w:color w:val="000000"/>
              </w:rPr>
            </w:pPr>
            <w:r>
              <w:rPr>
                <w:rFonts w:hint="eastAsia" w:ascii="宋体" w:hAnsi="宋体" w:cs="宋体"/>
                <w:color w:val="000000"/>
              </w:rPr>
              <w:t>　</w:t>
            </w:r>
          </w:p>
        </w:tc>
        <w:tc>
          <w:tcPr>
            <w:tcW w:w="1606" w:type="dxa"/>
            <w:tcBorders>
              <w:top w:val="nil"/>
              <w:left w:val="nil"/>
              <w:bottom w:val="single" w:color="auto" w:sz="4" w:space="0"/>
              <w:right w:val="single" w:color="auto" w:sz="4" w:space="0"/>
            </w:tcBorders>
            <w:noWrap/>
            <w:vAlign w:val="bottom"/>
          </w:tcPr>
          <w:p w14:paraId="5C7D030F">
            <w:pPr>
              <w:widowControl/>
              <w:jc w:val="center"/>
              <w:rPr>
                <w:rFonts w:hint="eastAsia" w:ascii="宋体" w:hAnsi="宋体" w:cs="宋体"/>
                <w:color w:val="000000"/>
              </w:rPr>
            </w:pPr>
            <w:r>
              <w:rPr>
                <w:rFonts w:hint="eastAsia" w:ascii="宋体" w:hAnsi="宋体" w:cs="宋体"/>
                <w:color w:val="000000"/>
              </w:rPr>
              <w:t>　</w:t>
            </w:r>
          </w:p>
        </w:tc>
      </w:tr>
      <w:tr w14:paraId="0978C688">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5762AD9E">
            <w:pPr>
              <w:widowControl/>
              <w:ind w:firstLine="482"/>
              <w:jc w:val="center"/>
              <w:rPr>
                <w:rFonts w:hint="eastAsia" w:ascii="宋体" w:hAnsi="宋体" w:cs="宋体"/>
                <w:b/>
                <w:bCs/>
                <w:color w:val="000000"/>
              </w:rPr>
            </w:pPr>
            <w:r>
              <w:rPr>
                <w:rFonts w:hint="eastAsia" w:ascii="宋体" w:hAnsi="宋体" w:cs="宋体"/>
                <w:b/>
                <w:bCs/>
                <w:color w:val="000000"/>
              </w:rPr>
              <w:t>56</w:t>
            </w:r>
          </w:p>
        </w:tc>
        <w:tc>
          <w:tcPr>
            <w:tcW w:w="4295" w:type="dxa"/>
            <w:tcBorders>
              <w:top w:val="nil"/>
              <w:left w:val="nil"/>
              <w:bottom w:val="single" w:color="auto" w:sz="4" w:space="0"/>
              <w:right w:val="single" w:color="auto" w:sz="4" w:space="0"/>
            </w:tcBorders>
            <w:noWrap/>
            <w:vAlign w:val="bottom"/>
          </w:tcPr>
          <w:p w14:paraId="7FAB6CAC">
            <w:pPr>
              <w:widowControl/>
              <w:ind w:firstLine="482"/>
              <w:jc w:val="left"/>
              <w:rPr>
                <w:rFonts w:hint="eastAsia" w:ascii="宋体" w:hAnsi="宋体" w:cs="宋体"/>
                <w:b/>
                <w:bCs/>
                <w:color w:val="000000"/>
              </w:rPr>
            </w:pPr>
            <w:r>
              <w:rPr>
                <w:rFonts w:hint="eastAsia" w:ascii="宋体" w:hAnsi="宋体" w:cs="宋体"/>
                <w:b/>
                <w:bCs/>
                <w:color w:val="000000"/>
              </w:rPr>
              <w:t>盐渎路北侧天山路西侧辅道</w:t>
            </w:r>
          </w:p>
        </w:tc>
        <w:tc>
          <w:tcPr>
            <w:tcW w:w="2080" w:type="dxa"/>
            <w:tcBorders>
              <w:top w:val="nil"/>
              <w:left w:val="nil"/>
              <w:bottom w:val="single" w:color="auto" w:sz="4" w:space="0"/>
              <w:right w:val="single" w:color="auto" w:sz="4" w:space="0"/>
            </w:tcBorders>
            <w:noWrap/>
            <w:vAlign w:val="bottom"/>
          </w:tcPr>
          <w:p w14:paraId="6E75005D">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99BCF9F">
            <w:pPr>
              <w:widowControl/>
              <w:jc w:val="center"/>
              <w:rPr>
                <w:rFonts w:hint="eastAsia" w:ascii="宋体" w:hAnsi="宋体" w:cs="宋体"/>
                <w:color w:val="000000"/>
              </w:rPr>
            </w:pPr>
            <w:r>
              <w:rPr>
                <w:rFonts w:hint="eastAsia" w:ascii="宋体" w:hAnsi="宋体" w:cs="宋体"/>
                <w:color w:val="000000"/>
              </w:rPr>
              <w:t>　</w:t>
            </w:r>
          </w:p>
        </w:tc>
      </w:tr>
      <w:tr w14:paraId="2D247207">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964F29F">
            <w:pPr>
              <w:widowControl/>
              <w:ind w:firstLine="482"/>
              <w:jc w:val="center"/>
              <w:rPr>
                <w:rFonts w:hint="eastAsia" w:ascii="宋体" w:hAnsi="宋体" w:cs="宋体"/>
                <w:b/>
                <w:bCs/>
                <w:color w:val="000000"/>
              </w:rPr>
            </w:pPr>
            <w:r>
              <w:rPr>
                <w:rFonts w:hint="eastAsia" w:ascii="宋体" w:hAnsi="宋体" w:cs="宋体"/>
                <w:b/>
                <w:bCs/>
                <w:color w:val="000000"/>
              </w:rPr>
              <w:t>57</w:t>
            </w:r>
          </w:p>
        </w:tc>
        <w:tc>
          <w:tcPr>
            <w:tcW w:w="4295" w:type="dxa"/>
            <w:tcBorders>
              <w:top w:val="nil"/>
              <w:left w:val="nil"/>
              <w:bottom w:val="single" w:color="auto" w:sz="4" w:space="0"/>
              <w:right w:val="single" w:color="auto" w:sz="4" w:space="0"/>
            </w:tcBorders>
            <w:noWrap/>
            <w:vAlign w:val="bottom"/>
          </w:tcPr>
          <w:p w14:paraId="30BCA5D7">
            <w:pPr>
              <w:widowControl/>
              <w:ind w:firstLine="482"/>
              <w:jc w:val="left"/>
              <w:rPr>
                <w:rFonts w:hint="eastAsia" w:ascii="宋体" w:hAnsi="宋体" w:cs="宋体"/>
                <w:b/>
                <w:bCs/>
                <w:color w:val="000000"/>
              </w:rPr>
            </w:pPr>
            <w:r>
              <w:rPr>
                <w:rFonts w:hint="eastAsia" w:ascii="宋体" w:hAnsi="宋体" w:cs="宋体"/>
                <w:b/>
                <w:bCs/>
                <w:color w:val="000000"/>
              </w:rPr>
              <w:t>盐渎路南侧天山路西侧辅道</w:t>
            </w:r>
          </w:p>
        </w:tc>
        <w:tc>
          <w:tcPr>
            <w:tcW w:w="2080" w:type="dxa"/>
            <w:tcBorders>
              <w:top w:val="nil"/>
              <w:left w:val="nil"/>
              <w:bottom w:val="single" w:color="auto" w:sz="4" w:space="0"/>
              <w:right w:val="single" w:color="auto" w:sz="4" w:space="0"/>
            </w:tcBorders>
            <w:noWrap/>
            <w:vAlign w:val="bottom"/>
          </w:tcPr>
          <w:p w14:paraId="5032E81F">
            <w:pPr>
              <w:widowControl/>
              <w:jc w:val="center"/>
              <w:rPr>
                <w:rFonts w:hint="eastAsia" w:ascii="宋体" w:hAnsi="宋体" w:cs="宋体"/>
                <w:color w:val="000000"/>
              </w:rPr>
            </w:pPr>
            <w:r>
              <w:rPr>
                <w:rFonts w:hint="eastAsia" w:ascii="宋体" w:hAnsi="宋体" w:cs="宋体"/>
                <w:color w:val="000000"/>
              </w:rPr>
              <w:t>　</w:t>
            </w:r>
          </w:p>
        </w:tc>
        <w:tc>
          <w:tcPr>
            <w:tcW w:w="1606" w:type="dxa"/>
            <w:tcBorders>
              <w:top w:val="nil"/>
              <w:left w:val="nil"/>
              <w:bottom w:val="single" w:color="auto" w:sz="4" w:space="0"/>
              <w:right w:val="single" w:color="auto" w:sz="4" w:space="0"/>
            </w:tcBorders>
            <w:noWrap/>
            <w:vAlign w:val="bottom"/>
          </w:tcPr>
          <w:p w14:paraId="4BFFBDE2">
            <w:pPr>
              <w:widowControl/>
              <w:jc w:val="center"/>
              <w:rPr>
                <w:rFonts w:hint="eastAsia" w:ascii="宋体" w:hAnsi="宋体" w:cs="宋体"/>
                <w:color w:val="000000"/>
              </w:rPr>
            </w:pPr>
            <w:r>
              <w:rPr>
                <w:rFonts w:hint="eastAsia" w:ascii="宋体" w:hAnsi="宋体" w:cs="宋体"/>
                <w:color w:val="000000"/>
              </w:rPr>
              <w:t>　</w:t>
            </w:r>
          </w:p>
        </w:tc>
      </w:tr>
      <w:tr w14:paraId="6F1C46C9">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6A3731BC">
            <w:pPr>
              <w:widowControl/>
              <w:ind w:firstLine="482"/>
              <w:jc w:val="center"/>
              <w:rPr>
                <w:rFonts w:hint="eastAsia" w:ascii="宋体" w:hAnsi="宋体" w:cs="宋体"/>
                <w:b/>
                <w:bCs/>
                <w:color w:val="000000"/>
              </w:rPr>
            </w:pPr>
            <w:r>
              <w:rPr>
                <w:rFonts w:hint="eastAsia" w:ascii="宋体" w:hAnsi="宋体" w:cs="宋体"/>
                <w:b/>
                <w:bCs/>
                <w:color w:val="000000"/>
              </w:rPr>
              <w:t>58</w:t>
            </w:r>
          </w:p>
        </w:tc>
        <w:tc>
          <w:tcPr>
            <w:tcW w:w="4295" w:type="dxa"/>
            <w:tcBorders>
              <w:top w:val="nil"/>
              <w:left w:val="nil"/>
              <w:bottom w:val="single" w:color="auto" w:sz="4" w:space="0"/>
              <w:right w:val="single" w:color="auto" w:sz="4" w:space="0"/>
            </w:tcBorders>
            <w:noWrap/>
            <w:vAlign w:val="bottom"/>
          </w:tcPr>
          <w:p w14:paraId="627BE62A">
            <w:pPr>
              <w:widowControl/>
              <w:ind w:firstLine="482"/>
              <w:jc w:val="left"/>
              <w:rPr>
                <w:rFonts w:hint="eastAsia" w:ascii="宋体" w:hAnsi="宋体" w:cs="宋体"/>
                <w:b/>
                <w:bCs/>
                <w:color w:val="000000"/>
              </w:rPr>
            </w:pPr>
            <w:r>
              <w:rPr>
                <w:rFonts w:hint="eastAsia" w:ascii="宋体" w:hAnsi="宋体" w:cs="宋体"/>
                <w:b/>
                <w:bCs/>
                <w:color w:val="000000"/>
              </w:rPr>
              <w:t>盐渎路南侧天山路东侧辅道</w:t>
            </w:r>
          </w:p>
        </w:tc>
        <w:tc>
          <w:tcPr>
            <w:tcW w:w="2080" w:type="dxa"/>
            <w:tcBorders>
              <w:top w:val="nil"/>
              <w:left w:val="nil"/>
              <w:bottom w:val="single" w:color="auto" w:sz="4" w:space="0"/>
              <w:right w:val="single" w:color="auto" w:sz="4" w:space="0"/>
            </w:tcBorders>
            <w:noWrap/>
            <w:vAlign w:val="bottom"/>
          </w:tcPr>
          <w:p w14:paraId="4639D68A">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3E83A95">
            <w:pPr>
              <w:widowControl/>
              <w:jc w:val="center"/>
              <w:rPr>
                <w:rFonts w:hint="eastAsia" w:ascii="宋体" w:hAnsi="宋体" w:cs="宋体"/>
                <w:color w:val="000000"/>
              </w:rPr>
            </w:pPr>
            <w:r>
              <w:rPr>
                <w:rFonts w:hint="eastAsia" w:ascii="宋体" w:hAnsi="宋体" w:cs="宋体"/>
                <w:color w:val="000000"/>
              </w:rPr>
              <w:t>　</w:t>
            </w:r>
          </w:p>
        </w:tc>
      </w:tr>
      <w:tr w14:paraId="2BB3664A">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AD47300">
            <w:pPr>
              <w:widowControl/>
              <w:ind w:firstLine="482"/>
              <w:jc w:val="center"/>
              <w:rPr>
                <w:rFonts w:hint="eastAsia" w:ascii="宋体" w:hAnsi="宋体" w:cs="宋体"/>
                <w:b/>
                <w:bCs/>
                <w:color w:val="000000"/>
              </w:rPr>
            </w:pPr>
            <w:r>
              <w:rPr>
                <w:rFonts w:hint="eastAsia" w:ascii="宋体" w:hAnsi="宋体" w:cs="宋体"/>
                <w:b/>
                <w:bCs/>
                <w:color w:val="000000"/>
              </w:rPr>
              <w:t>59</w:t>
            </w:r>
          </w:p>
        </w:tc>
        <w:tc>
          <w:tcPr>
            <w:tcW w:w="4295" w:type="dxa"/>
            <w:tcBorders>
              <w:top w:val="nil"/>
              <w:left w:val="nil"/>
              <w:bottom w:val="single" w:color="auto" w:sz="4" w:space="0"/>
              <w:right w:val="single" w:color="auto" w:sz="4" w:space="0"/>
            </w:tcBorders>
            <w:noWrap/>
            <w:vAlign w:val="bottom"/>
          </w:tcPr>
          <w:p w14:paraId="334C82B8">
            <w:pPr>
              <w:widowControl/>
              <w:ind w:firstLine="482"/>
              <w:jc w:val="left"/>
              <w:rPr>
                <w:rFonts w:hint="eastAsia" w:ascii="宋体" w:hAnsi="宋体" w:cs="宋体"/>
                <w:b/>
                <w:bCs/>
                <w:color w:val="000000"/>
              </w:rPr>
            </w:pPr>
            <w:r>
              <w:rPr>
                <w:rFonts w:hint="eastAsia" w:ascii="宋体" w:hAnsi="宋体" w:cs="宋体"/>
                <w:b/>
                <w:bCs/>
                <w:color w:val="000000"/>
              </w:rPr>
              <w:t>盐渎路南侧希望大道西侧辅道</w:t>
            </w:r>
          </w:p>
        </w:tc>
        <w:tc>
          <w:tcPr>
            <w:tcW w:w="2080" w:type="dxa"/>
            <w:tcBorders>
              <w:top w:val="nil"/>
              <w:left w:val="nil"/>
              <w:bottom w:val="single" w:color="auto" w:sz="4" w:space="0"/>
              <w:right w:val="single" w:color="auto" w:sz="4" w:space="0"/>
            </w:tcBorders>
            <w:noWrap/>
            <w:vAlign w:val="bottom"/>
          </w:tcPr>
          <w:p w14:paraId="193F9DC5">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89448A3">
            <w:pPr>
              <w:widowControl/>
              <w:jc w:val="center"/>
              <w:rPr>
                <w:rFonts w:hint="eastAsia" w:ascii="宋体" w:hAnsi="宋体" w:cs="宋体"/>
                <w:color w:val="000000"/>
              </w:rPr>
            </w:pPr>
            <w:r>
              <w:rPr>
                <w:rFonts w:hint="eastAsia" w:ascii="宋体" w:hAnsi="宋体" w:cs="宋体"/>
                <w:color w:val="000000"/>
              </w:rPr>
              <w:t>　</w:t>
            </w:r>
          </w:p>
        </w:tc>
      </w:tr>
      <w:tr w14:paraId="0ACF78EA">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1C67ECE4">
            <w:pPr>
              <w:widowControl/>
              <w:ind w:firstLine="482"/>
              <w:jc w:val="center"/>
              <w:rPr>
                <w:rFonts w:hint="eastAsia" w:ascii="宋体" w:hAnsi="宋体" w:cs="宋体"/>
                <w:b/>
                <w:bCs/>
                <w:color w:val="000000"/>
              </w:rPr>
            </w:pPr>
            <w:r>
              <w:rPr>
                <w:rFonts w:hint="eastAsia" w:ascii="宋体" w:hAnsi="宋体" w:cs="宋体"/>
                <w:b/>
                <w:bCs/>
                <w:color w:val="000000"/>
              </w:rPr>
              <w:t>60</w:t>
            </w:r>
          </w:p>
        </w:tc>
        <w:tc>
          <w:tcPr>
            <w:tcW w:w="4295" w:type="dxa"/>
            <w:tcBorders>
              <w:top w:val="nil"/>
              <w:left w:val="nil"/>
              <w:bottom w:val="single" w:color="auto" w:sz="4" w:space="0"/>
              <w:right w:val="single" w:color="auto" w:sz="4" w:space="0"/>
            </w:tcBorders>
            <w:noWrap/>
            <w:vAlign w:val="bottom"/>
          </w:tcPr>
          <w:p w14:paraId="59F7AFA8">
            <w:pPr>
              <w:widowControl/>
              <w:ind w:firstLine="482"/>
              <w:jc w:val="left"/>
              <w:rPr>
                <w:rFonts w:hint="eastAsia" w:ascii="宋体" w:hAnsi="宋体" w:cs="宋体"/>
                <w:b/>
                <w:bCs/>
                <w:color w:val="000000"/>
              </w:rPr>
            </w:pPr>
            <w:r>
              <w:rPr>
                <w:rFonts w:hint="eastAsia" w:ascii="宋体" w:hAnsi="宋体" w:cs="宋体"/>
                <w:b/>
                <w:bCs/>
                <w:color w:val="000000"/>
              </w:rPr>
              <w:t>盐渎路南侧希望大道东侧辅道</w:t>
            </w:r>
          </w:p>
        </w:tc>
        <w:tc>
          <w:tcPr>
            <w:tcW w:w="2080" w:type="dxa"/>
            <w:tcBorders>
              <w:top w:val="nil"/>
              <w:left w:val="nil"/>
              <w:bottom w:val="single" w:color="auto" w:sz="4" w:space="0"/>
              <w:right w:val="single" w:color="auto" w:sz="4" w:space="0"/>
            </w:tcBorders>
            <w:noWrap/>
            <w:vAlign w:val="bottom"/>
          </w:tcPr>
          <w:p w14:paraId="0E1AAF27">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0BE2CF5">
            <w:pPr>
              <w:widowControl/>
              <w:jc w:val="center"/>
              <w:rPr>
                <w:rFonts w:hint="eastAsia" w:ascii="宋体" w:hAnsi="宋体" w:cs="宋体"/>
                <w:color w:val="000000"/>
              </w:rPr>
            </w:pPr>
            <w:r>
              <w:rPr>
                <w:rFonts w:hint="eastAsia" w:ascii="宋体" w:hAnsi="宋体" w:cs="宋体"/>
                <w:color w:val="000000"/>
              </w:rPr>
              <w:t>　</w:t>
            </w:r>
          </w:p>
        </w:tc>
      </w:tr>
      <w:tr w14:paraId="237E73F0">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545E6E8A">
            <w:pPr>
              <w:widowControl/>
              <w:ind w:firstLine="482"/>
              <w:jc w:val="center"/>
              <w:rPr>
                <w:rFonts w:hint="eastAsia" w:ascii="宋体" w:hAnsi="宋体" w:cs="宋体"/>
                <w:b/>
                <w:bCs/>
                <w:color w:val="000000"/>
              </w:rPr>
            </w:pPr>
            <w:r>
              <w:rPr>
                <w:rFonts w:hint="eastAsia" w:ascii="宋体" w:hAnsi="宋体" w:cs="宋体"/>
                <w:b/>
                <w:bCs/>
                <w:color w:val="000000"/>
              </w:rPr>
              <w:t>61</w:t>
            </w:r>
          </w:p>
        </w:tc>
        <w:tc>
          <w:tcPr>
            <w:tcW w:w="4295" w:type="dxa"/>
            <w:tcBorders>
              <w:top w:val="nil"/>
              <w:left w:val="nil"/>
              <w:bottom w:val="single" w:color="auto" w:sz="4" w:space="0"/>
              <w:right w:val="single" w:color="auto" w:sz="4" w:space="0"/>
            </w:tcBorders>
            <w:noWrap/>
            <w:vAlign w:val="bottom"/>
          </w:tcPr>
          <w:p w14:paraId="45C3938D">
            <w:pPr>
              <w:widowControl/>
              <w:ind w:firstLine="482"/>
              <w:jc w:val="left"/>
              <w:rPr>
                <w:rFonts w:hint="eastAsia" w:ascii="宋体" w:hAnsi="宋体" w:cs="宋体"/>
                <w:b/>
                <w:bCs/>
                <w:color w:val="000000"/>
              </w:rPr>
            </w:pPr>
            <w:r>
              <w:rPr>
                <w:rFonts w:hint="eastAsia" w:ascii="宋体" w:hAnsi="宋体" w:cs="宋体"/>
                <w:b/>
                <w:bCs/>
                <w:color w:val="000000"/>
              </w:rPr>
              <w:t>盐渎路北侧希望大道东侧辅道</w:t>
            </w:r>
          </w:p>
        </w:tc>
        <w:tc>
          <w:tcPr>
            <w:tcW w:w="2080" w:type="dxa"/>
            <w:tcBorders>
              <w:top w:val="nil"/>
              <w:left w:val="nil"/>
              <w:bottom w:val="single" w:color="auto" w:sz="4" w:space="0"/>
              <w:right w:val="single" w:color="auto" w:sz="4" w:space="0"/>
            </w:tcBorders>
            <w:noWrap/>
            <w:vAlign w:val="bottom"/>
          </w:tcPr>
          <w:p w14:paraId="7B0065E1">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9516AE3">
            <w:pPr>
              <w:widowControl/>
              <w:jc w:val="center"/>
              <w:rPr>
                <w:rFonts w:hint="eastAsia" w:ascii="宋体" w:hAnsi="宋体" w:cs="宋体"/>
                <w:color w:val="000000"/>
              </w:rPr>
            </w:pPr>
            <w:r>
              <w:rPr>
                <w:rFonts w:hint="eastAsia" w:ascii="宋体" w:hAnsi="宋体" w:cs="宋体"/>
                <w:color w:val="000000"/>
              </w:rPr>
              <w:t>　</w:t>
            </w:r>
          </w:p>
        </w:tc>
      </w:tr>
      <w:tr w14:paraId="63C0DEB4">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5328020">
            <w:pPr>
              <w:widowControl/>
              <w:ind w:firstLine="482"/>
              <w:jc w:val="center"/>
              <w:rPr>
                <w:rFonts w:hint="eastAsia" w:ascii="宋体" w:hAnsi="宋体" w:cs="宋体"/>
                <w:b/>
                <w:bCs/>
                <w:color w:val="000000"/>
              </w:rPr>
            </w:pPr>
            <w:r>
              <w:rPr>
                <w:rFonts w:hint="eastAsia" w:ascii="宋体" w:hAnsi="宋体" w:cs="宋体"/>
                <w:b/>
                <w:bCs/>
                <w:color w:val="000000"/>
              </w:rPr>
              <w:t>62</w:t>
            </w:r>
          </w:p>
        </w:tc>
        <w:tc>
          <w:tcPr>
            <w:tcW w:w="4295" w:type="dxa"/>
            <w:tcBorders>
              <w:top w:val="nil"/>
              <w:left w:val="nil"/>
              <w:bottom w:val="single" w:color="auto" w:sz="4" w:space="0"/>
              <w:right w:val="single" w:color="auto" w:sz="4" w:space="0"/>
            </w:tcBorders>
            <w:noWrap/>
            <w:vAlign w:val="bottom"/>
          </w:tcPr>
          <w:p w14:paraId="3D6A1F78">
            <w:pPr>
              <w:widowControl/>
              <w:ind w:firstLine="482"/>
              <w:jc w:val="left"/>
              <w:rPr>
                <w:rFonts w:hint="eastAsia" w:ascii="宋体" w:hAnsi="宋体" w:cs="宋体"/>
                <w:b/>
                <w:bCs/>
                <w:color w:val="000000"/>
              </w:rPr>
            </w:pPr>
            <w:r>
              <w:rPr>
                <w:rFonts w:hint="eastAsia" w:ascii="宋体" w:hAnsi="宋体" w:cs="宋体"/>
                <w:b/>
                <w:bCs/>
                <w:color w:val="000000"/>
              </w:rPr>
              <w:t>盐渎路北侧希望大道西侧辅道</w:t>
            </w:r>
          </w:p>
        </w:tc>
        <w:tc>
          <w:tcPr>
            <w:tcW w:w="2080" w:type="dxa"/>
            <w:tcBorders>
              <w:top w:val="nil"/>
              <w:left w:val="nil"/>
              <w:bottom w:val="single" w:color="auto" w:sz="4" w:space="0"/>
              <w:right w:val="single" w:color="auto" w:sz="4" w:space="0"/>
            </w:tcBorders>
            <w:noWrap/>
            <w:vAlign w:val="bottom"/>
          </w:tcPr>
          <w:p w14:paraId="2B462240">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3C9CBB0E">
            <w:pPr>
              <w:widowControl/>
              <w:jc w:val="center"/>
              <w:rPr>
                <w:rFonts w:hint="eastAsia" w:ascii="宋体" w:hAnsi="宋体" w:cs="宋体"/>
                <w:color w:val="000000"/>
              </w:rPr>
            </w:pPr>
            <w:r>
              <w:rPr>
                <w:rFonts w:hint="eastAsia" w:ascii="宋体" w:hAnsi="宋体" w:cs="宋体"/>
                <w:color w:val="000000"/>
              </w:rPr>
              <w:t>　</w:t>
            </w:r>
          </w:p>
        </w:tc>
      </w:tr>
      <w:tr w14:paraId="4C4CC038">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92C7854">
            <w:pPr>
              <w:widowControl/>
              <w:ind w:firstLine="482"/>
              <w:jc w:val="center"/>
              <w:rPr>
                <w:rFonts w:hint="eastAsia" w:ascii="宋体" w:hAnsi="宋体" w:cs="宋体"/>
                <w:b/>
                <w:bCs/>
                <w:color w:val="000000"/>
              </w:rPr>
            </w:pPr>
            <w:r>
              <w:rPr>
                <w:rFonts w:hint="eastAsia" w:ascii="宋体" w:hAnsi="宋体" w:cs="宋体"/>
                <w:b/>
                <w:bCs/>
                <w:color w:val="000000"/>
              </w:rPr>
              <w:t>63</w:t>
            </w:r>
          </w:p>
        </w:tc>
        <w:tc>
          <w:tcPr>
            <w:tcW w:w="4295" w:type="dxa"/>
            <w:tcBorders>
              <w:top w:val="nil"/>
              <w:left w:val="nil"/>
              <w:bottom w:val="single" w:color="auto" w:sz="4" w:space="0"/>
              <w:right w:val="single" w:color="auto" w:sz="4" w:space="0"/>
            </w:tcBorders>
            <w:noWrap/>
            <w:vAlign w:val="bottom"/>
          </w:tcPr>
          <w:p w14:paraId="3A111FA8">
            <w:pPr>
              <w:widowControl/>
              <w:ind w:firstLine="482"/>
              <w:jc w:val="left"/>
              <w:rPr>
                <w:rFonts w:hint="eastAsia" w:ascii="宋体" w:hAnsi="宋体" w:cs="宋体"/>
                <w:b/>
                <w:bCs/>
                <w:color w:val="000000"/>
              </w:rPr>
            </w:pPr>
            <w:r>
              <w:rPr>
                <w:rFonts w:hint="eastAsia" w:ascii="宋体" w:hAnsi="宋体" w:cs="宋体"/>
                <w:b/>
                <w:bCs/>
                <w:color w:val="000000"/>
              </w:rPr>
              <w:t>盐渎路南侧泰山路西侧辅道</w:t>
            </w:r>
          </w:p>
        </w:tc>
        <w:tc>
          <w:tcPr>
            <w:tcW w:w="2080" w:type="dxa"/>
            <w:tcBorders>
              <w:top w:val="nil"/>
              <w:left w:val="nil"/>
              <w:bottom w:val="single" w:color="auto" w:sz="4" w:space="0"/>
              <w:right w:val="single" w:color="auto" w:sz="4" w:space="0"/>
            </w:tcBorders>
            <w:noWrap/>
            <w:vAlign w:val="bottom"/>
          </w:tcPr>
          <w:p w14:paraId="3DF854A9">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AD4AF0F">
            <w:pPr>
              <w:widowControl/>
              <w:jc w:val="center"/>
              <w:rPr>
                <w:rFonts w:hint="eastAsia" w:ascii="宋体" w:hAnsi="宋体" w:cs="宋体"/>
                <w:color w:val="000000"/>
              </w:rPr>
            </w:pPr>
            <w:r>
              <w:rPr>
                <w:rFonts w:hint="eastAsia" w:ascii="宋体" w:hAnsi="宋体" w:cs="宋体"/>
                <w:color w:val="000000"/>
              </w:rPr>
              <w:t>　</w:t>
            </w:r>
          </w:p>
        </w:tc>
      </w:tr>
      <w:tr w14:paraId="740F09DD">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777023B">
            <w:pPr>
              <w:widowControl/>
              <w:ind w:firstLine="482"/>
              <w:jc w:val="center"/>
              <w:rPr>
                <w:rFonts w:hint="eastAsia" w:ascii="宋体" w:hAnsi="宋体" w:cs="宋体"/>
                <w:b/>
                <w:bCs/>
                <w:color w:val="000000"/>
              </w:rPr>
            </w:pPr>
            <w:r>
              <w:rPr>
                <w:rFonts w:hint="eastAsia" w:ascii="宋体" w:hAnsi="宋体" w:cs="宋体"/>
                <w:b/>
                <w:bCs/>
                <w:color w:val="000000"/>
              </w:rPr>
              <w:t>64</w:t>
            </w:r>
          </w:p>
        </w:tc>
        <w:tc>
          <w:tcPr>
            <w:tcW w:w="4295" w:type="dxa"/>
            <w:tcBorders>
              <w:top w:val="nil"/>
              <w:left w:val="nil"/>
              <w:bottom w:val="single" w:color="auto" w:sz="4" w:space="0"/>
              <w:right w:val="single" w:color="auto" w:sz="4" w:space="0"/>
            </w:tcBorders>
            <w:noWrap/>
            <w:vAlign w:val="bottom"/>
          </w:tcPr>
          <w:p w14:paraId="6B9D5BC3">
            <w:pPr>
              <w:widowControl/>
              <w:ind w:firstLine="482"/>
              <w:jc w:val="left"/>
              <w:rPr>
                <w:rFonts w:hint="eastAsia" w:ascii="宋体" w:hAnsi="宋体" w:cs="宋体"/>
                <w:b/>
                <w:bCs/>
                <w:color w:val="000000"/>
              </w:rPr>
            </w:pPr>
            <w:r>
              <w:rPr>
                <w:rFonts w:hint="eastAsia" w:ascii="宋体" w:hAnsi="宋体" w:cs="宋体"/>
                <w:b/>
                <w:bCs/>
                <w:color w:val="000000"/>
              </w:rPr>
              <w:t>盐渎路南侧泰山路东侧</w:t>
            </w:r>
          </w:p>
        </w:tc>
        <w:tc>
          <w:tcPr>
            <w:tcW w:w="2080" w:type="dxa"/>
            <w:tcBorders>
              <w:top w:val="nil"/>
              <w:left w:val="nil"/>
              <w:bottom w:val="single" w:color="auto" w:sz="4" w:space="0"/>
              <w:right w:val="single" w:color="auto" w:sz="4" w:space="0"/>
            </w:tcBorders>
            <w:noWrap/>
            <w:vAlign w:val="bottom"/>
          </w:tcPr>
          <w:p w14:paraId="0ED628E0">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8EAD58B">
            <w:pPr>
              <w:widowControl/>
              <w:jc w:val="center"/>
              <w:rPr>
                <w:rFonts w:hint="eastAsia" w:ascii="宋体" w:hAnsi="宋体" w:cs="宋体"/>
                <w:color w:val="000000"/>
              </w:rPr>
            </w:pPr>
            <w:r>
              <w:rPr>
                <w:rFonts w:hint="eastAsia" w:ascii="宋体" w:hAnsi="宋体" w:cs="宋体"/>
                <w:color w:val="000000"/>
              </w:rPr>
              <w:t>　</w:t>
            </w:r>
          </w:p>
        </w:tc>
      </w:tr>
      <w:tr w14:paraId="6D6DF58B">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FFA515A">
            <w:pPr>
              <w:widowControl/>
              <w:ind w:firstLine="482"/>
              <w:jc w:val="center"/>
              <w:rPr>
                <w:rFonts w:hint="eastAsia" w:ascii="宋体" w:hAnsi="宋体" w:cs="宋体"/>
                <w:b/>
                <w:bCs/>
                <w:color w:val="000000"/>
              </w:rPr>
            </w:pPr>
            <w:r>
              <w:rPr>
                <w:rFonts w:hint="eastAsia" w:ascii="宋体" w:hAnsi="宋体" w:cs="宋体"/>
                <w:b/>
                <w:bCs/>
                <w:color w:val="000000"/>
              </w:rPr>
              <w:t>65</w:t>
            </w:r>
          </w:p>
        </w:tc>
        <w:tc>
          <w:tcPr>
            <w:tcW w:w="4295" w:type="dxa"/>
            <w:tcBorders>
              <w:top w:val="nil"/>
              <w:left w:val="nil"/>
              <w:bottom w:val="single" w:color="auto" w:sz="4" w:space="0"/>
              <w:right w:val="single" w:color="auto" w:sz="4" w:space="0"/>
            </w:tcBorders>
            <w:noWrap/>
            <w:vAlign w:val="bottom"/>
          </w:tcPr>
          <w:p w14:paraId="410FE374">
            <w:pPr>
              <w:widowControl/>
              <w:ind w:firstLine="482"/>
              <w:jc w:val="left"/>
              <w:rPr>
                <w:rFonts w:hint="eastAsia" w:ascii="宋体" w:hAnsi="宋体" w:cs="宋体"/>
                <w:b/>
                <w:bCs/>
                <w:color w:val="000000"/>
              </w:rPr>
            </w:pPr>
            <w:r>
              <w:rPr>
                <w:rFonts w:hint="eastAsia" w:ascii="宋体" w:hAnsi="宋体" w:cs="宋体"/>
                <w:b/>
                <w:bCs/>
                <w:color w:val="000000"/>
              </w:rPr>
              <w:t>盐渎路北侧泰山路东侧辅道</w:t>
            </w:r>
          </w:p>
        </w:tc>
        <w:tc>
          <w:tcPr>
            <w:tcW w:w="2080" w:type="dxa"/>
            <w:tcBorders>
              <w:top w:val="nil"/>
              <w:left w:val="nil"/>
              <w:bottom w:val="single" w:color="auto" w:sz="4" w:space="0"/>
              <w:right w:val="single" w:color="auto" w:sz="4" w:space="0"/>
            </w:tcBorders>
            <w:noWrap/>
            <w:vAlign w:val="bottom"/>
          </w:tcPr>
          <w:p w14:paraId="1995B96D">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FF74DBC">
            <w:pPr>
              <w:widowControl/>
              <w:jc w:val="center"/>
              <w:rPr>
                <w:rFonts w:hint="eastAsia" w:ascii="宋体" w:hAnsi="宋体" w:cs="宋体"/>
                <w:color w:val="000000"/>
              </w:rPr>
            </w:pPr>
            <w:r>
              <w:rPr>
                <w:rFonts w:hint="eastAsia" w:ascii="宋体" w:hAnsi="宋体" w:cs="宋体"/>
                <w:color w:val="000000"/>
              </w:rPr>
              <w:t>　</w:t>
            </w:r>
          </w:p>
        </w:tc>
      </w:tr>
      <w:tr w14:paraId="13D008CB">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E71C3F1">
            <w:pPr>
              <w:widowControl/>
              <w:ind w:firstLine="482"/>
              <w:jc w:val="center"/>
              <w:rPr>
                <w:rFonts w:hint="eastAsia" w:ascii="宋体" w:hAnsi="宋体" w:cs="宋体"/>
                <w:b/>
                <w:bCs/>
                <w:color w:val="000000"/>
              </w:rPr>
            </w:pPr>
            <w:r>
              <w:rPr>
                <w:rFonts w:hint="eastAsia" w:ascii="宋体" w:hAnsi="宋体" w:cs="宋体"/>
                <w:b/>
                <w:bCs/>
                <w:color w:val="000000"/>
              </w:rPr>
              <w:t>66</w:t>
            </w:r>
          </w:p>
        </w:tc>
        <w:tc>
          <w:tcPr>
            <w:tcW w:w="4295" w:type="dxa"/>
            <w:tcBorders>
              <w:top w:val="nil"/>
              <w:left w:val="nil"/>
              <w:bottom w:val="single" w:color="auto" w:sz="4" w:space="0"/>
              <w:right w:val="single" w:color="auto" w:sz="4" w:space="0"/>
            </w:tcBorders>
            <w:noWrap/>
            <w:vAlign w:val="bottom"/>
          </w:tcPr>
          <w:p w14:paraId="5D76C47F">
            <w:pPr>
              <w:widowControl/>
              <w:ind w:firstLine="482"/>
              <w:jc w:val="left"/>
              <w:rPr>
                <w:rFonts w:hint="eastAsia" w:ascii="宋体" w:hAnsi="宋体" w:cs="宋体"/>
                <w:b/>
                <w:bCs/>
                <w:color w:val="000000"/>
              </w:rPr>
            </w:pPr>
            <w:r>
              <w:rPr>
                <w:rFonts w:hint="eastAsia" w:ascii="宋体" w:hAnsi="宋体" w:cs="宋体"/>
                <w:b/>
                <w:bCs/>
                <w:color w:val="000000"/>
              </w:rPr>
              <w:t>盐渎路北侧泰山路西侧</w:t>
            </w:r>
          </w:p>
        </w:tc>
        <w:tc>
          <w:tcPr>
            <w:tcW w:w="2080" w:type="dxa"/>
            <w:tcBorders>
              <w:top w:val="nil"/>
              <w:left w:val="nil"/>
              <w:bottom w:val="single" w:color="auto" w:sz="4" w:space="0"/>
              <w:right w:val="single" w:color="auto" w:sz="4" w:space="0"/>
            </w:tcBorders>
            <w:noWrap/>
            <w:vAlign w:val="bottom"/>
          </w:tcPr>
          <w:p w14:paraId="305D3512">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2C9D3D3">
            <w:pPr>
              <w:widowControl/>
              <w:jc w:val="center"/>
              <w:rPr>
                <w:rFonts w:hint="eastAsia" w:ascii="宋体" w:hAnsi="宋体" w:cs="宋体"/>
                <w:color w:val="000000"/>
              </w:rPr>
            </w:pPr>
            <w:r>
              <w:rPr>
                <w:rFonts w:hint="eastAsia" w:ascii="宋体" w:hAnsi="宋体" w:cs="宋体"/>
                <w:color w:val="000000"/>
              </w:rPr>
              <w:t>　</w:t>
            </w:r>
          </w:p>
        </w:tc>
      </w:tr>
      <w:tr w14:paraId="3548A240">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2EEDFDA2">
            <w:pPr>
              <w:widowControl/>
              <w:ind w:firstLine="482"/>
              <w:jc w:val="center"/>
              <w:rPr>
                <w:rFonts w:hint="eastAsia" w:ascii="宋体" w:hAnsi="宋体" w:cs="宋体"/>
                <w:b/>
                <w:bCs/>
                <w:color w:val="000000"/>
              </w:rPr>
            </w:pPr>
            <w:r>
              <w:rPr>
                <w:rFonts w:hint="eastAsia" w:ascii="宋体" w:hAnsi="宋体" w:cs="宋体"/>
                <w:b/>
                <w:bCs/>
                <w:color w:val="000000"/>
              </w:rPr>
              <w:t>67</w:t>
            </w:r>
          </w:p>
        </w:tc>
        <w:tc>
          <w:tcPr>
            <w:tcW w:w="4295" w:type="dxa"/>
            <w:tcBorders>
              <w:top w:val="nil"/>
              <w:left w:val="nil"/>
              <w:bottom w:val="single" w:color="auto" w:sz="4" w:space="0"/>
              <w:right w:val="single" w:color="auto" w:sz="4" w:space="0"/>
            </w:tcBorders>
            <w:noWrap/>
            <w:vAlign w:val="bottom"/>
          </w:tcPr>
          <w:p w14:paraId="7B280EEF">
            <w:pPr>
              <w:widowControl/>
              <w:ind w:firstLine="482"/>
              <w:jc w:val="left"/>
              <w:rPr>
                <w:rFonts w:hint="eastAsia" w:ascii="宋体" w:hAnsi="宋体" w:cs="宋体"/>
                <w:b/>
                <w:bCs/>
                <w:color w:val="000000"/>
              </w:rPr>
            </w:pPr>
            <w:r>
              <w:rPr>
                <w:rFonts w:hint="eastAsia" w:ascii="宋体" w:hAnsi="宋体" w:cs="宋体"/>
                <w:b/>
                <w:bCs/>
                <w:color w:val="000000"/>
              </w:rPr>
              <w:t>盐渎路南侧黄山路西侧辅道</w:t>
            </w:r>
          </w:p>
        </w:tc>
        <w:tc>
          <w:tcPr>
            <w:tcW w:w="2080" w:type="dxa"/>
            <w:tcBorders>
              <w:top w:val="nil"/>
              <w:left w:val="nil"/>
              <w:bottom w:val="single" w:color="auto" w:sz="4" w:space="0"/>
              <w:right w:val="single" w:color="auto" w:sz="4" w:space="0"/>
            </w:tcBorders>
            <w:noWrap/>
            <w:vAlign w:val="bottom"/>
          </w:tcPr>
          <w:p w14:paraId="4AD1D3EB">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6EBBCA31">
            <w:pPr>
              <w:widowControl/>
              <w:jc w:val="center"/>
              <w:rPr>
                <w:rFonts w:hint="eastAsia" w:ascii="宋体" w:hAnsi="宋体" w:cs="宋体"/>
                <w:color w:val="000000"/>
              </w:rPr>
            </w:pPr>
            <w:r>
              <w:rPr>
                <w:rFonts w:hint="eastAsia" w:ascii="宋体" w:hAnsi="宋体" w:cs="宋体"/>
                <w:color w:val="000000"/>
              </w:rPr>
              <w:t>　</w:t>
            </w:r>
          </w:p>
        </w:tc>
      </w:tr>
      <w:tr w14:paraId="2E97B954">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E85532F">
            <w:pPr>
              <w:widowControl/>
              <w:ind w:firstLine="482"/>
              <w:jc w:val="center"/>
              <w:rPr>
                <w:rFonts w:hint="eastAsia" w:ascii="宋体" w:hAnsi="宋体" w:cs="宋体"/>
                <w:b/>
                <w:bCs/>
                <w:color w:val="000000"/>
              </w:rPr>
            </w:pPr>
            <w:r>
              <w:rPr>
                <w:rFonts w:hint="eastAsia" w:ascii="宋体" w:hAnsi="宋体" w:cs="宋体"/>
                <w:b/>
                <w:bCs/>
                <w:color w:val="000000"/>
              </w:rPr>
              <w:t>68</w:t>
            </w:r>
          </w:p>
        </w:tc>
        <w:tc>
          <w:tcPr>
            <w:tcW w:w="4295" w:type="dxa"/>
            <w:tcBorders>
              <w:top w:val="nil"/>
              <w:left w:val="nil"/>
              <w:bottom w:val="single" w:color="auto" w:sz="4" w:space="0"/>
              <w:right w:val="single" w:color="auto" w:sz="4" w:space="0"/>
            </w:tcBorders>
            <w:noWrap/>
            <w:vAlign w:val="bottom"/>
          </w:tcPr>
          <w:p w14:paraId="1BD4F510">
            <w:pPr>
              <w:widowControl/>
              <w:ind w:firstLine="482"/>
              <w:jc w:val="left"/>
              <w:rPr>
                <w:rFonts w:hint="eastAsia" w:ascii="宋体" w:hAnsi="宋体" w:cs="宋体"/>
                <w:b/>
                <w:bCs/>
                <w:color w:val="000000"/>
              </w:rPr>
            </w:pPr>
            <w:r>
              <w:rPr>
                <w:rFonts w:hint="eastAsia" w:ascii="宋体" w:hAnsi="宋体" w:cs="宋体"/>
                <w:b/>
                <w:bCs/>
                <w:color w:val="000000"/>
              </w:rPr>
              <w:t>盐渎路南侧黄山路东侧辅道</w:t>
            </w:r>
          </w:p>
        </w:tc>
        <w:tc>
          <w:tcPr>
            <w:tcW w:w="2080" w:type="dxa"/>
            <w:tcBorders>
              <w:top w:val="nil"/>
              <w:left w:val="nil"/>
              <w:bottom w:val="single" w:color="auto" w:sz="4" w:space="0"/>
              <w:right w:val="single" w:color="auto" w:sz="4" w:space="0"/>
            </w:tcBorders>
            <w:noWrap/>
            <w:vAlign w:val="bottom"/>
          </w:tcPr>
          <w:p w14:paraId="53CA2920">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D9880F4">
            <w:pPr>
              <w:widowControl/>
              <w:jc w:val="center"/>
              <w:rPr>
                <w:rFonts w:hint="eastAsia" w:ascii="宋体" w:hAnsi="宋体" w:cs="宋体"/>
                <w:color w:val="000000"/>
              </w:rPr>
            </w:pPr>
            <w:r>
              <w:rPr>
                <w:rFonts w:hint="eastAsia" w:ascii="宋体" w:hAnsi="宋体" w:cs="宋体"/>
                <w:color w:val="000000"/>
              </w:rPr>
              <w:t>　</w:t>
            </w:r>
          </w:p>
        </w:tc>
      </w:tr>
      <w:tr w14:paraId="24C0EA41">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DAD9732">
            <w:pPr>
              <w:widowControl/>
              <w:ind w:firstLine="482"/>
              <w:jc w:val="center"/>
              <w:rPr>
                <w:rFonts w:hint="eastAsia" w:ascii="宋体" w:hAnsi="宋体" w:cs="宋体"/>
                <w:b/>
                <w:bCs/>
                <w:color w:val="000000"/>
              </w:rPr>
            </w:pPr>
            <w:r>
              <w:rPr>
                <w:rFonts w:hint="eastAsia" w:ascii="宋体" w:hAnsi="宋体" w:cs="宋体"/>
                <w:b/>
                <w:bCs/>
                <w:color w:val="000000"/>
              </w:rPr>
              <w:t>69</w:t>
            </w:r>
          </w:p>
        </w:tc>
        <w:tc>
          <w:tcPr>
            <w:tcW w:w="4295" w:type="dxa"/>
            <w:tcBorders>
              <w:top w:val="nil"/>
              <w:left w:val="nil"/>
              <w:bottom w:val="single" w:color="auto" w:sz="4" w:space="0"/>
              <w:right w:val="single" w:color="auto" w:sz="4" w:space="0"/>
            </w:tcBorders>
            <w:noWrap/>
            <w:vAlign w:val="bottom"/>
          </w:tcPr>
          <w:p w14:paraId="578E1E2C">
            <w:pPr>
              <w:widowControl/>
              <w:ind w:firstLine="482"/>
              <w:jc w:val="left"/>
              <w:rPr>
                <w:rFonts w:hint="eastAsia" w:ascii="宋体" w:hAnsi="宋体" w:cs="宋体"/>
                <w:b/>
                <w:bCs/>
                <w:color w:val="000000"/>
              </w:rPr>
            </w:pPr>
            <w:r>
              <w:rPr>
                <w:rFonts w:hint="eastAsia" w:ascii="宋体" w:hAnsi="宋体" w:cs="宋体"/>
                <w:b/>
                <w:bCs/>
                <w:color w:val="000000"/>
              </w:rPr>
              <w:t>盐渎路北侧黄山路东侧辅道</w:t>
            </w:r>
          </w:p>
        </w:tc>
        <w:tc>
          <w:tcPr>
            <w:tcW w:w="2080" w:type="dxa"/>
            <w:tcBorders>
              <w:top w:val="nil"/>
              <w:left w:val="nil"/>
              <w:bottom w:val="single" w:color="auto" w:sz="4" w:space="0"/>
              <w:right w:val="single" w:color="auto" w:sz="4" w:space="0"/>
            </w:tcBorders>
            <w:noWrap/>
            <w:vAlign w:val="bottom"/>
          </w:tcPr>
          <w:p w14:paraId="022862FE">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626A580E">
            <w:pPr>
              <w:widowControl/>
              <w:jc w:val="center"/>
              <w:rPr>
                <w:rFonts w:hint="eastAsia" w:ascii="宋体" w:hAnsi="宋体" w:cs="宋体"/>
                <w:color w:val="000000"/>
              </w:rPr>
            </w:pPr>
            <w:r>
              <w:rPr>
                <w:rFonts w:hint="eastAsia" w:ascii="宋体" w:hAnsi="宋体" w:cs="宋体"/>
                <w:color w:val="000000"/>
              </w:rPr>
              <w:t>　</w:t>
            </w:r>
          </w:p>
        </w:tc>
      </w:tr>
      <w:tr w14:paraId="51DB6A8A">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17E78FF0">
            <w:pPr>
              <w:widowControl/>
              <w:ind w:firstLine="482"/>
              <w:jc w:val="center"/>
              <w:rPr>
                <w:rFonts w:hint="eastAsia" w:ascii="宋体" w:hAnsi="宋体" w:cs="宋体"/>
                <w:b/>
                <w:bCs/>
                <w:color w:val="000000"/>
              </w:rPr>
            </w:pPr>
            <w:r>
              <w:rPr>
                <w:rFonts w:hint="eastAsia" w:ascii="宋体" w:hAnsi="宋体" w:cs="宋体"/>
                <w:b/>
                <w:bCs/>
                <w:color w:val="000000"/>
              </w:rPr>
              <w:t>70</w:t>
            </w:r>
          </w:p>
        </w:tc>
        <w:tc>
          <w:tcPr>
            <w:tcW w:w="4295" w:type="dxa"/>
            <w:tcBorders>
              <w:top w:val="nil"/>
              <w:left w:val="nil"/>
              <w:bottom w:val="single" w:color="auto" w:sz="4" w:space="0"/>
              <w:right w:val="single" w:color="auto" w:sz="4" w:space="0"/>
            </w:tcBorders>
            <w:noWrap/>
            <w:vAlign w:val="bottom"/>
          </w:tcPr>
          <w:p w14:paraId="2989B93D">
            <w:pPr>
              <w:widowControl/>
              <w:ind w:firstLine="482"/>
              <w:jc w:val="left"/>
              <w:rPr>
                <w:rFonts w:hint="eastAsia" w:ascii="宋体" w:hAnsi="宋体" w:cs="宋体"/>
                <w:b/>
                <w:bCs/>
                <w:color w:val="000000"/>
              </w:rPr>
            </w:pPr>
            <w:r>
              <w:rPr>
                <w:rFonts w:hint="eastAsia" w:ascii="宋体" w:hAnsi="宋体" w:cs="宋体"/>
                <w:b/>
                <w:bCs/>
                <w:color w:val="000000"/>
              </w:rPr>
              <w:t>盐渎路北侧黄山路西侧辅道</w:t>
            </w:r>
          </w:p>
        </w:tc>
        <w:tc>
          <w:tcPr>
            <w:tcW w:w="2080" w:type="dxa"/>
            <w:tcBorders>
              <w:top w:val="nil"/>
              <w:left w:val="nil"/>
              <w:bottom w:val="single" w:color="auto" w:sz="4" w:space="0"/>
              <w:right w:val="single" w:color="auto" w:sz="4" w:space="0"/>
            </w:tcBorders>
            <w:noWrap/>
            <w:vAlign w:val="bottom"/>
          </w:tcPr>
          <w:p w14:paraId="239424D7">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556111E">
            <w:pPr>
              <w:widowControl/>
              <w:jc w:val="center"/>
              <w:rPr>
                <w:rFonts w:hint="eastAsia" w:ascii="宋体" w:hAnsi="宋体" w:cs="宋体"/>
                <w:color w:val="000000"/>
              </w:rPr>
            </w:pPr>
            <w:r>
              <w:rPr>
                <w:rFonts w:hint="eastAsia" w:ascii="宋体" w:hAnsi="宋体" w:cs="宋体"/>
                <w:color w:val="000000"/>
              </w:rPr>
              <w:t>　</w:t>
            </w:r>
          </w:p>
        </w:tc>
      </w:tr>
      <w:tr w14:paraId="1642B1F1">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69930446">
            <w:pPr>
              <w:widowControl/>
              <w:ind w:firstLine="482"/>
              <w:jc w:val="center"/>
              <w:rPr>
                <w:rFonts w:hint="eastAsia" w:ascii="宋体" w:hAnsi="宋体" w:cs="宋体"/>
                <w:b/>
                <w:bCs/>
                <w:color w:val="000000"/>
              </w:rPr>
            </w:pPr>
            <w:r>
              <w:rPr>
                <w:rFonts w:hint="eastAsia" w:ascii="宋体" w:hAnsi="宋体" w:cs="宋体"/>
                <w:b/>
                <w:bCs/>
                <w:color w:val="000000"/>
              </w:rPr>
              <w:t>71</w:t>
            </w:r>
          </w:p>
        </w:tc>
        <w:tc>
          <w:tcPr>
            <w:tcW w:w="4295" w:type="dxa"/>
            <w:tcBorders>
              <w:top w:val="nil"/>
              <w:left w:val="nil"/>
              <w:bottom w:val="single" w:color="auto" w:sz="4" w:space="0"/>
              <w:right w:val="single" w:color="auto" w:sz="4" w:space="0"/>
            </w:tcBorders>
            <w:noWrap/>
            <w:vAlign w:val="bottom"/>
          </w:tcPr>
          <w:p w14:paraId="4817F0F5">
            <w:pPr>
              <w:widowControl/>
              <w:ind w:firstLine="482"/>
              <w:jc w:val="left"/>
              <w:rPr>
                <w:rFonts w:hint="eastAsia" w:ascii="宋体" w:hAnsi="宋体" w:cs="宋体"/>
                <w:b/>
                <w:bCs/>
                <w:color w:val="000000"/>
              </w:rPr>
            </w:pPr>
            <w:r>
              <w:rPr>
                <w:rFonts w:hint="eastAsia" w:ascii="宋体" w:hAnsi="宋体" w:cs="宋体"/>
                <w:b/>
                <w:bCs/>
                <w:color w:val="000000"/>
              </w:rPr>
              <w:t>盐渎路南侧东环路西侧辅道</w:t>
            </w:r>
          </w:p>
        </w:tc>
        <w:tc>
          <w:tcPr>
            <w:tcW w:w="2080" w:type="dxa"/>
            <w:tcBorders>
              <w:top w:val="nil"/>
              <w:left w:val="nil"/>
              <w:bottom w:val="single" w:color="auto" w:sz="4" w:space="0"/>
              <w:right w:val="single" w:color="auto" w:sz="4" w:space="0"/>
            </w:tcBorders>
            <w:noWrap/>
            <w:vAlign w:val="bottom"/>
          </w:tcPr>
          <w:p w14:paraId="5983C6B0">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2F6A260E">
            <w:pPr>
              <w:widowControl/>
              <w:jc w:val="center"/>
              <w:rPr>
                <w:rFonts w:hint="eastAsia" w:ascii="宋体" w:hAnsi="宋体" w:cs="宋体"/>
                <w:color w:val="000000"/>
              </w:rPr>
            </w:pPr>
            <w:r>
              <w:rPr>
                <w:rFonts w:hint="eastAsia" w:ascii="宋体" w:hAnsi="宋体" w:cs="宋体"/>
                <w:color w:val="000000"/>
              </w:rPr>
              <w:t>　</w:t>
            </w:r>
          </w:p>
        </w:tc>
      </w:tr>
      <w:tr w14:paraId="3D085734">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17B12FA3">
            <w:pPr>
              <w:widowControl/>
              <w:ind w:firstLine="482"/>
              <w:jc w:val="center"/>
              <w:rPr>
                <w:rFonts w:hint="eastAsia" w:ascii="宋体" w:hAnsi="宋体" w:cs="宋体"/>
                <w:b/>
                <w:bCs/>
                <w:color w:val="000000"/>
              </w:rPr>
            </w:pPr>
            <w:r>
              <w:rPr>
                <w:rFonts w:hint="eastAsia" w:ascii="宋体" w:hAnsi="宋体" w:cs="宋体"/>
                <w:b/>
                <w:bCs/>
                <w:color w:val="000000"/>
              </w:rPr>
              <w:t>72</w:t>
            </w:r>
          </w:p>
        </w:tc>
        <w:tc>
          <w:tcPr>
            <w:tcW w:w="4295" w:type="dxa"/>
            <w:tcBorders>
              <w:top w:val="nil"/>
              <w:left w:val="nil"/>
              <w:bottom w:val="single" w:color="auto" w:sz="4" w:space="0"/>
              <w:right w:val="single" w:color="auto" w:sz="4" w:space="0"/>
            </w:tcBorders>
            <w:noWrap/>
            <w:vAlign w:val="bottom"/>
          </w:tcPr>
          <w:p w14:paraId="037D45D4">
            <w:pPr>
              <w:widowControl/>
              <w:ind w:firstLine="482"/>
              <w:jc w:val="left"/>
              <w:rPr>
                <w:rFonts w:hint="eastAsia" w:ascii="宋体" w:hAnsi="宋体" w:cs="宋体"/>
                <w:b/>
                <w:bCs/>
                <w:color w:val="000000"/>
              </w:rPr>
            </w:pPr>
            <w:r>
              <w:rPr>
                <w:rFonts w:hint="eastAsia" w:ascii="宋体" w:hAnsi="宋体" w:cs="宋体"/>
                <w:b/>
                <w:bCs/>
                <w:color w:val="000000"/>
              </w:rPr>
              <w:t>盐渎路南侧东环路东侧辅道</w:t>
            </w:r>
          </w:p>
        </w:tc>
        <w:tc>
          <w:tcPr>
            <w:tcW w:w="2080" w:type="dxa"/>
            <w:tcBorders>
              <w:top w:val="nil"/>
              <w:left w:val="nil"/>
              <w:bottom w:val="single" w:color="auto" w:sz="4" w:space="0"/>
              <w:right w:val="single" w:color="auto" w:sz="4" w:space="0"/>
            </w:tcBorders>
            <w:noWrap/>
            <w:vAlign w:val="bottom"/>
          </w:tcPr>
          <w:p w14:paraId="77EC7FAC">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6EAE963">
            <w:pPr>
              <w:widowControl/>
              <w:jc w:val="center"/>
              <w:rPr>
                <w:rFonts w:hint="eastAsia" w:ascii="宋体" w:hAnsi="宋体" w:cs="宋体"/>
                <w:color w:val="000000"/>
              </w:rPr>
            </w:pPr>
            <w:r>
              <w:rPr>
                <w:rFonts w:hint="eastAsia" w:ascii="宋体" w:hAnsi="宋体" w:cs="宋体"/>
                <w:color w:val="000000"/>
              </w:rPr>
              <w:t>　</w:t>
            </w:r>
          </w:p>
        </w:tc>
      </w:tr>
      <w:tr w14:paraId="7B261CB8">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4063060">
            <w:pPr>
              <w:widowControl/>
              <w:ind w:firstLine="482"/>
              <w:jc w:val="center"/>
              <w:rPr>
                <w:rFonts w:hint="eastAsia" w:ascii="宋体" w:hAnsi="宋体" w:cs="宋体"/>
                <w:b/>
                <w:bCs/>
                <w:color w:val="000000"/>
              </w:rPr>
            </w:pPr>
            <w:r>
              <w:rPr>
                <w:rFonts w:hint="eastAsia" w:ascii="宋体" w:hAnsi="宋体" w:cs="宋体"/>
                <w:b/>
                <w:bCs/>
                <w:color w:val="000000"/>
              </w:rPr>
              <w:t>73</w:t>
            </w:r>
          </w:p>
        </w:tc>
        <w:tc>
          <w:tcPr>
            <w:tcW w:w="4295" w:type="dxa"/>
            <w:tcBorders>
              <w:top w:val="nil"/>
              <w:left w:val="nil"/>
              <w:bottom w:val="single" w:color="auto" w:sz="4" w:space="0"/>
              <w:right w:val="single" w:color="auto" w:sz="4" w:space="0"/>
            </w:tcBorders>
            <w:noWrap/>
            <w:vAlign w:val="bottom"/>
          </w:tcPr>
          <w:p w14:paraId="7C7A751D">
            <w:pPr>
              <w:widowControl/>
              <w:ind w:firstLine="482"/>
              <w:jc w:val="left"/>
              <w:rPr>
                <w:rFonts w:hint="eastAsia" w:ascii="宋体" w:hAnsi="宋体" w:cs="宋体"/>
                <w:b/>
                <w:bCs/>
                <w:color w:val="000000"/>
              </w:rPr>
            </w:pPr>
            <w:r>
              <w:rPr>
                <w:rFonts w:hint="eastAsia" w:ascii="宋体" w:hAnsi="宋体" w:cs="宋体"/>
                <w:b/>
                <w:bCs/>
                <w:color w:val="000000"/>
              </w:rPr>
              <w:t>盐渎路北侧东环路东侧辅道</w:t>
            </w:r>
          </w:p>
        </w:tc>
        <w:tc>
          <w:tcPr>
            <w:tcW w:w="2080" w:type="dxa"/>
            <w:tcBorders>
              <w:top w:val="nil"/>
              <w:left w:val="nil"/>
              <w:bottom w:val="single" w:color="auto" w:sz="4" w:space="0"/>
              <w:right w:val="single" w:color="auto" w:sz="4" w:space="0"/>
            </w:tcBorders>
            <w:noWrap/>
            <w:vAlign w:val="bottom"/>
          </w:tcPr>
          <w:p w14:paraId="00EBDA1E">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31B58AF">
            <w:pPr>
              <w:widowControl/>
              <w:jc w:val="center"/>
              <w:rPr>
                <w:rFonts w:hint="eastAsia" w:ascii="宋体" w:hAnsi="宋体" w:cs="宋体"/>
                <w:color w:val="000000"/>
              </w:rPr>
            </w:pPr>
            <w:r>
              <w:rPr>
                <w:rFonts w:hint="eastAsia" w:ascii="宋体" w:hAnsi="宋体" w:cs="宋体"/>
                <w:color w:val="000000"/>
              </w:rPr>
              <w:t>　</w:t>
            </w:r>
          </w:p>
        </w:tc>
      </w:tr>
      <w:tr w14:paraId="527E83B9">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0028C0D9">
            <w:pPr>
              <w:widowControl/>
              <w:ind w:firstLine="482"/>
              <w:jc w:val="center"/>
              <w:rPr>
                <w:rFonts w:hint="eastAsia" w:ascii="宋体" w:hAnsi="宋体" w:cs="宋体"/>
                <w:b/>
                <w:bCs/>
                <w:color w:val="000000"/>
              </w:rPr>
            </w:pPr>
            <w:r>
              <w:rPr>
                <w:rFonts w:hint="eastAsia" w:ascii="宋体" w:hAnsi="宋体" w:cs="宋体"/>
                <w:b/>
                <w:bCs/>
                <w:color w:val="000000"/>
              </w:rPr>
              <w:t>74</w:t>
            </w:r>
          </w:p>
        </w:tc>
        <w:tc>
          <w:tcPr>
            <w:tcW w:w="4295" w:type="dxa"/>
            <w:tcBorders>
              <w:top w:val="nil"/>
              <w:left w:val="nil"/>
              <w:bottom w:val="single" w:color="auto" w:sz="4" w:space="0"/>
              <w:right w:val="single" w:color="auto" w:sz="4" w:space="0"/>
            </w:tcBorders>
            <w:noWrap/>
            <w:vAlign w:val="bottom"/>
          </w:tcPr>
          <w:p w14:paraId="367AFE01">
            <w:pPr>
              <w:widowControl/>
              <w:ind w:firstLine="482"/>
              <w:jc w:val="left"/>
              <w:rPr>
                <w:rFonts w:hint="eastAsia" w:ascii="宋体" w:hAnsi="宋体" w:cs="宋体"/>
                <w:b/>
                <w:bCs/>
                <w:color w:val="000000"/>
              </w:rPr>
            </w:pPr>
            <w:r>
              <w:rPr>
                <w:rFonts w:hint="eastAsia" w:ascii="宋体" w:hAnsi="宋体" w:cs="宋体"/>
                <w:b/>
                <w:bCs/>
                <w:color w:val="000000"/>
              </w:rPr>
              <w:t>盐渎路北侧东环路西侧辅道</w:t>
            </w:r>
          </w:p>
        </w:tc>
        <w:tc>
          <w:tcPr>
            <w:tcW w:w="2080" w:type="dxa"/>
            <w:tcBorders>
              <w:top w:val="nil"/>
              <w:left w:val="nil"/>
              <w:bottom w:val="single" w:color="auto" w:sz="4" w:space="0"/>
              <w:right w:val="single" w:color="auto" w:sz="4" w:space="0"/>
            </w:tcBorders>
            <w:noWrap/>
            <w:vAlign w:val="bottom"/>
          </w:tcPr>
          <w:p w14:paraId="276F368C">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08C53FA">
            <w:pPr>
              <w:widowControl/>
              <w:jc w:val="center"/>
              <w:rPr>
                <w:rFonts w:hint="eastAsia" w:ascii="宋体" w:hAnsi="宋体" w:cs="宋体"/>
                <w:color w:val="000000"/>
              </w:rPr>
            </w:pPr>
            <w:r>
              <w:rPr>
                <w:rFonts w:hint="eastAsia" w:ascii="宋体" w:hAnsi="宋体" w:cs="宋体"/>
                <w:color w:val="000000"/>
              </w:rPr>
              <w:t>　</w:t>
            </w:r>
          </w:p>
        </w:tc>
      </w:tr>
      <w:tr w14:paraId="627EEC66">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5A902B3E">
            <w:pPr>
              <w:widowControl/>
              <w:ind w:firstLine="482"/>
              <w:jc w:val="center"/>
              <w:rPr>
                <w:rFonts w:hint="eastAsia" w:ascii="宋体" w:hAnsi="宋体" w:cs="宋体"/>
                <w:b/>
                <w:bCs/>
                <w:color w:val="000000"/>
              </w:rPr>
            </w:pPr>
            <w:r>
              <w:rPr>
                <w:rFonts w:hint="eastAsia" w:ascii="宋体" w:hAnsi="宋体" w:cs="宋体"/>
                <w:b/>
                <w:bCs/>
                <w:color w:val="000000"/>
              </w:rPr>
              <w:t>75</w:t>
            </w:r>
          </w:p>
        </w:tc>
        <w:tc>
          <w:tcPr>
            <w:tcW w:w="4295" w:type="dxa"/>
            <w:tcBorders>
              <w:top w:val="nil"/>
              <w:left w:val="nil"/>
              <w:bottom w:val="single" w:color="auto" w:sz="4" w:space="0"/>
              <w:right w:val="single" w:color="auto" w:sz="4" w:space="0"/>
            </w:tcBorders>
            <w:noWrap/>
            <w:vAlign w:val="bottom"/>
          </w:tcPr>
          <w:p w14:paraId="67D7DDF6">
            <w:pPr>
              <w:widowControl/>
              <w:ind w:firstLine="482"/>
              <w:jc w:val="left"/>
              <w:rPr>
                <w:rFonts w:hint="eastAsia" w:ascii="宋体" w:hAnsi="宋体" w:cs="宋体"/>
                <w:b/>
                <w:bCs/>
                <w:color w:val="000000"/>
              </w:rPr>
            </w:pPr>
            <w:r>
              <w:rPr>
                <w:rFonts w:hint="eastAsia" w:ascii="宋体" w:hAnsi="宋体" w:cs="宋体"/>
                <w:b/>
                <w:bCs/>
                <w:color w:val="000000"/>
              </w:rPr>
              <w:t>盐渎路南侧峨眉山路西侧辅道</w:t>
            </w:r>
          </w:p>
        </w:tc>
        <w:tc>
          <w:tcPr>
            <w:tcW w:w="2080" w:type="dxa"/>
            <w:tcBorders>
              <w:top w:val="nil"/>
              <w:left w:val="nil"/>
              <w:bottom w:val="single" w:color="auto" w:sz="4" w:space="0"/>
              <w:right w:val="single" w:color="auto" w:sz="4" w:space="0"/>
            </w:tcBorders>
            <w:noWrap/>
            <w:vAlign w:val="bottom"/>
          </w:tcPr>
          <w:p w14:paraId="5F6B0A8B">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28807115">
            <w:pPr>
              <w:widowControl/>
              <w:jc w:val="center"/>
              <w:rPr>
                <w:rFonts w:hint="eastAsia" w:ascii="宋体" w:hAnsi="宋体" w:cs="宋体"/>
                <w:color w:val="000000"/>
              </w:rPr>
            </w:pPr>
            <w:r>
              <w:rPr>
                <w:rFonts w:hint="eastAsia" w:ascii="宋体" w:hAnsi="宋体" w:cs="宋体"/>
                <w:color w:val="000000"/>
              </w:rPr>
              <w:t>　</w:t>
            </w:r>
          </w:p>
        </w:tc>
      </w:tr>
      <w:tr w14:paraId="40BAC424">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A3FE09E">
            <w:pPr>
              <w:widowControl/>
              <w:ind w:firstLine="482"/>
              <w:jc w:val="center"/>
              <w:rPr>
                <w:rFonts w:hint="eastAsia" w:ascii="宋体" w:hAnsi="宋体" w:cs="宋体"/>
                <w:b/>
                <w:bCs/>
                <w:color w:val="000000"/>
              </w:rPr>
            </w:pPr>
            <w:r>
              <w:rPr>
                <w:rFonts w:hint="eastAsia" w:ascii="宋体" w:hAnsi="宋体" w:cs="宋体"/>
                <w:b/>
                <w:bCs/>
                <w:color w:val="000000"/>
              </w:rPr>
              <w:t>76</w:t>
            </w:r>
          </w:p>
        </w:tc>
        <w:tc>
          <w:tcPr>
            <w:tcW w:w="4295" w:type="dxa"/>
            <w:tcBorders>
              <w:top w:val="nil"/>
              <w:left w:val="nil"/>
              <w:bottom w:val="single" w:color="auto" w:sz="4" w:space="0"/>
              <w:right w:val="single" w:color="auto" w:sz="4" w:space="0"/>
            </w:tcBorders>
            <w:noWrap/>
            <w:vAlign w:val="bottom"/>
          </w:tcPr>
          <w:p w14:paraId="3F98E5E4">
            <w:pPr>
              <w:widowControl/>
              <w:ind w:firstLine="482"/>
              <w:jc w:val="left"/>
              <w:rPr>
                <w:rFonts w:hint="eastAsia" w:ascii="宋体" w:hAnsi="宋体" w:cs="宋体"/>
                <w:b/>
                <w:bCs/>
                <w:color w:val="000000"/>
              </w:rPr>
            </w:pPr>
            <w:r>
              <w:rPr>
                <w:rFonts w:hint="eastAsia" w:ascii="宋体" w:hAnsi="宋体" w:cs="宋体"/>
                <w:b/>
                <w:bCs/>
                <w:color w:val="000000"/>
              </w:rPr>
              <w:t>盐渎路南侧峨眉山路东侧辅道</w:t>
            </w:r>
          </w:p>
        </w:tc>
        <w:tc>
          <w:tcPr>
            <w:tcW w:w="2080" w:type="dxa"/>
            <w:tcBorders>
              <w:top w:val="nil"/>
              <w:left w:val="nil"/>
              <w:bottom w:val="single" w:color="auto" w:sz="4" w:space="0"/>
              <w:right w:val="single" w:color="auto" w:sz="4" w:space="0"/>
            </w:tcBorders>
            <w:noWrap/>
            <w:vAlign w:val="bottom"/>
          </w:tcPr>
          <w:p w14:paraId="67B82328">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1E29B2BD">
            <w:pPr>
              <w:widowControl/>
              <w:jc w:val="center"/>
              <w:rPr>
                <w:rFonts w:hint="eastAsia" w:ascii="宋体" w:hAnsi="宋体" w:cs="宋体"/>
                <w:color w:val="000000"/>
              </w:rPr>
            </w:pPr>
            <w:r>
              <w:rPr>
                <w:rFonts w:hint="eastAsia" w:ascii="宋体" w:hAnsi="宋体" w:cs="宋体"/>
                <w:color w:val="000000"/>
              </w:rPr>
              <w:t>　</w:t>
            </w:r>
          </w:p>
        </w:tc>
      </w:tr>
      <w:tr w14:paraId="00FC816E">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58037DDB">
            <w:pPr>
              <w:widowControl/>
              <w:ind w:firstLine="482"/>
              <w:jc w:val="center"/>
              <w:rPr>
                <w:rFonts w:hint="eastAsia" w:ascii="宋体" w:hAnsi="宋体" w:cs="宋体"/>
                <w:b/>
                <w:bCs/>
                <w:color w:val="000000"/>
              </w:rPr>
            </w:pPr>
            <w:r>
              <w:rPr>
                <w:rFonts w:hint="eastAsia" w:ascii="宋体" w:hAnsi="宋体" w:cs="宋体"/>
                <w:b/>
                <w:bCs/>
                <w:color w:val="000000"/>
              </w:rPr>
              <w:t>77</w:t>
            </w:r>
          </w:p>
        </w:tc>
        <w:tc>
          <w:tcPr>
            <w:tcW w:w="4295" w:type="dxa"/>
            <w:tcBorders>
              <w:top w:val="nil"/>
              <w:left w:val="nil"/>
              <w:bottom w:val="single" w:color="auto" w:sz="4" w:space="0"/>
              <w:right w:val="single" w:color="auto" w:sz="4" w:space="0"/>
            </w:tcBorders>
            <w:noWrap/>
            <w:vAlign w:val="bottom"/>
          </w:tcPr>
          <w:p w14:paraId="1900202A">
            <w:pPr>
              <w:widowControl/>
              <w:ind w:firstLine="482"/>
              <w:jc w:val="left"/>
              <w:rPr>
                <w:rFonts w:hint="eastAsia" w:ascii="宋体" w:hAnsi="宋体" w:cs="宋体"/>
                <w:b/>
                <w:bCs/>
                <w:color w:val="000000"/>
              </w:rPr>
            </w:pPr>
            <w:r>
              <w:rPr>
                <w:rFonts w:hint="eastAsia" w:ascii="宋体" w:hAnsi="宋体" w:cs="宋体"/>
                <w:b/>
                <w:bCs/>
                <w:color w:val="000000"/>
              </w:rPr>
              <w:t>盐渎路北侧峨眉山路东侧辅道</w:t>
            </w:r>
          </w:p>
        </w:tc>
        <w:tc>
          <w:tcPr>
            <w:tcW w:w="2080" w:type="dxa"/>
            <w:tcBorders>
              <w:top w:val="nil"/>
              <w:left w:val="nil"/>
              <w:bottom w:val="single" w:color="auto" w:sz="4" w:space="0"/>
              <w:right w:val="single" w:color="auto" w:sz="4" w:space="0"/>
            </w:tcBorders>
            <w:noWrap/>
            <w:vAlign w:val="bottom"/>
          </w:tcPr>
          <w:p w14:paraId="34DEAA6C">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D3CCFCB">
            <w:pPr>
              <w:widowControl/>
              <w:jc w:val="center"/>
              <w:rPr>
                <w:rFonts w:hint="eastAsia" w:ascii="宋体" w:hAnsi="宋体" w:cs="宋体"/>
                <w:color w:val="000000"/>
              </w:rPr>
            </w:pPr>
            <w:r>
              <w:rPr>
                <w:rFonts w:hint="eastAsia" w:ascii="宋体" w:hAnsi="宋体" w:cs="宋体"/>
                <w:color w:val="000000"/>
              </w:rPr>
              <w:t>　</w:t>
            </w:r>
          </w:p>
        </w:tc>
      </w:tr>
      <w:tr w14:paraId="5F5EB3E2">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71FE14E7">
            <w:pPr>
              <w:widowControl/>
              <w:ind w:firstLine="482"/>
              <w:jc w:val="center"/>
              <w:rPr>
                <w:rFonts w:hint="eastAsia" w:ascii="宋体" w:hAnsi="宋体" w:cs="宋体"/>
                <w:b/>
                <w:bCs/>
                <w:color w:val="000000"/>
              </w:rPr>
            </w:pPr>
            <w:r>
              <w:rPr>
                <w:rFonts w:hint="eastAsia" w:ascii="宋体" w:hAnsi="宋体" w:cs="宋体"/>
                <w:b/>
                <w:bCs/>
                <w:color w:val="000000"/>
              </w:rPr>
              <w:t>78</w:t>
            </w:r>
          </w:p>
        </w:tc>
        <w:tc>
          <w:tcPr>
            <w:tcW w:w="4295" w:type="dxa"/>
            <w:tcBorders>
              <w:top w:val="nil"/>
              <w:left w:val="nil"/>
              <w:bottom w:val="single" w:color="auto" w:sz="4" w:space="0"/>
              <w:right w:val="single" w:color="auto" w:sz="4" w:space="0"/>
            </w:tcBorders>
            <w:noWrap/>
            <w:vAlign w:val="bottom"/>
          </w:tcPr>
          <w:p w14:paraId="3B74C7BF">
            <w:pPr>
              <w:widowControl/>
              <w:ind w:firstLine="482"/>
              <w:jc w:val="left"/>
              <w:rPr>
                <w:rFonts w:hint="eastAsia" w:ascii="宋体" w:hAnsi="宋体" w:cs="宋体"/>
                <w:b/>
                <w:bCs/>
                <w:color w:val="000000"/>
              </w:rPr>
            </w:pPr>
            <w:r>
              <w:rPr>
                <w:rFonts w:hint="eastAsia" w:ascii="宋体" w:hAnsi="宋体" w:cs="宋体"/>
                <w:b/>
                <w:bCs/>
                <w:color w:val="000000"/>
              </w:rPr>
              <w:t>盐渎路北侧峨眉山路西侧辅道</w:t>
            </w:r>
          </w:p>
        </w:tc>
        <w:tc>
          <w:tcPr>
            <w:tcW w:w="2080" w:type="dxa"/>
            <w:tcBorders>
              <w:top w:val="nil"/>
              <w:left w:val="nil"/>
              <w:bottom w:val="single" w:color="auto" w:sz="4" w:space="0"/>
              <w:right w:val="single" w:color="auto" w:sz="4" w:space="0"/>
            </w:tcBorders>
            <w:noWrap/>
            <w:vAlign w:val="bottom"/>
          </w:tcPr>
          <w:p w14:paraId="0A1FCA13">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097ECA9">
            <w:pPr>
              <w:widowControl/>
              <w:jc w:val="center"/>
              <w:rPr>
                <w:rFonts w:hint="eastAsia" w:ascii="宋体" w:hAnsi="宋体" w:cs="宋体"/>
                <w:color w:val="000000"/>
              </w:rPr>
            </w:pPr>
            <w:r>
              <w:rPr>
                <w:rFonts w:hint="eastAsia" w:ascii="宋体" w:hAnsi="宋体" w:cs="宋体"/>
                <w:color w:val="000000"/>
              </w:rPr>
              <w:t>　</w:t>
            </w:r>
          </w:p>
        </w:tc>
      </w:tr>
      <w:tr w14:paraId="3A7BCB31">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F27D08D">
            <w:pPr>
              <w:widowControl/>
              <w:ind w:firstLine="482"/>
              <w:jc w:val="center"/>
              <w:rPr>
                <w:rFonts w:hint="eastAsia" w:ascii="宋体" w:hAnsi="宋体" w:cs="宋体"/>
                <w:b/>
                <w:bCs/>
                <w:color w:val="000000"/>
              </w:rPr>
            </w:pPr>
            <w:r>
              <w:rPr>
                <w:rFonts w:hint="eastAsia" w:ascii="宋体" w:hAnsi="宋体" w:cs="宋体"/>
                <w:b/>
                <w:bCs/>
                <w:color w:val="000000"/>
              </w:rPr>
              <w:t>79</w:t>
            </w:r>
          </w:p>
        </w:tc>
        <w:tc>
          <w:tcPr>
            <w:tcW w:w="4295" w:type="dxa"/>
            <w:tcBorders>
              <w:top w:val="nil"/>
              <w:left w:val="nil"/>
              <w:bottom w:val="single" w:color="auto" w:sz="4" w:space="0"/>
              <w:right w:val="single" w:color="auto" w:sz="4" w:space="0"/>
            </w:tcBorders>
            <w:noWrap/>
            <w:vAlign w:val="bottom"/>
          </w:tcPr>
          <w:p w14:paraId="4578824C">
            <w:pPr>
              <w:widowControl/>
              <w:ind w:firstLine="482"/>
              <w:jc w:val="left"/>
              <w:rPr>
                <w:rFonts w:hint="eastAsia" w:ascii="宋体" w:hAnsi="宋体" w:cs="宋体"/>
                <w:b/>
                <w:bCs/>
                <w:color w:val="000000"/>
              </w:rPr>
            </w:pPr>
            <w:r>
              <w:rPr>
                <w:rFonts w:hint="eastAsia" w:ascii="宋体" w:hAnsi="宋体" w:cs="宋体"/>
                <w:b/>
                <w:bCs/>
                <w:color w:val="000000"/>
              </w:rPr>
              <w:t>盐渎路南侧崂山路西侧辅道</w:t>
            </w:r>
          </w:p>
        </w:tc>
        <w:tc>
          <w:tcPr>
            <w:tcW w:w="2080" w:type="dxa"/>
            <w:tcBorders>
              <w:top w:val="nil"/>
              <w:left w:val="nil"/>
              <w:bottom w:val="single" w:color="auto" w:sz="4" w:space="0"/>
              <w:right w:val="single" w:color="auto" w:sz="4" w:space="0"/>
            </w:tcBorders>
            <w:noWrap/>
            <w:vAlign w:val="bottom"/>
          </w:tcPr>
          <w:p w14:paraId="3B2B659E">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AE6273B">
            <w:pPr>
              <w:widowControl/>
              <w:jc w:val="center"/>
              <w:rPr>
                <w:rFonts w:hint="eastAsia" w:ascii="宋体" w:hAnsi="宋体" w:cs="宋体"/>
                <w:color w:val="000000"/>
              </w:rPr>
            </w:pPr>
            <w:r>
              <w:rPr>
                <w:rFonts w:hint="eastAsia" w:ascii="宋体" w:hAnsi="宋体" w:cs="宋体"/>
                <w:color w:val="000000"/>
              </w:rPr>
              <w:t>　</w:t>
            </w:r>
          </w:p>
        </w:tc>
      </w:tr>
      <w:tr w14:paraId="7A4AB323">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A2ED897">
            <w:pPr>
              <w:widowControl/>
              <w:ind w:firstLine="482"/>
              <w:jc w:val="center"/>
              <w:rPr>
                <w:rFonts w:hint="eastAsia" w:ascii="宋体" w:hAnsi="宋体" w:cs="宋体"/>
                <w:b/>
                <w:bCs/>
                <w:color w:val="000000"/>
              </w:rPr>
            </w:pPr>
            <w:r>
              <w:rPr>
                <w:rFonts w:hint="eastAsia" w:ascii="宋体" w:hAnsi="宋体" w:cs="宋体"/>
                <w:b/>
                <w:bCs/>
                <w:color w:val="000000"/>
              </w:rPr>
              <w:t>80</w:t>
            </w:r>
          </w:p>
        </w:tc>
        <w:tc>
          <w:tcPr>
            <w:tcW w:w="4295" w:type="dxa"/>
            <w:tcBorders>
              <w:top w:val="nil"/>
              <w:left w:val="nil"/>
              <w:bottom w:val="single" w:color="auto" w:sz="4" w:space="0"/>
              <w:right w:val="single" w:color="auto" w:sz="4" w:space="0"/>
            </w:tcBorders>
            <w:noWrap/>
            <w:vAlign w:val="bottom"/>
          </w:tcPr>
          <w:p w14:paraId="3237DEC4">
            <w:pPr>
              <w:widowControl/>
              <w:ind w:firstLine="482"/>
              <w:jc w:val="left"/>
              <w:rPr>
                <w:rFonts w:hint="eastAsia" w:ascii="宋体" w:hAnsi="宋体" w:cs="宋体"/>
                <w:b/>
                <w:bCs/>
                <w:color w:val="000000"/>
              </w:rPr>
            </w:pPr>
            <w:r>
              <w:rPr>
                <w:rFonts w:hint="eastAsia" w:ascii="宋体" w:hAnsi="宋体" w:cs="宋体"/>
                <w:b/>
                <w:bCs/>
                <w:color w:val="000000"/>
              </w:rPr>
              <w:t>盐渎路南侧崂山路东侧</w:t>
            </w:r>
          </w:p>
        </w:tc>
        <w:tc>
          <w:tcPr>
            <w:tcW w:w="2080" w:type="dxa"/>
            <w:tcBorders>
              <w:top w:val="nil"/>
              <w:left w:val="nil"/>
              <w:bottom w:val="single" w:color="auto" w:sz="4" w:space="0"/>
              <w:right w:val="single" w:color="auto" w:sz="4" w:space="0"/>
            </w:tcBorders>
            <w:noWrap/>
            <w:vAlign w:val="bottom"/>
          </w:tcPr>
          <w:p w14:paraId="2469CABD">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9937DB8">
            <w:pPr>
              <w:widowControl/>
              <w:jc w:val="center"/>
              <w:rPr>
                <w:rFonts w:hint="eastAsia" w:ascii="宋体" w:hAnsi="宋体" w:cs="宋体"/>
                <w:color w:val="000000"/>
              </w:rPr>
            </w:pPr>
            <w:r>
              <w:rPr>
                <w:rFonts w:hint="eastAsia" w:ascii="宋体" w:hAnsi="宋体" w:cs="宋体"/>
                <w:color w:val="000000"/>
              </w:rPr>
              <w:t>　</w:t>
            </w:r>
          </w:p>
        </w:tc>
      </w:tr>
      <w:tr w14:paraId="58A82059">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1EC747DE">
            <w:pPr>
              <w:widowControl/>
              <w:ind w:firstLine="482"/>
              <w:jc w:val="center"/>
              <w:rPr>
                <w:rFonts w:hint="eastAsia" w:ascii="宋体" w:hAnsi="宋体" w:cs="宋体"/>
                <w:b/>
                <w:bCs/>
                <w:color w:val="000000"/>
              </w:rPr>
            </w:pPr>
            <w:r>
              <w:rPr>
                <w:rFonts w:hint="eastAsia" w:ascii="宋体" w:hAnsi="宋体" w:cs="宋体"/>
                <w:b/>
                <w:bCs/>
                <w:color w:val="000000"/>
              </w:rPr>
              <w:t>81</w:t>
            </w:r>
          </w:p>
        </w:tc>
        <w:tc>
          <w:tcPr>
            <w:tcW w:w="4295" w:type="dxa"/>
            <w:tcBorders>
              <w:top w:val="nil"/>
              <w:left w:val="nil"/>
              <w:bottom w:val="single" w:color="auto" w:sz="4" w:space="0"/>
              <w:right w:val="single" w:color="auto" w:sz="4" w:space="0"/>
            </w:tcBorders>
            <w:noWrap/>
            <w:vAlign w:val="bottom"/>
          </w:tcPr>
          <w:p w14:paraId="5E1CD6C1">
            <w:pPr>
              <w:widowControl/>
              <w:ind w:firstLine="482"/>
              <w:jc w:val="left"/>
              <w:rPr>
                <w:rFonts w:hint="eastAsia" w:ascii="宋体" w:hAnsi="宋体" w:cs="宋体"/>
                <w:b/>
                <w:bCs/>
                <w:color w:val="000000"/>
              </w:rPr>
            </w:pPr>
            <w:r>
              <w:rPr>
                <w:rFonts w:hint="eastAsia" w:ascii="宋体" w:hAnsi="宋体" w:cs="宋体"/>
                <w:b/>
                <w:bCs/>
                <w:color w:val="000000"/>
              </w:rPr>
              <w:t>盐渎路北侧崂山路东侧</w:t>
            </w:r>
          </w:p>
        </w:tc>
        <w:tc>
          <w:tcPr>
            <w:tcW w:w="2080" w:type="dxa"/>
            <w:tcBorders>
              <w:top w:val="nil"/>
              <w:left w:val="nil"/>
              <w:bottom w:val="single" w:color="auto" w:sz="4" w:space="0"/>
              <w:right w:val="single" w:color="auto" w:sz="4" w:space="0"/>
            </w:tcBorders>
            <w:noWrap/>
            <w:vAlign w:val="bottom"/>
          </w:tcPr>
          <w:p w14:paraId="1367926B">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0768C05B">
            <w:pPr>
              <w:widowControl/>
              <w:jc w:val="center"/>
              <w:rPr>
                <w:rFonts w:hint="eastAsia" w:ascii="宋体" w:hAnsi="宋体" w:cs="宋体"/>
                <w:color w:val="000000"/>
              </w:rPr>
            </w:pPr>
            <w:r>
              <w:rPr>
                <w:rFonts w:hint="eastAsia" w:ascii="宋体" w:hAnsi="宋体" w:cs="宋体"/>
                <w:color w:val="000000"/>
              </w:rPr>
              <w:t>　</w:t>
            </w:r>
          </w:p>
        </w:tc>
      </w:tr>
      <w:tr w14:paraId="07FA8A74">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44EDE680">
            <w:pPr>
              <w:widowControl/>
              <w:ind w:firstLine="482"/>
              <w:jc w:val="center"/>
              <w:rPr>
                <w:rFonts w:hint="eastAsia" w:ascii="宋体" w:hAnsi="宋体" w:cs="宋体"/>
                <w:b/>
                <w:bCs/>
                <w:color w:val="000000"/>
              </w:rPr>
            </w:pPr>
            <w:r>
              <w:rPr>
                <w:rFonts w:hint="eastAsia" w:ascii="宋体" w:hAnsi="宋体" w:cs="宋体"/>
                <w:b/>
                <w:bCs/>
                <w:color w:val="000000"/>
              </w:rPr>
              <w:t>82</w:t>
            </w:r>
          </w:p>
        </w:tc>
        <w:tc>
          <w:tcPr>
            <w:tcW w:w="4295" w:type="dxa"/>
            <w:tcBorders>
              <w:top w:val="nil"/>
              <w:left w:val="nil"/>
              <w:bottom w:val="single" w:color="auto" w:sz="4" w:space="0"/>
              <w:right w:val="single" w:color="auto" w:sz="4" w:space="0"/>
            </w:tcBorders>
            <w:noWrap/>
            <w:vAlign w:val="bottom"/>
          </w:tcPr>
          <w:p w14:paraId="75B0931D">
            <w:pPr>
              <w:widowControl/>
              <w:ind w:firstLine="482"/>
              <w:jc w:val="left"/>
              <w:rPr>
                <w:rFonts w:hint="eastAsia" w:ascii="宋体" w:hAnsi="宋体" w:cs="宋体"/>
                <w:b/>
                <w:bCs/>
                <w:color w:val="000000"/>
              </w:rPr>
            </w:pPr>
            <w:r>
              <w:rPr>
                <w:rFonts w:hint="eastAsia" w:ascii="宋体" w:hAnsi="宋体" w:cs="宋体"/>
                <w:b/>
                <w:bCs/>
                <w:color w:val="000000"/>
              </w:rPr>
              <w:t>盐渎路南侧九华山路西侧辅道</w:t>
            </w:r>
          </w:p>
        </w:tc>
        <w:tc>
          <w:tcPr>
            <w:tcW w:w="2080" w:type="dxa"/>
            <w:tcBorders>
              <w:top w:val="nil"/>
              <w:left w:val="nil"/>
              <w:bottom w:val="single" w:color="auto" w:sz="4" w:space="0"/>
              <w:right w:val="single" w:color="auto" w:sz="4" w:space="0"/>
            </w:tcBorders>
            <w:noWrap/>
            <w:vAlign w:val="bottom"/>
          </w:tcPr>
          <w:p w14:paraId="1208BED7">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748E08F5">
            <w:pPr>
              <w:widowControl/>
              <w:jc w:val="center"/>
              <w:rPr>
                <w:rFonts w:hint="eastAsia" w:ascii="宋体" w:hAnsi="宋体" w:cs="宋体"/>
                <w:color w:val="000000"/>
              </w:rPr>
            </w:pPr>
            <w:r>
              <w:rPr>
                <w:rFonts w:hint="eastAsia" w:ascii="宋体" w:hAnsi="宋体" w:cs="宋体"/>
                <w:color w:val="000000"/>
              </w:rPr>
              <w:t>　</w:t>
            </w:r>
          </w:p>
        </w:tc>
      </w:tr>
      <w:tr w14:paraId="2EED8EBA">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19E49E6">
            <w:pPr>
              <w:widowControl/>
              <w:ind w:firstLine="482"/>
              <w:jc w:val="center"/>
              <w:rPr>
                <w:rFonts w:hint="eastAsia" w:ascii="宋体" w:hAnsi="宋体" w:cs="宋体"/>
                <w:b/>
                <w:bCs/>
                <w:color w:val="000000"/>
              </w:rPr>
            </w:pPr>
            <w:r>
              <w:rPr>
                <w:rFonts w:hint="eastAsia" w:ascii="宋体" w:hAnsi="宋体" w:cs="宋体"/>
                <w:b/>
                <w:bCs/>
                <w:color w:val="000000"/>
              </w:rPr>
              <w:t>83</w:t>
            </w:r>
          </w:p>
        </w:tc>
        <w:tc>
          <w:tcPr>
            <w:tcW w:w="4295" w:type="dxa"/>
            <w:tcBorders>
              <w:top w:val="nil"/>
              <w:left w:val="nil"/>
              <w:bottom w:val="single" w:color="auto" w:sz="4" w:space="0"/>
              <w:right w:val="single" w:color="auto" w:sz="4" w:space="0"/>
            </w:tcBorders>
            <w:noWrap/>
            <w:vAlign w:val="bottom"/>
          </w:tcPr>
          <w:p w14:paraId="2085DA84">
            <w:pPr>
              <w:widowControl/>
              <w:ind w:firstLine="482"/>
              <w:jc w:val="left"/>
              <w:rPr>
                <w:rFonts w:hint="eastAsia" w:ascii="宋体" w:hAnsi="宋体" w:cs="宋体"/>
                <w:b/>
                <w:bCs/>
                <w:color w:val="000000"/>
              </w:rPr>
            </w:pPr>
            <w:r>
              <w:rPr>
                <w:rFonts w:hint="eastAsia" w:ascii="宋体" w:hAnsi="宋体" w:cs="宋体"/>
                <w:b/>
                <w:bCs/>
                <w:color w:val="000000"/>
              </w:rPr>
              <w:t>盐渎路南侧九华山路东侧辅道</w:t>
            </w:r>
          </w:p>
        </w:tc>
        <w:tc>
          <w:tcPr>
            <w:tcW w:w="2080" w:type="dxa"/>
            <w:tcBorders>
              <w:top w:val="nil"/>
              <w:left w:val="nil"/>
              <w:bottom w:val="single" w:color="auto" w:sz="4" w:space="0"/>
              <w:right w:val="single" w:color="auto" w:sz="4" w:space="0"/>
            </w:tcBorders>
            <w:noWrap/>
            <w:vAlign w:val="bottom"/>
          </w:tcPr>
          <w:p w14:paraId="4A1CCB40">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4DAE3329">
            <w:pPr>
              <w:widowControl/>
              <w:jc w:val="center"/>
              <w:rPr>
                <w:rFonts w:hint="eastAsia" w:ascii="宋体" w:hAnsi="宋体" w:cs="宋体"/>
                <w:color w:val="000000"/>
              </w:rPr>
            </w:pPr>
            <w:r>
              <w:rPr>
                <w:rFonts w:hint="eastAsia" w:ascii="宋体" w:hAnsi="宋体" w:cs="宋体"/>
                <w:color w:val="000000"/>
              </w:rPr>
              <w:t>　</w:t>
            </w:r>
          </w:p>
        </w:tc>
      </w:tr>
      <w:tr w14:paraId="4F2E30D3">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6A893F73">
            <w:pPr>
              <w:widowControl/>
              <w:ind w:firstLine="482"/>
              <w:jc w:val="center"/>
              <w:rPr>
                <w:rFonts w:hint="eastAsia" w:ascii="宋体" w:hAnsi="宋体" w:cs="宋体"/>
                <w:b/>
                <w:bCs/>
                <w:color w:val="000000"/>
              </w:rPr>
            </w:pPr>
            <w:r>
              <w:rPr>
                <w:rFonts w:hint="eastAsia" w:ascii="宋体" w:hAnsi="宋体" w:cs="宋体"/>
                <w:b/>
                <w:bCs/>
                <w:color w:val="000000"/>
              </w:rPr>
              <w:t>84</w:t>
            </w:r>
          </w:p>
        </w:tc>
        <w:tc>
          <w:tcPr>
            <w:tcW w:w="4295" w:type="dxa"/>
            <w:tcBorders>
              <w:top w:val="nil"/>
              <w:left w:val="nil"/>
              <w:bottom w:val="single" w:color="auto" w:sz="4" w:space="0"/>
              <w:right w:val="single" w:color="auto" w:sz="4" w:space="0"/>
            </w:tcBorders>
            <w:noWrap/>
            <w:vAlign w:val="bottom"/>
          </w:tcPr>
          <w:p w14:paraId="2E53FC5D">
            <w:pPr>
              <w:widowControl/>
              <w:ind w:firstLine="482"/>
              <w:jc w:val="left"/>
              <w:rPr>
                <w:rFonts w:hint="eastAsia" w:ascii="宋体" w:hAnsi="宋体" w:cs="宋体"/>
                <w:b/>
                <w:bCs/>
                <w:color w:val="000000"/>
              </w:rPr>
            </w:pPr>
            <w:r>
              <w:rPr>
                <w:rFonts w:hint="eastAsia" w:ascii="宋体" w:hAnsi="宋体" w:cs="宋体"/>
                <w:b/>
                <w:bCs/>
                <w:color w:val="000000"/>
              </w:rPr>
              <w:t>盐渎路北侧九华山路东侧辅道</w:t>
            </w:r>
          </w:p>
        </w:tc>
        <w:tc>
          <w:tcPr>
            <w:tcW w:w="2080" w:type="dxa"/>
            <w:tcBorders>
              <w:top w:val="nil"/>
              <w:left w:val="nil"/>
              <w:bottom w:val="single" w:color="auto" w:sz="4" w:space="0"/>
              <w:right w:val="single" w:color="auto" w:sz="4" w:space="0"/>
            </w:tcBorders>
            <w:noWrap/>
            <w:vAlign w:val="bottom"/>
          </w:tcPr>
          <w:p w14:paraId="6705509A">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1F21576">
            <w:pPr>
              <w:widowControl/>
              <w:jc w:val="center"/>
              <w:rPr>
                <w:rFonts w:hint="eastAsia" w:ascii="宋体" w:hAnsi="宋体" w:cs="宋体"/>
                <w:color w:val="000000"/>
              </w:rPr>
            </w:pPr>
            <w:r>
              <w:rPr>
                <w:rFonts w:hint="eastAsia" w:ascii="宋体" w:hAnsi="宋体" w:cs="宋体"/>
                <w:color w:val="000000"/>
              </w:rPr>
              <w:t>　</w:t>
            </w:r>
          </w:p>
        </w:tc>
      </w:tr>
      <w:tr w14:paraId="3DB251AF">
        <w:tblPrEx>
          <w:tblCellMar>
            <w:top w:w="0" w:type="dxa"/>
            <w:left w:w="108" w:type="dxa"/>
            <w:bottom w:w="0" w:type="dxa"/>
            <w:right w:w="108" w:type="dxa"/>
          </w:tblCellMar>
        </w:tblPrEx>
        <w:trPr>
          <w:trHeight w:val="402" w:hRule="atLeast"/>
        </w:trPr>
        <w:tc>
          <w:tcPr>
            <w:tcW w:w="940" w:type="dxa"/>
            <w:tcBorders>
              <w:top w:val="nil"/>
              <w:left w:val="single" w:color="auto" w:sz="4" w:space="0"/>
              <w:bottom w:val="single" w:color="auto" w:sz="4" w:space="0"/>
              <w:right w:val="single" w:color="auto" w:sz="4" w:space="0"/>
            </w:tcBorders>
            <w:noWrap/>
            <w:vAlign w:val="center"/>
          </w:tcPr>
          <w:p w14:paraId="3A13EA24">
            <w:pPr>
              <w:widowControl/>
              <w:ind w:firstLine="482"/>
              <w:jc w:val="center"/>
              <w:rPr>
                <w:rFonts w:hint="eastAsia" w:ascii="宋体" w:hAnsi="宋体" w:cs="宋体"/>
                <w:b/>
                <w:bCs/>
                <w:color w:val="000000"/>
              </w:rPr>
            </w:pPr>
            <w:r>
              <w:rPr>
                <w:rFonts w:hint="eastAsia" w:ascii="宋体" w:hAnsi="宋体" w:cs="宋体"/>
                <w:b/>
                <w:bCs/>
                <w:color w:val="000000"/>
              </w:rPr>
              <w:t>85</w:t>
            </w:r>
          </w:p>
        </w:tc>
        <w:tc>
          <w:tcPr>
            <w:tcW w:w="4295" w:type="dxa"/>
            <w:tcBorders>
              <w:top w:val="nil"/>
              <w:left w:val="nil"/>
              <w:bottom w:val="single" w:color="auto" w:sz="4" w:space="0"/>
              <w:right w:val="single" w:color="auto" w:sz="4" w:space="0"/>
            </w:tcBorders>
            <w:noWrap/>
            <w:vAlign w:val="bottom"/>
          </w:tcPr>
          <w:p w14:paraId="290A389A">
            <w:pPr>
              <w:widowControl/>
              <w:ind w:firstLine="482"/>
              <w:jc w:val="left"/>
              <w:rPr>
                <w:rFonts w:hint="eastAsia" w:ascii="宋体" w:hAnsi="宋体" w:cs="宋体"/>
                <w:b/>
                <w:bCs/>
                <w:color w:val="000000"/>
              </w:rPr>
            </w:pPr>
            <w:r>
              <w:rPr>
                <w:rFonts w:hint="eastAsia" w:ascii="宋体" w:hAnsi="宋体" w:cs="宋体"/>
                <w:b/>
                <w:bCs/>
                <w:color w:val="000000"/>
              </w:rPr>
              <w:t>盐渎路北侧九华山路西侧辅道</w:t>
            </w:r>
          </w:p>
        </w:tc>
        <w:tc>
          <w:tcPr>
            <w:tcW w:w="2080" w:type="dxa"/>
            <w:tcBorders>
              <w:top w:val="nil"/>
              <w:left w:val="nil"/>
              <w:bottom w:val="single" w:color="auto" w:sz="4" w:space="0"/>
              <w:right w:val="single" w:color="auto" w:sz="4" w:space="0"/>
            </w:tcBorders>
            <w:noWrap/>
            <w:vAlign w:val="bottom"/>
          </w:tcPr>
          <w:p w14:paraId="082A3767">
            <w:pPr>
              <w:widowControl/>
              <w:jc w:val="center"/>
              <w:rPr>
                <w:rFonts w:hint="eastAsia" w:ascii="宋体" w:hAnsi="宋体" w:cs="宋体"/>
                <w:color w:val="000000"/>
              </w:rPr>
            </w:pPr>
            <w:r>
              <w:rPr>
                <w:rFonts w:hint="eastAsia" w:ascii="宋体" w:hAnsi="宋体" w:cs="宋体"/>
                <w:color w:val="000000"/>
              </w:rPr>
              <w:t>1</w:t>
            </w:r>
          </w:p>
        </w:tc>
        <w:tc>
          <w:tcPr>
            <w:tcW w:w="1606" w:type="dxa"/>
            <w:tcBorders>
              <w:top w:val="nil"/>
              <w:left w:val="nil"/>
              <w:bottom w:val="single" w:color="auto" w:sz="4" w:space="0"/>
              <w:right w:val="single" w:color="auto" w:sz="4" w:space="0"/>
            </w:tcBorders>
            <w:noWrap/>
            <w:vAlign w:val="bottom"/>
          </w:tcPr>
          <w:p w14:paraId="569C1A85">
            <w:pPr>
              <w:widowControl/>
              <w:jc w:val="center"/>
              <w:rPr>
                <w:rFonts w:hint="eastAsia" w:ascii="宋体" w:hAnsi="宋体" w:cs="宋体"/>
                <w:color w:val="000000"/>
              </w:rPr>
            </w:pPr>
            <w:r>
              <w:rPr>
                <w:rFonts w:hint="eastAsia" w:ascii="宋体" w:hAnsi="宋体" w:cs="宋体"/>
                <w:color w:val="000000"/>
              </w:rPr>
              <w:t>　</w:t>
            </w:r>
          </w:p>
        </w:tc>
      </w:tr>
      <w:tr w14:paraId="6E86EB16">
        <w:tblPrEx>
          <w:tblCellMar>
            <w:top w:w="0" w:type="dxa"/>
            <w:left w:w="108" w:type="dxa"/>
            <w:bottom w:w="0" w:type="dxa"/>
            <w:right w:w="108" w:type="dxa"/>
          </w:tblCellMar>
        </w:tblPrEx>
        <w:trPr>
          <w:trHeight w:val="402" w:hRule="atLeast"/>
        </w:trPr>
        <w:tc>
          <w:tcPr>
            <w:tcW w:w="5235" w:type="dxa"/>
            <w:gridSpan w:val="2"/>
            <w:tcBorders>
              <w:top w:val="single" w:color="auto" w:sz="4" w:space="0"/>
              <w:left w:val="single" w:color="auto" w:sz="4" w:space="0"/>
              <w:bottom w:val="single" w:color="auto" w:sz="4" w:space="0"/>
              <w:right w:val="single" w:color="000000" w:sz="4" w:space="0"/>
            </w:tcBorders>
            <w:noWrap/>
            <w:vAlign w:val="bottom"/>
          </w:tcPr>
          <w:p w14:paraId="7CF47997">
            <w:pPr>
              <w:widowControl/>
              <w:ind w:firstLine="482"/>
              <w:jc w:val="center"/>
              <w:rPr>
                <w:rFonts w:hint="eastAsia" w:ascii="宋体" w:hAnsi="宋体" w:cs="宋体"/>
                <w:b/>
                <w:bCs/>
                <w:color w:val="000000"/>
              </w:rPr>
            </w:pPr>
            <w:r>
              <w:rPr>
                <w:rFonts w:hint="eastAsia" w:ascii="宋体" w:hAnsi="宋体" w:cs="宋体"/>
                <w:b/>
                <w:bCs/>
                <w:color w:val="000000"/>
              </w:rPr>
              <w:t>合计</w:t>
            </w:r>
          </w:p>
        </w:tc>
        <w:tc>
          <w:tcPr>
            <w:tcW w:w="2080" w:type="dxa"/>
            <w:tcBorders>
              <w:top w:val="nil"/>
              <w:left w:val="nil"/>
              <w:bottom w:val="single" w:color="auto" w:sz="4" w:space="0"/>
              <w:right w:val="single" w:color="auto" w:sz="4" w:space="0"/>
            </w:tcBorders>
            <w:noWrap/>
            <w:vAlign w:val="bottom"/>
          </w:tcPr>
          <w:p w14:paraId="49E99FF3">
            <w:pPr>
              <w:widowControl/>
              <w:ind w:firstLine="482"/>
              <w:jc w:val="center"/>
              <w:rPr>
                <w:rFonts w:hint="eastAsia" w:ascii="宋体" w:hAnsi="宋体" w:cs="宋体"/>
                <w:b/>
                <w:bCs/>
                <w:color w:val="000000"/>
              </w:rPr>
            </w:pPr>
            <w:r>
              <w:rPr>
                <w:rFonts w:hint="eastAsia" w:ascii="宋体" w:hAnsi="宋体" w:cs="宋体"/>
                <w:b/>
                <w:bCs/>
                <w:color w:val="000000"/>
              </w:rPr>
              <w:t>103</w:t>
            </w:r>
          </w:p>
        </w:tc>
        <w:tc>
          <w:tcPr>
            <w:tcW w:w="1606" w:type="dxa"/>
            <w:tcBorders>
              <w:top w:val="nil"/>
              <w:left w:val="nil"/>
              <w:bottom w:val="single" w:color="auto" w:sz="4" w:space="0"/>
              <w:right w:val="single" w:color="auto" w:sz="4" w:space="0"/>
            </w:tcBorders>
            <w:noWrap/>
            <w:vAlign w:val="bottom"/>
          </w:tcPr>
          <w:p w14:paraId="22A9FE21">
            <w:pPr>
              <w:widowControl/>
              <w:ind w:firstLine="482"/>
              <w:jc w:val="center"/>
              <w:rPr>
                <w:rFonts w:hint="eastAsia" w:ascii="宋体" w:hAnsi="宋体" w:cs="宋体"/>
                <w:b/>
                <w:bCs/>
                <w:color w:val="000000"/>
              </w:rPr>
            </w:pPr>
            <w:r>
              <w:rPr>
                <w:rFonts w:hint="eastAsia" w:ascii="宋体" w:hAnsi="宋体" w:cs="宋体"/>
                <w:b/>
                <w:bCs/>
                <w:color w:val="000000"/>
              </w:rPr>
              <w:t>57</w:t>
            </w:r>
          </w:p>
        </w:tc>
      </w:tr>
    </w:tbl>
    <w:p w14:paraId="1C292136">
      <w:pPr>
        <w:ind w:firstLine="0" w:firstLineChars="0"/>
        <w:rPr>
          <w:szCs w:val="24"/>
        </w:rPr>
      </w:pPr>
    </w:p>
    <w:p w14:paraId="3C2CB00B">
      <w:pPr>
        <w:rPr>
          <w:szCs w:val="24"/>
        </w:rPr>
      </w:pPr>
      <w:r>
        <w:rPr>
          <w:rFonts w:hint="eastAsia"/>
          <w:szCs w:val="24"/>
        </w:rPr>
        <w:t>点位分布</w:t>
      </w:r>
      <w:r>
        <w:rPr>
          <w:szCs w:val="24"/>
        </w:rPr>
        <w:t>—</w:t>
      </w:r>
      <w:r>
        <w:rPr>
          <w:rFonts w:hint="eastAsia"/>
          <w:szCs w:val="24"/>
        </w:rPr>
        <w:t>县区交界</w:t>
      </w:r>
    </w:p>
    <w:p w14:paraId="320B7ABE">
      <w:pPr>
        <w:ind w:firstLine="0" w:firstLineChars="0"/>
        <w:jc w:val="center"/>
        <w:rPr>
          <w:szCs w:val="24"/>
        </w:rPr>
      </w:pPr>
      <w:r>
        <w:rPr>
          <w:szCs w:val="24"/>
        </w:rPr>
        <w:drawing>
          <wp:inline distT="0" distB="0" distL="0" distR="0">
            <wp:extent cx="5038725" cy="3027680"/>
            <wp:effectExtent l="0" t="0" r="0" b="127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8995" cy="3046372"/>
                    </a:xfrm>
                    <a:prstGeom prst="rect">
                      <a:avLst/>
                    </a:prstGeom>
                  </pic:spPr>
                </pic:pic>
              </a:graphicData>
            </a:graphic>
          </wp:inline>
        </w:drawing>
      </w:r>
    </w:p>
    <w:p w14:paraId="6E1E0DFF">
      <w:pPr>
        <w:rPr>
          <w:szCs w:val="24"/>
        </w:rPr>
      </w:pPr>
    </w:p>
    <w:bookmarkEnd w:id="30"/>
    <w:p w14:paraId="2DF5ED3C">
      <w:pPr>
        <w:pStyle w:val="4"/>
        <w:ind w:left="226"/>
      </w:pPr>
      <w:bookmarkStart w:id="39" w:name="_Toc166686082"/>
      <w:bookmarkStart w:id="40" w:name="_Toc78880508"/>
      <w:r>
        <w:t>前端配套</w:t>
      </w:r>
      <w:bookmarkEnd w:id="39"/>
      <w:bookmarkEnd w:id="40"/>
    </w:p>
    <w:p w14:paraId="4E9AE432">
      <w:pPr>
        <w:pStyle w:val="97"/>
        <w:spacing w:line="300" w:lineRule="auto"/>
        <w:ind w:firstLine="442"/>
        <w:rPr>
          <w:rFonts w:hint="eastAsia"/>
          <w:b/>
        </w:rPr>
      </w:pPr>
      <w:r>
        <w:rPr>
          <w:rFonts w:hint="eastAsia"/>
          <w:b/>
        </w:rPr>
        <w:t>1、</w:t>
      </w:r>
      <w:r>
        <w:rPr>
          <w:b/>
        </w:rPr>
        <w:t>监控杆件</w:t>
      </w:r>
    </w:p>
    <w:p w14:paraId="2731445B">
      <w:pPr>
        <w:pStyle w:val="14"/>
        <w:wordWrap w:val="0"/>
        <w:topLinePunct/>
        <w:autoSpaceDE/>
        <w:autoSpaceDN/>
        <w:spacing w:line="300" w:lineRule="auto"/>
        <w:ind w:right="-6" w:firstLine="480" w:firstLineChars="200"/>
        <w:contextualSpacing/>
        <w:jc w:val="both"/>
        <w:rPr>
          <w:rFonts w:ascii="Times New Roman" w:cs="Times New Roman"/>
        </w:rPr>
      </w:pPr>
      <w:r>
        <w:rPr>
          <w:rFonts w:ascii="Times New Roman" w:cs="Times New Roman"/>
        </w:rPr>
        <w:t>根据监控点现场实际情况，可采用立杆安装、抱箍安装、壁挂安装以及吊杆安装等方式。其中抱箍、壁挂支架以及吊杆支架有成套产品，根据现场选择符合要求的产品即可。监控立杆设计需要考虑整体杆件的设计、立杆材质、杆型、焊接工艺、表面处理以及杆体颜色等。</w:t>
      </w:r>
    </w:p>
    <w:p w14:paraId="28182A02">
      <w:pPr>
        <w:pStyle w:val="14"/>
        <w:wordWrap w:val="0"/>
        <w:topLinePunct/>
        <w:autoSpaceDE/>
        <w:autoSpaceDN/>
        <w:spacing w:line="300" w:lineRule="auto"/>
        <w:ind w:right="-6" w:firstLine="480" w:firstLineChars="200"/>
        <w:contextualSpacing/>
        <w:jc w:val="both"/>
        <w:rPr>
          <w:rFonts w:ascii="Times New Roman" w:cs="Times New Roman"/>
        </w:rPr>
      </w:pPr>
      <w:r>
        <w:rPr>
          <w:rFonts w:ascii="Times New Roman" w:cs="Times New Roman"/>
        </w:rPr>
        <w:t>本次建设采用的杆件</w:t>
      </w:r>
      <w:r>
        <w:rPr>
          <w:rFonts w:hint="eastAsia" w:ascii="Times New Roman" w:cs="Times New Roman"/>
        </w:rPr>
        <w:t>主要为</w:t>
      </w:r>
      <w:r>
        <w:rPr>
          <w:rFonts w:ascii="Times New Roman" w:cs="Times New Roman"/>
        </w:rPr>
        <w:t>L型</w:t>
      </w:r>
      <w:r>
        <w:rPr>
          <w:rFonts w:hint="eastAsia" w:ascii="Times New Roman" w:cs="Times New Roman"/>
        </w:rPr>
        <w:t>、F型</w:t>
      </w:r>
      <w:r>
        <w:rPr>
          <w:rFonts w:ascii="Times New Roman" w:cs="Times New Roman"/>
        </w:rPr>
        <w:t>监控立杆，</w:t>
      </w:r>
      <w:r>
        <w:rPr>
          <w:rFonts w:hint="eastAsia" w:ascii="Times New Roman" w:cs="Times New Roman"/>
        </w:rPr>
        <w:t>主要采用</w:t>
      </w:r>
      <w:r>
        <w:rPr>
          <w:rFonts w:ascii="Times New Roman" w:cs="Times New Roman"/>
        </w:rPr>
        <w:t>3</w:t>
      </w:r>
      <w:r>
        <w:rPr>
          <w:rFonts w:hint="eastAsia" w:ascii="Times New Roman" w:cs="Times New Roman"/>
        </w:rPr>
        <w:t>.5、6</w:t>
      </w:r>
      <w:r>
        <w:rPr>
          <w:rFonts w:ascii="Times New Roman" w:cs="Times New Roman"/>
        </w:rPr>
        <w:t>.5</w:t>
      </w:r>
      <w:r>
        <w:rPr>
          <w:rFonts w:hint="eastAsia" w:ascii="Times New Roman" w:cs="Times New Roman"/>
        </w:rPr>
        <w:t>两种规格，支架为壁装支架和吊装支架</w:t>
      </w:r>
      <w:r>
        <w:rPr>
          <w:rFonts w:ascii="Times New Roman" w:cs="Times New Roman"/>
        </w:rPr>
        <w:t>。根据实际</w:t>
      </w:r>
      <w:r>
        <w:rPr>
          <w:rFonts w:hint="eastAsia" w:ascii="Times New Roman" w:cs="Times New Roman"/>
        </w:rPr>
        <w:t>场景</w:t>
      </w:r>
      <w:r>
        <w:rPr>
          <w:rFonts w:ascii="Times New Roman" w:cs="Times New Roman"/>
        </w:rPr>
        <w:t>情况及监控设备的布置建设不同的杆件</w:t>
      </w:r>
      <w:r>
        <w:rPr>
          <w:rFonts w:hint="eastAsia" w:ascii="Times New Roman" w:cs="Times New Roman"/>
        </w:rPr>
        <w:t>或支架</w:t>
      </w:r>
      <w:r>
        <w:rPr>
          <w:rFonts w:ascii="Times New Roman" w:cs="Times New Roman"/>
        </w:rPr>
        <w:t>。</w:t>
      </w:r>
    </w:p>
    <w:p w14:paraId="42104520">
      <w:pPr>
        <w:pStyle w:val="14"/>
        <w:wordWrap w:val="0"/>
        <w:topLinePunct/>
        <w:autoSpaceDE/>
        <w:autoSpaceDN/>
        <w:spacing w:line="300" w:lineRule="auto"/>
        <w:ind w:right="-6" w:firstLine="480" w:firstLineChars="200"/>
        <w:contextualSpacing/>
        <w:jc w:val="both"/>
        <w:rPr>
          <w:rFonts w:ascii="Times New Roman" w:cs="Times New Roman"/>
        </w:rPr>
      </w:pPr>
      <w:r>
        <w:rPr>
          <w:rFonts w:ascii="Times New Roman" w:cs="Times New Roman"/>
        </w:rPr>
        <w:t>采用立杆固定时，杆底端焊接固定法兰盘，预留拉线孔，地基应是硬质，同时根据现场安装点地质的实际情况，调整相应的尺寸。立杆的安装应牢固，不得歪斜，需用水平仪来测定；制作要美观，其顶部应做防水帽。立杆应有较高强度，抗台风、防摄像机抖动、防攀爬、防腐。立杆基础规格按不同的杆体进行</w:t>
      </w:r>
      <w:r>
        <w:rPr>
          <w:rFonts w:hint="eastAsia" w:ascii="Times New Roman" w:cs="Times New Roman"/>
        </w:rPr>
        <w:t>配置</w:t>
      </w:r>
      <w:r>
        <w:rPr>
          <w:rFonts w:ascii="Times New Roman" w:cs="Times New Roman"/>
        </w:rPr>
        <w:t>。</w:t>
      </w:r>
    </w:p>
    <w:p w14:paraId="6AFF0D6F">
      <w:pPr>
        <w:pStyle w:val="97"/>
        <w:spacing w:line="300" w:lineRule="auto"/>
        <w:ind w:firstLine="442"/>
        <w:rPr>
          <w:rFonts w:hint="eastAsia"/>
          <w:b/>
        </w:rPr>
      </w:pPr>
      <w:r>
        <w:rPr>
          <w:rFonts w:hint="eastAsia"/>
          <w:b/>
        </w:rPr>
        <w:t>2、</w:t>
      </w:r>
      <w:r>
        <w:rPr>
          <w:b/>
        </w:rPr>
        <w:t>防雷接地</w:t>
      </w:r>
    </w:p>
    <w:p w14:paraId="55B35E86">
      <w:pPr>
        <w:pStyle w:val="14"/>
        <w:wordWrap w:val="0"/>
        <w:topLinePunct/>
        <w:autoSpaceDE/>
        <w:autoSpaceDN/>
        <w:spacing w:line="300" w:lineRule="auto"/>
        <w:ind w:right="-6" w:firstLine="480" w:firstLineChars="200"/>
        <w:contextualSpacing/>
        <w:jc w:val="both"/>
        <w:rPr>
          <w:rFonts w:ascii="Times New Roman" w:cs="Times New Roman"/>
        </w:rPr>
      </w:pPr>
      <w:r>
        <w:rPr>
          <w:rFonts w:ascii="Times New Roman" w:cs="Times New Roman"/>
        </w:rPr>
        <w:t>为保护摄像机不受到直接雷击而在立杆上设计安装避雷针，避雷针采用不小于φ25㎜的圆钢，并和立杆一次成型。在设备箱内对电源、信号线安装相应的防感应雷措施，采用二合一防雷模块。</w:t>
      </w:r>
    </w:p>
    <w:p w14:paraId="5D3E169E">
      <w:pPr>
        <w:pStyle w:val="14"/>
        <w:wordWrap w:val="0"/>
        <w:topLinePunct/>
        <w:autoSpaceDE/>
        <w:autoSpaceDN/>
        <w:spacing w:line="300" w:lineRule="auto"/>
        <w:ind w:right="-6" w:firstLine="480" w:firstLineChars="200"/>
        <w:contextualSpacing/>
        <w:jc w:val="both"/>
        <w:rPr>
          <w:rFonts w:ascii="Times New Roman" w:cs="Times New Roman"/>
        </w:rPr>
      </w:pPr>
      <w:r>
        <w:rPr>
          <w:rFonts w:ascii="Times New Roman" w:cs="Times New Roman"/>
        </w:rPr>
        <w:t>本方案严格执行国家的有关标准和规范，立杆防雷接地电阻</w:t>
      </w:r>
      <w:r>
        <w:rPr>
          <w:rFonts w:hint="eastAsia" w:hAnsi="宋体"/>
        </w:rPr>
        <w:t>≦</w:t>
      </w:r>
      <w:r>
        <w:rPr>
          <w:rFonts w:ascii="Times New Roman" w:cs="Times New Roman"/>
        </w:rPr>
        <w:t>4Ω。</w:t>
      </w:r>
    </w:p>
    <w:p w14:paraId="31F6805E">
      <w:pPr>
        <w:pStyle w:val="14"/>
        <w:wordWrap w:val="0"/>
        <w:topLinePunct/>
        <w:autoSpaceDE/>
        <w:autoSpaceDN/>
        <w:spacing w:line="300" w:lineRule="auto"/>
        <w:ind w:right="-6" w:firstLine="480" w:firstLineChars="200"/>
        <w:contextualSpacing/>
        <w:jc w:val="both"/>
        <w:rPr>
          <w:rFonts w:ascii="Times New Roman" w:cs="Times New Roman"/>
        </w:rPr>
      </w:pPr>
      <w:r>
        <w:rPr>
          <w:rFonts w:ascii="Times New Roman" w:cs="Times New Roman"/>
        </w:rPr>
        <w:t>接地网布置依据地形进行设计。立杆的基础由钢筋网加混凝土构成，首先用四根Ф50毫米的钢管或50×50×5mm的角钢作为接地极，同时用镀锌扁钢把四根接地极焊接形成接地网的一部分，再把接地网与法兰盘进行焊接，钢管或角钢需经过热镀锌工艺处理，以增加抗腐性能和提高其导电性能。当土壤电阻率太高而不能满足要求时，采用垂直接地极＋减阻剂的方法使地网接地电阻符合要求。</w:t>
      </w:r>
    </w:p>
    <w:p w14:paraId="58A76F3D">
      <w:pPr>
        <w:pStyle w:val="97"/>
        <w:spacing w:line="300" w:lineRule="auto"/>
        <w:ind w:firstLine="442"/>
        <w:rPr>
          <w:rFonts w:hint="eastAsia"/>
          <w:b/>
        </w:rPr>
      </w:pPr>
      <w:r>
        <w:rPr>
          <w:b/>
        </w:rPr>
        <w:t>3</w:t>
      </w:r>
      <w:r>
        <w:rPr>
          <w:rFonts w:hint="eastAsia"/>
          <w:b/>
        </w:rPr>
        <w:t>、</w:t>
      </w:r>
      <w:r>
        <w:rPr>
          <w:b/>
        </w:rPr>
        <w:t>前端供电</w:t>
      </w:r>
    </w:p>
    <w:p w14:paraId="2A634FE0">
      <w:r>
        <w:t>系统前端设备视工程实际情况，</w:t>
      </w:r>
      <w:r>
        <w:rPr>
          <w:rFonts w:hint="eastAsia"/>
        </w:rPr>
        <w:t>通过就近原有监控、路灯、商铺、保安室等取电。</w:t>
      </w:r>
      <w:r>
        <w:t>可采用集中</w:t>
      </w:r>
      <w:r>
        <w:rPr>
          <w:rFonts w:hint="eastAsia"/>
        </w:rPr>
        <w:t>式</w:t>
      </w:r>
      <w:r>
        <w:t>供电或</w:t>
      </w:r>
      <w:r>
        <w:rPr>
          <w:rFonts w:hint="eastAsia"/>
        </w:rPr>
        <w:t>离散</w:t>
      </w:r>
      <w:r>
        <w:t>式供电，重要点位应配备相应的备用电源装置。</w:t>
      </w:r>
    </w:p>
    <w:p w14:paraId="3EFC209D">
      <w:pPr>
        <w:pStyle w:val="97"/>
        <w:spacing w:line="300" w:lineRule="auto"/>
        <w:ind w:firstLine="442"/>
        <w:rPr>
          <w:rFonts w:hint="eastAsia"/>
          <w:b/>
        </w:rPr>
      </w:pPr>
      <w:r>
        <w:rPr>
          <w:b/>
        </w:rPr>
        <w:t>4</w:t>
      </w:r>
      <w:r>
        <w:rPr>
          <w:rFonts w:hint="eastAsia"/>
          <w:b/>
        </w:rPr>
        <w:t>、</w:t>
      </w:r>
      <w:r>
        <w:rPr>
          <w:b/>
        </w:rPr>
        <w:t>普通设备箱</w:t>
      </w:r>
    </w:p>
    <w:p w14:paraId="697BF183">
      <w:pPr>
        <w:pStyle w:val="14"/>
        <w:kinsoku w:val="0"/>
        <w:overflowPunct w:val="0"/>
        <w:spacing w:line="300" w:lineRule="auto"/>
        <w:ind w:right="-7" w:firstLine="480" w:firstLineChars="200"/>
        <w:contextualSpacing/>
        <w:jc w:val="both"/>
        <w:rPr>
          <w:rFonts w:ascii="Times New Roman" w:cs="Times New Roman"/>
        </w:rPr>
      </w:pPr>
      <w:r>
        <w:rPr>
          <w:rFonts w:ascii="Times New Roman" w:cs="Times New Roman"/>
        </w:rPr>
        <w:t>箱体内部应提供电源配电模块、防雷模块、绕纤盘、接地铜排、散热风扇，预留网络传输设备放置空间。箱体内各模块逻辑连接图如下图所示，根据各监控点位摄像机数量和其他接入设备要求，配置二合一防雷模块、防雷插座以及其他配套模块。</w:t>
      </w:r>
    </w:p>
    <w:p w14:paraId="52ED1D8F">
      <w:pPr>
        <w:pStyle w:val="14"/>
        <w:kinsoku w:val="0"/>
        <w:overflowPunct w:val="0"/>
        <w:spacing w:line="300" w:lineRule="auto"/>
        <w:ind w:right="-7"/>
        <w:contextualSpacing/>
        <w:jc w:val="center"/>
        <w:rPr>
          <w:rFonts w:ascii="Times New Roman" w:cs="Times New Roman"/>
        </w:rPr>
      </w:pPr>
      <w:r>
        <w:drawing>
          <wp:inline distT="0" distB="0" distL="0" distR="0">
            <wp:extent cx="4686300" cy="28689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701361" cy="2878150"/>
                    </a:xfrm>
                    <a:prstGeom prst="rect">
                      <a:avLst/>
                    </a:prstGeom>
                  </pic:spPr>
                </pic:pic>
              </a:graphicData>
            </a:graphic>
          </wp:inline>
        </w:drawing>
      </w:r>
    </w:p>
    <w:p w14:paraId="6D93D129">
      <w:pPr>
        <w:pStyle w:val="12"/>
        <w:ind w:firstLine="0" w:firstLineChars="0"/>
        <w:jc w:val="center"/>
        <w:rPr>
          <w:rFonts w:ascii="Times New Roman" w:hAnsi="Times New Roman"/>
          <w:sz w:val="21"/>
          <w:szCs w:val="21"/>
        </w:rPr>
      </w:pPr>
      <w:r>
        <w:rPr>
          <w:rFonts w:ascii="Times New Roman" w:hAnsi="Times New Roman"/>
          <w:sz w:val="21"/>
          <w:szCs w:val="21"/>
        </w:rPr>
        <w:t xml:space="preserve">图 </w:t>
      </w:r>
      <w:r>
        <w:rPr>
          <w:rFonts w:ascii="Times New Roman" w:hAnsi="Times New Roman"/>
          <w:sz w:val="21"/>
          <w:szCs w:val="21"/>
        </w:rPr>
        <w:fldChar w:fldCharType="begin"/>
      </w:r>
      <w:r>
        <w:rPr>
          <w:rFonts w:ascii="Times New Roman" w:hAnsi="Times New Roman"/>
          <w:sz w:val="21"/>
          <w:szCs w:val="21"/>
        </w:rPr>
        <w:instrText xml:space="preserve"> STYLEREF 2 \s </w:instrText>
      </w:r>
      <w:r>
        <w:rPr>
          <w:rFonts w:ascii="Times New Roman" w:hAnsi="Times New Roman"/>
          <w:sz w:val="21"/>
          <w:szCs w:val="21"/>
        </w:rPr>
        <w:fldChar w:fldCharType="separate"/>
      </w:r>
      <w:r>
        <w:rPr>
          <w:rFonts w:ascii="Times New Roman" w:hAnsi="Times New Roman"/>
          <w:sz w:val="21"/>
          <w:szCs w:val="21"/>
        </w:rPr>
        <w:t>4.2</w:t>
      </w:r>
      <w:r>
        <w:rPr>
          <w:rFonts w:ascii="Times New Roman" w:hAnsi="Times New Roman"/>
          <w:sz w:val="21"/>
          <w:szCs w:val="21"/>
        </w:rPr>
        <w:fldChar w:fldCharType="end"/>
      </w:r>
      <w:r>
        <w:rPr>
          <w:rFonts w:ascii="Times New Roman" w:hAnsi="Times New Roman"/>
          <w:sz w:val="21"/>
          <w:szCs w:val="21"/>
        </w:rPr>
        <w:noBreakHyphen/>
      </w:r>
      <w:r>
        <w:rPr>
          <w:rFonts w:ascii="Times New Roman" w:hAnsi="Times New Roman"/>
          <w:sz w:val="21"/>
          <w:szCs w:val="21"/>
        </w:rPr>
        <w:t>1监控点接线示意图</w:t>
      </w:r>
    </w:p>
    <w:p w14:paraId="5ACC0668">
      <w:pPr>
        <w:pStyle w:val="14"/>
        <w:kinsoku w:val="0"/>
        <w:overflowPunct w:val="0"/>
        <w:spacing w:line="300" w:lineRule="auto"/>
        <w:ind w:right="-7" w:firstLine="480" w:firstLineChars="200"/>
        <w:contextualSpacing/>
        <w:jc w:val="both"/>
        <w:rPr>
          <w:rFonts w:ascii="Times New Roman" w:cs="Times New Roman"/>
        </w:rPr>
      </w:pPr>
      <w:r>
        <w:rPr>
          <w:rFonts w:ascii="Times New Roman" w:cs="Times New Roman"/>
        </w:rPr>
        <w:t>通过分析其他配套设备的数量和尺寸后，保证箱体内部空间充足、方便设备安装和维护，同时抱杆设备箱应与杆体大小协调。</w:t>
      </w:r>
    </w:p>
    <w:p w14:paraId="601EAF01">
      <w:pPr>
        <w:pStyle w:val="14"/>
        <w:kinsoku w:val="0"/>
        <w:overflowPunct w:val="0"/>
        <w:spacing w:line="300" w:lineRule="auto"/>
        <w:ind w:right="-7" w:firstLine="480" w:firstLineChars="200"/>
        <w:contextualSpacing/>
        <w:jc w:val="both"/>
        <w:rPr>
          <w:rFonts w:ascii="Times New Roman" w:cs="Times New Roman"/>
        </w:rPr>
      </w:pPr>
      <w:r>
        <w:rPr>
          <w:rFonts w:ascii="Times New Roman" w:cs="Times New Roman"/>
        </w:rPr>
        <w:t>用于箱体的金属材料应具备抵抗腐蚀、电化学反应、防酸雨能力，监控箱结构为露天环境使用设计，应具有良好的防水、防尘、散热、防盗、防寒、防曝晒结构。</w:t>
      </w:r>
    </w:p>
    <w:p w14:paraId="142C906F">
      <w:pPr>
        <w:pStyle w:val="14"/>
        <w:kinsoku w:val="0"/>
        <w:overflowPunct w:val="0"/>
        <w:spacing w:line="300" w:lineRule="auto"/>
        <w:ind w:right="-7" w:firstLine="480" w:firstLineChars="200"/>
        <w:contextualSpacing/>
        <w:jc w:val="both"/>
        <w:rPr>
          <w:rFonts w:ascii="Times New Roman" w:cs="Times New Roman"/>
        </w:rPr>
      </w:pPr>
      <w:r>
        <w:rPr>
          <w:rFonts w:hint="eastAsia" w:ascii="Times New Roman" w:cs="Times New Roman"/>
        </w:rPr>
        <w:t>抱杆</w:t>
      </w:r>
      <w:r>
        <w:rPr>
          <w:rFonts w:ascii="Times New Roman" w:cs="Times New Roman"/>
        </w:rPr>
        <w:t>设备箱尺寸：</w:t>
      </w:r>
      <w:r>
        <w:rPr>
          <w:rFonts w:ascii="Times New Roman" w:cs="Times New Roman"/>
          <w:color w:val="000000" w:themeColor="text1"/>
          <w14:textFill>
            <w14:solidFill>
              <w14:schemeClr w14:val="tx1"/>
            </w14:solidFill>
          </w14:textFill>
        </w:rPr>
        <w:t>约400*3</w:t>
      </w:r>
      <w:r>
        <w:rPr>
          <w:rFonts w:hint="eastAsia" w:ascii="Times New Roman" w:cs="Times New Roman"/>
          <w:color w:val="000000" w:themeColor="text1"/>
          <w14:textFill>
            <w14:solidFill>
              <w14:schemeClr w14:val="tx1"/>
            </w14:solidFill>
          </w14:textFill>
        </w:rPr>
        <w:t>0</w:t>
      </w:r>
      <w:r>
        <w:rPr>
          <w:rFonts w:ascii="Times New Roman" w:cs="Times New Roman"/>
          <w:color w:val="000000" w:themeColor="text1"/>
          <w14:textFill>
            <w14:solidFill>
              <w14:schemeClr w14:val="tx1"/>
            </w14:solidFill>
          </w14:textFill>
        </w:rPr>
        <w:t>0*500mm</w:t>
      </w:r>
      <w:r>
        <w:rPr>
          <w:rFonts w:hint="eastAsia" w:ascii="Times New Roman" w:cs="Times New Roman"/>
          <w:color w:val="000000" w:themeColor="text1"/>
          <w14:textFill>
            <w14:solidFill>
              <w14:schemeClr w14:val="tx1"/>
            </w14:solidFill>
          </w14:textFill>
        </w:rPr>
        <w:t>；</w:t>
      </w:r>
    </w:p>
    <w:p w14:paraId="0CADA85A">
      <w:pPr>
        <w:pStyle w:val="14"/>
        <w:kinsoku w:val="0"/>
        <w:overflowPunct w:val="0"/>
        <w:spacing w:line="300" w:lineRule="auto"/>
        <w:ind w:right="-7" w:firstLine="480" w:firstLineChars="200"/>
        <w:contextualSpacing/>
        <w:jc w:val="both"/>
        <w:rPr>
          <w:rFonts w:ascii="Times New Roman" w:cs="Times New Roman"/>
        </w:rPr>
      </w:pPr>
      <w:r>
        <w:rPr>
          <w:rFonts w:ascii="Times New Roman" w:cs="Times New Roman"/>
        </w:rPr>
        <w:t>复合材料，防锈防腐蚀，箱体上注明</w:t>
      </w:r>
      <w:r>
        <w:rPr>
          <w:rFonts w:hint="eastAsia" w:ascii="Times New Roman" w:cs="Times New Roman"/>
        </w:rPr>
        <w:t>“建设</w:t>
      </w:r>
      <w:r>
        <w:rPr>
          <w:rFonts w:ascii="Times New Roman" w:cs="Times New Roman"/>
        </w:rPr>
        <w:t>单位名称</w:t>
      </w:r>
      <w:r>
        <w:rPr>
          <w:rFonts w:hint="eastAsia" w:ascii="Times New Roman" w:cs="Times New Roman"/>
        </w:rPr>
        <w:t>”</w:t>
      </w:r>
      <w:r>
        <w:rPr>
          <w:rFonts w:ascii="Times New Roman" w:cs="Times New Roman"/>
        </w:rPr>
        <w:t>等字体。配置包括箱体、接地铜排、五眼插座、铜排及端子排、空开、箱内连接线。</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7"/>
        <w:gridCol w:w="4649"/>
        <w:gridCol w:w="2901"/>
      </w:tblGrid>
      <w:tr w14:paraId="70C5F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935" w:type="pct"/>
            <w:vAlign w:val="center"/>
          </w:tcPr>
          <w:p w14:paraId="2667B033">
            <w:pPr>
              <w:widowControl/>
              <w:adjustRightInd/>
              <w:spacing w:line="240" w:lineRule="auto"/>
              <w:ind w:firstLine="0" w:firstLineChars="0"/>
              <w:jc w:val="center"/>
              <w:textAlignment w:val="auto"/>
              <w:rPr>
                <w:rFonts w:hint="eastAsia" w:ascii="宋体" w:hAnsi="宋体" w:cs="宋体"/>
                <w:b/>
                <w:color w:val="000000"/>
                <w:sz w:val="22"/>
                <w:szCs w:val="22"/>
              </w:rPr>
            </w:pPr>
            <w:r>
              <w:rPr>
                <w:rFonts w:hint="eastAsia" w:ascii="宋体" w:hAnsi="宋体" w:cs="宋体"/>
                <w:b/>
                <w:color w:val="000000"/>
                <w:sz w:val="22"/>
                <w:szCs w:val="22"/>
              </w:rPr>
              <w:t>序号</w:t>
            </w:r>
          </w:p>
        </w:tc>
        <w:tc>
          <w:tcPr>
            <w:tcW w:w="2503" w:type="pct"/>
            <w:vAlign w:val="center"/>
          </w:tcPr>
          <w:p w14:paraId="72DF6E10">
            <w:pPr>
              <w:widowControl/>
              <w:adjustRightInd/>
              <w:spacing w:line="240" w:lineRule="auto"/>
              <w:ind w:firstLine="0" w:firstLineChars="0"/>
              <w:jc w:val="center"/>
              <w:textAlignment w:val="auto"/>
              <w:rPr>
                <w:rFonts w:hint="eastAsia" w:ascii="宋体" w:hAnsi="宋体" w:cs="宋体"/>
                <w:b/>
                <w:color w:val="000000"/>
                <w:sz w:val="22"/>
                <w:szCs w:val="22"/>
              </w:rPr>
            </w:pPr>
            <w:r>
              <w:rPr>
                <w:rFonts w:hint="eastAsia" w:ascii="宋体" w:hAnsi="宋体" w:cs="宋体"/>
                <w:b/>
                <w:color w:val="000000"/>
                <w:sz w:val="22"/>
                <w:szCs w:val="22"/>
              </w:rPr>
              <w:t>杆件/链路/取电</w:t>
            </w:r>
          </w:p>
        </w:tc>
        <w:tc>
          <w:tcPr>
            <w:tcW w:w="1562" w:type="pct"/>
            <w:vAlign w:val="center"/>
          </w:tcPr>
          <w:p w14:paraId="008E5E57">
            <w:pPr>
              <w:widowControl/>
              <w:adjustRightInd/>
              <w:spacing w:line="240" w:lineRule="auto"/>
              <w:ind w:firstLine="0" w:firstLineChars="0"/>
              <w:jc w:val="center"/>
              <w:textAlignment w:val="auto"/>
              <w:rPr>
                <w:rFonts w:hint="eastAsia" w:ascii="宋体" w:hAnsi="宋体" w:cs="宋体"/>
                <w:b/>
                <w:color w:val="000000"/>
                <w:sz w:val="22"/>
                <w:szCs w:val="22"/>
              </w:rPr>
            </w:pPr>
            <w:r>
              <w:rPr>
                <w:rFonts w:hint="eastAsia" w:ascii="宋体" w:hAnsi="宋体" w:cs="宋体"/>
                <w:b/>
                <w:color w:val="000000"/>
                <w:sz w:val="22"/>
                <w:szCs w:val="22"/>
              </w:rPr>
              <w:t>设备数量</w:t>
            </w:r>
          </w:p>
        </w:tc>
      </w:tr>
      <w:tr w14:paraId="30A90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935" w:type="pct"/>
            <w:vAlign w:val="center"/>
          </w:tcPr>
          <w:p w14:paraId="450FB85B">
            <w:pPr>
              <w:widowControl/>
              <w:adjustRightInd/>
              <w:spacing w:line="240" w:lineRule="auto"/>
              <w:ind w:firstLine="0" w:firstLineChars="0"/>
              <w:jc w:val="center"/>
              <w:textAlignment w:val="auto"/>
              <w:rPr>
                <w:rFonts w:hint="eastAsia" w:ascii="宋体" w:hAnsi="宋体" w:cs="宋体"/>
                <w:color w:val="000000"/>
                <w:sz w:val="22"/>
                <w:szCs w:val="22"/>
              </w:rPr>
            </w:pPr>
            <w:r>
              <w:rPr>
                <w:rFonts w:ascii="宋体" w:hAnsi="宋体" w:cs="宋体"/>
                <w:color w:val="000000"/>
                <w:sz w:val="22"/>
                <w:szCs w:val="22"/>
              </w:rPr>
              <w:t>1</w:t>
            </w:r>
          </w:p>
        </w:tc>
        <w:tc>
          <w:tcPr>
            <w:tcW w:w="2503" w:type="pct"/>
            <w:vAlign w:val="center"/>
          </w:tcPr>
          <w:p w14:paraId="072045B1">
            <w:pPr>
              <w:widowControl/>
              <w:adjustRightInd/>
              <w:spacing w:line="240" w:lineRule="auto"/>
              <w:ind w:firstLine="0" w:firstLineChars="0"/>
              <w:jc w:val="center"/>
              <w:textAlignment w:val="auto"/>
              <w:rPr>
                <w:rFonts w:hint="eastAsia" w:ascii="宋体" w:hAnsi="宋体" w:cs="宋体"/>
                <w:color w:val="000000"/>
                <w:sz w:val="22"/>
                <w:szCs w:val="22"/>
              </w:rPr>
            </w:pPr>
            <w:r>
              <w:rPr>
                <w:rFonts w:hint="eastAsia" w:ascii="宋体" w:hAnsi="宋体" w:cs="宋体"/>
                <w:color w:val="000000"/>
                <w:sz w:val="22"/>
                <w:szCs w:val="22"/>
              </w:rPr>
              <w:t>3.5米</w:t>
            </w:r>
          </w:p>
        </w:tc>
        <w:tc>
          <w:tcPr>
            <w:tcW w:w="1562" w:type="pct"/>
            <w:vAlign w:val="center"/>
          </w:tcPr>
          <w:p w14:paraId="7C1E477A">
            <w:pPr>
              <w:widowControl/>
              <w:adjustRightInd/>
              <w:spacing w:line="240" w:lineRule="auto"/>
              <w:ind w:firstLine="0" w:firstLineChars="0"/>
              <w:jc w:val="center"/>
              <w:textAlignment w:val="auto"/>
              <w:rPr>
                <w:rFonts w:hint="eastAsia" w:ascii="宋体" w:hAnsi="宋体" w:cs="宋体"/>
                <w:color w:val="000000"/>
                <w:sz w:val="22"/>
                <w:szCs w:val="22"/>
              </w:rPr>
            </w:pPr>
            <w:r>
              <w:rPr>
                <w:rFonts w:hint="eastAsia" w:ascii="宋体" w:hAnsi="宋体" w:cs="宋体"/>
                <w:color w:val="000000"/>
                <w:sz w:val="22"/>
                <w:szCs w:val="22"/>
              </w:rPr>
              <w:t>19</w:t>
            </w:r>
          </w:p>
        </w:tc>
      </w:tr>
      <w:tr w14:paraId="73987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935" w:type="pct"/>
            <w:vAlign w:val="center"/>
          </w:tcPr>
          <w:p w14:paraId="6030FB14">
            <w:pPr>
              <w:widowControl/>
              <w:adjustRightInd/>
              <w:spacing w:line="240" w:lineRule="auto"/>
              <w:ind w:firstLine="0" w:firstLineChars="0"/>
              <w:jc w:val="center"/>
              <w:textAlignment w:val="auto"/>
              <w:rPr>
                <w:rFonts w:hint="eastAsia" w:ascii="宋体" w:hAnsi="宋体" w:cs="宋体"/>
                <w:color w:val="000000"/>
                <w:sz w:val="22"/>
                <w:szCs w:val="22"/>
              </w:rPr>
            </w:pPr>
            <w:r>
              <w:rPr>
                <w:rFonts w:ascii="宋体" w:hAnsi="宋体" w:cs="宋体"/>
                <w:color w:val="000000"/>
                <w:sz w:val="22"/>
                <w:szCs w:val="22"/>
              </w:rPr>
              <w:t>2</w:t>
            </w:r>
          </w:p>
        </w:tc>
        <w:tc>
          <w:tcPr>
            <w:tcW w:w="2503" w:type="pct"/>
            <w:vAlign w:val="center"/>
          </w:tcPr>
          <w:p w14:paraId="521D204E">
            <w:pPr>
              <w:widowControl/>
              <w:adjustRightInd/>
              <w:spacing w:line="240" w:lineRule="auto"/>
              <w:ind w:firstLine="0" w:firstLineChars="0"/>
              <w:jc w:val="center"/>
              <w:textAlignment w:val="auto"/>
              <w:rPr>
                <w:rFonts w:hint="eastAsia" w:ascii="宋体" w:hAnsi="宋体" w:cs="宋体"/>
                <w:color w:val="000000"/>
                <w:sz w:val="22"/>
                <w:szCs w:val="22"/>
              </w:rPr>
            </w:pPr>
            <w:r>
              <w:rPr>
                <w:rFonts w:hint="eastAsia" w:ascii="宋体" w:hAnsi="宋体" w:cs="宋体"/>
                <w:color w:val="000000"/>
                <w:sz w:val="22"/>
                <w:szCs w:val="22"/>
              </w:rPr>
              <w:t>链路</w:t>
            </w:r>
          </w:p>
        </w:tc>
        <w:tc>
          <w:tcPr>
            <w:tcW w:w="1562" w:type="pct"/>
            <w:vAlign w:val="center"/>
          </w:tcPr>
          <w:p w14:paraId="426D3BB5">
            <w:pPr>
              <w:widowControl/>
              <w:adjustRightInd/>
              <w:spacing w:line="240" w:lineRule="auto"/>
              <w:ind w:firstLine="0" w:firstLineChars="0"/>
              <w:jc w:val="center"/>
              <w:textAlignment w:val="auto"/>
              <w:rPr>
                <w:rFonts w:hint="eastAsia" w:ascii="宋体" w:hAnsi="宋体" w:cs="宋体"/>
                <w:color w:val="000000"/>
                <w:sz w:val="22"/>
                <w:szCs w:val="22"/>
              </w:rPr>
            </w:pPr>
            <w:r>
              <w:rPr>
                <w:rFonts w:hint="eastAsia" w:ascii="宋体" w:hAnsi="宋体" w:cs="宋体"/>
                <w:color w:val="000000"/>
                <w:sz w:val="22"/>
                <w:szCs w:val="22"/>
              </w:rPr>
              <w:t>83</w:t>
            </w:r>
          </w:p>
        </w:tc>
      </w:tr>
      <w:tr w14:paraId="3ABA9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935" w:type="pct"/>
            <w:vAlign w:val="center"/>
          </w:tcPr>
          <w:p w14:paraId="3A9DAD9F">
            <w:pPr>
              <w:widowControl/>
              <w:adjustRightInd/>
              <w:spacing w:line="240" w:lineRule="auto"/>
              <w:ind w:firstLine="0" w:firstLineChars="0"/>
              <w:jc w:val="center"/>
              <w:textAlignment w:val="auto"/>
              <w:rPr>
                <w:rFonts w:hint="eastAsia" w:ascii="宋体" w:hAnsi="宋体" w:cs="宋体"/>
                <w:color w:val="000000"/>
                <w:sz w:val="22"/>
                <w:szCs w:val="22"/>
              </w:rPr>
            </w:pPr>
            <w:r>
              <w:rPr>
                <w:rFonts w:ascii="宋体" w:hAnsi="宋体" w:cs="宋体"/>
                <w:color w:val="000000"/>
                <w:sz w:val="22"/>
                <w:szCs w:val="22"/>
              </w:rPr>
              <w:t>3</w:t>
            </w:r>
          </w:p>
        </w:tc>
        <w:tc>
          <w:tcPr>
            <w:tcW w:w="2503" w:type="pct"/>
            <w:vAlign w:val="center"/>
          </w:tcPr>
          <w:p w14:paraId="4E1A8600">
            <w:pPr>
              <w:widowControl/>
              <w:adjustRightInd/>
              <w:spacing w:line="240" w:lineRule="auto"/>
              <w:ind w:firstLine="0" w:firstLineChars="0"/>
              <w:jc w:val="center"/>
              <w:textAlignment w:val="auto"/>
              <w:rPr>
                <w:rFonts w:hint="eastAsia" w:ascii="宋体" w:hAnsi="宋体" w:cs="宋体"/>
                <w:color w:val="000000"/>
                <w:sz w:val="22"/>
                <w:szCs w:val="22"/>
              </w:rPr>
            </w:pPr>
            <w:r>
              <w:rPr>
                <w:rFonts w:hint="eastAsia" w:ascii="宋体" w:hAnsi="宋体" w:cs="宋体"/>
                <w:color w:val="000000"/>
                <w:sz w:val="22"/>
                <w:szCs w:val="22"/>
              </w:rPr>
              <w:t>取电</w:t>
            </w:r>
          </w:p>
        </w:tc>
        <w:tc>
          <w:tcPr>
            <w:tcW w:w="1562" w:type="pct"/>
            <w:vAlign w:val="center"/>
          </w:tcPr>
          <w:p w14:paraId="6A9394A6">
            <w:pPr>
              <w:widowControl/>
              <w:adjustRightInd/>
              <w:spacing w:line="240" w:lineRule="auto"/>
              <w:ind w:firstLine="0" w:firstLineChars="0"/>
              <w:jc w:val="center"/>
              <w:textAlignment w:val="auto"/>
              <w:rPr>
                <w:rFonts w:hint="eastAsia" w:ascii="宋体" w:hAnsi="宋体" w:cs="宋体"/>
                <w:color w:val="000000"/>
                <w:sz w:val="22"/>
                <w:szCs w:val="22"/>
              </w:rPr>
            </w:pPr>
            <w:r>
              <w:rPr>
                <w:rFonts w:hint="eastAsia" w:ascii="宋体" w:hAnsi="宋体" w:cs="宋体"/>
                <w:color w:val="000000"/>
                <w:sz w:val="22"/>
                <w:szCs w:val="22"/>
              </w:rPr>
              <w:t>83</w:t>
            </w:r>
          </w:p>
        </w:tc>
      </w:tr>
    </w:tbl>
    <w:p w14:paraId="114DA07B">
      <w:r>
        <w:br w:type="page"/>
      </w:r>
    </w:p>
    <w:p w14:paraId="62A1DC6B">
      <w:pPr>
        <w:pStyle w:val="4"/>
        <w:ind w:firstLine="0"/>
      </w:pPr>
      <w:bookmarkStart w:id="41" w:name="_Toc78494319"/>
      <w:bookmarkStart w:id="42" w:name="_Toc78880510"/>
      <w:bookmarkStart w:id="43" w:name="_Toc77314213"/>
      <w:bookmarkStart w:id="44" w:name="_Toc166686083"/>
      <w:bookmarkStart w:id="45" w:name="_Toc73213468"/>
      <w:bookmarkStart w:id="46" w:name="_Toc74055346"/>
      <w:bookmarkStart w:id="47" w:name="_Toc72875921"/>
      <w:r>
        <w:rPr>
          <w:rFonts w:hint="eastAsia"/>
        </w:rPr>
        <w:t>建设施工要求</w:t>
      </w:r>
      <w:bookmarkEnd w:id="41"/>
      <w:bookmarkEnd w:id="42"/>
      <w:bookmarkEnd w:id="43"/>
      <w:bookmarkEnd w:id="44"/>
    </w:p>
    <w:p w14:paraId="7691CD35">
      <w:pPr>
        <w:snapToGrid w:val="0"/>
      </w:pPr>
      <w:r>
        <w:rPr>
          <w:rFonts w:hint="eastAsia"/>
        </w:rPr>
        <w:t>1、必须对每个点位经过实地勘查后，确定好施工方案，并经业主单位确认后，才可进行施工。</w:t>
      </w:r>
    </w:p>
    <w:p w14:paraId="527A7060">
      <w:pPr>
        <w:snapToGrid w:val="0"/>
      </w:pPr>
      <w:r>
        <w:rPr>
          <w:rFonts w:hint="eastAsia"/>
        </w:rPr>
        <w:t>2、离散式供电供网模式的各系统集成、网络、电路接入至就近的路口信号机箱，集中式供电供网模式的则统一接入到固定落地机柜内。</w:t>
      </w:r>
    </w:p>
    <w:p w14:paraId="3E35F21C">
      <w:pPr>
        <w:snapToGrid w:val="0"/>
      </w:pPr>
      <w:r>
        <w:rPr>
          <w:rFonts w:hint="eastAsia"/>
        </w:rPr>
        <w:t>3、横穿机动车道的地下管道埋设：敷设在机动车道上的管道采用镀锌钢管，管的公称口径为</w:t>
      </w:r>
      <w:r>
        <w:t>1</w:t>
      </w:r>
      <w:r>
        <w:rPr>
          <w:rFonts w:hint="eastAsia"/>
        </w:rPr>
        <w:t>00mm，管与管接头处应牢固连接，在进、出窨井端应使用防鼠护套，并用防火阻燃填充封闭。钢管进、出窨井端应烧制喇叭口并应去除毛刺，以便于线缆敷设。管道埋深应不小于 700mm。</w:t>
      </w:r>
    </w:p>
    <w:p w14:paraId="3695F0D7">
      <w:pPr>
        <w:snapToGrid w:val="0"/>
      </w:pPr>
      <w:r>
        <w:rPr>
          <w:rFonts w:hint="eastAsia"/>
        </w:rPr>
        <w:t>4、非机动车道、人行道或绿化带下的地下管道埋设：</w:t>
      </w:r>
      <w:r>
        <w:t>敷设在非机动车道、人行道或绿化带下的管道使用硬质塑料管或PE管，管的公称口径应不小于</w:t>
      </w:r>
      <w:r>
        <w:rPr>
          <w:rFonts w:hint="eastAsia"/>
        </w:rPr>
        <w:t>5</w:t>
      </w:r>
      <w:r>
        <w:t>0mm，管与管的接头处应牢固连接，在进、出窨井端应使用防鼠护套</w:t>
      </w:r>
      <w:r>
        <w:rPr>
          <w:rFonts w:hint="eastAsia"/>
        </w:rPr>
        <w:t>，</w:t>
      </w:r>
      <w:r>
        <w:t>并用防火阻燃填充物封闭。穿越非机动车道下的硬质塑料管或PE管周围应包有足够强度的混凝土防护层。管道的埋深应不小于 500mm。</w:t>
      </w:r>
    </w:p>
    <w:p w14:paraId="31454BB0">
      <w:pPr>
        <w:snapToGrid w:val="0"/>
      </w:pPr>
      <w:r>
        <w:rPr>
          <w:rFonts w:hint="eastAsia"/>
        </w:rPr>
        <w:t>5、沿墙管道埋设：线缆沿墙敷设应在线缆外部采用热镀锌钢管或硬质塑料管作为保护。保护套管应有效固定，固定间隔应小于3m。</w:t>
      </w:r>
    </w:p>
    <w:p w14:paraId="4A7561C6">
      <w:pPr>
        <w:snapToGrid w:val="0"/>
      </w:pPr>
      <w:r>
        <w:rPr>
          <w:rFonts w:hint="eastAsia"/>
        </w:rPr>
        <w:t>6、管道在引上处处理及路面恢复：管道在引上处的弯曲半径应不小于4倍的管道直径；管道铺设完成后应按原道路标准恢复路面。</w:t>
      </w:r>
    </w:p>
    <w:p w14:paraId="1434C3AC">
      <w:pPr>
        <w:snapToGrid w:val="0"/>
      </w:pPr>
      <w:r>
        <w:t>7、</w:t>
      </w:r>
      <w:r>
        <w:rPr>
          <w:rFonts w:hint="eastAsia"/>
        </w:rPr>
        <w:t>手井：</w:t>
      </w:r>
      <w:r>
        <w:t>管道拐弯处或长度超过 50m 时应设置手井。杆件附近2m范围内，设备机箱附近2m 范围内应设置手井。手井底部应设有渗水层。手井中管道到井底的距离不低于 20cm。井口应与地面持平</w:t>
      </w:r>
      <w:r>
        <w:rPr>
          <w:rFonts w:hint="eastAsia"/>
        </w:rPr>
        <w:t>，</w:t>
      </w:r>
      <w:r>
        <w:t>不应在临河、临沟处设井。窨井应设置有交通设施或公安专用标记的窨井盖</w:t>
      </w:r>
      <w:r>
        <w:rPr>
          <w:rFonts w:hint="eastAsia"/>
        </w:rPr>
        <w:t>，</w:t>
      </w:r>
      <w:r>
        <w:t>窨井盖材质采用复合材料。窨井管道口应用防火阻燃填充物封闭</w:t>
      </w:r>
      <w:r>
        <w:rPr>
          <w:rFonts w:hint="eastAsia"/>
        </w:rPr>
        <w:t>。</w:t>
      </w:r>
    </w:p>
    <w:p w14:paraId="47434FB0">
      <w:pPr>
        <w:snapToGrid w:val="0"/>
      </w:pPr>
      <w:r>
        <w:t>8、</w:t>
      </w:r>
      <w:r>
        <w:rPr>
          <w:rFonts w:hint="eastAsia"/>
        </w:rPr>
        <w:t>挂杆机箱：</w:t>
      </w:r>
      <w:r>
        <w:t>机箱应采用金属材料，外层镀锌喷塑，并具有防水、防尘、防锈、防雷、防暴晒、散热等功能。机箱内应具备各有一个三线和两线电源插座，以及具备过载、短路、漏电保护功能的开关。</w:t>
      </w:r>
      <w:r>
        <w:rPr>
          <w:rFonts w:hint="eastAsia"/>
        </w:rPr>
        <w:t>箱体内设备的摆放位置、安装方式、接线方式、线缆敷设方式等应进行设计。预留网络传输设备的空间；箱内应放置设备的系统图等相关技术文件；应标明箱体的防护等级，其防护等级应满足箱体内设备的需要；在熔断器和电源开关处应有警告标志；机箱安装应稳固，垂直度允许偏差为2‰，机箱底部距离地面应不小于2.5m。</w:t>
      </w:r>
    </w:p>
    <w:p w14:paraId="7C54E13C">
      <w:pPr>
        <w:snapToGrid w:val="0"/>
      </w:pPr>
      <w:r>
        <w:t>9</w:t>
      </w:r>
      <w:r>
        <w:rPr>
          <w:rFonts w:hint="eastAsia"/>
        </w:rPr>
        <w:t>、杆件吊装：杆件必须在基础达到设计强度并经验收合格后方可吊装；杆件吊装时应做好安全防护措施；安装时，支柱应处于正常工作位置，起吊点应位于支柱底部；支柱折倾方向应与道路平行，折倾范围内不得有障碍物；安装完成后，支柱专用接地螺栓应与保护地线做可靠电气连接，对裸露的螺栓进行包封处理，确保螺栓不裸露。</w:t>
      </w:r>
    </w:p>
    <w:p w14:paraId="5F51B3E1">
      <w:pPr>
        <w:snapToGrid w:val="0"/>
      </w:pPr>
      <w:r>
        <w:t>10、</w:t>
      </w:r>
      <w:r>
        <w:rPr>
          <w:rFonts w:hint="eastAsia"/>
        </w:rPr>
        <w:t>杆件基础要求：应采用钢筋混凝土基础；基础的浇注、混凝土强度等级必须符合 GB50204-2002 的要求。</w:t>
      </w:r>
    </w:p>
    <w:p w14:paraId="1CEE1443">
      <w:pPr>
        <w:snapToGrid w:val="0"/>
      </w:pPr>
      <w:r>
        <w:t>11、电缆线敷设要求：</w:t>
      </w:r>
      <w:r>
        <w:rPr>
          <w:rFonts w:hint="eastAsia"/>
        </w:rPr>
        <w:t>线缆的布放应自然平直，不得产生扭绞、打圈接头等现象，不应受到外力的挤压和损伤；同一根电缆线两端应贴有标签，应标明编号，标签书写应清晰、端正和正确。标签应选用不易损坏的材料。宜在窨井处加设线缆标签穿过管道的所有线缆截面积之和在设备机箱及杆件等末端处不应超过管道截面积的 90%，其他地方不应超过管道截面积的 60%；地下敷设的电缆线不得有接头，每根电缆线应留有 2m～4m 的余量，无法采用地下敷设电缆线方式时，可采用架空方式敷设；架空电缆线不得有接头。架空电缆应符合GB</w:t>
      </w:r>
      <w:r>
        <w:t>50168</w:t>
      </w:r>
      <w:r>
        <w:rPr>
          <w:rFonts w:hint="eastAsia"/>
        </w:rPr>
        <w:t>-</w:t>
      </w:r>
      <w:r>
        <w:t>2006的要求</w:t>
      </w:r>
      <w:r>
        <w:rPr>
          <w:rFonts w:hint="eastAsia"/>
        </w:rPr>
        <w:t>。架空电缆线跨度超过30m时应使用钢绞线将电缆线吊起。架空电缆线在杆件引下处2.5m以下应使用钢管穿线套管，钢管穿线套管的顶部应有半月型防水弯或安装防水出线管帽；桥梁上的电缆敷设应穿管敷设，符合GB</w:t>
      </w:r>
      <w:r>
        <w:t>50168</w:t>
      </w:r>
      <w:r>
        <w:rPr>
          <w:rFonts w:hint="eastAsia"/>
        </w:rPr>
        <w:t>-</w:t>
      </w:r>
      <w:r>
        <w:t>2006的规定</w:t>
      </w:r>
      <w:r>
        <w:rPr>
          <w:rFonts w:hint="eastAsia"/>
        </w:rPr>
        <w:t>。在桥梁上敷设时应事先征得桥梁管理部门的同意后方可施工。</w:t>
      </w:r>
    </w:p>
    <w:p w14:paraId="748C1F56">
      <w:pPr>
        <w:snapToGrid w:val="0"/>
      </w:pPr>
      <w:r>
        <w:t>12、接地要求：</w:t>
      </w:r>
      <w:r>
        <w:rPr>
          <w:rFonts w:hint="eastAsia"/>
        </w:rPr>
        <w:t>杆件应安装保护地线，保护地线可使用规格为40mm×4mm以上的镀锌扁钢制作，焊接到每个钢制杆件的法兰盘上。焊接处应作防腐处理。保护地线应与接地装置有效连接，接地电阻小于4Ω，接地体施工应符合 GB 50169-1992 的规定；设备机箱的专用接地铜排应与接地装置有效连接，接地电阻应小于4Ω。引入设备机箱的接地线应使用软铜绞线，其截面不得小于10mm</w:t>
      </w:r>
      <w:r>
        <w:rPr>
          <w:vertAlign w:val="superscript"/>
        </w:rPr>
        <w:t>2</w:t>
      </w:r>
      <w:r>
        <w:rPr>
          <w:rFonts w:hint="eastAsia"/>
        </w:rPr>
        <w:t>，应安装保护接地线，接地体施工应符合 GB 50169-1992 的规定。</w:t>
      </w:r>
    </w:p>
    <w:p w14:paraId="3E9B0DA5">
      <w:pPr>
        <w:snapToGrid w:val="0"/>
      </w:pPr>
      <w:r>
        <w:rPr>
          <w:rFonts w:hint="eastAsia"/>
        </w:rPr>
        <w:t>1</w:t>
      </w:r>
      <w:r>
        <w:t>3</w:t>
      </w:r>
      <w:r>
        <w:rPr>
          <w:rFonts w:hint="eastAsia"/>
        </w:rPr>
        <w:t>、防雷要求：杆件防雷的避雷针应安装牢固、可靠，垂直度与杆件垂直度一致，避雷针的引下线应与接地端可靠连接；机箱内的避雷器应安装位置正确，并牢固、可靠，且有安全标示。</w:t>
      </w:r>
    </w:p>
    <w:p w14:paraId="48411834">
      <w:pPr>
        <w:snapToGrid w:val="0"/>
      </w:pPr>
    </w:p>
    <w:p w14:paraId="704621C7">
      <w:pPr>
        <w:snapToGrid w:val="0"/>
      </w:pPr>
    </w:p>
    <w:p w14:paraId="1B555515">
      <w:pPr>
        <w:snapToGrid w:val="0"/>
      </w:pPr>
    </w:p>
    <w:p w14:paraId="43141A1E">
      <w:pPr>
        <w:snapToGrid w:val="0"/>
      </w:pPr>
    </w:p>
    <w:p w14:paraId="1E0DE0A9">
      <w:pPr>
        <w:snapToGrid w:val="0"/>
      </w:pPr>
    </w:p>
    <w:p w14:paraId="09ACF43D">
      <w:pPr>
        <w:snapToGrid w:val="0"/>
      </w:pPr>
    </w:p>
    <w:p w14:paraId="4C322E34">
      <w:pPr>
        <w:snapToGrid w:val="0"/>
      </w:pPr>
    </w:p>
    <w:p w14:paraId="2C739709">
      <w:pPr>
        <w:snapToGrid w:val="0"/>
      </w:pPr>
    </w:p>
    <w:p w14:paraId="7FC2DDA9">
      <w:pPr>
        <w:snapToGrid w:val="0"/>
      </w:pPr>
    </w:p>
    <w:p w14:paraId="6562A8FE">
      <w:pPr>
        <w:snapToGrid w:val="0"/>
      </w:pPr>
    </w:p>
    <w:p w14:paraId="2C9E4FC5">
      <w:pPr>
        <w:snapToGrid w:val="0"/>
      </w:pPr>
    </w:p>
    <w:p w14:paraId="34631DB6">
      <w:pPr>
        <w:snapToGrid w:val="0"/>
      </w:pPr>
    </w:p>
    <w:p w14:paraId="2FB8B280">
      <w:pPr>
        <w:snapToGrid w:val="0"/>
      </w:pPr>
    </w:p>
    <w:p w14:paraId="6EE38E66">
      <w:pPr>
        <w:snapToGrid w:val="0"/>
      </w:pPr>
    </w:p>
    <w:p w14:paraId="3FA4D6A9">
      <w:pPr>
        <w:snapToGrid w:val="0"/>
      </w:pPr>
    </w:p>
    <w:p w14:paraId="5753E115">
      <w:pPr>
        <w:pStyle w:val="4"/>
        <w:ind w:firstLine="0"/>
      </w:pPr>
      <w:bookmarkStart w:id="48" w:name="_Toc166686084"/>
      <w:r>
        <w:rPr>
          <w:rFonts w:hint="eastAsia"/>
        </w:rPr>
        <w:t>建设示例</w:t>
      </w:r>
      <w:bookmarkEnd w:id="48"/>
    </w:p>
    <w:p w14:paraId="039ABE1D">
      <w:pPr>
        <w:snapToGrid w:val="0"/>
        <w:ind w:firstLine="0" w:firstLineChars="0"/>
        <w:jc w:val="left"/>
      </w:pPr>
      <w:r>
        <w:t>A.</w:t>
      </w:r>
      <w:r>
        <w:rPr>
          <w:rFonts w:hint="eastAsia"/>
        </w:rPr>
        <w:t>现状评估</w:t>
      </w:r>
    </w:p>
    <w:p w14:paraId="627C13A8">
      <w:pPr>
        <w:snapToGrid w:val="0"/>
        <w:ind w:firstLine="0" w:firstLineChars="0"/>
        <w:jc w:val="left"/>
      </w:pPr>
      <w:r>
        <w:rPr>
          <w:rFonts w:hint="eastAsia"/>
        </w:rPr>
        <w:t>现有杆件搭载设备仅具备单向抓拍功能（车辆/行人/非机动车），</w:t>
      </w:r>
    </w:p>
    <w:p w14:paraId="4D0B0BEB">
      <w:pPr>
        <w:snapToGrid w:val="0"/>
        <w:ind w:firstLine="0" w:firstLineChars="0"/>
        <w:jc w:val="left"/>
      </w:pPr>
      <w:r>
        <w:rPr>
          <w:rFonts w:hint="eastAsia"/>
        </w:rPr>
        <w:t>未实要求的全要素（人脸/车牌/行为特征）结构化采集能力。</w:t>
      </w:r>
    </w:p>
    <w:p w14:paraId="3BD501D3">
      <w:pPr>
        <w:snapToGrid w:val="0"/>
        <w:ind w:firstLine="0" w:firstLineChars="0"/>
        <w:jc w:val="left"/>
      </w:pPr>
      <w:r>
        <w:rPr>
          <w:rFonts w:hint="eastAsia"/>
        </w:rPr>
        <w:t>设备升级方案</w:t>
      </w:r>
    </w:p>
    <w:p w14:paraId="75B3D21E">
      <w:pPr>
        <w:snapToGrid w:val="0"/>
        <w:ind w:firstLine="0" w:firstLineChars="0"/>
        <w:jc w:val="left"/>
      </w:pPr>
      <w:r>
        <w:rPr>
          <w:rFonts w:hint="eastAsia"/>
        </w:rPr>
        <w:t>利旧现有杆件及传输链路，按需增加新链路</w:t>
      </w:r>
    </w:p>
    <w:p w14:paraId="0E90BA45">
      <w:pPr>
        <w:snapToGrid w:val="0"/>
        <w:ind w:firstLine="0" w:firstLineChars="0"/>
        <w:jc w:val="left"/>
      </w:pPr>
      <w:r>
        <w:rPr>
          <w:rFonts w:hint="eastAsia"/>
        </w:rPr>
        <w:t>新增对向800万像素结构化摄像机（支持车辆/行人特征同步提取）</w:t>
      </w:r>
    </w:p>
    <w:p w14:paraId="614695CC">
      <w:pPr>
        <w:snapToGrid w:val="0"/>
        <w:ind w:firstLine="0" w:firstLineChars="0"/>
        <w:jc w:val="left"/>
      </w:pPr>
      <w:r>
        <w:rPr>
          <w:rFonts w:hint="eastAsia"/>
        </w:rPr>
        <w:t>双向部署900万像素卡口单元（双向抓拍，实现驾乘人员人脸采集）</w:t>
      </w:r>
    </w:p>
    <w:p w14:paraId="6BED9DCE">
      <w:pPr>
        <w:snapToGrid w:val="0"/>
        <w:ind w:firstLine="0" w:firstLineChars="0"/>
        <w:jc w:val="left"/>
      </w:pPr>
      <w:r>
        <w:rPr>
          <w:rFonts w:hint="eastAsia"/>
        </w:rPr>
        <w:t>系统优化</w:t>
      </w:r>
    </w:p>
    <w:p w14:paraId="15CBDADB">
      <w:pPr>
        <w:snapToGrid w:val="0"/>
        <w:ind w:firstLine="0" w:firstLineChars="0"/>
        <w:jc w:val="left"/>
      </w:pPr>
      <w:r>
        <w:rPr>
          <w:rFonts w:hint="eastAsia"/>
        </w:rPr>
        <w:t>通过"存量改造+增量补充"模式构建多维感知体系，</w:t>
      </w:r>
    </w:p>
    <w:p w14:paraId="4897B024">
      <w:pPr>
        <w:snapToGrid w:val="0"/>
        <w:ind w:firstLine="0" w:firstLineChars="0"/>
        <w:jc w:val="left"/>
      </w:pPr>
      <w:r>
        <w:rPr>
          <w:rFonts w:hint="eastAsia"/>
        </w:rPr>
        <w:t>原结构化摄像机与新设备形成互补，</w:t>
      </w:r>
    </w:p>
    <w:p w14:paraId="60CBB90C">
      <w:pPr>
        <w:snapToGrid w:val="0"/>
        <w:ind w:firstLine="0" w:firstLineChars="0"/>
        <w:jc w:val="left"/>
      </w:pPr>
      <w:r>
        <w:rPr>
          <w:rFonts w:hint="eastAsia"/>
        </w:rPr>
        <w:t xml:space="preserve">满足《GB 35114-2017公共安全视频监控联网信息安全技术要求》标准。 </w:t>
      </w:r>
    </w:p>
    <w:p w14:paraId="655C3FF6">
      <w:pPr>
        <w:snapToGrid w:val="0"/>
        <w:ind w:firstLine="0" w:firstLineChars="0"/>
        <w:jc w:val="left"/>
      </w:pPr>
    </w:p>
    <w:p w14:paraId="5A1A94D6">
      <w:pPr>
        <w:snapToGrid w:val="0"/>
        <w:ind w:firstLine="0" w:firstLineChars="0"/>
        <w:jc w:val="center"/>
      </w:pPr>
      <w:r>
        <w:drawing>
          <wp:inline distT="0" distB="0" distL="0" distR="0">
            <wp:extent cx="4229100" cy="5267325"/>
            <wp:effectExtent l="0" t="0" r="0" b="952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0"/>
                    <a:stretch>
                      <a:fillRect/>
                    </a:stretch>
                  </pic:blipFill>
                  <pic:spPr>
                    <a:xfrm>
                      <a:off x="0" y="0"/>
                      <a:ext cx="4243803" cy="5286107"/>
                    </a:xfrm>
                    <a:prstGeom prst="rect">
                      <a:avLst/>
                    </a:prstGeom>
                  </pic:spPr>
                </pic:pic>
              </a:graphicData>
            </a:graphic>
          </wp:inline>
        </w:drawing>
      </w:r>
    </w:p>
    <w:p w14:paraId="3E655FF7">
      <w:pPr>
        <w:snapToGrid w:val="0"/>
        <w:ind w:firstLine="0" w:firstLineChars="0"/>
        <w:jc w:val="center"/>
      </w:pPr>
    </w:p>
    <w:p w14:paraId="3ED59594">
      <w:pPr>
        <w:snapToGrid w:val="0"/>
        <w:ind w:firstLine="0" w:firstLineChars="0"/>
        <w:jc w:val="left"/>
      </w:pPr>
      <w:r>
        <w:t>B.</w:t>
      </w:r>
      <w:r>
        <w:rPr>
          <w:rFonts w:hint="eastAsia"/>
        </w:rPr>
        <w:t>单向原有杆件利旧，</w:t>
      </w:r>
    </w:p>
    <w:p w14:paraId="22D82B87">
      <w:pPr>
        <w:snapToGrid w:val="0"/>
        <w:ind w:firstLine="0" w:firstLineChars="0"/>
        <w:jc w:val="left"/>
      </w:pPr>
      <w:r>
        <w:rPr>
          <w:rFonts w:hint="eastAsia"/>
        </w:rPr>
        <w:t>车辆卡口设备保留，增加双通道全结构化抓拍设备。</w:t>
      </w:r>
    </w:p>
    <w:p w14:paraId="5A0AAEEF">
      <w:pPr>
        <w:snapToGrid w:val="0"/>
        <w:ind w:firstLine="0" w:firstLineChars="0"/>
        <w:jc w:val="left"/>
      </w:pPr>
      <w:r>
        <w:rPr>
          <w:rFonts w:hint="eastAsia"/>
        </w:rPr>
        <w:t>对向：增加立杆，增加车辆卡口、双通道全结构化抓拍设备。</w:t>
      </w:r>
    </w:p>
    <w:p w14:paraId="66E5FF4F">
      <w:pPr>
        <w:snapToGrid w:val="0"/>
        <w:ind w:firstLine="0" w:firstLineChars="0"/>
        <w:jc w:val="left"/>
      </w:pPr>
      <w:r>
        <w:rPr>
          <w:rFonts w:hint="eastAsia"/>
        </w:rPr>
        <w:t>按需新增链路新增立杆</w:t>
      </w:r>
    </w:p>
    <w:p w14:paraId="2080568A">
      <w:pPr>
        <w:snapToGrid w:val="0"/>
        <w:ind w:firstLine="0" w:firstLineChars="0"/>
        <w:jc w:val="left"/>
      </w:pPr>
      <w:r>
        <w:rPr>
          <w:rFonts w:hint="eastAsia"/>
        </w:rPr>
        <w:t>存量改造方案</w:t>
      </w:r>
      <w:r>
        <w:rPr>
          <w:rFonts w:hint="eastAsia" w:ascii="MS Gothic" w:hAnsi="MS Gothic" w:eastAsia="MS Gothic" w:cs="MS Gothic"/>
        </w:rPr>
        <w:t>‌</w:t>
      </w:r>
    </w:p>
    <w:p w14:paraId="7684A1A1">
      <w:pPr>
        <w:snapToGrid w:val="0"/>
        <w:ind w:firstLine="0" w:firstLineChars="0"/>
        <w:jc w:val="left"/>
      </w:pPr>
      <w:r>
        <w:rPr>
          <w:rFonts w:hint="eastAsia"/>
        </w:rPr>
        <w:t>保留原有单向杆件及车辆卡口设备，</w:t>
      </w:r>
    </w:p>
    <w:p w14:paraId="593991DA">
      <w:pPr>
        <w:snapToGrid w:val="0"/>
        <w:ind w:firstLine="0" w:firstLineChars="0"/>
        <w:jc w:val="left"/>
      </w:pPr>
      <w:r>
        <w:rPr>
          <w:rFonts w:hint="eastAsia"/>
        </w:rPr>
        <w:t>升级部署双通道全结构化抓拍单元（支持人脸/车牌/非机动车特征同步提取）</w:t>
      </w:r>
    </w:p>
    <w:p w14:paraId="109D357C">
      <w:pPr>
        <w:snapToGrid w:val="0"/>
        <w:ind w:firstLine="0" w:firstLineChars="0"/>
        <w:jc w:val="left"/>
      </w:pPr>
      <w:r>
        <w:rPr>
          <w:rFonts w:hint="eastAsia"/>
        </w:rPr>
        <w:t>链路优化策略</w:t>
      </w:r>
      <w:r>
        <w:rPr>
          <w:rFonts w:hint="eastAsia" w:ascii="MS Gothic" w:hAnsi="MS Gothic" w:eastAsia="MS Gothic" w:cs="MS Gothic"/>
        </w:rPr>
        <w:t>‌</w:t>
      </w:r>
    </w:p>
    <w:p w14:paraId="7A198EFD">
      <w:pPr>
        <w:snapToGrid w:val="0"/>
        <w:ind w:firstLine="0" w:firstLineChars="0"/>
        <w:jc w:val="left"/>
      </w:pPr>
      <w:r>
        <w:rPr>
          <w:rFonts w:hint="eastAsia"/>
        </w:rPr>
        <w:t>采用弹性部署模式：存量链路利旧，</w:t>
      </w:r>
    </w:p>
    <w:p w14:paraId="41A6A582">
      <w:pPr>
        <w:snapToGrid w:val="0"/>
        <w:ind w:firstLine="0" w:firstLineChars="0"/>
        <w:jc w:val="left"/>
      </w:pPr>
      <w:r>
        <w:rPr>
          <w:rFonts w:hint="eastAsia"/>
        </w:rPr>
        <w:t>新增点位按需部署光纤专网（时延≤50ms）。</w:t>
      </w:r>
      <w:r>
        <w:t xml:space="preserve"> </w:t>
      </w:r>
    </w:p>
    <w:p w14:paraId="5966CBFB">
      <w:pPr>
        <w:snapToGrid w:val="0"/>
        <w:ind w:firstLine="0" w:firstLineChars="0"/>
        <w:jc w:val="left"/>
      </w:pPr>
    </w:p>
    <w:p w14:paraId="22DF7F8B">
      <w:pPr>
        <w:snapToGrid w:val="0"/>
        <w:ind w:firstLine="0" w:firstLineChars="0"/>
        <w:jc w:val="center"/>
      </w:pPr>
      <w:r>
        <w:drawing>
          <wp:inline distT="0" distB="0" distL="0" distR="0">
            <wp:extent cx="4312920" cy="5572125"/>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4326370" cy="5588738"/>
                    </a:xfrm>
                    <a:prstGeom prst="rect">
                      <a:avLst/>
                    </a:prstGeom>
                  </pic:spPr>
                </pic:pic>
              </a:graphicData>
            </a:graphic>
          </wp:inline>
        </w:drawing>
      </w:r>
    </w:p>
    <w:p w14:paraId="5DBE005F">
      <w:pPr>
        <w:snapToGrid w:val="0"/>
        <w:ind w:firstLine="0" w:firstLineChars="0"/>
        <w:jc w:val="center"/>
      </w:pPr>
    </w:p>
    <w:p w14:paraId="71769AB7">
      <w:pPr>
        <w:snapToGrid w:val="0"/>
        <w:ind w:firstLine="0" w:firstLineChars="0"/>
        <w:jc w:val="left"/>
      </w:pPr>
    </w:p>
    <w:p w14:paraId="0CD5A5B1">
      <w:pPr>
        <w:snapToGrid w:val="0"/>
        <w:ind w:firstLine="0" w:firstLineChars="0"/>
        <w:jc w:val="left"/>
      </w:pPr>
      <w:r>
        <w:rPr>
          <w:rFonts w:hint="eastAsia"/>
        </w:rPr>
        <w:t>C</w:t>
      </w:r>
      <w:r>
        <w:t>.</w:t>
      </w:r>
      <w:r>
        <w:rPr>
          <w:rFonts w:hint="eastAsia"/>
        </w:rPr>
        <w:t>基础设施部署</w:t>
      </w:r>
      <w:r>
        <w:rPr>
          <w:rFonts w:hint="eastAsia" w:ascii="MS Gothic" w:hAnsi="MS Gothic" w:eastAsia="MS Gothic" w:cs="MS Gothic"/>
        </w:rPr>
        <w:t>‌</w:t>
      </w:r>
    </w:p>
    <w:p w14:paraId="7B42229B">
      <w:pPr>
        <w:snapToGrid w:val="0"/>
        <w:ind w:firstLine="0" w:firstLineChars="0"/>
        <w:jc w:val="left"/>
      </w:pPr>
      <w:r>
        <w:rPr>
          <w:rFonts w:hint="eastAsia"/>
        </w:rPr>
        <w:t>新建6.5米综合监控立杆，</w:t>
      </w:r>
    </w:p>
    <w:p w14:paraId="33369410">
      <w:pPr>
        <w:snapToGrid w:val="0"/>
        <w:ind w:firstLine="0" w:firstLineChars="0"/>
        <w:jc w:val="left"/>
      </w:pPr>
      <w:r>
        <w:rPr>
          <w:rFonts w:hint="eastAsia"/>
        </w:rPr>
        <w:t>配套部署光纤专网构建全数字化传输链路，时延控制在50ms以内。</w:t>
      </w:r>
    </w:p>
    <w:p w14:paraId="4FDAF81D">
      <w:pPr>
        <w:snapToGrid w:val="0"/>
        <w:ind w:firstLine="0" w:firstLineChars="0"/>
        <w:jc w:val="left"/>
      </w:pPr>
      <w:r>
        <w:rPr>
          <w:rFonts w:hint="eastAsia"/>
        </w:rPr>
        <w:t>前端设备配置</w:t>
      </w:r>
      <w:r>
        <w:rPr>
          <w:rFonts w:hint="eastAsia" w:ascii="MS Gothic" w:hAnsi="MS Gothic" w:eastAsia="MS Gothic" w:cs="MS Gothic"/>
        </w:rPr>
        <w:t>‌</w:t>
      </w:r>
    </w:p>
    <w:p w14:paraId="1E6D4342">
      <w:pPr>
        <w:snapToGrid w:val="0"/>
        <w:ind w:firstLine="0" w:firstLineChars="0"/>
        <w:jc w:val="left"/>
      </w:pPr>
      <w:r>
        <w:rPr>
          <w:rFonts w:hint="eastAsia"/>
        </w:rPr>
        <w:t>双向部署2台800万像素全结构化摄像机（支持机动车/非机动车/行人特征同步提取）</w:t>
      </w:r>
    </w:p>
    <w:p w14:paraId="60BA02D5">
      <w:pPr>
        <w:snapToGrid w:val="0"/>
        <w:ind w:firstLine="0" w:firstLineChars="0"/>
        <w:jc w:val="left"/>
      </w:pPr>
      <w:r>
        <w:rPr>
          <w:rFonts w:hint="eastAsia"/>
        </w:rPr>
        <w:t>加装2台900万像素卡口单元（具备前排驾乘人员人脸抓拍功能）</w:t>
      </w:r>
    </w:p>
    <w:p w14:paraId="5B0B86A2">
      <w:pPr>
        <w:snapToGrid w:val="0"/>
        <w:ind w:firstLine="0" w:firstLineChars="0"/>
        <w:jc w:val="left"/>
      </w:pPr>
      <w:r>
        <w:rPr>
          <w:rFonts w:hint="eastAsia"/>
        </w:rPr>
        <w:t>系统能力建设</w:t>
      </w:r>
      <w:r>
        <w:rPr>
          <w:rFonts w:hint="eastAsia" w:ascii="MS Gothic" w:hAnsi="MS Gothic" w:eastAsia="MS Gothic" w:cs="MS Gothic"/>
        </w:rPr>
        <w:t>‌</w:t>
      </w:r>
    </w:p>
    <w:p w14:paraId="6438EC36">
      <w:pPr>
        <w:snapToGrid w:val="0"/>
        <w:ind w:firstLine="0" w:firstLineChars="0"/>
        <w:jc w:val="left"/>
      </w:pPr>
      <w:r>
        <w:rPr>
          <w:rFonts w:hint="eastAsia"/>
        </w:rPr>
        <w:t>通过多维度感知设备组网，实现全要素采集，</w:t>
      </w:r>
    </w:p>
    <w:p w14:paraId="7CED7DDD">
      <w:pPr>
        <w:snapToGrid w:val="0"/>
        <w:ind w:firstLine="0" w:firstLineChars="0"/>
        <w:jc w:val="left"/>
      </w:pPr>
      <w:r>
        <w:rPr>
          <w:rFonts w:hint="eastAsia"/>
        </w:rPr>
        <w:t>满足《GB 35114-2017公共安全视频监控联网信息安全技术要求》的标准化接入要求。</w:t>
      </w:r>
    </w:p>
    <w:p w14:paraId="7723070F">
      <w:pPr>
        <w:snapToGrid w:val="0"/>
        <w:ind w:firstLine="0" w:firstLineChars="0"/>
        <w:jc w:val="center"/>
      </w:pPr>
      <w:r>
        <w:drawing>
          <wp:inline distT="0" distB="0" distL="0" distR="0">
            <wp:extent cx="4752975" cy="5900420"/>
            <wp:effectExtent l="0" t="0" r="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0110" cy="5909894"/>
                    </a:xfrm>
                    <a:prstGeom prst="rect">
                      <a:avLst/>
                    </a:prstGeom>
                  </pic:spPr>
                </pic:pic>
              </a:graphicData>
            </a:graphic>
          </wp:inline>
        </w:drawing>
      </w:r>
    </w:p>
    <w:p w14:paraId="448E6205">
      <w:pPr>
        <w:snapToGrid w:val="0"/>
        <w:ind w:firstLine="0" w:firstLineChars="0"/>
        <w:jc w:val="left"/>
      </w:pPr>
    </w:p>
    <w:p w14:paraId="21557FE9">
      <w:pPr>
        <w:snapToGrid w:val="0"/>
        <w:ind w:firstLine="0" w:firstLineChars="0"/>
      </w:pPr>
    </w:p>
    <w:bookmarkEnd w:id="31"/>
    <w:bookmarkEnd w:id="45"/>
    <w:bookmarkEnd w:id="46"/>
    <w:bookmarkEnd w:id="47"/>
    <w:p w14:paraId="0070A031">
      <w:pPr>
        <w:pStyle w:val="3"/>
        <w:spacing w:before="0" w:after="0" w:line="300" w:lineRule="auto"/>
      </w:pPr>
      <w:bookmarkStart w:id="49" w:name="_Toc166686085"/>
      <w:bookmarkStart w:id="50" w:name="_Toc78880515"/>
      <w:r>
        <w:rPr>
          <w:rFonts w:hint="eastAsia"/>
        </w:rPr>
        <w:t>计算及存储</w:t>
      </w:r>
      <w:r>
        <w:t>扩容</w:t>
      </w:r>
      <w:bookmarkEnd w:id="49"/>
      <w:bookmarkEnd w:id="50"/>
    </w:p>
    <w:p w14:paraId="7BBE202F">
      <w:pPr>
        <w:pStyle w:val="4"/>
        <w:ind w:left="226"/>
      </w:pPr>
      <w:bookmarkStart w:id="51" w:name="_Toc166686086"/>
      <w:bookmarkStart w:id="52" w:name="_Toc78880516"/>
      <w:r>
        <w:rPr>
          <w:rFonts w:hint="eastAsia"/>
        </w:rPr>
        <w:t>存储扩容</w:t>
      </w:r>
      <w:bookmarkEnd w:id="51"/>
      <w:bookmarkEnd w:id="52"/>
    </w:p>
    <w:p w14:paraId="3F23E004">
      <w:pPr>
        <w:pStyle w:val="100"/>
        <w:spacing w:after="0" w:line="300" w:lineRule="auto"/>
        <w:ind w:firstLine="480"/>
        <w:rPr>
          <w:rFonts w:hint="eastAsia" w:asciiTheme="minorEastAsia" w:hAnsiTheme="minorEastAsia" w:eastAsiaTheme="minorEastAsia"/>
          <w:color w:val="000000" w:themeColor="text1"/>
          <w:szCs w:val="24"/>
          <w14:textFill>
            <w14:solidFill>
              <w14:schemeClr w14:val="tx1"/>
            </w14:solidFill>
          </w14:textFill>
        </w:rPr>
      </w:pPr>
      <w:r>
        <w:rPr>
          <w:rFonts w:hint="eastAsia" w:asciiTheme="minorEastAsia" w:hAnsiTheme="minorEastAsia" w:eastAsiaTheme="minorEastAsia"/>
          <w:color w:val="000000"/>
          <w:szCs w:val="24"/>
        </w:rPr>
        <w:t>海量的监控数据，对视频图像云存储如何实现数据高可靠性、视频图像并发写入及回放，对大数据库服务器如何实现数据特征值存储与检索提出了巨大挑战。所以</w:t>
      </w:r>
      <w:r>
        <w:rPr>
          <w:rFonts w:hint="eastAsia" w:asciiTheme="minorEastAsia" w:hAnsiTheme="minorEastAsia" w:eastAsiaTheme="minorEastAsia"/>
          <w:color w:val="000000" w:themeColor="text1"/>
          <w:szCs w:val="24"/>
          <w14:textFill>
            <w14:solidFill>
              <w14:schemeClr w14:val="tx1"/>
            </w14:solidFill>
          </w14:textFill>
        </w:rPr>
        <w:t>需要分别对分布式存储设备，大数据库服务器进行扩容，</w:t>
      </w:r>
    </w:p>
    <w:p w14:paraId="7DE17C2D">
      <w:pPr>
        <w:spacing w:line="360" w:lineRule="auto"/>
        <w:rPr>
          <w:rFonts w:asciiTheme="minorEastAsia" w:hAnsiTheme="minorEastAsia" w:eastAsiaTheme="minorEastAsia"/>
          <w:szCs w:val="24"/>
        </w:rPr>
      </w:pPr>
      <w:bookmarkStart w:id="53" w:name="_Toc75218504"/>
      <w:r>
        <w:rPr>
          <w:rFonts w:asciiTheme="minorEastAsia" w:hAnsiTheme="minorEastAsia" w:eastAsiaTheme="minorEastAsia"/>
          <w:szCs w:val="24"/>
        </w:rPr>
        <w:t>本项目监控设备录像文件为视频文件，</w:t>
      </w:r>
      <w:r>
        <w:rPr>
          <w:rFonts w:hint="eastAsia" w:asciiTheme="minorEastAsia" w:hAnsiTheme="minorEastAsia" w:eastAsiaTheme="minorEastAsia"/>
          <w:szCs w:val="24"/>
        </w:rPr>
        <w:t>支持存储设备的容量监控，视存储时间视频监控存储重点部位3个月，常用点位1个月，反恐重点单位视频存储不少于90天。</w:t>
      </w:r>
    </w:p>
    <w:p w14:paraId="1B2F0EFA">
      <w:pPr>
        <w:spacing w:line="360" w:lineRule="auto"/>
        <w:rPr>
          <w:rFonts w:hint="eastAsia" w:asciiTheme="minorEastAsia" w:hAnsiTheme="minorEastAsia" w:eastAsiaTheme="minorEastAsia"/>
          <w:szCs w:val="24"/>
        </w:rPr>
      </w:pPr>
    </w:p>
    <w:p w14:paraId="4E65D244">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录像存储量计算公式（考虑到25%的系统冗余量和磁盘格式损失）：</w:t>
      </w:r>
    </w:p>
    <w:p w14:paraId="334067BA">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码率（XMbps）×3600s×24小时×Y(天)/1024/1024/8/0.75=Z TB</w:t>
      </w:r>
    </w:p>
    <w:p w14:paraId="48D8090F">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1台900W车辆卡口单元，8Mbps码流，存储30天的计算方法/1Mbps=0.125MB/s</w:t>
      </w:r>
    </w:p>
    <w:p w14:paraId="22E07106">
      <w:pPr>
        <w:spacing w:line="360" w:lineRule="auto"/>
        <w:rPr>
          <w:rFonts w:asciiTheme="minorEastAsia" w:hAnsiTheme="minorEastAsia" w:eastAsiaTheme="minorEastAsia"/>
          <w:szCs w:val="24"/>
        </w:rPr>
      </w:pPr>
      <w:r>
        <w:rPr>
          <w:rFonts w:hint="eastAsia" w:asciiTheme="minorEastAsia" w:hAnsiTheme="minorEastAsia" w:eastAsiaTheme="minorEastAsia"/>
          <w:szCs w:val="24"/>
        </w:rPr>
        <w:t>8Mbps×3600s×24小时×30天/1024/1024/8/0.75≈3.3 TB</w:t>
      </w:r>
    </w:p>
    <w:tbl>
      <w:tblPr>
        <w:tblStyle w:val="31"/>
        <w:tblW w:w="8779" w:type="dxa"/>
        <w:tblInd w:w="0" w:type="dxa"/>
        <w:tblLayout w:type="autofit"/>
        <w:tblCellMar>
          <w:top w:w="0" w:type="dxa"/>
          <w:left w:w="108" w:type="dxa"/>
          <w:bottom w:w="0" w:type="dxa"/>
          <w:right w:w="108" w:type="dxa"/>
        </w:tblCellMar>
      </w:tblPr>
      <w:tblGrid>
        <w:gridCol w:w="557"/>
        <w:gridCol w:w="1276"/>
        <w:gridCol w:w="850"/>
        <w:gridCol w:w="709"/>
        <w:gridCol w:w="850"/>
        <w:gridCol w:w="1176"/>
        <w:gridCol w:w="951"/>
        <w:gridCol w:w="1418"/>
        <w:gridCol w:w="992"/>
      </w:tblGrid>
      <w:tr w14:paraId="186C271E">
        <w:tblPrEx>
          <w:tblCellMar>
            <w:top w:w="0" w:type="dxa"/>
            <w:left w:w="108" w:type="dxa"/>
            <w:bottom w:w="0" w:type="dxa"/>
            <w:right w:w="108" w:type="dxa"/>
          </w:tblCellMar>
        </w:tblPrEx>
        <w:trPr>
          <w:trHeight w:val="285" w:hRule="atLeast"/>
        </w:trPr>
        <w:tc>
          <w:tcPr>
            <w:tcW w:w="557" w:type="dxa"/>
            <w:tcBorders>
              <w:top w:val="single" w:color="auto" w:sz="12" w:space="0"/>
              <w:left w:val="single" w:color="auto" w:sz="12" w:space="0"/>
              <w:bottom w:val="single" w:color="auto" w:sz="4" w:space="0"/>
              <w:right w:val="single" w:color="auto" w:sz="4" w:space="0"/>
            </w:tcBorders>
            <w:vAlign w:val="center"/>
          </w:tcPr>
          <w:p w14:paraId="45D5FC28">
            <w:pPr>
              <w:widowControl/>
              <w:adjustRightInd/>
              <w:spacing w:line="240" w:lineRule="auto"/>
              <w:ind w:firstLine="0" w:firstLineChars="0"/>
              <w:jc w:val="center"/>
              <w:textAlignment w:val="auto"/>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序号</w:t>
            </w:r>
          </w:p>
        </w:tc>
        <w:tc>
          <w:tcPr>
            <w:tcW w:w="1276" w:type="dxa"/>
            <w:tcBorders>
              <w:top w:val="single" w:color="auto" w:sz="12" w:space="0"/>
              <w:left w:val="nil"/>
              <w:bottom w:val="single" w:color="auto" w:sz="4" w:space="0"/>
              <w:right w:val="single" w:color="auto" w:sz="4" w:space="0"/>
            </w:tcBorders>
            <w:vAlign w:val="center"/>
          </w:tcPr>
          <w:p w14:paraId="3D377681">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设备类型</w:t>
            </w:r>
          </w:p>
        </w:tc>
        <w:tc>
          <w:tcPr>
            <w:tcW w:w="850" w:type="dxa"/>
            <w:tcBorders>
              <w:top w:val="single" w:color="auto" w:sz="12" w:space="0"/>
              <w:left w:val="nil"/>
              <w:bottom w:val="single" w:color="auto" w:sz="4" w:space="0"/>
              <w:right w:val="single" w:color="auto" w:sz="4" w:space="0"/>
            </w:tcBorders>
            <w:vAlign w:val="center"/>
          </w:tcPr>
          <w:p w14:paraId="13CA02E4">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相机数量</w:t>
            </w:r>
          </w:p>
        </w:tc>
        <w:tc>
          <w:tcPr>
            <w:tcW w:w="709" w:type="dxa"/>
            <w:tcBorders>
              <w:top w:val="single" w:color="auto" w:sz="12" w:space="0"/>
              <w:left w:val="nil"/>
              <w:bottom w:val="single" w:color="auto" w:sz="4" w:space="0"/>
              <w:right w:val="single" w:color="auto" w:sz="4" w:space="0"/>
            </w:tcBorders>
            <w:vAlign w:val="center"/>
          </w:tcPr>
          <w:p w14:paraId="47DD9801">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通道数</w:t>
            </w:r>
          </w:p>
        </w:tc>
        <w:tc>
          <w:tcPr>
            <w:tcW w:w="850" w:type="dxa"/>
            <w:tcBorders>
              <w:top w:val="single" w:color="auto" w:sz="12" w:space="0"/>
              <w:left w:val="nil"/>
              <w:bottom w:val="single" w:color="auto" w:sz="4" w:space="0"/>
              <w:right w:val="single" w:color="auto" w:sz="4" w:space="0"/>
            </w:tcBorders>
            <w:vAlign w:val="center"/>
          </w:tcPr>
          <w:p w14:paraId="1B1D3A87">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编码格式</w:t>
            </w:r>
          </w:p>
        </w:tc>
        <w:tc>
          <w:tcPr>
            <w:tcW w:w="1176" w:type="dxa"/>
            <w:tcBorders>
              <w:top w:val="single" w:color="auto" w:sz="12" w:space="0"/>
              <w:left w:val="nil"/>
              <w:bottom w:val="single" w:color="auto" w:sz="4" w:space="0"/>
              <w:right w:val="single" w:color="auto" w:sz="4" w:space="0"/>
            </w:tcBorders>
            <w:vAlign w:val="center"/>
          </w:tcPr>
          <w:p w14:paraId="4B5B108E">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码流（Mb/s）</w:t>
            </w:r>
          </w:p>
        </w:tc>
        <w:tc>
          <w:tcPr>
            <w:tcW w:w="951" w:type="dxa"/>
            <w:tcBorders>
              <w:top w:val="single" w:color="auto" w:sz="12" w:space="0"/>
              <w:left w:val="nil"/>
              <w:bottom w:val="single" w:color="auto" w:sz="4" w:space="0"/>
              <w:right w:val="single" w:color="auto" w:sz="4" w:space="0"/>
            </w:tcBorders>
            <w:vAlign w:val="center"/>
          </w:tcPr>
          <w:p w14:paraId="7F96E44F">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存储1天（T）</w:t>
            </w:r>
          </w:p>
        </w:tc>
        <w:tc>
          <w:tcPr>
            <w:tcW w:w="1418" w:type="dxa"/>
            <w:tcBorders>
              <w:top w:val="single" w:color="auto" w:sz="12" w:space="0"/>
              <w:left w:val="nil"/>
              <w:bottom w:val="single" w:color="auto" w:sz="4" w:space="0"/>
              <w:right w:val="single" w:color="auto" w:sz="4" w:space="0"/>
            </w:tcBorders>
            <w:vAlign w:val="center"/>
          </w:tcPr>
          <w:p w14:paraId="5AC1AAE6">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存储7天（TB）</w:t>
            </w:r>
          </w:p>
        </w:tc>
        <w:tc>
          <w:tcPr>
            <w:tcW w:w="992" w:type="dxa"/>
            <w:tcBorders>
              <w:top w:val="single" w:color="auto" w:sz="12" w:space="0"/>
              <w:left w:val="nil"/>
              <w:bottom w:val="single" w:color="auto" w:sz="4" w:space="0"/>
              <w:right w:val="single" w:color="auto" w:sz="12" w:space="0"/>
            </w:tcBorders>
            <w:vAlign w:val="center"/>
          </w:tcPr>
          <w:p w14:paraId="52C631AA">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存储30天(TB)</w:t>
            </w:r>
          </w:p>
        </w:tc>
      </w:tr>
      <w:tr w14:paraId="279E4A58">
        <w:tblPrEx>
          <w:tblCellMar>
            <w:top w:w="0" w:type="dxa"/>
            <w:left w:w="108" w:type="dxa"/>
            <w:bottom w:w="0" w:type="dxa"/>
            <w:right w:w="108" w:type="dxa"/>
          </w:tblCellMar>
        </w:tblPrEx>
        <w:trPr>
          <w:trHeight w:val="285" w:hRule="atLeast"/>
        </w:trPr>
        <w:tc>
          <w:tcPr>
            <w:tcW w:w="557" w:type="dxa"/>
            <w:tcBorders>
              <w:top w:val="nil"/>
              <w:left w:val="single" w:color="auto" w:sz="12" w:space="0"/>
              <w:bottom w:val="single" w:color="auto" w:sz="4" w:space="0"/>
              <w:right w:val="single" w:color="auto" w:sz="4" w:space="0"/>
            </w:tcBorders>
            <w:vAlign w:val="center"/>
          </w:tcPr>
          <w:p w14:paraId="08257402">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w:t>
            </w:r>
          </w:p>
        </w:tc>
        <w:tc>
          <w:tcPr>
            <w:tcW w:w="1276" w:type="dxa"/>
            <w:tcBorders>
              <w:top w:val="nil"/>
              <w:left w:val="nil"/>
              <w:bottom w:val="single" w:color="auto" w:sz="4" w:space="0"/>
              <w:right w:val="single" w:color="auto" w:sz="4" w:space="0"/>
            </w:tcBorders>
            <w:noWrap/>
            <w:vAlign w:val="center"/>
          </w:tcPr>
          <w:p w14:paraId="1FE0167E">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车辆卡口单元</w:t>
            </w:r>
          </w:p>
        </w:tc>
        <w:tc>
          <w:tcPr>
            <w:tcW w:w="850" w:type="dxa"/>
            <w:tcBorders>
              <w:top w:val="nil"/>
              <w:left w:val="nil"/>
              <w:bottom w:val="single" w:color="auto" w:sz="4" w:space="0"/>
              <w:right w:val="single" w:color="auto" w:sz="4" w:space="0"/>
            </w:tcBorders>
            <w:vAlign w:val="center"/>
          </w:tcPr>
          <w:p w14:paraId="72CBA83A">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57</w:t>
            </w:r>
          </w:p>
        </w:tc>
        <w:tc>
          <w:tcPr>
            <w:tcW w:w="709" w:type="dxa"/>
            <w:tcBorders>
              <w:top w:val="nil"/>
              <w:left w:val="nil"/>
              <w:bottom w:val="single" w:color="auto" w:sz="4" w:space="0"/>
              <w:right w:val="single" w:color="auto" w:sz="4" w:space="0"/>
            </w:tcBorders>
            <w:vAlign w:val="center"/>
          </w:tcPr>
          <w:p w14:paraId="0A01ABB7">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57</w:t>
            </w:r>
          </w:p>
        </w:tc>
        <w:tc>
          <w:tcPr>
            <w:tcW w:w="850" w:type="dxa"/>
            <w:tcBorders>
              <w:top w:val="nil"/>
              <w:left w:val="nil"/>
              <w:bottom w:val="single" w:color="auto" w:sz="4" w:space="0"/>
              <w:right w:val="single" w:color="auto" w:sz="4" w:space="0"/>
            </w:tcBorders>
            <w:vAlign w:val="center"/>
          </w:tcPr>
          <w:p w14:paraId="7D253BA8">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H.265</w:t>
            </w:r>
          </w:p>
        </w:tc>
        <w:tc>
          <w:tcPr>
            <w:tcW w:w="1176" w:type="dxa"/>
            <w:tcBorders>
              <w:top w:val="nil"/>
              <w:left w:val="nil"/>
              <w:bottom w:val="single" w:color="auto" w:sz="4" w:space="0"/>
              <w:right w:val="single" w:color="auto" w:sz="4" w:space="0"/>
            </w:tcBorders>
            <w:vAlign w:val="center"/>
          </w:tcPr>
          <w:p w14:paraId="186E945E">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8</w:t>
            </w:r>
          </w:p>
        </w:tc>
        <w:tc>
          <w:tcPr>
            <w:tcW w:w="951" w:type="dxa"/>
            <w:tcBorders>
              <w:top w:val="nil"/>
              <w:left w:val="nil"/>
              <w:bottom w:val="single" w:color="auto" w:sz="4" w:space="0"/>
              <w:right w:val="single" w:color="auto" w:sz="4" w:space="0"/>
            </w:tcBorders>
            <w:vAlign w:val="center"/>
          </w:tcPr>
          <w:p w14:paraId="653EA932">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6.26 </w:t>
            </w:r>
          </w:p>
        </w:tc>
        <w:tc>
          <w:tcPr>
            <w:tcW w:w="1418" w:type="dxa"/>
            <w:tcBorders>
              <w:top w:val="nil"/>
              <w:left w:val="nil"/>
              <w:bottom w:val="single" w:color="auto" w:sz="4" w:space="0"/>
              <w:right w:val="single" w:color="auto" w:sz="4" w:space="0"/>
            </w:tcBorders>
            <w:vAlign w:val="center"/>
          </w:tcPr>
          <w:p w14:paraId="2FEDD535">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43.84 </w:t>
            </w:r>
          </w:p>
        </w:tc>
        <w:tc>
          <w:tcPr>
            <w:tcW w:w="992" w:type="dxa"/>
            <w:tcBorders>
              <w:top w:val="nil"/>
              <w:left w:val="nil"/>
              <w:bottom w:val="single" w:color="auto" w:sz="4" w:space="0"/>
              <w:right w:val="single" w:color="auto" w:sz="12" w:space="0"/>
            </w:tcBorders>
            <w:vAlign w:val="center"/>
          </w:tcPr>
          <w:p w14:paraId="52191743">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187.87 </w:t>
            </w:r>
          </w:p>
        </w:tc>
      </w:tr>
      <w:tr w14:paraId="19EAC69F">
        <w:tblPrEx>
          <w:tblCellMar>
            <w:top w:w="0" w:type="dxa"/>
            <w:left w:w="108" w:type="dxa"/>
            <w:bottom w:w="0" w:type="dxa"/>
            <w:right w:w="108" w:type="dxa"/>
          </w:tblCellMar>
        </w:tblPrEx>
        <w:trPr>
          <w:trHeight w:val="285" w:hRule="atLeast"/>
        </w:trPr>
        <w:tc>
          <w:tcPr>
            <w:tcW w:w="557" w:type="dxa"/>
            <w:tcBorders>
              <w:top w:val="nil"/>
              <w:left w:val="single" w:color="auto" w:sz="12" w:space="0"/>
              <w:bottom w:val="single" w:color="auto" w:sz="4" w:space="0"/>
              <w:right w:val="single" w:color="auto" w:sz="4" w:space="0"/>
            </w:tcBorders>
            <w:vAlign w:val="center"/>
          </w:tcPr>
          <w:p w14:paraId="7E96E61C">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w:t>
            </w:r>
          </w:p>
        </w:tc>
        <w:tc>
          <w:tcPr>
            <w:tcW w:w="1276" w:type="dxa"/>
            <w:tcBorders>
              <w:top w:val="nil"/>
              <w:left w:val="nil"/>
              <w:bottom w:val="single" w:color="auto" w:sz="4" w:space="0"/>
              <w:right w:val="single" w:color="auto" w:sz="4" w:space="0"/>
            </w:tcBorders>
            <w:noWrap/>
            <w:vAlign w:val="center"/>
          </w:tcPr>
          <w:p w14:paraId="7E06BFB2">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全结构化摄像机</w:t>
            </w:r>
          </w:p>
        </w:tc>
        <w:tc>
          <w:tcPr>
            <w:tcW w:w="850" w:type="dxa"/>
            <w:tcBorders>
              <w:top w:val="nil"/>
              <w:left w:val="nil"/>
              <w:bottom w:val="single" w:color="auto" w:sz="4" w:space="0"/>
              <w:right w:val="single" w:color="auto" w:sz="4" w:space="0"/>
            </w:tcBorders>
            <w:vAlign w:val="center"/>
          </w:tcPr>
          <w:p w14:paraId="63F515DC">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103</w:t>
            </w:r>
          </w:p>
        </w:tc>
        <w:tc>
          <w:tcPr>
            <w:tcW w:w="709" w:type="dxa"/>
            <w:tcBorders>
              <w:top w:val="nil"/>
              <w:left w:val="nil"/>
              <w:bottom w:val="single" w:color="auto" w:sz="4" w:space="0"/>
              <w:right w:val="single" w:color="auto" w:sz="4" w:space="0"/>
            </w:tcBorders>
            <w:vAlign w:val="center"/>
          </w:tcPr>
          <w:p w14:paraId="4C547F0C">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206</w:t>
            </w:r>
          </w:p>
        </w:tc>
        <w:tc>
          <w:tcPr>
            <w:tcW w:w="850" w:type="dxa"/>
            <w:tcBorders>
              <w:top w:val="nil"/>
              <w:left w:val="nil"/>
              <w:bottom w:val="single" w:color="auto" w:sz="4" w:space="0"/>
              <w:right w:val="single" w:color="auto" w:sz="4" w:space="0"/>
            </w:tcBorders>
            <w:vAlign w:val="center"/>
          </w:tcPr>
          <w:p w14:paraId="609ADF4D">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H.265</w:t>
            </w:r>
          </w:p>
        </w:tc>
        <w:tc>
          <w:tcPr>
            <w:tcW w:w="1176" w:type="dxa"/>
            <w:tcBorders>
              <w:top w:val="nil"/>
              <w:left w:val="nil"/>
              <w:bottom w:val="single" w:color="auto" w:sz="4" w:space="0"/>
              <w:right w:val="single" w:color="auto" w:sz="4" w:space="0"/>
            </w:tcBorders>
            <w:vAlign w:val="center"/>
          </w:tcPr>
          <w:p w14:paraId="3075750D">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8</w:t>
            </w:r>
          </w:p>
        </w:tc>
        <w:tc>
          <w:tcPr>
            <w:tcW w:w="951" w:type="dxa"/>
            <w:tcBorders>
              <w:top w:val="nil"/>
              <w:left w:val="nil"/>
              <w:bottom w:val="single" w:color="auto" w:sz="4" w:space="0"/>
              <w:right w:val="single" w:color="auto" w:sz="4" w:space="0"/>
            </w:tcBorders>
            <w:vAlign w:val="center"/>
          </w:tcPr>
          <w:p w14:paraId="251832AA">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22.63 </w:t>
            </w:r>
          </w:p>
        </w:tc>
        <w:tc>
          <w:tcPr>
            <w:tcW w:w="1418" w:type="dxa"/>
            <w:tcBorders>
              <w:top w:val="nil"/>
              <w:left w:val="nil"/>
              <w:bottom w:val="single" w:color="auto" w:sz="4" w:space="0"/>
              <w:right w:val="single" w:color="auto" w:sz="4" w:space="0"/>
            </w:tcBorders>
            <w:vAlign w:val="center"/>
          </w:tcPr>
          <w:p w14:paraId="2C5C6D6A">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158.42 </w:t>
            </w:r>
          </w:p>
        </w:tc>
        <w:tc>
          <w:tcPr>
            <w:tcW w:w="992" w:type="dxa"/>
            <w:tcBorders>
              <w:top w:val="nil"/>
              <w:left w:val="nil"/>
              <w:bottom w:val="single" w:color="auto" w:sz="4" w:space="0"/>
              <w:right w:val="single" w:color="auto" w:sz="12" w:space="0"/>
            </w:tcBorders>
            <w:vAlign w:val="center"/>
          </w:tcPr>
          <w:p w14:paraId="70DE4430">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678.96 </w:t>
            </w:r>
          </w:p>
        </w:tc>
      </w:tr>
      <w:tr w14:paraId="7D2ECB06">
        <w:tblPrEx>
          <w:tblCellMar>
            <w:top w:w="0" w:type="dxa"/>
            <w:left w:w="108" w:type="dxa"/>
            <w:bottom w:w="0" w:type="dxa"/>
            <w:right w:w="108" w:type="dxa"/>
          </w:tblCellMar>
        </w:tblPrEx>
        <w:trPr>
          <w:trHeight w:val="300" w:hRule="atLeast"/>
        </w:trPr>
        <w:tc>
          <w:tcPr>
            <w:tcW w:w="6369" w:type="dxa"/>
            <w:gridSpan w:val="7"/>
            <w:tcBorders>
              <w:top w:val="single" w:color="auto" w:sz="4" w:space="0"/>
              <w:left w:val="single" w:color="auto" w:sz="12" w:space="0"/>
              <w:bottom w:val="single" w:color="auto" w:sz="12" w:space="0"/>
              <w:right w:val="single" w:color="auto" w:sz="4" w:space="0"/>
            </w:tcBorders>
            <w:noWrap/>
            <w:vAlign w:val="center"/>
          </w:tcPr>
          <w:p w14:paraId="5ED28BDD">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合计</w:t>
            </w:r>
          </w:p>
        </w:tc>
        <w:tc>
          <w:tcPr>
            <w:tcW w:w="1418" w:type="dxa"/>
            <w:tcBorders>
              <w:top w:val="nil"/>
              <w:left w:val="nil"/>
              <w:bottom w:val="single" w:color="auto" w:sz="12" w:space="0"/>
              <w:right w:val="single" w:color="auto" w:sz="4" w:space="0"/>
            </w:tcBorders>
            <w:noWrap/>
            <w:vAlign w:val="center"/>
          </w:tcPr>
          <w:p w14:paraId="4E4C8FC6">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w:t>
            </w:r>
          </w:p>
        </w:tc>
        <w:tc>
          <w:tcPr>
            <w:tcW w:w="992" w:type="dxa"/>
            <w:tcBorders>
              <w:top w:val="nil"/>
              <w:left w:val="nil"/>
              <w:bottom w:val="single" w:color="auto" w:sz="12" w:space="0"/>
              <w:right w:val="single" w:color="auto" w:sz="12" w:space="0"/>
            </w:tcBorders>
            <w:noWrap/>
            <w:vAlign w:val="center"/>
          </w:tcPr>
          <w:p w14:paraId="6A348DBF">
            <w:pPr>
              <w:widowControl/>
              <w:adjustRightInd/>
              <w:spacing w:line="240" w:lineRule="auto"/>
              <w:ind w:firstLine="0" w:firstLineChars="0"/>
              <w:jc w:val="center"/>
              <w:textAlignment w:val="auto"/>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866.82 </w:t>
            </w:r>
          </w:p>
        </w:tc>
      </w:tr>
    </w:tbl>
    <w:p w14:paraId="757C594A">
      <w:pPr>
        <w:spacing w:line="360" w:lineRule="auto"/>
        <w:rPr>
          <w:rFonts w:asciiTheme="minorEastAsia" w:hAnsiTheme="minorEastAsia" w:eastAsiaTheme="minorEastAsia"/>
          <w:szCs w:val="24"/>
        </w:rPr>
      </w:pPr>
    </w:p>
    <w:p w14:paraId="75A906BE">
      <w:pPr>
        <w:spacing w:line="360" w:lineRule="auto"/>
        <w:rPr>
          <w:rFonts w:asciiTheme="minorEastAsia" w:hAnsiTheme="minorEastAsia" w:eastAsiaTheme="minorEastAsia"/>
          <w:szCs w:val="24"/>
        </w:rPr>
      </w:pPr>
    </w:p>
    <w:p w14:paraId="0653EC8B">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大图12个月，小图24个月，过车数据3年。</w:t>
      </w:r>
    </w:p>
    <w:p w14:paraId="5CA645B2">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大图+小图+结构化信息存储量计算公式（考虑到25%的系统冗余量和磁盘格式损失）：</w:t>
      </w:r>
    </w:p>
    <w:p w14:paraId="71CC9627">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图片日增量（X）×每张图片大小(Y)×存储天数(T)×设备个数(N)/1024/1024/0.75＝W TB</w:t>
      </w:r>
    </w:p>
    <w:p w14:paraId="50A943DD">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如900W车辆卡口单元抓拍大图照片文件平均大小为1000KB；按单个抓拍机日均3000张抓拍量,</w:t>
      </w:r>
    </w:p>
    <w:p w14:paraId="089D4C21">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存储365天估算，容量计算公式如下：</w:t>
      </w:r>
    </w:p>
    <w:p w14:paraId="157E5579">
      <w:pPr>
        <w:spacing w:line="360" w:lineRule="auto"/>
        <w:rPr>
          <w:rFonts w:hint="eastAsia" w:asciiTheme="minorEastAsia" w:hAnsiTheme="minorEastAsia" w:eastAsiaTheme="minorEastAsia"/>
          <w:szCs w:val="24"/>
        </w:rPr>
      </w:pPr>
      <w:r>
        <w:rPr>
          <w:rFonts w:hint="eastAsia" w:asciiTheme="minorEastAsia" w:hAnsiTheme="minorEastAsia" w:eastAsiaTheme="minorEastAsia"/>
          <w:szCs w:val="24"/>
        </w:rPr>
        <w:t>1000KB×3000张×365天/1024/1024/1024/0.75≈1.3597 TB</w:t>
      </w:r>
    </w:p>
    <w:p w14:paraId="2AA1C160">
      <w:pPr>
        <w:spacing w:line="360" w:lineRule="auto"/>
        <w:rPr>
          <w:rFonts w:hint="eastAsia" w:asciiTheme="minorEastAsia" w:hAnsiTheme="minorEastAsia" w:eastAsiaTheme="minorEastAsia"/>
          <w:szCs w:val="24"/>
        </w:rPr>
      </w:pPr>
    </w:p>
    <w:tbl>
      <w:tblPr>
        <w:tblStyle w:val="31"/>
        <w:tblW w:w="9065" w:type="dxa"/>
        <w:tblInd w:w="0" w:type="dxa"/>
        <w:tblLayout w:type="autofit"/>
        <w:tblCellMar>
          <w:top w:w="0" w:type="dxa"/>
          <w:left w:w="108" w:type="dxa"/>
          <w:bottom w:w="0" w:type="dxa"/>
          <w:right w:w="108" w:type="dxa"/>
        </w:tblCellMar>
      </w:tblPr>
      <w:tblGrid>
        <w:gridCol w:w="936"/>
        <w:gridCol w:w="1482"/>
        <w:gridCol w:w="1056"/>
        <w:gridCol w:w="1176"/>
        <w:gridCol w:w="1427"/>
        <w:gridCol w:w="1294"/>
        <w:gridCol w:w="1694"/>
      </w:tblGrid>
      <w:tr w14:paraId="758A86EA">
        <w:tblPrEx>
          <w:tblCellMar>
            <w:top w:w="0" w:type="dxa"/>
            <w:left w:w="108" w:type="dxa"/>
            <w:bottom w:w="0" w:type="dxa"/>
            <w:right w:w="108" w:type="dxa"/>
          </w:tblCellMar>
        </w:tblPrEx>
        <w:trPr>
          <w:trHeight w:val="285" w:hRule="atLeast"/>
        </w:trPr>
        <w:tc>
          <w:tcPr>
            <w:tcW w:w="640" w:type="dxa"/>
            <w:tcBorders>
              <w:top w:val="single" w:color="auto" w:sz="12" w:space="0"/>
              <w:left w:val="single" w:color="auto" w:sz="12" w:space="0"/>
              <w:bottom w:val="single" w:color="auto" w:sz="4" w:space="0"/>
              <w:right w:val="single" w:color="auto" w:sz="4" w:space="0"/>
            </w:tcBorders>
            <w:vAlign w:val="center"/>
          </w:tcPr>
          <w:p w14:paraId="1A843F1E">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序号</w:t>
            </w:r>
          </w:p>
        </w:tc>
        <w:tc>
          <w:tcPr>
            <w:tcW w:w="1482" w:type="dxa"/>
            <w:tcBorders>
              <w:top w:val="single" w:color="auto" w:sz="12" w:space="0"/>
              <w:left w:val="nil"/>
              <w:bottom w:val="single" w:color="auto" w:sz="4" w:space="0"/>
              <w:right w:val="single" w:color="auto" w:sz="4" w:space="0"/>
            </w:tcBorders>
            <w:vAlign w:val="center"/>
          </w:tcPr>
          <w:p w14:paraId="5E762110">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设备类型</w:t>
            </w:r>
          </w:p>
        </w:tc>
        <w:tc>
          <w:tcPr>
            <w:tcW w:w="992" w:type="dxa"/>
            <w:tcBorders>
              <w:top w:val="single" w:color="auto" w:sz="12" w:space="0"/>
              <w:left w:val="nil"/>
              <w:bottom w:val="single" w:color="auto" w:sz="4" w:space="0"/>
              <w:right w:val="single" w:color="auto" w:sz="4" w:space="0"/>
            </w:tcBorders>
            <w:vAlign w:val="center"/>
          </w:tcPr>
          <w:p w14:paraId="74DF415E">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数量（台）</w:t>
            </w:r>
          </w:p>
        </w:tc>
        <w:tc>
          <w:tcPr>
            <w:tcW w:w="1134" w:type="dxa"/>
            <w:tcBorders>
              <w:top w:val="single" w:color="auto" w:sz="12" w:space="0"/>
              <w:left w:val="nil"/>
              <w:bottom w:val="single" w:color="auto" w:sz="4" w:space="0"/>
              <w:right w:val="single" w:color="auto" w:sz="4" w:space="0"/>
            </w:tcBorders>
            <w:vAlign w:val="center"/>
          </w:tcPr>
          <w:p w14:paraId="33DBBC31">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大图数据量（张/天）</w:t>
            </w:r>
          </w:p>
        </w:tc>
        <w:tc>
          <w:tcPr>
            <w:tcW w:w="1559" w:type="dxa"/>
            <w:tcBorders>
              <w:top w:val="single" w:color="auto" w:sz="12" w:space="0"/>
              <w:left w:val="nil"/>
              <w:bottom w:val="single" w:color="auto" w:sz="4" w:space="0"/>
              <w:right w:val="single" w:color="auto" w:sz="4" w:space="0"/>
            </w:tcBorders>
            <w:vAlign w:val="center"/>
          </w:tcPr>
          <w:p w14:paraId="0FCF862F">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大图存储(KB/张)</w:t>
            </w:r>
          </w:p>
        </w:tc>
        <w:tc>
          <w:tcPr>
            <w:tcW w:w="1418" w:type="dxa"/>
            <w:tcBorders>
              <w:top w:val="single" w:color="auto" w:sz="12" w:space="0"/>
              <w:left w:val="nil"/>
              <w:bottom w:val="single" w:color="auto" w:sz="4" w:space="0"/>
              <w:right w:val="single" w:color="auto" w:sz="4" w:space="0"/>
            </w:tcBorders>
            <w:vAlign w:val="center"/>
          </w:tcPr>
          <w:p w14:paraId="275B7F82">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存储时间(天)</w:t>
            </w:r>
          </w:p>
        </w:tc>
        <w:tc>
          <w:tcPr>
            <w:tcW w:w="1840" w:type="dxa"/>
            <w:tcBorders>
              <w:top w:val="single" w:color="auto" w:sz="12" w:space="0"/>
              <w:left w:val="nil"/>
              <w:bottom w:val="single" w:color="auto" w:sz="4" w:space="0"/>
              <w:right w:val="single" w:color="auto" w:sz="12" w:space="0"/>
            </w:tcBorders>
            <w:vAlign w:val="center"/>
          </w:tcPr>
          <w:p w14:paraId="7C376E2C">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存储空间（TB）</w:t>
            </w:r>
          </w:p>
        </w:tc>
      </w:tr>
      <w:tr w14:paraId="5A24086D">
        <w:tblPrEx>
          <w:tblCellMar>
            <w:top w:w="0" w:type="dxa"/>
            <w:left w:w="108" w:type="dxa"/>
            <w:bottom w:w="0" w:type="dxa"/>
            <w:right w:w="108" w:type="dxa"/>
          </w:tblCellMar>
        </w:tblPrEx>
        <w:trPr>
          <w:trHeight w:val="285" w:hRule="atLeast"/>
        </w:trPr>
        <w:tc>
          <w:tcPr>
            <w:tcW w:w="640" w:type="dxa"/>
            <w:tcBorders>
              <w:top w:val="nil"/>
              <w:left w:val="single" w:color="auto" w:sz="12" w:space="0"/>
              <w:bottom w:val="single" w:color="auto" w:sz="4" w:space="0"/>
              <w:right w:val="single" w:color="auto" w:sz="4" w:space="0"/>
            </w:tcBorders>
            <w:vAlign w:val="center"/>
          </w:tcPr>
          <w:p w14:paraId="5E66C5CD">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w:t>
            </w:r>
          </w:p>
        </w:tc>
        <w:tc>
          <w:tcPr>
            <w:tcW w:w="1482" w:type="dxa"/>
            <w:tcBorders>
              <w:top w:val="nil"/>
              <w:left w:val="nil"/>
              <w:bottom w:val="single" w:color="auto" w:sz="4" w:space="0"/>
              <w:right w:val="single" w:color="auto" w:sz="4" w:space="0"/>
            </w:tcBorders>
            <w:noWrap/>
            <w:vAlign w:val="center"/>
          </w:tcPr>
          <w:p w14:paraId="27BF40FC">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车辆卡口单元</w:t>
            </w:r>
          </w:p>
        </w:tc>
        <w:tc>
          <w:tcPr>
            <w:tcW w:w="992" w:type="dxa"/>
            <w:tcBorders>
              <w:top w:val="nil"/>
              <w:left w:val="nil"/>
              <w:bottom w:val="single" w:color="auto" w:sz="4" w:space="0"/>
              <w:right w:val="single" w:color="auto" w:sz="4" w:space="0"/>
            </w:tcBorders>
            <w:vAlign w:val="center"/>
          </w:tcPr>
          <w:p w14:paraId="6F2CD285">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57</w:t>
            </w:r>
          </w:p>
        </w:tc>
        <w:tc>
          <w:tcPr>
            <w:tcW w:w="1134" w:type="dxa"/>
            <w:tcBorders>
              <w:top w:val="nil"/>
              <w:left w:val="nil"/>
              <w:bottom w:val="single" w:color="auto" w:sz="4" w:space="0"/>
              <w:right w:val="single" w:color="auto" w:sz="4" w:space="0"/>
            </w:tcBorders>
            <w:vAlign w:val="center"/>
          </w:tcPr>
          <w:p w14:paraId="25952364">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3000</w:t>
            </w:r>
          </w:p>
        </w:tc>
        <w:tc>
          <w:tcPr>
            <w:tcW w:w="1559" w:type="dxa"/>
            <w:tcBorders>
              <w:top w:val="nil"/>
              <w:left w:val="nil"/>
              <w:bottom w:val="single" w:color="auto" w:sz="4" w:space="0"/>
              <w:right w:val="single" w:color="auto" w:sz="4" w:space="0"/>
            </w:tcBorders>
            <w:vAlign w:val="center"/>
          </w:tcPr>
          <w:p w14:paraId="657B7C88">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1000</w:t>
            </w:r>
          </w:p>
        </w:tc>
        <w:tc>
          <w:tcPr>
            <w:tcW w:w="1418" w:type="dxa"/>
            <w:tcBorders>
              <w:top w:val="nil"/>
              <w:left w:val="nil"/>
              <w:bottom w:val="single" w:color="auto" w:sz="4" w:space="0"/>
              <w:right w:val="single" w:color="auto" w:sz="4" w:space="0"/>
            </w:tcBorders>
            <w:vAlign w:val="center"/>
          </w:tcPr>
          <w:p w14:paraId="4D655901">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365</w:t>
            </w:r>
          </w:p>
        </w:tc>
        <w:tc>
          <w:tcPr>
            <w:tcW w:w="1840" w:type="dxa"/>
            <w:tcBorders>
              <w:top w:val="nil"/>
              <w:left w:val="nil"/>
              <w:bottom w:val="single" w:color="auto" w:sz="4" w:space="0"/>
              <w:right w:val="single" w:color="auto" w:sz="12" w:space="0"/>
            </w:tcBorders>
            <w:vAlign w:val="center"/>
          </w:tcPr>
          <w:p w14:paraId="44144EE9">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77.50 </w:t>
            </w:r>
          </w:p>
        </w:tc>
      </w:tr>
      <w:tr w14:paraId="5EBFB722">
        <w:tblPrEx>
          <w:tblCellMar>
            <w:top w:w="0" w:type="dxa"/>
            <w:left w:w="108" w:type="dxa"/>
            <w:bottom w:w="0" w:type="dxa"/>
            <w:right w:w="108" w:type="dxa"/>
          </w:tblCellMar>
        </w:tblPrEx>
        <w:trPr>
          <w:trHeight w:val="285" w:hRule="atLeast"/>
        </w:trPr>
        <w:tc>
          <w:tcPr>
            <w:tcW w:w="640" w:type="dxa"/>
            <w:tcBorders>
              <w:top w:val="nil"/>
              <w:left w:val="single" w:color="auto" w:sz="12" w:space="0"/>
              <w:bottom w:val="single" w:color="auto" w:sz="4" w:space="0"/>
              <w:right w:val="single" w:color="auto" w:sz="4" w:space="0"/>
            </w:tcBorders>
            <w:vAlign w:val="center"/>
          </w:tcPr>
          <w:p w14:paraId="336417E3">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w:t>
            </w:r>
          </w:p>
        </w:tc>
        <w:tc>
          <w:tcPr>
            <w:tcW w:w="1482" w:type="dxa"/>
            <w:tcBorders>
              <w:top w:val="nil"/>
              <w:left w:val="nil"/>
              <w:bottom w:val="single" w:color="auto" w:sz="4" w:space="0"/>
              <w:right w:val="single" w:color="auto" w:sz="4" w:space="0"/>
            </w:tcBorders>
            <w:noWrap/>
            <w:vAlign w:val="center"/>
          </w:tcPr>
          <w:p w14:paraId="21F53496">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全结构化摄像机</w:t>
            </w:r>
          </w:p>
        </w:tc>
        <w:tc>
          <w:tcPr>
            <w:tcW w:w="992" w:type="dxa"/>
            <w:tcBorders>
              <w:top w:val="nil"/>
              <w:left w:val="nil"/>
              <w:bottom w:val="single" w:color="auto" w:sz="4" w:space="0"/>
              <w:right w:val="single" w:color="auto" w:sz="4" w:space="0"/>
            </w:tcBorders>
            <w:vAlign w:val="center"/>
          </w:tcPr>
          <w:p w14:paraId="56EF1F27">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103</w:t>
            </w:r>
          </w:p>
        </w:tc>
        <w:tc>
          <w:tcPr>
            <w:tcW w:w="1134" w:type="dxa"/>
            <w:tcBorders>
              <w:top w:val="nil"/>
              <w:left w:val="nil"/>
              <w:bottom w:val="single" w:color="auto" w:sz="4" w:space="0"/>
              <w:right w:val="single" w:color="auto" w:sz="4" w:space="0"/>
            </w:tcBorders>
            <w:vAlign w:val="center"/>
          </w:tcPr>
          <w:p w14:paraId="2E8B1201">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3000</w:t>
            </w:r>
          </w:p>
        </w:tc>
        <w:tc>
          <w:tcPr>
            <w:tcW w:w="1559" w:type="dxa"/>
            <w:tcBorders>
              <w:top w:val="nil"/>
              <w:left w:val="nil"/>
              <w:bottom w:val="single" w:color="auto" w:sz="4" w:space="0"/>
              <w:right w:val="single" w:color="auto" w:sz="4" w:space="0"/>
            </w:tcBorders>
            <w:vAlign w:val="center"/>
          </w:tcPr>
          <w:p w14:paraId="283E8D5A">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1000</w:t>
            </w:r>
          </w:p>
        </w:tc>
        <w:tc>
          <w:tcPr>
            <w:tcW w:w="1418" w:type="dxa"/>
            <w:tcBorders>
              <w:top w:val="nil"/>
              <w:left w:val="nil"/>
              <w:bottom w:val="single" w:color="auto" w:sz="4" w:space="0"/>
              <w:right w:val="single" w:color="auto" w:sz="4" w:space="0"/>
            </w:tcBorders>
            <w:vAlign w:val="center"/>
          </w:tcPr>
          <w:p w14:paraId="02C17923">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365</w:t>
            </w:r>
          </w:p>
        </w:tc>
        <w:tc>
          <w:tcPr>
            <w:tcW w:w="1840" w:type="dxa"/>
            <w:tcBorders>
              <w:top w:val="nil"/>
              <w:left w:val="nil"/>
              <w:bottom w:val="single" w:color="auto" w:sz="4" w:space="0"/>
              <w:right w:val="single" w:color="auto" w:sz="12" w:space="0"/>
            </w:tcBorders>
            <w:vAlign w:val="center"/>
          </w:tcPr>
          <w:p w14:paraId="5350D31C">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140.05 </w:t>
            </w:r>
          </w:p>
        </w:tc>
      </w:tr>
      <w:tr w14:paraId="17154A52">
        <w:tblPrEx>
          <w:tblCellMar>
            <w:top w:w="0" w:type="dxa"/>
            <w:left w:w="108" w:type="dxa"/>
            <w:bottom w:w="0" w:type="dxa"/>
            <w:right w:w="108" w:type="dxa"/>
          </w:tblCellMar>
        </w:tblPrEx>
        <w:trPr>
          <w:trHeight w:val="285" w:hRule="atLeast"/>
        </w:trPr>
        <w:tc>
          <w:tcPr>
            <w:tcW w:w="7225" w:type="dxa"/>
            <w:gridSpan w:val="6"/>
            <w:tcBorders>
              <w:top w:val="single" w:color="auto" w:sz="4" w:space="0"/>
              <w:left w:val="single" w:color="auto" w:sz="12" w:space="0"/>
              <w:bottom w:val="single" w:color="auto" w:sz="12" w:space="0"/>
              <w:right w:val="single" w:color="000000" w:sz="4" w:space="0"/>
            </w:tcBorders>
            <w:vAlign w:val="center"/>
          </w:tcPr>
          <w:p w14:paraId="7BE17BA6">
            <w:pPr>
              <w:widowControl/>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大图一年存储空间小计</w:t>
            </w:r>
          </w:p>
        </w:tc>
        <w:tc>
          <w:tcPr>
            <w:tcW w:w="1840" w:type="dxa"/>
            <w:tcBorders>
              <w:top w:val="nil"/>
              <w:left w:val="nil"/>
              <w:bottom w:val="single" w:color="auto" w:sz="12" w:space="0"/>
              <w:right w:val="single" w:color="auto" w:sz="12" w:space="0"/>
            </w:tcBorders>
            <w:vAlign w:val="center"/>
          </w:tcPr>
          <w:p w14:paraId="14518984">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217.56 </w:t>
            </w:r>
          </w:p>
        </w:tc>
      </w:tr>
      <w:tr w14:paraId="28E996EB">
        <w:tblPrEx>
          <w:tblCellMar>
            <w:top w:w="0" w:type="dxa"/>
            <w:left w:w="108" w:type="dxa"/>
            <w:bottom w:w="0" w:type="dxa"/>
            <w:right w:w="108" w:type="dxa"/>
          </w:tblCellMar>
        </w:tblPrEx>
        <w:trPr>
          <w:trHeight w:val="285" w:hRule="atLeast"/>
        </w:trPr>
        <w:tc>
          <w:tcPr>
            <w:tcW w:w="640" w:type="dxa"/>
            <w:tcBorders>
              <w:top w:val="single" w:color="auto" w:sz="12" w:space="0"/>
              <w:left w:val="single" w:color="auto" w:sz="12" w:space="0"/>
              <w:bottom w:val="single" w:color="auto" w:sz="4" w:space="0"/>
              <w:right w:val="single" w:color="auto" w:sz="4" w:space="0"/>
            </w:tcBorders>
            <w:vAlign w:val="center"/>
          </w:tcPr>
          <w:p w14:paraId="26D0FC90">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序号</w:t>
            </w:r>
          </w:p>
        </w:tc>
        <w:tc>
          <w:tcPr>
            <w:tcW w:w="1482" w:type="dxa"/>
            <w:tcBorders>
              <w:top w:val="single" w:color="auto" w:sz="12" w:space="0"/>
              <w:left w:val="nil"/>
              <w:bottom w:val="single" w:color="auto" w:sz="4" w:space="0"/>
              <w:right w:val="single" w:color="auto" w:sz="4" w:space="0"/>
            </w:tcBorders>
            <w:vAlign w:val="center"/>
          </w:tcPr>
          <w:p w14:paraId="3A75F2CF">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设备类型</w:t>
            </w:r>
          </w:p>
        </w:tc>
        <w:tc>
          <w:tcPr>
            <w:tcW w:w="992" w:type="dxa"/>
            <w:tcBorders>
              <w:top w:val="single" w:color="auto" w:sz="12" w:space="0"/>
              <w:left w:val="nil"/>
              <w:bottom w:val="single" w:color="auto" w:sz="4" w:space="0"/>
              <w:right w:val="single" w:color="auto" w:sz="4" w:space="0"/>
            </w:tcBorders>
            <w:vAlign w:val="center"/>
          </w:tcPr>
          <w:p w14:paraId="59F0C883">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数量</w:t>
            </w:r>
          </w:p>
        </w:tc>
        <w:tc>
          <w:tcPr>
            <w:tcW w:w="1134" w:type="dxa"/>
            <w:tcBorders>
              <w:top w:val="single" w:color="auto" w:sz="12" w:space="0"/>
              <w:left w:val="nil"/>
              <w:bottom w:val="single" w:color="auto" w:sz="4" w:space="0"/>
              <w:right w:val="single" w:color="auto" w:sz="4" w:space="0"/>
            </w:tcBorders>
            <w:vAlign w:val="center"/>
          </w:tcPr>
          <w:p w14:paraId="05493737">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小图数据量/天</w:t>
            </w:r>
          </w:p>
        </w:tc>
        <w:tc>
          <w:tcPr>
            <w:tcW w:w="1559" w:type="dxa"/>
            <w:tcBorders>
              <w:top w:val="single" w:color="auto" w:sz="12" w:space="0"/>
              <w:left w:val="nil"/>
              <w:bottom w:val="single" w:color="auto" w:sz="4" w:space="0"/>
              <w:right w:val="single" w:color="auto" w:sz="4" w:space="0"/>
            </w:tcBorders>
            <w:vAlign w:val="center"/>
          </w:tcPr>
          <w:p w14:paraId="64D7E27D">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小图存储（KB/张）</w:t>
            </w:r>
          </w:p>
        </w:tc>
        <w:tc>
          <w:tcPr>
            <w:tcW w:w="1418" w:type="dxa"/>
            <w:tcBorders>
              <w:top w:val="single" w:color="auto" w:sz="12" w:space="0"/>
              <w:left w:val="nil"/>
              <w:bottom w:val="single" w:color="auto" w:sz="4" w:space="0"/>
              <w:right w:val="single" w:color="auto" w:sz="4" w:space="0"/>
            </w:tcBorders>
            <w:vAlign w:val="center"/>
          </w:tcPr>
          <w:p w14:paraId="4918C760">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存储时间(天)</w:t>
            </w:r>
          </w:p>
        </w:tc>
        <w:tc>
          <w:tcPr>
            <w:tcW w:w="1840" w:type="dxa"/>
            <w:tcBorders>
              <w:top w:val="single" w:color="auto" w:sz="12" w:space="0"/>
              <w:left w:val="nil"/>
              <w:bottom w:val="single" w:color="auto" w:sz="4" w:space="0"/>
              <w:right w:val="single" w:color="auto" w:sz="12" w:space="0"/>
            </w:tcBorders>
            <w:vAlign w:val="center"/>
          </w:tcPr>
          <w:p w14:paraId="56A59247">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存储空间（TB）</w:t>
            </w:r>
          </w:p>
        </w:tc>
      </w:tr>
      <w:tr w14:paraId="62B2E010">
        <w:tblPrEx>
          <w:tblCellMar>
            <w:top w:w="0" w:type="dxa"/>
            <w:left w:w="108" w:type="dxa"/>
            <w:bottom w:w="0" w:type="dxa"/>
            <w:right w:w="108" w:type="dxa"/>
          </w:tblCellMar>
        </w:tblPrEx>
        <w:trPr>
          <w:trHeight w:val="285" w:hRule="atLeast"/>
        </w:trPr>
        <w:tc>
          <w:tcPr>
            <w:tcW w:w="640" w:type="dxa"/>
            <w:tcBorders>
              <w:top w:val="nil"/>
              <w:left w:val="single" w:color="auto" w:sz="12" w:space="0"/>
              <w:bottom w:val="single" w:color="auto" w:sz="4" w:space="0"/>
              <w:right w:val="single" w:color="auto" w:sz="4" w:space="0"/>
            </w:tcBorders>
            <w:vAlign w:val="center"/>
          </w:tcPr>
          <w:p w14:paraId="244F8925">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w:t>
            </w:r>
          </w:p>
        </w:tc>
        <w:tc>
          <w:tcPr>
            <w:tcW w:w="1482" w:type="dxa"/>
            <w:tcBorders>
              <w:top w:val="nil"/>
              <w:left w:val="nil"/>
              <w:bottom w:val="single" w:color="auto" w:sz="4" w:space="0"/>
              <w:right w:val="single" w:color="auto" w:sz="4" w:space="0"/>
            </w:tcBorders>
            <w:noWrap/>
            <w:vAlign w:val="center"/>
          </w:tcPr>
          <w:p w14:paraId="1A4D06C4">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车辆卡口单元</w:t>
            </w:r>
          </w:p>
        </w:tc>
        <w:tc>
          <w:tcPr>
            <w:tcW w:w="992" w:type="dxa"/>
            <w:tcBorders>
              <w:top w:val="nil"/>
              <w:left w:val="nil"/>
              <w:bottom w:val="single" w:color="auto" w:sz="4" w:space="0"/>
              <w:right w:val="single" w:color="auto" w:sz="4" w:space="0"/>
            </w:tcBorders>
            <w:vAlign w:val="center"/>
          </w:tcPr>
          <w:p w14:paraId="18095B22">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57</w:t>
            </w:r>
          </w:p>
        </w:tc>
        <w:tc>
          <w:tcPr>
            <w:tcW w:w="1134" w:type="dxa"/>
            <w:tcBorders>
              <w:top w:val="nil"/>
              <w:left w:val="nil"/>
              <w:bottom w:val="single" w:color="auto" w:sz="4" w:space="0"/>
              <w:right w:val="single" w:color="auto" w:sz="4" w:space="0"/>
            </w:tcBorders>
            <w:vAlign w:val="center"/>
          </w:tcPr>
          <w:p w14:paraId="39F9D73B">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3000</w:t>
            </w:r>
          </w:p>
        </w:tc>
        <w:tc>
          <w:tcPr>
            <w:tcW w:w="1559" w:type="dxa"/>
            <w:tcBorders>
              <w:top w:val="nil"/>
              <w:left w:val="nil"/>
              <w:bottom w:val="single" w:color="auto" w:sz="4" w:space="0"/>
              <w:right w:val="single" w:color="auto" w:sz="4" w:space="0"/>
            </w:tcBorders>
            <w:vAlign w:val="center"/>
          </w:tcPr>
          <w:p w14:paraId="40C2CEE5">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80</w:t>
            </w:r>
          </w:p>
        </w:tc>
        <w:tc>
          <w:tcPr>
            <w:tcW w:w="1418" w:type="dxa"/>
            <w:tcBorders>
              <w:top w:val="nil"/>
              <w:left w:val="nil"/>
              <w:bottom w:val="single" w:color="auto" w:sz="4" w:space="0"/>
              <w:right w:val="single" w:color="auto" w:sz="4" w:space="0"/>
            </w:tcBorders>
            <w:vAlign w:val="center"/>
          </w:tcPr>
          <w:p w14:paraId="0C880694">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365</w:t>
            </w:r>
          </w:p>
        </w:tc>
        <w:tc>
          <w:tcPr>
            <w:tcW w:w="1840" w:type="dxa"/>
            <w:tcBorders>
              <w:top w:val="nil"/>
              <w:left w:val="nil"/>
              <w:bottom w:val="single" w:color="auto" w:sz="4" w:space="0"/>
              <w:right w:val="single" w:color="auto" w:sz="12" w:space="0"/>
            </w:tcBorders>
            <w:vAlign w:val="center"/>
          </w:tcPr>
          <w:p w14:paraId="59711802">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6.20 </w:t>
            </w:r>
          </w:p>
        </w:tc>
      </w:tr>
      <w:tr w14:paraId="1DF59921">
        <w:tblPrEx>
          <w:tblCellMar>
            <w:top w:w="0" w:type="dxa"/>
            <w:left w:w="108" w:type="dxa"/>
            <w:bottom w:w="0" w:type="dxa"/>
            <w:right w:w="108" w:type="dxa"/>
          </w:tblCellMar>
        </w:tblPrEx>
        <w:trPr>
          <w:trHeight w:val="285" w:hRule="atLeast"/>
        </w:trPr>
        <w:tc>
          <w:tcPr>
            <w:tcW w:w="640" w:type="dxa"/>
            <w:tcBorders>
              <w:top w:val="nil"/>
              <w:left w:val="single" w:color="auto" w:sz="12" w:space="0"/>
              <w:bottom w:val="single" w:color="auto" w:sz="4" w:space="0"/>
              <w:right w:val="single" w:color="auto" w:sz="4" w:space="0"/>
            </w:tcBorders>
            <w:vAlign w:val="center"/>
          </w:tcPr>
          <w:p w14:paraId="034AAFC4">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w:t>
            </w:r>
          </w:p>
        </w:tc>
        <w:tc>
          <w:tcPr>
            <w:tcW w:w="1482" w:type="dxa"/>
            <w:tcBorders>
              <w:top w:val="nil"/>
              <w:left w:val="nil"/>
              <w:bottom w:val="single" w:color="auto" w:sz="4" w:space="0"/>
              <w:right w:val="single" w:color="auto" w:sz="4" w:space="0"/>
            </w:tcBorders>
            <w:noWrap/>
            <w:vAlign w:val="center"/>
          </w:tcPr>
          <w:p w14:paraId="63459F88">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全结构化摄像机</w:t>
            </w:r>
          </w:p>
        </w:tc>
        <w:tc>
          <w:tcPr>
            <w:tcW w:w="992" w:type="dxa"/>
            <w:tcBorders>
              <w:top w:val="nil"/>
              <w:left w:val="nil"/>
              <w:bottom w:val="single" w:color="auto" w:sz="4" w:space="0"/>
              <w:right w:val="single" w:color="auto" w:sz="4" w:space="0"/>
            </w:tcBorders>
            <w:vAlign w:val="center"/>
          </w:tcPr>
          <w:p w14:paraId="0106207E">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103</w:t>
            </w:r>
          </w:p>
        </w:tc>
        <w:tc>
          <w:tcPr>
            <w:tcW w:w="1134" w:type="dxa"/>
            <w:tcBorders>
              <w:top w:val="nil"/>
              <w:left w:val="nil"/>
              <w:bottom w:val="single" w:color="auto" w:sz="4" w:space="0"/>
              <w:right w:val="single" w:color="auto" w:sz="4" w:space="0"/>
            </w:tcBorders>
            <w:vAlign w:val="center"/>
          </w:tcPr>
          <w:p w14:paraId="63194475">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3000</w:t>
            </w:r>
          </w:p>
        </w:tc>
        <w:tc>
          <w:tcPr>
            <w:tcW w:w="1559" w:type="dxa"/>
            <w:tcBorders>
              <w:top w:val="nil"/>
              <w:left w:val="nil"/>
              <w:bottom w:val="single" w:color="auto" w:sz="4" w:space="0"/>
              <w:right w:val="single" w:color="auto" w:sz="4" w:space="0"/>
            </w:tcBorders>
            <w:vAlign w:val="center"/>
          </w:tcPr>
          <w:p w14:paraId="5B642FAB">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80</w:t>
            </w:r>
          </w:p>
        </w:tc>
        <w:tc>
          <w:tcPr>
            <w:tcW w:w="1418" w:type="dxa"/>
            <w:tcBorders>
              <w:top w:val="nil"/>
              <w:left w:val="nil"/>
              <w:bottom w:val="single" w:color="auto" w:sz="4" w:space="0"/>
              <w:right w:val="single" w:color="auto" w:sz="4" w:space="0"/>
            </w:tcBorders>
            <w:vAlign w:val="center"/>
          </w:tcPr>
          <w:p w14:paraId="2D859F65">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365</w:t>
            </w:r>
          </w:p>
        </w:tc>
        <w:tc>
          <w:tcPr>
            <w:tcW w:w="1840" w:type="dxa"/>
            <w:tcBorders>
              <w:top w:val="nil"/>
              <w:left w:val="nil"/>
              <w:bottom w:val="single" w:color="auto" w:sz="4" w:space="0"/>
              <w:right w:val="single" w:color="auto" w:sz="12" w:space="0"/>
            </w:tcBorders>
            <w:vAlign w:val="center"/>
          </w:tcPr>
          <w:p w14:paraId="7A40AB39">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11.20 </w:t>
            </w:r>
          </w:p>
        </w:tc>
      </w:tr>
      <w:tr w14:paraId="5B42D1C5">
        <w:tblPrEx>
          <w:tblCellMar>
            <w:top w:w="0" w:type="dxa"/>
            <w:left w:w="108" w:type="dxa"/>
            <w:bottom w:w="0" w:type="dxa"/>
            <w:right w:w="108" w:type="dxa"/>
          </w:tblCellMar>
        </w:tblPrEx>
        <w:trPr>
          <w:trHeight w:val="285" w:hRule="atLeast"/>
        </w:trPr>
        <w:tc>
          <w:tcPr>
            <w:tcW w:w="7225" w:type="dxa"/>
            <w:gridSpan w:val="6"/>
            <w:tcBorders>
              <w:top w:val="single" w:color="auto" w:sz="4" w:space="0"/>
              <w:left w:val="single" w:color="auto" w:sz="12" w:space="0"/>
              <w:bottom w:val="single" w:color="auto" w:sz="4" w:space="0"/>
              <w:right w:val="single" w:color="000000" w:sz="4" w:space="0"/>
            </w:tcBorders>
            <w:vAlign w:val="center"/>
          </w:tcPr>
          <w:p w14:paraId="72003E5C">
            <w:pPr>
              <w:widowControl/>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小图一年存储空间小计</w:t>
            </w:r>
          </w:p>
        </w:tc>
        <w:tc>
          <w:tcPr>
            <w:tcW w:w="1840" w:type="dxa"/>
            <w:tcBorders>
              <w:top w:val="nil"/>
              <w:left w:val="nil"/>
              <w:bottom w:val="single" w:color="auto" w:sz="4" w:space="0"/>
              <w:right w:val="single" w:color="auto" w:sz="12" w:space="0"/>
            </w:tcBorders>
            <w:vAlign w:val="center"/>
          </w:tcPr>
          <w:p w14:paraId="0E65322E">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17.40 </w:t>
            </w:r>
          </w:p>
        </w:tc>
      </w:tr>
      <w:tr w14:paraId="41C1B0B7">
        <w:tblPrEx>
          <w:tblCellMar>
            <w:top w:w="0" w:type="dxa"/>
            <w:left w:w="108" w:type="dxa"/>
            <w:bottom w:w="0" w:type="dxa"/>
            <w:right w:w="108" w:type="dxa"/>
          </w:tblCellMar>
        </w:tblPrEx>
        <w:trPr>
          <w:trHeight w:val="285" w:hRule="atLeast"/>
        </w:trPr>
        <w:tc>
          <w:tcPr>
            <w:tcW w:w="7225" w:type="dxa"/>
            <w:gridSpan w:val="6"/>
            <w:tcBorders>
              <w:top w:val="single" w:color="auto" w:sz="4" w:space="0"/>
              <w:left w:val="single" w:color="auto" w:sz="12" w:space="0"/>
              <w:bottom w:val="single" w:color="auto" w:sz="12" w:space="0"/>
              <w:right w:val="single" w:color="000000" w:sz="4" w:space="0"/>
            </w:tcBorders>
            <w:vAlign w:val="center"/>
          </w:tcPr>
          <w:p w14:paraId="2D766236">
            <w:pPr>
              <w:widowControl/>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合计：大图一年存储空间小计+小图一年存储空间小计</w:t>
            </w:r>
          </w:p>
        </w:tc>
        <w:tc>
          <w:tcPr>
            <w:tcW w:w="1840" w:type="dxa"/>
            <w:tcBorders>
              <w:top w:val="nil"/>
              <w:left w:val="nil"/>
              <w:bottom w:val="single" w:color="auto" w:sz="12" w:space="0"/>
              <w:right w:val="single" w:color="auto" w:sz="12" w:space="0"/>
            </w:tcBorders>
            <w:vAlign w:val="center"/>
          </w:tcPr>
          <w:p w14:paraId="31A27DD2">
            <w:pPr>
              <w:widowControl/>
              <w:jc w:val="center"/>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234.96 </w:t>
            </w:r>
          </w:p>
        </w:tc>
      </w:tr>
    </w:tbl>
    <w:p w14:paraId="1696B4B5">
      <w:pPr>
        <w:spacing w:line="360" w:lineRule="auto"/>
      </w:pPr>
    </w:p>
    <w:p w14:paraId="3EA524A3">
      <w:pPr>
        <w:spacing w:line="360" w:lineRule="auto"/>
        <w:rPr>
          <w:rFonts w:hint="eastAsia"/>
        </w:rPr>
      </w:pPr>
      <w:r>
        <w:t>视频文件为循环覆盖存储，设备不增加的情况下，未来3-5年不涉及未来存储需求和数据量增长。</w:t>
      </w:r>
    </w:p>
    <w:p w14:paraId="607B57FB">
      <w:pPr>
        <w:spacing w:line="360" w:lineRule="auto"/>
        <w:rPr>
          <w:rFonts w:hint="eastAsia"/>
        </w:rPr>
      </w:pPr>
      <w:r>
        <w:rPr>
          <w:rFonts w:hint="eastAsia"/>
        </w:rPr>
        <w:t>本项目视频监控系统存储需求经专业测算，视频存储部分按30天常规周期计算理论需求866.82TB，结合重点监控点位90天延长存储要求进行冗余设计后确定为1000TB；</w:t>
      </w:r>
    </w:p>
    <w:p w14:paraId="76EB1F0F">
      <w:pPr>
        <w:spacing w:line="360" w:lineRule="auto"/>
        <w:rPr>
          <w:rFonts w:hint="eastAsia"/>
        </w:rPr>
      </w:pPr>
      <w:r>
        <w:rPr>
          <w:rFonts w:hint="eastAsia"/>
        </w:rPr>
        <w:t>图片存储系统采用分级策略，其中大图按365天周期设计需217.56TB，小图按730天周期配置需34.8TB（即单周期17.4TB的2倍），图片总需求为252.36TB；经系统集成计算，视频与图片存储总容量需求为1252.36TB。</w:t>
      </w:r>
    </w:p>
    <w:p w14:paraId="35136B5A">
      <w:pPr>
        <w:spacing w:line="360" w:lineRule="auto"/>
      </w:pPr>
      <w:r>
        <w:rPr>
          <w:rFonts w:hint="eastAsia"/>
        </w:rPr>
        <w:t>所有存储周期设计严格遵循GB/T28181-2016《安全防范视频监控联网系统信息传输、交换、控制技术要求》及实际业务规范，核心存储需求明确为视频1000TB、图片252.36TB。</w:t>
      </w:r>
    </w:p>
    <w:p w14:paraId="404183FD">
      <w:pPr>
        <w:spacing w:line="360" w:lineRule="auto"/>
        <w:rPr>
          <w:rFonts w:hint="eastAsia"/>
        </w:rPr>
      </w:pPr>
    </w:p>
    <w:p w14:paraId="75A45F9D">
      <w:pPr>
        <w:ind w:firstLine="0" w:firstLineChars="0"/>
      </w:pPr>
    </w:p>
    <w:p w14:paraId="4647BC89">
      <w:pPr>
        <w:ind w:firstLine="0" w:firstLineChars="0"/>
      </w:pPr>
    </w:p>
    <w:p w14:paraId="4697FC7C"/>
    <w:bookmarkEnd w:id="53"/>
    <w:p w14:paraId="6F778FC4">
      <w:pPr>
        <w:pStyle w:val="3"/>
        <w:spacing w:before="0" w:after="0" w:line="300" w:lineRule="auto"/>
      </w:pPr>
      <w:bookmarkStart w:id="54" w:name="_Toc166686087"/>
      <w:r>
        <w:rPr>
          <w:rFonts w:hint="eastAsia"/>
        </w:rPr>
        <w:t>人脸识别系统建设</w:t>
      </w:r>
      <w:bookmarkEnd w:id="54"/>
    </w:p>
    <w:p w14:paraId="66E9CCD8">
      <w:pPr>
        <w:rPr>
          <w:rFonts w:hint="eastAsia" w:ascii="宋体" w:hAnsi="宋体"/>
          <w:color w:val="000000"/>
        </w:rPr>
      </w:pPr>
      <w:r>
        <w:rPr>
          <w:rFonts w:hint="eastAsia" w:ascii="宋体" w:hAnsi="宋体"/>
          <w:color w:val="000000"/>
        </w:rPr>
        <w:t>为满足人像图片流解析及聚档需求，需对人像大数据感知平台进行扩容。</w:t>
      </w:r>
    </w:p>
    <w:p w14:paraId="5D2BB20A">
      <w:r>
        <w:rPr>
          <w:rFonts w:hint="eastAsia"/>
        </w:rPr>
        <w:t>人像大数据感知平台性能要求：</w:t>
      </w:r>
    </w:p>
    <w:p w14:paraId="78C22DFD">
      <w:r>
        <w:rPr>
          <w:rFonts w:hint="eastAsia"/>
        </w:rPr>
        <w:t>1、支持1：N比对，上传一张人像，在人像库中找到与其最相似的，确认目标人员身份。</w:t>
      </w:r>
    </w:p>
    <w:p w14:paraId="1DB31424">
      <w:pPr>
        <w:jc w:val="left"/>
      </w:pPr>
      <w:r>
        <w:rPr>
          <w:rFonts w:hint="eastAsia"/>
        </w:rPr>
        <w:t>2、支持n:N交叉检索 在两个或多个人像库之间进行交叉比对，找到同时出现的人像，可增量持续自动比对。</w:t>
      </w:r>
    </w:p>
    <w:p w14:paraId="4C6B35F6">
      <w:pPr>
        <w:jc w:val="left"/>
      </w:pPr>
      <w:r>
        <w:rPr>
          <w:rFonts w:hint="eastAsia"/>
        </w:rPr>
        <w:t>3、支持同人多帧检索  可以一次性最多上传10张照片，点击检索出的路人照片。</w:t>
      </w:r>
    </w:p>
    <w:p w14:paraId="056CAAF8">
      <w:r>
        <w:rPr>
          <w:rFonts w:hint="eastAsia"/>
        </w:rPr>
        <w:t>4、布控报警 支持查看任意时间段内的抓拍和报警信息，同时支持导出报警信息。</w:t>
      </w:r>
    </w:p>
    <w:p w14:paraId="480207F1">
      <w:r>
        <w:rPr>
          <w:rFonts w:hint="eastAsia"/>
        </w:rPr>
        <w:t>5、1000万人脸库规模下，单张人脸图片进行以脸搜脸检索后台平均响应速度不超过0.5秒。</w:t>
      </w:r>
    </w:p>
    <w:p w14:paraId="10F77FC5">
      <w:r>
        <w:rPr>
          <w:rFonts w:hint="eastAsia"/>
        </w:rPr>
        <w:t xml:space="preserve">6、人脸图像识别：支持识别30×30像素~7000×8000像素的人脸图片； </w:t>
      </w:r>
    </w:p>
    <w:p w14:paraId="01ED6C88">
      <w:r>
        <w:rPr>
          <w:rFonts w:hint="eastAsia"/>
        </w:rPr>
        <w:t>7、报警响应时间：千万人脸库规模下，布控报警平均响应时间不超过0.5秒；</w:t>
      </w:r>
    </w:p>
    <w:p w14:paraId="0C694738">
      <w:r>
        <w:rPr>
          <w:rFonts w:hint="eastAsia"/>
        </w:rPr>
        <w:t xml:space="preserve">8、支持轨迹管理 通过时间、空间和人员的对应关系，用于描绘某一人员时空行为曲线。通过对历史轨迹的研判，可以找出此人的活动规律，定位人员即时坐标，预测人员行为目的。 </w:t>
      </w:r>
    </w:p>
    <w:p w14:paraId="3DDDF076">
      <w:r>
        <w:rPr>
          <w:rFonts w:hint="eastAsia"/>
        </w:rPr>
        <w:t>9、支持比对识别两眼瞳距不小于20像素点的人脸图片功能。</w:t>
      </w:r>
    </w:p>
    <w:p w14:paraId="552EF0E9">
      <w:r>
        <w:rPr>
          <w:rFonts w:hint="eastAsia"/>
        </w:rPr>
        <w:t>10、对于遮挡不大于1/3的人脸，人脸遮挡检出率大于99%，人脸遮挡识别准确率大于95%。提供公安部相关机构出具的检测报告（投标文件中上传原件扫描件）</w:t>
      </w:r>
    </w:p>
    <w:p w14:paraId="34C158B9">
      <w:r>
        <w:rPr>
          <w:rFonts w:hint="eastAsia"/>
        </w:rPr>
        <w:t>11、支持抓拍汇聚 将区域摄像头抓拍到的人脸照不断汇聚到系统中对应的个人档案，以便系统以及公安人员了解抓拍信息（人脸照、抓拍时间、抓拍地点等）对应的人员是谁，从而支撑其他大数据功能的实现。</w:t>
      </w:r>
    </w:p>
    <w:p w14:paraId="0E76E9E5">
      <w:pPr>
        <w:pStyle w:val="4"/>
      </w:pPr>
      <w:bookmarkStart w:id="55" w:name="_Toc166686088"/>
      <w:r>
        <w:rPr>
          <w:rFonts w:hint="eastAsia"/>
        </w:rPr>
        <w:t>图像围栏L1/L2基础应用（公安网）</w:t>
      </w:r>
      <w:bookmarkEnd w:id="55"/>
    </w:p>
    <w:p w14:paraId="2B5CA3BF">
      <w:r>
        <w:rPr>
          <w:rFonts w:hint="eastAsia"/>
        </w:rPr>
        <w:t>图像围栏</w:t>
      </w:r>
      <w:r>
        <w:t>L1/L2</w:t>
      </w:r>
      <w:r>
        <w:rPr>
          <w:rFonts w:hint="eastAsia"/>
        </w:rPr>
        <w:t>基础应用侧本期建设主要包含人像基础应用模块、静态人像库标准许可、路人快速检索应用模块三个模块。</w:t>
      </w:r>
    </w:p>
    <w:p w14:paraId="61EB9BCC">
      <w:pPr>
        <w:pStyle w:val="4"/>
      </w:pPr>
      <w:bookmarkStart w:id="56" w:name="_Toc166686089"/>
      <w:r>
        <w:rPr>
          <w:rFonts w:hint="eastAsia"/>
        </w:rPr>
        <w:t>图像围栏L3/L4大数据应用（公安网）</w:t>
      </w:r>
      <w:bookmarkEnd w:id="56"/>
    </w:p>
    <w:p w14:paraId="2ADF2844">
      <w:pPr>
        <w:sectPr>
          <w:pgSz w:w="11907" w:h="16840"/>
          <w:pgMar w:top="1701" w:right="1418" w:bottom="1418" w:left="1418" w:header="1134" w:footer="1021" w:gutter="0"/>
          <w:cols w:space="425" w:num="1"/>
          <w:docGrid w:linePitch="381" w:charSpace="0"/>
        </w:sectPr>
      </w:pPr>
      <w:r>
        <w:rPr>
          <w:rFonts w:hint="eastAsia"/>
        </w:rPr>
        <w:t>图像围栏L3/L4大数据应用（公安网）侧本期建设主要包含聚档授权许可、一人一档功能模块、人员关系分析功能模块、以人找人功能模块、落脚点分析功能模块、涉毒人员分析功能模块6个模块。</w:t>
      </w:r>
    </w:p>
    <w:p w14:paraId="27E1411E">
      <w:pPr>
        <w:pStyle w:val="3"/>
        <w:spacing w:before="0" w:after="0" w:line="300" w:lineRule="auto"/>
      </w:pPr>
      <w:bookmarkStart w:id="57" w:name="_Toc166686090"/>
      <w:r>
        <w:rPr>
          <w:rFonts w:hint="eastAsia"/>
        </w:rPr>
        <w:t>网络安全</w:t>
      </w:r>
      <w:bookmarkEnd w:id="57"/>
    </w:p>
    <w:p w14:paraId="5095F49B">
      <w:pPr>
        <w:pStyle w:val="4"/>
        <w:ind w:left="226"/>
      </w:pPr>
      <w:bookmarkStart w:id="58" w:name="_Toc166686091"/>
      <w:bookmarkStart w:id="59" w:name="_Toc78880520"/>
      <w:r>
        <w:rPr>
          <w:rFonts w:hint="eastAsia"/>
        </w:rPr>
        <w:t>系统建设概述</w:t>
      </w:r>
      <w:bookmarkEnd w:id="58"/>
      <w:bookmarkEnd w:id="59"/>
    </w:p>
    <w:p w14:paraId="23D5BE38">
      <w:r>
        <w:rPr>
          <w:rFonts w:hint="eastAsia"/>
        </w:rPr>
        <w:t>依照国家《计算机信息系统安全保护等级划分准则》、《信息系统安全等级保护基本要求》、《信息系统安全保护等级定级指南》等标准，为满足物理安全、网络安全、主机安全、应用安全、数据安全五个方面的基本要求进行技术体系建设。使得公安视频图像网的保护建设方案最终既可以满足等级保护相关要求，又能够全方面为公安视频图像网业务系统提供立体、纵深的安全保障防御体系，保证信息系统整体的安全。</w:t>
      </w:r>
    </w:p>
    <w:p w14:paraId="59EF3100">
      <w:pPr>
        <w:pStyle w:val="4"/>
        <w:ind w:left="226"/>
      </w:pPr>
      <w:bookmarkStart w:id="60" w:name="_Toc78880521"/>
      <w:bookmarkStart w:id="61" w:name="_Toc73463046"/>
      <w:bookmarkStart w:id="62" w:name="_Toc166686092"/>
      <w:bookmarkStart w:id="63" w:name="_Toc12963"/>
      <w:r>
        <w:rPr>
          <w:rFonts w:hint="eastAsia"/>
        </w:rPr>
        <w:t>安全域划分</w:t>
      </w:r>
      <w:bookmarkEnd w:id="60"/>
      <w:bookmarkEnd w:id="61"/>
      <w:bookmarkEnd w:id="62"/>
      <w:bookmarkEnd w:id="63"/>
    </w:p>
    <w:p w14:paraId="4837B1DA">
      <w:pPr>
        <w:pStyle w:val="89"/>
        <w:spacing w:before="0" w:after="0" w:line="300" w:lineRule="auto"/>
      </w:pPr>
      <w:r>
        <w:rPr>
          <w:rFonts w:hint="eastAsia"/>
        </w:rPr>
        <w:t>安全域是指同一系统内具有相同安全保护需求，相互信任，并具有相同安全访问控制和边界控制策略的网络或系统。安全区域的划分不仅为建设信息安全保障体系提供了基础，而且能将纵深防御思想和公安行业的等级保护思想在公安网络安全建设中得到良好的应用。划分安全域主要根据信息系统的行为来进行，由于具备不同行为的信息系统面临的安全威胁不同，因此实际划分的时候应该根据信息系统承载不同的应用，实现不同的功能，不同的管理模式，对应用系统、基础网络进行分割管理，并在此基础上进行安全域的划分，明确不同的安全防护边界，并进行合理归类，统一的管理。</w:t>
      </w:r>
    </w:p>
    <w:p w14:paraId="1BAEE4C5">
      <w:pPr>
        <w:pStyle w:val="89"/>
        <w:spacing w:before="0" w:after="0" w:line="300" w:lineRule="auto"/>
      </w:pPr>
      <w:r>
        <w:rPr>
          <w:rFonts w:hint="eastAsia"/>
        </w:rPr>
        <w:t>具体</w:t>
      </w:r>
      <w:r>
        <w:t>划分如下：</w:t>
      </w:r>
    </w:p>
    <w:p w14:paraId="1F8B149D">
      <w:pPr>
        <w:pStyle w:val="12"/>
        <w:ind w:firstLine="0" w:firstLineChars="0"/>
        <w:jc w:val="center"/>
      </w:pPr>
      <w:r>
        <w:rPr>
          <w:rFonts w:hint="eastAsia"/>
        </w:rPr>
        <w:t xml:space="preserve">表格 </w:t>
      </w:r>
      <w:r>
        <w:t>5.5</w:t>
      </w:r>
      <w:r>
        <w:noBreakHyphen/>
      </w:r>
      <w:r>
        <w:fldChar w:fldCharType="begin"/>
      </w:r>
      <w:r>
        <w:instrText xml:space="preserve"> </w:instrText>
      </w:r>
      <w:r>
        <w:rPr>
          <w:rFonts w:hint="eastAsia"/>
        </w:rPr>
        <w:instrText xml:space="preserve">SEQ 表格 \* ARABIC \s 2</w:instrText>
      </w:r>
      <w:r>
        <w:instrText xml:space="preserve"> </w:instrText>
      </w:r>
      <w:r>
        <w:fldChar w:fldCharType="separate"/>
      </w:r>
      <w:r>
        <w:t>1</w:t>
      </w:r>
      <w:r>
        <w:fldChar w:fldCharType="end"/>
      </w:r>
      <w:r>
        <w:t>安全域划分表</w:t>
      </w:r>
    </w:p>
    <w:tbl>
      <w:tblPr>
        <w:tblStyle w:val="31"/>
        <w:tblW w:w="9017" w:type="dxa"/>
        <w:tblInd w:w="96" w:type="dxa"/>
        <w:tblLayout w:type="autofit"/>
        <w:tblCellMar>
          <w:top w:w="0" w:type="dxa"/>
          <w:left w:w="108" w:type="dxa"/>
          <w:bottom w:w="0" w:type="dxa"/>
          <w:right w:w="108" w:type="dxa"/>
        </w:tblCellMar>
      </w:tblPr>
      <w:tblGrid>
        <w:gridCol w:w="740"/>
        <w:gridCol w:w="1843"/>
        <w:gridCol w:w="6434"/>
      </w:tblGrid>
      <w:tr w14:paraId="1F6E59F3">
        <w:tblPrEx>
          <w:tblCellMar>
            <w:top w:w="0" w:type="dxa"/>
            <w:left w:w="108" w:type="dxa"/>
            <w:bottom w:w="0" w:type="dxa"/>
            <w:right w:w="108" w:type="dxa"/>
          </w:tblCellMar>
        </w:tblPrEx>
        <w:trPr>
          <w:trHeight w:val="280" w:hRule="atLeast"/>
          <w:tblHeader/>
        </w:trPr>
        <w:tc>
          <w:tcPr>
            <w:tcW w:w="740" w:type="dxa"/>
            <w:tcBorders>
              <w:top w:val="single" w:color="000000" w:sz="12" w:space="0"/>
              <w:left w:val="single" w:color="000000" w:sz="12" w:space="0"/>
              <w:bottom w:val="single" w:color="000000" w:sz="4" w:space="0"/>
              <w:right w:val="single" w:color="000000" w:sz="4" w:space="0"/>
            </w:tcBorders>
            <w:shd w:val="clear" w:color="auto" w:fill="A5A5A5"/>
            <w:vAlign w:val="center"/>
          </w:tcPr>
          <w:p w14:paraId="35A2839B">
            <w:pPr>
              <w:widowControl/>
              <w:ind w:firstLine="0" w:firstLineChars="0"/>
              <w:jc w:val="center"/>
              <w:textAlignment w:val="top"/>
              <w:rPr>
                <w:rFonts w:hint="eastAsia" w:ascii="宋体" w:hAnsi="宋体" w:cs="宋体"/>
                <w:b/>
                <w:bCs/>
                <w:color w:val="000000"/>
                <w:sz w:val="21"/>
                <w:szCs w:val="21"/>
              </w:rPr>
            </w:pPr>
            <w:r>
              <w:rPr>
                <w:rFonts w:hint="eastAsia" w:ascii="宋体" w:hAnsi="宋体" w:cs="宋体"/>
                <w:b/>
                <w:bCs/>
                <w:color w:val="000000"/>
                <w:sz w:val="21"/>
                <w:szCs w:val="21"/>
                <w:lang w:bidi="ar"/>
              </w:rPr>
              <w:t>序号</w:t>
            </w:r>
          </w:p>
        </w:tc>
        <w:tc>
          <w:tcPr>
            <w:tcW w:w="1843" w:type="dxa"/>
            <w:tcBorders>
              <w:top w:val="single" w:color="000000" w:sz="12" w:space="0"/>
              <w:left w:val="single" w:color="000000" w:sz="4" w:space="0"/>
              <w:bottom w:val="single" w:color="000000" w:sz="4" w:space="0"/>
              <w:right w:val="single" w:color="000000" w:sz="4" w:space="0"/>
            </w:tcBorders>
            <w:shd w:val="clear" w:color="auto" w:fill="A5A5A5"/>
            <w:vAlign w:val="center"/>
          </w:tcPr>
          <w:p w14:paraId="369FB078">
            <w:pPr>
              <w:widowControl/>
              <w:ind w:firstLine="0" w:firstLineChars="0"/>
              <w:jc w:val="center"/>
              <w:textAlignment w:val="top"/>
              <w:rPr>
                <w:rFonts w:hint="eastAsia" w:ascii="宋体" w:hAnsi="宋体" w:cs="宋体"/>
                <w:b/>
                <w:bCs/>
                <w:color w:val="000000"/>
                <w:sz w:val="21"/>
                <w:szCs w:val="21"/>
              </w:rPr>
            </w:pPr>
            <w:r>
              <w:rPr>
                <w:rFonts w:hint="eastAsia" w:ascii="宋体" w:hAnsi="宋体" w:cs="宋体"/>
                <w:b/>
                <w:bCs/>
                <w:color w:val="000000"/>
                <w:sz w:val="21"/>
                <w:szCs w:val="21"/>
                <w:lang w:bidi="ar"/>
              </w:rPr>
              <w:t>名称</w:t>
            </w:r>
          </w:p>
        </w:tc>
        <w:tc>
          <w:tcPr>
            <w:tcW w:w="6434" w:type="dxa"/>
            <w:tcBorders>
              <w:top w:val="single" w:color="000000" w:sz="12" w:space="0"/>
              <w:left w:val="single" w:color="000000" w:sz="4" w:space="0"/>
              <w:bottom w:val="single" w:color="000000" w:sz="4" w:space="0"/>
              <w:right w:val="single" w:color="000000" w:sz="12" w:space="0"/>
            </w:tcBorders>
            <w:shd w:val="clear" w:color="auto" w:fill="A5A5A5"/>
            <w:vAlign w:val="center"/>
          </w:tcPr>
          <w:p w14:paraId="2741B94C">
            <w:pPr>
              <w:widowControl/>
              <w:ind w:firstLine="0" w:firstLineChars="0"/>
              <w:jc w:val="center"/>
              <w:textAlignment w:val="top"/>
              <w:rPr>
                <w:rFonts w:hint="eastAsia" w:ascii="宋体" w:hAnsi="宋体" w:cs="宋体"/>
                <w:b/>
                <w:bCs/>
                <w:color w:val="000000"/>
                <w:sz w:val="21"/>
                <w:szCs w:val="21"/>
              </w:rPr>
            </w:pPr>
            <w:r>
              <w:rPr>
                <w:rFonts w:hint="eastAsia" w:ascii="宋体" w:hAnsi="宋体" w:cs="宋体"/>
                <w:b/>
                <w:bCs/>
                <w:color w:val="000000"/>
                <w:sz w:val="21"/>
                <w:szCs w:val="21"/>
                <w:lang w:bidi="ar"/>
              </w:rPr>
              <w:t>描述</w:t>
            </w:r>
          </w:p>
        </w:tc>
      </w:tr>
      <w:tr w14:paraId="11F8E9ED">
        <w:tblPrEx>
          <w:tblCellMar>
            <w:top w:w="0" w:type="dxa"/>
            <w:left w:w="108" w:type="dxa"/>
            <w:bottom w:w="0" w:type="dxa"/>
            <w:right w:w="108" w:type="dxa"/>
          </w:tblCellMar>
        </w:tblPrEx>
        <w:trPr>
          <w:trHeight w:val="480" w:hRule="atLeast"/>
        </w:trPr>
        <w:tc>
          <w:tcPr>
            <w:tcW w:w="740" w:type="dxa"/>
            <w:tcBorders>
              <w:top w:val="single" w:color="000000" w:sz="4" w:space="0"/>
              <w:left w:val="single" w:color="000000" w:sz="12" w:space="0"/>
              <w:bottom w:val="single" w:color="000000" w:sz="4" w:space="0"/>
              <w:right w:val="single" w:color="000000" w:sz="4" w:space="0"/>
            </w:tcBorders>
            <w:vAlign w:val="center"/>
          </w:tcPr>
          <w:p w14:paraId="677D81BD">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1</w:t>
            </w:r>
          </w:p>
        </w:tc>
        <w:tc>
          <w:tcPr>
            <w:tcW w:w="1843" w:type="dxa"/>
            <w:tcBorders>
              <w:top w:val="single" w:color="000000" w:sz="4" w:space="0"/>
              <w:left w:val="single" w:color="000000" w:sz="4" w:space="0"/>
              <w:bottom w:val="single" w:color="000000" w:sz="4" w:space="0"/>
              <w:right w:val="single" w:color="000000" w:sz="4" w:space="0"/>
            </w:tcBorders>
            <w:vAlign w:val="center"/>
          </w:tcPr>
          <w:p w14:paraId="54E70DEB">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边界防护区</w:t>
            </w:r>
          </w:p>
        </w:tc>
        <w:tc>
          <w:tcPr>
            <w:tcW w:w="6434" w:type="dxa"/>
            <w:tcBorders>
              <w:top w:val="single" w:color="000000" w:sz="4" w:space="0"/>
              <w:left w:val="single" w:color="000000" w:sz="4" w:space="0"/>
              <w:bottom w:val="single" w:color="000000" w:sz="4" w:space="0"/>
              <w:right w:val="single" w:color="000000" w:sz="12" w:space="0"/>
            </w:tcBorders>
            <w:vAlign w:val="center"/>
          </w:tcPr>
          <w:p w14:paraId="3F0DDD8B">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该区域主要实现与上下级平台的安全接入。主要包含：防火墙。</w:t>
            </w:r>
          </w:p>
        </w:tc>
      </w:tr>
      <w:tr w14:paraId="7B633EDB">
        <w:tblPrEx>
          <w:tblCellMar>
            <w:top w:w="0" w:type="dxa"/>
            <w:left w:w="108" w:type="dxa"/>
            <w:bottom w:w="0" w:type="dxa"/>
            <w:right w:w="108" w:type="dxa"/>
          </w:tblCellMar>
        </w:tblPrEx>
        <w:trPr>
          <w:trHeight w:val="480" w:hRule="atLeast"/>
        </w:trPr>
        <w:tc>
          <w:tcPr>
            <w:tcW w:w="740" w:type="dxa"/>
            <w:tcBorders>
              <w:top w:val="single" w:color="000000" w:sz="4" w:space="0"/>
              <w:left w:val="single" w:color="000000" w:sz="12" w:space="0"/>
              <w:bottom w:val="single" w:color="000000" w:sz="4" w:space="0"/>
              <w:right w:val="single" w:color="000000" w:sz="4" w:space="0"/>
            </w:tcBorders>
            <w:vAlign w:val="center"/>
          </w:tcPr>
          <w:p w14:paraId="1532E711">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2</w:t>
            </w:r>
          </w:p>
        </w:tc>
        <w:tc>
          <w:tcPr>
            <w:tcW w:w="1843" w:type="dxa"/>
            <w:tcBorders>
              <w:top w:val="single" w:color="000000" w:sz="4" w:space="0"/>
              <w:left w:val="single" w:color="000000" w:sz="4" w:space="0"/>
              <w:bottom w:val="single" w:color="000000" w:sz="4" w:space="0"/>
              <w:right w:val="single" w:color="000000" w:sz="4" w:space="0"/>
            </w:tcBorders>
            <w:vAlign w:val="center"/>
          </w:tcPr>
          <w:p w14:paraId="5CD732F8">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视频接入区</w:t>
            </w:r>
          </w:p>
        </w:tc>
        <w:tc>
          <w:tcPr>
            <w:tcW w:w="6434" w:type="dxa"/>
            <w:tcBorders>
              <w:top w:val="single" w:color="000000" w:sz="4" w:space="0"/>
              <w:left w:val="single" w:color="000000" w:sz="4" w:space="0"/>
              <w:bottom w:val="single" w:color="000000" w:sz="4" w:space="0"/>
              <w:right w:val="single" w:color="000000" w:sz="12" w:space="0"/>
            </w:tcBorders>
            <w:vAlign w:val="center"/>
          </w:tcPr>
          <w:p w14:paraId="46CB2BFC">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该区域主要实现前端感知设备的安全接入平台。主要包含：安全准入系统。</w:t>
            </w:r>
          </w:p>
        </w:tc>
      </w:tr>
      <w:tr w14:paraId="18869D98">
        <w:tblPrEx>
          <w:tblCellMar>
            <w:top w:w="0" w:type="dxa"/>
            <w:left w:w="108" w:type="dxa"/>
            <w:bottom w:w="0" w:type="dxa"/>
            <w:right w:w="108" w:type="dxa"/>
          </w:tblCellMar>
        </w:tblPrEx>
        <w:trPr>
          <w:trHeight w:val="560" w:hRule="atLeast"/>
        </w:trPr>
        <w:tc>
          <w:tcPr>
            <w:tcW w:w="740" w:type="dxa"/>
            <w:tcBorders>
              <w:top w:val="single" w:color="000000" w:sz="4" w:space="0"/>
              <w:left w:val="single" w:color="000000" w:sz="12" w:space="0"/>
              <w:bottom w:val="single" w:color="000000" w:sz="4" w:space="0"/>
              <w:right w:val="single" w:color="000000" w:sz="4" w:space="0"/>
            </w:tcBorders>
            <w:vAlign w:val="center"/>
          </w:tcPr>
          <w:p w14:paraId="296F4F5F">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3</w:t>
            </w:r>
          </w:p>
        </w:tc>
        <w:tc>
          <w:tcPr>
            <w:tcW w:w="1843" w:type="dxa"/>
            <w:tcBorders>
              <w:top w:val="single" w:color="000000" w:sz="4" w:space="0"/>
              <w:left w:val="single" w:color="000000" w:sz="4" w:space="0"/>
              <w:bottom w:val="single" w:color="000000" w:sz="4" w:space="0"/>
              <w:right w:val="single" w:color="000000" w:sz="4" w:space="0"/>
            </w:tcBorders>
            <w:vAlign w:val="center"/>
          </w:tcPr>
          <w:p w14:paraId="317DEF6F">
            <w:pPr>
              <w:widowControl/>
              <w:ind w:firstLine="0" w:firstLineChars="0"/>
              <w:jc w:val="center"/>
              <w:textAlignment w:val="top"/>
              <w:rPr>
                <w:rFonts w:hint="eastAsia" w:ascii="宋体" w:hAnsi="宋体" w:cs="宋体"/>
                <w:color w:val="000000"/>
                <w:sz w:val="18"/>
                <w:szCs w:val="18"/>
                <w:lang w:bidi="ar"/>
              </w:rPr>
            </w:pPr>
            <w:r>
              <w:rPr>
                <w:rFonts w:hint="eastAsia" w:ascii="宋体" w:hAnsi="宋体" w:cs="宋体"/>
                <w:color w:val="000000"/>
                <w:sz w:val="18"/>
                <w:szCs w:val="18"/>
                <w:lang w:bidi="ar"/>
              </w:rPr>
              <w:t>安全管理区</w:t>
            </w:r>
          </w:p>
          <w:p w14:paraId="2E44B413">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（安全管理中心）</w:t>
            </w:r>
          </w:p>
        </w:tc>
        <w:tc>
          <w:tcPr>
            <w:tcW w:w="6434" w:type="dxa"/>
            <w:tcBorders>
              <w:top w:val="single" w:color="000000" w:sz="4" w:space="0"/>
              <w:left w:val="single" w:color="000000" w:sz="4" w:space="0"/>
              <w:bottom w:val="single" w:color="000000" w:sz="4" w:space="0"/>
              <w:right w:val="single" w:color="000000" w:sz="12" w:space="0"/>
            </w:tcBorders>
            <w:vAlign w:val="center"/>
          </w:tcPr>
          <w:p w14:paraId="1CBCF819">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该</w:t>
            </w:r>
            <w:r>
              <w:rPr>
                <w:rStyle w:val="147"/>
                <w:rFonts w:hint="default"/>
                <w:lang w:bidi="ar"/>
              </w:rPr>
              <w:t>区域主要实现视频专网的安全运维管理。主要包含：日志审计、堡垒机等。</w:t>
            </w:r>
          </w:p>
        </w:tc>
      </w:tr>
      <w:tr w14:paraId="5CE3860A">
        <w:tblPrEx>
          <w:tblCellMar>
            <w:top w:w="0" w:type="dxa"/>
            <w:left w:w="108" w:type="dxa"/>
            <w:bottom w:w="0" w:type="dxa"/>
            <w:right w:w="108" w:type="dxa"/>
          </w:tblCellMar>
        </w:tblPrEx>
        <w:trPr>
          <w:trHeight w:val="524" w:hRule="atLeast"/>
        </w:trPr>
        <w:tc>
          <w:tcPr>
            <w:tcW w:w="740" w:type="dxa"/>
            <w:tcBorders>
              <w:top w:val="single" w:color="000000" w:sz="4" w:space="0"/>
              <w:left w:val="single" w:color="000000" w:sz="12" w:space="0"/>
              <w:bottom w:val="single" w:color="000000" w:sz="12" w:space="0"/>
              <w:right w:val="single" w:color="000000" w:sz="4" w:space="0"/>
            </w:tcBorders>
            <w:vAlign w:val="center"/>
          </w:tcPr>
          <w:p w14:paraId="7F5880C5">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4</w:t>
            </w:r>
          </w:p>
        </w:tc>
        <w:tc>
          <w:tcPr>
            <w:tcW w:w="1843" w:type="dxa"/>
            <w:tcBorders>
              <w:top w:val="single" w:color="000000" w:sz="4" w:space="0"/>
              <w:left w:val="single" w:color="000000" w:sz="4" w:space="0"/>
              <w:bottom w:val="single" w:color="000000" w:sz="12" w:space="0"/>
              <w:right w:val="single" w:color="000000" w:sz="4" w:space="0"/>
            </w:tcBorders>
            <w:vAlign w:val="center"/>
          </w:tcPr>
          <w:p w14:paraId="0150FA62">
            <w:pPr>
              <w:widowControl/>
              <w:ind w:firstLine="0" w:firstLineChars="0"/>
              <w:jc w:val="center"/>
              <w:textAlignment w:val="top"/>
              <w:rPr>
                <w:rFonts w:hint="eastAsia" w:ascii="宋体" w:hAnsi="宋体" w:cs="宋体"/>
                <w:color w:val="000000"/>
                <w:sz w:val="18"/>
                <w:szCs w:val="18"/>
              </w:rPr>
            </w:pPr>
            <w:r>
              <w:rPr>
                <w:rFonts w:hint="eastAsia" w:ascii="宋体" w:hAnsi="宋体" w:cs="宋体"/>
                <w:color w:val="000000"/>
                <w:sz w:val="18"/>
                <w:szCs w:val="18"/>
                <w:lang w:bidi="ar"/>
              </w:rPr>
              <w:t>数据交换区</w:t>
            </w:r>
          </w:p>
        </w:tc>
        <w:tc>
          <w:tcPr>
            <w:tcW w:w="6434" w:type="dxa"/>
            <w:tcBorders>
              <w:top w:val="single" w:color="000000" w:sz="4" w:space="0"/>
              <w:left w:val="single" w:color="000000" w:sz="4" w:space="0"/>
              <w:bottom w:val="single" w:color="000000" w:sz="12" w:space="0"/>
              <w:right w:val="single" w:color="000000" w:sz="12" w:space="0"/>
            </w:tcBorders>
            <w:vAlign w:val="center"/>
          </w:tcPr>
          <w:p w14:paraId="1AA23BF9">
            <w:pPr>
              <w:widowControl/>
              <w:ind w:firstLine="0" w:firstLineChars="0"/>
              <w:jc w:val="left"/>
              <w:textAlignment w:val="top"/>
              <w:rPr>
                <w:rFonts w:hint="eastAsia" w:ascii="宋体" w:hAnsi="宋体" w:cs="宋体"/>
                <w:color w:val="000000"/>
                <w:sz w:val="18"/>
                <w:szCs w:val="18"/>
              </w:rPr>
            </w:pPr>
            <w:r>
              <w:rPr>
                <w:rFonts w:hint="eastAsia" w:ascii="宋体" w:hAnsi="宋体" w:cs="宋体"/>
                <w:color w:val="000000"/>
                <w:sz w:val="18"/>
                <w:szCs w:val="18"/>
                <w:lang w:bidi="ar"/>
              </w:rPr>
              <w:t>该</w:t>
            </w:r>
            <w:r>
              <w:rPr>
                <w:rStyle w:val="147"/>
                <w:rFonts w:hint="default"/>
                <w:lang w:bidi="ar"/>
              </w:rPr>
              <w:t>区域主要实现来自数据的安全单向接入，保护视频专网的安全，避免外部非法数据通过该线路接入进去视频专网。主要包含：光闸。</w:t>
            </w:r>
          </w:p>
        </w:tc>
      </w:tr>
    </w:tbl>
    <w:p w14:paraId="1F9A1706"/>
    <w:p w14:paraId="7571F3D4">
      <w:pPr>
        <w:pStyle w:val="4"/>
        <w:ind w:left="226"/>
      </w:pPr>
      <w:bookmarkStart w:id="64" w:name="_Toc73463047"/>
      <w:bookmarkStart w:id="65" w:name="_Toc78880522"/>
      <w:bookmarkStart w:id="66" w:name="_Toc166686093"/>
      <w:bookmarkStart w:id="67" w:name="_Toc18865"/>
      <w:r>
        <w:rPr>
          <w:rFonts w:hint="eastAsia"/>
        </w:rPr>
        <w:t>安全技术体系</w:t>
      </w:r>
      <w:bookmarkEnd w:id="64"/>
      <w:bookmarkEnd w:id="65"/>
      <w:bookmarkEnd w:id="66"/>
      <w:bookmarkEnd w:id="67"/>
    </w:p>
    <w:p w14:paraId="2FA40421">
      <w:pPr>
        <w:pStyle w:val="5"/>
        <w:ind w:firstLine="198"/>
      </w:pPr>
      <w:bookmarkStart w:id="68" w:name="_Toc73463049"/>
      <w:r>
        <w:rPr>
          <w:rFonts w:hint="eastAsia"/>
        </w:rPr>
        <w:t>边界防护区</w:t>
      </w:r>
      <w:bookmarkEnd w:id="68"/>
    </w:p>
    <w:p w14:paraId="423F200F">
      <w:pPr>
        <w:pStyle w:val="89"/>
        <w:spacing w:before="0" w:after="0" w:line="300" w:lineRule="auto"/>
      </w:pPr>
      <w:r>
        <w:rPr>
          <w:rFonts w:hint="eastAsia"/>
        </w:rPr>
        <w:t>边界防护区</w:t>
      </w:r>
      <w:r>
        <w:t>，主要</w:t>
      </w:r>
      <w:r>
        <w:rPr>
          <w:rFonts w:hint="eastAsia"/>
        </w:rPr>
        <w:t>负责</w:t>
      </w:r>
      <w:r>
        <w:t>上下级网络边界的</w:t>
      </w:r>
      <w:r>
        <w:rPr>
          <w:rFonts w:hint="eastAsia"/>
        </w:rPr>
        <w:t>逻辑隔离</w:t>
      </w:r>
      <w:r>
        <w:t>，防止非法访问</w:t>
      </w:r>
      <w:r>
        <w:rPr>
          <w:rFonts w:hint="eastAsia"/>
        </w:rPr>
        <w:t>。使</w:t>
      </w:r>
      <w:r>
        <w:t>网络</w:t>
      </w:r>
      <w:r>
        <w:rPr>
          <w:rFonts w:hint="eastAsia"/>
        </w:rPr>
        <w:t>接入</w:t>
      </w:r>
      <w:r>
        <w:t>时</w:t>
      </w:r>
      <w:r>
        <w:rPr>
          <w:rFonts w:hint="eastAsia"/>
        </w:rPr>
        <w:t>，</w:t>
      </w:r>
      <w:r>
        <w:t>全部通信都</w:t>
      </w:r>
      <w:r>
        <w:rPr>
          <w:rFonts w:hint="eastAsia"/>
        </w:rPr>
        <w:t>受到</w:t>
      </w:r>
      <w:r>
        <w:t>监控，并通过过滤网络传输中的</w:t>
      </w:r>
      <w:r>
        <w:rPr>
          <w:rFonts w:hint="eastAsia"/>
        </w:rPr>
        <w:t>不安全</w:t>
      </w:r>
      <w:r>
        <w:t>数据</w:t>
      </w:r>
      <w:r>
        <w:rPr>
          <w:rFonts w:hint="eastAsia"/>
        </w:rPr>
        <w:t>，</w:t>
      </w:r>
      <w:r>
        <w:rPr>
          <w:rFonts w:hint="eastAsia"/>
          <w:lang w:val="zh-CN"/>
        </w:rPr>
        <w:t>极大地提高网络安全和减少主机的风险</w:t>
      </w:r>
      <w:r>
        <w:rPr>
          <w:rFonts w:hint="eastAsia"/>
        </w:rPr>
        <w:t>。</w:t>
      </w:r>
      <w:r>
        <w:rPr>
          <w:b/>
        </w:rPr>
        <w:t>主要部署方式</w:t>
      </w:r>
      <w:r>
        <w:rPr>
          <w:rFonts w:hint="eastAsia"/>
          <w:b/>
        </w:rPr>
        <w:t>为</w:t>
      </w:r>
      <w:r>
        <w:rPr>
          <w:b/>
        </w:rPr>
        <w:t>防火墙</w:t>
      </w:r>
      <w:r>
        <w:rPr>
          <w:rFonts w:hint="eastAsia"/>
        </w:rPr>
        <w:t>。</w:t>
      </w:r>
    </w:p>
    <w:p w14:paraId="0ABDB086">
      <w:pPr>
        <w:pStyle w:val="89"/>
        <w:spacing w:before="0" w:after="0" w:line="300" w:lineRule="auto"/>
        <w:rPr>
          <w:lang w:val="zh-CN"/>
        </w:rPr>
      </w:pPr>
      <w:r>
        <w:rPr>
          <w:rFonts w:hint="eastAsia"/>
        </w:rPr>
        <w:t>根据实际应用需求，部署的</w:t>
      </w:r>
      <w:r>
        <w:t>下一代</w:t>
      </w:r>
      <w:r>
        <w:rPr>
          <w:rFonts w:hint="eastAsia"/>
        </w:rPr>
        <w:t>防火墙需要实现的主要功能如下：</w:t>
      </w:r>
    </w:p>
    <w:p w14:paraId="2A29CCB0">
      <w:pPr>
        <w:pStyle w:val="89"/>
        <w:spacing w:before="0" w:after="0" w:line="300" w:lineRule="auto"/>
        <w:rPr>
          <w:lang w:val="zh-CN"/>
        </w:rPr>
      </w:pPr>
      <w:r>
        <w:rPr>
          <w:rFonts w:hint="eastAsia"/>
          <w:b/>
          <w:lang w:val="zh-CN"/>
        </w:rPr>
        <w:t>网络安全的基础屏障：</w:t>
      </w:r>
      <w:r>
        <w:rPr>
          <w:rFonts w:hint="eastAsia"/>
          <w:lang w:val="zh-CN"/>
        </w:rPr>
        <w:t>防火墙能极大地提高一个内部网络的安全性，并通过过滤不安全的数据而降低风险。由于只有经过精心选择的应用协议才能通过防火墙，所以网络环境变得更安全。如防火墙可以禁止诸如众所周知的不安全的协议(如NFS)进出受保护的网络，这样外部的攻击者就不可能利用这些脆弱的协议来攻击内部网络。防火墙同时可以保护网络免受基于路由的攻击，如IP选项中的源路由攻击和ICMP重定向中的重定向路径。防火墙可以拒绝多种类型攻击的报文并通知防火墙管理员。</w:t>
      </w:r>
    </w:p>
    <w:p w14:paraId="209E44C5">
      <w:pPr>
        <w:pStyle w:val="89"/>
        <w:spacing w:before="0" w:after="0" w:line="300" w:lineRule="auto"/>
        <w:rPr>
          <w:lang w:val="zh-CN"/>
        </w:rPr>
      </w:pPr>
      <w:r>
        <w:rPr>
          <w:rFonts w:hint="eastAsia"/>
          <w:b/>
          <w:lang w:val="zh-CN"/>
        </w:rPr>
        <w:t>对网络存取和访问进行监控审计：</w:t>
      </w:r>
      <w:r>
        <w:rPr>
          <w:rFonts w:hint="eastAsia"/>
          <w:lang w:val="zh-CN"/>
        </w:rPr>
        <w:t>如果所有的访问都经过防火墙，防火墙就能记录下这些访问并作出日志记录，同时也能提供网络使用情况的统计数据。当发生可疑动作时，防火墙能进行适当的报警，并提供网络是否受到监测和攻击的详细信息。</w:t>
      </w:r>
    </w:p>
    <w:p w14:paraId="72C10252">
      <w:pPr>
        <w:pStyle w:val="89"/>
        <w:spacing w:before="0" w:after="0" w:line="300" w:lineRule="auto"/>
        <w:rPr>
          <w:lang w:val="zh-CN"/>
        </w:rPr>
      </w:pPr>
      <w:r>
        <w:rPr>
          <w:rFonts w:hint="eastAsia"/>
          <w:b/>
          <w:lang w:val="zh-CN"/>
        </w:rPr>
        <w:t>防止内部信息的外泄：</w:t>
      </w:r>
      <w:r>
        <w:rPr>
          <w:rFonts w:hint="eastAsia"/>
          <w:lang w:val="zh-CN"/>
        </w:rPr>
        <w:t>通过利用防火墙对内部网络的划分，可实现内部网重点网段的隔离，从而限制了局部重点或敏感网络安全问题对全局网络造成的影响。隐私是内部网络非常关心的问题，一个内部网络中不引人注意的细节可能包含了有关安全的线索而引起外部攻击者的兴趣，甚至因此而曝露了内部网络的某些安全漏洞。使用防火墙就可以隐蔽那些能够透漏内部细节的服务，如Finger，DNS等服务。</w:t>
      </w:r>
    </w:p>
    <w:p w14:paraId="7182EBF0">
      <w:pPr>
        <w:pStyle w:val="89"/>
        <w:spacing w:before="0" w:after="0" w:line="300" w:lineRule="auto"/>
      </w:pPr>
      <w:r>
        <w:rPr>
          <w:rFonts w:hint="eastAsia"/>
          <w:b/>
          <w:lang w:val="zh-CN"/>
        </w:rPr>
        <w:t>IPS入侵防御：</w:t>
      </w:r>
      <w:r>
        <w:rPr>
          <w:rFonts w:hint="eastAsia"/>
        </w:rPr>
        <w:t>对缓冲区溢出、SQL注入、暴力猜测、DDoS攻击、扫描探测、蠕虫病毒、木马后门等各类黑客攻击和恶意流量进行实时检测及报警，并通过TCP Killer、发送邮件、安全中心显示、运行用户自定义命令等方式进行动态防御。</w:t>
      </w:r>
    </w:p>
    <w:p w14:paraId="46A2429C">
      <w:pPr>
        <w:pStyle w:val="89"/>
        <w:spacing w:before="0" w:after="0" w:line="300" w:lineRule="auto"/>
        <w:rPr>
          <w:lang w:val="zh-CN"/>
        </w:rPr>
      </w:pPr>
      <w:r>
        <w:rPr>
          <w:rFonts w:hint="eastAsia"/>
          <w:b/>
          <w:lang w:val="zh-CN"/>
        </w:rPr>
        <w:t>AV网关的病毒过滤：</w:t>
      </w:r>
      <w:r>
        <w:rPr>
          <w:rFonts w:hint="eastAsia"/>
          <w:lang w:val="zh-CN"/>
        </w:rPr>
        <w:t>AV网关的病毒过滤针对的是标准协议，与应用无关。如利用邮件传播病毒，无论用户使用何种Email服务器和客户端，只要使用的是标准的SMTP、POP3、IMAP协议，都可以对电子邮件中的病毒进行过滤，防止病毒通过邮件传播。AV网关还支持HTTP协议和FTP协议，对于Web浏览、下载、Web邮件及FTP文件传输过程中携带的病毒均可进行拦截，对于使用非标准端口的协议应用同样可以对其中的病毒进行过滤。</w:t>
      </w:r>
    </w:p>
    <w:p w14:paraId="580D7102">
      <w:pPr>
        <w:pStyle w:val="89"/>
        <w:spacing w:before="0" w:after="0" w:line="300" w:lineRule="auto"/>
        <w:rPr>
          <w:lang w:val="zh-CN"/>
        </w:rPr>
      </w:pPr>
      <w:r>
        <w:rPr>
          <w:rFonts w:hint="eastAsia"/>
          <w:lang w:val="zh-CN"/>
        </w:rPr>
        <w:t>本期项目新增2套万兆防火墙，2套千兆防火墙，1套万兆边界。</w:t>
      </w:r>
    </w:p>
    <w:p w14:paraId="59E22E37">
      <w:pPr>
        <w:pStyle w:val="5"/>
        <w:ind w:firstLine="198"/>
      </w:pPr>
      <w:r>
        <w:rPr>
          <w:rFonts w:hint="eastAsia"/>
        </w:rPr>
        <w:t>视频接入区</w:t>
      </w:r>
    </w:p>
    <w:p w14:paraId="5513E220">
      <w:pPr>
        <w:pStyle w:val="89"/>
        <w:spacing w:before="0" w:after="0" w:line="300" w:lineRule="auto"/>
        <w:rPr>
          <w:b/>
          <w:lang w:val="zh-CN"/>
        </w:rPr>
      </w:pPr>
      <w:r>
        <w:rPr>
          <w:rFonts w:hint="eastAsia"/>
          <w:lang w:val="zh-CN"/>
        </w:rPr>
        <w:t>政府部门、行业单位的视频资源和公共区域的视频资源由于分布广泛、地理环境复杂、监管困难等原因，可能存在设备被仿冒、替换、破坏的风险。甚至会被“接管”网络接口，使整个网络暴露在外部，让不法分子有机可乘；或轻松入侵后端视频图像共享综合应用平台，造成信息泄露；或植入病毒木马，造成网络延迟、瘫痪；或破坏其他监控设备，造成视频、图像信息丢失。因此在网络安全防护方面要综合考虑终端设备的数据可用性、数据保密性、数据可审计、准入控制和身份认证等风险因素。</w:t>
      </w:r>
      <w:r>
        <w:rPr>
          <w:rFonts w:hint="eastAsia"/>
          <w:b/>
          <w:lang w:val="zh-CN"/>
        </w:rPr>
        <w:t>本区域重点对前端摄像头设备进行准入及安全防护，主要部署安全准入系统。</w:t>
      </w:r>
    </w:p>
    <w:p w14:paraId="76D6BFE9">
      <w:pPr>
        <w:pStyle w:val="89"/>
        <w:spacing w:before="0" w:after="0" w:line="300" w:lineRule="auto"/>
        <w:rPr>
          <w:lang w:val="zh-CN"/>
        </w:rPr>
      </w:pPr>
      <w:r>
        <w:rPr>
          <w:rFonts w:hint="eastAsia"/>
          <w:lang w:val="zh-CN"/>
        </w:rPr>
        <w:t>本次项目主要</w:t>
      </w:r>
      <w:r>
        <w:rPr>
          <w:lang w:val="zh-CN"/>
        </w:rPr>
        <w:t>在</w:t>
      </w:r>
      <w:r>
        <w:rPr>
          <w:rFonts w:hint="eastAsia"/>
          <w:lang w:val="zh-CN"/>
        </w:rPr>
        <w:t>一类前端感知设备</w:t>
      </w:r>
      <w:r>
        <w:rPr>
          <w:lang w:val="zh-CN"/>
        </w:rPr>
        <w:t>与视频图像共享综合应用平台间部署</w:t>
      </w:r>
      <w:r>
        <w:rPr>
          <w:rFonts w:hint="eastAsia"/>
          <w:lang w:val="zh-CN"/>
        </w:rPr>
        <w:t>安全准入系统，实现对前端接入资源的高效识别和有效管控。根据实际应用需求，部署的安全准入系统需要实现的主要功能如下：</w:t>
      </w:r>
    </w:p>
    <w:p w14:paraId="278D4921">
      <w:pPr>
        <w:pStyle w:val="89"/>
        <w:spacing w:before="0" w:after="0" w:line="300" w:lineRule="auto"/>
        <w:rPr>
          <w:lang w:val="zh-CN"/>
        </w:rPr>
      </w:pPr>
      <w:r>
        <w:rPr>
          <w:rFonts w:hint="eastAsia"/>
          <w:lang w:val="zh-CN"/>
        </w:rPr>
        <w:t>实现</w:t>
      </w:r>
      <w:r>
        <w:rPr>
          <w:lang w:val="zh-CN"/>
        </w:rPr>
        <w:t>L2-7层的准入控制</w:t>
      </w:r>
      <w:r>
        <w:rPr>
          <w:rFonts w:hint="eastAsia"/>
          <w:lang w:val="zh-CN"/>
        </w:rPr>
        <w:t>。</w:t>
      </w:r>
      <w:r>
        <w:rPr>
          <w:lang w:val="zh-CN"/>
        </w:rPr>
        <w:t>通过实时识别、分析网络中的流量发现异常接入设备及异常接入数据</w:t>
      </w:r>
      <w:r>
        <w:rPr>
          <w:rFonts w:hint="eastAsia"/>
          <w:lang w:val="zh-CN"/>
        </w:rPr>
        <w:t>。</w:t>
      </w:r>
      <w:r>
        <w:rPr>
          <w:lang w:val="zh-CN"/>
        </w:rPr>
        <w:t>只有认证通过的合法授权终端，发送的流量再经过L4-7层协议解析，才能通过该</w:t>
      </w:r>
      <w:r>
        <w:rPr>
          <w:rFonts w:hint="eastAsia"/>
          <w:lang w:val="zh-CN"/>
        </w:rPr>
        <w:t>安全</w:t>
      </w:r>
      <w:r>
        <w:rPr>
          <w:lang w:val="zh-CN"/>
        </w:rPr>
        <w:t>准入系统</w:t>
      </w:r>
      <w:r>
        <w:rPr>
          <w:rFonts w:hint="eastAsia"/>
          <w:lang w:val="zh-CN"/>
        </w:rPr>
        <w:t>，</w:t>
      </w:r>
      <w:r>
        <w:rPr>
          <w:lang w:val="zh-CN"/>
        </w:rPr>
        <w:t>其他流量全部阻断</w:t>
      </w:r>
      <w:r>
        <w:rPr>
          <w:rFonts w:hint="eastAsia"/>
          <w:lang w:val="zh-CN"/>
        </w:rPr>
        <w:t>，</w:t>
      </w:r>
      <w:r>
        <w:rPr>
          <w:lang w:val="zh-CN"/>
        </w:rPr>
        <w:t>从而避免非授权终端资源和非授权业务资源连入</w:t>
      </w:r>
      <w:r>
        <w:rPr>
          <w:rFonts w:hint="eastAsia"/>
          <w:lang w:val="zh-CN"/>
        </w:rPr>
        <w:t>公安图像网。</w:t>
      </w:r>
      <w:r>
        <w:rPr>
          <w:lang w:val="zh-CN"/>
        </w:rPr>
        <w:t>对非法访问、入侵攻击、木马</w:t>
      </w:r>
      <w:r>
        <w:rPr>
          <w:rFonts w:hint="eastAsia"/>
          <w:lang w:val="zh-CN"/>
        </w:rPr>
        <w:t>病毒等非法恶意行为进行实时识别和阻断，同时，应对前端接入设备进行定期扫描，并与资产库进行比对，及时发现异常设备并告警。对合法设备纳入资产库，对非法设备进行处置。异常行为包括：地址冒用、非法</w:t>
      </w:r>
      <w:r>
        <w:rPr>
          <w:lang w:val="zh-CN"/>
        </w:rPr>
        <w:t>IP接入、IP地址变更、视频设备被异常替换等。</w:t>
      </w:r>
    </w:p>
    <w:p w14:paraId="723B37A6">
      <w:pPr>
        <w:ind w:firstLine="0" w:firstLineChars="0"/>
        <w:jc w:val="center"/>
        <w:rPr>
          <w:rFonts w:hint="eastAsia" w:ascii="黑体" w:hAnsi="黑体" w:eastAsia="黑体"/>
          <w:color w:val="000000" w:themeColor="text1"/>
          <w14:textFill>
            <w14:solidFill>
              <w14:schemeClr w14:val="tx1"/>
            </w14:solidFill>
          </w14:textFill>
        </w:rPr>
      </w:pPr>
      <w:r>
        <w:object>
          <v:shape id="_x0000_i1025" o:spt="75" type="#_x0000_t75" style="height:203.3pt;width:464.8pt;" o:ole="t" filled="f" o:preferrelative="t" stroked="f" coordsize="21600,21600">
            <v:path/>
            <v:fill on="f" focussize="0,0"/>
            <v:stroke on="f" joinstyle="miter"/>
            <v:imagedata r:id="rId24" o:title=""/>
            <o:lock v:ext="edit" aspectratio="t"/>
            <w10:wrap type="none"/>
            <w10:anchorlock/>
          </v:shape>
          <o:OLEObject Type="Embed" ProgID="Visio.Drawing.15" ShapeID="_x0000_i1025" DrawAspect="Content" ObjectID="_1468075725" r:id="rId23">
            <o:LockedField>false</o:LockedField>
          </o:OLEObject>
        </w:object>
      </w:r>
      <w:r>
        <w:rPr>
          <w:rFonts w:ascii="黑体" w:hAnsi="黑体" w:eastAsia="黑体"/>
          <w:color w:val="000000" w:themeColor="text1"/>
          <w14:textFill>
            <w14:solidFill>
              <w14:schemeClr w14:val="tx1"/>
            </w14:solidFill>
          </w14:textFill>
        </w:rPr>
        <w:t xml:space="preserve"> </w:t>
      </w:r>
    </w:p>
    <w:p w14:paraId="64D2D224">
      <w:pPr>
        <w:pStyle w:val="5"/>
        <w:ind w:firstLine="198"/>
      </w:pPr>
      <w:bookmarkStart w:id="69" w:name="_Toc73463050"/>
      <w:r>
        <w:rPr>
          <w:rFonts w:hint="eastAsia"/>
        </w:rPr>
        <w:t>安全管理区</w:t>
      </w:r>
      <w:bookmarkEnd w:id="69"/>
      <w:r>
        <w:rPr>
          <w:rFonts w:hint="eastAsia"/>
        </w:rPr>
        <w:t>(安全管理中心)</w:t>
      </w:r>
    </w:p>
    <w:p w14:paraId="06D48C38">
      <w:r>
        <w:rPr>
          <w:rFonts w:hint="eastAsia"/>
        </w:rPr>
        <w:t>安全管理区主要负责对网络的安全运维管理和统一监测，主要部署日志审计和堡垒机。</w:t>
      </w:r>
    </w:p>
    <w:p w14:paraId="2313EB5B">
      <w:pPr>
        <w:pStyle w:val="89"/>
        <w:spacing w:before="0" w:after="0" w:line="300" w:lineRule="auto"/>
      </w:pPr>
      <w:r>
        <w:rPr>
          <w:rFonts w:hint="eastAsia"/>
        </w:rPr>
        <w:t>日志审计功能：主被动手段结合，实时不间断地采集用户网络中各种不同厂商的安全设备、网络设备、主机、操作系统、以及各种应用系统产生的海量日志信息，并将这些信息汇集到审计中心，进行集中化存储、备份、查询、审计、告警、响应，并出具丰富的报表报告，获悉全网的整体安全运行态势，实现全生命周期的日志管理。</w:t>
      </w:r>
    </w:p>
    <w:p w14:paraId="4E38BF93">
      <w:pPr>
        <w:ind w:firstLineChars="0"/>
      </w:pPr>
      <w:r>
        <w:rPr>
          <w:rFonts w:hint="eastAsia"/>
        </w:rPr>
        <w:t>堡垒机主要功能：实现对平台网络设备、服务器、应用系统的统一安全运维审计。通过堡垒机进行运维，能有效的防止运维人员越权访问、非法操作的发生，防止敏感信息的泄露。</w:t>
      </w:r>
    </w:p>
    <w:p w14:paraId="721A491C">
      <w:pPr>
        <w:pStyle w:val="5"/>
        <w:ind w:firstLine="198"/>
        <w:rPr>
          <w:bCs w:val="0"/>
          <w:szCs w:val="20"/>
        </w:rPr>
      </w:pPr>
      <w:bookmarkStart w:id="70" w:name="_Toc73463052"/>
      <w:r>
        <w:rPr>
          <w:rFonts w:hint="eastAsia"/>
          <w:bCs w:val="0"/>
          <w:szCs w:val="20"/>
        </w:rPr>
        <w:t>数据交换区</w:t>
      </w:r>
      <w:bookmarkEnd w:id="70"/>
    </w:p>
    <w:p w14:paraId="7573A7C9">
      <w:r>
        <w:rPr>
          <w:rFonts w:hint="eastAsia"/>
        </w:rPr>
        <w:t>数据交换区主要防护来自vpn雪亮专网的单向数据接入视频图像网，保护视频图像网的安全，避免违规、非法数据通过vpn雪亮专网进入视频图像网。主要部署单向光闸。</w:t>
      </w:r>
    </w:p>
    <w:p w14:paraId="261AEDAD">
      <w:r>
        <w:t>主要功能如下</w:t>
      </w:r>
      <w:r>
        <w:rPr>
          <w:rFonts w:hint="eastAsia"/>
        </w:rPr>
        <w:t>：</w:t>
      </w:r>
      <w:r>
        <w:t>通过</w:t>
      </w:r>
      <w:r>
        <w:rPr>
          <w:rFonts w:hint="eastAsia"/>
        </w:rPr>
        <w:t>内网单元、外网单元和分光单向传输单元对数据进行病毒检测、入侵防护，完成内网对用户身份的确认，</w:t>
      </w:r>
      <w:r>
        <w:t>实现数据资源（如：</w:t>
      </w:r>
      <w:r>
        <w:rPr>
          <w:rFonts w:hint="eastAsia"/>
        </w:rPr>
        <w:t>图片</w:t>
      </w:r>
      <w:r>
        <w:t>等数据）在安全隔离情况下的单向</w:t>
      </w:r>
      <w:r>
        <w:rPr>
          <w:rFonts w:hint="eastAsia"/>
        </w:rPr>
        <w:t>传输</w:t>
      </w:r>
      <w:r>
        <w:rPr>
          <w:rFonts w:hint="eastAsia" w:ascii="宋体" w:hAnsi="宋体"/>
          <w:color w:val="000000" w:themeColor="text1"/>
          <w:szCs w:val="24"/>
          <w14:textFill>
            <w14:solidFill>
              <w14:schemeClr w14:val="tx1"/>
            </w14:solidFill>
          </w14:textFill>
        </w:rPr>
        <w:t>。</w:t>
      </w:r>
    </w:p>
    <w:p w14:paraId="447A241E">
      <w:pPr>
        <w:pStyle w:val="3"/>
        <w:spacing w:before="0" w:after="0" w:line="300" w:lineRule="auto"/>
      </w:pPr>
      <w:bookmarkStart w:id="71" w:name="_Toc166686094"/>
      <w:bookmarkStart w:id="72" w:name="_Toc78880524"/>
      <w:bookmarkStart w:id="73" w:name="_Toc58176729"/>
      <w:bookmarkStart w:id="74" w:name="_Toc72764316"/>
      <w:bookmarkStart w:id="75" w:name="_Toc29886171"/>
      <w:r>
        <w:t>网络</w:t>
      </w:r>
      <w:r>
        <w:rPr>
          <w:rFonts w:hint="eastAsia"/>
        </w:rPr>
        <w:t>传输配套</w:t>
      </w:r>
      <w:bookmarkEnd w:id="71"/>
      <w:bookmarkEnd w:id="72"/>
    </w:p>
    <w:p w14:paraId="1CC87BA7">
      <w:pPr>
        <w:pStyle w:val="4"/>
        <w:ind w:left="226"/>
      </w:pPr>
      <w:bookmarkStart w:id="76" w:name="_Toc78880525"/>
      <w:bookmarkStart w:id="77" w:name="_Toc166686095"/>
      <w:bookmarkStart w:id="78" w:name="_Toc515547702"/>
      <w:bookmarkStart w:id="79" w:name="_Toc29886034"/>
      <w:r>
        <w:rPr>
          <w:rFonts w:hint="eastAsia"/>
        </w:rPr>
        <w:t>建设内容</w:t>
      </w:r>
      <w:bookmarkEnd w:id="76"/>
      <w:bookmarkEnd w:id="77"/>
    </w:p>
    <w:p w14:paraId="523C6698">
      <w:pPr>
        <w:ind w:left="480" w:firstLine="0" w:firstLineChars="0"/>
        <w:rPr>
          <w:b/>
        </w:rPr>
      </w:pPr>
      <w:r>
        <w:rPr>
          <w:rFonts w:hint="eastAsia"/>
          <w:b/>
        </w:rPr>
        <w:t>一、网络传输租赁链路</w:t>
      </w:r>
    </w:p>
    <w:p w14:paraId="7238C682">
      <w:pPr>
        <w:rPr>
          <w:rFonts w:ascii="宋体" w:hAnsi="宋体"/>
          <w:szCs w:val="24"/>
        </w:rPr>
      </w:pPr>
      <w:r>
        <w:rPr>
          <w:rFonts w:hint="eastAsia" w:ascii="宋体" w:hAnsi="宋体"/>
          <w:szCs w:val="24"/>
        </w:rPr>
        <w:t>为了公安信息网络的安全，防止不法分子通过公网入侵后端视频图像共享综合应用平台，造成信息泄露，本次工程采用租赁运营商裸线传输专线链路方式进行数据传输。其中离散式新建的前端感知设备的上行传输采用租赁运营商的</w:t>
      </w:r>
      <w:r>
        <w:rPr>
          <w:rFonts w:ascii="宋体" w:hAnsi="宋体"/>
          <w:szCs w:val="24"/>
        </w:rPr>
        <w:t>100M</w:t>
      </w:r>
      <w:r>
        <w:rPr>
          <w:rFonts w:hint="eastAsia" w:ascii="宋体" w:hAnsi="宋体"/>
          <w:szCs w:val="24"/>
        </w:rPr>
        <w:t>带宽，集中式新建的前端感知设备租赁运营商的1000M带宽，</w:t>
      </w:r>
      <w:r>
        <w:rPr>
          <w:rFonts w:ascii="宋体" w:hAnsi="宋体"/>
          <w:szCs w:val="24"/>
        </w:rPr>
        <w:t>工程</w:t>
      </w:r>
      <w:r>
        <w:rPr>
          <w:rFonts w:hint="eastAsia" w:ascii="宋体" w:hAnsi="宋体"/>
          <w:szCs w:val="24"/>
        </w:rPr>
        <w:t>包含五年网络传输费用。</w:t>
      </w:r>
    </w:p>
    <w:p w14:paraId="07245BA5">
      <w:pPr>
        <w:ind w:firstLine="482"/>
        <w:rPr>
          <w:b/>
        </w:rPr>
      </w:pPr>
      <w:r>
        <w:rPr>
          <w:rFonts w:hint="eastAsia"/>
          <w:b/>
        </w:rPr>
        <w:t>二、网络设备新增替换</w:t>
      </w:r>
    </w:p>
    <w:p w14:paraId="3E999A56">
      <w:pPr>
        <w:rPr>
          <w:rFonts w:hint="eastAsia" w:ascii="宋体" w:hAnsi="宋体"/>
          <w:szCs w:val="24"/>
        </w:rPr>
      </w:pPr>
      <w:r>
        <w:rPr>
          <w:rFonts w:hint="eastAsia" w:ascii="宋体" w:hAnsi="宋体"/>
          <w:szCs w:val="24"/>
        </w:rPr>
        <w:t>前端感知设备的数量的增加，对经济技术开发区分局机房内及移动I</w:t>
      </w:r>
      <w:r>
        <w:rPr>
          <w:rFonts w:ascii="宋体" w:hAnsi="宋体"/>
          <w:szCs w:val="24"/>
        </w:rPr>
        <w:t>DC</w:t>
      </w:r>
      <w:r>
        <w:rPr>
          <w:rFonts w:hint="eastAsia" w:ascii="宋体" w:hAnsi="宋体"/>
          <w:szCs w:val="24"/>
        </w:rPr>
        <w:t>机房内的自有网络设备的端口及处理能力要求越来越高。</w:t>
      </w:r>
    </w:p>
    <w:p w14:paraId="25C29B74">
      <w:pPr>
        <w:rPr>
          <w:rFonts w:hint="eastAsia" w:ascii="宋体" w:hAnsi="宋体"/>
          <w:color w:val="000000" w:themeColor="text1"/>
          <w:szCs w:val="24"/>
          <w14:textFill>
            <w14:solidFill>
              <w14:schemeClr w14:val="tx1"/>
            </w14:solidFill>
          </w14:textFill>
        </w:rPr>
      </w:pPr>
      <w:r>
        <w:rPr>
          <w:rFonts w:hint="eastAsia" w:ascii="宋体" w:hAnsi="宋体"/>
          <w:color w:val="000000" w:themeColor="text1"/>
          <w:szCs w:val="24"/>
          <w14:textFill>
            <w14:solidFill>
              <w14:schemeClr w14:val="tx1"/>
            </w14:solidFill>
          </w14:textFill>
        </w:rPr>
        <w:t>经调研现网中交换机能满足本次工程对万兆光口、千兆光口和电口的需求，无需扩容板卡或新增设备。</w:t>
      </w:r>
    </w:p>
    <w:p w14:paraId="648D2602">
      <w:pPr>
        <w:pStyle w:val="4"/>
        <w:ind w:left="226"/>
      </w:pPr>
      <w:bookmarkStart w:id="80" w:name="_Toc166686096"/>
      <w:bookmarkStart w:id="81" w:name="_Toc78880526"/>
      <w:r>
        <w:rPr>
          <w:rFonts w:hint="eastAsia"/>
        </w:rPr>
        <w:t>建设方案</w:t>
      </w:r>
      <w:bookmarkEnd w:id="80"/>
      <w:bookmarkEnd w:id="81"/>
    </w:p>
    <w:p w14:paraId="15F7F9E3">
      <w:pPr>
        <w:pStyle w:val="93"/>
        <w:spacing w:line="300" w:lineRule="auto"/>
        <w:ind w:firstLine="480"/>
        <w:jc w:val="left"/>
        <w:rPr>
          <w:rFonts w:cs="Times New Roman"/>
        </w:rPr>
      </w:pPr>
      <w:r>
        <w:rPr>
          <w:rFonts w:hint="eastAsia" w:cs="Times New Roman"/>
        </w:rPr>
        <w:t>本项目新增社会资源感知前端，通过传输网络接入至社会资源汇聚平台。由社会资源汇聚平台转接至经开区分局视频联网平台及视图库，公安自建前端直接接入经开区分局视频联网平台及视图库。本次工程传输网络建设拓扑示意图如下：</w:t>
      </w:r>
      <w:r>
        <w:rPr>
          <w:rFonts w:cs="Times New Roman"/>
        </w:rPr>
        <w:drawing>
          <wp:inline distT="0" distB="0" distL="0" distR="0">
            <wp:extent cx="5760085" cy="272542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60085" cy="2725792"/>
                    </a:xfrm>
                    <a:prstGeom prst="rect">
                      <a:avLst/>
                    </a:prstGeom>
                  </pic:spPr>
                </pic:pic>
              </a:graphicData>
            </a:graphic>
          </wp:inline>
        </w:drawing>
      </w:r>
    </w:p>
    <w:p w14:paraId="69BA240A">
      <w:pPr>
        <w:pStyle w:val="93"/>
        <w:spacing w:line="300" w:lineRule="auto"/>
        <w:ind w:firstLine="420"/>
        <w:jc w:val="center"/>
        <w:rPr>
          <w:rFonts w:eastAsia="黑体" w:cs="Times New Roman"/>
          <w:sz w:val="21"/>
          <w:szCs w:val="21"/>
        </w:rPr>
      </w:pPr>
      <w:r>
        <w:rPr>
          <w:rFonts w:eastAsia="黑体" w:cs="Times New Roman"/>
          <w:sz w:val="21"/>
          <w:szCs w:val="21"/>
        </w:rPr>
        <w:t>图4.5.1 传输网络架构图</w:t>
      </w:r>
    </w:p>
    <w:p w14:paraId="5AC8C7BA">
      <w:pPr>
        <w:pStyle w:val="93"/>
        <w:spacing w:line="300" w:lineRule="auto"/>
        <w:ind w:firstLine="420"/>
        <w:jc w:val="center"/>
        <w:rPr>
          <w:rFonts w:eastAsia="黑体" w:cs="Times New Roman"/>
          <w:sz w:val="21"/>
          <w:szCs w:val="21"/>
        </w:rPr>
      </w:pPr>
    </w:p>
    <w:p w14:paraId="46EB9DD6">
      <w:pPr>
        <w:pStyle w:val="93"/>
        <w:spacing w:line="300" w:lineRule="auto"/>
        <w:ind w:firstLine="420"/>
        <w:jc w:val="center"/>
        <w:rPr>
          <w:rFonts w:eastAsia="黑体" w:cs="Times New Roman"/>
          <w:sz w:val="21"/>
          <w:szCs w:val="21"/>
        </w:rPr>
      </w:pPr>
    </w:p>
    <w:p w14:paraId="75E28833">
      <w:pPr>
        <w:pStyle w:val="93"/>
        <w:spacing w:line="300" w:lineRule="auto"/>
        <w:ind w:firstLine="420"/>
        <w:jc w:val="center"/>
        <w:rPr>
          <w:rFonts w:eastAsia="黑体" w:cs="Times New Roman"/>
          <w:sz w:val="21"/>
          <w:szCs w:val="21"/>
        </w:rPr>
      </w:pPr>
    </w:p>
    <w:p w14:paraId="53F582CD">
      <w:pPr>
        <w:pStyle w:val="93"/>
        <w:spacing w:line="300" w:lineRule="auto"/>
        <w:ind w:firstLine="480"/>
        <w:rPr>
          <w:rFonts w:cs="Times New Roman"/>
        </w:rPr>
      </w:pPr>
    </w:p>
    <w:p w14:paraId="653A472A">
      <w:pPr>
        <w:pStyle w:val="93"/>
        <w:spacing w:line="300" w:lineRule="auto"/>
        <w:ind w:firstLine="199" w:firstLineChars="83"/>
        <w:rPr>
          <w:rFonts w:cs="Times New Roman"/>
        </w:rPr>
        <w:sectPr>
          <w:pgSz w:w="11907" w:h="16840"/>
          <w:pgMar w:top="1701" w:right="1418" w:bottom="1418" w:left="1418" w:header="1134" w:footer="1021" w:gutter="0"/>
          <w:cols w:space="425" w:num="1"/>
          <w:docGrid w:linePitch="381" w:charSpace="0"/>
        </w:sectPr>
      </w:pPr>
    </w:p>
    <w:bookmarkEnd w:id="78"/>
    <w:bookmarkEnd w:id="79"/>
    <w:p w14:paraId="17F767BE">
      <w:pPr>
        <w:pStyle w:val="2"/>
        <w:pageBreakBefore w:val="0"/>
        <w:spacing w:before="0" w:after="0" w:line="300" w:lineRule="auto"/>
        <w:rPr>
          <w:rFonts w:cs="Times New Roman"/>
        </w:rPr>
      </w:pPr>
      <w:bookmarkStart w:id="82" w:name="_Toc78880528"/>
      <w:bookmarkStart w:id="83" w:name="_Toc166686097"/>
      <w:r>
        <w:rPr>
          <w:rFonts w:hint="eastAsia" w:cs="Times New Roman"/>
        </w:rPr>
        <w:t>主要设备技术参数</w:t>
      </w:r>
      <w:bookmarkEnd w:id="73"/>
      <w:bookmarkEnd w:id="74"/>
      <w:bookmarkEnd w:id="82"/>
      <w:bookmarkEnd w:id="83"/>
    </w:p>
    <w:p w14:paraId="612BF12E">
      <w:r>
        <w:rPr>
          <w:rFonts w:hint="eastAsia"/>
        </w:rPr>
        <w:t>本项目所涉及设备及材料相关参数，详见附表1.区际防空圈建设预算</w:t>
      </w:r>
    </w:p>
    <w:p w14:paraId="664CCC59">
      <w:pPr>
        <w:pStyle w:val="2"/>
        <w:pageBreakBefore w:val="0"/>
        <w:spacing w:before="0" w:after="0" w:line="300" w:lineRule="auto"/>
        <w:rPr>
          <w:rFonts w:cs="Times New Roman"/>
        </w:rPr>
      </w:pPr>
      <w:bookmarkStart w:id="84" w:name="_Toc78880569"/>
      <w:bookmarkStart w:id="85" w:name="_Toc166686098"/>
      <w:r>
        <w:rPr>
          <w:rFonts w:hint="eastAsia" w:cs="Times New Roman"/>
        </w:rPr>
        <w:t>项目建设与运行管理</w:t>
      </w:r>
      <w:bookmarkEnd w:id="75"/>
      <w:bookmarkEnd w:id="84"/>
      <w:bookmarkEnd w:id="85"/>
    </w:p>
    <w:p w14:paraId="77C7AD01">
      <w:pPr>
        <w:pStyle w:val="3"/>
        <w:spacing w:before="0" w:after="0" w:line="300" w:lineRule="auto"/>
      </w:pPr>
      <w:bookmarkStart w:id="86" w:name="_Toc78880572"/>
      <w:bookmarkStart w:id="87" w:name="_Toc166686099"/>
      <w:bookmarkStart w:id="88" w:name="_Toc29886174"/>
      <w:r>
        <w:rPr>
          <w:rFonts w:hint="eastAsia"/>
        </w:rPr>
        <w:t>项目实施机构</w:t>
      </w:r>
      <w:bookmarkEnd w:id="86"/>
      <w:bookmarkEnd w:id="87"/>
      <w:bookmarkEnd w:id="88"/>
    </w:p>
    <w:p w14:paraId="4244EF3B">
      <w:r>
        <w:rPr>
          <w:rFonts w:hint="eastAsia"/>
        </w:rPr>
        <w:t>项目实施机构主要由业主单位的各相关部门、承建单位和监理单位共同组成。</w:t>
      </w:r>
    </w:p>
    <w:p w14:paraId="699A8B9D">
      <w:r>
        <w:rPr>
          <w:rFonts w:hint="eastAsia"/>
        </w:rPr>
        <w:t>项目实施机构职责：具体负责本项目的实施过程中的协调、安装、调试、试运行、验收等工作，保证项目按时高质量地交付使用。</w:t>
      </w:r>
    </w:p>
    <w:p w14:paraId="68EAF66D">
      <w:pPr>
        <w:pStyle w:val="3"/>
        <w:spacing w:before="0" w:after="0" w:line="300" w:lineRule="auto"/>
      </w:pPr>
      <w:bookmarkStart w:id="89" w:name="_Toc166686100"/>
      <w:bookmarkStart w:id="90" w:name="_Toc29886175"/>
      <w:bookmarkStart w:id="91" w:name="_Toc78880573"/>
      <w:r>
        <w:rPr>
          <w:rFonts w:hint="eastAsia"/>
        </w:rPr>
        <w:t>运行维护机构</w:t>
      </w:r>
      <w:bookmarkEnd w:id="89"/>
      <w:bookmarkEnd w:id="90"/>
      <w:bookmarkEnd w:id="91"/>
    </w:p>
    <w:p w14:paraId="25B26238">
      <w:r>
        <w:rPr>
          <w:rFonts w:hint="eastAsia"/>
        </w:rPr>
        <w:t>由于信息化建设的特点及较高的专业化知识的要求，为保证本次项目的正常运行，建议主设备与系统的运行维护由承建商（系统集成商）负总责，各设备供应商分别负责所提供设备和系统的的运行维护，系统日常的运行管理由经济技术开发区分局负责。</w:t>
      </w:r>
    </w:p>
    <w:p w14:paraId="476ED3B0">
      <w:pPr>
        <w:widowControl/>
        <w:adjustRightInd/>
        <w:ind w:firstLine="0" w:firstLineChars="0"/>
        <w:jc w:val="left"/>
        <w:textAlignment w:val="auto"/>
      </w:pPr>
      <w:r>
        <w:br w:type="page"/>
      </w:r>
    </w:p>
    <w:p w14:paraId="01BBDC82">
      <w:pPr>
        <w:pStyle w:val="2"/>
        <w:pageBreakBefore w:val="0"/>
        <w:spacing w:before="0" w:after="0" w:line="300" w:lineRule="auto"/>
        <w:rPr>
          <w:rFonts w:cs="Times New Roman"/>
        </w:rPr>
      </w:pPr>
      <w:bookmarkStart w:id="92" w:name="_Toc166686101"/>
      <w:bookmarkStart w:id="93" w:name="_Toc29886178"/>
      <w:bookmarkStart w:id="94" w:name="_Toc78880575"/>
      <w:r>
        <w:rPr>
          <w:rFonts w:hint="eastAsia"/>
        </w:rPr>
        <w:t>人员配置与培训</w:t>
      </w:r>
      <w:bookmarkEnd w:id="92"/>
      <w:bookmarkEnd w:id="93"/>
      <w:bookmarkEnd w:id="94"/>
    </w:p>
    <w:p w14:paraId="1F072B57">
      <w:pPr>
        <w:pStyle w:val="3"/>
        <w:spacing w:before="0" w:after="0" w:line="300" w:lineRule="auto"/>
      </w:pPr>
      <w:bookmarkStart w:id="95" w:name="_Toc29886179"/>
      <w:bookmarkStart w:id="96" w:name="_Toc166686102"/>
      <w:bookmarkStart w:id="97" w:name="_Toc78880576"/>
      <w:r>
        <w:rPr>
          <w:rFonts w:hint="eastAsia"/>
        </w:rPr>
        <w:t>人员配置计划</w:t>
      </w:r>
      <w:bookmarkEnd w:id="95"/>
      <w:bookmarkEnd w:id="96"/>
      <w:bookmarkEnd w:id="97"/>
    </w:p>
    <w:p w14:paraId="7116605A">
      <w:r>
        <w:rPr>
          <w:rFonts w:hint="eastAsia"/>
        </w:rPr>
        <w:t>由承建单位提供涉及系统操作、系统管理、系统维护的相关知识培训，对业主单位指定人员进行专项培训。</w:t>
      </w:r>
    </w:p>
    <w:p w14:paraId="027B52F0">
      <w:pPr>
        <w:pStyle w:val="3"/>
        <w:spacing w:before="0" w:after="0" w:line="300" w:lineRule="auto"/>
      </w:pPr>
      <w:bookmarkStart w:id="98" w:name="_Toc166686103"/>
      <w:bookmarkStart w:id="99" w:name="_Toc29886180"/>
      <w:bookmarkStart w:id="100" w:name="_Toc78880577"/>
      <w:r>
        <w:rPr>
          <w:rFonts w:hint="eastAsia"/>
        </w:rPr>
        <w:t>人员培训方案</w:t>
      </w:r>
      <w:bookmarkEnd w:id="98"/>
      <w:bookmarkEnd w:id="99"/>
      <w:bookmarkEnd w:id="100"/>
    </w:p>
    <w:p w14:paraId="50296693">
      <w:r>
        <w:rPr>
          <w:rFonts w:hint="eastAsia"/>
        </w:rPr>
        <w:t>为保证项目建设质量，更好地满足业主单位系统应用的需要，特制定以下培训方案：</w:t>
      </w:r>
    </w:p>
    <w:p w14:paraId="5F5107BE">
      <w:r>
        <w:rPr>
          <w:rFonts w:hint="eastAsia"/>
        </w:rPr>
        <w:t>(1)培训计划</w:t>
      </w:r>
    </w:p>
    <w:p w14:paraId="42A2FBE9">
      <w:r>
        <w:rPr>
          <w:rFonts w:hint="eastAsia"/>
        </w:rPr>
        <w:t>①系统管理员培训：掌握系统日常维护各种技术，熟练掌握对网络管理和维护、硬件管理和维护、应用系统的管理和维护以及安全管理等。</w:t>
      </w:r>
    </w:p>
    <w:p w14:paraId="01A6E51A">
      <w:r>
        <w:rPr>
          <w:rFonts w:hint="eastAsia"/>
        </w:rPr>
        <w:t>②技术人员培训：通过各种的培训方式，使项目系统技术人员掌握视频系统、网络系统等技术，具备一定的维护能力，在系统实施过程中能够参与项目管理和系统搭建，在系统维护过程中能够自行维护。</w:t>
      </w:r>
    </w:p>
    <w:p w14:paraId="7AAFC68C">
      <w:r>
        <w:rPr>
          <w:rFonts w:hint="eastAsia"/>
        </w:rPr>
        <w:t>③系统操作员培训：能够熟练使用系统各类前台操作模块、快速调用相关业务处理模块并规范输入各种信息。</w:t>
      </w:r>
    </w:p>
    <w:p w14:paraId="4460DA3A">
      <w:r>
        <w:rPr>
          <w:rFonts w:hint="eastAsia"/>
        </w:rPr>
        <w:t>(2)培训主要内容</w:t>
      </w:r>
    </w:p>
    <w:p w14:paraId="52A0C1B4">
      <w:r>
        <w:rPr>
          <w:rFonts w:hint="eastAsia"/>
        </w:rPr>
        <w:t>培训主要内容有：系统应用、软硬件的运行与维护、网络和安全管理等。</w:t>
      </w:r>
    </w:p>
    <w:p w14:paraId="7C340009">
      <w:r>
        <w:rPr>
          <w:rFonts w:hint="eastAsia"/>
        </w:rPr>
        <w:t>(3)培训主要方式</w:t>
      </w:r>
    </w:p>
    <w:p w14:paraId="71F25DD1">
      <w:r>
        <w:rPr>
          <w:rFonts w:hint="eastAsia"/>
        </w:rPr>
        <w:t>培训方式：</w:t>
      </w:r>
    </w:p>
    <w:p w14:paraId="7A060133">
      <w:r>
        <w:rPr>
          <w:rFonts w:hint="eastAsia"/>
        </w:rPr>
        <w:t>1）室内培训：业主单位指定的相关人员分批集中进行培训，承建单位免费提供培训教材及师资。</w:t>
      </w:r>
    </w:p>
    <w:p w14:paraId="5368FF7B">
      <w:r>
        <w:rPr>
          <w:rFonts w:hint="eastAsia"/>
        </w:rPr>
        <w:t>2）现场培训：对业主单位指定人员独立进行设备的安装、操作、测试、运营、维护等等进行培训，承建单位免费提供培训教材及师资。</w:t>
      </w:r>
    </w:p>
    <w:p w14:paraId="7E1DF88F"/>
    <w:p w14:paraId="5ED56ED9"/>
    <w:p w14:paraId="3D0A6010">
      <w:pPr>
        <w:widowControl/>
        <w:adjustRightInd/>
        <w:ind w:firstLine="0" w:firstLineChars="0"/>
        <w:jc w:val="left"/>
        <w:textAlignment w:val="auto"/>
      </w:pPr>
      <w:r>
        <w:br w:type="page"/>
      </w:r>
    </w:p>
    <w:p w14:paraId="5214087F">
      <w:pPr>
        <w:pStyle w:val="2"/>
        <w:pageBreakBefore w:val="0"/>
        <w:spacing w:before="0" w:after="0" w:line="300" w:lineRule="auto"/>
      </w:pPr>
      <w:bookmarkStart w:id="101" w:name="_Toc78880578"/>
      <w:bookmarkStart w:id="102" w:name="_Toc166686104"/>
      <w:bookmarkStart w:id="103" w:name="_Toc73213493"/>
      <w:r>
        <w:rPr>
          <w:rFonts w:hint="eastAsia"/>
        </w:rPr>
        <w:t>项目进度</w:t>
      </w:r>
      <w:bookmarkEnd w:id="101"/>
      <w:bookmarkEnd w:id="102"/>
      <w:bookmarkEnd w:id="103"/>
    </w:p>
    <w:p w14:paraId="6596E34D">
      <w:pPr>
        <w:pStyle w:val="3"/>
        <w:spacing w:before="0" w:after="0" w:line="300" w:lineRule="auto"/>
      </w:pPr>
      <w:bookmarkStart w:id="104" w:name="_Toc73213494"/>
      <w:bookmarkStart w:id="105" w:name="_Toc78880579"/>
      <w:bookmarkStart w:id="106" w:name="_Toc166686105"/>
      <w:r>
        <w:rPr>
          <w:rFonts w:hint="eastAsia"/>
        </w:rPr>
        <w:t>项目建设期</w:t>
      </w:r>
      <w:bookmarkEnd w:id="104"/>
      <w:bookmarkEnd w:id="105"/>
      <w:bookmarkEnd w:id="106"/>
    </w:p>
    <w:p w14:paraId="689AE1C7">
      <w:r>
        <w:rPr>
          <w:rFonts w:hint="eastAsia"/>
        </w:rPr>
        <w:t>按照国家关于加强基础设施工程质量管理的有关规定，本项目要严格执行建设程序，确保建设前期工作质量，同时对设计、施工以及设备材料采购实施招标，做到精心勘测、设计，强化施工管理，并对工程实现全面的社会监理，以确保工程质量和安全。</w:t>
      </w:r>
    </w:p>
    <w:p w14:paraId="560979BF">
      <w:pPr>
        <w:pStyle w:val="14"/>
        <w:kinsoku w:val="0"/>
        <w:overflowPunct w:val="0"/>
        <w:spacing w:line="300" w:lineRule="auto"/>
        <w:ind w:firstLine="480" w:firstLineChars="200"/>
        <w:contextualSpacing/>
        <w:rPr>
          <w:color w:val="FF0000"/>
        </w:rPr>
      </w:pPr>
      <w:r>
        <w:rPr>
          <w:rFonts w:hint="eastAsia"/>
        </w:rPr>
        <w:t>根据以上要求，并结合实际情况，</w:t>
      </w:r>
      <w:r>
        <w:rPr>
          <w:rFonts w:hint="eastAsia"/>
          <w:color w:val="000000" w:themeColor="text1"/>
          <w14:textFill>
            <w14:solidFill>
              <w14:schemeClr w14:val="tx1"/>
            </w14:solidFill>
          </w14:textFill>
        </w:rPr>
        <w:t>本项目建设周期</w:t>
      </w:r>
      <w:r>
        <w:rPr>
          <w:rFonts w:hint="eastAsia"/>
          <w:color w:val="FF0000"/>
        </w:rPr>
        <w:t>拟定为</w:t>
      </w:r>
      <w:r>
        <w:rPr>
          <w:color w:val="FF0000"/>
        </w:rPr>
        <w:t>3</w:t>
      </w:r>
      <w:r>
        <w:rPr>
          <w:rFonts w:hint="eastAsia"/>
          <w:color w:val="FF0000"/>
        </w:rPr>
        <w:t>个月。</w:t>
      </w:r>
    </w:p>
    <w:p w14:paraId="44906BC1">
      <w:pPr>
        <w:widowControl/>
        <w:adjustRightInd/>
        <w:ind w:firstLine="0" w:firstLineChars="0"/>
        <w:jc w:val="left"/>
        <w:textAlignment w:val="auto"/>
      </w:pPr>
      <w:r>
        <w:br w:type="page"/>
      </w:r>
    </w:p>
    <w:p w14:paraId="73829D02">
      <w:pPr>
        <w:pStyle w:val="2"/>
        <w:spacing w:before="0" w:after="0" w:line="300" w:lineRule="auto"/>
      </w:pPr>
      <w:bookmarkStart w:id="107" w:name="_Toc230744780"/>
      <w:bookmarkStart w:id="108" w:name="_Toc366646678"/>
      <w:bookmarkStart w:id="109" w:name="_Toc78880581"/>
      <w:bookmarkStart w:id="110" w:name="_Toc166686106"/>
      <w:bookmarkStart w:id="111" w:name="_Toc73213496"/>
      <w:r>
        <w:rPr>
          <w:rFonts w:hint="eastAsia"/>
        </w:rPr>
        <w:t>项目风险与管理</w:t>
      </w:r>
      <w:bookmarkEnd w:id="107"/>
      <w:bookmarkEnd w:id="108"/>
      <w:bookmarkEnd w:id="109"/>
      <w:bookmarkEnd w:id="110"/>
    </w:p>
    <w:p w14:paraId="74CE4405">
      <w:pPr>
        <w:pStyle w:val="3"/>
        <w:spacing w:before="0" w:after="0" w:line="300" w:lineRule="auto"/>
      </w:pPr>
      <w:bookmarkStart w:id="112" w:name="_Toc230744781"/>
      <w:bookmarkStart w:id="113" w:name="_Toc78880582"/>
      <w:bookmarkStart w:id="114" w:name="_Toc366646679"/>
      <w:bookmarkStart w:id="115" w:name="_Toc166686107"/>
      <w:r>
        <w:rPr>
          <w:rFonts w:hint="eastAsia"/>
        </w:rPr>
        <w:t>风险识别和分析</w:t>
      </w:r>
      <w:bookmarkEnd w:id="112"/>
      <w:bookmarkEnd w:id="113"/>
      <w:bookmarkEnd w:id="114"/>
      <w:bookmarkEnd w:id="115"/>
    </w:p>
    <w:p w14:paraId="28145C0B">
      <w:r>
        <w:rPr>
          <w:rFonts w:hint="eastAsia"/>
        </w:rPr>
        <w:t>本项目是计算机信息系统集成项目，项目中可能发生的主要风险是：</w:t>
      </w:r>
    </w:p>
    <w:p w14:paraId="301BDEF3">
      <w:pPr>
        <w:pStyle w:val="4"/>
        <w:ind w:left="226"/>
      </w:pPr>
      <w:bookmarkStart w:id="116" w:name="_Toc78880583"/>
      <w:bookmarkStart w:id="117" w:name="_Toc166686108"/>
      <w:r>
        <w:rPr>
          <w:rFonts w:hint="eastAsia"/>
        </w:rPr>
        <w:t>产品风险</w:t>
      </w:r>
      <w:bookmarkEnd w:id="116"/>
      <w:bookmarkEnd w:id="117"/>
    </w:p>
    <w:p w14:paraId="3844D8A9">
      <w:r>
        <w:rPr>
          <w:rFonts w:hint="eastAsia"/>
        </w:rPr>
        <w:t>项目中所采用的设备等产品均为当前较为先进的产品,导致产品风险的因素有：</w:t>
      </w:r>
    </w:p>
    <w:p w14:paraId="443890B4">
      <w:r>
        <w:rPr>
          <w:rFonts w:hint="eastAsia"/>
        </w:rPr>
        <w:t>（1）对产品的熟悉度不够；</w:t>
      </w:r>
    </w:p>
    <w:p w14:paraId="491423E7">
      <w:r>
        <w:rPr>
          <w:rFonts w:hint="eastAsia"/>
        </w:rPr>
        <w:t>（</w:t>
      </w:r>
      <w:r>
        <w:t>2</w:t>
      </w:r>
      <w:r>
        <w:rPr>
          <w:rFonts w:hint="eastAsia"/>
        </w:rPr>
        <w:t>）产品的早期服务依赖厂商；</w:t>
      </w:r>
    </w:p>
    <w:p w14:paraId="24B23EF2">
      <w:r>
        <w:rPr>
          <w:rFonts w:hint="eastAsia"/>
        </w:rPr>
        <w:t>（3）产品的质量难以保障。</w:t>
      </w:r>
    </w:p>
    <w:p w14:paraId="65257E36">
      <w:pPr>
        <w:pStyle w:val="4"/>
        <w:ind w:left="226"/>
      </w:pPr>
      <w:bookmarkStart w:id="118" w:name="_Toc78880584"/>
      <w:bookmarkStart w:id="119" w:name="_Toc166686109"/>
      <w:r>
        <w:rPr>
          <w:rFonts w:hint="eastAsia"/>
        </w:rPr>
        <w:t>技术风险</w:t>
      </w:r>
      <w:bookmarkEnd w:id="118"/>
      <w:bookmarkEnd w:id="119"/>
    </w:p>
    <w:p w14:paraId="6A67D593">
      <w:r>
        <w:rPr>
          <w:rFonts w:hint="eastAsia"/>
        </w:rPr>
        <w:t>系统集成项目中，技术力量是确保项目最终成功实施的中坚力量，要确保项目保质保量地完成，必须规避技术问题带来的风险。项目中可能遇到的技术风险因素有：</w:t>
      </w:r>
    </w:p>
    <w:p w14:paraId="2C796130">
      <w:r>
        <w:rPr>
          <w:rFonts w:hint="eastAsia"/>
        </w:rPr>
        <w:t>（1）核心人才流失；</w:t>
      </w:r>
    </w:p>
    <w:p w14:paraId="479240C9">
      <w:r>
        <w:rPr>
          <w:rFonts w:hint="eastAsia"/>
        </w:rPr>
        <w:t>（2）缺乏培训；</w:t>
      </w:r>
    </w:p>
    <w:p w14:paraId="50CC2A66">
      <w:r>
        <w:rPr>
          <w:rFonts w:hint="eastAsia"/>
        </w:rPr>
        <w:t>（3）对方法、工具和技术理解的不够；</w:t>
      </w:r>
    </w:p>
    <w:p w14:paraId="43835A8E">
      <w:r>
        <w:rPr>
          <w:rFonts w:hint="eastAsia"/>
        </w:rPr>
        <w:t>（4）应用领域的经验不够；</w:t>
      </w:r>
    </w:p>
    <w:p w14:paraId="2135C8B6">
      <w:r>
        <w:rPr>
          <w:rFonts w:hint="eastAsia"/>
        </w:rPr>
        <w:t>（5）新的技术和开发方法不熟悉。</w:t>
      </w:r>
    </w:p>
    <w:p w14:paraId="2761C0C4">
      <w:pPr>
        <w:pStyle w:val="4"/>
        <w:ind w:left="226"/>
      </w:pPr>
      <w:bookmarkStart w:id="120" w:name="_Toc166686110"/>
      <w:bookmarkStart w:id="121" w:name="_Toc78880585"/>
      <w:r>
        <w:rPr>
          <w:rFonts w:hint="eastAsia"/>
        </w:rPr>
        <w:t>成本风险</w:t>
      </w:r>
      <w:bookmarkEnd w:id="120"/>
      <w:bookmarkEnd w:id="121"/>
    </w:p>
    <w:p w14:paraId="6C2CE017">
      <w:r>
        <w:rPr>
          <w:rFonts w:hint="eastAsia"/>
        </w:rPr>
        <w:t>成本风险是指提高成本情况的发生所带来的危险。项目中提高成本的情况是经常的、多方面的。所以，成本风险也是经常存在的, 也是多方面的。项目总成本包括设备成本、人员成本、商务成本和其他风险成本等。</w:t>
      </w:r>
    </w:p>
    <w:p w14:paraId="109DB7BD">
      <w:pPr>
        <w:pStyle w:val="4"/>
        <w:ind w:left="226"/>
      </w:pPr>
      <w:bookmarkStart w:id="122" w:name="_Toc78880586"/>
      <w:bookmarkStart w:id="123" w:name="_Toc166686111"/>
      <w:r>
        <w:rPr>
          <w:rFonts w:hint="eastAsia"/>
        </w:rPr>
        <w:t>需求风险</w:t>
      </w:r>
      <w:bookmarkEnd w:id="122"/>
      <w:bookmarkEnd w:id="123"/>
    </w:p>
    <w:p w14:paraId="0D9E7800">
      <w:r>
        <w:rPr>
          <w:rFonts w:hint="eastAsia"/>
        </w:rPr>
        <w:t>通常，项目在确定需求时都面临着一些不确定性和混乱。若在项目早期容忍了这些不确定性，并且在项目进展过程当中得不到解决时，这些问题就会对项目的成功造成很大威胁。如果不控制与需求相关的风险因素，那么就很有可能产生错误的产品或者拙劣地建造正确的产品。项目对业主单位现有业务状况和业务需求的分析极为重要，不完善的需求分析也会导致项目的失败。项目中与客户需求相关的风险因素有：</w:t>
      </w:r>
    </w:p>
    <w:p w14:paraId="136E3D2B">
      <w:r>
        <w:rPr>
          <w:rFonts w:hint="eastAsia"/>
        </w:rPr>
        <w:t>（1）对产品和产品需求缺乏清晰的认识；</w:t>
      </w:r>
    </w:p>
    <w:p w14:paraId="072D51B2">
      <w:r>
        <w:rPr>
          <w:rFonts w:hint="eastAsia"/>
        </w:rPr>
        <w:t>（2）不断变更需求；</w:t>
      </w:r>
    </w:p>
    <w:p w14:paraId="70A3E08B">
      <w:r>
        <w:rPr>
          <w:rFonts w:hint="eastAsia"/>
        </w:rPr>
        <w:t>（3）缺少有效的需求变更管理过程。</w:t>
      </w:r>
    </w:p>
    <w:p w14:paraId="59EA2E41">
      <w:pPr>
        <w:pStyle w:val="4"/>
        <w:ind w:left="226"/>
      </w:pPr>
      <w:bookmarkStart w:id="124" w:name="_Toc166686112"/>
      <w:bookmarkStart w:id="125" w:name="_Toc78880587"/>
      <w:r>
        <w:rPr>
          <w:rFonts w:hint="eastAsia"/>
        </w:rPr>
        <w:t>相关性风险</w:t>
      </w:r>
      <w:bookmarkEnd w:id="124"/>
      <w:bookmarkEnd w:id="125"/>
    </w:p>
    <w:p w14:paraId="07FD53E6">
      <w:r>
        <w:rPr>
          <w:rFonts w:hint="eastAsia"/>
        </w:rPr>
        <w:t>任何一个项目都不是独立的，总涉及一个复杂的关系链，系统之间的关联性也将成为项目成功实施的一个重要风险环节。项目中存在的相关性风险有：</w:t>
      </w:r>
    </w:p>
    <w:p w14:paraId="1C8861B1">
      <w:r>
        <w:rPr>
          <w:rFonts w:hint="eastAsia"/>
        </w:rPr>
        <w:t>（1）供应商链环节；</w:t>
      </w:r>
    </w:p>
    <w:p w14:paraId="3718938D">
      <w:r>
        <w:rPr>
          <w:rFonts w:hint="eastAsia"/>
        </w:rPr>
        <w:t>（2）承建商环节；</w:t>
      </w:r>
    </w:p>
    <w:p w14:paraId="44E1504E">
      <w:r>
        <w:rPr>
          <w:rFonts w:hint="eastAsia"/>
        </w:rPr>
        <w:t>（3）用户交互人员和团体凝聚力。</w:t>
      </w:r>
    </w:p>
    <w:p w14:paraId="12D29023">
      <w:pPr>
        <w:pStyle w:val="4"/>
        <w:ind w:left="226"/>
      </w:pPr>
      <w:bookmarkStart w:id="126" w:name="_Toc166686113"/>
      <w:bookmarkStart w:id="127" w:name="_Toc78880588"/>
      <w:r>
        <w:rPr>
          <w:rFonts w:hint="eastAsia"/>
        </w:rPr>
        <w:t>管理风险</w:t>
      </w:r>
      <w:bookmarkEnd w:id="126"/>
      <w:bookmarkEnd w:id="127"/>
    </w:p>
    <w:p w14:paraId="32F0535A">
      <w:r>
        <w:rPr>
          <w:rFonts w:hint="eastAsia"/>
        </w:rPr>
        <w:t>项目的管理环节也是项目中的重要环节，项目中需要规避的管理风险有：</w:t>
      </w:r>
    </w:p>
    <w:p w14:paraId="48BA65DB">
      <w:r>
        <w:rPr>
          <w:rFonts w:hint="eastAsia"/>
        </w:rPr>
        <w:t>（1）计划任务不明确；</w:t>
      </w:r>
    </w:p>
    <w:p w14:paraId="31E26B4F">
      <w:r>
        <w:rPr>
          <w:rFonts w:hint="eastAsia"/>
        </w:rPr>
        <w:t>（2）项目状态不明确；</w:t>
      </w:r>
    </w:p>
    <w:p w14:paraId="563B8CFD">
      <w:r>
        <w:rPr>
          <w:rFonts w:hint="eastAsia"/>
        </w:rPr>
        <w:t>（3）项目执行者、决策者职责不清晰；</w:t>
      </w:r>
    </w:p>
    <w:p w14:paraId="459CB734">
      <w:r>
        <w:rPr>
          <w:rFonts w:hint="eastAsia"/>
        </w:rPr>
        <w:t>（4）员工冲突。</w:t>
      </w:r>
    </w:p>
    <w:p w14:paraId="282D11F2">
      <w:pPr>
        <w:pStyle w:val="3"/>
        <w:spacing w:before="0" w:after="0" w:line="300" w:lineRule="auto"/>
      </w:pPr>
      <w:bookmarkStart w:id="128" w:name="_Toc78880589"/>
      <w:bookmarkStart w:id="129" w:name="_Toc366646680"/>
      <w:bookmarkStart w:id="130" w:name="_Toc230744782"/>
      <w:bookmarkStart w:id="131" w:name="_Toc166686114"/>
      <w:r>
        <w:rPr>
          <w:rFonts w:hint="eastAsia"/>
        </w:rPr>
        <w:t>风险对策和管理</w:t>
      </w:r>
      <w:bookmarkEnd w:id="128"/>
      <w:bookmarkEnd w:id="129"/>
      <w:bookmarkEnd w:id="130"/>
      <w:bookmarkEnd w:id="131"/>
    </w:p>
    <w:p w14:paraId="64163266">
      <w:r>
        <w:rPr>
          <w:rFonts w:hint="eastAsia"/>
        </w:rPr>
        <w:t>根据对项目中各类风险因素的分析，项目面临的主要风险已比较清晰，针对这些风险因素提出如下的防范和降低风险的对策：</w:t>
      </w:r>
    </w:p>
    <w:p w14:paraId="429869D1">
      <w:r>
        <w:rPr>
          <w:rFonts w:hint="eastAsia"/>
        </w:rPr>
        <w:t>（1）制订风险应对计划，确定需要采取的应对各类风险的措施</w:t>
      </w:r>
    </w:p>
    <w:p w14:paraId="6C204CF1">
      <w:r>
        <w:rPr>
          <w:rFonts w:hint="eastAsia"/>
        </w:rPr>
        <w:t>风险应对计划确定和指定一个或多个人承担项目风险应对措施的责任，根据风险的优先级别处理风险，在需要时将资源和活动加入到预算、进度计划和项目管理计划中。计划中的风险应对措施必须与风险的重要性相符，能够低成本地、及时地应付挑战，并且在项目环境下能够实现，由指定的责任人负责实施。</w:t>
      </w:r>
    </w:p>
    <w:p w14:paraId="2E34A779">
      <w:r>
        <w:rPr>
          <w:rFonts w:hint="eastAsia"/>
        </w:rPr>
        <w:t>（2）建立和实施项目质量管理体系，严把项目周期各阶段的质量关</w:t>
      </w:r>
    </w:p>
    <w:p w14:paraId="3509926B">
      <w:r>
        <w:rPr>
          <w:rFonts w:hint="eastAsia"/>
        </w:rPr>
        <w:t>项目设计必须符合有关工程建设的技术标准和规范，必须执行国家规定的强制性要求，必须符合经过批准的项目可行性研究报告、评估报告的内容要求；项目招标，应选择有实力、技术先进、可靠性高、价格合理的公司；项目建设期间，宜聘请专业监理单位对工程质量进行监督管理，以确保项目建设质量，控制工程进度和投资，提高项目效益。</w:t>
      </w:r>
    </w:p>
    <w:p w14:paraId="4B42D4F5">
      <w:r>
        <w:rPr>
          <w:rFonts w:hint="eastAsia"/>
        </w:rPr>
        <w:t>（3）持续进行风险监测与控制</w:t>
      </w:r>
    </w:p>
    <w:p w14:paraId="5DF09CC9">
      <w:r>
        <w:rPr>
          <w:rFonts w:hint="eastAsia"/>
        </w:rPr>
        <w:t>项目应对计划中的应对措施在项目管理期间得到执行，但为了发现新风险和已经发生变化的风险，需要持续地对风险进行监测和控制。在这个过程中，需要识别、分析和预测新的风险，保持对已识别风险的跟踪，重新分析现存的风险，监测不可预见事件的引发条件，监测残留风险，评审风险应对措施的实施效果。</w:t>
      </w:r>
    </w:p>
    <w:p w14:paraId="72BBA66E"/>
    <w:p w14:paraId="23ECBAE1"/>
    <w:p w14:paraId="4BCA1963"/>
    <w:p w14:paraId="233CC807"/>
    <w:p w14:paraId="6DD27EF2"/>
    <w:p w14:paraId="3F5CF1EA"/>
    <w:p w14:paraId="6BB97C57"/>
    <w:p w14:paraId="45E409BF"/>
    <w:p w14:paraId="5856ACD7"/>
    <w:p w14:paraId="1031A6C0">
      <w:pPr>
        <w:pStyle w:val="2"/>
        <w:spacing w:before="0" w:after="0" w:line="300" w:lineRule="auto"/>
      </w:pPr>
      <w:bookmarkStart w:id="132" w:name="_Toc166686115"/>
      <w:bookmarkStart w:id="133" w:name="_Toc53995890"/>
      <w:bookmarkStart w:id="134" w:name="_Toc78880590"/>
      <w:r>
        <w:rPr>
          <w:rFonts w:hint="eastAsia"/>
        </w:rPr>
        <w:t>安全生产管理</w:t>
      </w:r>
      <w:bookmarkEnd w:id="132"/>
      <w:bookmarkEnd w:id="133"/>
      <w:bookmarkEnd w:id="134"/>
    </w:p>
    <w:p w14:paraId="5BD6C3C7">
      <w:pPr>
        <w:pStyle w:val="3"/>
        <w:widowControl w:val="0"/>
        <w:tabs>
          <w:tab w:val="left" w:pos="420"/>
        </w:tabs>
        <w:adjustRightInd w:val="0"/>
        <w:textAlignment w:val="baseline"/>
      </w:pPr>
      <w:bookmarkStart w:id="135" w:name="_Toc78880591"/>
      <w:bookmarkStart w:id="136" w:name="_Toc495409479"/>
      <w:bookmarkStart w:id="137" w:name="_Toc53995891"/>
      <w:bookmarkStart w:id="138" w:name="_Toc166686116"/>
      <w:bookmarkStart w:id="139" w:name="_Toc458538510"/>
      <w:r>
        <w:t>工程安全管理组织</w:t>
      </w:r>
      <w:bookmarkEnd w:id="135"/>
      <w:bookmarkEnd w:id="136"/>
      <w:bookmarkEnd w:id="137"/>
      <w:bookmarkEnd w:id="138"/>
      <w:bookmarkEnd w:id="139"/>
    </w:p>
    <w:p w14:paraId="592193B1">
      <w:r>
        <w:rPr>
          <w:rFonts w:hint="eastAsia"/>
        </w:rPr>
        <w:t>（1）</w:t>
      </w:r>
      <w:r>
        <w:t>建设单位要根据《安全生产法》等有关法律规定，设置安全生产管理机构或者配备专职（或兼职）安全生产管理人员。</w:t>
      </w:r>
    </w:p>
    <w:p w14:paraId="782BC470">
      <w:r>
        <w:rPr>
          <w:rFonts w:hint="eastAsia"/>
        </w:rPr>
        <w:t>（2）</w:t>
      </w:r>
      <w:r>
        <w:t>安全生产设施必须要与主体工程同时设计、同时施工、同时投产使用。</w:t>
      </w:r>
    </w:p>
    <w:p w14:paraId="421C0668">
      <w:r>
        <w:rPr>
          <w:rFonts w:hint="eastAsia"/>
        </w:rPr>
        <w:t>（</w:t>
      </w:r>
      <w:r>
        <w:t>3</w:t>
      </w:r>
      <w:r>
        <w:rPr>
          <w:rFonts w:hint="eastAsia"/>
        </w:rPr>
        <w:t>）</w:t>
      </w:r>
      <w:r>
        <w:t>工程监理要严格按安全生产专篇要求实施安全监督和管理。</w:t>
      </w:r>
    </w:p>
    <w:p w14:paraId="482E983A">
      <w:r>
        <w:rPr>
          <w:rFonts w:hint="eastAsia"/>
        </w:rPr>
        <w:t>（</w:t>
      </w:r>
      <w:r>
        <w:t>4</w:t>
      </w:r>
      <w:r>
        <w:rPr>
          <w:rFonts w:hint="eastAsia"/>
        </w:rPr>
        <w:t>）</w:t>
      </w:r>
      <w:r>
        <w:t>工程施工要严格按安全生产专篇要求，对施工人员要进行安全教育和培训，落实安全防护措施和安全经费，加强施工现场安全管理和检查。</w:t>
      </w:r>
    </w:p>
    <w:p w14:paraId="3E92B7BF">
      <w:r>
        <w:rPr>
          <w:rFonts w:hint="eastAsia"/>
        </w:rPr>
        <w:t>（</w:t>
      </w:r>
      <w:r>
        <w:t>5</w:t>
      </w:r>
      <w:r>
        <w:rPr>
          <w:rFonts w:hint="eastAsia"/>
        </w:rPr>
        <w:t>）施工现场有两个以上施工单位交叉作业时，建设单位应明确各方的安全职责，对施工现场实行统一管理。</w:t>
      </w:r>
    </w:p>
    <w:p w14:paraId="1D9FE997">
      <w:r>
        <w:rPr>
          <w:rFonts w:hint="eastAsia"/>
        </w:rPr>
        <w:t>（</w:t>
      </w:r>
      <w:r>
        <w:t>6</w:t>
      </w:r>
      <w:r>
        <w:rPr>
          <w:rFonts w:hint="eastAsia"/>
        </w:rPr>
        <w:t>）</w:t>
      </w:r>
      <w:r>
        <w:t>建设工程竣工投产前，其安全设施必须经安全部门验收合格。</w:t>
      </w:r>
    </w:p>
    <w:p w14:paraId="1AD0F91C">
      <w:r>
        <w:rPr>
          <w:rFonts w:hint="eastAsia"/>
        </w:rPr>
        <w:t>（</w:t>
      </w:r>
      <w:r>
        <w:t>7</w:t>
      </w:r>
      <w:r>
        <w:rPr>
          <w:rFonts w:hint="eastAsia"/>
        </w:rPr>
        <w:t>）建设单位与施工单位应当在施工合同中明确安全生产责任、安全生产计划；建设单位对安全防护、安全施工有特殊要求需增加安全生产费用的，应结合工程实际单独列出安全生产增加项目清单。</w:t>
      </w:r>
      <w:bookmarkStart w:id="140" w:name="_Toc458538512"/>
    </w:p>
    <w:p w14:paraId="5DF163F0">
      <w:pPr>
        <w:pStyle w:val="3"/>
        <w:widowControl w:val="0"/>
        <w:tabs>
          <w:tab w:val="left" w:pos="420"/>
        </w:tabs>
        <w:adjustRightInd w:val="0"/>
        <w:textAlignment w:val="baseline"/>
      </w:pPr>
      <w:bookmarkStart w:id="141" w:name="_Toc78880592"/>
      <w:bookmarkStart w:id="142" w:name="_Toc53995892"/>
      <w:bookmarkStart w:id="143" w:name="_Toc495409480"/>
      <w:bookmarkStart w:id="144" w:name="_Toc166686117"/>
      <w:r>
        <w:t>安全施工基本要求</w:t>
      </w:r>
      <w:bookmarkEnd w:id="140"/>
      <w:bookmarkEnd w:id="141"/>
      <w:bookmarkEnd w:id="142"/>
      <w:bookmarkEnd w:id="143"/>
      <w:bookmarkEnd w:id="144"/>
    </w:p>
    <w:p w14:paraId="1093D3F1">
      <w:r>
        <w:rPr>
          <w:rFonts w:hint="eastAsia"/>
        </w:rPr>
        <w:t>（1）</w:t>
      </w:r>
      <w:r>
        <w:t>施工</w:t>
      </w:r>
      <w:r>
        <w:rPr>
          <w:rFonts w:hint="eastAsia"/>
        </w:rPr>
        <w:t>单位在</w:t>
      </w:r>
      <w:r>
        <w:t>施工过程中应严格执行《安全生产法》、《建设工程安全生产管理条例》（国务院393号令）</w:t>
      </w:r>
      <w:r>
        <w:rPr>
          <w:rFonts w:hint="eastAsia"/>
        </w:rPr>
        <w:t>、《生产安全事故报告和调查处理条例》（国务院令第493号）等</w:t>
      </w:r>
      <w:r>
        <w:t>法律</w:t>
      </w:r>
      <w:r>
        <w:rPr>
          <w:rFonts w:hint="eastAsia"/>
        </w:rPr>
        <w:t>法规</w:t>
      </w:r>
      <w:r>
        <w:t>的规定。</w:t>
      </w:r>
    </w:p>
    <w:p w14:paraId="123691A8">
      <w:r>
        <w:rPr>
          <w:rFonts w:hint="eastAsia"/>
        </w:rPr>
        <w:t>（2）施工单位应当按照国家有关规定配备专职安全生产管理人员，施工现场必须有专职安全生产管理人员。</w:t>
      </w:r>
    </w:p>
    <w:p w14:paraId="527E89FC">
      <w:r>
        <w:rPr>
          <w:rFonts w:hint="eastAsia"/>
        </w:rPr>
        <w:t>（3）施工单位应根据施工现场情况编制应急预案。发生任何事故，应迅速采取有效措施，积极组织救护、抢险，减少人员伤亡和财产损失，防止事故继续扩大，并立即报告安全生产主管部门或上级应急指挥中心。</w:t>
      </w:r>
    </w:p>
    <w:p w14:paraId="5B806BFA">
      <w:r>
        <w:rPr>
          <w:rFonts w:hint="eastAsia"/>
        </w:rPr>
        <w:t>（4）</w:t>
      </w:r>
      <w:r>
        <w:t>施工单位在施工前应对施工作业环境进行检查和评估，制定相应的安全生产、文明施工措施。施工现场工作人员必须严格按照安全生产、文明施工的要求，积极推行施工现场的标准化管理，按施工组织设计，科学组织施工。</w:t>
      </w:r>
    </w:p>
    <w:p w14:paraId="68BB3115">
      <w:r>
        <w:rPr>
          <w:rFonts w:hint="eastAsia"/>
        </w:rPr>
        <w:t>（5）</w:t>
      </w:r>
      <w:r>
        <w:t>施工单位必须严禁使用未取得有关部门颁发的《特种作业人员岗位操作证》的人员从事特种作业；禁止使用未经上岗培训的人员上岗作业。</w:t>
      </w:r>
    </w:p>
    <w:p w14:paraId="7056D59B">
      <w:r>
        <w:rPr>
          <w:rFonts w:hint="eastAsia"/>
        </w:rPr>
        <w:t>（6）</w:t>
      </w:r>
      <w:r>
        <w:t>施工单位必须保证施工现场安全措施费用和施工人员的安全生产用品的落实。</w:t>
      </w:r>
    </w:p>
    <w:p w14:paraId="4E4D997D">
      <w:r>
        <w:rPr>
          <w:rFonts w:hint="eastAsia"/>
        </w:rPr>
        <w:t>（7）</w:t>
      </w:r>
      <w:r>
        <w:t>如果在施工过程中可能会出现与设计文件不完全相符的地方，需进行适当的修改或调整时需要施工方、设计方、建设方和各单位安保部门等共同协商，按最佳方案实施。</w:t>
      </w:r>
    </w:p>
    <w:p w14:paraId="120625C2">
      <w:r>
        <w:rPr>
          <w:rFonts w:hint="eastAsia"/>
        </w:rPr>
        <w:t>（8）</w:t>
      </w:r>
      <w:r>
        <w:t>对涉及在线扩容、割接和带电作业的工程，施工企业必须与维护部门商定实施方案，保护措施，应急方案，作好安全防范措施，保证工程顺利进行。</w:t>
      </w:r>
    </w:p>
    <w:p w14:paraId="10E332AF">
      <w:r>
        <w:rPr>
          <w:rFonts w:hint="eastAsia"/>
        </w:rPr>
        <w:t>（9）</w:t>
      </w:r>
      <w:r>
        <w:t>凡施工图中标注需要做安全防范措施的地</w:t>
      </w:r>
      <w:r>
        <w:rPr>
          <w:rFonts w:hint="eastAsia"/>
        </w:rPr>
        <w:t>方</w:t>
      </w:r>
      <w:r>
        <w:t>，必须认真做好安全防范措施，严禁野蛮作业。</w:t>
      </w:r>
    </w:p>
    <w:p w14:paraId="771C27AE">
      <w:r>
        <w:rPr>
          <w:rFonts w:hint="eastAsia"/>
        </w:rPr>
        <w:t>（10）施工作业区内严禁一切非工作人员进入。严禁非作业人员接近和触碰正在施工运行中的各种机具与设施。</w:t>
      </w:r>
    </w:p>
    <w:p w14:paraId="0E2B42B0">
      <w:r>
        <w:rPr>
          <w:rFonts w:hint="eastAsia"/>
        </w:rPr>
        <w:t>（1</w:t>
      </w:r>
      <w:r>
        <w:t>1</w:t>
      </w:r>
      <w:r>
        <w:rPr>
          <w:rFonts w:hint="eastAsia"/>
        </w:rPr>
        <w:t>）施工单位应为从事高空、高压、易燃、易爆、剧毒、放射性、高速运输、野外作业的施工人员办理团体人身意外伤害险或个人意外伤害险。</w:t>
      </w:r>
    </w:p>
    <w:p w14:paraId="2CAA12CF">
      <w:r>
        <w:rPr>
          <w:rFonts w:hint="eastAsia"/>
        </w:rPr>
        <w:t>（1</w:t>
      </w:r>
      <w:r>
        <w:t>2</w:t>
      </w:r>
      <w:r>
        <w:rPr>
          <w:rFonts w:hint="eastAsia"/>
        </w:rPr>
        <w:t>）施工单位应为员工办理职业病防治险、工伤保险、医疗保险等。</w:t>
      </w:r>
    </w:p>
    <w:p w14:paraId="13A063DF">
      <w:r>
        <w:t>（</w:t>
      </w:r>
      <w:r>
        <w:rPr>
          <w:rFonts w:hint="eastAsia"/>
        </w:rPr>
        <w:t>1</w:t>
      </w:r>
      <w:r>
        <w:t>3）施工人员进入施工现场必须戴安全帽、绝缘鞋等，正确佩戴和使用劳动保护用品。严格执行操作规程和施工现场的规章制度，禁止违章指挥和违章作业。</w:t>
      </w:r>
      <w:r>
        <w:cr/>
      </w:r>
      <w:r>
        <w:t xml:space="preserve">    （</w:t>
      </w:r>
      <w:r>
        <w:rPr>
          <w:rFonts w:hint="eastAsia"/>
        </w:rPr>
        <w:t>1</w:t>
      </w:r>
      <w:r>
        <w:t>4）施工用的高凳、梯子、人字梯、高架车等，在使用前必须认真检查其牢固性。梯外端应采取防滑措施，并不得垫高使用。人字梯距梯脚40-60cm处要设拉绳，施工中，禁止站在梯子最上一层工作，且严禁在这上面放工具和材料，防止工具坠落。</w:t>
      </w:r>
      <w:r>
        <w:cr/>
      </w:r>
      <w:r>
        <w:t xml:space="preserve">    （</w:t>
      </w:r>
      <w:r>
        <w:rPr>
          <w:rFonts w:hint="eastAsia"/>
        </w:rPr>
        <w:t>1</w:t>
      </w:r>
      <w:r>
        <w:t>5）高处作业施工人员必须正确使用安全带，安全帽。</w:t>
      </w:r>
      <w:r>
        <w:cr/>
      </w:r>
      <w:r>
        <w:t xml:space="preserve">    （</w:t>
      </w:r>
      <w:r>
        <w:rPr>
          <w:rFonts w:hint="eastAsia"/>
        </w:rPr>
        <w:t>1</w:t>
      </w:r>
      <w:r>
        <w:t>6）按照施工总平面图设置临时设施，严禁侵占场内道路及安全防护等设施。</w:t>
      </w:r>
      <w:r>
        <w:cr/>
      </w:r>
      <w:r>
        <w:t xml:space="preserve">    （17）出入机房应遵守机房的管理制度，自觉做好出入登记工作。</w:t>
      </w:r>
    </w:p>
    <w:p w14:paraId="0B241F3B">
      <w:r>
        <w:t>（18）施工材料应合理堆放，不得占用楼道内的公共空间，封堵紧急出口。</w:t>
      </w:r>
    </w:p>
    <w:p w14:paraId="03CEDD46">
      <w:r>
        <w:t>（19）施工完毕应及时清理多余的材料，将机房内的垃圾清理干净。</w:t>
      </w:r>
    </w:p>
    <w:p w14:paraId="320B7ACE">
      <w:r>
        <w:t>（20）遇害有恶劣气候影响施工安全时，应停止施工作业，并按有关规定办理停止作业手续，以保障人身、设备等安全。</w:t>
      </w:r>
    </w:p>
    <w:p w14:paraId="7D730966">
      <w:pPr>
        <w:pStyle w:val="3"/>
        <w:widowControl w:val="0"/>
        <w:tabs>
          <w:tab w:val="left" w:pos="420"/>
        </w:tabs>
        <w:adjustRightInd w:val="0"/>
        <w:textAlignment w:val="baseline"/>
      </w:pPr>
      <w:bookmarkStart w:id="145" w:name="_Toc495409481"/>
      <w:bookmarkStart w:id="146" w:name="_Toc458538513"/>
      <w:bookmarkStart w:id="147" w:name="_Toc78880593"/>
      <w:bookmarkStart w:id="148" w:name="_Toc166686118"/>
      <w:bookmarkStart w:id="149" w:name="_Toc53995893"/>
      <w:r>
        <w:t>施工消防安全要求</w:t>
      </w:r>
      <w:bookmarkEnd w:id="145"/>
      <w:bookmarkEnd w:id="146"/>
      <w:bookmarkEnd w:id="147"/>
      <w:bookmarkEnd w:id="148"/>
      <w:bookmarkEnd w:id="149"/>
    </w:p>
    <w:p w14:paraId="413C82B8">
      <w:r>
        <w:rPr>
          <w:rFonts w:hint="eastAsia"/>
        </w:rPr>
        <w:t>（1）</w:t>
      </w:r>
      <w:r>
        <w:t>施工单位应当在施工现场建立消防安全责任制度，确定消防安全责任人，制定用电、各类材料各项消防安全管理制度和操作规程，设置消防通道、消防水源，配备消防设施和灭火器材，并在施工现场入口处设备明显标志。作业人员进入新的岗位或者新的施工现场前或在采用新技术、新工艺、新设备、新材料时，应当对作业人员进行相应安全生产教育培训。</w:t>
      </w:r>
    </w:p>
    <w:p w14:paraId="496F9FA4">
      <w:r>
        <w:rPr>
          <w:rFonts w:hint="eastAsia"/>
        </w:rPr>
        <w:t>（2）</w:t>
      </w:r>
      <w:r>
        <w:t>在施工前必须根据施工委托书、开工报告办理施工许可证和机房出入证等相关证件。施工人员出入机房必须如实填写登记表。</w:t>
      </w:r>
    </w:p>
    <w:p w14:paraId="5A4C2567">
      <w:r>
        <w:rPr>
          <w:rFonts w:hint="eastAsia"/>
        </w:rPr>
        <w:t>（3）</w:t>
      </w:r>
      <w:r>
        <w:t>机房内不准吸烟、不准使用电热水器、电炉等电热器具，不准乱拉乱搭电线，不准用汽油等易燃液体擦拭地板，不准存放易燃、可燃液体和气体，不准把食物带入机房，机房内严禁带入易燃易爆物品，严禁使用易燃易爆物品和工具进行施工。</w:t>
      </w:r>
    </w:p>
    <w:p w14:paraId="3643BD8E">
      <w:r>
        <w:rPr>
          <w:rFonts w:hint="eastAsia"/>
        </w:rPr>
        <w:t>（</w:t>
      </w:r>
      <w:r>
        <w:t>4</w:t>
      </w:r>
      <w:r>
        <w:rPr>
          <w:rFonts w:hint="eastAsia"/>
        </w:rPr>
        <w:t>）</w:t>
      </w:r>
      <w:r>
        <w:t>机房施工设备包装材料以及电报纸、打印纸等易燃物品，要随用随清随运，不得堆放在机房内和走廊通道上。施工材料须及时清理。</w:t>
      </w:r>
    </w:p>
    <w:p w14:paraId="5FCBC1F5">
      <w:r>
        <w:rPr>
          <w:rFonts w:hint="eastAsia"/>
        </w:rPr>
        <w:t>（</w:t>
      </w:r>
      <w:r>
        <w:t>5</w:t>
      </w:r>
      <w:r>
        <w:rPr>
          <w:rFonts w:hint="eastAsia"/>
        </w:rPr>
        <w:t>）</w:t>
      </w:r>
      <w:r>
        <w:t>在机房内进行烧焊等动火施工时，要严格执行操作规程，报保卫部门批准，并落实监督人员，采取可靠的防护措施才能施工。</w:t>
      </w:r>
    </w:p>
    <w:p w14:paraId="26DCB7E3">
      <w:pPr>
        <w:pStyle w:val="3"/>
        <w:widowControl w:val="0"/>
        <w:tabs>
          <w:tab w:val="left" w:pos="420"/>
        </w:tabs>
        <w:adjustRightInd w:val="0"/>
        <w:textAlignment w:val="baseline"/>
      </w:pPr>
      <w:bookmarkStart w:id="150" w:name="_Toc78880594"/>
      <w:bookmarkStart w:id="151" w:name="_Toc166686119"/>
      <w:bookmarkStart w:id="152" w:name="_Toc53995894"/>
      <w:bookmarkStart w:id="153" w:name="_Toc458538514"/>
      <w:bookmarkStart w:id="154" w:name="_Toc495409482"/>
      <w:r>
        <w:t>施工行为安全要求</w:t>
      </w:r>
      <w:bookmarkEnd w:id="150"/>
      <w:bookmarkEnd w:id="151"/>
      <w:bookmarkEnd w:id="152"/>
      <w:bookmarkEnd w:id="153"/>
      <w:bookmarkEnd w:id="154"/>
    </w:p>
    <w:p w14:paraId="7C8737CF">
      <w:r>
        <w:rPr>
          <w:rFonts w:hint="eastAsia"/>
        </w:rPr>
        <w:t>（1）在野外施工作业时，必须按照国家有关部门关于安全和劳动保护的规定，正确配戴安全防护和劳动保护用品。</w:t>
      </w:r>
    </w:p>
    <w:p w14:paraId="6A74F0D0">
      <w:r>
        <w:rPr>
          <w:rFonts w:hint="eastAsia"/>
        </w:rPr>
        <w:t>（</w:t>
      </w:r>
      <w:r>
        <w:t>2</w:t>
      </w:r>
      <w:r>
        <w:rPr>
          <w:rFonts w:hint="eastAsia"/>
        </w:rPr>
        <w:t>）在机房作业时，应遵守机房的管理制度，严禁在机房内饮水、吸烟。</w:t>
      </w:r>
      <w:r>
        <w:t>施工人员在机房内由于施工需要取用电时（施工工具用电和调测设备用电），禁止使用机房设备专用的交直流电源，只允许使用机房照明用电或其他电源，并征得机房维护人员同意后和签字确认后才可使用。</w:t>
      </w:r>
    </w:p>
    <w:p w14:paraId="23475C11">
      <w:r>
        <w:rPr>
          <w:rFonts w:hint="eastAsia"/>
        </w:rPr>
        <w:t>（</w:t>
      </w:r>
      <w:r>
        <w:t>3</w:t>
      </w:r>
      <w:r>
        <w:rPr>
          <w:rFonts w:hint="eastAsia"/>
        </w:rPr>
        <w:t>）在公路、高速公路、铁路、桥梁、通航的河道、市区等特殊地段施工时，应根据有关规定设立明显的安全警示标志、防护围栏等安全设施，必要时派专人警戒看守。</w:t>
      </w:r>
    </w:p>
    <w:p w14:paraId="03A3BF5D">
      <w:r>
        <w:rPr>
          <w:rFonts w:hint="eastAsia"/>
        </w:rPr>
        <w:t>（</w:t>
      </w:r>
      <w:r>
        <w:t>4</w:t>
      </w:r>
      <w:r>
        <w:rPr>
          <w:rFonts w:hint="eastAsia"/>
        </w:rPr>
        <w:t>）在炎热或寒冷、冰雪天气施工作业时应采取防暑或防寒、防冻、防滑措施。当地面被积雪覆盖时，应用棍棒试探前行。遇有强风、暴雨、大雾、雷电、冰雹、沙尘暴等恶劣天气时，应停止露天作业。雷雨天不得在电杆、铁塔、大树、广告牌下躲避。</w:t>
      </w:r>
    </w:p>
    <w:p w14:paraId="3BF0F554">
      <w:r>
        <w:rPr>
          <w:rFonts w:hint="eastAsia"/>
        </w:rPr>
        <w:t>（</w:t>
      </w:r>
      <w:r>
        <w:t>5</w:t>
      </w:r>
      <w:r>
        <w:rPr>
          <w:rFonts w:hint="eastAsia"/>
        </w:rPr>
        <w:t>）登高梯作业时，施工人员应经常检查登高梯的完好性并选用合适的登高梯。</w:t>
      </w:r>
    </w:p>
    <w:p w14:paraId="2600673E">
      <w:r>
        <w:rPr>
          <w:rFonts w:hint="eastAsia"/>
        </w:rPr>
        <w:t>（</w:t>
      </w:r>
      <w:r>
        <w:t>6</w:t>
      </w:r>
      <w:r>
        <w:rPr>
          <w:rFonts w:hint="eastAsia"/>
        </w:rPr>
        <w:t>）施工仪表使用人员必须经过培训，熟悉仪表的正确使用方法，并按仪表的技术规定进行操作。</w:t>
      </w:r>
    </w:p>
    <w:p w14:paraId="78857330">
      <w:r>
        <w:rPr>
          <w:rFonts w:hint="eastAsia"/>
        </w:rPr>
        <w:t>（</w:t>
      </w:r>
      <w:r>
        <w:t>7</w:t>
      </w:r>
      <w:r>
        <w:rPr>
          <w:rFonts w:hint="eastAsia"/>
        </w:rPr>
        <w:t>）搬运设备、线缆等器材时，应对杠、绳、链、撬棍、滚筒、滑车、挂钩、绞车（盘）、跳板等搬运工具进行检查是否能够承担足够的负荷，有破损、腐蚀、腐朽现象不得使用。</w:t>
      </w:r>
    </w:p>
    <w:p w14:paraId="32A0E516">
      <w:r>
        <w:rPr>
          <w:rFonts w:hint="eastAsia"/>
        </w:rPr>
        <w:t>（</w:t>
      </w:r>
      <w:r>
        <w:t>8</w:t>
      </w:r>
      <w:r>
        <w:rPr>
          <w:rFonts w:hint="eastAsia"/>
        </w:rPr>
        <w:t>）在挖杆坑洞、电缆沟、手孔坑时，应调查地下原有电力线、光（电）缆、煤气管、输水管、供热管、排污管等设施与开挖地段的间距并注意其安全。如遇有地下不明物品或文物，应立即停止挖掘，保护现场，并向有关部门报告。</w:t>
      </w:r>
    </w:p>
    <w:p w14:paraId="61813F27">
      <w:r>
        <w:rPr>
          <w:rFonts w:hint="eastAsia"/>
        </w:rPr>
        <w:t>（</w:t>
      </w:r>
      <w:r>
        <w:t>9</w:t>
      </w:r>
      <w:r>
        <w:rPr>
          <w:rFonts w:hint="eastAsia"/>
        </w:rPr>
        <w:t>）在供电线路上方施工时，应事先通知电力部门派人到现场停止送电，并经检查确实停电后，才能开始作业。施工作业人员不得将供电线擅自剪断。</w:t>
      </w:r>
    </w:p>
    <w:p w14:paraId="3660A3EB">
      <w:r>
        <w:rPr>
          <w:rFonts w:hint="eastAsia"/>
        </w:rPr>
        <w:t>（</w:t>
      </w:r>
      <w:r>
        <w:t>10</w:t>
      </w:r>
      <w:r>
        <w:rPr>
          <w:rFonts w:hint="eastAsia"/>
        </w:rPr>
        <w:t>）在桥梁侧体施工时应得到相关管理部门批准，并按指定的位置安装铁架、钢管、塑料管或电缆。严禁擅自改变安装位置损伤其桥体主钢筋。</w:t>
      </w:r>
    </w:p>
    <w:p w14:paraId="347D45AA">
      <w:r>
        <w:rPr>
          <w:rFonts w:hint="eastAsia"/>
        </w:rPr>
        <w:t>（</w:t>
      </w:r>
      <w:r>
        <w:t>11</w:t>
      </w:r>
      <w:r>
        <w:rPr>
          <w:rFonts w:hint="eastAsia"/>
        </w:rPr>
        <w:t>）人工开挖土方或路面时，相邻作业人员间必须保持2m以上间隔。</w:t>
      </w:r>
    </w:p>
    <w:p w14:paraId="44E655B0">
      <w:r>
        <w:rPr>
          <w:rFonts w:hint="eastAsia"/>
        </w:rPr>
        <w:t>（</w:t>
      </w:r>
      <w:r>
        <w:t>1</w:t>
      </w:r>
      <w:r>
        <w:rPr>
          <w:rFonts w:hint="eastAsia"/>
        </w:rPr>
        <w:t>2）在靠近建筑物挖沟、坑时，应视挖掘深度做好必要的安全措施。如采用支撑办法无法解决时，应拆除容易倒塌的建筑物，回填沟、坑后再修复建筑物。</w:t>
      </w:r>
    </w:p>
    <w:p w14:paraId="53720CFD">
      <w:pPr>
        <w:pStyle w:val="3"/>
        <w:widowControl w:val="0"/>
        <w:tabs>
          <w:tab w:val="left" w:pos="420"/>
        </w:tabs>
        <w:adjustRightInd w:val="0"/>
        <w:textAlignment w:val="baseline"/>
      </w:pPr>
      <w:bookmarkStart w:id="155" w:name="_Toc166686120"/>
      <w:bookmarkStart w:id="156" w:name="_Toc458538515"/>
      <w:bookmarkStart w:id="157" w:name="_Toc78880595"/>
      <w:bookmarkStart w:id="158" w:name="_Toc495409483"/>
      <w:bookmarkStart w:id="159" w:name="_Toc53995895"/>
      <w:r>
        <w:t>施工监理安全要求</w:t>
      </w:r>
      <w:bookmarkEnd w:id="155"/>
      <w:bookmarkEnd w:id="156"/>
      <w:bookmarkEnd w:id="157"/>
      <w:bookmarkEnd w:id="158"/>
      <w:bookmarkEnd w:id="159"/>
    </w:p>
    <w:p w14:paraId="59692DC2">
      <w:r>
        <w:rPr>
          <w:rFonts w:hint="eastAsia"/>
        </w:rPr>
        <w:t>（1）</w:t>
      </w:r>
      <w:r>
        <w:t>工程监理单位和监理工程师应当按照法律、法规和工程建设强制性标准实施监理，并对建设工程安全生产承担监理责任。工程监理单位应当审查施工组织设计中的安全措施或者专项施工方案是否符合工程建设强制性标准。</w:t>
      </w:r>
    </w:p>
    <w:p w14:paraId="330D623D">
      <w:r>
        <w:rPr>
          <w:rFonts w:hint="eastAsia"/>
        </w:rPr>
        <w:t>（2）</w:t>
      </w:r>
      <w:r>
        <w:t>工程监理单位在施工监理过程中，发现存在安全事故隐患的，应当要求施工单位整改。情况严重的，应当要求施工单位暂时停止施工，并及时报告建设单位。施工单位拒不整改或者不停止施工的，工程监理单位应当及时向有关主管部门报告。</w:t>
      </w:r>
    </w:p>
    <w:p w14:paraId="237E942E"/>
    <w:bookmarkEnd w:id="111"/>
    <w:p w14:paraId="0332A6FC">
      <w:pPr>
        <w:widowControl/>
        <w:adjustRightInd/>
        <w:ind w:firstLine="0" w:firstLineChars="0"/>
        <w:jc w:val="left"/>
        <w:textAlignment w:val="auto"/>
      </w:pPr>
    </w:p>
    <w:sectPr>
      <w:headerReference r:id="rId12" w:type="default"/>
      <w:footerReference r:id="rId13" w:type="default"/>
      <w:pgSz w:w="11907" w:h="16840"/>
      <w:pgMar w:top="1701" w:right="1418" w:bottom="1418" w:left="1418" w:header="1134" w:footer="1021" w:gutter="0"/>
      <w:cols w:space="425"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Garamond">
    <w:panose1 w:val="02020404030301010803"/>
    <w:charset w:val="00"/>
    <w:family w:val="roman"/>
    <w:pitch w:val="default"/>
    <w:sig w:usb0="00000287" w:usb1="00000000" w:usb2="00000000" w:usb3="00000000" w:csb0="0000009F" w:csb1="DFD7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FZLTHK--GBK1-0-Identity-H">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43BCB">
    <w:pPr>
      <w:pStyle w:val="21"/>
      <w:pBdr>
        <w:top w:val="none" w:color="auto" w:sz="0" w:space="0"/>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97DD5">
    <w:pPr>
      <w:pStyle w:val="21"/>
      <w:pBdr>
        <w:top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FC43">
    <w:pPr>
      <w:pStyle w:val="21"/>
    </w:pPr>
    <w:r>
      <w:rPr>
        <w:rFonts w:hint="eastAsia"/>
      </w:rPr>
      <w:t>南京捷途科技发展有限公司</w:t>
    </w:r>
    <w:r>
      <w:rPr>
        <w:rFonts w:hint="eastAsia"/>
      </w:rPr>
      <w:tab/>
    </w:r>
    <w:r>
      <w:rPr>
        <w:rStyle w:val="34"/>
      </w:rPr>
      <w:fldChar w:fldCharType="begin"/>
    </w:r>
    <w:r>
      <w:rPr>
        <w:rStyle w:val="34"/>
      </w:rPr>
      <w:instrText xml:space="preserve"> PAGE </w:instrText>
    </w:r>
    <w:r>
      <w:rPr>
        <w:rStyle w:val="34"/>
      </w:rPr>
      <w:fldChar w:fldCharType="separate"/>
    </w:r>
    <w:r>
      <w:rPr>
        <w:rStyle w:val="34"/>
      </w:rPr>
      <w:t>iii</w:t>
    </w:r>
    <w:r>
      <w:rPr>
        <w:rStyle w:val="3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B7DB5">
    <w:pPr>
      <w:pStyle w:val="21"/>
    </w:pPr>
    <w:r>
      <w:rPr>
        <w:rFonts w:hint="eastAsia"/>
      </w:rPr>
      <w:t>南京捷途科技发展有限公司</w:t>
    </w:r>
    <w:r>
      <w:ptab w:relativeTo="margin" w:alignment="right" w:leader="none"/>
    </w:r>
    <w:r>
      <w:rPr>
        <w:rStyle w:val="34"/>
      </w:rPr>
      <w:fldChar w:fldCharType="begin"/>
    </w:r>
    <w:r>
      <w:rPr>
        <w:rStyle w:val="34"/>
      </w:rPr>
      <w:instrText xml:space="preserve"> PAGE </w:instrText>
    </w:r>
    <w:r>
      <w:rPr>
        <w:rStyle w:val="34"/>
      </w:rPr>
      <w:fldChar w:fldCharType="separate"/>
    </w:r>
    <w:r>
      <w:rPr>
        <w:rStyle w:val="34"/>
      </w:rPr>
      <w:t>29</w:t>
    </w:r>
    <w:r>
      <w:rPr>
        <w:rStyle w:val="34"/>
      </w:rPr>
      <w:fldChar w:fldCharType="end"/>
    </w: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7B404">
    <w:pPr>
      <w:pStyle w:val="21"/>
    </w:pPr>
    <w:r>
      <w:rPr>
        <w:rFonts w:hint="eastAsia"/>
      </w:rPr>
      <w:t>南京捷途科技发展有限公司</w:t>
    </w:r>
    <w:r>
      <w:ptab w:relativeTo="margin" w:alignment="right" w:leader="none"/>
    </w:r>
    <w:r>
      <w:rPr>
        <w:rStyle w:val="34"/>
      </w:rPr>
      <w:fldChar w:fldCharType="begin"/>
    </w:r>
    <w:r>
      <w:rPr>
        <w:rStyle w:val="34"/>
      </w:rPr>
      <w:instrText xml:space="preserve"> PAGE </w:instrText>
    </w:r>
    <w:r>
      <w:rPr>
        <w:rStyle w:val="34"/>
      </w:rPr>
      <w:fldChar w:fldCharType="separate"/>
    </w:r>
    <w:r>
      <w:rPr>
        <w:rStyle w:val="34"/>
      </w:rPr>
      <w:t>34</w:t>
    </w:r>
    <w:r>
      <w:rPr>
        <w:rStyle w:val="34"/>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EFC0B">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4A9F5">
    <w:pPr>
      <w:pStyle w:val="22"/>
    </w:pPr>
    <w:r>
      <w:rPr>
        <w:rFonts w:hint="eastAsia"/>
      </w:rPr>
      <w:t>盐城市公安局盐城经济技术开发区分局城乡交通提升优化项目（区际防控圈建设）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1C554">
    <w:pPr>
      <w:pStyle w:val="22"/>
    </w:pPr>
    <w:r>
      <w:rPr>
        <w:rFonts w:hint="eastAsia"/>
      </w:rPr>
      <w:t>盐城市公安局盐城经济技术开发区分局城乡交通提升优化项目（区际防控圈建设）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FD761">
    <w:pPr>
      <w:pStyle w:val="22"/>
    </w:pPr>
    <w:r>
      <w:rPr>
        <w:rFonts w:hint="eastAsia"/>
      </w:rPr>
      <w:t>盐城市公安局盐城经济技术开发区分局城乡交通提升优化项目（区际防控圈建设）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6644C"/>
    <w:multiLevelType w:val="multilevel"/>
    <w:tmpl w:val="0906644C"/>
    <w:lvl w:ilvl="0" w:tentative="0">
      <w:start w:val="1"/>
      <w:numFmt w:val="decimal"/>
      <w:lvlText w:val="（%1）"/>
      <w:lvlJc w:val="left"/>
      <w:pPr>
        <w:ind w:left="0" w:firstLine="482"/>
      </w:pPr>
      <w:rPr>
        <w:rFonts w:ascii="Times New Roman" w:hAnsi="Times New Roman" w:eastAsia="宋体" w:cs="Times New Roman"/>
        <w:lang w:val="en-US"/>
      </w:rPr>
    </w:lvl>
    <w:lvl w:ilvl="1" w:tentative="0">
      <w:start w:val="1"/>
      <w:numFmt w:val="lowerLetter"/>
      <w:lvlText w:val="%2)"/>
      <w:lvlJc w:val="left"/>
      <w:pPr>
        <w:ind w:left="0" w:firstLine="482"/>
      </w:pPr>
      <w:rPr>
        <w:rFonts w:hint="eastAsia"/>
      </w:rPr>
    </w:lvl>
    <w:lvl w:ilvl="2" w:tentative="0">
      <w:start w:val="1"/>
      <w:numFmt w:val="lowerRoman"/>
      <w:lvlText w:val="%3."/>
      <w:lvlJc w:val="right"/>
      <w:pPr>
        <w:ind w:left="0" w:firstLine="482"/>
      </w:pPr>
      <w:rPr>
        <w:rFonts w:hint="eastAsia"/>
      </w:rPr>
    </w:lvl>
    <w:lvl w:ilvl="3" w:tentative="0">
      <w:start w:val="1"/>
      <w:numFmt w:val="decimal"/>
      <w:lvlText w:val="%4."/>
      <w:lvlJc w:val="left"/>
      <w:pPr>
        <w:ind w:left="0" w:firstLine="482"/>
      </w:pPr>
      <w:rPr>
        <w:rFonts w:hint="eastAsia"/>
      </w:rPr>
    </w:lvl>
    <w:lvl w:ilvl="4" w:tentative="0">
      <w:start w:val="1"/>
      <w:numFmt w:val="lowerLetter"/>
      <w:lvlText w:val="%5)"/>
      <w:lvlJc w:val="left"/>
      <w:pPr>
        <w:ind w:left="0" w:firstLine="482"/>
      </w:pPr>
      <w:rPr>
        <w:rFonts w:hint="eastAsia"/>
      </w:rPr>
    </w:lvl>
    <w:lvl w:ilvl="5" w:tentative="0">
      <w:start w:val="1"/>
      <w:numFmt w:val="lowerRoman"/>
      <w:lvlText w:val="%6."/>
      <w:lvlJc w:val="right"/>
      <w:pPr>
        <w:ind w:left="0" w:firstLine="482"/>
      </w:pPr>
      <w:rPr>
        <w:rFonts w:hint="eastAsia"/>
      </w:rPr>
    </w:lvl>
    <w:lvl w:ilvl="6" w:tentative="0">
      <w:start w:val="1"/>
      <w:numFmt w:val="decimal"/>
      <w:lvlText w:val="%7."/>
      <w:lvlJc w:val="left"/>
      <w:pPr>
        <w:ind w:left="0" w:firstLine="482"/>
      </w:pPr>
      <w:rPr>
        <w:rFonts w:hint="eastAsia"/>
      </w:rPr>
    </w:lvl>
    <w:lvl w:ilvl="7" w:tentative="0">
      <w:start w:val="1"/>
      <w:numFmt w:val="lowerLetter"/>
      <w:lvlText w:val="%8)"/>
      <w:lvlJc w:val="left"/>
      <w:pPr>
        <w:ind w:left="0" w:firstLine="482"/>
      </w:pPr>
      <w:rPr>
        <w:rFonts w:hint="eastAsia"/>
      </w:rPr>
    </w:lvl>
    <w:lvl w:ilvl="8" w:tentative="0">
      <w:start w:val="1"/>
      <w:numFmt w:val="lowerRoman"/>
      <w:lvlText w:val="%9."/>
      <w:lvlJc w:val="right"/>
      <w:pPr>
        <w:ind w:left="0" w:firstLine="482"/>
      </w:pPr>
      <w:rPr>
        <w:rFonts w:hint="eastAsia"/>
      </w:rPr>
    </w:lvl>
  </w:abstractNum>
  <w:abstractNum w:abstractNumId="1">
    <w:nsid w:val="0A760F1C"/>
    <w:multiLevelType w:val="multilevel"/>
    <w:tmpl w:val="0A760F1C"/>
    <w:lvl w:ilvl="0" w:tentative="0">
      <w:start w:val="1"/>
      <w:numFmt w:val="decimal"/>
      <w:pStyle w:val="164"/>
      <w:suff w:val="space"/>
      <w:lvlText w:val="第%1章"/>
      <w:lvlJc w:val="center"/>
      <w:pPr>
        <w:ind w:left="3399" w:firstLine="288"/>
      </w:pPr>
      <w:rPr>
        <w:rFonts w:hint="eastAsia" w:ascii="黑体" w:hAnsi="黑体" w:eastAsia="黑体"/>
        <w:sz w:val="36"/>
        <w:lang w:val="en-US"/>
      </w:rPr>
    </w:lvl>
    <w:lvl w:ilvl="1" w:tentative="0">
      <w:start w:val="1"/>
      <w:numFmt w:val="decimal"/>
      <w:pStyle w:val="165"/>
      <w:suff w:val="space"/>
      <w:lvlText w:val="%1.%2"/>
      <w:lvlJc w:val="left"/>
      <w:pPr>
        <w:ind w:left="0" w:firstLine="0"/>
      </w:pPr>
      <w:rPr>
        <w:rFonts w:hint="eastAsia" w:ascii="黑体" w:hAnsi="黑体" w:eastAsia="黑体"/>
        <w:sz w:val="30"/>
      </w:rPr>
    </w:lvl>
    <w:lvl w:ilvl="2" w:tentative="0">
      <w:start w:val="1"/>
      <w:numFmt w:val="decimal"/>
      <w:pStyle w:val="166"/>
      <w:suff w:val="space"/>
      <w:lvlText w:val="%1.%2.%3"/>
      <w:lvlJc w:val="left"/>
      <w:pPr>
        <w:ind w:left="426" w:hanging="426"/>
      </w:pPr>
      <w:rPr>
        <w:rFonts w:hint="eastAsia" w:ascii="黑体" w:hAnsi="黑体" w:eastAsia="黑体"/>
        <w:color w:val="auto"/>
        <w:sz w:val="28"/>
      </w:rPr>
    </w:lvl>
    <w:lvl w:ilvl="3" w:tentative="0">
      <w:start w:val="1"/>
      <w:numFmt w:val="decimal"/>
      <w:pStyle w:val="168"/>
      <w:suff w:val="space"/>
      <w:lvlText w:val="%1.%2.%3.%4"/>
      <w:lvlJc w:val="left"/>
      <w:pPr>
        <w:ind w:left="142" w:firstLine="0"/>
      </w:pPr>
      <w:rPr>
        <w:rFonts w:hint="eastAsia" w:ascii="黑体" w:hAnsi="黑体" w:eastAsia="黑体"/>
        <w:color w:val="auto"/>
        <w:sz w:val="24"/>
      </w:rPr>
    </w:lvl>
    <w:lvl w:ilvl="4" w:tentative="0">
      <w:start w:val="1"/>
      <w:numFmt w:val="decimal"/>
      <w:pStyle w:val="169"/>
      <w:lvlText w:val="%1.%2.%3.%4.%5"/>
      <w:lvlJc w:val="left"/>
      <w:pPr>
        <w:ind w:left="0" w:firstLine="0"/>
      </w:pPr>
      <w:rPr>
        <w:b w:val="0"/>
        <w:bCs w:val="0"/>
        <w:i w:val="0"/>
        <w:iCs w:val="0"/>
        <w:caps w:val="0"/>
        <w:smallCaps w:val="0"/>
        <w:strike w:val="0"/>
        <w:dstrike w:val="0"/>
        <w:vanish w:val="0"/>
        <w:color w:val="000000"/>
        <w:spacing w:val="0"/>
        <w:position w:val="0"/>
        <w:u w:val="none"/>
        <w:vertAlign w:val="baseline"/>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208A7ABE"/>
    <w:multiLevelType w:val="multilevel"/>
    <w:tmpl w:val="208A7ABE"/>
    <w:lvl w:ilvl="0" w:tentative="0">
      <w:start w:val="1"/>
      <w:numFmt w:val="decimal"/>
      <w:pStyle w:val="96"/>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9B76AF2"/>
    <w:multiLevelType w:val="multilevel"/>
    <w:tmpl w:val="39B76AF2"/>
    <w:lvl w:ilvl="0" w:tentative="0">
      <w:start w:val="1"/>
      <w:numFmt w:val="decimal"/>
      <w:pStyle w:val="2"/>
      <w:suff w:val="space"/>
      <w:lvlText w:val="%1、"/>
      <w:lvlJc w:val="left"/>
      <w:pPr>
        <w:ind w:left="0" w:firstLine="0"/>
      </w:pPr>
      <w:rPr>
        <w:rFonts w:hint="default" w:ascii="Times New Roman" w:hAnsi="Times New Roman" w:eastAsia="黑体"/>
        <w:b w:val="0"/>
        <w:i w:val="0"/>
        <w:sz w:val="28"/>
        <w:szCs w:val="28"/>
      </w:rPr>
    </w:lvl>
    <w:lvl w:ilvl="1" w:tentative="0">
      <w:start w:val="1"/>
      <w:numFmt w:val="decimal"/>
      <w:pStyle w:val="3"/>
      <w:suff w:val="space"/>
      <w:lvlText w:val="%1.%2"/>
      <w:lvlJc w:val="left"/>
      <w:pPr>
        <w:ind w:left="0" w:firstLine="0"/>
      </w:pPr>
      <w:rPr>
        <w:rFonts w:hint="default" w:ascii="Times New Roman" w:hAnsi="Times New Roman" w:eastAsia="黑体"/>
        <w:b w:val="0"/>
        <w:i w:val="0"/>
        <w:sz w:val="24"/>
        <w:szCs w:val="24"/>
      </w:rPr>
    </w:lvl>
    <w:lvl w:ilvl="2" w:tentative="0">
      <w:start w:val="1"/>
      <w:numFmt w:val="decimal"/>
      <w:pStyle w:val="4"/>
      <w:suff w:val="space"/>
      <w:lvlText w:val="%1.%2.%3"/>
      <w:lvlJc w:val="left"/>
      <w:pPr>
        <w:ind w:left="0" w:firstLine="200"/>
      </w:pPr>
      <w:rPr>
        <w:rFonts w:hint="default" w:ascii="Times New Roman" w:hAnsi="Times New Roman" w:eastAsia="黑体"/>
        <w:sz w:val="24"/>
        <w:szCs w:val="24"/>
      </w:rPr>
    </w:lvl>
    <w:lvl w:ilvl="3" w:tentative="0">
      <w:start w:val="1"/>
      <w:numFmt w:val="decimal"/>
      <w:pStyle w:val="5"/>
      <w:suff w:val="space"/>
      <w:lvlText w:val="%1.%2.%3.%4"/>
      <w:lvlJc w:val="left"/>
      <w:pPr>
        <w:ind w:left="0" w:firstLine="200"/>
      </w:pPr>
      <w:rPr>
        <w:rFonts w:hint="default" w:ascii="Times New Roman" w:hAnsi="Times New Roman" w:eastAsia="黑体"/>
        <w:b w:val="0"/>
        <w:sz w:val="24"/>
        <w:szCs w:val="24"/>
      </w:rPr>
    </w:lvl>
    <w:lvl w:ilvl="4" w:tentative="0">
      <w:start w:val="1"/>
      <w:numFmt w:val="decimal"/>
      <w:pStyle w:val="82"/>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4">
    <w:nsid w:val="4CA75A52"/>
    <w:multiLevelType w:val="multilevel"/>
    <w:tmpl w:val="4CA75A52"/>
    <w:lvl w:ilvl="0" w:tentative="0">
      <w:start w:val="1"/>
      <w:numFmt w:val="decimal"/>
      <w:pStyle w:val="102"/>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5">
    <w:nsid w:val="7DD51E1B"/>
    <w:multiLevelType w:val="multilevel"/>
    <w:tmpl w:val="7DD51E1B"/>
    <w:lvl w:ilvl="0" w:tentative="0">
      <w:start w:val="1"/>
      <w:numFmt w:val="decimal"/>
      <w:pStyle w:val="170"/>
      <w:suff w:val="space"/>
      <w:lvlText w:val="%1"/>
      <w:lvlJc w:val="left"/>
      <w:pPr>
        <w:ind w:left="0" w:firstLine="0"/>
      </w:pPr>
      <w:rPr>
        <w:rFonts w:hint="eastAsia"/>
      </w:rPr>
    </w:lvl>
    <w:lvl w:ilvl="1" w:tentative="0">
      <w:start w:val="1"/>
      <w:numFmt w:val="decimal"/>
      <w:pStyle w:val="171"/>
      <w:suff w:val="space"/>
      <w:lvlText w:val="%1.%2"/>
      <w:lvlJc w:val="left"/>
      <w:pPr>
        <w:ind w:left="0" w:firstLine="0"/>
      </w:pPr>
      <w:rPr>
        <w:rFonts w:hint="eastAsia"/>
      </w:rPr>
    </w:lvl>
    <w:lvl w:ilvl="2" w:tentative="0">
      <w:start w:val="1"/>
      <w:numFmt w:val="decimal"/>
      <w:pStyle w:val="172"/>
      <w:suff w:val="space"/>
      <w:lvlText w:val="%1.%2.%3"/>
      <w:lvlJc w:val="left"/>
      <w:pPr>
        <w:ind w:left="0" w:firstLine="0"/>
      </w:pPr>
      <w:rPr>
        <w:rFonts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173"/>
      <w:suff w:val="space"/>
      <w:lvlText w:val="%1.%2.%3.%4"/>
      <w:lvlJc w:val="left"/>
      <w:pPr>
        <w:ind w:left="2694" w:firstLine="0"/>
      </w:pPr>
      <w:rPr>
        <w:rFonts w:hint="eastAsia"/>
      </w:rPr>
    </w:lvl>
    <w:lvl w:ilvl="4" w:tentative="0">
      <w:start w:val="1"/>
      <w:numFmt w:val="decimal"/>
      <w:pStyle w:val="174"/>
      <w:suff w:val="space"/>
      <w:lvlText w:val="%1.%2.%3.%4.%5"/>
      <w:lvlJc w:val="left"/>
      <w:pPr>
        <w:ind w:left="0" w:firstLine="0"/>
      </w:pPr>
      <w:rPr>
        <w:rFonts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attachedTemplate r:id="rId1"/>
  <w:documentProtection w:enforcement="0"/>
  <w:defaultTabStop w:val="420"/>
  <w:drawingGridHorizontalSpacing w:val="120"/>
  <w:drawingGridVerticalSpacing w:val="38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2FE"/>
    <w:rsid w:val="00000C9E"/>
    <w:rsid w:val="00002050"/>
    <w:rsid w:val="00006796"/>
    <w:rsid w:val="00007C96"/>
    <w:rsid w:val="000100A1"/>
    <w:rsid w:val="000108A7"/>
    <w:rsid w:val="00012795"/>
    <w:rsid w:val="00012DEF"/>
    <w:rsid w:val="00012FA0"/>
    <w:rsid w:val="000132D0"/>
    <w:rsid w:val="00014719"/>
    <w:rsid w:val="00014EBE"/>
    <w:rsid w:val="00017B04"/>
    <w:rsid w:val="00022DC5"/>
    <w:rsid w:val="0002664C"/>
    <w:rsid w:val="000276D2"/>
    <w:rsid w:val="00030ADD"/>
    <w:rsid w:val="00031D17"/>
    <w:rsid w:val="00032E9E"/>
    <w:rsid w:val="00033C41"/>
    <w:rsid w:val="00034516"/>
    <w:rsid w:val="0004095C"/>
    <w:rsid w:val="00041128"/>
    <w:rsid w:val="00044AC5"/>
    <w:rsid w:val="0004563B"/>
    <w:rsid w:val="00047331"/>
    <w:rsid w:val="00047CB7"/>
    <w:rsid w:val="00051DD7"/>
    <w:rsid w:val="00052B9B"/>
    <w:rsid w:val="00057762"/>
    <w:rsid w:val="00057FC9"/>
    <w:rsid w:val="00060A7C"/>
    <w:rsid w:val="000649A7"/>
    <w:rsid w:val="00065CF0"/>
    <w:rsid w:val="00070EB1"/>
    <w:rsid w:val="000769BF"/>
    <w:rsid w:val="00076A88"/>
    <w:rsid w:val="00077682"/>
    <w:rsid w:val="00080192"/>
    <w:rsid w:val="000851F4"/>
    <w:rsid w:val="000879DE"/>
    <w:rsid w:val="00090CD2"/>
    <w:rsid w:val="0009137A"/>
    <w:rsid w:val="00091500"/>
    <w:rsid w:val="0009233C"/>
    <w:rsid w:val="0009537F"/>
    <w:rsid w:val="000A29D5"/>
    <w:rsid w:val="000A3DCA"/>
    <w:rsid w:val="000A7A52"/>
    <w:rsid w:val="000A7C84"/>
    <w:rsid w:val="000B1E1E"/>
    <w:rsid w:val="000B1EB5"/>
    <w:rsid w:val="000B207E"/>
    <w:rsid w:val="000B2386"/>
    <w:rsid w:val="000B25F4"/>
    <w:rsid w:val="000B49BD"/>
    <w:rsid w:val="000B4A09"/>
    <w:rsid w:val="000B7107"/>
    <w:rsid w:val="000B7C76"/>
    <w:rsid w:val="000C15B2"/>
    <w:rsid w:val="000C1D93"/>
    <w:rsid w:val="000C264B"/>
    <w:rsid w:val="000C42CF"/>
    <w:rsid w:val="000C5156"/>
    <w:rsid w:val="000C60FE"/>
    <w:rsid w:val="000C6BE9"/>
    <w:rsid w:val="000D1B8D"/>
    <w:rsid w:val="000D3D80"/>
    <w:rsid w:val="000D6175"/>
    <w:rsid w:val="000E00F5"/>
    <w:rsid w:val="000E07F9"/>
    <w:rsid w:val="000E3153"/>
    <w:rsid w:val="000E419E"/>
    <w:rsid w:val="000E4FA5"/>
    <w:rsid w:val="000E75C5"/>
    <w:rsid w:val="000F2025"/>
    <w:rsid w:val="000F4BE8"/>
    <w:rsid w:val="000F5661"/>
    <w:rsid w:val="000F56F9"/>
    <w:rsid w:val="000F63C1"/>
    <w:rsid w:val="000F7657"/>
    <w:rsid w:val="000F7999"/>
    <w:rsid w:val="000F7F22"/>
    <w:rsid w:val="00101DFB"/>
    <w:rsid w:val="0010381E"/>
    <w:rsid w:val="00104D7C"/>
    <w:rsid w:val="001066C1"/>
    <w:rsid w:val="00106723"/>
    <w:rsid w:val="00106AB4"/>
    <w:rsid w:val="0011106C"/>
    <w:rsid w:val="00114262"/>
    <w:rsid w:val="00114E4D"/>
    <w:rsid w:val="00115D5B"/>
    <w:rsid w:val="0011757E"/>
    <w:rsid w:val="00117768"/>
    <w:rsid w:val="00117934"/>
    <w:rsid w:val="00120144"/>
    <w:rsid w:val="001202FF"/>
    <w:rsid w:val="0012185A"/>
    <w:rsid w:val="00121973"/>
    <w:rsid w:val="00122969"/>
    <w:rsid w:val="00123035"/>
    <w:rsid w:val="00124440"/>
    <w:rsid w:val="00125F2A"/>
    <w:rsid w:val="001263B6"/>
    <w:rsid w:val="001307F6"/>
    <w:rsid w:val="001315E7"/>
    <w:rsid w:val="00131945"/>
    <w:rsid w:val="00132A49"/>
    <w:rsid w:val="001338BE"/>
    <w:rsid w:val="0013522E"/>
    <w:rsid w:val="001352C7"/>
    <w:rsid w:val="00135EA6"/>
    <w:rsid w:val="00137310"/>
    <w:rsid w:val="00145087"/>
    <w:rsid w:val="0014760E"/>
    <w:rsid w:val="00147B51"/>
    <w:rsid w:val="00147D37"/>
    <w:rsid w:val="001526B5"/>
    <w:rsid w:val="00153165"/>
    <w:rsid w:val="00154ECC"/>
    <w:rsid w:val="00155A0D"/>
    <w:rsid w:val="00155B7C"/>
    <w:rsid w:val="00155DBD"/>
    <w:rsid w:val="00156C28"/>
    <w:rsid w:val="00156D3A"/>
    <w:rsid w:val="0015755F"/>
    <w:rsid w:val="00157CA0"/>
    <w:rsid w:val="00161D0B"/>
    <w:rsid w:val="00163B49"/>
    <w:rsid w:val="00163C22"/>
    <w:rsid w:val="00166B4B"/>
    <w:rsid w:val="001675D3"/>
    <w:rsid w:val="00167E13"/>
    <w:rsid w:val="00167FBB"/>
    <w:rsid w:val="00170A66"/>
    <w:rsid w:val="00171F9D"/>
    <w:rsid w:val="00172D34"/>
    <w:rsid w:val="0017559B"/>
    <w:rsid w:val="001761E7"/>
    <w:rsid w:val="00176A84"/>
    <w:rsid w:val="00176D5D"/>
    <w:rsid w:val="001842A4"/>
    <w:rsid w:val="00184FCF"/>
    <w:rsid w:val="00190D9B"/>
    <w:rsid w:val="00191321"/>
    <w:rsid w:val="00191663"/>
    <w:rsid w:val="0019190E"/>
    <w:rsid w:val="001941E4"/>
    <w:rsid w:val="001956F7"/>
    <w:rsid w:val="001A0820"/>
    <w:rsid w:val="001A1A5E"/>
    <w:rsid w:val="001A303B"/>
    <w:rsid w:val="001A3D4E"/>
    <w:rsid w:val="001A7F5E"/>
    <w:rsid w:val="001B0DFF"/>
    <w:rsid w:val="001B26B4"/>
    <w:rsid w:val="001B28E6"/>
    <w:rsid w:val="001B3F0F"/>
    <w:rsid w:val="001B443D"/>
    <w:rsid w:val="001B47E0"/>
    <w:rsid w:val="001B6F61"/>
    <w:rsid w:val="001B703F"/>
    <w:rsid w:val="001B7A40"/>
    <w:rsid w:val="001C0215"/>
    <w:rsid w:val="001C20A6"/>
    <w:rsid w:val="001C6759"/>
    <w:rsid w:val="001D02A8"/>
    <w:rsid w:val="001D030C"/>
    <w:rsid w:val="001D6480"/>
    <w:rsid w:val="001E05AF"/>
    <w:rsid w:val="001E05C4"/>
    <w:rsid w:val="001E1CC9"/>
    <w:rsid w:val="001E2479"/>
    <w:rsid w:val="001E4879"/>
    <w:rsid w:val="001E54DB"/>
    <w:rsid w:val="001E56D9"/>
    <w:rsid w:val="001F1845"/>
    <w:rsid w:val="001F3E1E"/>
    <w:rsid w:val="001F4F90"/>
    <w:rsid w:val="001F70E7"/>
    <w:rsid w:val="002023E8"/>
    <w:rsid w:val="002023ED"/>
    <w:rsid w:val="00203625"/>
    <w:rsid w:val="002037CA"/>
    <w:rsid w:val="00204A19"/>
    <w:rsid w:val="00205B3B"/>
    <w:rsid w:val="00207D9A"/>
    <w:rsid w:val="00210F22"/>
    <w:rsid w:val="00212030"/>
    <w:rsid w:val="00212856"/>
    <w:rsid w:val="00213174"/>
    <w:rsid w:val="0021427D"/>
    <w:rsid w:val="0021487E"/>
    <w:rsid w:val="00215C80"/>
    <w:rsid w:val="0021655D"/>
    <w:rsid w:val="002165C2"/>
    <w:rsid w:val="00220C2F"/>
    <w:rsid w:val="00221E96"/>
    <w:rsid w:val="0022280C"/>
    <w:rsid w:val="002236D6"/>
    <w:rsid w:val="002239FA"/>
    <w:rsid w:val="00224481"/>
    <w:rsid w:val="00226794"/>
    <w:rsid w:val="00226A07"/>
    <w:rsid w:val="00232F42"/>
    <w:rsid w:val="00233165"/>
    <w:rsid w:val="0023334E"/>
    <w:rsid w:val="002339F1"/>
    <w:rsid w:val="00234B52"/>
    <w:rsid w:val="00235F9A"/>
    <w:rsid w:val="002368EE"/>
    <w:rsid w:val="00236AF7"/>
    <w:rsid w:val="00237E5C"/>
    <w:rsid w:val="002400DB"/>
    <w:rsid w:val="0024010F"/>
    <w:rsid w:val="00240414"/>
    <w:rsid w:val="0024142B"/>
    <w:rsid w:val="0024292E"/>
    <w:rsid w:val="00244141"/>
    <w:rsid w:val="00244E57"/>
    <w:rsid w:val="002453F5"/>
    <w:rsid w:val="00245841"/>
    <w:rsid w:val="00252B6A"/>
    <w:rsid w:val="002537A1"/>
    <w:rsid w:val="00254591"/>
    <w:rsid w:val="002560BC"/>
    <w:rsid w:val="0025663A"/>
    <w:rsid w:val="002567E9"/>
    <w:rsid w:val="002579DA"/>
    <w:rsid w:val="00260019"/>
    <w:rsid w:val="00260D4A"/>
    <w:rsid w:val="00263A18"/>
    <w:rsid w:val="00264002"/>
    <w:rsid w:val="002663A2"/>
    <w:rsid w:val="002707B5"/>
    <w:rsid w:val="00270A85"/>
    <w:rsid w:val="0027427B"/>
    <w:rsid w:val="002749AC"/>
    <w:rsid w:val="002753B6"/>
    <w:rsid w:val="00277142"/>
    <w:rsid w:val="002813E1"/>
    <w:rsid w:val="0028163D"/>
    <w:rsid w:val="002821EA"/>
    <w:rsid w:val="0028410B"/>
    <w:rsid w:val="002902F4"/>
    <w:rsid w:val="00290D1E"/>
    <w:rsid w:val="0029144F"/>
    <w:rsid w:val="002923F3"/>
    <w:rsid w:val="0029486D"/>
    <w:rsid w:val="002A1344"/>
    <w:rsid w:val="002A179D"/>
    <w:rsid w:val="002A194B"/>
    <w:rsid w:val="002A21B6"/>
    <w:rsid w:val="002A33C1"/>
    <w:rsid w:val="002A3599"/>
    <w:rsid w:val="002B0B02"/>
    <w:rsid w:val="002B1A3D"/>
    <w:rsid w:val="002B30F2"/>
    <w:rsid w:val="002B471C"/>
    <w:rsid w:val="002B5BE5"/>
    <w:rsid w:val="002C1D6B"/>
    <w:rsid w:val="002C54E2"/>
    <w:rsid w:val="002C5EDE"/>
    <w:rsid w:val="002C6CB1"/>
    <w:rsid w:val="002D114A"/>
    <w:rsid w:val="002D2717"/>
    <w:rsid w:val="002D2811"/>
    <w:rsid w:val="002D2D18"/>
    <w:rsid w:val="002D5368"/>
    <w:rsid w:val="002D5563"/>
    <w:rsid w:val="002D56E4"/>
    <w:rsid w:val="002D5DC2"/>
    <w:rsid w:val="002E0CF4"/>
    <w:rsid w:val="002E66D9"/>
    <w:rsid w:val="002E776F"/>
    <w:rsid w:val="002F0699"/>
    <w:rsid w:val="002F1075"/>
    <w:rsid w:val="002F109B"/>
    <w:rsid w:val="002F12B0"/>
    <w:rsid w:val="002F1907"/>
    <w:rsid w:val="002F1D16"/>
    <w:rsid w:val="002F296E"/>
    <w:rsid w:val="002F3941"/>
    <w:rsid w:val="002F43A0"/>
    <w:rsid w:val="002F4953"/>
    <w:rsid w:val="002F4DC0"/>
    <w:rsid w:val="002F5FBA"/>
    <w:rsid w:val="002F6FC7"/>
    <w:rsid w:val="002F7096"/>
    <w:rsid w:val="00300773"/>
    <w:rsid w:val="00300BCB"/>
    <w:rsid w:val="00301ADD"/>
    <w:rsid w:val="00304300"/>
    <w:rsid w:val="00305C2C"/>
    <w:rsid w:val="00306CA5"/>
    <w:rsid w:val="00310D71"/>
    <w:rsid w:val="00310E55"/>
    <w:rsid w:val="00311D3E"/>
    <w:rsid w:val="00313042"/>
    <w:rsid w:val="00313372"/>
    <w:rsid w:val="003169A1"/>
    <w:rsid w:val="003205FE"/>
    <w:rsid w:val="00323244"/>
    <w:rsid w:val="003246AE"/>
    <w:rsid w:val="00325B54"/>
    <w:rsid w:val="00326188"/>
    <w:rsid w:val="00327866"/>
    <w:rsid w:val="00327C07"/>
    <w:rsid w:val="003317E0"/>
    <w:rsid w:val="00332DAC"/>
    <w:rsid w:val="00332E88"/>
    <w:rsid w:val="00334650"/>
    <w:rsid w:val="00334AD0"/>
    <w:rsid w:val="00335C6B"/>
    <w:rsid w:val="00336899"/>
    <w:rsid w:val="00342BFB"/>
    <w:rsid w:val="00343D83"/>
    <w:rsid w:val="00344107"/>
    <w:rsid w:val="00344799"/>
    <w:rsid w:val="003454B1"/>
    <w:rsid w:val="00350128"/>
    <w:rsid w:val="003505D8"/>
    <w:rsid w:val="00350A64"/>
    <w:rsid w:val="00354BF7"/>
    <w:rsid w:val="00354E1C"/>
    <w:rsid w:val="00355C04"/>
    <w:rsid w:val="00360588"/>
    <w:rsid w:val="00360C15"/>
    <w:rsid w:val="0036221F"/>
    <w:rsid w:val="00362688"/>
    <w:rsid w:val="0036536D"/>
    <w:rsid w:val="00367066"/>
    <w:rsid w:val="00375964"/>
    <w:rsid w:val="00376D10"/>
    <w:rsid w:val="003775E5"/>
    <w:rsid w:val="00377B21"/>
    <w:rsid w:val="00377D2A"/>
    <w:rsid w:val="00380085"/>
    <w:rsid w:val="00386156"/>
    <w:rsid w:val="003863D8"/>
    <w:rsid w:val="003865B9"/>
    <w:rsid w:val="00386F5C"/>
    <w:rsid w:val="00391710"/>
    <w:rsid w:val="003930DA"/>
    <w:rsid w:val="003938F2"/>
    <w:rsid w:val="00393BA1"/>
    <w:rsid w:val="0039575B"/>
    <w:rsid w:val="003A09EC"/>
    <w:rsid w:val="003A284D"/>
    <w:rsid w:val="003A428A"/>
    <w:rsid w:val="003A68AF"/>
    <w:rsid w:val="003B12F6"/>
    <w:rsid w:val="003B1443"/>
    <w:rsid w:val="003B29E1"/>
    <w:rsid w:val="003B459C"/>
    <w:rsid w:val="003B7F2E"/>
    <w:rsid w:val="003C1298"/>
    <w:rsid w:val="003C227B"/>
    <w:rsid w:val="003C27C8"/>
    <w:rsid w:val="003C36EC"/>
    <w:rsid w:val="003C456D"/>
    <w:rsid w:val="003C5721"/>
    <w:rsid w:val="003C57D2"/>
    <w:rsid w:val="003C7C73"/>
    <w:rsid w:val="003D1C3B"/>
    <w:rsid w:val="003D5D5A"/>
    <w:rsid w:val="003E1B47"/>
    <w:rsid w:val="003E229C"/>
    <w:rsid w:val="003E313F"/>
    <w:rsid w:val="003E32E1"/>
    <w:rsid w:val="003E3364"/>
    <w:rsid w:val="003E6B52"/>
    <w:rsid w:val="003E77A6"/>
    <w:rsid w:val="003E7E85"/>
    <w:rsid w:val="003F28D6"/>
    <w:rsid w:val="003F3412"/>
    <w:rsid w:val="003F6307"/>
    <w:rsid w:val="0040007C"/>
    <w:rsid w:val="00402767"/>
    <w:rsid w:val="00403DB0"/>
    <w:rsid w:val="004049BA"/>
    <w:rsid w:val="00405FC9"/>
    <w:rsid w:val="00410D07"/>
    <w:rsid w:val="00413A9C"/>
    <w:rsid w:val="00414428"/>
    <w:rsid w:val="0041555C"/>
    <w:rsid w:val="0041674D"/>
    <w:rsid w:val="00417325"/>
    <w:rsid w:val="00417EE7"/>
    <w:rsid w:val="004203DB"/>
    <w:rsid w:val="00421C1A"/>
    <w:rsid w:val="004241B0"/>
    <w:rsid w:val="004259E8"/>
    <w:rsid w:val="00426281"/>
    <w:rsid w:val="00426DE5"/>
    <w:rsid w:val="00430F92"/>
    <w:rsid w:val="0043552E"/>
    <w:rsid w:val="00436D9F"/>
    <w:rsid w:val="00437383"/>
    <w:rsid w:val="00437EC7"/>
    <w:rsid w:val="0044244E"/>
    <w:rsid w:val="00444CF2"/>
    <w:rsid w:val="004463CA"/>
    <w:rsid w:val="0044765E"/>
    <w:rsid w:val="00450012"/>
    <w:rsid w:val="004514DE"/>
    <w:rsid w:val="00451D26"/>
    <w:rsid w:val="00453882"/>
    <w:rsid w:val="00455329"/>
    <w:rsid w:val="004568A5"/>
    <w:rsid w:val="004577F6"/>
    <w:rsid w:val="00457D9D"/>
    <w:rsid w:val="0046156E"/>
    <w:rsid w:val="00463030"/>
    <w:rsid w:val="00463066"/>
    <w:rsid w:val="004634A6"/>
    <w:rsid w:val="00470C09"/>
    <w:rsid w:val="004715B6"/>
    <w:rsid w:val="00472D86"/>
    <w:rsid w:val="00473370"/>
    <w:rsid w:val="00473B0F"/>
    <w:rsid w:val="00477A32"/>
    <w:rsid w:val="0048105A"/>
    <w:rsid w:val="00481E79"/>
    <w:rsid w:val="00482EE8"/>
    <w:rsid w:val="004845B5"/>
    <w:rsid w:val="00484832"/>
    <w:rsid w:val="00486822"/>
    <w:rsid w:val="004906AE"/>
    <w:rsid w:val="0049145E"/>
    <w:rsid w:val="00492835"/>
    <w:rsid w:val="004936EB"/>
    <w:rsid w:val="0049516E"/>
    <w:rsid w:val="0049553D"/>
    <w:rsid w:val="00495DB0"/>
    <w:rsid w:val="00496748"/>
    <w:rsid w:val="00496FA3"/>
    <w:rsid w:val="00497EAF"/>
    <w:rsid w:val="004A191F"/>
    <w:rsid w:val="004A1B65"/>
    <w:rsid w:val="004A762D"/>
    <w:rsid w:val="004B064E"/>
    <w:rsid w:val="004B114E"/>
    <w:rsid w:val="004B1DB1"/>
    <w:rsid w:val="004B3BD5"/>
    <w:rsid w:val="004B42C6"/>
    <w:rsid w:val="004B4B5B"/>
    <w:rsid w:val="004B4B6C"/>
    <w:rsid w:val="004B741C"/>
    <w:rsid w:val="004C1311"/>
    <w:rsid w:val="004C1583"/>
    <w:rsid w:val="004C28D5"/>
    <w:rsid w:val="004C2E18"/>
    <w:rsid w:val="004C3798"/>
    <w:rsid w:val="004C3CC1"/>
    <w:rsid w:val="004C570B"/>
    <w:rsid w:val="004C70BD"/>
    <w:rsid w:val="004C7902"/>
    <w:rsid w:val="004D1C91"/>
    <w:rsid w:val="004D2C82"/>
    <w:rsid w:val="004E0C72"/>
    <w:rsid w:val="004E0D9E"/>
    <w:rsid w:val="004E1115"/>
    <w:rsid w:val="004E473C"/>
    <w:rsid w:val="004E5ED1"/>
    <w:rsid w:val="004E6ACA"/>
    <w:rsid w:val="004E7022"/>
    <w:rsid w:val="004E7D44"/>
    <w:rsid w:val="004F310A"/>
    <w:rsid w:val="004F366B"/>
    <w:rsid w:val="004F393A"/>
    <w:rsid w:val="004F3E01"/>
    <w:rsid w:val="004F44D6"/>
    <w:rsid w:val="004F4A8E"/>
    <w:rsid w:val="004F4ADD"/>
    <w:rsid w:val="004F691A"/>
    <w:rsid w:val="004F6D2F"/>
    <w:rsid w:val="0050198D"/>
    <w:rsid w:val="00501ED1"/>
    <w:rsid w:val="005025F8"/>
    <w:rsid w:val="0050423B"/>
    <w:rsid w:val="005042AF"/>
    <w:rsid w:val="005054C3"/>
    <w:rsid w:val="0050613A"/>
    <w:rsid w:val="00512C92"/>
    <w:rsid w:val="00513C6E"/>
    <w:rsid w:val="00515591"/>
    <w:rsid w:val="00520460"/>
    <w:rsid w:val="0052146B"/>
    <w:rsid w:val="00522B9C"/>
    <w:rsid w:val="00522DCD"/>
    <w:rsid w:val="00522EB5"/>
    <w:rsid w:val="00522F5B"/>
    <w:rsid w:val="005248B7"/>
    <w:rsid w:val="00525998"/>
    <w:rsid w:val="005272FA"/>
    <w:rsid w:val="00535868"/>
    <w:rsid w:val="00536CDD"/>
    <w:rsid w:val="00537404"/>
    <w:rsid w:val="00537BAE"/>
    <w:rsid w:val="00540044"/>
    <w:rsid w:val="005423B6"/>
    <w:rsid w:val="00544273"/>
    <w:rsid w:val="0054439E"/>
    <w:rsid w:val="00544A1C"/>
    <w:rsid w:val="00547237"/>
    <w:rsid w:val="00547389"/>
    <w:rsid w:val="005474C3"/>
    <w:rsid w:val="0055191C"/>
    <w:rsid w:val="00552A25"/>
    <w:rsid w:val="005543F8"/>
    <w:rsid w:val="00554987"/>
    <w:rsid w:val="00555CA6"/>
    <w:rsid w:val="0055632B"/>
    <w:rsid w:val="00556455"/>
    <w:rsid w:val="00556726"/>
    <w:rsid w:val="00556F3E"/>
    <w:rsid w:val="0055779B"/>
    <w:rsid w:val="00557A69"/>
    <w:rsid w:val="00560F3A"/>
    <w:rsid w:val="005633AB"/>
    <w:rsid w:val="00564B27"/>
    <w:rsid w:val="00565524"/>
    <w:rsid w:val="005666D8"/>
    <w:rsid w:val="005671D8"/>
    <w:rsid w:val="00570C12"/>
    <w:rsid w:val="00572D17"/>
    <w:rsid w:val="00572F63"/>
    <w:rsid w:val="005742A1"/>
    <w:rsid w:val="00574A99"/>
    <w:rsid w:val="00575CAE"/>
    <w:rsid w:val="00576EC8"/>
    <w:rsid w:val="0058046A"/>
    <w:rsid w:val="005807F8"/>
    <w:rsid w:val="00581765"/>
    <w:rsid w:val="00581A24"/>
    <w:rsid w:val="00583B18"/>
    <w:rsid w:val="00584075"/>
    <w:rsid w:val="00586738"/>
    <w:rsid w:val="00587249"/>
    <w:rsid w:val="0059101B"/>
    <w:rsid w:val="005917E7"/>
    <w:rsid w:val="00591977"/>
    <w:rsid w:val="005921B2"/>
    <w:rsid w:val="00592B9C"/>
    <w:rsid w:val="0059302C"/>
    <w:rsid w:val="0059608C"/>
    <w:rsid w:val="00596C43"/>
    <w:rsid w:val="00597A26"/>
    <w:rsid w:val="005A10D6"/>
    <w:rsid w:val="005A1C3D"/>
    <w:rsid w:val="005A3E3A"/>
    <w:rsid w:val="005B02CB"/>
    <w:rsid w:val="005B0E55"/>
    <w:rsid w:val="005B1276"/>
    <w:rsid w:val="005B3257"/>
    <w:rsid w:val="005B5607"/>
    <w:rsid w:val="005C224A"/>
    <w:rsid w:val="005C2A89"/>
    <w:rsid w:val="005C2D8C"/>
    <w:rsid w:val="005C2EC3"/>
    <w:rsid w:val="005C4155"/>
    <w:rsid w:val="005C47B2"/>
    <w:rsid w:val="005C6C1B"/>
    <w:rsid w:val="005D017D"/>
    <w:rsid w:val="005D1958"/>
    <w:rsid w:val="005D3003"/>
    <w:rsid w:val="005D3030"/>
    <w:rsid w:val="005D4756"/>
    <w:rsid w:val="005D5C9F"/>
    <w:rsid w:val="005D613C"/>
    <w:rsid w:val="005D7720"/>
    <w:rsid w:val="005E09D0"/>
    <w:rsid w:val="005E1A80"/>
    <w:rsid w:val="005E1F27"/>
    <w:rsid w:val="005E3181"/>
    <w:rsid w:val="005E3B69"/>
    <w:rsid w:val="005E440F"/>
    <w:rsid w:val="005E56CB"/>
    <w:rsid w:val="005E58BB"/>
    <w:rsid w:val="005E59DF"/>
    <w:rsid w:val="005F5A2E"/>
    <w:rsid w:val="005F5B96"/>
    <w:rsid w:val="005F67BC"/>
    <w:rsid w:val="006002B3"/>
    <w:rsid w:val="00600510"/>
    <w:rsid w:val="006008DE"/>
    <w:rsid w:val="006028D0"/>
    <w:rsid w:val="00604004"/>
    <w:rsid w:val="006049A0"/>
    <w:rsid w:val="00606748"/>
    <w:rsid w:val="0061005C"/>
    <w:rsid w:val="00613C7E"/>
    <w:rsid w:val="00620120"/>
    <w:rsid w:val="0062272B"/>
    <w:rsid w:val="00623775"/>
    <w:rsid w:val="006248ED"/>
    <w:rsid w:val="00625C7B"/>
    <w:rsid w:val="006266C4"/>
    <w:rsid w:val="0062739F"/>
    <w:rsid w:val="00627F0C"/>
    <w:rsid w:val="00627F5A"/>
    <w:rsid w:val="00630390"/>
    <w:rsid w:val="0063225E"/>
    <w:rsid w:val="006340FE"/>
    <w:rsid w:val="00634271"/>
    <w:rsid w:val="006345C9"/>
    <w:rsid w:val="006346ED"/>
    <w:rsid w:val="00634C3B"/>
    <w:rsid w:val="00640020"/>
    <w:rsid w:val="006417D7"/>
    <w:rsid w:val="00641891"/>
    <w:rsid w:val="006422C7"/>
    <w:rsid w:val="00643000"/>
    <w:rsid w:val="00646729"/>
    <w:rsid w:val="00651339"/>
    <w:rsid w:val="00651FC2"/>
    <w:rsid w:val="00653D1E"/>
    <w:rsid w:val="006546F0"/>
    <w:rsid w:val="00655928"/>
    <w:rsid w:val="0065682A"/>
    <w:rsid w:val="006576F8"/>
    <w:rsid w:val="00660DEF"/>
    <w:rsid w:val="0066106C"/>
    <w:rsid w:val="00661AA0"/>
    <w:rsid w:val="00661C58"/>
    <w:rsid w:val="0066337B"/>
    <w:rsid w:val="0066347C"/>
    <w:rsid w:val="006637E1"/>
    <w:rsid w:val="006638A8"/>
    <w:rsid w:val="00663B62"/>
    <w:rsid w:val="00663C5A"/>
    <w:rsid w:val="00664628"/>
    <w:rsid w:val="00665168"/>
    <w:rsid w:val="00666E7A"/>
    <w:rsid w:val="00671113"/>
    <w:rsid w:val="0067131F"/>
    <w:rsid w:val="00671E8A"/>
    <w:rsid w:val="00673C04"/>
    <w:rsid w:val="006740B7"/>
    <w:rsid w:val="0067430D"/>
    <w:rsid w:val="00680C1A"/>
    <w:rsid w:val="00681A19"/>
    <w:rsid w:val="00681CD4"/>
    <w:rsid w:val="006821BA"/>
    <w:rsid w:val="006865A9"/>
    <w:rsid w:val="00690821"/>
    <w:rsid w:val="00690AD4"/>
    <w:rsid w:val="0069126D"/>
    <w:rsid w:val="0069184D"/>
    <w:rsid w:val="00692C0A"/>
    <w:rsid w:val="00693290"/>
    <w:rsid w:val="00695648"/>
    <w:rsid w:val="006965C9"/>
    <w:rsid w:val="006965DD"/>
    <w:rsid w:val="00696B67"/>
    <w:rsid w:val="006A04C1"/>
    <w:rsid w:val="006A1B1E"/>
    <w:rsid w:val="006A27F0"/>
    <w:rsid w:val="006A28DF"/>
    <w:rsid w:val="006A4A76"/>
    <w:rsid w:val="006A5030"/>
    <w:rsid w:val="006A5EEC"/>
    <w:rsid w:val="006A6DC2"/>
    <w:rsid w:val="006B0FFE"/>
    <w:rsid w:val="006B168A"/>
    <w:rsid w:val="006B1B72"/>
    <w:rsid w:val="006B64F6"/>
    <w:rsid w:val="006C0153"/>
    <w:rsid w:val="006C0CCF"/>
    <w:rsid w:val="006C1937"/>
    <w:rsid w:val="006C2DFF"/>
    <w:rsid w:val="006C4961"/>
    <w:rsid w:val="006C62B2"/>
    <w:rsid w:val="006C692D"/>
    <w:rsid w:val="006C6FCC"/>
    <w:rsid w:val="006D12CC"/>
    <w:rsid w:val="006E00D2"/>
    <w:rsid w:val="006E12F4"/>
    <w:rsid w:val="006E2650"/>
    <w:rsid w:val="006E2B94"/>
    <w:rsid w:val="006E348F"/>
    <w:rsid w:val="006E37C6"/>
    <w:rsid w:val="006E3FE6"/>
    <w:rsid w:val="006E5F5F"/>
    <w:rsid w:val="006E709F"/>
    <w:rsid w:val="006E76E4"/>
    <w:rsid w:val="006E7798"/>
    <w:rsid w:val="006E7E54"/>
    <w:rsid w:val="006F007C"/>
    <w:rsid w:val="006F044E"/>
    <w:rsid w:val="006F165D"/>
    <w:rsid w:val="006F25BA"/>
    <w:rsid w:val="006F34C6"/>
    <w:rsid w:val="006F63A1"/>
    <w:rsid w:val="006F700A"/>
    <w:rsid w:val="006F7CA8"/>
    <w:rsid w:val="00700301"/>
    <w:rsid w:val="00701F2D"/>
    <w:rsid w:val="00703484"/>
    <w:rsid w:val="007035F9"/>
    <w:rsid w:val="0070460B"/>
    <w:rsid w:val="00704A66"/>
    <w:rsid w:val="007058AE"/>
    <w:rsid w:val="00705C14"/>
    <w:rsid w:val="00705ECC"/>
    <w:rsid w:val="007065BB"/>
    <w:rsid w:val="00706BE3"/>
    <w:rsid w:val="00707CDF"/>
    <w:rsid w:val="00710D87"/>
    <w:rsid w:val="00711310"/>
    <w:rsid w:val="007124F6"/>
    <w:rsid w:val="00713050"/>
    <w:rsid w:val="00715676"/>
    <w:rsid w:val="007168A9"/>
    <w:rsid w:val="00720EDC"/>
    <w:rsid w:val="0072413D"/>
    <w:rsid w:val="00724E15"/>
    <w:rsid w:val="00726827"/>
    <w:rsid w:val="00731A1E"/>
    <w:rsid w:val="00735091"/>
    <w:rsid w:val="00736093"/>
    <w:rsid w:val="00741471"/>
    <w:rsid w:val="00741B84"/>
    <w:rsid w:val="0074235C"/>
    <w:rsid w:val="0074296A"/>
    <w:rsid w:val="00743EAE"/>
    <w:rsid w:val="00745514"/>
    <w:rsid w:val="00746AC7"/>
    <w:rsid w:val="00747909"/>
    <w:rsid w:val="007526A6"/>
    <w:rsid w:val="00755BEE"/>
    <w:rsid w:val="00756002"/>
    <w:rsid w:val="00761D0C"/>
    <w:rsid w:val="00762F1A"/>
    <w:rsid w:val="00763269"/>
    <w:rsid w:val="00763F62"/>
    <w:rsid w:val="00765C93"/>
    <w:rsid w:val="0077082F"/>
    <w:rsid w:val="00771CDA"/>
    <w:rsid w:val="00772750"/>
    <w:rsid w:val="00774862"/>
    <w:rsid w:val="00776D26"/>
    <w:rsid w:val="007772F7"/>
    <w:rsid w:val="007774FB"/>
    <w:rsid w:val="00780CEF"/>
    <w:rsid w:val="00782944"/>
    <w:rsid w:val="00782B3C"/>
    <w:rsid w:val="007831EE"/>
    <w:rsid w:val="007832B9"/>
    <w:rsid w:val="00784CE2"/>
    <w:rsid w:val="00786829"/>
    <w:rsid w:val="007914C5"/>
    <w:rsid w:val="00796566"/>
    <w:rsid w:val="00796FB0"/>
    <w:rsid w:val="00797429"/>
    <w:rsid w:val="00797913"/>
    <w:rsid w:val="007A1154"/>
    <w:rsid w:val="007A20A3"/>
    <w:rsid w:val="007A7809"/>
    <w:rsid w:val="007A78A0"/>
    <w:rsid w:val="007B2444"/>
    <w:rsid w:val="007B2EBB"/>
    <w:rsid w:val="007B348B"/>
    <w:rsid w:val="007B3CAC"/>
    <w:rsid w:val="007B4388"/>
    <w:rsid w:val="007B46EF"/>
    <w:rsid w:val="007B6402"/>
    <w:rsid w:val="007B649B"/>
    <w:rsid w:val="007C0E4E"/>
    <w:rsid w:val="007C1BE6"/>
    <w:rsid w:val="007C5DE7"/>
    <w:rsid w:val="007D1FC7"/>
    <w:rsid w:val="007D4416"/>
    <w:rsid w:val="007D4500"/>
    <w:rsid w:val="007D69FB"/>
    <w:rsid w:val="007E05EF"/>
    <w:rsid w:val="007E092A"/>
    <w:rsid w:val="007E17A7"/>
    <w:rsid w:val="007E42A8"/>
    <w:rsid w:val="007E671D"/>
    <w:rsid w:val="007F02A0"/>
    <w:rsid w:val="007F172F"/>
    <w:rsid w:val="007F2CE7"/>
    <w:rsid w:val="007F379B"/>
    <w:rsid w:val="007F4F11"/>
    <w:rsid w:val="007F5089"/>
    <w:rsid w:val="007F5F6F"/>
    <w:rsid w:val="007F704E"/>
    <w:rsid w:val="007F7A8A"/>
    <w:rsid w:val="007F7EC0"/>
    <w:rsid w:val="0080176A"/>
    <w:rsid w:val="00802DEF"/>
    <w:rsid w:val="00806682"/>
    <w:rsid w:val="00807B49"/>
    <w:rsid w:val="00811012"/>
    <w:rsid w:val="00811716"/>
    <w:rsid w:val="00812B02"/>
    <w:rsid w:val="008146B0"/>
    <w:rsid w:val="0081487A"/>
    <w:rsid w:val="00815CBD"/>
    <w:rsid w:val="00815FAC"/>
    <w:rsid w:val="00816265"/>
    <w:rsid w:val="00817C21"/>
    <w:rsid w:val="00821717"/>
    <w:rsid w:val="00822596"/>
    <w:rsid w:val="00822F8A"/>
    <w:rsid w:val="008232AB"/>
    <w:rsid w:val="00823C66"/>
    <w:rsid w:val="00825EF6"/>
    <w:rsid w:val="00826425"/>
    <w:rsid w:val="008264DA"/>
    <w:rsid w:val="00826E33"/>
    <w:rsid w:val="0083272D"/>
    <w:rsid w:val="00832D89"/>
    <w:rsid w:val="00834E06"/>
    <w:rsid w:val="00836CB4"/>
    <w:rsid w:val="008430EB"/>
    <w:rsid w:val="0084319D"/>
    <w:rsid w:val="0084403E"/>
    <w:rsid w:val="008456DC"/>
    <w:rsid w:val="0084764A"/>
    <w:rsid w:val="00852A47"/>
    <w:rsid w:val="0085310A"/>
    <w:rsid w:val="0085370A"/>
    <w:rsid w:val="00853CBD"/>
    <w:rsid w:val="00853E7E"/>
    <w:rsid w:val="0085565E"/>
    <w:rsid w:val="0085638F"/>
    <w:rsid w:val="00862921"/>
    <w:rsid w:val="008644AE"/>
    <w:rsid w:val="00864D15"/>
    <w:rsid w:val="008651E1"/>
    <w:rsid w:val="008661DF"/>
    <w:rsid w:val="00866817"/>
    <w:rsid w:val="00866AC5"/>
    <w:rsid w:val="00867795"/>
    <w:rsid w:val="00867C61"/>
    <w:rsid w:val="00871EB0"/>
    <w:rsid w:val="00873274"/>
    <w:rsid w:val="00874499"/>
    <w:rsid w:val="0087643D"/>
    <w:rsid w:val="00876B2D"/>
    <w:rsid w:val="0088015E"/>
    <w:rsid w:val="00882B12"/>
    <w:rsid w:val="008831D3"/>
    <w:rsid w:val="008875EA"/>
    <w:rsid w:val="00893056"/>
    <w:rsid w:val="00895479"/>
    <w:rsid w:val="00895AD1"/>
    <w:rsid w:val="00895E99"/>
    <w:rsid w:val="00896498"/>
    <w:rsid w:val="008A0606"/>
    <w:rsid w:val="008A21EA"/>
    <w:rsid w:val="008A25E1"/>
    <w:rsid w:val="008A3F42"/>
    <w:rsid w:val="008A5431"/>
    <w:rsid w:val="008A5A53"/>
    <w:rsid w:val="008A5F3C"/>
    <w:rsid w:val="008A7CEC"/>
    <w:rsid w:val="008B04AE"/>
    <w:rsid w:val="008B2564"/>
    <w:rsid w:val="008B38CC"/>
    <w:rsid w:val="008B497B"/>
    <w:rsid w:val="008B4DF6"/>
    <w:rsid w:val="008B7CCC"/>
    <w:rsid w:val="008C11FB"/>
    <w:rsid w:val="008C2D32"/>
    <w:rsid w:val="008C32AB"/>
    <w:rsid w:val="008C406C"/>
    <w:rsid w:val="008C481A"/>
    <w:rsid w:val="008C4B5C"/>
    <w:rsid w:val="008C58AF"/>
    <w:rsid w:val="008C64A6"/>
    <w:rsid w:val="008D09B6"/>
    <w:rsid w:val="008D1F86"/>
    <w:rsid w:val="008D6CE1"/>
    <w:rsid w:val="008D72F8"/>
    <w:rsid w:val="008E0288"/>
    <w:rsid w:val="008E04FF"/>
    <w:rsid w:val="008E0A78"/>
    <w:rsid w:val="008E0FA5"/>
    <w:rsid w:val="008E1583"/>
    <w:rsid w:val="008E22E1"/>
    <w:rsid w:val="008E3263"/>
    <w:rsid w:val="008E3516"/>
    <w:rsid w:val="008E36F2"/>
    <w:rsid w:val="008E392B"/>
    <w:rsid w:val="008E3DEE"/>
    <w:rsid w:val="008E4473"/>
    <w:rsid w:val="008E504F"/>
    <w:rsid w:val="008E67C4"/>
    <w:rsid w:val="008E68B1"/>
    <w:rsid w:val="008F033E"/>
    <w:rsid w:val="008F1CBB"/>
    <w:rsid w:val="008F1F5B"/>
    <w:rsid w:val="008F244F"/>
    <w:rsid w:val="008F333D"/>
    <w:rsid w:val="008F4AAE"/>
    <w:rsid w:val="008F4DA6"/>
    <w:rsid w:val="008F52C9"/>
    <w:rsid w:val="008F781F"/>
    <w:rsid w:val="008F7B6C"/>
    <w:rsid w:val="008F7F8D"/>
    <w:rsid w:val="009008C0"/>
    <w:rsid w:val="00903B93"/>
    <w:rsid w:val="009043D9"/>
    <w:rsid w:val="0090488D"/>
    <w:rsid w:val="00905842"/>
    <w:rsid w:val="00907314"/>
    <w:rsid w:val="00907586"/>
    <w:rsid w:val="00911739"/>
    <w:rsid w:val="00913C0E"/>
    <w:rsid w:val="00914092"/>
    <w:rsid w:val="00914186"/>
    <w:rsid w:val="0091427C"/>
    <w:rsid w:val="00916AD1"/>
    <w:rsid w:val="009212DB"/>
    <w:rsid w:val="0092162B"/>
    <w:rsid w:val="00922721"/>
    <w:rsid w:val="009236AC"/>
    <w:rsid w:val="009239EC"/>
    <w:rsid w:val="00923C5D"/>
    <w:rsid w:val="0092622E"/>
    <w:rsid w:val="009271A4"/>
    <w:rsid w:val="00931D4C"/>
    <w:rsid w:val="00932E46"/>
    <w:rsid w:val="00934C39"/>
    <w:rsid w:val="009364F6"/>
    <w:rsid w:val="0093655E"/>
    <w:rsid w:val="00936C23"/>
    <w:rsid w:val="00937A6B"/>
    <w:rsid w:val="00940364"/>
    <w:rsid w:val="00943698"/>
    <w:rsid w:val="00946A4A"/>
    <w:rsid w:val="00946CEB"/>
    <w:rsid w:val="0094757D"/>
    <w:rsid w:val="009475BE"/>
    <w:rsid w:val="009500D5"/>
    <w:rsid w:val="0095054F"/>
    <w:rsid w:val="00950A4F"/>
    <w:rsid w:val="009527B1"/>
    <w:rsid w:val="00953BDA"/>
    <w:rsid w:val="00956B7E"/>
    <w:rsid w:val="009603C1"/>
    <w:rsid w:val="0096054F"/>
    <w:rsid w:val="009643CC"/>
    <w:rsid w:val="00964460"/>
    <w:rsid w:val="00964761"/>
    <w:rsid w:val="00964EEA"/>
    <w:rsid w:val="009651A0"/>
    <w:rsid w:val="0097037C"/>
    <w:rsid w:val="0097054C"/>
    <w:rsid w:val="00971999"/>
    <w:rsid w:val="00971C9E"/>
    <w:rsid w:val="00972A49"/>
    <w:rsid w:val="00973960"/>
    <w:rsid w:val="009743E4"/>
    <w:rsid w:val="009768AA"/>
    <w:rsid w:val="00977788"/>
    <w:rsid w:val="009810F4"/>
    <w:rsid w:val="009815AF"/>
    <w:rsid w:val="00982B5E"/>
    <w:rsid w:val="00985606"/>
    <w:rsid w:val="00985831"/>
    <w:rsid w:val="0098698C"/>
    <w:rsid w:val="00986E48"/>
    <w:rsid w:val="00994522"/>
    <w:rsid w:val="00995D8D"/>
    <w:rsid w:val="00995EB8"/>
    <w:rsid w:val="009A141B"/>
    <w:rsid w:val="009A3641"/>
    <w:rsid w:val="009A3649"/>
    <w:rsid w:val="009A4C82"/>
    <w:rsid w:val="009B067A"/>
    <w:rsid w:val="009B20D2"/>
    <w:rsid w:val="009B245A"/>
    <w:rsid w:val="009B4927"/>
    <w:rsid w:val="009B6A6F"/>
    <w:rsid w:val="009B7AAA"/>
    <w:rsid w:val="009C0694"/>
    <w:rsid w:val="009C19FF"/>
    <w:rsid w:val="009C2157"/>
    <w:rsid w:val="009C26B4"/>
    <w:rsid w:val="009C3441"/>
    <w:rsid w:val="009C401C"/>
    <w:rsid w:val="009C6D74"/>
    <w:rsid w:val="009D3B04"/>
    <w:rsid w:val="009E1D72"/>
    <w:rsid w:val="009E545E"/>
    <w:rsid w:val="009E5E3D"/>
    <w:rsid w:val="009E68BC"/>
    <w:rsid w:val="009E7CC1"/>
    <w:rsid w:val="009F12BC"/>
    <w:rsid w:val="009F1599"/>
    <w:rsid w:val="009F18D5"/>
    <w:rsid w:val="009F44B5"/>
    <w:rsid w:val="009F572B"/>
    <w:rsid w:val="009F5873"/>
    <w:rsid w:val="009F6CC6"/>
    <w:rsid w:val="00A019C0"/>
    <w:rsid w:val="00A03040"/>
    <w:rsid w:val="00A0494D"/>
    <w:rsid w:val="00A04AC8"/>
    <w:rsid w:val="00A057C2"/>
    <w:rsid w:val="00A05F39"/>
    <w:rsid w:val="00A07555"/>
    <w:rsid w:val="00A07B6D"/>
    <w:rsid w:val="00A112B6"/>
    <w:rsid w:val="00A11D29"/>
    <w:rsid w:val="00A131A0"/>
    <w:rsid w:val="00A15302"/>
    <w:rsid w:val="00A16A05"/>
    <w:rsid w:val="00A17D64"/>
    <w:rsid w:val="00A21B9D"/>
    <w:rsid w:val="00A2796E"/>
    <w:rsid w:val="00A32F5B"/>
    <w:rsid w:val="00A35DDF"/>
    <w:rsid w:val="00A35FA7"/>
    <w:rsid w:val="00A40B86"/>
    <w:rsid w:val="00A40D47"/>
    <w:rsid w:val="00A4173B"/>
    <w:rsid w:val="00A41FAB"/>
    <w:rsid w:val="00A429F3"/>
    <w:rsid w:val="00A43C8A"/>
    <w:rsid w:val="00A45378"/>
    <w:rsid w:val="00A466DB"/>
    <w:rsid w:val="00A51202"/>
    <w:rsid w:val="00A519E0"/>
    <w:rsid w:val="00A51AD3"/>
    <w:rsid w:val="00A51CC6"/>
    <w:rsid w:val="00A530B2"/>
    <w:rsid w:val="00A535B3"/>
    <w:rsid w:val="00A53971"/>
    <w:rsid w:val="00A54665"/>
    <w:rsid w:val="00A5518D"/>
    <w:rsid w:val="00A551AE"/>
    <w:rsid w:val="00A5576B"/>
    <w:rsid w:val="00A55F27"/>
    <w:rsid w:val="00A575CC"/>
    <w:rsid w:val="00A60964"/>
    <w:rsid w:val="00A609F5"/>
    <w:rsid w:val="00A6425A"/>
    <w:rsid w:val="00A64686"/>
    <w:rsid w:val="00A651E1"/>
    <w:rsid w:val="00A65D44"/>
    <w:rsid w:val="00A66D06"/>
    <w:rsid w:val="00A708DF"/>
    <w:rsid w:val="00A70A98"/>
    <w:rsid w:val="00A7119C"/>
    <w:rsid w:val="00A72800"/>
    <w:rsid w:val="00A7439F"/>
    <w:rsid w:val="00A74848"/>
    <w:rsid w:val="00A75ACF"/>
    <w:rsid w:val="00A75BAC"/>
    <w:rsid w:val="00A766C2"/>
    <w:rsid w:val="00A77A1E"/>
    <w:rsid w:val="00A77C33"/>
    <w:rsid w:val="00A81F7C"/>
    <w:rsid w:val="00A851C6"/>
    <w:rsid w:val="00A857C2"/>
    <w:rsid w:val="00A871EC"/>
    <w:rsid w:val="00A9031B"/>
    <w:rsid w:val="00A91122"/>
    <w:rsid w:val="00A91695"/>
    <w:rsid w:val="00A93428"/>
    <w:rsid w:val="00A94248"/>
    <w:rsid w:val="00A94FDC"/>
    <w:rsid w:val="00A953C9"/>
    <w:rsid w:val="00AA0E36"/>
    <w:rsid w:val="00AA12D6"/>
    <w:rsid w:val="00AA1931"/>
    <w:rsid w:val="00AA194E"/>
    <w:rsid w:val="00AA25DD"/>
    <w:rsid w:val="00AA2E53"/>
    <w:rsid w:val="00AA40FC"/>
    <w:rsid w:val="00AA4DC1"/>
    <w:rsid w:val="00AA64F4"/>
    <w:rsid w:val="00AA6DFC"/>
    <w:rsid w:val="00AA763D"/>
    <w:rsid w:val="00AB44BC"/>
    <w:rsid w:val="00AB5691"/>
    <w:rsid w:val="00AB660F"/>
    <w:rsid w:val="00AB672E"/>
    <w:rsid w:val="00AB6F87"/>
    <w:rsid w:val="00AC1EA3"/>
    <w:rsid w:val="00AC2999"/>
    <w:rsid w:val="00AC317E"/>
    <w:rsid w:val="00AC45A6"/>
    <w:rsid w:val="00AC5067"/>
    <w:rsid w:val="00AC7C2B"/>
    <w:rsid w:val="00AC7F7E"/>
    <w:rsid w:val="00AD02FB"/>
    <w:rsid w:val="00AD131A"/>
    <w:rsid w:val="00AD2122"/>
    <w:rsid w:val="00AD4362"/>
    <w:rsid w:val="00AD44ED"/>
    <w:rsid w:val="00AD6B7E"/>
    <w:rsid w:val="00AE0261"/>
    <w:rsid w:val="00AE07AD"/>
    <w:rsid w:val="00AE1667"/>
    <w:rsid w:val="00AE233F"/>
    <w:rsid w:val="00AE50E5"/>
    <w:rsid w:val="00AE511D"/>
    <w:rsid w:val="00AF0D95"/>
    <w:rsid w:val="00AF2AC2"/>
    <w:rsid w:val="00AF3F2B"/>
    <w:rsid w:val="00AF548A"/>
    <w:rsid w:val="00AF6A7D"/>
    <w:rsid w:val="00AF6C24"/>
    <w:rsid w:val="00B05B92"/>
    <w:rsid w:val="00B067B3"/>
    <w:rsid w:val="00B11AE5"/>
    <w:rsid w:val="00B15367"/>
    <w:rsid w:val="00B201E4"/>
    <w:rsid w:val="00B22482"/>
    <w:rsid w:val="00B22EFA"/>
    <w:rsid w:val="00B230B2"/>
    <w:rsid w:val="00B236EB"/>
    <w:rsid w:val="00B23894"/>
    <w:rsid w:val="00B30116"/>
    <w:rsid w:val="00B323E3"/>
    <w:rsid w:val="00B3257C"/>
    <w:rsid w:val="00B33C81"/>
    <w:rsid w:val="00B34C07"/>
    <w:rsid w:val="00B37627"/>
    <w:rsid w:val="00B4058C"/>
    <w:rsid w:val="00B422B5"/>
    <w:rsid w:val="00B43572"/>
    <w:rsid w:val="00B436BF"/>
    <w:rsid w:val="00B454A5"/>
    <w:rsid w:val="00B45A59"/>
    <w:rsid w:val="00B45D34"/>
    <w:rsid w:val="00B473B9"/>
    <w:rsid w:val="00B50482"/>
    <w:rsid w:val="00B524B4"/>
    <w:rsid w:val="00B538B3"/>
    <w:rsid w:val="00B53A27"/>
    <w:rsid w:val="00B53B0A"/>
    <w:rsid w:val="00B552A6"/>
    <w:rsid w:val="00B569F6"/>
    <w:rsid w:val="00B56F1C"/>
    <w:rsid w:val="00B575F3"/>
    <w:rsid w:val="00B57F5F"/>
    <w:rsid w:val="00B60668"/>
    <w:rsid w:val="00B61052"/>
    <w:rsid w:val="00B61376"/>
    <w:rsid w:val="00B63CDB"/>
    <w:rsid w:val="00B63F79"/>
    <w:rsid w:val="00B64668"/>
    <w:rsid w:val="00B65AD4"/>
    <w:rsid w:val="00B67A4F"/>
    <w:rsid w:val="00B67D14"/>
    <w:rsid w:val="00B7155E"/>
    <w:rsid w:val="00B7241C"/>
    <w:rsid w:val="00B762DE"/>
    <w:rsid w:val="00B76980"/>
    <w:rsid w:val="00B7717D"/>
    <w:rsid w:val="00B82693"/>
    <w:rsid w:val="00B834C0"/>
    <w:rsid w:val="00B8469F"/>
    <w:rsid w:val="00B84A84"/>
    <w:rsid w:val="00B8604D"/>
    <w:rsid w:val="00B860B5"/>
    <w:rsid w:val="00B87A7C"/>
    <w:rsid w:val="00B87AB1"/>
    <w:rsid w:val="00B90506"/>
    <w:rsid w:val="00B90817"/>
    <w:rsid w:val="00B9304E"/>
    <w:rsid w:val="00B9456E"/>
    <w:rsid w:val="00B94D6F"/>
    <w:rsid w:val="00B953A5"/>
    <w:rsid w:val="00B96588"/>
    <w:rsid w:val="00B97EEF"/>
    <w:rsid w:val="00BA0607"/>
    <w:rsid w:val="00BA08FB"/>
    <w:rsid w:val="00BA0C4F"/>
    <w:rsid w:val="00BA31BB"/>
    <w:rsid w:val="00BA34D2"/>
    <w:rsid w:val="00BA43B4"/>
    <w:rsid w:val="00BA4D54"/>
    <w:rsid w:val="00BA5BBF"/>
    <w:rsid w:val="00BA5F28"/>
    <w:rsid w:val="00BA67B8"/>
    <w:rsid w:val="00BA6F28"/>
    <w:rsid w:val="00BA757A"/>
    <w:rsid w:val="00BB2B1F"/>
    <w:rsid w:val="00BB32FE"/>
    <w:rsid w:val="00BB3CAA"/>
    <w:rsid w:val="00BB3D04"/>
    <w:rsid w:val="00BB41FE"/>
    <w:rsid w:val="00BB4519"/>
    <w:rsid w:val="00BC06F7"/>
    <w:rsid w:val="00BC41F3"/>
    <w:rsid w:val="00BC5328"/>
    <w:rsid w:val="00BC61D6"/>
    <w:rsid w:val="00BC6BD1"/>
    <w:rsid w:val="00BD0246"/>
    <w:rsid w:val="00BD04CC"/>
    <w:rsid w:val="00BD0FC9"/>
    <w:rsid w:val="00BD1B5E"/>
    <w:rsid w:val="00BD3AAA"/>
    <w:rsid w:val="00BD46C0"/>
    <w:rsid w:val="00BD523C"/>
    <w:rsid w:val="00BD6E9A"/>
    <w:rsid w:val="00BE05B5"/>
    <w:rsid w:val="00BE2173"/>
    <w:rsid w:val="00BE3BB5"/>
    <w:rsid w:val="00BE5071"/>
    <w:rsid w:val="00BF273A"/>
    <w:rsid w:val="00BF4046"/>
    <w:rsid w:val="00BF569E"/>
    <w:rsid w:val="00BF66C3"/>
    <w:rsid w:val="00BF6F76"/>
    <w:rsid w:val="00C011FA"/>
    <w:rsid w:val="00C02484"/>
    <w:rsid w:val="00C040E0"/>
    <w:rsid w:val="00C06494"/>
    <w:rsid w:val="00C06BA8"/>
    <w:rsid w:val="00C07036"/>
    <w:rsid w:val="00C1237A"/>
    <w:rsid w:val="00C13BB1"/>
    <w:rsid w:val="00C13F23"/>
    <w:rsid w:val="00C1504A"/>
    <w:rsid w:val="00C16BC6"/>
    <w:rsid w:val="00C20C69"/>
    <w:rsid w:val="00C22CB6"/>
    <w:rsid w:val="00C24550"/>
    <w:rsid w:val="00C27872"/>
    <w:rsid w:val="00C3000A"/>
    <w:rsid w:val="00C30248"/>
    <w:rsid w:val="00C31005"/>
    <w:rsid w:val="00C32CB0"/>
    <w:rsid w:val="00C33535"/>
    <w:rsid w:val="00C34F19"/>
    <w:rsid w:val="00C36388"/>
    <w:rsid w:val="00C36721"/>
    <w:rsid w:val="00C42377"/>
    <w:rsid w:val="00C427FC"/>
    <w:rsid w:val="00C428FE"/>
    <w:rsid w:val="00C44AFA"/>
    <w:rsid w:val="00C45831"/>
    <w:rsid w:val="00C465BB"/>
    <w:rsid w:val="00C474FB"/>
    <w:rsid w:val="00C5117B"/>
    <w:rsid w:val="00C512DA"/>
    <w:rsid w:val="00C52E34"/>
    <w:rsid w:val="00C5334E"/>
    <w:rsid w:val="00C53886"/>
    <w:rsid w:val="00C56345"/>
    <w:rsid w:val="00C5788D"/>
    <w:rsid w:val="00C57D00"/>
    <w:rsid w:val="00C61DA8"/>
    <w:rsid w:val="00C630A8"/>
    <w:rsid w:val="00C63DE4"/>
    <w:rsid w:val="00C709C0"/>
    <w:rsid w:val="00C710E3"/>
    <w:rsid w:val="00C73416"/>
    <w:rsid w:val="00C74338"/>
    <w:rsid w:val="00C744AB"/>
    <w:rsid w:val="00C7513C"/>
    <w:rsid w:val="00C75BC6"/>
    <w:rsid w:val="00C7634B"/>
    <w:rsid w:val="00C76F32"/>
    <w:rsid w:val="00C83FFB"/>
    <w:rsid w:val="00C85A2B"/>
    <w:rsid w:val="00C85F66"/>
    <w:rsid w:val="00C868FD"/>
    <w:rsid w:val="00C87358"/>
    <w:rsid w:val="00C8737C"/>
    <w:rsid w:val="00C87F19"/>
    <w:rsid w:val="00C87FC8"/>
    <w:rsid w:val="00C9065B"/>
    <w:rsid w:val="00C9477A"/>
    <w:rsid w:val="00C95A99"/>
    <w:rsid w:val="00C97904"/>
    <w:rsid w:val="00CA0BCB"/>
    <w:rsid w:val="00CA1A7B"/>
    <w:rsid w:val="00CA2B60"/>
    <w:rsid w:val="00CA428A"/>
    <w:rsid w:val="00CA432D"/>
    <w:rsid w:val="00CA57A5"/>
    <w:rsid w:val="00CA67EE"/>
    <w:rsid w:val="00CB38FE"/>
    <w:rsid w:val="00CB427D"/>
    <w:rsid w:val="00CB51B3"/>
    <w:rsid w:val="00CB6596"/>
    <w:rsid w:val="00CC2CF3"/>
    <w:rsid w:val="00CC3534"/>
    <w:rsid w:val="00CC51D9"/>
    <w:rsid w:val="00CC5B6E"/>
    <w:rsid w:val="00CC65DF"/>
    <w:rsid w:val="00CD03CA"/>
    <w:rsid w:val="00CD4B63"/>
    <w:rsid w:val="00CE1D9D"/>
    <w:rsid w:val="00CE2BB9"/>
    <w:rsid w:val="00CE357C"/>
    <w:rsid w:val="00CE47D6"/>
    <w:rsid w:val="00CE4B31"/>
    <w:rsid w:val="00CE5AD3"/>
    <w:rsid w:val="00CE664F"/>
    <w:rsid w:val="00CF2B3D"/>
    <w:rsid w:val="00CF416F"/>
    <w:rsid w:val="00CF5E48"/>
    <w:rsid w:val="00CF6A7D"/>
    <w:rsid w:val="00D0210C"/>
    <w:rsid w:val="00D02812"/>
    <w:rsid w:val="00D03188"/>
    <w:rsid w:val="00D045E5"/>
    <w:rsid w:val="00D05619"/>
    <w:rsid w:val="00D065EC"/>
    <w:rsid w:val="00D06F59"/>
    <w:rsid w:val="00D07CD2"/>
    <w:rsid w:val="00D10286"/>
    <w:rsid w:val="00D134BD"/>
    <w:rsid w:val="00D141F9"/>
    <w:rsid w:val="00D147E1"/>
    <w:rsid w:val="00D20460"/>
    <w:rsid w:val="00D2175A"/>
    <w:rsid w:val="00D22767"/>
    <w:rsid w:val="00D23B63"/>
    <w:rsid w:val="00D30498"/>
    <w:rsid w:val="00D31E11"/>
    <w:rsid w:val="00D35DE7"/>
    <w:rsid w:val="00D3645F"/>
    <w:rsid w:val="00D36E30"/>
    <w:rsid w:val="00D42912"/>
    <w:rsid w:val="00D431AE"/>
    <w:rsid w:val="00D435FD"/>
    <w:rsid w:val="00D45179"/>
    <w:rsid w:val="00D453EE"/>
    <w:rsid w:val="00D458A0"/>
    <w:rsid w:val="00D45D4E"/>
    <w:rsid w:val="00D474FB"/>
    <w:rsid w:val="00D4761D"/>
    <w:rsid w:val="00D5061A"/>
    <w:rsid w:val="00D51446"/>
    <w:rsid w:val="00D51D78"/>
    <w:rsid w:val="00D52004"/>
    <w:rsid w:val="00D549A3"/>
    <w:rsid w:val="00D54D43"/>
    <w:rsid w:val="00D60272"/>
    <w:rsid w:val="00D60491"/>
    <w:rsid w:val="00D61951"/>
    <w:rsid w:val="00D62AC3"/>
    <w:rsid w:val="00D64ADC"/>
    <w:rsid w:val="00D650E3"/>
    <w:rsid w:val="00D650EF"/>
    <w:rsid w:val="00D71FA0"/>
    <w:rsid w:val="00D73DD9"/>
    <w:rsid w:val="00D75D4C"/>
    <w:rsid w:val="00D8151B"/>
    <w:rsid w:val="00D83A13"/>
    <w:rsid w:val="00D85574"/>
    <w:rsid w:val="00D86286"/>
    <w:rsid w:val="00D87017"/>
    <w:rsid w:val="00D901E1"/>
    <w:rsid w:val="00D902B6"/>
    <w:rsid w:val="00D91DC2"/>
    <w:rsid w:val="00D934F1"/>
    <w:rsid w:val="00D93EB6"/>
    <w:rsid w:val="00D941C2"/>
    <w:rsid w:val="00D9425E"/>
    <w:rsid w:val="00D9628D"/>
    <w:rsid w:val="00DA05BC"/>
    <w:rsid w:val="00DA1B39"/>
    <w:rsid w:val="00DA2FC6"/>
    <w:rsid w:val="00DA4705"/>
    <w:rsid w:val="00DA7658"/>
    <w:rsid w:val="00DB129B"/>
    <w:rsid w:val="00DB2610"/>
    <w:rsid w:val="00DB59E5"/>
    <w:rsid w:val="00DC220E"/>
    <w:rsid w:val="00DC2D33"/>
    <w:rsid w:val="00DC3D8A"/>
    <w:rsid w:val="00DC4D39"/>
    <w:rsid w:val="00DC530A"/>
    <w:rsid w:val="00DC6664"/>
    <w:rsid w:val="00DD06E1"/>
    <w:rsid w:val="00DD0888"/>
    <w:rsid w:val="00DD0C65"/>
    <w:rsid w:val="00DD3A0C"/>
    <w:rsid w:val="00DD3D0D"/>
    <w:rsid w:val="00DE0BF6"/>
    <w:rsid w:val="00DE1099"/>
    <w:rsid w:val="00DE14DA"/>
    <w:rsid w:val="00DE2CC8"/>
    <w:rsid w:val="00DE4EB3"/>
    <w:rsid w:val="00DE56BF"/>
    <w:rsid w:val="00DF4EEC"/>
    <w:rsid w:val="00DF5E1F"/>
    <w:rsid w:val="00DF685D"/>
    <w:rsid w:val="00DF6CEE"/>
    <w:rsid w:val="00DF7331"/>
    <w:rsid w:val="00E002A3"/>
    <w:rsid w:val="00E035C3"/>
    <w:rsid w:val="00E04484"/>
    <w:rsid w:val="00E105AE"/>
    <w:rsid w:val="00E11DB1"/>
    <w:rsid w:val="00E126FF"/>
    <w:rsid w:val="00E1557A"/>
    <w:rsid w:val="00E1569E"/>
    <w:rsid w:val="00E16DE9"/>
    <w:rsid w:val="00E21B32"/>
    <w:rsid w:val="00E22116"/>
    <w:rsid w:val="00E2250C"/>
    <w:rsid w:val="00E23D5E"/>
    <w:rsid w:val="00E24C90"/>
    <w:rsid w:val="00E26446"/>
    <w:rsid w:val="00E3152D"/>
    <w:rsid w:val="00E31B10"/>
    <w:rsid w:val="00E33F3E"/>
    <w:rsid w:val="00E37239"/>
    <w:rsid w:val="00E374DE"/>
    <w:rsid w:val="00E40024"/>
    <w:rsid w:val="00E4024F"/>
    <w:rsid w:val="00E42863"/>
    <w:rsid w:val="00E433E2"/>
    <w:rsid w:val="00E46F69"/>
    <w:rsid w:val="00E47090"/>
    <w:rsid w:val="00E5011C"/>
    <w:rsid w:val="00E51C1A"/>
    <w:rsid w:val="00E535F6"/>
    <w:rsid w:val="00E536C9"/>
    <w:rsid w:val="00E545EA"/>
    <w:rsid w:val="00E5592F"/>
    <w:rsid w:val="00E56290"/>
    <w:rsid w:val="00E56311"/>
    <w:rsid w:val="00E56BF5"/>
    <w:rsid w:val="00E60659"/>
    <w:rsid w:val="00E6139F"/>
    <w:rsid w:val="00E61639"/>
    <w:rsid w:val="00E64880"/>
    <w:rsid w:val="00E64D88"/>
    <w:rsid w:val="00E64E57"/>
    <w:rsid w:val="00E65D60"/>
    <w:rsid w:val="00E66D79"/>
    <w:rsid w:val="00E671B2"/>
    <w:rsid w:val="00E67878"/>
    <w:rsid w:val="00E7050A"/>
    <w:rsid w:val="00E7096F"/>
    <w:rsid w:val="00E77586"/>
    <w:rsid w:val="00E844BB"/>
    <w:rsid w:val="00E847EB"/>
    <w:rsid w:val="00E86B0C"/>
    <w:rsid w:val="00E871DD"/>
    <w:rsid w:val="00E908C4"/>
    <w:rsid w:val="00E90B65"/>
    <w:rsid w:val="00E930B9"/>
    <w:rsid w:val="00E96C06"/>
    <w:rsid w:val="00E97C1A"/>
    <w:rsid w:val="00EA0970"/>
    <w:rsid w:val="00EA1061"/>
    <w:rsid w:val="00EA160B"/>
    <w:rsid w:val="00EA188B"/>
    <w:rsid w:val="00EA2FD6"/>
    <w:rsid w:val="00EA32E0"/>
    <w:rsid w:val="00EA3823"/>
    <w:rsid w:val="00EA5298"/>
    <w:rsid w:val="00EA67D7"/>
    <w:rsid w:val="00EA6999"/>
    <w:rsid w:val="00EA72DD"/>
    <w:rsid w:val="00EA7A2A"/>
    <w:rsid w:val="00EB1359"/>
    <w:rsid w:val="00EB1854"/>
    <w:rsid w:val="00EB2CD5"/>
    <w:rsid w:val="00EB3D21"/>
    <w:rsid w:val="00EB47FC"/>
    <w:rsid w:val="00EB537F"/>
    <w:rsid w:val="00EB6C6E"/>
    <w:rsid w:val="00EB7A3E"/>
    <w:rsid w:val="00EC1615"/>
    <w:rsid w:val="00EC2A64"/>
    <w:rsid w:val="00EC3DAA"/>
    <w:rsid w:val="00EC751F"/>
    <w:rsid w:val="00ED0283"/>
    <w:rsid w:val="00ED2057"/>
    <w:rsid w:val="00ED224A"/>
    <w:rsid w:val="00ED367D"/>
    <w:rsid w:val="00ED50FC"/>
    <w:rsid w:val="00ED65D9"/>
    <w:rsid w:val="00ED6C59"/>
    <w:rsid w:val="00ED6D39"/>
    <w:rsid w:val="00ED725C"/>
    <w:rsid w:val="00EE1BBB"/>
    <w:rsid w:val="00EE58A4"/>
    <w:rsid w:val="00EE5F11"/>
    <w:rsid w:val="00EE65EF"/>
    <w:rsid w:val="00EF01FC"/>
    <w:rsid w:val="00EF056F"/>
    <w:rsid w:val="00EF41B7"/>
    <w:rsid w:val="00EF72A8"/>
    <w:rsid w:val="00F00976"/>
    <w:rsid w:val="00F03005"/>
    <w:rsid w:val="00F070A4"/>
    <w:rsid w:val="00F07757"/>
    <w:rsid w:val="00F126E8"/>
    <w:rsid w:val="00F13CA7"/>
    <w:rsid w:val="00F13CE4"/>
    <w:rsid w:val="00F15DFF"/>
    <w:rsid w:val="00F16F50"/>
    <w:rsid w:val="00F23D2B"/>
    <w:rsid w:val="00F25B3D"/>
    <w:rsid w:val="00F278D0"/>
    <w:rsid w:val="00F30903"/>
    <w:rsid w:val="00F30981"/>
    <w:rsid w:val="00F30A82"/>
    <w:rsid w:val="00F3105A"/>
    <w:rsid w:val="00F31796"/>
    <w:rsid w:val="00F31D46"/>
    <w:rsid w:val="00F3228B"/>
    <w:rsid w:val="00F334ED"/>
    <w:rsid w:val="00F33E63"/>
    <w:rsid w:val="00F364ED"/>
    <w:rsid w:val="00F5222E"/>
    <w:rsid w:val="00F522A1"/>
    <w:rsid w:val="00F542E2"/>
    <w:rsid w:val="00F5469A"/>
    <w:rsid w:val="00F54B5F"/>
    <w:rsid w:val="00F54B7E"/>
    <w:rsid w:val="00F560FF"/>
    <w:rsid w:val="00F56C63"/>
    <w:rsid w:val="00F57F15"/>
    <w:rsid w:val="00F630B0"/>
    <w:rsid w:val="00F674A4"/>
    <w:rsid w:val="00F676D8"/>
    <w:rsid w:val="00F70158"/>
    <w:rsid w:val="00F719DB"/>
    <w:rsid w:val="00F72043"/>
    <w:rsid w:val="00F72A90"/>
    <w:rsid w:val="00F733AB"/>
    <w:rsid w:val="00F73D1E"/>
    <w:rsid w:val="00F73F04"/>
    <w:rsid w:val="00F75578"/>
    <w:rsid w:val="00F75EA4"/>
    <w:rsid w:val="00F75FB8"/>
    <w:rsid w:val="00F77A41"/>
    <w:rsid w:val="00F8043C"/>
    <w:rsid w:val="00F806BB"/>
    <w:rsid w:val="00F81ED2"/>
    <w:rsid w:val="00F821B0"/>
    <w:rsid w:val="00F86FE3"/>
    <w:rsid w:val="00F87805"/>
    <w:rsid w:val="00F92B54"/>
    <w:rsid w:val="00F93D1E"/>
    <w:rsid w:val="00F9415E"/>
    <w:rsid w:val="00F94DA9"/>
    <w:rsid w:val="00F970D6"/>
    <w:rsid w:val="00FA025C"/>
    <w:rsid w:val="00FA0EBD"/>
    <w:rsid w:val="00FA1450"/>
    <w:rsid w:val="00FA147A"/>
    <w:rsid w:val="00FA4129"/>
    <w:rsid w:val="00FA47B6"/>
    <w:rsid w:val="00FA5707"/>
    <w:rsid w:val="00FA585A"/>
    <w:rsid w:val="00FA5E4E"/>
    <w:rsid w:val="00FA6F7B"/>
    <w:rsid w:val="00FB06FB"/>
    <w:rsid w:val="00FB2051"/>
    <w:rsid w:val="00FB40C9"/>
    <w:rsid w:val="00FB4F2A"/>
    <w:rsid w:val="00FB53D5"/>
    <w:rsid w:val="00FB580B"/>
    <w:rsid w:val="00FB6690"/>
    <w:rsid w:val="00FB79A3"/>
    <w:rsid w:val="00FC0F2F"/>
    <w:rsid w:val="00FC17DD"/>
    <w:rsid w:val="00FC3C38"/>
    <w:rsid w:val="00FC788B"/>
    <w:rsid w:val="00FD690F"/>
    <w:rsid w:val="00FD7069"/>
    <w:rsid w:val="00FE2476"/>
    <w:rsid w:val="00FE5A1B"/>
    <w:rsid w:val="00FE700D"/>
    <w:rsid w:val="00FE707E"/>
    <w:rsid w:val="00FF10D1"/>
    <w:rsid w:val="00FF154A"/>
    <w:rsid w:val="00FF17AE"/>
    <w:rsid w:val="00FF27D5"/>
    <w:rsid w:val="00FF2FB5"/>
    <w:rsid w:val="00FF54A3"/>
    <w:rsid w:val="00FF5776"/>
    <w:rsid w:val="05A06706"/>
    <w:rsid w:val="31D51846"/>
    <w:rsid w:val="4B4033FC"/>
    <w:rsid w:val="4B8F116C"/>
    <w:rsid w:val="51404392"/>
    <w:rsid w:val="518849E0"/>
    <w:rsid w:val="530751BC"/>
    <w:rsid w:val="59A80A8F"/>
    <w:rsid w:val="668C0508"/>
    <w:rsid w:val="669B5841"/>
    <w:rsid w:val="6CD864C3"/>
    <w:rsid w:val="7AF63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iPriority="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00" w:lineRule="auto"/>
      <w:ind w:firstLine="480" w:firstLineChars="200"/>
      <w:jc w:val="both"/>
      <w:textAlignment w:val="baseline"/>
    </w:pPr>
    <w:rPr>
      <w:rFonts w:ascii="Times New Roman" w:hAnsi="Times New Roman" w:eastAsia="宋体" w:cs="Times New Roman"/>
      <w:sz w:val="24"/>
      <w:lang w:val="en-US" w:eastAsia="zh-CN" w:bidi="ar-SA"/>
    </w:rPr>
  </w:style>
  <w:style w:type="paragraph" w:styleId="2">
    <w:name w:val="heading 1"/>
    <w:next w:val="1"/>
    <w:link w:val="37"/>
    <w:qFormat/>
    <w:uiPriority w:val="0"/>
    <w:pPr>
      <w:keepNext/>
      <w:keepLines/>
      <w:pageBreakBefore/>
      <w:numPr>
        <w:ilvl w:val="0"/>
        <w:numId w:val="1"/>
      </w:numPr>
      <w:spacing w:before="120" w:after="120"/>
      <w:outlineLvl w:val="0"/>
    </w:pPr>
    <w:rPr>
      <w:rFonts w:ascii="Times New Roman" w:hAnsi="Times New Roman" w:eastAsia="黑体" w:cs="Arial"/>
      <w:bCs/>
      <w:kern w:val="44"/>
      <w:sz w:val="28"/>
      <w:szCs w:val="28"/>
      <w:lang w:val="en-US" w:eastAsia="zh-CN" w:bidi="ar-SA"/>
    </w:rPr>
  </w:style>
  <w:style w:type="paragraph" w:styleId="3">
    <w:name w:val="heading 2"/>
    <w:next w:val="1"/>
    <w:link w:val="38"/>
    <w:qFormat/>
    <w:uiPriority w:val="0"/>
    <w:pPr>
      <w:numPr>
        <w:ilvl w:val="1"/>
        <w:numId w:val="1"/>
      </w:numPr>
      <w:spacing w:before="120" w:after="120"/>
      <w:outlineLvl w:val="1"/>
    </w:pPr>
    <w:rPr>
      <w:rFonts w:ascii="Times New Roman" w:hAnsi="Times New Roman" w:eastAsia="黑体" w:cs="Times New Roman"/>
      <w:color w:val="000000"/>
      <w:sz w:val="24"/>
      <w:szCs w:val="24"/>
      <w:lang w:val="en-US" w:eastAsia="zh-CN" w:bidi="ar-SA"/>
    </w:rPr>
  </w:style>
  <w:style w:type="paragraph" w:styleId="4">
    <w:name w:val="heading 3"/>
    <w:next w:val="1"/>
    <w:qFormat/>
    <w:uiPriority w:val="0"/>
    <w:pPr>
      <w:keepNext/>
      <w:keepLines/>
      <w:numPr>
        <w:ilvl w:val="2"/>
        <w:numId w:val="1"/>
      </w:numPr>
      <w:snapToGrid w:val="0"/>
      <w:spacing w:line="300" w:lineRule="auto"/>
      <w:outlineLvl w:val="2"/>
    </w:pPr>
    <w:rPr>
      <w:rFonts w:ascii="Times New Roman" w:hAnsi="Times New Roman" w:eastAsia="黑体" w:cs="Times New Roman"/>
      <w:bCs/>
      <w:sz w:val="24"/>
      <w:lang w:val="en-US" w:eastAsia="zh-CN" w:bidi="ar-SA"/>
    </w:rPr>
  </w:style>
  <w:style w:type="paragraph" w:styleId="5">
    <w:name w:val="heading 4"/>
    <w:basedOn w:val="1"/>
    <w:next w:val="1"/>
    <w:qFormat/>
    <w:uiPriority w:val="0"/>
    <w:pPr>
      <w:keepNext/>
      <w:keepLines/>
      <w:numPr>
        <w:ilvl w:val="3"/>
        <w:numId w:val="1"/>
      </w:numPr>
      <w:snapToGrid w:val="0"/>
      <w:ind w:firstLine="0" w:firstLineChars="0"/>
      <w:outlineLvl w:val="3"/>
    </w:pPr>
    <w:rPr>
      <w:bCs/>
      <w:szCs w:val="24"/>
    </w:rPr>
  </w:style>
  <w:style w:type="paragraph" w:styleId="6">
    <w:name w:val="heading 5"/>
    <w:basedOn w:val="1"/>
    <w:next w:val="1"/>
    <w:link w:val="39"/>
    <w:unhideWhenUsed/>
    <w:qFormat/>
    <w:uiPriority w:val="0"/>
    <w:pPr>
      <w:keepNext/>
      <w:keepLines/>
      <w:adjustRightInd/>
      <w:spacing w:before="280" w:after="290" w:line="376" w:lineRule="auto"/>
      <w:ind w:left="1008" w:hanging="1008" w:firstLineChars="0"/>
      <w:textAlignment w:val="auto"/>
      <w:outlineLvl w:val="4"/>
    </w:pPr>
    <w:rPr>
      <w:rFonts w:ascii="Calibri" w:hAnsi="Calibri"/>
      <w:b/>
      <w:bCs/>
      <w:sz w:val="28"/>
      <w:szCs w:val="28"/>
      <w:lang w:val="zh-CN"/>
    </w:rPr>
  </w:style>
  <w:style w:type="paragraph" w:styleId="7">
    <w:name w:val="heading 6"/>
    <w:basedOn w:val="1"/>
    <w:next w:val="1"/>
    <w:link w:val="40"/>
    <w:unhideWhenUsed/>
    <w:qFormat/>
    <w:uiPriority w:val="9"/>
    <w:pPr>
      <w:keepNext/>
      <w:keepLines/>
      <w:adjustRightInd/>
      <w:spacing w:before="240" w:after="64" w:line="320" w:lineRule="auto"/>
      <w:ind w:left="1152" w:hanging="1152" w:firstLineChars="0"/>
      <w:textAlignment w:val="auto"/>
      <w:outlineLvl w:val="5"/>
    </w:pPr>
    <w:rPr>
      <w:rFonts w:ascii="Cambria" w:hAnsi="Cambria"/>
      <w:b/>
      <w:bCs/>
      <w:szCs w:val="24"/>
      <w:lang w:val="zh-CN"/>
    </w:rPr>
  </w:style>
  <w:style w:type="paragraph" w:styleId="8">
    <w:name w:val="heading 7"/>
    <w:basedOn w:val="1"/>
    <w:next w:val="1"/>
    <w:link w:val="41"/>
    <w:unhideWhenUsed/>
    <w:qFormat/>
    <w:uiPriority w:val="9"/>
    <w:pPr>
      <w:keepNext/>
      <w:keepLines/>
      <w:adjustRightInd/>
      <w:spacing w:before="240" w:after="64" w:line="320" w:lineRule="auto"/>
      <w:ind w:left="1296" w:hanging="1296" w:firstLineChars="0"/>
      <w:textAlignment w:val="auto"/>
      <w:outlineLvl w:val="6"/>
    </w:pPr>
    <w:rPr>
      <w:rFonts w:ascii="Calibri" w:hAnsi="Calibri"/>
      <w:b/>
      <w:bCs/>
      <w:szCs w:val="24"/>
      <w:lang w:val="zh-CN"/>
    </w:rPr>
  </w:style>
  <w:style w:type="paragraph" w:styleId="9">
    <w:name w:val="heading 8"/>
    <w:basedOn w:val="1"/>
    <w:next w:val="1"/>
    <w:link w:val="42"/>
    <w:unhideWhenUsed/>
    <w:qFormat/>
    <w:uiPriority w:val="9"/>
    <w:pPr>
      <w:keepNext/>
      <w:keepLines/>
      <w:adjustRightInd/>
      <w:spacing w:before="240" w:after="64" w:line="320" w:lineRule="auto"/>
      <w:ind w:left="1440" w:hanging="1440" w:firstLineChars="0"/>
      <w:textAlignment w:val="auto"/>
      <w:outlineLvl w:val="7"/>
    </w:pPr>
    <w:rPr>
      <w:rFonts w:ascii="Cambria" w:hAnsi="Cambria"/>
      <w:szCs w:val="24"/>
      <w:lang w:val="zh-CN"/>
    </w:rPr>
  </w:style>
  <w:style w:type="paragraph" w:styleId="10">
    <w:name w:val="heading 9"/>
    <w:basedOn w:val="1"/>
    <w:next w:val="1"/>
    <w:link w:val="43"/>
    <w:unhideWhenUsed/>
    <w:qFormat/>
    <w:uiPriority w:val="9"/>
    <w:pPr>
      <w:keepNext/>
      <w:keepLines/>
      <w:adjustRightInd/>
      <w:spacing w:before="240" w:after="64" w:line="320" w:lineRule="auto"/>
      <w:ind w:left="1584" w:hanging="1584" w:firstLineChars="0"/>
      <w:textAlignment w:val="auto"/>
      <w:outlineLvl w:val="8"/>
    </w:pPr>
    <w:rPr>
      <w:rFonts w:ascii="Cambria" w:hAnsi="Cambria"/>
      <w:sz w:val="20"/>
      <w:szCs w:val="21"/>
      <w:lang w:val="zh-CN"/>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pacing w:line="240" w:lineRule="auto"/>
      <w:ind w:left="2520" w:leftChars="1200" w:firstLine="0" w:firstLineChars="0"/>
      <w:textAlignment w:val="auto"/>
    </w:pPr>
    <w:rPr>
      <w:rFonts w:asciiTheme="minorHAnsi" w:hAnsiTheme="minorHAnsi" w:eastAsiaTheme="minorEastAsia" w:cstheme="minorBidi"/>
      <w:kern w:val="2"/>
      <w:sz w:val="21"/>
      <w:szCs w:val="22"/>
    </w:rPr>
  </w:style>
  <w:style w:type="paragraph" w:styleId="12">
    <w:name w:val="caption"/>
    <w:basedOn w:val="1"/>
    <w:next w:val="1"/>
    <w:link w:val="44"/>
    <w:unhideWhenUsed/>
    <w:qFormat/>
    <w:uiPriority w:val="35"/>
    <w:rPr>
      <w:rFonts w:ascii="Arial" w:hAnsi="Arial" w:eastAsia="黑体"/>
      <w:sz w:val="20"/>
    </w:rPr>
  </w:style>
  <w:style w:type="paragraph" w:styleId="13">
    <w:name w:val="annotation text"/>
    <w:basedOn w:val="1"/>
    <w:link w:val="45"/>
    <w:semiHidden/>
    <w:unhideWhenUsed/>
    <w:qFormat/>
    <w:uiPriority w:val="0"/>
    <w:pPr>
      <w:jc w:val="left"/>
    </w:pPr>
  </w:style>
  <w:style w:type="paragraph" w:styleId="14">
    <w:name w:val="Body Text"/>
    <w:basedOn w:val="1"/>
    <w:link w:val="46"/>
    <w:qFormat/>
    <w:uiPriority w:val="0"/>
    <w:pPr>
      <w:autoSpaceDE w:val="0"/>
      <w:autoSpaceDN w:val="0"/>
      <w:spacing w:line="240" w:lineRule="auto"/>
      <w:ind w:firstLine="0" w:firstLineChars="0"/>
      <w:jc w:val="left"/>
      <w:textAlignment w:val="auto"/>
    </w:pPr>
    <w:rPr>
      <w:rFonts w:ascii="宋体" w:cs="宋体"/>
      <w:szCs w:val="24"/>
    </w:rPr>
  </w:style>
  <w:style w:type="paragraph" w:styleId="15">
    <w:name w:val="toc 5"/>
    <w:basedOn w:val="1"/>
    <w:next w:val="1"/>
    <w:unhideWhenUsed/>
    <w:qFormat/>
    <w:uiPriority w:val="39"/>
    <w:pPr>
      <w:adjustRightInd/>
      <w:spacing w:line="240" w:lineRule="auto"/>
      <w:ind w:left="1680" w:leftChars="800" w:firstLine="0" w:firstLineChars="0"/>
      <w:textAlignment w:val="auto"/>
    </w:pPr>
    <w:rPr>
      <w:rFonts w:asciiTheme="minorHAnsi" w:hAnsiTheme="minorHAnsi" w:eastAsiaTheme="minorEastAsia" w:cstheme="minorBidi"/>
      <w:kern w:val="2"/>
      <w:sz w:val="21"/>
      <w:szCs w:val="22"/>
    </w:rPr>
  </w:style>
  <w:style w:type="paragraph" w:styleId="16">
    <w:name w:val="toc 3"/>
    <w:basedOn w:val="17"/>
    <w:next w:val="1"/>
    <w:qFormat/>
    <w:uiPriority w:val="39"/>
    <w:pPr>
      <w:tabs>
        <w:tab w:val="left" w:pos="432"/>
        <w:tab w:val="left" w:pos="792"/>
        <w:tab w:val="right" w:leader="dot" w:pos="8931"/>
      </w:tabs>
      <w:ind w:firstLine="240" w:firstLineChars="100"/>
    </w:pPr>
  </w:style>
  <w:style w:type="paragraph" w:styleId="17">
    <w:name w:val="toc 2"/>
    <w:next w:val="16"/>
    <w:qFormat/>
    <w:uiPriority w:val="39"/>
    <w:pPr>
      <w:tabs>
        <w:tab w:val="left" w:pos="432"/>
        <w:tab w:val="right" w:leader="dot" w:pos="8931"/>
      </w:tabs>
      <w:adjustRightInd w:val="0"/>
      <w:spacing w:line="300" w:lineRule="auto"/>
    </w:pPr>
    <w:rPr>
      <w:rFonts w:ascii="Times New Roman" w:hAnsi="Times New Roman" w:eastAsia="黑体" w:cs="Times New Roman"/>
      <w:smallCaps/>
      <w:sz w:val="24"/>
      <w:szCs w:val="28"/>
      <w:lang w:val="en-US" w:eastAsia="zh-CN" w:bidi="ar-SA"/>
    </w:rPr>
  </w:style>
  <w:style w:type="paragraph" w:styleId="18">
    <w:name w:val="toc 8"/>
    <w:basedOn w:val="1"/>
    <w:next w:val="1"/>
    <w:unhideWhenUsed/>
    <w:qFormat/>
    <w:uiPriority w:val="39"/>
    <w:pPr>
      <w:adjustRightInd/>
      <w:spacing w:line="240" w:lineRule="auto"/>
      <w:ind w:left="2940" w:leftChars="1400" w:firstLine="0" w:firstLineChars="0"/>
      <w:textAlignment w:val="auto"/>
    </w:pPr>
    <w:rPr>
      <w:rFonts w:asciiTheme="minorHAnsi" w:hAnsiTheme="minorHAnsi" w:eastAsiaTheme="minorEastAsia" w:cstheme="minorBidi"/>
      <w:kern w:val="2"/>
      <w:sz w:val="21"/>
      <w:szCs w:val="22"/>
    </w:rPr>
  </w:style>
  <w:style w:type="paragraph" w:styleId="19">
    <w:name w:val="Date"/>
    <w:basedOn w:val="1"/>
    <w:next w:val="1"/>
    <w:link w:val="47"/>
    <w:qFormat/>
    <w:uiPriority w:val="0"/>
    <w:pPr>
      <w:ind w:left="100" w:leftChars="2500"/>
    </w:pPr>
  </w:style>
  <w:style w:type="paragraph" w:styleId="20">
    <w:name w:val="Balloon Text"/>
    <w:basedOn w:val="1"/>
    <w:link w:val="48"/>
    <w:semiHidden/>
    <w:unhideWhenUsed/>
    <w:qFormat/>
    <w:uiPriority w:val="0"/>
    <w:pPr>
      <w:spacing w:line="240" w:lineRule="auto"/>
    </w:pPr>
    <w:rPr>
      <w:sz w:val="18"/>
      <w:szCs w:val="18"/>
    </w:rPr>
  </w:style>
  <w:style w:type="paragraph" w:styleId="21">
    <w:name w:val="footer"/>
    <w:link w:val="49"/>
    <w:qFormat/>
    <w:uiPriority w:val="99"/>
    <w:pPr>
      <w:pBdr>
        <w:top w:val="single" w:color="auto" w:sz="12" w:space="1"/>
      </w:pBdr>
      <w:tabs>
        <w:tab w:val="right" w:pos="9072"/>
      </w:tabs>
      <w:snapToGrid w:val="0"/>
    </w:pPr>
    <w:rPr>
      <w:rFonts w:ascii="Times New Roman" w:hAnsi="Times New Roman" w:eastAsia="宋体" w:cs="Arial"/>
      <w:sz w:val="21"/>
      <w:lang w:val="en-US" w:eastAsia="zh-CN" w:bidi="ar-SA"/>
    </w:rPr>
  </w:style>
  <w:style w:type="paragraph" w:styleId="22">
    <w:name w:val="header"/>
    <w:link w:val="50"/>
    <w:qFormat/>
    <w:uiPriority w:val="99"/>
    <w:pPr>
      <w:pBdr>
        <w:bottom w:val="thinThickSmallGap" w:color="auto" w:sz="18" w:space="1"/>
      </w:pBdr>
      <w:snapToGrid w:val="0"/>
      <w:jc w:val="right"/>
    </w:pPr>
    <w:rPr>
      <w:rFonts w:ascii="Times New Roman" w:hAnsi="Times New Roman" w:eastAsia="宋体" w:cs="Times New Roman"/>
      <w:sz w:val="21"/>
      <w:lang w:val="en-US" w:eastAsia="zh-CN" w:bidi="ar-SA"/>
    </w:rPr>
  </w:style>
  <w:style w:type="paragraph" w:styleId="23">
    <w:name w:val="toc 1"/>
    <w:next w:val="17"/>
    <w:qFormat/>
    <w:uiPriority w:val="39"/>
    <w:pPr>
      <w:tabs>
        <w:tab w:val="right" w:pos="456"/>
        <w:tab w:val="right" w:leader="middleDot" w:pos="8931"/>
      </w:tabs>
      <w:spacing w:before="120" w:line="300" w:lineRule="auto"/>
    </w:pPr>
    <w:rPr>
      <w:rFonts w:ascii="Times New Roman" w:hAnsi="Times New Roman" w:eastAsia="黑体" w:cs="Times New Roman"/>
      <w:caps/>
      <w:color w:val="000000"/>
      <w:sz w:val="28"/>
      <w:szCs w:val="28"/>
      <w:lang w:val="en-US" w:eastAsia="zh-CN" w:bidi="ar-SA"/>
    </w:rPr>
  </w:style>
  <w:style w:type="paragraph" w:styleId="24">
    <w:name w:val="toc 4"/>
    <w:basedOn w:val="1"/>
    <w:next w:val="1"/>
    <w:unhideWhenUsed/>
    <w:qFormat/>
    <w:uiPriority w:val="39"/>
    <w:pPr>
      <w:adjustRightInd/>
      <w:spacing w:line="240" w:lineRule="auto"/>
      <w:ind w:left="1260" w:leftChars="600" w:firstLine="0" w:firstLineChars="0"/>
      <w:textAlignment w:val="auto"/>
    </w:pPr>
    <w:rPr>
      <w:rFonts w:asciiTheme="minorHAnsi" w:hAnsiTheme="minorHAnsi" w:eastAsiaTheme="minorEastAsia" w:cstheme="minorBidi"/>
      <w:kern w:val="2"/>
      <w:sz w:val="21"/>
      <w:szCs w:val="22"/>
    </w:rPr>
  </w:style>
  <w:style w:type="paragraph" w:styleId="25">
    <w:name w:val="List"/>
    <w:basedOn w:val="1"/>
    <w:qFormat/>
    <w:uiPriority w:val="0"/>
    <w:pPr>
      <w:adjustRightInd/>
      <w:spacing w:line="360" w:lineRule="auto"/>
      <w:ind w:left="200" w:hanging="200" w:hangingChars="200"/>
      <w:textAlignment w:val="auto"/>
    </w:pPr>
    <w:rPr>
      <w:rFonts w:eastAsia="仿宋_GB2312"/>
      <w:kern w:val="2"/>
      <w:szCs w:val="24"/>
    </w:rPr>
  </w:style>
  <w:style w:type="paragraph" w:styleId="26">
    <w:name w:val="toc 6"/>
    <w:basedOn w:val="1"/>
    <w:next w:val="1"/>
    <w:unhideWhenUsed/>
    <w:qFormat/>
    <w:uiPriority w:val="39"/>
    <w:pPr>
      <w:adjustRightInd/>
      <w:spacing w:line="240" w:lineRule="auto"/>
      <w:ind w:left="2100" w:leftChars="1000" w:firstLine="0" w:firstLineChars="0"/>
      <w:textAlignment w:val="auto"/>
    </w:pPr>
    <w:rPr>
      <w:rFonts w:asciiTheme="minorHAnsi" w:hAnsiTheme="minorHAnsi" w:eastAsiaTheme="minorEastAsia" w:cstheme="minorBidi"/>
      <w:kern w:val="2"/>
      <w:sz w:val="21"/>
      <w:szCs w:val="22"/>
    </w:rPr>
  </w:style>
  <w:style w:type="paragraph" w:styleId="27">
    <w:name w:val="toc 9"/>
    <w:basedOn w:val="1"/>
    <w:next w:val="1"/>
    <w:unhideWhenUsed/>
    <w:qFormat/>
    <w:uiPriority w:val="39"/>
    <w:pPr>
      <w:adjustRightInd/>
      <w:spacing w:line="240" w:lineRule="auto"/>
      <w:ind w:left="3360" w:leftChars="1600" w:firstLine="0" w:firstLineChars="0"/>
      <w:textAlignment w:val="auto"/>
    </w:pPr>
    <w:rPr>
      <w:rFonts w:asciiTheme="minorHAnsi" w:hAnsiTheme="minorHAnsi" w:eastAsiaTheme="minorEastAsia" w:cstheme="minorBidi"/>
      <w:kern w:val="2"/>
      <w:sz w:val="21"/>
      <w:szCs w:val="22"/>
    </w:rPr>
  </w:style>
  <w:style w:type="paragraph" w:styleId="28">
    <w:name w:val="Normal (Web)"/>
    <w:basedOn w:val="1"/>
    <w:semiHidden/>
    <w:unhideWhenUsed/>
    <w:qFormat/>
    <w:uiPriority w:val="99"/>
    <w:pPr>
      <w:widowControl/>
      <w:adjustRightInd/>
      <w:spacing w:before="100" w:beforeAutospacing="1" w:after="100" w:afterAutospacing="1" w:line="240" w:lineRule="auto"/>
      <w:ind w:firstLine="0" w:firstLineChars="0"/>
      <w:jc w:val="left"/>
      <w:textAlignment w:val="auto"/>
    </w:pPr>
    <w:rPr>
      <w:rFonts w:ascii="宋体" w:hAnsi="宋体" w:cs="宋体"/>
      <w:szCs w:val="24"/>
    </w:rPr>
  </w:style>
  <w:style w:type="paragraph" w:styleId="29">
    <w:name w:val="Title"/>
    <w:basedOn w:val="1"/>
    <w:next w:val="1"/>
    <w:link w:val="51"/>
    <w:qFormat/>
    <w:uiPriority w:val="0"/>
    <w:pPr>
      <w:spacing w:before="240" w:after="60"/>
      <w:jc w:val="center"/>
      <w:outlineLvl w:val="0"/>
    </w:pPr>
    <w:rPr>
      <w:rFonts w:asciiTheme="majorHAnsi" w:hAnsiTheme="majorHAnsi" w:cstheme="majorBidi"/>
      <w:b/>
      <w:bCs/>
      <w:sz w:val="32"/>
      <w:szCs w:val="32"/>
    </w:rPr>
  </w:style>
  <w:style w:type="paragraph" w:styleId="30">
    <w:name w:val="annotation subject"/>
    <w:basedOn w:val="13"/>
    <w:next w:val="13"/>
    <w:link w:val="52"/>
    <w:semiHidden/>
    <w:unhideWhenUsed/>
    <w:qFormat/>
    <w:uiPriority w:val="0"/>
    <w:rPr>
      <w:b/>
      <w:bCs/>
    </w:rPr>
  </w:style>
  <w:style w:type="table" w:styleId="32">
    <w:name w:val="Table Grid"/>
    <w:basedOn w:val="31"/>
    <w:qFormat/>
    <w:uiPriority w:val="39"/>
    <w:pPr>
      <w:widowControl w:val="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styleId="34">
    <w:name w:val="page number"/>
    <w:basedOn w:val="33"/>
    <w:qFormat/>
    <w:uiPriority w:val="99"/>
  </w:style>
  <w:style w:type="character" w:styleId="35">
    <w:name w:val="Hyperlink"/>
    <w:qFormat/>
    <w:uiPriority w:val="99"/>
    <w:rPr>
      <w:color w:val="0000FF"/>
      <w:u w:val="single"/>
    </w:rPr>
  </w:style>
  <w:style w:type="character" w:styleId="36">
    <w:name w:val="annotation reference"/>
    <w:basedOn w:val="33"/>
    <w:semiHidden/>
    <w:unhideWhenUsed/>
    <w:qFormat/>
    <w:uiPriority w:val="0"/>
    <w:rPr>
      <w:sz w:val="21"/>
      <w:szCs w:val="21"/>
    </w:rPr>
  </w:style>
  <w:style w:type="character" w:customStyle="1" w:styleId="37">
    <w:name w:val="标题 1 字符"/>
    <w:basedOn w:val="33"/>
    <w:link w:val="2"/>
    <w:qFormat/>
    <w:uiPriority w:val="0"/>
    <w:rPr>
      <w:rFonts w:ascii="Times New Roman" w:hAnsi="Times New Roman" w:eastAsia="黑体"/>
      <w:bCs/>
      <w:kern w:val="44"/>
      <w:sz w:val="28"/>
      <w:szCs w:val="28"/>
    </w:rPr>
  </w:style>
  <w:style w:type="character" w:customStyle="1" w:styleId="38">
    <w:name w:val="标题 2 字符"/>
    <w:basedOn w:val="33"/>
    <w:link w:val="3"/>
    <w:qFormat/>
    <w:uiPriority w:val="0"/>
    <w:rPr>
      <w:rFonts w:ascii="Times New Roman" w:hAnsi="Times New Roman" w:eastAsia="黑体" w:cs="Times New Roman"/>
      <w:color w:val="000000"/>
      <w:sz w:val="24"/>
      <w:szCs w:val="24"/>
    </w:rPr>
  </w:style>
  <w:style w:type="character" w:customStyle="1" w:styleId="39">
    <w:name w:val="标题 5 字符"/>
    <w:basedOn w:val="33"/>
    <w:link w:val="6"/>
    <w:qFormat/>
    <w:uiPriority w:val="9"/>
    <w:rPr>
      <w:rFonts w:cs="Times New Roman"/>
      <w:b/>
      <w:bCs/>
      <w:sz w:val="28"/>
      <w:szCs w:val="28"/>
      <w:lang w:val="zh-CN"/>
    </w:rPr>
  </w:style>
  <w:style w:type="character" w:customStyle="1" w:styleId="40">
    <w:name w:val="标题 6 字符"/>
    <w:basedOn w:val="33"/>
    <w:link w:val="7"/>
    <w:qFormat/>
    <w:uiPriority w:val="9"/>
    <w:rPr>
      <w:rFonts w:ascii="Cambria" w:hAnsi="Cambria" w:cs="Times New Roman"/>
      <w:b/>
      <w:bCs/>
      <w:sz w:val="24"/>
      <w:szCs w:val="24"/>
      <w:lang w:val="zh-CN"/>
    </w:rPr>
  </w:style>
  <w:style w:type="character" w:customStyle="1" w:styleId="41">
    <w:name w:val="标题 7 字符"/>
    <w:basedOn w:val="33"/>
    <w:link w:val="8"/>
    <w:semiHidden/>
    <w:qFormat/>
    <w:uiPriority w:val="9"/>
    <w:rPr>
      <w:rFonts w:cs="Times New Roman"/>
      <w:b/>
      <w:bCs/>
      <w:sz w:val="24"/>
      <w:szCs w:val="24"/>
      <w:lang w:val="zh-CN"/>
    </w:rPr>
  </w:style>
  <w:style w:type="character" w:customStyle="1" w:styleId="42">
    <w:name w:val="标题 8 字符"/>
    <w:basedOn w:val="33"/>
    <w:link w:val="9"/>
    <w:semiHidden/>
    <w:qFormat/>
    <w:uiPriority w:val="9"/>
    <w:rPr>
      <w:rFonts w:ascii="Cambria" w:hAnsi="Cambria" w:cs="Times New Roman"/>
      <w:sz w:val="24"/>
      <w:szCs w:val="24"/>
      <w:lang w:val="zh-CN"/>
    </w:rPr>
  </w:style>
  <w:style w:type="character" w:customStyle="1" w:styleId="43">
    <w:name w:val="标题 9 字符"/>
    <w:basedOn w:val="33"/>
    <w:link w:val="10"/>
    <w:semiHidden/>
    <w:qFormat/>
    <w:uiPriority w:val="9"/>
    <w:rPr>
      <w:rFonts w:ascii="Cambria" w:hAnsi="Cambria" w:cs="Times New Roman"/>
      <w:szCs w:val="21"/>
      <w:lang w:val="zh-CN"/>
    </w:rPr>
  </w:style>
  <w:style w:type="character" w:customStyle="1" w:styleId="44">
    <w:name w:val="题注 字符"/>
    <w:link w:val="12"/>
    <w:qFormat/>
    <w:locked/>
    <w:uiPriority w:val="35"/>
    <w:rPr>
      <w:rFonts w:ascii="Arial" w:hAnsi="Arial" w:eastAsia="黑体" w:cs="Times New Roman"/>
    </w:rPr>
  </w:style>
  <w:style w:type="character" w:customStyle="1" w:styleId="45">
    <w:name w:val="批注文字 字符"/>
    <w:basedOn w:val="33"/>
    <w:link w:val="13"/>
    <w:semiHidden/>
    <w:qFormat/>
    <w:uiPriority w:val="0"/>
    <w:rPr>
      <w:sz w:val="24"/>
    </w:rPr>
  </w:style>
  <w:style w:type="character" w:customStyle="1" w:styleId="46">
    <w:name w:val="正文文本 字符1"/>
    <w:link w:val="14"/>
    <w:qFormat/>
    <w:uiPriority w:val="0"/>
    <w:rPr>
      <w:rFonts w:ascii="宋体" w:cs="宋体"/>
      <w:sz w:val="24"/>
      <w:szCs w:val="24"/>
    </w:rPr>
  </w:style>
  <w:style w:type="character" w:customStyle="1" w:styleId="47">
    <w:name w:val="日期 字符"/>
    <w:basedOn w:val="33"/>
    <w:link w:val="19"/>
    <w:qFormat/>
    <w:uiPriority w:val="0"/>
    <w:rPr>
      <w:sz w:val="24"/>
    </w:rPr>
  </w:style>
  <w:style w:type="character" w:customStyle="1" w:styleId="48">
    <w:name w:val="批注框文本 字符"/>
    <w:basedOn w:val="33"/>
    <w:link w:val="20"/>
    <w:semiHidden/>
    <w:qFormat/>
    <w:uiPriority w:val="0"/>
    <w:rPr>
      <w:sz w:val="18"/>
      <w:szCs w:val="18"/>
    </w:rPr>
  </w:style>
  <w:style w:type="character" w:customStyle="1" w:styleId="49">
    <w:name w:val="页脚 字符"/>
    <w:basedOn w:val="33"/>
    <w:link w:val="21"/>
    <w:qFormat/>
    <w:uiPriority w:val="99"/>
    <w:rPr>
      <w:rFonts w:ascii="Times New Roman" w:hAnsi="Times New Roman"/>
      <w:sz w:val="21"/>
    </w:rPr>
  </w:style>
  <w:style w:type="character" w:customStyle="1" w:styleId="50">
    <w:name w:val="页眉 字符"/>
    <w:basedOn w:val="33"/>
    <w:link w:val="22"/>
    <w:qFormat/>
    <w:uiPriority w:val="99"/>
    <w:rPr>
      <w:sz w:val="21"/>
    </w:rPr>
  </w:style>
  <w:style w:type="character" w:customStyle="1" w:styleId="51">
    <w:name w:val="标题 字符"/>
    <w:basedOn w:val="33"/>
    <w:link w:val="29"/>
    <w:qFormat/>
    <w:uiPriority w:val="0"/>
    <w:rPr>
      <w:rFonts w:asciiTheme="majorHAnsi" w:hAnsiTheme="majorHAnsi" w:cstheme="majorBidi"/>
      <w:b/>
      <w:bCs/>
      <w:sz w:val="32"/>
      <w:szCs w:val="32"/>
    </w:rPr>
  </w:style>
  <w:style w:type="character" w:customStyle="1" w:styleId="52">
    <w:name w:val="批注主题 字符"/>
    <w:basedOn w:val="45"/>
    <w:link w:val="30"/>
    <w:semiHidden/>
    <w:qFormat/>
    <w:uiPriority w:val="0"/>
    <w:rPr>
      <w:b/>
      <w:bCs/>
      <w:sz w:val="24"/>
    </w:rPr>
  </w:style>
  <w:style w:type="paragraph" w:customStyle="1" w:styleId="53">
    <w:name w:val="封面落款"/>
    <w:basedOn w:val="1"/>
    <w:qFormat/>
    <w:uiPriority w:val="0"/>
    <w:pPr>
      <w:ind w:firstLine="0" w:firstLineChars="0"/>
      <w:jc w:val="center"/>
    </w:pPr>
    <w:rPr>
      <w:spacing w:val="10"/>
      <w:sz w:val="30"/>
    </w:rPr>
  </w:style>
  <w:style w:type="paragraph" w:customStyle="1" w:styleId="54">
    <w:name w:val="表格正文"/>
    <w:link w:val="55"/>
    <w:qFormat/>
    <w:uiPriority w:val="0"/>
    <w:pPr>
      <w:snapToGrid w:val="0"/>
      <w:spacing w:before="60" w:after="60"/>
      <w:ind w:left="11"/>
      <w:jc w:val="center"/>
    </w:pPr>
    <w:rPr>
      <w:rFonts w:ascii="Times New Roman" w:hAnsi="Times New Roman" w:eastAsia="宋体" w:cs="Times New Roman"/>
      <w:sz w:val="21"/>
      <w:lang w:val="en-US" w:eastAsia="zh-CN" w:bidi="ar-SA"/>
    </w:rPr>
  </w:style>
  <w:style w:type="character" w:customStyle="1" w:styleId="55">
    <w:name w:val="表格正文 Char"/>
    <w:link w:val="54"/>
    <w:qFormat/>
    <w:uiPriority w:val="0"/>
    <w:rPr>
      <w:rFonts w:ascii="Times New Roman" w:hAnsi="Times New Roman" w:cs="Times New Roman"/>
      <w:sz w:val="21"/>
    </w:rPr>
  </w:style>
  <w:style w:type="paragraph" w:customStyle="1" w:styleId="56">
    <w:name w:val="封面标题"/>
    <w:qFormat/>
    <w:uiPriority w:val="0"/>
    <w:pPr>
      <w:spacing w:line="360" w:lineRule="auto"/>
      <w:jc w:val="center"/>
    </w:pPr>
    <w:rPr>
      <w:rFonts w:ascii="Times New Roman" w:hAnsi="Times New Roman" w:eastAsia="宋体" w:cs="Times New Roman"/>
      <w:b/>
      <w:color w:val="000000"/>
      <w:sz w:val="44"/>
      <w:lang w:val="en-US" w:eastAsia="zh-CN" w:bidi="ar-SA"/>
    </w:rPr>
  </w:style>
  <w:style w:type="paragraph" w:customStyle="1" w:styleId="57">
    <w:name w:val="样式 !图片题注 + 首行缩进:  2 字符"/>
    <w:basedOn w:val="58"/>
    <w:semiHidden/>
    <w:qFormat/>
    <w:uiPriority w:val="0"/>
    <w:pPr>
      <w:ind w:firstLine="480"/>
    </w:pPr>
    <w:rPr>
      <w:szCs w:val="20"/>
    </w:rPr>
  </w:style>
  <w:style w:type="paragraph" w:customStyle="1" w:styleId="58">
    <w:name w:val="!图片标题"/>
    <w:next w:val="1"/>
    <w:qFormat/>
    <w:uiPriority w:val="0"/>
    <w:pPr>
      <w:spacing w:after="240"/>
      <w:ind w:firstLine="200"/>
      <w:jc w:val="center"/>
    </w:pPr>
    <w:rPr>
      <w:rFonts w:ascii="Times New Roman" w:hAnsi="Times New Roman" w:eastAsia="黑体" w:cs="宋体"/>
      <w:sz w:val="24"/>
      <w:szCs w:val="24"/>
      <w:lang w:val="en-US" w:eastAsia="zh-CN" w:bidi="ar-SA"/>
    </w:rPr>
  </w:style>
  <w:style w:type="paragraph" w:customStyle="1" w:styleId="59">
    <w:name w:val="目录0"/>
    <w:basedOn w:val="23"/>
    <w:qFormat/>
    <w:uiPriority w:val="0"/>
    <w:pPr>
      <w:jc w:val="center"/>
    </w:pPr>
    <w:rPr>
      <w:b/>
      <w:sz w:val="32"/>
    </w:rPr>
  </w:style>
  <w:style w:type="paragraph" w:customStyle="1" w:styleId="60">
    <w:name w:val="表格标题"/>
    <w:next w:val="54"/>
    <w:qFormat/>
    <w:uiPriority w:val="0"/>
    <w:pPr>
      <w:snapToGrid w:val="0"/>
      <w:jc w:val="center"/>
    </w:pPr>
    <w:rPr>
      <w:rFonts w:ascii="Times New Roman" w:hAnsi="Times New Roman" w:eastAsia="黑体" w:cs="Times New Roman"/>
      <w:kern w:val="2"/>
      <w:sz w:val="24"/>
      <w:lang w:val="en-US" w:eastAsia="zh-CN" w:bidi="ar-SA"/>
    </w:rPr>
  </w:style>
  <w:style w:type="paragraph" w:customStyle="1" w:styleId="61">
    <w:name w:val="插图或表格说明"/>
    <w:next w:val="1"/>
    <w:qFormat/>
    <w:uiPriority w:val="0"/>
    <w:pPr>
      <w:spacing w:after="240"/>
    </w:pPr>
    <w:rPr>
      <w:rFonts w:ascii="Times New Roman" w:hAnsi="Times New Roman" w:eastAsia="宋体" w:cs="Times New Roman"/>
      <w:sz w:val="21"/>
      <w:szCs w:val="21"/>
      <w:lang w:val="en-US" w:eastAsia="zh-CN" w:bidi="ar-SA"/>
    </w:rPr>
  </w:style>
  <w:style w:type="paragraph" w:styleId="62">
    <w:name w:val="List Paragraph"/>
    <w:basedOn w:val="1"/>
    <w:link w:val="63"/>
    <w:qFormat/>
    <w:uiPriority w:val="34"/>
    <w:pPr>
      <w:ind w:firstLine="420"/>
    </w:pPr>
  </w:style>
  <w:style w:type="character" w:customStyle="1" w:styleId="63">
    <w:name w:val="列表段落 字符1"/>
    <w:link w:val="62"/>
    <w:qFormat/>
    <w:uiPriority w:val="34"/>
    <w:rPr>
      <w:sz w:val="24"/>
    </w:rPr>
  </w:style>
  <w:style w:type="paragraph" w:customStyle="1" w:styleId="64">
    <w:name w:val="表格(五号)"/>
    <w:basedOn w:val="1"/>
    <w:link w:val="65"/>
    <w:qFormat/>
    <w:uiPriority w:val="0"/>
    <w:pPr>
      <w:snapToGrid w:val="0"/>
      <w:spacing w:before="60" w:after="60" w:line="240" w:lineRule="auto"/>
      <w:ind w:left="11" w:firstLine="0" w:firstLineChars="0"/>
      <w:jc w:val="center"/>
      <w:textAlignment w:val="auto"/>
    </w:pPr>
    <w:rPr>
      <w:sz w:val="21"/>
    </w:rPr>
  </w:style>
  <w:style w:type="character" w:customStyle="1" w:styleId="65">
    <w:name w:val="表格(五号) Char1"/>
    <w:link w:val="64"/>
    <w:qFormat/>
    <w:uiPriority w:val="0"/>
    <w:rPr>
      <w:sz w:val="21"/>
    </w:rPr>
  </w:style>
  <w:style w:type="paragraph" w:customStyle="1" w:styleId="66">
    <w:name w:val="表格标题(居中)"/>
    <w:basedOn w:val="1"/>
    <w:link w:val="67"/>
    <w:qFormat/>
    <w:uiPriority w:val="0"/>
    <w:pPr>
      <w:adjustRightInd/>
      <w:snapToGrid w:val="0"/>
      <w:ind w:firstLine="0" w:firstLineChars="0"/>
      <w:jc w:val="center"/>
      <w:textAlignment w:val="auto"/>
    </w:pPr>
    <w:rPr>
      <w:rFonts w:eastAsia="黑体"/>
      <w:kern w:val="2"/>
    </w:rPr>
  </w:style>
  <w:style w:type="character" w:customStyle="1" w:styleId="67">
    <w:name w:val="表格标题(居中) Char"/>
    <w:link w:val="66"/>
    <w:qFormat/>
    <w:uiPriority w:val="0"/>
    <w:rPr>
      <w:rFonts w:eastAsia="黑体"/>
      <w:kern w:val="2"/>
      <w:sz w:val="24"/>
    </w:rPr>
  </w:style>
  <w:style w:type="character" w:customStyle="1" w:styleId="68">
    <w:name w:val="li正文 Char"/>
    <w:link w:val="69"/>
    <w:qFormat/>
    <w:uiPriority w:val="0"/>
    <w:rPr>
      <w:kern w:val="2"/>
      <w:sz w:val="24"/>
      <w:szCs w:val="21"/>
    </w:rPr>
  </w:style>
  <w:style w:type="paragraph" w:customStyle="1" w:styleId="69">
    <w:name w:val="li正文"/>
    <w:basedOn w:val="1"/>
    <w:link w:val="68"/>
    <w:qFormat/>
    <w:uiPriority w:val="0"/>
    <w:pPr>
      <w:adjustRightInd/>
      <w:spacing w:line="360" w:lineRule="auto"/>
      <w:ind w:firstLine="200"/>
      <w:textAlignment w:val="auto"/>
    </w:pPr>
    <w:rPr>
      <w:kern w:val="2"/>
      <w:szCs w:val="21"/>
    </w:rPr>
  </w:style>
  <w:style w:type="paragraph" w:customStyle="1" w:styleId="70">
    <w:name w:val="正文(首行缩进）"/>
    <w:basedOn w:val="1"/>
    <w:qFormat/>
    <w:uiPriority w:val="0"/>
    <w:pPr>
      <w:snapToGrid w:val="0"/>
      <w:spacing w:line="288" w:lineRule="auto"/>
      <w:ind w:firstLine="200" w:firstLineChars="0"/>
      <w:jc w:val="left"/>
    </w:pPr>
    <w:rPr>
      <w:rFonts w:ascii="宋体" w:hAnsi="宋体"/>
      <w:szCs w:val="24"/>
    </w:rPr>
  </w:style>
  <w:style w:type="character" w:customStyle="1" w:styleId="71">
    <w:name w:val="正文文本 字符"/>
    <w:basedOn w:val="33"/>
    <w:semiHidden/>
    <w:qFormat/>
    <w:uiPriority w:val="0"/>
    <w:rPr>
      <w:sz w:val="24"/>
    </w:rPr>
  </w:style>
  <w:style w:type="paragraph" w:customStyle="1" w:styleId="72">
    <w:name w:val="正文（缩进）"/>
    <w:basedOn w:val="1"/>
    <w:link w:val="73"/>
    <w:qFormat/>
    <w:uiPriority w:val="0"/>
    <w:pPr>
      <w:adjustRightInd/>
      <w:spacing w:beforeLines="50" w:afterLines="50" w:line="360" w:lineRule="auto"/>
      <w:jc w:val="left"/>
      <w:textAlignment w:val="auto"/>
    </w:pPr>
    <w:rPr>
      <w:rFonts w:cs="黑体"/>
      <w:kern w:val="2"/>
      <w:szCs w:val="24"/>
    </w:rPr>
  </w:style>
  <w:style w:type="character" w:customStyle="1" w:styleId="73">
    <w:name w:val="正文（缩进） Char"/>
    <w:link w:val="72"/>
    <w:qFormat/>
    <w:uiPriority w:val="0"/>
    <w:rPr>
      <w:rFonts w:cs="黑体"/>
      <w:kern w:val="2"/>
      <w:sz w:val="24"/>
      <w:szCs w:val="24"/>
    </w:rPr>
  </w:style>
  <w:style w:type="character" w:customStyle="1" w:styleId="74">
    <w:name w:val="列表段落 字符"/>
    <w:link w:val="75"/>
    <w:qFormat/>
    <w:uiPriority w:val="34"/>
    <w:rPr>
      <w:rFonts w:ascii="宋体" w:hAnsi="Times New Roman" w:cs="宋体"/>
      <w:sz w:val="24"/>
      <w:szCs w:val="24"/>
    </w:rPr>
  </w:style>
  <w:style w:type="paragraph" w:customStyle="1" w:styleId="75">
    <w:name w:val="_Style 72"/>
    <w:basedOn w:val="1"/>
    <w:next w:val="62"/>
    <w:link w:val="74"/>
    <w:qFormat/>
    <w:uiPriority w:val="34"/>
    <w:pPr>
      <w:adjustRightInd/>
      <w:spacing w:line="360" w:lineRule="auto"/>
      <w:ind w:firstLine="420"/>
      <w:textAlignment w:val="auto"/>
    </w:pPr>
    <w:rPr>
      <w:rFonts w:ascii="宋体" w:cs="宋体"/>
      <w:szCs w:val="24"/>
    </w:rPr>
  </w:style>
  <w:style w:type="paragraph" w:customStyle="1" w:styleId="76">
    <w:name w:val="Table Paragraph"/>
    <w:basedOn w:val="1"/>
    <w:qFormat/>
    <w:uiPriority w:val="1"/>
    <w:pPr>
      <w:autoSpaceDE w:val="0"/>
      <w:autoSpaceDN w:val="0"/>
      <w:spacing w:before="82" w:line="240" w:lineRule="auto"/>
      <w:ind w:firstLine="0" w:firstLineChars="0"/>
      <w:jc w:val="center"/>
      <w:textAlignment w:val="auto"/>
    </w:pPr>
    <w:rPr>
      <w:rFonts w:ascii="宋体" w:cs="宋体"/>
      <w:szCs w:val="24"/>
    </w:rPr>
  </w:style>
  <w:style w:type="character" w:customStyle="1" w:styleId="77">
    <w:name w:val="x.x Char"/>
    <w:link w:val="78"/>
    <w:qFormat/>
    <w:uiPriority w:val="0"/>
    <w:rPr>
      <w:rFonts w:eastAsia="黑体"/>
      <w:sz w:val="28"/>
      <w:szCs w:val="28"/>
    </w:rPr>
  </w:style>
  <w:style w:type="paragraph" w:customStyle="1" w:styleId="78">
    <w:name w:val="x.x"/>
    <w:basedOn w:val="4"/>
    <w:link w:val="77"/>
    <w:qFormat/>
    <w:uiPriority w:val="0"/>
    <w:pPr>
      <w:widowControl w:val="0"/>
      <w:numPr>
        <w:ilvl w:val="0"/>
        <w:numId w:val="0"/>
      </w:numPr>
      <w:snapToGrid/>
      <w:spacing w:line="360" w:lineRule="auto"/>
      <w:jc w:val="both"/>
    </w:pPr>
    <w:rPr>
      <w:bCs w:val="0"/>
      <w:sz w:val="28"/>
      <w:szCs w:val="28"/>
    </w:rPr>
  </w:style>
  <w:style w:type="character" w:customStyle="1" w:styleId="79">
    <w:name w:val="标3 Char"/>
    <w:link w:val="80"/>
    <w:qFormat/>
    <w:uiPriority w:val="0"/>
    <w:rPr>
      <w:rFonts w:eastAsia="黑体"/>
      <w:bCs/>
      <w:kern w:val="2"/>
      <w:sz w:val="24"/>
      <w:szCs w:val="32"/>
    </w:rPr>
  </w:style>
  <w:style w:type="paragraph" w:customStyle="1" w:styleId="80">
    <w:name w:val="标3"/>
    <w:basedOn w:val="4"/>
    <w:link w:val="79"/>
    <w:qFormat/>
    <w:uiPriority w:val="0"/>
    <w:pPr>
      <w:widowControl w:val="0"/>
      <w:numPr>
        <w:ilvl w:val="0"/>
        <w:numId w:val="0"/>
      </w:numPr>
      <w:snapToGrid/>
      <w:spacing w:line="360" w:lineRule="auto"/>
      <w:ind w:left="567"/>
      <w:jc w:val="both"/>
      <w:outlineLvl w:val="3"/>
    </w:pPr>
    <w:rPr>
      <w:kern w:val="2"/>
      <w:szCs w:val="32"/>
    </w:rPr>
  </w:style>
  <w:style w:type="character" w:customStyle="1" w:styleId="81">
    <w:name w:val="标4 Char"/>
    <w:link w:val="82"/>
    <w:qFormat/>
    <w:uiPriority w:val="0"/>
    <w:rPr>
      <w:rFonts w:ascii="Times New Roman" w:hAnsi="Times New Roman" w:eastAsia="黑体" w:cs="Times New Roman"/>
      <w:bCs/>
      <w:kern w:val="2"/>
      <w:sz w:val="24"/>
      <w:szCs w:val="28"/>
    </w:rPr>
  </w:style>
  <w:style w:type="paragraph" w:customStyle="1" w:styleId="82">
    <w:name w:val="标4"/>
    <w:basedOn w:val="5"/>
    <w:link w:val="81"/>
    <w:qFormat/>
    <w:uiPriority w:val="0"/>
    <w:pPr>
      <w:numPr>
        <w:ilvl w:val="4"/>
      </w:numPr>
      <w:adjustRightInd/>
      <w:snapToGrid/>
      <w:spacing w:line="360" w:lineRule="auto"/>
      <w:textAlignment w:val="auto"/>
      <w:outlineLvl w:val="4"/>
    </w:pPr>
    <w:rPr>
      <w:rFonts w:eastAsia="黑体"/>
      <w:kern w:val="2"/>
      <w:szCs w:val="28"/>
    </w:rPr>
  </w:style>
  <w:style w:type="character" w:customStyle="1" w:styleId="83">
    <w:name w:val="标2 Char"/>
    <w:basedOn w:val="33"/>
    <w:link w:val="84"/>
    <w:qFormat/>
    <w:uiPriority w:val="0"/>
    <w:rPr>
      <w:rFonts w:eastAsia="黑体"/>
      <w:bCs/>
      <w:kern w:val="2"/>
      <w:sz w:val="28"/>
      <w:szCs w:val="32"/>
    </w:rPr>
  </w:style>
  <w:style w:type="paragraph" w:customStyle="1" w:styleId="84">
    <w:name w:val="标2"/>
    <w:basedOn w:val="3"/>
    <w:link w:val="83"/>
    <w:qFormat/>
    <w:uiPriority w:val="0"/>
    <w:pPr>
      <w:keepNext/>
      <w:keepLines/>
      <w:widowControl w:val="0"/>
      <w:numPr>
        <w:ilvl w:val="0"/>
        <w:numId w:val="0"/>
      </w:numPr>
      <w:spacing w:before="0" w:after="0" w:line="360" w:lineRule="auto"/>
      <w:ind w:firstLine="200"/>
      <w:jc w:val="both"/>
      <w:outlineLvl w:val="2"/>
    </w:pPr>
    <w:rPr>
      <w:bCs/>
      <w:color w:val="auto"/>
      <w:kern w:val="2"/>
      <w:sz w:val="28"/>
      <w:szCs w:val="32"/>
    </w:rPr>
  </w:style>
  <w:style w:type="character" w:customStyle="1" w:styleId="85">
    <w:name w:val="标1、 Char"/>
    <w:basedOn w:val="33"/>
    <w:link w:val="86"/>
    <w:qFormat/>
    <w:uiPriority w:val="0"/>
    <w:rPr>
      <w:rFonts w:eastAsia="黑体"/>
      <w:bCs/>
      <w:sz w:val="28"/>
      <w:szCs w:val="44"/>
    </w:rPr>
  </w:style>
  <w:style w:type="paragraph" w:customStyle="1" w:styleId="86">
    <w:name w:val="标1、"/>
    <w:basedOn w:val="2"/>
    <w:link w:val="85"/>
    <w:qFormat/>
    <w:uiPriority w:val="0"/>
    <w:pPr>
      <w:pageBreakBefore w:val="0"/>
      <w:widowControl w:val="0"/>
      <w:numPr>
        <w:numId w:val="0"/>
      </w:numPr>
      <w:adjustRightInd w:val="0"/>
      <w:spacing w:before="0" w:after="0" w:line="360" w:lineRule="auto"/>
      <w:jc w:val="both"/>
      <w:outlineLvl w:val="1"/>
    </w:pPr>
    <w:rPr>
      <w:rFonts w:cs="Times New Roman"/>
      <w:kern w:val="0"/>
      <w:szCs w:val="44"/>
    </w:rPr>
  </w:style>
  <w:style w:type="character" w:customStyle="1" w:styleId="87">
    <w:name w:val="第X章 Char"/>
    <w:basedOn w:val="33"/>
    <w:link w:val="88"/>
    <w:qFormat/>
    <w:uiPriority w:val="0"/>
    <w:rPr>
      <w:rFonts w:eastAsia="黑体"/>
      <w:bCs/>
      <w:kern w:val="44"/>
      <w:sz w:val="28"/>
      <w:szCs w:val="44"/>
    </w:rPr>
  </w:style>
  <w:style w:type="paragraph" w:customStyle="1" w:styleId="88">
    <w:name w:val="第X章"/>
    <w:basedOn w:val="1"/>
    <w:link w:val="87"/>
    <w:qFormat/>
    <w:uiPriority w:val="0"/>
    <w:pPr>
      <w:keepNext/>
      <w:keepLines/>
      <w:pageBreakBefore/>
      <w:spacing w:line="360" w:lineRule="auto"/>
      <w:ind w:firstLine="0" w:firstLineChars="0"/>
      <w:textAlignment w:val="auto"/>
      <w:outlineLvl w:val="0"/>
    </w:pPr>
    <w:rPr>
      <w:rFonts w:eastAsia="黑体"/>
      <w:bCs/>
      <w:kern w:val="44"/>
      <w:sz w:val="28"/>
      <w:szCs w:val="44"/>
    </w:rPr>
  </w:style>
  <w:style w:type="paragraph" w:customStyle="1" w:styleId="89">
    <w:name w:val="格式正文"/>
    <w:basedOn w:val="1"/>
    <w:link w:val="90"/>
    <w:qFormat/>
    <w:uiPriority w:val="0"/>
    <w:pPr>
      <w:adjustRightInd/>
      <w:spacing w:before="60" w:after="60" w:line="360" w:lineRule="auto"/>
      <w:ind w:firstLine="482" w:firstLineChars="0"/>
      <w:textAlignment w:val="auto"/>
    </w:pPr>
  </w:style>
  <w:style w:type="character" w:customStyle="1" w:styleId="90">
    <w:name w:val="格式正文 Char"/>
    <w:basedOn w:val="33"/>
    <w:link w:val="89"/>
    <w:qFormat/>
    <w:uiPriority w:val="0"/>
    <w:rPr>
      <w:rFonts w:ascii="Times New Roman" w:hAnsi="Times New Roman" w:cs="Times New Roman"/>
      <w:sz w:val="24"/>
    </w:rPr>
  </w:style>
  <w:style w:type="paragraph" w:customStyle="1" w:styleId="91">
    <w:name w:val="标准正文"/>
    <w:basedOn w:val="1"/>
    <w:link w:val="92"/>
    <w:qFormat/>
    <w:uiPriority w:val="0"/>
    <w:pPr>
      <w:adjustRightInd/>
      <w:spacing w:beforeLines="50" w:afterLines="50" w:line="360" w:lineRule="auto"/>
      <w:ind w:left="525" w:firstLine="0" w:firstLineChars="0"/>
      <w:jc w:val="left"/>
      <w:textAlignment w:val="auto"/>
    </w:pPr>
    <w:rPr>
      <w:rFonts w:ascii="Garamond" w:hAnsi="Garamond" w:cs="宋体"/>
      <w:color w:val="000000"/>
      <w:sz w:val="21"/>
      <w:szCs w:val="21"/>
    </w:rPr>
  </w:style>
  <w:style w:type="character" w:customStyle="1" w:styleId="92">
    <w:name w:val="标准正文 Char"/>
    <w:link w:val="91"/>
    <w:qFormat/>
    <w:uiPriority w:val="0"/>
    <w:rPr>
      <w:rFonts w:ascii="Garamond" w:hAnsi="Garamond" w:cs="宋体"/>
      <w:color w:val="000000"/>
      <w:sz w:val="21"/>
      <w:szCs w:val="21"/>
    </w:rPr>
  </w:style>
  <w:style w:type="paragraph" w:customStyle="1" w:styleId="93">
    <w:name w:val="样式 首行缩进:  0 字符"/>
    <w:basedOn w:val="1"/>
    <w:link w:val="94"/>
    <w:qFormat/>
    <w:uiPriority w:val="0"/>
    <w:pPr>
      <w:adjustRightInd/>
      <w:spacing w:line="360" w:lineRule="auto"/>
      <w:ind w:firstLine="200"/>
      <w:textAlignment w:val="auto"/>
    </w:pPr>
    <w:rPr>
      <w:rFonts w:cs="宋体"/>
      <w:kern w:val="2"/>
      <w:szCs w:val="24"/>
    </w:rPr>
  </w:style>
  <w:style w:type="character" w:customStyle="1" w:styleId="94">
    <w:name w:val="样式 首行缩进:  0 字符 Char"/>
    <w:link w:val="93"/>
    <w:qFormat/>
    <w:uiPriority w:val="0"/>
    <w:rPr>
      <w:rFonts w:ascii="Times New Roman" w:hAnsi="Times New Roman" w:cs="宋体"/>
      <w:kern w:val="2"/>
      <w:sz w:val="24"/>
      <w:szCs w:val="24"/>
    </w:rPr>
  </w:style>
  <w:style w:type="paragraph" w:customStyle="1" w:styleId="95">
    <w:name w:val="表格表头"/>
    <w:basedOn w:val="1"/>
    <w:qFormat/>
    <w:uiPriority w:val="0"/>
    <w:pPr>
      <w:adjustRightInd/>
      <w:spacing w:line="360" w:lineRule="auto"/>
      <w:ind w:firstLine="0" w:firstLineChars="0"/>
      <w:jc w:val="center"/>
      <w:textAlignment w:val="auto"/>
      <w:outlineLvl w:val="0"/>
    </w:pPr>
    <w:rPr>
      <w:rFonts w:ascii="宋体" w:hAnsi="宋体" w:eastAsia="黑体" w:cs="宋体"/>
      <w:kern w:val="2"/>
      <w:szCs w:val="21"/>
    </w:rPr>
  </w:style>
  <w:style w:type="paragraph" w:customStyle="1" w:styleId="96">
    <w:name w:val="表1"/>
    <w:basedOn w:val="1"/>
    <w:qFormat/>
    <w:uiPriority w:val="0"/>
    <w:pPr>
      <w:numPr>
        <w:ilvl w:val="0"/>
        <w:numId w:val="2"/>
      </w:numPr>
      <w:adjustRightInd/>
      <w:spacing w:line="360" w:lineRule="auto"/>
      <w:ind w:left="0" w:firstLine="0" w:firstLineChars="0"/>
      <w:jc w:val="center"/>
      <w:textAlignment w:val="auto"/>
    </w:pPr>
    <w:rPr>
      <w:rFonts w:cs="宋体"/>
      <w:kern w:val="2"/>
      <w:sz w:val="21"/>
      <w:szCs w:val="24"/>
    </w:rPr>
  </w:style>
  <w:style w:type="paragraph" w:customStyle="1" w:styleId="97">
    <w:name w:val="*正文"/>
    <w:basedOn w:val="1"/>
    <w:link w:val="98"/>
    <w:qFormat/>
    <w:uiPriority w:val="0"/>
    <w:pPr>
      <w:adjustRightInd/>
      <w:spacing w:line="360" w:lineRule="auto"/>
      <w:ind w:firstLine="200"/>
      <w:textAlignment w:val="auto"/>
    </w:pPr>
    <w:rPr>
      <w:rFonts w:ascii="宋体" w:hAnsi="宋体"/>
      <w:kern w:val="2"/>
      <w:sz w:val="22"/>
      <w:szCs w:val="24"/>
    </w:rPr>
  </w:style>
  <w:style w:type="character" w:customStyle="1" w:styleId="98">
    <w:name w:val="*正文 Char"/>
    <w:link w:val="97"/>
    <w:qFormat/>
    <w:uiPriority w:val="0"/>
    <w:rPr>
      <w:rFonts w:ascii="宋体" w:hAnsi="宋体" w:cs="Times New Roman"/>
      <w:kern w:val="2"/>
      <w:sz w:val="22"/>
      <w:szCs w:val="24"/>
    </w:rPr>
  </w:style>
  <w:style w:type="character" w:customStyle="1" w:styleId="99">
    <w:name w:val="正文-2字符首行缩进 Char"/>
    <w:link w:val="100"/>
    <w:qFormat/>
    <w:uiPriority w:val="0"/>
    <w:rPr>
      <w:rFonts w:ascii="仿宋_GB2312" w:eastAsia="仿宋"/>
      <w:sz w:val="24"/>
    </w:rPr>
  </w:style>
  <w:style w:type="paragraph" w:customStyle="1" w:styleId="100">
    <w:name w:val="正文-2字符首行缩进"/>
    <w:basedOn w:val="1"/>
    <w:link w:val="99"/>
    <w:qFormat/>
    <w:uiPriority w:val="0"/>
    <w:pPr>
      <w:widowControl/>
      <w:adjustRightInd/>
      <w:spacing w:after="160" w:line="360" w:lineRule="auto"/>
      <w:ind w:firstLine="200"/>
      <w:jc w:val="left"/>
      <w:textAlignment w:val="auto"/>
    </w:pPr>
    <w:rPr>
      <w:rFonts w:ascii="仿宋_GB2312" w:hAnsi="Calibri" w:eastAsia="仿宋" w:cs="Arial"/>
    </w:rPr>
  </w:style>
  <w:style w:type="paragraph" w:styleId="101">
    <w:name w:val="No Spacing"/>
    <w:qFormat/>
    <w:uiPriority w:val="1"/>
    <w:pPr>
      <w:widowControl w:val="0"/>
      <w:spacing w:line="360" w:lineRule="auto"/>
      <w:jc w:val="both"/>
    </w:pPr>
    <w:rPr>
      <w:rFonts w:ascii="Arial" w:hAnsi="Arial" w:eastAsia="宋体" w:cs="宋体"/>
      <w:kern w:val="2"/>
      <w:sz w:val="24"/>
      <w:lang w:val="en-US" w:eastAsia="zh-CN" w:bidi="ar-SA"/>
    </w:rPr>
  </w:style>
  <w:style w:type="paragraph" w:customStyle="1" w:styleId="102">
    <w:name w:val="编号，小四"/>
    <w:basedOn w:val="1"/>
    <w:link w:val="103"/>
    <w:qFormat/>
    <w:uiPriority w:val="0"/>
    <w:pPr>
      <w:numPr>
        <w:ilvl w:val="0"/>
        <w:numId w:val="3"/>
      </w:numPr>
      <w:adjustRightInd/>
      <w:spacing w:line="360" w:lineRule="auto"/>
      <w:ind w:firstLineChars="0"/>
      <w:textAlignment w:val="auto"/>
    </w:pPr>
    <w:rPr>
      <w:rFonts w:cs="宋体"/>
      <w:kern w:val="2"/>
      <w:szCs w:val="24"/>
    </w:rPr>
  </w:style>
  <w:style w:type="character" w:customStyle="1" w:styleId="103">
    <w:name w:val="编号，小四 Char"/>
    <w:link w:val="102"/>
    <w:qFormat/>
    <w:uiPriority w:val="0"/>
    <w:rPr>
      <w:rFonts w:ascii="Times New Roman" w:hAnsi="Times New Roman" w:cs="宋体"/>
      <w:kern w:val="2"/>
      <w:sz w:val="24"/>
      <w:szCs w:val="24"/>
    </w:rPr>
  </w:style>
  <w:style w:type="paragraph" w:customStyle="1" w:styleId="104">
    <w:name w:val="0正文"/>
    <w:basedOn w:val="1"/>
    <w:link w:val="105"/>
    <w:qFormat/>
    <w:uiPriority w:val="0"/>
    <w:pPr>
      <w:widowControl/>
      <w:spacing w:after="160" w:line="360" w:lineRule="auto"/>
      <w:jc w:val="left"/>
    </w:pPr>
    <w:rPr>
      <w:rFonts w:ascii="Verdana" w:hAnsi="Verdana" w:eastAsia="华文中宋"/>
      <w:color w:val="0070C0"/>
      <w:kern w:val="2"/>
      <w:szCs w:val="24"/>
    </w:rPr>
  </w:style>
  <w:style w:type="character" w:customStyle="1" w:styleId="105">
    <w:name w:val="0正文 Char"/>
    <w:link w:val="104"/>
    <w:qFormat/>
    <w:uiPriority w:val="0"/>
    <w:rPr>
      <w:rFonts w:ascii="Verdana" w:hAnsi="Verdana" w:eastAsia="华文中宋" w:cs="Times New Roman"/>
      <w:color w:val="0070C0"/>
      <w:kern w:val="2"/>
      <w:sz w:val="24"/>
      <w:szCs w:val="24"/>
    </w:rPr>
  </w:style>
  <w:style w:type="character" w:customStyle="1" w:styleId="106">
    <w:name w:val="可研正文 Char"/>
    <w:basedOn w:val="33"/>
    <w:link w:val="107"/>
    <w:qFormat/>
    <w:uiPriority w:val="0"/>
    <w:rPr>
      <w:rFonts w:cs="Times New Roman" w:asciiTheme="minorEastAsia" w:hAnsiTheme="minorEastAsia"/>
      <w:sz w:val="24"/>
      <w:szCs w:val="24"/>
    </w:rPr>
  </w:style>
  <w:style w:type="paragraph" w:customStyle="1" w:styleId="107">
    <w:name w:val="可研正文"/>
    <w:basedOn w:val="1"/>
    <w:link w:val="106"/>
    <w:qFormat/>
    <w:uiPriority w:val="0"/>
    <w:pPr>
      <w:adjustRightInd/>
      <w:spacing w:before="156" w:after="156" w:line="360" w:lineRule="auto"/>
      <w:textAlignment w:val="auto"/>
    </w:pPr>
    <w:rPr>
      <w:rFonts w:asciiTheme="minorEastAsia" w:hAnsiTheme="minorEastAsia"/>
      <w:szCs w:val="24"/>
    </w:rPr>
  </w:style>
  <w:style w:type="character" w:customStyle="1" w:styleId="108">
    <w:name w:val="￥正文 Char Char"/>
    <w:link w:val="109"/>
    <w:qFormat/>
    <w:uiPriority w:val="0"/>
    <w:rPr>
      <w:szCs w:val="21"/>
      <w:lang w:eastAsia="en-US"/>
    </w:rPr>
  </w:style>
  <w:style w:type="paragraph" w:customStyle="1" w:styleId="109">
    <w:name w:val="￥正文"/>
    <w:basedOn w:val="1"/>
    <w:link w:val="108"/>
    <w:qFormat/>
    <w:uiPriority w:val="0"/>
    <w:pPr>
      <w:adjustRightInd/>
      <w:spacing w:line="360" w:lineRule="auto"/>
      <w:ind w:firstLine="200"/>
      <w:textAlignment w:val="auto"/>
    </w:pPr>
    <w:rPr>
      <w:rFonts w:ascii="Calibri" w:hAnsi="Calibri" w:cs="Arial"/>
      <w:sz w:val="20"/>
      <w:szCs w:val="21"/>
      <w:lang w:eastAsia="en-US"/>
    </w:rPr>
  </w:style>
  <w:style w:type="paragraph" w:customStyle="1" w:styleId="110">
    <w:name w:val="表格"/>
    <w:basedOn w:val="1"/>
    <w:next w:val="1"/>
    <w:qFormat/>
    <w:uiPriority w:val="0"/>
    <w:pPr>
      <w:adjustRightInd/>
      <w:spacing w:line="240" w:lineRule="auto"/>
      <w:ind w:firstLine="0" w:firstLineChars="0"/>
      <w:textAlignment w:val="auto"/>
    </w:pPr>
    <w:rPr>
      <w:rFonts w:eastAsia="Times New Roman" w:cs="Arial"/>
      <w:kern w:val="2"/>
      <w:sz w:val="21"/>
      <w:szCs w:val="21"/>
    </w:rPr>
  </w:style>
  <w:style w:type="paragraph" w:customStyle="1" w:styleId="111">
    <w:name w:val="江西-正文"/>
    <w:basedOn w:val="1"/>
    <w:link w:val="112"/>
    <w:qFormat/>
    <w:uiPriority w:val="0"/>
    <w:pPr>
      <w:adjustRightInd/>
      <w:spacing w:line="240" w:lineRule="auto"/>
      <w:ind w:firstLine="200"/>
      <w:textAlignment w:val="auto"/>
    </w:pPr>
    <w:rPr>
      <w:rFonts w:ascii="Calibri" w:hAnsi="Calibri" w:eastAsia="华文中宋"/>
      <w:kern w:val="2"/>
      <w:szCs w:val="21"/>
    </w:rPr>
  </w:style>
  <w:style w:type="character" w:customStyle="1" w:styleId="112">
    <w:name w:val="江西-正文 Char"/>
    <w:basedOn w:val="33"/>
    <w:link w:val="111"/>
    <w:qFormat/>
    <w:locked/>
    <w:uiPriority w:val="0"/>
    <w:rPr>
      <w:rFonts w:eastAsia="华文中宋" w:cs="Times New Roman"/>
      <w:kern w:val="2"/>
      <w:sz w:val="24"/>
      <w:szCs w:val="21"/>
    </w:rPr>
  </w:style>
  <w:style w:type="paragraph" w:customStyle="1" w:styleId="113">
    <w:name w:val="_Style 721"/>
    <w:basedOn w:val="1"/>
    <w:next w:val="62"/>
    <w:qFormat/>
    <w:uiPriority w:val="34"/>
    <w:pPr>
      <w:adjustRightInd/>
      <w:spacing w:line="360" w:lineRule="auto"/>
      <w:ind w:firstLine="420"/>
      <w:textAlignment w:val="auto"/>
    </w:pPr>
    <w:rPr>
      <w:rFonts w:ascii="宋体" w:cs="宋体"/>
      <w:szCs w:val="24"/>
    </w:rPr>
  </w:style>
  <w:style w:type="character" w:customStyle="1" w:styleId="114">
    <w:name w:val="!图 Char"/>
    <w:link w:val="115"/>
    <w:qFormat/>
    <w:locked/>
    <w:uiPriority w:val="0"/>
    <w:rPr>
      <w:kern w:val="2"/>
      <w:sz w:val="24"/>
      <w:szCs w:val="21"/>
    </w:rPr>
  </w:style>
  <w:style w:type="paragraph" w:customStyle="1" w:styleId="115">
    <w:name w:val="!图"/>
    <w:basedOn w:val="1"/>
    <w:link w:val="114"/>
    <w:qFormat/>
    <w:uiPriority w:val="0"/>
    <w:pPr>
      <w:snapToGrid w:val="0"/>
      <w:spacing w:line="360" w:lineRule="auto"/>
      <w:ind w:firstLine="0" w:firstLineChars="0"/>
      <w:jc w:val="center"/>
      <w:textAlignment w:val="auto"/>
    </w:pPr>
    <w:rPr>
      <w:rFonts w:ascii="Calibri" w:hAnsi="Calibri" w:cs="Arial"/>
      <w:kern w:val="2"/>
      <w:szCs w:val="21"/>
    </w:rPr>
  </w:style>
  <w:style w:type="paragraph" w:customStyle="1" w:styleId="116">
    <w:name w:val="msonormal"/>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cs="宋体"/>
      <w:szCs w:val="24"/>
    </w:rPr>
  </w:style>
  <w:style w:type="paragraph" w:customStyle="1" w:styleId="117">
    <w:name w:val="font5"/>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cs="宋体"/>
      <w:sz w:val="18"/>
      <w:szCs w:val="18"/>
    </w:rPr>
  </w:style>
  <w:style w:type="paragraph" w:customStyle="1" w:styleId="118">
    <w:name w:val="font6"/>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cs="宋体"/>
      <w:sz w:val="18"/>
      <w:szCs w:val="18"/>
    </w:rPr>
  </w:style>
  <w:style w:type="paragraph" w:customStyle="1" w:styleId="11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2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2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b/>
      <w:bCs/>
      <w:sz w:val="22"/>
      <w:szCs w:val="22"/>
    </w:rPr>
  </w:style>
  <w:style w:type="paragraph" w:customStyle="1" w:styleId="122">
    <w:name w:val="xl7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b/>
      <w:bCs/>
      <w:sz w:val="22"/>
      <w:szCs w:val="22"/>
    </w:rPr>
  </w:style>
  <w:style w:type="paragraph" w:customStyle="1" w:styleId="123">
    <w:name w:val="xl73"/>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cs="宋体"/>
      <w:sz w:val="22"/>
      <w:szCs w:val="22"/>
    </w:rPr>
  </w:style>
  <w:style w:type="paragraph" w:customStyle="1" w:styleId="124">
    <w:name w:val="xl7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b/>
      <w:bCs/>
      <w:color w:val="FF0000"/>
      <w:sz w:val="22"/>
      <w:szCs w:val="22"/>
    </w:rPr>
  </w:style>
  <w:style w:type="paragraph" w:customStyle="1" w:styleId="125">
    <w:name w:val="xl75"/>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27">
    <w:name w:val="xl77"/>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2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color w:val="FF0000"/>
      <w:sz w:val="22"/>
      <w:szCs w:val="22"/>
    </w:rPr>
  </w:style>
  <w:style w:type="paragraph" w:customStyle="1" w:styleId="12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color w:val="FF0000"/>
      <w:sz w:val="22"/>
      <w:szCs w:val="22"/>
    </w:rPr>
  </w:style>
  <w:style w:type="paragraph" w:customStyle="1" w:styleId="130">
    <w:name w:val="xl8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color w:val="000000"/>
      <w:sz w:val="22"/>
      <w:szCs w:val="22"/>
    </w:rPr>
  </w:style>
  <w:style w:type="paragraph" w:customStyle="1" w:styleId="131">
    <w:name w:val="xl81"/>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32">
    <w:name w:val="xl82"/>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33">
    <w:name w:val="xl83"/>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34">
    <w:name w:val="xl84"/>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35">
    <w:name w:val="xl8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color w:val="0D0D0D"/>
      <w:sz w:val="22"/>
      <w:szCs w:val="22"/>
    </w:rPr>
  </w:style>
  <w:style w:type="paragraph" w:customStyle="1" w:styleId="13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auto"/>
    </w:pPr>
    <w:rPr>
      <w:rFonts w:ascii="宋体" w:hAnsi="宋体" w:cs="宋体"/>
      <w:color w:val="0D0D0D"/>
      <w:sz w:val="22"/>
      <w:szCs w:val="22"/>
    </w:rPr>
  </w:style>
  <w:style w:type="paragraph" w:customStyle="1" w:styleId="137">
    <w:name w:val="xl87"/>
    <w:basedOn w:val="1"/>
    <w:qFormat/>
    <w:uiPriority w:val="0"/>
    <w:pPr>
      <w:widowControl/>
      <w:adjustRightInd/>
      <w:spacing w:before="100" w:beforeAutospacing="1" w:after="100" w:afterAutospacing="1" w:line="240" w:lineRule="auto"/>
      <w:ind w:firstLine="0" w:firstLineChars="0"/>
      <w:jc w:val="left"/>
      <w:textAlignment w:val="auto"/>
    </w:pPr>
    <w:rPr>
      <w:rFonts w:ascii="宋体" w:hAnsi="宋体" w:cs="宋体"/>
      <w:color w:val="0D0D0D"/>
      <w:sz w:val="22"/>
      <w:szCs w:val="22"/>
    </w:rPr>
  </w:style>
  <w:style w:type="paragraph" w:customStyle="1" w:styleId="138">
    <w:name w:val="xl88"/>
    <w:basedOn w:val="1"/>
    <w:qFormat/>
    <w:uiPriority w:val="0"/>
    <w:pPr>
      <w:widowControl/>
      <w:adjustRightInd/>
      <w:spacing w:before="100" w:beforeAutospacing="1" w:after="100" w:afterAutospacing="1" w:line="240" w:lineRule="auto"/>
      <w:ind w:firstLine="0" w:firstLineChars="0"/>
      <w:jc w:val="center"/>
      <w:textAlignment w:val="auto"/>
    </w:pPr>
    <w:rPr>
      <w:rFonts w:ascii="宋体" w:hAnsi="宋体" w:cs="宋体"/>
      <w:sz w:val="22"/>
      <w:szCs w:val="22"/>
    </w:rPr>
  </w:style>
  <w:style w:type="paragraph" w:customStyle="1" w:styleId="13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left"/>
      <w:textAlignment w:val="auto"/>
    </w:pPr>
    <w:rPr>
      <w:rFonts w:ascii="宋体" w:hAnsi="宋体" w:cs="宋体"/>
      <w:sz w:val="22"/>
      <w:szCs w:val="22"/>
    </w:rPr>
  </w:style>
  <w:style w:type="paragraph" w:customStyle="1" w:styleId="140">
    <w:name w:val="xl9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left"/>
      <w:textAlignment w:val="auto"/>
    </w:pPr>
    <w:rPr>
      <w:rFonts w:ascii="宋体" w:hAnsi="宋体" w:cs="宋体"/>
      <w:b/>
      <w:bCs/>
      <w:sz w:val="22"/>
      <w:szCs w:val="22"/>
    </w:rPr>
  </w:style>
  <w:style w:type="paragraph" w:customStyle="1" w:styleId="141">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center"/>
    </w:pPr>
    <w:rPr>
      <w:rFonts w:ascii="宋体" w:hAnsi="宋体" w:cs="宋体"/>
      <w:szCs w:val="24"/>
    </w:rPr>
  </w:style>
  <w:style w:type="paragraph" w:customStyle="1" w:styleId="142">
    <w:name w:val="xl6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center"/>
    </w:pPr>
    <w:rPr>
      <w:rFonts w:ascii="宋体" w:hAnsi="宋体" w:cs="宋体"/>
      <w:szCs w:val="24"/>
    </w:rPr>
  </w:style>
  <w:style w:type="paragraph" w:customStyle="1" w:styleId="14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center"/>
    </w:pPr>
    <w:rPr>
      <w:rFonts w:ascii="宋体" w:hAnsi="宋体" w:cs="宋体"/>
      <w:szCs w:val="24"/>
    </w:rPr>
  </w:style>
  <w:style w:type="paragraph" w:customStyle="1" w:styleId="14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ind w:firstLine="0" w:firstLineChars="0"/>
      <w:jc w:val="center"/>
      <w:textAlignment w:val="center"/>
    </w:pPr>
    <w:rPr>
      <w:rFonts w:ascii="宋体" w:hAnsi="宋体" w:cs="宋体"/>
      <w:b/>
      <w:bCs/>
      <w:szCs w:val="24"/>
    </w:rPr>
  </w:style>
  <w:style w:type="paragraph" w:customStyle="1" w:styleId="145">
    <w:name w:val="xl63"/>
    <w:basedOn w:val="1"/>
    <w:qFormat/>
    <w:uiPriority w:val="0"/>
    <w:pPr>
      <w:widowControl/>
      <w:pBdr>
        <w:top w:val="single" w:color="auto" w:sz="8" w:space="0"/>
        <w:left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textAlignment w:val="center"/>
    </w:pPr>
    <w:rPr>
      <w:rFonts w:ascii="宋体" w:hAnsi="宋体" w:cs="宋体"/>
      <w:b/>
      <w:bCs/>
      <w:sz w:val="20"/>
    </w:rPr>
  </w:style>
  <w:style w:type="paragraph" w:customStyle="1" w:styleId="146">
    <w:name w:val="xl64"/>
    <w:basedOn w:val="1"/>
    <w:qFormat/>
    <w:uiPriority w:val="0"/>
    <w:pPr>
      <w:widowControl/>
      <w:pBdr>
        <w:top w:val="single" w:color="auto" w:sz="8" w:space="0"/>
        <w:bottom w:val="single" w:color="auto" w:sz="8" w:space="0"/>
        <w:right w:val="single" w:color="auto" w:sz="8" w:space="0"/>
      </w:pBdr>
      <w:adjustRightInd/>
      <w:spacing w:before="100" w:beforeAutospacing="1" w:after="100" w:afterAutospacing="1" w:line="240" w:lineRule="auto"/>
      <w:ind w:firstLine="0" w:firstLineChars="0"/>
      <w:jc w:val="center"/>
      <w:textAlignment w:val="center"/>
    </w:pPr>
    <w:rPr>
      <w:rFonts w:ascii="宋体" w:hAnsi="宋体" w:cs="宋体"/>
      <w:b/>
      <w:bCs/>
      <w:sz w:val="20"/>
    </w:rPr>
  </w:style>
  <w:style w:type="character" w:customStyle="1" w:styleId="147">
    <w:name w:val="font01"/>
    <w:basedOn w:val="33"/>
    <w:qFormat/>
    <w:uiPriority w:val="0"/>
    <w:rPr>
      <w:rFonts w:hint="eastAsia" w:ascii="宋体" w:hAnsi="宋体" w:eastAsia="宋体" w:cs="宋体"/>
      <w:color w:val="000000"/>
      <w:sz w:val="18"/>
      <w:szCs w:val="18"/>
      <w:u w:val="none"/>
    </w:rPr>
  </w:style>
  <w:style w:type="paragraph" w:customStyle="1" w:styleId="148">
    <w:name w:val="xl91"/>
    <w:basedOn w:val="1"/>
    <w:qFormat/>
    <w:uiPriority w:val="0"/>
    <w:pPr>
      <w:widowControl/>
      <w:pBdr>
        <w:top w:val="single" w:color="auto" w:sz="4" w:space="0"/>
        <w:bottom w:val="single" w:color="auto" w:sz="4" w:space="0"/>
        <w:right w:val="single" w:color="auto" w:sz="8" w:space="0"/>
      </w:pBdr>
      <w:adjustRightInd/>
      <w:spacing w:before="100" w:beforeAutospacing="1" w:after="100" w:afterAutospacing="1" w:line="240" w:lineRule="auto"/>
      <w:ind w:firstLine="0" w:firstLineChars="0"/>
      <w:jc w:val="left"/>
      <w:textAlignment w:val="auto"/>
    </w:pPr>
    <w:rPr>
      <w:rFonts w:ascii="宋体" w:hAnsi="宋体" w:cs="宋体"/>
      <w:szCs w:val="24"/>
    </w:rPr>
  </w:style>
  <w:style w:type="paragraph" w:customStyle="1" w:styleId="149">
    <w:name w:val="xl92"/>
    <w:basedOn w:val="1"/>
    <w:qFormat/>
    <w:uiPriority w:val="0"/>
    <w:pPr>
      <w:widowControl/>
      <w:pBdr>
        <w:top w:val="single" w:color="auto" w:sz="4" w:space="0"/>
        <w:left w:val="single" w:color="auto" w:sz="8" w:space="0"/>
        <w:bottom w:val="single" w:color="auto" w:sz="4" w:space="0"/>
      </w:pBdr>
      <w:adjustRightInd/>
      <w:spacing w:before="100" w:beforeAutospacing="1" w:after="100" w:afterAutospacing="1" w:line="240" w:lineRule="auto"/>
      <w:ind w:firstLine="0" w:firstLineChars="0"/>
      <w:textAlignment w:val="auto"/>
    </w:pPr>
    <w:rPr>
      <w:rFonts w:ascii="宋体" w:hAnsi="宋体" w:cs="宋体"/>
      <w:szCs w:val="24"/>
    </w:rPr>
  </w:style>
  <w:style w:type="paragraph" w:customStyle="1" w:styleId="150">
    <w:name w:val="xl9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ind w:firstLine="0" w:firstLineChars="0"/>
      <w:textAlignment w:val="auto"/>
    </w:pPr>
    <w:rPr>
      <w:rFonts w:ascii="宋体" w:hAnsi="宋体" w:cs="宋体"/>
      <w:szCs w:val="24"/>
    </w:rPr>
  </w:style>
  <w:style w:type="character" w:customStyle="1" w:styleId="151">
    <w:name w:val="fontstyle01"/>
    <w:basedOn w:val="33"/>
    <w:qFormat/>
    <w:uiPriority w:val="0"/>
    <w:rPr>
      <w:rFonts w:hint="default" w:ascii="FZLTHK--GBK1-0-Identity-H" w:hAnsi="FZLTHK--GBK1-0-Identity-H"/>
      <w:color w:val="231916"/>
      <w:sz w:val="18"/>
      <w:szCs w:val="18"/>
    </w:rPr>
  </w:style>
  <w:style w:type="paragraph" w:customStyle="1" w:styleId="152">
    <w:name w:val="四级标题"/>
    <w:basedOn w:val="1"/>
    <w:next w:val="1"/>
    <w:qFormat/>
    <w:uiPriority w:val="0"/>
    <w:pPr>
      <w:adjustRightInd/>
      <w:spacing w:line="240" w:lineRule="auto"/>
      <w:ind w:firstLine="0" w:firstLineChars="0"/>
      <w:textAlignment w:val="auto"/>
      <w:outlineLvl w:val="3"/>
    </w:pPr>
    <w:rPr>
      <w:rFonts w:ascii="微软雅黑" w:hAnsi="微软雅黑" w:eastAsia="微软雅黑"/>
      <w:b/>
      <w:kern w:val="2"/>
      <w:szCs w:val="24"/>
    </w:rPr>
  </w:style>
  <w:style w:type="paragraph" w:customStyle="1" w:styleId="153">
    <w:name w:val="图片格式"/>
    <w:basedOn w:val="1"/>
    <w:link w:val="155"/>
    <w:qFormat/>
    <w:uiPriority w:val="0"/>
    <w:pPr>
      <w:adjustRightInd/>
      <w:spacing w:line="360" w:lineRule="auto"/>
      <w:ind w:firstLine="0" w:firstLineChars="0"/>
      <w:jc w:val="center"/>
      <w:textAlignment w:val="auto"/>
    </w:pPr>
    <w:rPr>
      <w:rFonts w:ascii="Calibri" w:hAnsi="Calibri"/>
      <w:kern w:val="2"/>
      <w:sz w:val="21"/>
      <w:szCs w:val="22"/>
    </w:rPr>
  </w:style>
  <w:style w:type="paragraph" w:customStyle="1" w:styleId="154">
    <w:name w:val="图片标题格式"/>
    <w:basedOn w:val="153"/>
    <w:next w:val="1"/>
    <w:link w:val="156"/>
    <w:qFormat/>
    <w:uiPriority w:val="0"/>
    <w:rPr>
      <w:rFonts w:ascii="Times New Roman" w:hAnsi="Times New Roman"/>
      <w:b/>
    </w:rPr>
  </w:style>
  <w:style w:type="character" w:customStyle="1" w:styleId="155">
    <w:name w:val="图片格式 Char"/>
    <w:basedOn w:val="33"/>
    <w:link w:val="153"/>
    <w:qFormat/>
    <w:uiPriority w:val="0"/>
    <w:rPr>
      <w:rFonts w:cs="Times New Roman"/>
      <w:kern w:val="2"/>
      <w:sz w:val="21"/>
      <w:szCs w:val="22"/>
    </w:rPr>
  </w:style>
  <w:style w:type="character" w:customStyle="1" w:styleId="156">
    <w:name w:val="图片标题格式 Char"/>
    <w:basedOn w:val="155"/>
    <w:link w:val="154"/>
    <w:qFormat/>
    <w:uiPriority w:val="0"/>
    <w:rPr>
      <w:rFonts w:ascii="Times New Roman" w:hAnsi="Times New Roman" w:cs="Times New Roman"/>
      <w:b/>
      <w:kern w:val="2"/>
      <w:sz w:val="21"/>
      <w:szCs w:val="22"/>
    </w:rPr>
  </w:style>
  <w:style w:type="paragraph" w:customStyle="1" w:styleId="157">
    <w:name w:val="表格标题格式"/>
    <w:basedOn w:val="1"/>
    <w:qFormat/>
    <w:uiPriority w:val="0"/>
    <w:pPr>
      <w:adjustRightInd/>
      <w:spacing w:line="360" w:lineRule="auto"/>
      <w:ind w:firstLine="0" w:firstLineChars="0"/>
      <w:jc w:val="center"/>
      <w:textAlignment w:val="auto"/>
    </w:pPr>
    <w:rPr>
      <w:b/>
      <w:kern w:val="2"/>
      <w:sz w:val="21"/>
      <w:szCs w:val="22"/>
    </w:rPr>
  </w:style>
  <w:style w:type="paragraph" w:customStyle="1" w:styleId="158">
    <w:name w:val="正式格式"/>
    <w:basedOn w:val="1"/>
    <w:link w:val="159"/>
    <w:qFormat/>
    <w:uiPriority w:val="0"/>
    <w:pPr>
      <w:adjustRightInd/>
      <w:spacing w:line="360" w:lineRule="auto"/>
      <w:ind w:firstLine="200"/>
      <w:textAlignment w:val="auto"/>
    </w:pPr>
    <w:rPr>
      <w:kern w:val="2"/>
      <w:szCs w:val="22"/>
    </w:rPr>
  </w:style>
  <w:style w:type="character" w:customStyle="1" w:styleId="159">
    <w:name w:val="正式格式 Char"/>
    <w:basedOn w:val="33"/>
    <w:link w:val="158"/>
    <w:qFormat/>
    <w:uiPriority w:val="0"/>
    <w:rPr>
      <w:rFonts w:ascii="Times New Roman" w:hAnsi="Times New Roman" w:cs="Times New Roman"/>
      <w:kern w:val="2"/>
      <w:sz w:val="24"/>
      <w:szCs w:val="22"/>
    </w:rPr>
  </w:style>
  <w:style w:type="character" w:customStyle="1" w:styleId="160">
    <w:name w:val="二级标题 Char"/>
    <w:basedOn w:val="33"/>
    <w:qFormat/>
    <w:uiPriority w:val="0"/>
    <w:rPr>
      <w:rFonts w:ascii="微软雅黑" w:hAnsi="微软雅黑" w:eastAsia="微软雅黑"/>
      <w:b/>
      <w:kern w:val="2"/>
      <w:sz w:val="30"/>
      <w:szCs w:val="22"/>
    </w:rPr>
  </w:style>
  <w:style w:type="paragraph" w:customStyle="1" w:styleId="161">
    <w:name w:val="表格文字样式"/>
    <w:basedOn w:val="1"/>
    <w:link w:val="162"/>
    <w:qFormat/>
    <w:uiPriority w:val="0"/>
    <w:pPr>
      <w:adjustRightInd/>
      <w:spacing w:line="360" w:lineRule="auto"/>
      <w:ind w:firstLine="0" w:firstLineChars="0"/>
      <w:jc w:val="center"/>
      <w:textAlignment w:val="auto"/>
    </w:pPr>
    <w:rPr>
      <w:kern w:val="2"/>
      <w:sz w:val="21"/>
      <w:szCs w:val="22"/>
    </w:rPr>
  </w:style>
  <w:style w:type="character" w:customStyle="1" w:styleId="162">
    <w:name w:val="表格文字样式 Char"/>
    <w:basedOn w:val="33"/>
    <w:link w:val="161"/>
    <w:qFormat/>
    <w:uiPriority w:val="0"/>
    <w:rPr>
      <w:rFonts w:ascii="Times New Roman" w:hAnsi="Times New Roman" w:cs="Times New Roman"/>
      <w:kern w:val="2"/>
      <w:sz w:val="21"/>
      <w:szCs w:val="22"/>
    </w:rPr>
  </w:style>
  <w:style w:type="paragraph" w:customStyle="1" w:styleId="163">
    <w:name w:val="_Style 161"/>
    <w:basedOn w:val="1"/>
    <w:next w:val="62"/>
    <w:qFormat/>
    <w:uiPriority w:val="34"/>
    <w:pPr>
      <w:adjustRightInd/>
      <w:spacing w:line="240" w:lineRule="auto"/>
      <w:ind w:firstLine="420"/>
      <w:textAlignment w:val="auto"/>
    </w:pPr>
    <w:rPr>
      <w:rFonts w:ascii="Calibri" w:hAnsi="Calibri"/>
      <w:kern w:val="2"/>
      <w:sz w:val="21"/>
      <w:szCs w:val="22"/>
    </w:rPr>
  </w:style>
  <w:style w:type="paragraph" w:customStyle="1" w:styleId="164">
    <w:name w:val="1级标题"/>
    <w:basedOn w:val="62"/>
    <w:qFormat/>
    <w:uiPriority w:val="0"/>
    <w:pPr>
      <w:keepLines/>
      <w:pageBreakBefore/>
      <w:numPr>
        <w:ilvl w:val="0"/>
        <w:numId w:val="4"/>
      </w:numPr>
      <w:adjustRightInd/>
      <w:spacing w:before="240" w:after="240" w:line="360" w:lineRule="auto"/>
      <w:ind w:right="210" w:rightChars="100" w:firstLine="0" w:firstLineChars="0"/>
      <w:contextualSpacing/>
      <w:jc w:val="center"/>
      <w:textAlignment w:val="auto"/>
      <w:outlineLvl w:val="0"/>
    </w:pPr>
    <w:rPr>
      <w:rFonts w:ascii="黑体" w:hAnsi="黑体" w:eastAsia="黑体"/>
      <w:b/>
      <w:sz w:val="36"/>
      <w:szCs w:val="36"/>
      <w:lang w:bidi="en-US"/>
    </w:rPr>
  </w:style>
  <w:style w:type="paragraph" w:customStyle="1" w:styleId="165">
    <w:name w:val="2级标题"/>
    <w:basedOn w:val="62"/>
    <w:qFormat/>
    <w:uiPriority w:val="0"/>
    <w:pPr>
      <w:keepLines/>
      <w:numPr>
        <w:ilvl w:val="1"/>
        <w:numId w:val="4"/>
      </w:numPr>
      <w:adjustRightInd/>
      <w:spacing w:before="240" w:after="120" w:line="360" w:lineRule="auto"/>
      <w:ind w:firstLineChars="0"/>
      <w:contextualSpacing/>
      <w:jc w:val="left"/>
      <w:textAlignment w:val="auto"/>
      <w:outlineLvl w:val="1"/>
    </w:pPr>
    <w:rPr>
      <w:rFonts w:ascii="黑体" w:hAnsi="黑体" w:eastAsia="黑体"/>
      <w:b/>
      <w:sz w:val="30"/>
      <w:szCs w:val="36"/>
      <w:lang w:bidi="en-US"/>
    </w:rPr>
  </w:style>
  <w:style w:type="paragraph" w:customStyle="1" w:styleId="166">
    <w:name w:val="3级标题"/>
    <w:basedOn w:val="62"/>
    <w:link w:val="167"/>
    <w:qFormat/>
    <w:uiPriority w:val="0"/>
    <w:pPr>
      <w:keepLines/>
      <w:numPr>
        <w:ilvl w:val="2"/>
        <w:numId w:val="4"/>
      </w:numPr>
      <w:adjustRightInd/>
      <w:spacing w:before="120" w:after="120" w:line="360" w:lineRule="auto"/>
      <w:ind w:right="210" w:rightChars="100" w:firstLine="0" w:firstLineChars="0"/>
      <w:contextualSpacing/>
      <w:jc w:val="left"/>
      <w:textAlignment w:val="auto"/>
      <w:outlineLvl w:val="2"/>
    </w:pPr>
    <w:rPr>
      <w:rFonts w:ascii="黑体" w:hAnsi="黑体"/>
      <w:b/>
      <w:sz w:val="28"/>
      <w:szCs w:val="36"/>
      <w:lang w:eastAsia="en-US" w:bidi="en-US"/>
    </w:rPr>
  </w:style>
  <w:style w:type="character" w:customStyle="1" w:styleId="167">
    <w:name w:val="3级标题 Char"/>
    <w:link w:val="166"/>
    <w:qFormat/>
    <w:uiPriority w:val="0"/>
    <w:rPr>
      <w:rFonts w:ascii="黑体" w:hAnsi="黑体" w:cs="Times New Roman"/>
      <w:b/>
      <w:sz w:val="28"/>
      <w:szCs w:val="36"/>
      <w:lang w:eastAsia="en-US" w:bidi="en-US"/>
    </w:rPr>
  </w:style>
  <w:style w:type="paragraph" w:customStyle="1" w:styleId="168">
    <w:name w:val="4级标题"/>
    <w:basedOn w:val="62"/>
    <w:qFormat/>
    <w:uiPriority w:val="0"/>
    <w:pPr>
      <w:keepLines/>
      <w:numPr>
        <w:ilvl w:val="3"/>
        <w:numId w:val="4"/>
      </w:numPr>
      <w:adjustRightInd/>
      <w:spacing w:line="360" w:lineRule="auto"/>
      <w:ind w:right="210" w:rightChars="100" w:firstLineChars="0"/>
      <w:contextualSpacing/>
      <w:jc w:val="left"/>
      <w:textAlignment w:val="auto"/>
      <w:outlineLvl w:val="3"/>
    </w:pPr>
    <w:rPr>
      <w:rFonts w:ascii="黑体" w:hAnsi="黑体"/>
      <w:b/>
      <w:szCs w:val="24"/>
      <w:lang w:eastAsia="en-US" w:bidi="en-US"/>
    </w:rPr>
  </w:style>
  <w:style w:type="paragraph" w:customStyle="1" w:styleId="169">
    <w:name w:val="5级标题"/>
    <w:basedOn w:val="168"/>
    <w:qFormat/>
    <w:uiPriority w:val="0"/>
    <w:pPr>
      <w:numPr>
        <w:ilvl w:val="4"/>
      </w:numPr>
      <w:ind w:right="100"/>
    </w:pPr>
  </w:style>
  <w:style w:type="paragraph" w:customStyle="1" w:styleId="170">
    <w:name w:val="xu-1"/>
    <w:basedOn w:val="62"/>
    <w:qFormat/>
    <w:uiPriority w:val="0"/>
    <w:pPr>
      <w:numPr>
        <w:ilvl w:val="0"/>
        <w:numId w:val="5"/>
      </w:numPr>
      <w:tabs>
        <w:tab w:val="left" w:pos="840"/>
      </w:tabs>
      <w:adjustRightInd/>
      <w:spacing w:before="50" w:beforeLines="50" w:after="50" w:afterLines="50" w:line="360" w:lineRule="auto"/>
      <w:ind w:firstLineChars="0"/>
      <w:jc w:val="left"/>
      <w:textAlignment w:val="auto"/>
      <w:outlineLvl w:val="0"/>
    </w:pPr>
    <w:rPr>
      <w:rFonts w:ascii="黑体" w:hAnsi="黑体" w:eastAsia="黑体"/>
      <w:kern w:val="2"/>
      <w:sz w:val="32"/>
      <w:szCs w:val="32"/>
    </w:rPr>
  </w:style>
  <w:style w:type="paragraph" w:customStyle="1" w:styleId="171">
    <w:name w:val="xu-2"/>
    <w:basedOn w:val="62"/>
    <w:qFormat/>
    <w:uiPriority w:val="0"/>
    <w:pPr>
      <w:numPr>
        <w:ilvl w:val="1"/>
        <w:numId w:val="5"/>
      </w:numPr>
      <w:tabs>
        <w:tab w:val="left" w:pos="840"/>
      </w:tabs>
      <w:adjustRightInd/>
      <w:spacing w:before="50" w:beforeLines="50" w:after="50" w:afterLines="50" w:line="360" w:lineRule="auto"/>
      <w:ind w:firstLineChars="0"/>
      <w:jc w:val="left"/>
      <w:textAlignment w:val="auto"/>
      <w:outlineLvl w:val="1"/>
    </w:pPr>
    <w:rPr>
      <w:rFonts w:ascii="黑体" w:hAnsi="黑体" w:eastAsia="黑体"/>
      <w:kern w:val="2"/>
      <w:sz w:val="30"/>
      <w:szCs w:val="30"/>
    </w:rPr>
  </w:style>
  <w:style w:type="paragraph" w:customStyle="1" w:styleId="172">
    <w:name w:val="xu-3"/>
    <w:basedOn w:val="62"/>
    <w:qFormat/>
    <w:uiPriority w:val="0"/>
    <w:pPr>
      <w:numPr>
        <w:ilvl w:val="2"/>
        <w:numId w:val="5"/>
      </w:numPr>
      <w:tabs>
        <w:tab w:val="left" w:pos="1260"/>
      </w:tabs>
      <w:adjustRightInd/>
      <w:spacing w:before="163" w:beforeLines="50" w:after="163" w:afterLines="50" w:line="360" w:lineRule="auto"/>
      <w:ind w:firstLineChars="0"/>
      <w:jc w:val="left"/>
      <w:textAlignment w:val="auto"/>
      <w:outlineLvl w:val="2"/>
    </w:pPr>
    <w:rPr>
      <w:rFonts w:ascii="黑体" w:hAnsi="黑体" w:eastAsia="黑体"/>
      <w:kern w:val="2"/>
      <w:sz w:val="28"/>
      <w:szCs w:val="28"/>
    </w:rPr>
  </w:style>
  <w:style w:type="paragraph" w:customStyle="1" w:styleId="173">
    <w:name w:val="xu-4"/>
    <w:basedOn w:val="62"/>
    <w:qFormat/>
    <w:uiPriority w:val="0"/>
    <w:pPr>
      <w:numPr>
        <w:ilvl w:val="3"/>
        <w:numId w:val="5"/>
      </w:numPr>
      <w:tabs>
        <w:tab w:val="left" w:pos="1680"/>
      </w:tabs>
      <w:adjustRightInd/>
      <w:spacing w:before="163" w:beforeLines="50" w:after="163" w:afterLines="50" w:line="360" w:lineRule="auto"/>
      <w:ind w:firstLineChars="0"/>
      <w:jc w:val="left"/>
      <w:textAlignment w:val="auto"/>
      <w:outlineLvl w:val="3"/>
    </w:pPr>
    <w:rPr>
      <w:rFonts w:ascii="黑体" w:hAnsi="黑体" w:eastAsia="黑体"/>
      <w:kern w:val="2"/>
      <w:sz w:val="28"/>
      <w:szCs w:val="28"/>
    </w:rPr>
  </w:style>
  <w:style w:type="paragraph" w:customStyle="1" w:styleId="174">
    <w:name w:val="xu-5"/>
    <w:basedOn w:val="62"/>
    <w:qFormat/>
    <w:uiPriority w:val="0"/>
    <w:pPr>
      <w:numPr>
        <w:ilvl w:val="4"/>
        <w:numId w:val="5"/>
      </w:numPr>
      <w:tabs>
        <w:tab w:val="left" w:pos="1008"/>
      </w:tabs>
      <w:adjustRightInd/>
      <w:spacing w:before="50" w:beforeLines="50" w:after="50" w:afterLines="50" w:line="360" w:lineRule="auto"/>
      <w:ind w:firstLineChars="0"/>
      <w:jc w:val="left"/>
      <w:textAlignment w:val="auto"/>
      <w:outlineLvl w:val="4"/>
    </w:pPr>
    <w:rPr>
      <w:rFonts w:ascii="黑体" w:hAnsi="黑体" w:eastAsia="黑体"/>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0.jpeg"/><Relationship Id="rId24" Type="http://schemas.openxmlformats.org/officeDocument/2006/relationships/image" Target="media/image9.emf"/><Relationship Id="rId23" Type="http://schemas.openxmlformats.org/officeDocument/2006/relationships/package" Target="embeddings/Microsoft_Visio___1.vsdx"/><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Normal_2007.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706E-135A-4040-AE03-42FEF636BE6A}">
  <ds:schemaRefs/>
</ds:datastoreItem>
</file>

<file path=docProps/app.xml><?xml version="1.0" encoding="utf-8"?>
<Properties xmlns="http://schemas.openxmlformats.org/officeDocument/2006/extended-properties" xmlns:vt="http://schemas.openxmlformats.org/officeDocument/2006/docPropsVTypes">
  <Template>Normal_2007.dotm</Template>
  <Company>zjpti</Company>
  <Pages>41</Pages>
  <Words>6205</Words>
  <Characters>6840</Characters>
  <Lines>203</Lines>
  <Paragraphs>57</Paragraphs>
  <TotalTime>8</TotalTime>
  <ScaleCrop>false</ScaleCrop>
  <LinksUpToDate>false</LinksUpToDate>
  <CharactersWithSpaces>7058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2021-06-24T07:29:00Z</dcterms:created>
  <dc:creator>a</dc:creator>
  <cp:lastModifiedBy> 向阳花</cp:lastModifiedBy>
  <cp:lastPrinted>2022-06-21T13:44:00Z</cp:lastPrinted>
  <dcterms:modified xsi:type="dcterms:W3CDTF">2025-12-29T08:00:48Z</dcterms:modified>
  <dc:title>公司设计文本word模板</dc:title>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vt:lpwstr>可将此文档保存到C:\Docunents and Settings\你的用户名\Application Data\Microsoft\Templates中，替代原来的normal.dot即可。_x000d_
下载以后要注意确认该文件后缀是否为 .dot，如果不是可以手工修改。</vt:lpwstr>
  </property>
  <property fmtid="{D5CDD505-2E9C-101B-9397-08002B2CF9AE}" pid="3" name="Uploader">
    <vt:lpwstr>吴幸辉wuxh</vt:lpwstr>
  </property>
  <property fmtid="{D5CDD505-2E9C-101B-9397-08002B2CF9AE}" pid="4" name="KSOProductBuildVer">
    <vt:lpwstr>2052-12.1.0.24034</vt:lpwstr>
  </property>
  <property fmtid="{D5CDD505-2E9C-101B-9397-08002B2CF9AE}" pid="5" name="KSOTemplateDocerSaveRecord">
    <vt:lpwstr>eyJoZGlkIjoiOGE3ODhkNjBkZTU5ZWNkMWVlZWYzNmRhMzhkYWYxMDciLCJ1c2VySWQiOiIxMDQ3MTMwMjUzIn0=</vt:lpwstr>
  </property>
  <property fmtid="{D5CDD505-2E9C-101B-9397-08002B2CF9AE}" pid="6" name="ICV">
    <vt:lpwstr>DE91AB76D02041E392B02847F84E610C_12</vt:lpwstr>
  </property>
</Properties>
</file>