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8.xml" ContentType="application/vnd.openxmlformats-officedocument.wordprocessingml.header+xml"/>
  <Override PartName="/word/header16.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800"/>
        <w:jc w:val="center"/>
        <w:spacing w:before="120" w:beforeAutospacing="0" w:after="120" w:afterAutospacing="0" w:line="360" w:lineRule="auto"/>
        <w:rPr>
          <w:rFonts w:hint="eastAsia" w:ascii="Arial" w:hAnsi="Arial" w:cs="Arial"/>
          <w:b/>
          <w:color w:val="000000" w:themeColor="text1"/>
          <w:sz w:val="84"/>
          <w:szCs w:val="84"/>
          <w:highlight w:val="none"/>
          <w14:textFill>
            <w14:solidFill>
              <w14:schemeClr w14:val="tx1"/>
            </w14:solidFill>
          </w14:textFill>
        </w:rPr>
      </w:pPr>
      <w:r>
        <w:rPr>
          <w:rFonts w:hint="eastAsia" w:ascii="Arial" w:hAnsi="Arial" w:cs="Arial"/>
          <w:b/>
          <w:color w:val="000000" w:themeColor="text1"/>
          <w:sz w:val="84"/>
          <w:szCs w:val="84"/>
          <w:highlight w:val="none"/>
          <w14:textFill>
            <w14:solidFill>
              <w14:schemeClr w14:val="tx1"/>
            </w14:solidFill>
          </w14:textFill>
        </w:rPr>
      </w:r>
      <w:r/>
    </w:p>
    <w:p>
      <w:pPr>
        <w:pStyle w:val="2800"/>
        <w:jc w:val="center"/>
        <w:spacing w:before="120" w:beforeAutospacing="0" w:after="120" w:afterAutospacing="0" w:line="360" w:lineRule="auto"/>
        <w:rPr>
          <w:rFonts w:hint="default"/>
          <w:color w:val="000000" w:themeColor="text1"/>
          <w:sz w:val="24"/>
          <w:szCs w:val="24"/>
          <w:highlight w:val="none"/>
          <w14:textFill>
            <w14:solidFill>
              <w14:schemeClr w14:val="tx1"/>
            </w14:solidFill>
          </w14:textFill>
        </w:rPr>
      </w:pPr>
      <w:r>
        <w:rPr>
          <w:rFonts w:hint="eastAsia" w:ascii="Arial" w:hAnsi="Arial" w:cs="Arial"/>
          <w:b/>
          <w:color w:val="000000" w:themeColor="text1"/>
          <w:sz w:val="84"/>
          <w:szCs w:val="84"/>
          <w:highlight w:val="none"/>
          <w14:textFill>
            <w14:solidFill>
              <w14:schemeClr w14:val="tx1"/>
            </w14:solidFill>
          </w14:textFill>
        </w:rPr>
        <w:t xml:space="preserve">单一来源采购文件</w:t>
      </w:r>
      <w:r/>
    </w:p>
    <w:p>
      <w:pPr>
        <w:pStyle w:val="2800"/>
        <w:jc w:val="center"/>
        <w:spacing w:before="120" w:beforeAutospacing="0" w:after="120" w:afterAutospacing="0" w:line="360" w:lineRule="auto"/>
        <w:rPr>
          <w:rFonts w:hint="default" w:ascii="Arial" w:hAnsi="Arial" w:cs="Arial"/>
          <w:b/>
          <w:color w:val="000000" w:themeColor="text1"/>
          <w:sz w:val="32"/>
          <w:szCs w:val="32"/>
          <w:highlight w:val="none"/>
          <w14:textFill>
            <w14:solidFill>
              <w14:schemeClr w14:val="tx1"/>
            </w14:solidFill>
          </w14:textFill>
        </w:rPr>
      </w:pPr>
      <w:r>
        <w:rPr>
          <w:rFonts w:hint="default" w:ascii="Arial" w:hAnsi="Arial" w:cs="Arial"/>
          <w:b/>
          <w:color w:val="000000" w:themeColor="text1"/>
          <w:sz w:val="32"/>
          <w:szCs w:val="32"/>
          <w:highlight w:val="none"/>
          <w14:textFill>
            <w14:solidFill>
              <w14:schemeClr w14:val="tx1"/>
            </w14:solidFill>
          </w14:textFill>
        </w:rPr>
      </w:r>
      <w:r/>
    </w:p>
    <w:p>
      <w:pPr>
        <w:pStyle w:val="2800"/>
        <w:jc w:val="center"/>
        <w:spacing w:before="120" w:beforeAutospacing="0" w:after="120" w:afterAutospacing="0" w:line="360" w:lineRule="auto"/>
        <w:rPr>
          <w:rFonts w:hint="default" w:ascii="Arial" w:hAnsi="Arial" w:cs="Arial"/>
          <w:b/>
          <w:color w:val="000000" w:themeColor="text1"/>
          <w:sz w:val="32"/>
          <w:szCs w:val="32"/>
          <w:highlight w:val="none"/>
          <w14:textFill>
            <w14:solidFill>
              <w14:schemeClr w14:val="tx1"/>
            </w14:solidFill>
          </w14:textFill>
        </w:rPr>
      </w:pPr>
      <w:r>
        <w:rPr>
          <w:rFonts w:hint="default" w:ascii="Arial" w:hAnsi="Arial" w:cs="Arial"/>
          <w:b/>
          <w:color w:val="000000" w:themeColor="text1"/>
          <w:sz w:val="32"/>
          <w:szCs w:val="32"/>
          <w:highlight w:val="none"/>
          <w14:textFill>
            <w14:solidFill>
              <w14:schemeClr w14:val="tx1"/>
            </w14:solidFill>
          </w14:textFill>
        </w:rPr>
      </w:r>
      <w:r/>
    </w:p>
    <w:p>
      <w:pPr>
        <w:pStyle w:val="2800"/>
        <w:jc w:val="center"/>
        <w:spacing w:before="120" w:beforeAutospacing="0" w:after="120" w:afterAutospacing="0" w:line="360" w:lineRule="auto"/>
        <w:rPr>
          <w:rFonts w:hint="default" w:ascii="Arial" w:hAnsi="Arial" w:cs="Arial"/>
          <w:b/>
          <w:color w:val="000000" w:themeColor="text1"/>
          <w:sz w:val="32"/>
          <w:szCs w:val="32"/>
          <w:highlight w:val="none"/>
          <w14:textFill>
            <w14:solidFill>
              <w14:schemeClr w14:val="tx1"/>
            </w14:solidFill>
          </w14:textFill>
        </w:rPr>
      </w:pPr>
      <w:r>
        <w:rPr>
          <w:rFonts w:hint="default" w:ascii="Arial" w:hAnsi="Arial" w:cs="Arial"/>
          <w:b/>
          <w:color w:val="000000" w:themeColor="text1"/>
          <w:sz w:val="32"/>
          <w:szCs w:val="32"/>
          <w:highlight w:val="none"/>
          <w14:textFill>
            <w14:solidFill>
              <w14:schemeClr w14:val="tx1"/>
            </w14:solidFill>
          </w14:textFill>
        </w:rPr>
      </w:r>
      <w:r/>
    </w:p>
    <w:p>
      <w:pPr>
        <w:pStyle w:val="2800"/>
        <w:jc w:val="center"/>
        <w:spacing w:before="120" w:beforeAutospacing="0" w:after="120" w:afterAutospacing="0" w:line="360" w:lineRule="auto"/>
        <w:rPr>
          <w:rFonts w:hint="default" w:ascii="Arial" w:hAnsi="Arial" w:cs="Arial"/>
          <w:b/>
          <w:color w:val="000000" w:themeColor="text1"/>
          <w:sz w:val="32"/>
          <w:szCs w:val="32"/>
          <w:highlight w:val="none"/>
          <w14:textFill>
            <w14:solidFill>
              <w14:schemeClr w14:val="tx1"/>
            </w14:solidFill>
          </w14:textFill>
        </w:rPr>
      </w:pPr>
      <w:r>
        <w:rPr>
          <w:rFonts w:hint="default" w:ascii="Arial" w:hAnsi="Arial" w:cs="Arial"/>
          <w:b/>
          <w:color w:val="000000" w:themeColor="text1"/>
          <w:sz w:val="32"/>
          <w:szCs w:val="32"/>
          <w:highlight w:val="none"/>
          <w14:textFill>
            <w14:solidFill>
              <w14:schemeClr w14:val="tx1"/>
            </w14:solidFill>
          </w14:textFill>
        </w:rPr>
      </w:r>
      <w:r/>
    </w:p>
    <w:p>
      <w:pPr>
        <w:pStyle w:val="2800"/>
        <w:jc w:val="center"/>
        <w:spacing w:before="120" w:beforeAutospacing="0" w:after="120" w:afterAutospacing="0" w:line="360" w:lineRule="auto"/>
        <w:rPr>
          <w:rFonts w:hint="eastAsia" w:ascii="Arial" w:hAnsi="Arial" w:eastAsia="宋体" w:cs="Arial"/>
          <w:b/>
          <w:color w:val="000000" w:themeColor="text1"/>
          <w:sz w:val="32"/>
          <w:szCs w:val="32"/>
          <w:highlight w:val="none"/>
          <w:lang w:eastAsia="zh-CN"/>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项目名称：</w:t>
      </w:r>
      <w:r>
        <w:rPr>
          <w:rFonts w:hint="eastAsia" w:ascii="Arial" w:hAnsi="Arial" w:cs="Arial"/>
          <w:b/>
          <w:color w:val="000000" w:themeColor="text1"/>
          <w:sz w:val="32"/>
          <w:szCs w:val="32"/>
          <w:highlight w:val="none"/>
          <w:lang w:eastAsia="zh-CN"/>
          <w14:textFill>
            <w14:solidFill>
              <w14:schemeClr w14:val="tx1"/>
            </w14:solidFill>
          </w14:textFill>
        </w:rPr>
        <w:t xml:space="preserve">盐城市公安局市区交通设施新建改建零星工程采购项目</w:t>
      </w:r>
      <w:r/>
    </w:p>
    <w:p>
      <w:pPr>
        <w:pStyle w:val="2800"/>
        <w:jc w:val="center"/>
        <w:spacing w:before="120" w:beforeAutospacing="0" w:after="120" w:afterAutospacing="0" w:line="360" w:lineRule="auto"/>
        <w:rPr>
          <w:rFonts w:hint="default"/>
          <w:color w:val="000000" w:themeColor="text1"/>
          <w:sz w:val="24"/>
          <w:szCs w:val="24"/>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项目编号：JSZC-320900-JCJS-D2026-0002</w:t>
      </w:r>
      <w:r/>
    </w:p>
    <w:p>
      <w:pPr>
        <w:pStyle w:val="2800"/>
        <w:spacing w:beforeAutospacing="0" w:afterAutospacing="0" w:line="36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spacing w:beforeAutospacing="0" w:afterAutospacing="0" w:line="36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spacing w:beforeAutospacing="0" w:afterAutospacing="0" w:line="36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spacing w:beforeAutospacing="0" w:afterAutospacing="0" w:line="36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spacing w:beforeAutospacing="0" w:afterAutospacing="0" w:line="36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spacing w:beforeAutospacing="0" w:afterAutospacing="0" w:line="36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spacing w:beforeAutospacing="0" w:afterAutospacing="0" w:line="36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盐城市公安局</w:t>
      </w:r>
      <w:r/>
    </w:p>
    <w:p>
      <w:pPr>
        <w:pStyle w:val="2800"/>
        <w:jc w:val="center"/>
        <w:spacing w:before="120" w:beforeAutospacing="0" w:after="120" w:afterAutospacing="0" w:line="360" w:lineRule="auto"/>
        <w:rPr>
          <w:rFonts w:hint="default"/>
          <w:color w:val="000000" w:themeColor="text1"/>
          <w:sz w:val="24"/>
          <w:szCs w:val="24"/>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2026年</w:t>
      </w:r>
      <w:r>
        <w:rPr>
          <w:rFonts w:hint="eastAsia" w:ascii="Arial" w:hAnsi="Arial" w:cs="Arial"/>
          <w:b/>
          <w:color w:val="000000" w:themeColor="text1"/>
          <w:sz w:val="32"/>
          <w:szCs w:val="32"/>
          <w:highlight w:val="none"/>
          <w:lang w:val="en-US" w:eastAsia="zh-CN"/>
          <w14:textFill>
            <w14:solidFill>
              <w14:schemeClr w14:val="tx1"/>
            </w14:solidFill>
          </w14:textFill>
        </w:rPr>
        <w:t xml:space="preserve">5</w:t>
      </w:r>
      <w:r>
        <w:rPr>
          <w:rFonts w:hint="eastAsia" w:ascii="Arial" w:hAnsi="Arial" w:cs="Arial"/>
          <w:b/>
          <w:color w:val="000000" w:themeColor="text1"/>
          <w:sz w:val="32"/>
          <w:szCs w:val="32"/>
          <w:highlight w:val="none"/>
          <w14:textFill>
            <w14:solidFill>
              <w14:schemeClr w14:val="tx1"/>
            </w14:solidFill>
          </w14:textFill>
        </w:rPr>
        <w:t xml:space="preserve">月</w:t>
      </w:r>
      <w:r/>
    </w:p>
    <w:p>
      <w:pPr>
        <w:pStyle w:val="2800"/>
        <w:jc w:val="center"/>
        <w:spacing w:beforeAutospacing="0" w:afterAutospacing="0" w:line="480" w:lineRule="auto"/>
        <w:rPr>
          <w:rFonts w:hint="default"/>
          <w:color w:val="000000" w:themeColor="text1"/>
          <w:sz w:val="24"/>
          <w:szCs w:val="24"/>
          <w:highlight w:val="none"/>
          <w14:textFill>
            <w14:solidFill>
              <w14:schemeClr w14:val="tx1"/>
            </w14:solidFill>
          </w14:textFill>
        </w:rPr>
      </w:pPr>
      <w:r>
        <w:rPr>
          <w:rFonts w:hint="default" w:ascii="Arial" w:hAnsi="Arial" w:cs="Arial"/>
          <w:color w:val="000000" w:themeColor="text1"/>
          <w:sz w:val="24"/>
          <w:szCs w:val="24"/>
          <w:highlight w:val="none"/>
          <w14:textFill>
            <w14:solidFill>
              <w14:schemeClr w14:val="tx1"/>
            </w14:solidFill>
          </w14:textFill>
        </w:rPr>
        <w:t xml:space="preserve">              </w:t>
      </w:r>
      <w:r>
        <w:rPr>
          <w:rFonts w:hint="eastAsia" w:ascii="Times New Roman" w:hAnsi="Times New Roman" w:eastAsia="Times New Roman"/>
          <w:color w:val="000000" w:themeColor="text1"/>
          <w:sz w:val="21"/>
          <w:szCs w:val="21"/>
          <w:highlight w:val="none"/>
          <w14:textFill>
            <w14:solidFill>
              <w14:schemeClr w14:val="tx1"/>
            </w14:solidFill>
          </w14:textFill>
        </w:rPr>
        <w:t xml:space="preserve"> </w:t>
      </w:r>
      <w:bookmarkStart w:id="0" w:name="_Toc16938516"/>
      <w:r/>
      <w:bookmarkStart w:id="1" w:name="_Toc120614210"/>
      <w:r/>
      <w:bookmarkStart w:id="2" w:name="_Toc20823272"/>
      <w:r/>
      <w:bookmarkStart w:id="3" w:name="_Toc479757206"/>
      <w:r/>
      <w:bookmarkStart w:id="4" w:name="_Toc523127445"/>
      <w:r/>
      <w:bookmarkStart w:id="5" w:name="_Toc513029200"/>
      <w:r>
        <w:rPr>
          <w:rFonts w:hint="eastAsia" w:ascii="黑体" w:hAnsi="宋体" w:eastAsia="黑体" w:cs="黑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2800"/>
        <w:jc w:val="both"/>
        <w:spacing w:beforeAutospacing="0" w:afterAutospacing="0" w:line="48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left="2160" w:hanging="1440"/>
        <w:jc w:val="both"/>
        <w:spacing w:beforeAutospacing="0" w:afterAutospacing="0" w:line="480" w:lineRule="auto"/>
        <w:tabs>
          <w:tab w:val="left" w:pos="1441" w:leader="none"/>
        </w:tabs>
        <w:rPr>
          <w:rFonts w:hint="eastAsia" w:eastAsia="黑体"/>
          <w:color w:val="000000" w:themeColor="text1"/>
          <w:sz w:val="24"/>
          <w:szCs w:val="24"/>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单一来源采购邀请…………………………</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3</w:t>
      </w:r>
      <w:r/>
    </w:p>
    <w:p>
      <w:pPr>
        <w:pStyle w:val="2800"/>
        <w:ind w:left="2160" w:hanging="1440"/>
        <w:jc w:val="both"/>
        <w:spacing w:beforeAutospacing="0" w:afterAutospacing="0" w:line="480" w:lineRule="auto"/>
        <w:tabs>
          <w:tab w:val="left" w:pos="1441" w:leader="none"/>
        </w:tabs>
        <w:rPr>
          <w:rFonts w:hint="default"/>
          <w:color w:val="000000" w:themeColor="text1"/>
          <w:sz w:val="24"/>
          <w:szCs w:val="24"/>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供应商须知…………………………………</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7</w:t>
      </w:r>
      <w:r>
        <w:rPr>
          <w:rFonts w:hint="eastAsia" w:ascii="黑体" w:hAnsi="宋体" w:eastAsia="黑体" w:cs="黑体"/>
          <w:color w:val="000000" w:themeColor="text1"/>
          <w:sz w:val="36"/>
          <w:szCs w:val="36"/>
          <w:highlight w:val="none"/>
          <w14:textFill>
            <w14:solidFill>
              <w14:schemeClr w14:val="tx1"/>
            </w14:solidFill>
          </w14:textFill>
        </w:rPr>
        <w:t xml:space="preserve">  </w:t>
      </w:r>
      <w:r/>
    </w:p>
    <w:p>
      <w:pPr>
        <w:pStyle w:val="2800"/>
        <w:ind w:left="2160" w:hanging="1440"/>
        <w:jc w:val="both"/>
        <w:spacing w:beforeAutospacing="0" w:afterAutospacing="0" w:line="480" w:lineRule="auto"/>
        <w:tabs>
          <w:tab w:val="left" w:pos="1441" w:leader="none"/>
        </w:tabs>
        <w:rPr>
          <w:rFonts w:hint="default" w:eastAsia="黑体"/>
          <w:color w:val="000000" w:themeColor="text1"/>
          <w:sz w:val="24"/>
          <w:szCs w:val="24"/>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合同文本……………………………………</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24</w:t>
      </w:r>
      <w:r/>
    </w:p>
    <w:p>
      <w:pPr>
        <w:pStyle w:val="2800"/>
        <w:ind w:left="2160" w:hanging="1440"/>
        <w:jc w:val="both"/>
        <w:spacing w:beforeAutospacing="0" w:afterAutospacing="0" w:line="480" w:lineRule="auto"/>
        <w:tabs>
          <w:tab w:val="left" w:pos="1441" w:leader="none"/>
        </w:tabs>
        <w:rPr>
          <w:rFonts w:hint="default" w:eastAsia="黑体"/>
          <w:color w:val="000000" w:themeColor="text1"/>
          <w:sz w:val="24"/>
          <w:szCs w:val="24"/>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采购需求……………………………………</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33</w:t>
      </w:r>
      <w:r/>
    </w:p>
    <w:p>
      <w:pPr>
        <w:pStyle w:val="2800"/>
        <w:ind w:left="2160" w:hanging="1440"/>
        <w:jc w:val="both"/>
        <w:spacing w:beforeAutospacing="0" w:afterAutospacing="0" w:line="480" w:lineRule="auto"/>
        <w:tabs>
          <w:tab w:val="left" w:pos="1441" w:leader="none"/>
        </w:tabs>
        <w:rPr>
          <w:rFonts w:hint="default" w:eastAsia="黑体"/>
          <w:color w:val="000000" w:themeColor="text1"/>
          <w:sz w:val="24"/>
          <w:szCs w:val="24"/>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响应文件格式………………………………</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41</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center"/>
        <w:keepNext/>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 xml:space="preserve">第一章  单一来源采购邀请</w:t>
      </w:r>
      <w:r/>
    </w:p>
    <w:p>
      <w:pPr>
        <w:pStyle w:val="2800"/>
        <w:ind w:firstLine="480"/>
        <w:jc w:val="both"/>
        <w:spacing w:beforeAutospacing="0" w:afterAutospacing="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受盐城市公安局的委托，江苏捷诚建设项目管理咨询有限公司就</w:t>
      </w:r>
      <w:r>
        <w:rPr>
          <w:rFonts w:hint="eastAsia" w:ascii="宋体" w:hAnsi="宋体" w:cs="宋体"/>
          <w:color w:val="000000" w:themeColor="text1"/>
          <w:sz w:val="24"/>
          <w:szCs w:val="24"/>
          <w:highlight w:val="none"/>
          <w:lang w:eastAsia="zh-CN"/>
          <w14:textFill>
            <w14:solidFill>
              <w14:schemeClr w14:val="tx1"/>
            </w14:solidFill>
          </w14:textFill>
        </w:rPr>
        <w:t xml:space="preserve">盐城市公安局市区交通设施新建改建零星工程采购项目</w:t>
      </w: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JSZC-320900-JCJS-D2026-0002)项目进行单一来源采购，欢迎符合相关条件的合格供应商参加采购活动。</w:t>
      </w:r>
      <w:r/>
    </w:p>
    <w:p>
      <w:pPr>
        <w:pStyle w:val="2800"/>
        <w:ind w:firstLine="498"/>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ascii="宋体" w:hAnsi="宋体" w:cs="宋体"/>
          <w:b/>
          <w:color w:val="000000" w:themeColor="text1"/>
          <w:sz w:val="24"/>
          <w:szCs w:val="24"/>
          <w:highlight w:val="none"/>
          <w14:textFill>
            <w14:solidFill>
              <w14:schemeClr w14:val="tx1"/>
            </w14:solidFill>
          </w14:textFill>
        </w:rPr>
        <w:t xml:space="preserve">一、项目基本情况</w:t>
      </w:r>
      <w:bookmarkEnd w:id="6"/>
      <w:r/>
      <w:bookmarkEnd w:id="7"/>
      <w:r/>
      <w:bookmarkEnd w:id="8"/>
      <w:r/>
      <w:bookmarkEnd w:id="9"/>
      <w:r/>
      <w:bookmarkEnd w:id="10"/>
      <w:r/>
      <w:bookmarkEnd w:id="11"/>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2" w:name="_Toc28359080"/>
      <w:r/>
      <w:bookmarkStart w:id="13" w:name="_Toc28359003"/>
      <w:r/>
      <w:bookmarkStart w:id="14" w:name="_Toc35393791"/>
      <w:r/>
      <w:bookmarkStart w:id="15" w:name="_Toc35393622"/>
      <w:r/>
      <w:bookmarkStart w:id="16" w:name="_Toc38985264"/>
      <w:r>
        <w:rPr>
          <w:rFonts w:hint="eastAsia" w:ascii="宋体" w:hAnsi="宋体" w:cs="宋体"/>
          <w:color w:val="000000" w:themeColor="text1"/>
          <w:sz w:val="24"/>
          <w:szCs w:val="24"/>
          <w:highlight w:val="none"/>
          <w14:textFill>
            <w14:solidFill>
              <w14:schemeClr w14:val="tx1"/>
            </w14:solidFill>
          </w14:textFill>
        </w:rPr>
        <w:t xml:space="preserve">1.项目编号：JSZC-320900-JCJS-D2026-0002</w:t>
      </w:r>
      <w:r/>
    </w:p>
    <w:p>
      <w:pPr>
        <w:pStyle w:val="2800"/>
        <w:ind w:firstLine="480"/>
        <w:jc w:val="both"/>
        <w:spacing w:beforeAutospacing="0" w:afterAutospacing="0"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盐城市公安局市区交通设施新建改建零星工程采购项目</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3.采购方式：单一来源采购</w:t>
      </w:r>
      <w:r/>
    </w:p>
    <w:p>
      <w:pPr>
        <w:pStyle w:val="2800"/>
        <w:ind w:firstLine="480"/>
        <w:jc w:val="both"/>
        <w:spacing w:beforeAutospacing="0" w:afterAutospacing="0"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289.18</w:t>
      </w:r>
      <w:r>
        <w:rPr>
          <w:rFonts w:hint="eastAsia" w:ascii="宋体" w:hAnsi="宋体" w:cs="宋体"/>
          <w:color w:val="000000" w:themeColor="text1"/>
          <w:sz w:val="24"/>
          <w:szCs w:val="24"/>
          <w:highlight w:val="none"/>
          <w:lang w:eastAsia="zh-CN"/>
          <w14:textFill>
            <w14:solidFill>
              <w14:schemeClr w14:val="tx1"/>
            </w14:solidFill>
          </w14:textFill>
        </w:rPr>
        <w:t xml:space="preserve">万元</w:t>
      </w:r>
      <w:r/>
    </w:p>
    <w:p>
      <w:pPr>
        <w:pStyle w:val="2800"/>
        <w:ind w:firstLine="480"/>
        <w:jc w:val="both"/>
        <w:spacing w:beforeAutospacing="0" w:afterAutospacing="0"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289.18</w:t>
      </w:r>
      <w:r>
        <w:rPr>
          <w:rFonts w:hint="eastAsia" w:ascii="宋体" w:hAnsi="宋体" w:cs="宋体"/>
          <w:color w:val="000000" w:themeColor="text1"/>
          <w:sz w:val="24"/>
          <w:szCs w:val="24"/>
          <w:highlight w:val="none"/>
          <w:lang w:eastAsia="zh-CN"/>
          <w14:textFill>
            <w14:solidFill>
              <w14:schemeClr w14:val="tx1"/>
            </w14:solidFill>
          </w14:textFill>
        </w:rPr>
        <w:t xml:space="preserve">万元</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6.采购需求（简介）：</w:t>
      </w:r>
      <w:r>
        <w:rPr>
          <w:rFonts w:hint="eastAsia" w:ascii="宋体" w:hAnsi="宋体" w:cs="宋体"/>
          <w:color w:val="000000" w:themeColor="text1"/>
          <w:sz w:val="24"/>
          <w:szCs w:val="24"/>
          <w:highlight w:val="none"/>
          <w:lang w:eastAsia="zh-CN"/>
          <w14:textFill>
            <w14:solidFill>
              <w14:schemeClr w14:val="tx1"/>
            </w14:solidFill>
          </w14:textFill>
        </w:rPr>
        <w:t xml:space="preserve">盐城市公安局市区交通设施新建改建零星工程采购</w:t>
      </w:r>
      <w:bookmarkStart w:id="181" w:name="_GoBack"/>
      <w:r/>
      <w:bookmarkEnd w:id="181"/>
      <w:r>
        <w:rPr>
          <w:rFonts w:hint="eastAsia" w:ascii="宋体" w:hAnsi="宋体" w:cs="宋体"/>
          <w:color w:val="000000" w:themeColor="text1"/>
          <w:sz w:val="24"/>
          <w:szCs w:val="24"/>
          <w:highlight w:val="none"/>
          <w14:textFill>
            <w14:solidFill>
              <w14:schemeClr w14:val="tx1"/>
            </w14:solidFill>
          </w14:textFill>
        </w:rPr>
        <w:t xml:space="preserve">，详细内容见本单一来源文件第四章。</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至2026年12月31日</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8.本项目不接受联合体参与单一来源采购活动。</w:t>
      </w:r>
      <w:r/>
    </w:p>
    <w:p>
      <w:pPr>
        <w:pStyle w:val="2800"/>
        <w:ind w:firstLine="498"/>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w:t>
      </w:r>
      <w:bookmarkEnd w:id="12"/>
      <w:r/>
      <w:bookmarkEnd w:id="13"/>
      <w:r/>
      <w:bookmarkEnd w:id="14"/>
      <w:r/>
      <w:bookmarkEnd w:id="15"/>
      <w:r/>
      <w:bookmarkEnd w:id="16"/>
      <w:r>
        <w:rPr>
          <w:rFonts w:hint="eastAsia" w:ascii="宋体" w:hAnsi="宋体" w:cs="宋体"/>
          <w:b/>
          <w:color w:val="000000" w:themeColor="text1"/>
          <w:sz w:val="24"/>
          <w:szCs w:val="24"/>
          <w:highlight w:val="none"/>
          <w14:textFill>
            <w14:solidFill>
              <w14:schemeClr w14:val="tx1"/>
            </w14:solidFill>
          </w14:textFill>
        </w:rPr>
        <w:t xml:space="preserve">合格单一来源供应商资格要求</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1.2上一年度的财务状况报告（成立不满一年无需提供）；</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1.3具备履行合同所必需的设备和专业技术能力的书面声明；</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1.5参加政府采购活动前3年内在经营活动中没有重大违法记录的书面声明。</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1.6法律、行政法规规定的其他条件。</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1.8单位负责人为同一人或者存在直接控股、管理关系的不同供应商，不得参加同一合同项下的政府采购活动。</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落实政府采购政策需满足的资格要求：本项目专门面向中小微企业采购。采购标的的所属行业为租赁和商务服务业，投标人需按照采购文件的要求提供相应的《中小微企业声明函》。企业标准请参照《关于印发中小企业划型标准规定的通知》（工信部联企业[2011]300号）文件规定自行填写。</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3.本项目的特定资格要求：无</w:t>
      </w:r>
      <w:r/>
    </w:p>
    <w:p>
      <w:pPr>
        <w:pStyle w:val="2800"/>
        <w:ind w:firstLine="498"/>
        <w:jc w:val="both"/>
        <w:keepLines/>
        <w:keepNext/>
        <w:spacing w:beforeAutospacing="0" w:afterAutospacing="0"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三、获取单一来源文件</w:t>
      </w:r>
      <w:r/>
    </w:p>
    <w:p>
      <w:pPr>
        <w:pStyle w:val="2800"/>
        <w:ind w:firstLine="498"/>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1.时间：自采购文件在苏采云系统发布之日起至投标截止时间前。</w:t>
      </w:r>
      <w:r/>
    </w:p>
    <w:p>
      <w:pPr>
        <w:ind w:firstLine="480"/>
        <w:jc w:val="left"/>
        <w:spacing w:line="48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3.方式：本项目采用网上注册登记方式。 </w:t>
      </w:r>
      <w:r/>
    </w:p>
    <w:p>
      <w:pPr>
        <w:ind w:firstLine="480"/>
        <w:jc w:val="left"/>
        <w:spacing w:line="48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4.售价：0元</w:t>
      </w:r>
      <w:r/>
    </w:p>
    <w:p>
      <w:pPr>
        <w:pStyle w:val="2800"/>
        <w:ind w:firstLine="498"/>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7" w:name="_Toc35393624"/>
      <w:r/>
      <w:bookmarkStart w:id="18" w:name="_Toc38985266"/>
      <w:r/>
      <w:bookmarkStart w:id="19" w:name="_Toc28359082"/>
      <w:r/>
      <w:bookmarkStart w:id="20" w:name="_Toc35393793"/>
      <w:r/>
      <w:bookmarkStart w:id="21" w:name="_Toc28359005"/>
      <w:r>
        <w:rPr>
          <w:rFonts w:hint="eastAsia" w:ascii="宋体" w:hAnsi="宋体" w:cs="宋体"/>
          <w:b/>
          <w:color w:val="000000" w:themeColor="text1"/>
          <w:sz w:val="24"/>
          <w:szCs w:val="24"/>
          <w:highlight w:val="none"/>
          <w14:textFill>
            <w14:solidFill>
              <w14:schemeClr w14:val="tx1"/>
            </w14:solidFill>
          </w14:textFill>
        </w:rPr>
        <w:t xml:space="preserve">三、提交</w:t>
      </w:r>
      <w:bookmarkEnd w:id="17"/>
      <w:r/>
      <w:bookmarkEnd w:id="18"/>
      <w:r>
        <w:rPr>
          <w:rFonts w:hint="eastAsia" w:ascii="宋体" w:hAnsi="宋体" w:cs="宋体"/>
          <w:b/>
          <w:color w:val="000000" w:themeColor="text1"/>
          <w:sz w:val="24"/>
          <w:szCs w:val="24"/>
          <w:highlight w:val="none"/>
          <w14:textFill>
            <w14:solidFill>
              <w14:schemeClr w14:val="tx1"/>
            </w14:solidFill>
          </w14:textFill>
        </w:rPr>
        <w:t xml:space="preserve">响应文件截止时间</w:t>
      </w:r>
      <w:bookmarkEnd w:id="19"/>
      <w:r/>
      <w:bookmarkEnd w:id="20"/>
      <w:r/>
      <w:bookmarkEnd w:id="21"/>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5"/>
      <w:r/>
      <w:bookmarkStart w:id="23" w:name="_Toc35393796"/>
      <w:r/>
      <w:bookmarkStart w:id="24" w:name="_Toc28359008"/>
      <w:r/>
      <w:bookmarkStart w:id="25" w:name="_Toc35393627"/>
      <w:r/>
      <w:bookmarkStart w:id="26" w:name="_Toc38985269"/>
      <w:r>
        <w:rPr>
          <w:rFonts w:hint="eastAsia" w:ascii="宋体" w:hAnsi="宋体" w:cs="宋体"/>
          <w:color w:val="000000" w:themeColor="text1"/>
          <w:sz w:val="24"/>
          <w:szCs w:val="24"/>
          <w:highlight w:val="none"/>
          <w14:textFill>
            <w14:solidFill>
              <w14:schemeClr w14:val="tx1"/>
            </w14:solidFill>
          </w14:textFill>
        </w:rPr>
        <w:t xml:space="preserve">1.截止时间：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2026</w:t>
      </w:r>
      <w:r>
        <w:rPr>
          <w:rFonts w:hint="eastAsia" w:ascii="宋体" w:hAnsi="宋体" w:cs="宋体"/>
          <w:color w:val="000000" w:themeColor="text1"/>
          <w:sz w:val="24"/>
          <w:szCs w:val="24"/>
          <w:highlight w:val="none"/>
          <w:u w:val="single"/>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u w:val="single"/>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u w:val="single"/>
          <w14:textFill>
            <w14:solidFill>
              <w14:schemeClr w14:val="tx1"/>
            </w14:solidFill>
          </w14:textFill>
        </w:rPr>
        <w:t xml:space="preserve">日</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17</w:t>
      </w:r>
      <w:r>
        <w:rPr>
          <w:rFonts w:hint="eastAsia" w:ascii="宋体" w:hAnsi="宋体" w:cs="宋体"/>
          <w:color w:val="000000" w:themeColor="text1"/>
          <w:sz w:val="24"/>
          <w:szCs w:val="24"/>
          <w:highlight w:val="none"/>
          <w:u w:val="single"/>
          <w14:textFill>
            <w14:solidFill>
              <w14:schemeClr w14:val="tx1"/>
            </w14:solidFill>
          </w14:textFill>
        </w:rPr>
        <w:t xml:space="preserve">点</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cs="宋体"/>
          <w:color w:val="000000" w:themeColor="text1"/>
          <w:sz w:val="24"/>
          <w:szCs w:val="24"/>
          <w:highlight w:val="none"/>
          <w:u w:val="singl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2.地点：苏采云“不见面”开标大厅 。</w:t>
      </w:r>
      <w:r/>
    </w:p>
    <w:p>
      <w:pPr>
        <w:pStyle w:val="2800"/>
        <w:ind w:firstLine="498"/>
        <w:jc w:val="both"/>
        <w:keepLines/>
        <w:keepNext/>
        <w:spacing w:beforeAutospacing="0" w:afterAutospacing="0"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四、其他</w:t>
      </w:r>
      <w:bookmarkEnd w:id="22"/>
      <w:r/>
      <w:bookmarkEnd w:id="23"/>
      <w:r/>
      <w:bookmarkEnd w:id="24"/>
      <w:r/>
      <w:bookmarkEnd w:id="25"/>
      <w:r/>
      <w:bookmarkEnd w:id="26"/>
      <w:r/>
      <w:bookmarkStart w:id="27" w:name="_Toc28359086"/>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2.潜在投标人访问电子招标响应交易平台的网络地址和方法：</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2.1“苏采云”系统用户注册--获取“CA 数字证书”--CA 绑定与登录--参与投标--下载招标文件（后缀名为“.kedt”）--将后缀名为“.kedt”的招标文件导入政府采购客户端工具--制作响应文件--导出加密的响应文件（后缀名为 zip）--通过“苏采云”系统上传响应文件。具体见《“苏采云”系统投标人操作手册》（手册下载地址：苏采云系统-右侧消息通知栏）。</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潜在投标人访问“苏采云”系统方法：江苏省政府采购网首页-“苏采云”链接。</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 招标文件（后缀名为“.kedt”）、投标人操作手册及政府采购客户端工具可通过“苏采云”系统相应链接进行下载。</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 采购代理机构将数据电文形式的招标文件加载至“苏采云”系统，供潜在投标人下载或者查阅。</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 请潜在投标单位提前安装相应的控件（详见《“苏采云”系统投标人操作手册》）并使用谷歌浏览器登录“苏采云”系统参与不见面开评标。</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如潜在投标人未按上述要求操作，将自行承担所产生的风险。</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3.有关本次招标的事项若存在变动或修改，敬请及时关注在“中国政府采购网”、“江苏政府采购网”、“盐城市政府采购网”发布的更正公告。</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4.本次招标不收取投标保证金，不收取质量保证金</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2800"/>
        <w:numPr>
          <w:ilvl w:val="0"/>
          <w:numId w:val="0"/>
        </w:numPr>
        <w:ind w:firstLine="482"/>
        <w:jc w:val="both"/>
        <w:spacing w:beforeAutospacing="0" w:afterAutospacing="0" w:line="480" w:lineRule="exact"/>
        <w:tabs>
          <w:tab w:val="left" w:pos="901"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五、凡对本次采购提出询问，请按以下方式联系。</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称：盐城市公安局  </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地址：盐城市平安路9号 </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联系人：江警官              </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联系方式：0515-83220095     </w:t>
      </w:r>
      <w:bookmarkStart w:id="28" w:name="_Toc28359009"/>
      <w:r/>
      <w:bookmarkEnd w:id="28"/>
      <w:r>
        <w:rPr>
          <w:rFonts w:hint="eastAsia" w:ascii="宋体" w:hAnsi="宋体" w:cs="宋体"/>
          <w:color w:val="000000" w:themeColor="text1"/>
          <w:sz w:val="24"/>
          <w:szCs w:val="24"/>
          <w:highlight w:val="none"/>
          <w14:textFill>
            <w14:solidFill>
              <w14:schemeClr w14:val="tx1"/>
            </w14:solidFill>
          </w14:textFill>
        </w:rPr>
        <w:t xml:space="preserve">       </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2.采购代理机构信息</w:t>
      </w:r>
      <w:bookmarkStart w:id="29" w:name="_Toc28359010"/>
      <w:r/>
      <w:bookmarkStart w:id="30" w:name="_Toc28359087"/>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称：江苏捷诚建设项目管理咨询有限公司</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址：盐城市盐都区紫金大厦506室</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联系人：吉胜                     </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联系方式：18912509153       </w:t>
      </w:r>
      <w:bookmarkEnd w:id="29"/>
      <w:r/>
      <w:bookmarkEnd w:id="30"/>
      <w:r>
        <w:rPr>
          <w:rFonts w:hint="eastAsia" w:ascii="宋体" w:hAnsi="宋体" w:cs="宋体"/>
          <w:color w:val="000000" w:themeColor="text1"/>
          <w:sz w:val="24"/>
          <w:szCs w:val="24"/>
          <w:highlight w:val="none"/>
          <w14:textFill>
            <w14:solidFill>
              <w14:schemeClr w14:val="tx1"/>
            </w14:solidFill>
          </w14:textFill>
        </w:rPr>
        <w:t xml:space="preserve">            </w:t>
      </w:r>
      <w:bookmarkStart w:id="31" w:name="_Toc28359021"/>
      <w:r/>
      <w:bookmarkEnd w:id="31"/>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项目联系人：江警官</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　　 话：0515-83220095　　　　　　　　　　　　</w:t>
      </w:r>
      <w:r/>
    </w:p>
    <w:p>
      <w:pP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clear="all"/>
      </w:r>
      <w:r/>
    </w:p>
    <w:p>
      <w:pPr>
        <w:pStyle w:val="2800"/>
        <w:jc w:val="center"/>
        <w:keepLines/>
        <w:keepNext/>
        <w:spacing w:before="260" w:beforeAutospacing="0" w:after="260" w:afterAutospacing="0" w:line="415" w:lineRule="auto"/>
        <w:rPr>
          <w:rFonts w:hint="default"/>
          <w:color w:val="000000" w:themeColor="text1"/>
          <w:sz w:val="24"/>
          <w:szCs w:val="24"/>
          <w:highlight w:val="none"/>
          <w14:textFill>
            <w14:solidFill>
              <w14:schemeClr w14:val="tx1"/>
            </w14:solidFill>
          </w14:textFill>
        </w:rPr>
      </w:pPr>
      <w:r/>
      <w:bookmarkStart w:id="32" w:name="_Toc120614211"/>
      <w:r>
        <w:rPr>
          <w:rFonts w:hint="eastAsia" w:ascii="黑体" w:hAnsi="宋体" w:eastAsia="黑体" w:cs="黑体"/>
          <w:b/>
          <w:color w:val="000000" w:themeColor="text1"/>
          <w:sz w:val="44"/>
          <w:szCs w:val="44"/>
          <w:highlight w:val="none"/>
          <w14:textFill>
            <w14:solidFill>
              <w14:schemeClr w14:val="tx1"/>
            </w14:solidFill>
          </w14:textFill>
        </w:rPr>
        <w:t xml:space="preserve">第二章  </w:t>
      </w:r>
      <w:bookmarkEnd w:id="32"/>
      <w:r>
        <w:rPr>
          <w:rFonts w:hint="eastAsia" w:ascii="黑体" w:hAnsi="宋体" w:eastAsia="黑体" w:cs="黑体"/>
          <w:b/>
          <w:color w:val="000000" w:themeColor="text1"/>
          <w:sz w:val="44"/>
          <w:szCs w:val="44"/>
          <w:highlight w:val="none"/>
          <w14:textFill>
            <w14:solidFill>
              <w14:schemeClr w14:val="tx1"/>
            </w14:solidFill>
          </w14:textFill>
        </w:rPr>
        <w:t xml:space="preserve">供应商须知</w:t>
      </w:r>
      <w:r/>
    </w:p>
    <w:p>
      <w:pPr>
        <w:pStyle w:val="2800"/>
        <w:ind w:firstLine="498"/>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33" w:name="_Toc16938519"/>
      <w:r/>
      <w:bookmarkStart w:id="34" w:name="_Toc20823275"/>
      <w:r/>
      <w:bookmarkStart w:id="35" w:name="_Toc513029203"/>
      <w:r/>
      <w:bookmarkStart w:id="36" w:name="_Toc120614214"/>
      <w:r>
        <w:rPr>
          <w:rFonts w:hint="eastAsia" w:ascii="宋体" w:hAnsi="宋体" w:cs="宋体"/>
          <w:b/>
          <w:color w:val="000000" w:themeColor="text1"/>
          <w:sz w:val="24"/>
          <w:szCs w:val="24"/>
          <w:highlight w:val="none"/>
          <w14:textFill>
            <w14:solidFill>
              <w14:schemeClr w14:val="tx1"/>
            </w14:solidFill>
          </w14:textFill>
        </w:rPr>
        <w:t xml:space="preserve">一、总则</w:t>
      </w:r>
      <w:bookmarkEnd w:id="33"/>
      <w:r/>
      <w:bookmarkEnd w:id="34"/>
      <w:r/>
      <w:bookmarkEnd w:id="35"/>
      <w:r/>
      <w:bookmarkEnd w:id="36"/>
      <w:r/>
      <w:r/>
    </w:p>
    <w:p>
      <w:pPr>
        <w:pStyle w:val="2800"/>
        <w:ind w:firstLine="48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37" w:name="_Toc20823276"/>
      <w:r/>
      <w:bookmarkStart w:id="38" w:name="_Toc458694821"/>
      <w:r/>
      <w:bookmarkStart w:id="39" w:name="_Toc513029204"/>
      <w:r/>
      <w:bookmarkStart w:id="40" w:name="_Toc16938520"/>
      <w:r/>
      <w:bookmarkStart w:id="41" w:name="_Hlt16619475"/>
      <w:r>
        <w:rPr>
          <w:rFonts w:hint="eastAsia" w:ascii="宋体" w:hAnsi="宋体" w:cs="宋体"/>
          <w:color w:val="000000" w:themeColor="text1"/>
          <w:sz w:val="24"/>
          <w:szCs w:val="24"/>
          <w:highlight w:val="none"/>
          <w14:textFill>
            <w14:solidFill>
              <w14:schemeClr w14:val="tx1"/>
            </w14:solidFill>
          </w14:textFill>
        </w:rPr>
        <w:t xml:space="preserve">1</w:t>
      </w:r>
      <w:bookmarkEnd w:id="37"/>
      <w:r>
        <w:rPr>
          <w:rFonts w:hint="eastAsia" w:ascii="宋体" w:hAnsi="宋体" w:cs="宋体"/>
          <w:color w:val="000000" w:themeColor="text1"/>
          <w:sz w:val="24"/>
          <w:szCs w:val="24"/>
          <w:highlight w:val="none"/>
          <w14:textFill>
            <w14:solidFill>
              <w14:schemeClr w14:val="tx1"/>
            </w14:solidFill>
          </w14:textFill>
        </w:rPr>
        <w:t xml:space="preserve">、采购方式</w:t>
      </w:r>
      <w:bookmarkEnd w:id="38"/>
      <w:r/>
      <w:bookmarkEnd w:id="39"/>
      <w:r/>
      <w:bookmarkEnd w:id="40"/>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本次政府采购活动采取单一来源采购方式。</w:t>
      </w:r>
      <w:r/>
    </w:p>
    <w:p>
      <w:pPr>
        <w:pStyle w:val="2800"/>
        <w:ind w:firstLine="48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42" w:name="_Toc513029205"/>
      <w:r/>
      <w:bookmarkStart w:id="43" w:name="_Toc20823277"/>
      <w:r/>
      <w:bookmarkStart w:id="44" w:name="_Toc16938521"/>
      <w:r>
        <w:rPr>
          <w:rFonts w:hint="eastAsia" w:ascii="宋体" w:hAnsi="宋体" w:cs="宋体"/>
          <w:color w:val="000000" w:themeColor="text1"/>
          <w:sz w:val="24"/>
          <w:szCs w:val="24"/>
          <w:highlight w:val="none"/>
          <w14:textFill>
            <w14:solidFill>
              <w14:schemeClr w14:val="tx1"/>
            </w14:solidFill>
          </w14:textFill>
        </w:rPr>
        <w:t xml:space="preserve">2、合格的</w:t>
      </w:r>
      <w:bookmarkEnd w:id="42"/>
      <w:r/>
      <w:bookmarkEnd w:id="43"/>
      <w:r/>
      <w:bookmarkEnd w:id="44"/>
      <w:r>
        <w:rPr>
          <w:rFonts w:hint="eastAsia" w:ascii="宋体" w:hAnsi="宋体" w:cs="宋体"/>
          <w:color w:val="000000" w:themeColor="text1"/>
          <w:sz w:val="24"/>
          <w:szCs w:val="24"/>
          <w:highlight w:val="none"/>
          <w14:textFill>
            <w14:solidFill>
              <w14:schemeClr w14:val="tx1"/>
            </w14:solidFill>
          </w14:textFill>
        </w:rPr>
        <w:t xml:space="preserve">供应商</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45" w:name="_Toc20823278"/>
      <w:r/>
      <w:bookmarkStart w:id="46" w:name="_Toc16938522"/>
      <w:r/>
      <w:bookmarkStart w:id="47" w:name="_Toc513029206"/>
      <w:r>
        <w:rPr>
          <w:rFonts w:hint="eastAsia" w:ascii="宋体" w:hAnsi="宋体" w:cs="宋体"/>
          <w:color w:val="000000" w:themeColor="text1"/>
          <w:sz w:val="24"/>
          <w:szCs w:val="24"/>
          <w:highlight w:val="none"/>
          <w14:textFill>
            <w14:solidFill>
              <w14:schemeClr w14:val="tx1"/>
            </w14:solidFill>
          </w14:textFill>
        </w:rPr>
        <w:t xml:space="preserve">2. 1 满足采购文件中合格单一来源供应商资格要求的规定。</w:t>
      </w:r>
      <w:bookmarkEnd w:id="45"/>
      <w:r/>
      <w:bookmarkEnd w:id="46"/>
      <w:r/>
      <w:bookmarkEnd w:id="47"/>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2 满足本采购文件实质性条款的规定。</w:t>
      </w:r>
      <w:r/>
    </w:p>
    <w:p>
      <w:pPr>
        <w:ind w:firstLine="480"/>
        <w:spacing w:line="48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bookmarkStart w:id="48" w:name="_Toc513029207"/>
      <w:r/>
      <w:bookmarkStart w:id="49" w:name="_Toc16938523"/>
      <w:r/>
      <w:bookmarkStart w:id="50" w:name="_Toc20823279"/>
      <w:r/>
      <w:bookmarkStart w:id="51" w:name="_Toc462564067"/>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3、适用法律和标准</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3.2 在本项目政府采购活动过程中，如果所执行的标准有更新的，按照最新标准执行。</w:t>
      </w:r>
      <w:r/>
    </w:p>
    <w:p>
      <w:pPr>
        <w:pStyle w:val="2800"/>
        <w:ind w:firstLine="48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4、相关费用</w:t>
      </w:r>
      <w:bookmarkEnd w:id="48"/>
      <w:r/>
      <w:bookmarkEnd w:id="49"/>
      <w:r/>
      <w:bookmarkEnd w:id="50"/>
      <w:r/>
      <w:bookmarkEnd w:id="51"/>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4.1供应商应自行承担所有与参加本次采购有关的费用，无论采购过程中的做法和结果如何，采购人和代理机构在任何情况下均无义务和责任承担这些费用。</w:t>
      </w:r>
      <w:r/>
    </w:p>
    <w:p>
      <w:pPr>
        <w:pStyle w:val="2800"/>
        <w:ind w:firstLine="482"/>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采购文件的约束力</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2800"/>
        <w:ind w:firstLine="482"/>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52" w:name="_Toc513029209"/>
      <w:r/>
      <w:bookmarkStart w:id="53" w:name="_Toc16938525"/>
      <w:r/>
      <w:bookmarkStart w:id="54" w:name="_Toc20823281"/>
      <w:r/>
      <w:bookmarkStart w:id="55" w:name="_Toc120614215"/>
      <w:r>
        <w:rPr>
          <w:rFonts w:hint="eastAsia" w:ascii="宋体" w:hAnsi="宋体" w:cs="宋体"/>
          <w:b/>
          <w:color w:val="000000" w:themeColor="text1"/>
          <w:sz w:val="24"/>
          <w:szCs w:val="24"/>
          <w:highlight w:val="none"/>
          <w14:textFill>
            <w14:solidFill>
              <w14:schemeClr w14:val="tx1"/>
            </w14:solidFill>
          </w14:textFill>
        </w:rPr>
        <w:t xml:space="preserve">二、</w:t>
      </w:r>
      <w:bookmarkEnd w:id="52"/>
      <w:r/>
      <w:bookmarkEnd w:id="53"/>
      <w:r/>
      <w:bookmarkEnd w:id="54"/>
      <w:r/>
      <w:bookmarkEnd w:id="55"/>
      <w:r>
        <w:rPr>
          <w:rFonts w:hint="eastAsia" w:ascii="宋体" w:hAnsi="宋体" w:cs="宋体"/>
          <w:b/>
          <w:color w:val="000000" w:themeColor="text1"/>
          <w:sz w:val="24"/>
          <w:szCs w:val="24"/>
          <w:highlight w:val="none"/>
          <w14:textFill>
            <w14:solidFill>
              <w14:schemeClr w14:val="tx1"/>
            </w14:solidFill>
          </w14:textFill>
        </w:rPr>
        <w:t xml:space="preserve">采购文件</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56" w:name="_Toc513029210"/>
      <w:r/>
      <w:bookmarkStart w:id="57" w:name="_Toc20823282"/>
      <w:r/>
      <w:bookmarkStart w:id="58" w:name="_Toc16938526"/>
      <w:r>
        <w:rPr>
          <w:rFonts w:hint="eastAsia" w:ascii="宋体" w:hAnsi="宋体" w:cs="宋体"/>
          <w:color w:val="000000" w:themeColor="text1"/>
          <w:sz w:val="24"/>
          <w:szCs w:val="24"/>
          <w:highlight w:val="none"/>
          <w14:textFill>
            <w14:solidFill>
              <w14:schemeClr w14:val="tx1"/>
            </w14:solidFill>
          </w14:textFill>
        </w:rPr>
        <w:t xml:space="preserve">6、采购文件构成</w:t>
      </w:r>
      <w:bookmarkEnd w:id="56"/>
      <w:r/>
      <w:bookmarkEnd w:id="57"/>
      <w:r/>
      <w:bookmarkEnd w:id="58"/>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6.1采购文件由以下部分组成：</w:t>
      </w:r>
      <w:r/>
    </w:p>
    <w:p>
      <w:pPr>
        <w:pStyle w:val="2800"/>
        <w:ind w:firstLine="36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（1）单一来源采购邀请</w:t>
      </w:r>
      <w:r/>
    </w:p>
    <w:p>
      <w:pPr>
        <w:pStyle w:val="2800"/>
        <w:ind w:firstLine="36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（2）供应商须知</w:t>
      </w:r>
      <w:r/>
    </w:p>
    <w:p>
      <w:pPr>
        <w:pStyle w:val="2800"/>
        <w:ind w:firstLine="36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（3）合同文本</w:t>
      </w:r>
      <w:r/>
    </w:p>
    <w:p>
      <w:pPr>
        <w:pStyle w:val="2800"/>
        <w:ind w:firstLine="36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（4）采购需求</w:t>
      </w:r>
      <w:r/>
    </w:p>
    <w:p>
      <w:pPr>
        <w:pStyle w:val="2800"/>
        <w:ind w:firstLine="36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（5）响应文件格式</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请仔细检查采购文件是否齐全，如有缺漏请立即与代理机构联系解决。</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2800"/>
        <w:ind w:firstLine="56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59" w:name="_Toc20823283"/>
      <w:r/>
      <w:bookmarkStart w:id="60" w:name="_Toc513029211"/>
      <w:r/>
      <w:bookmarkStart w:id="61" w:name="_Toc16938527"/>
      <w:r/>
      <w:bookmarkStart w:id="62" w:name="_Toc462564070"/>
      <w:r>
        <w:rPr>
          <w:rFonts w:hint="eastAsia" w:ascii="宋体" w:hAnsi="宋体" w:cs="宋体"/>
          <w:color w:val="000000" w:themeColor="text1"/>
          <w:sz w:val="24"/>
          <w:szCs w:val="24"/>
          <w:highlight w:val="none"/>
          <w14:textFill>
            <w14:solidFill>
              <w14:schemeClr w14:val="tx1"/>
            </w14:solidFill>
          </w14:textFill>
        </w:rPr>
        <w:t xml:space="preserve">7、采购文件的澄清</w:t>
      </w:r>
      <w:bookmarkEnd w:id="59"/>
      <w:r/>
      <w:bookmarkEnd w:id="60"/>
      <w:r/>
      <w:bookmarkEnd w:id="61"/>
      <w:r/>
      <w:bookmarkEnd w:id="62"/>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63" w:name="_Toc462564071"/>
      <w:r/>
      <w:bookmarkStart w:id="64" w:name="_Toc513029212"/>
      <w:r/>
      <w:bookmarkStart w:id="65" w:name="_Toc16938528"/>
      <w:r/>
      <w:bookmarkStart w:id="66" w:name="_Toc20823284"/>
      <w:r>
        <w:rPr>
          <w:rFonts w:hint="eastAsia" w:ascii="宋体" w:hAnsi="宋体" w:cs="宋体"/>
          <w:color w:val="000000" w:themeColor="text1"/>
          <w:sz w:val="24"/>
          <w:szCs w:val="24"/>
          <w:highlight w:val="none"/>
          <w14:textFill>
            <w14:solidFill>
              <w14:schemeClr w14:val="tx1"/>
            </w14:solidFill>
          </w14:textFill>
        </w:rPr>
        <w:t xml:space="preserve">7.1 供应商如果要求对采购文件进行澄清的，应在响应文件接收截止时间（以下简称“截止时间”）</w:t>
      </w:r>
      <w:r>
        <w:rPr>
          <w:rFonts w:hint="eastAsia" w:ascii="宋体" w:hAnsi="宋体" w:cs="宋体"/>
          <w:b/>
          <w:color w:val="000000" w:themeColor="text1"/>
          <w:sz w:val="24"/>
          <w:szCs w:val="24"/>
          <w:highlight w:val="none"/>
          <w14:textFill>
            <w14:solidFill>
              <w14:schemeClr w14:val="tx1"/>
            </w14:solidFill>
          </w14:textFill>
        </w:rPr>
        <w:t xml:space="preserve">三天</w:t>
      </w:r>
      <w:r>
        <w:rPr>
          <w:rFonts w:hint="eastAsia" w:ascii="宋体" w:hAnsi="宋体" w:cs="宋体"/>
          <w:color w:val="000000" w:themeColor="text1"/>
          <w:sz w:val="24"/>
          <w:szCs w:val="24"/>
          <w:highlight w:val="none"/>
          <w14:textFill>
            <w14:solidFill>
              <w14:schemeClr w14:val="tx1"/>
            </w14:solidFill>
          </w14:textFill>
        </w:rPr>
        <w:t xml:space="preserve">前，在苏采云系统中通知代理机构。代理机构将在苏采云系统中对澄清要求予以答复。</w:t>
      </w:r>
      <w:bookmarkEnd w:id="63"/>
      <w:r/>
      <w:bookmarkEnd w:id="64"/>
      <w:r/>
      <w:bookmarkEnd w:id="65"/>
      <w:r/>
      <w:bookmarkEnd w:id="66"/>
      <w:r/>
      <w:r/>
    </w:p>
    <w:p>
      <w:pPr>
        <w:pStyle w:val="2800"/>
        <w:ind w:firstLine="56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67" w:name="_Toc120614216"/>
      <w:r/>
      <w:bookmarkStart w:id="68" w:name="_Toc513029213"/>
      <w:r/>
      <w:bookmarkStart w:id="69" w:name="_Toc20823285"/>
      <w:r/>
      <w:bookmarkStart w:id="70" w:name="_Toc462564072"/>
      <w:r/>
      <w:bookmarkStart w:id="71" w:name="_Toc16938529"/>
      <w:r>
        <w:rPr>
          <w:rFonts w:hint="eastAsia" w:ascii="宋体" w:hAnsi="宋体" w:cs="宋体"/>
          <w:color w:val="000000" w:themeColor="text1"/>
          <w:sz w:val="24"/>
          <w:szCs w:val="24"/>
          <w:highlight w:val="none"/>
          <w14:textFill>
            <w14:solidFill>
              <w14:schemeClr w14:val="tx1"/>
            </w14:solidFill>
          </w14:textFill>
        </w:rPr>
        <w:t xml:space="preserve">8、采购文件的修改</w:t>
      </w:r>
      <w:bookmarkEnd w:id="67"/>
      <w:r/>
      <w:bookmarkEnd w:id="68"/>
      <w:r/>
      <w:bookmarkEnd w:id="69"/>
      <w:r/>
      <w:bookmarkEnd w:id="70"/>
      <w:r/>
      <w:bookmarkEnd w:id="71"/>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8.1 在截止时间前，代理机构可以以补充文件的方式对采购文件进行修改。</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8.2代理机构有权按照政府采购的有关要求推迟截止时间。</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8.3采购文件的补充文件将作为采购文件的组成部分，并对供应商具有约束力。</w:t>
      </w:r>
      <w:r/>
    </w:p>
    <w:p>
      <w:pPr>
        <w:pStyle w:val="2800"/>
        <w:ind w:firstLine="482"/>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三、响应文件的编制</w:t>
      </w:r>
      <w:r/>
    </w:p>
    <w:p>
      <w:pPr>
        <w:pStyle w:val="2800"/>
        <w:ind w:firstLine="56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72" w:name="_Toc20823286"/>
      <w:r/>
      <w:bookmarkStart w:id="73" w:name="_Toc462564073"/>
      <w:r/>
      <w:bookmarkStart w:id="74" w:name="_Toc513029214"/>
      <w:r/>
      <w:bookmarkStart w:id="75" w:name="_Toc16938530"/>
      <w:r>
        <w:rPr>
          <w:rFonts w:hint="eastAsia" w:ascii="宋体" w:hAnsi="宋体" w:cs="宋体"/>
          <w:color w:val="000000" w:themeColor="text1"/>
          <w:sz w:val="24"/>
          <w:szCs w:val="24"/>
          <w:highlight w:val="none"/>
          <w14:textFill>
            <w14:solidFill>
              <w14:schemeClr w14:val="tx1"/>
            </w14:solidFill>
          </w14:textFill>
        </w:rPr>
        <w:t xml:space="preserve">9、响应文件的语言及度量衡单位</w:t>
      </w:r>
      <w:bookmarkEnd w:id="72"/>
      <w:r/>
      <w:bookmarkEnd w:id="73"/>
      <w:r/>
      <w:bookmarkEnd w:id="74"/>
      <w:r/>
      <w:bookmarkEnd w:id="75"/>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9.1供应商提交的响应文件以及供应商与代理机构就有关采购活动的所有来往通知、函件和文件均应使用</w:t>
      </w:r>
      <w:r>
        <w:rPr>
          <w:rFonts w:hint="eastAsia" w:ascii="宋体" w:hAnsi="宋体" w:cs="宋体"/>
          <w:b/>
          <w:color w:val="000000" w:themeColor="text1"/>
          <w:sz w:val="24"/>
          <w:szCs w:val="24"/>
          <w:highlight w:val="none"/>
          <w14:textFill>
            <w14:solidFill>
              <w14:schemeClr w14:val="tx1"/>
            </w14:solidFill>
          </w14:textFill>
        </w:rPr>
        <w:t xml:space="preserve">简体中文</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9.2 除技术性能另有规定外，响应文件所使用的度量衡单位，均须采用国家法定计量单位。</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76" w:name="_Toc20823287"/>
      <w:r/>
      <w:bookmarkStart w:id="77" w:name="_Toc513029215"/>
      <w:r/>
      <w:bookmarkStart w:id="78" w:name="_Toc16938531"/>
      <w:r/>
      <w:bookmarkStart w:id="79" w:name="_Toc462564074"/>
      <w:r>
        <w:rPr>
          <w:rFonts w:hint="eastAsia" w:ascii="宋体" w:hAnsi="宋体" w:cs="宋体"/>
          <w:color w:val="000000" w:themeColor="text1"/>
          <w:sz w:val="24"/>
          <w:szCs w:val="24"/>
          <w:highlight w:val="none"/>
          <w14:textFill>
            <w14:solidFill>
              <w14:schemeClr w14:val="tx1"/>
            </w14:solidFill>
          </w14:textFill>
        </w:rPr>
        <w:t xml:space="preserve">10、响应文件构成</w:t>
      </w:r>
      <w:bookmarkEnd w:id="76"/>
      <w:r/>
      <w:bookmarkEnd w:id="77"/>
      <w:r/>
      <w:bookmarkEnd w:id="78"/>
      <w:r/>
      <w:bookmarkEnd w:id="79"/>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80" w:name="_Toc49090508"/>
      <w:r/>
      <w:bookmarkStart w:id="81" w:name="_Toc14577357"/>
      <w:r/>
      <w:bookmarkStart w:id="82" w:name="_Toc14577355"/>
      <w:r/>
      <w:bookmarkStart w:id="83" w:name="_Toc513029216"/>
      <w:r/>
      <w:bookmarkStart w:id="84" w:name="_Toc49090509"/>
      <w:r/>
      <w:bookmarkStart w:id="85" w:name="_Toc513029219"/>
      <w:r/>
      <w:bookmarkStart w:id="86" w:name="_Toc14577354"/>
      <w:r/>
      <w:bookmarkStart w:id="87" w:name="_Toc49090507"/>
      <w:r/>
      <w:bookmarkStart w:id="88" w:name="_Hlt26954838"/>
      <w:r/>
      <w:bookmarkStart w:id="89" w:name="_Hlt26670360"/>
      <w:r/>
      <w:bookmarkStart w:id="90" w:name="_Hlt26668975"/>
      <w:r>
        <w:rPr>
          <w:rFonts w:hint="eastAsia" w:ascii="宋体" w:hAnsi="宋体" w:cs="宋体"/>
          <w:color w:val="000000" w:themeColor="text1"/>
          <w:sz w:val="24"/>
          <w:szCs w:val="24"/>
          <w:highlight w:val="none"/>
          <w14:textFill>
            <w14:solidFill>
              <w14:schemeClr w14:val="tx1"/>
            </w14:solidFill>
          </w14:textFill>
        </w:rPr>
        <w:t xml:space="preserve">10.1 供应商编写的响应文件应包括资格证明文件、符合性证明文件、分项报价表、技术要求响应及偏离表、商务要求响应及偏离表、其他证明文件、单一来源响应函等部分。</w:t>
      </w:r>
      <w:bookmarkEnd w:id="80"/>
      <w:r/>
      <w:bookmarkEnd w:id="81"/>
      <w:r/>
      <w:bookmarkEnd w:id="82"/>
      <w:r/>
      <w:bookmarkEnd w:id="83"/>
      <w:r/>
      <w:bookmarkEnd w:id="84"/>
      <w:r/>
      <w:bookmarkEnd w:id="85"/>
      <w:r/>
      <w:bookmarkEnd w:id="86"/>
      <w:r/>
      <w:bookmarkEnd w:id="87"/>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11、证明供应商及响应标的符合采购文件规定的文件</w:t>
      </w:r>
      <w:r/>
    </w:p>
    <w:p>
      <w:pPr>
        <w:pStyle w:val="28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11.1 供应商应按照法律、法规、规章和规范性文件以及采购文件要求提交证明文件，证明其响应标的符合采购文件规定。</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11.2采购文件对证明文件无明确形式要求的，证明文件可以以文字资料、图纸和数据等形式提交。</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12、分项报价表</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91" w:name="_Hlt26670482"/>
      <w:r/>
      <w:bookmarkStart w:id="92" w:name="_Hlt26954848"/>
      <w:r/>
      <w:bookmarkStart w:id="93" w:name="_Hlt26954731"/>
      <w:r/>
      <w:bookmarkStart w:id="94" w:name="_Hlt26670486"/>
      <w:r/>
      <w:bookmarkStart w:id="95" w:name="_Hlt26954846"/>
      <w:r>
        <w:rPr>
          <w:rFonts w:hint="eastAsia" w:ascii="宋体" w:hAnsi="宋体" w:cs="宋体"/>
          <w:color w:val="000000" w:themeColor="text1"/>
          <w:sz w:val="24"/>
          <w:szCs w:val="24"/>
          <w:highlight w:val="none"/>
          <w14:textFill>
            <w14:solidFill>
              <w14:schemeClr w14:val="tx1"/>
            </w14:solidFill>
          </w14:textFill>
        </w:rPr>
        <w:t xml:space="preserve">12.1 供应商应按照采购文件规定格式填报分项报价表。</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12.2报价货币。响应文件中的单价和总价无特殊规定的采用人民币报价，以元为单位标注。采购文件中另有规定的按规定执行。</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13、技术要求响应及偏离表、商务要求响应及偏离表</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13.1供应商需对采购文件中的技术要求与商务要求逐项作出响应或偏离，并说明原因。</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13.2供应商可在响应文件中提供认为需要的其他技术文件或说明。</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96" w:name="_Toc49090510"/>
      <w:r/>
      <w:bookmarkStart w:id="97" w:name="_Toc14577359"/>
      <w:r>
        <w:rPr>
          <w:rFonts w:hint="eastAsia" w:ascii="宋体" w:hAnsi="宋体" w:cs="宋体"/>
          <w:color w:val="000000" w:themeColor="text1"/>
          <w:sz w:val="24"/>
          <w:szCs w:val="24"/>
          <w:highlight w:val="none"/>
          <w14:textFill>
            <w14:solidFill>
              <w14:schemeClr w14:val="tx1"/>
            </w14:solidFill>
          </w14:textFill>
        </w:rPr>
        <w:t xml:space="preserve">14、服务承诺、培训计划、人员安排及其他</w:t>
      </w:r>
      <w:bookmarkEnd w:id="96"/>
      <w:r/>
      <w:bookmarkEnd w:id="97"/>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14.1 供应商需根据采购文件要求提供有关售后服务的管理制度，售后服务机构的分布情况，售后服务人员的数量、素质、技术水平及售后服务的反应能力等。</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14.2 供应商需根据采购文件要求提供培训计划。</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14.3 供应商需根据采购文件要求提供所投标的的主要组成部分、功能设计、实现思路及关键技术等。</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98" w:name="_Toc14577360"/>
      <w:r/>
      <w:bookmarkStart w:id="99" w:name="_Toc49090511"/>
      <w:r>
        <w:rPr>
          <w:rFonts w:hint="eastAsia" w:ascii="宋体" w:hAnsi="宋体" w:cs="宋体"/>
          <w:color w:val="000000" w:themeColor="text1"/>
          <w:sz w:val="24"/>
          <w:szCs w:val="24"/>
          <w:highlight w:val="none"/>
          <w14:textFill>
            <w14:solidFill>
              <w14:schemeClr w14:val="tx1"/>
            </w14:solidFill>
          </w14:textFill>
        </w:rPr>
        <w:t xml:space="preserve">15、单一来源响应函</w:t>
      </w:r>
      <w:bookmarkEnd w:id="98"/>
      <w:r/>
      <w:bookmarkEnd w:id="99"/>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15.1 供应商应按照采购文件中提供的格式完整、正确填写单一来源响应函。</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16、单一来源采购有效期</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 单一来源采购有效期（以下简称“有效期”）为代理机构规定的响应文件接收截止之日后</w:t>
      </w:r>
      <w:r>
        <w:rPr>
          <w:rFonts w:hint="eastAsia" w:ascii="宋体" w:hAnsi="宋体" w:cs="宋体"/>
          <w:b/>
          <w:color w:val="000000" w:themeColor="text1"/>
          <w:sz w:val="24"/>
          <w:szCs w:val="24"/>
          <w:highlight w:val="none"/>
          <w:u w:val="single"/>
          <w14:textFill>
            <w14:solidFill>
              <w14:schemeClr w14:val="tx1"/>
            </w14:solidFill>
          </w14:textFill>
        </w:rPr>
        <w:t xml:space="preserve">三十（30）天</w:t>
      </w:r>
      <w:r>
        <w:rPr>
          <w:rFonts w:hint="eastAsia" w:ascii="宋体" w:hAnsi="宋体" w:cs="宋体"/>
          <w:color w:val="000000" w:themeColor="text1"/>
          <w:sz w:val="24"/>
          <w:szCs w:val="24"/>
          <w:highlight w:val="none"/>
          <w14:textFill>
            <w14:solidFill>
              <w14:schemeClr w14:val="tx1"/>
            </w14:solidFill>
          </w14:textFill>
        </w:rPr>
        <w:t xml:space="preserve">。有效期比规定期限短的将被视为未响应采购文件要求而予以拒绝。</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17、有效期的延长</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17.1在特殊情况下，代理机构于原有效期满之前，可向供应商提出延长有效期的要求。这种要求与答复均应采用书面形式。供应商可以拒绝代理机构的这一要求而放弃单一来源采购活动，同意延长有效期的供应商既不能要求也不允许修改其响应文件。受有效期约束的所有权利与义务均延长至新的有效期。</w:t>
      </w:r>
      <w:r/>
    </w:p>
    <w:p>
      <w:pPr>
        <w:pStyle w:val="2800"/>
        <w:ind w:firstLine="482"/>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00" w:name="_Toc16938540"/>
      <w:r/>
      <w:bookmarkStart w:id="101" w:name="_Toc20823296"/>
      <w:r/>
      <w:bookmarkStart w:id="102" w:name="_Toc120614217"/>
      <w:r/>
      <w:bookmarkStart w:id="103" w:name="_Toc513029224"/>
      <w:r/>
      <w:bookmarkStart w:id="104" w:name="_Hlt26954739"/>
      <w:r/>
      <w:bookmarkStart w:id="105" w:name="_Hlt26954852"/>
      <w:r>
        <w:rPr>
          <w:rFonts w:hint="eastAsia" w:ascii="宋体" w:hAnsi="宋体" w:cs="宋体"/>
          <w:b/>
          <w:color w:val="000000" w:themeColor="text1"/>
          <w:sz w:val="24"/>
          <w:szCs w:val="24"/>
          <w:highlight w:val="none"/>
          <w14:textFill>
            <w14:solidFill>
              <w14:schemeClr w14:val="tx1"/>
            </w14:solidFill>
          </w14:textFill>
        </w:rPr>
        <w:t xml:space="preserve">四、响应文件的递交</w:t>
      </w:r>
      <w:bookmarkEnd w:id="100"/>
      <w:r/>
      <w:bookmarkEnd w:id="101"/>
      <w:r/>
      <w:bookmarkEnd w:id="102"/>
      <w:r/>
      <w:bookmarkEnd w:id="103"/>
      <w:r/>
      <w:r/>
    </w:p>
    <w:p>
      <w:pPr>
        <w:pStyle w:val="2800"/>
        <w:ind w:firstLine="56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06" w:name="_Toc16938541"/>
      <w:r/>
      <w:bookmarkStart w:id="107" w:name="_Toc513029225"/>
      <w:r/>
      <w:bookmarkStart w:id="108" w:name="_Toc462564084"/>
      <w:r/>
      <w:bookmarkStart w:id="109" w:name="_Toc20823297"/>
      <w:r>
        <w:rPr>
          <w:rFonts w:hint="eastAsia" w:ascii="宋体" w:hAnsi="宋体" w:cs="宋体"/>
          <w:color w:val="000000" w:themeColor="text1"/>
          <w:sz w:val="24"/>
          <w:szCs w:val="24"/>
          <w:highlight w:val="none"/>
          <w14:textFill>
            <w14:solidFill>
              <w14:schemeClr w14:val="tx1"/>
            </w14:solidFill>
          </w14:textFill>
        </w:rPr>
        <w:t xml:space="preserve">18、电子</w:t>
      </w:r>
      <w:bookmarkEnd w:id="106"/>
      <w:r/>
      <w:bookmarkEnd w:id="107"/>
      <w:r/>
      <w:bookmarkEnd w:id="108"/>
      <w:r/>
      <w:bookmarkEnd w:id="109"/>
      <w:r>
        <w:rPr>
          <w:rFonts w:hint="eastAsia" w:ascii="宋体" w:hAnsi="宋体" w:cs="宋体"/>
          <w:color w:val="000000" w:themeColor="text1"/>
          <w:sz w:val="24"/>
          <w:szCs w:val="24"/>
          <w:highlight w:val="none"/>
          <w14:textFill>
            <w14:solidFill>
              <w14:schemeClr w14:val="tx1"/>
            </w14:solidFill>
          </w14:textFill>
        </w:rPr>
        <w:t xml:space="preserve">响应文件的递交</w:t>
      </w:r>
      <w:r/>
    </w:p>
    <w:p>
      <w:pPr>
        <w:pStyle w:val="2800"/>
        <w:ind w:firstLine="6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18.1供应商应当按照《操作手册》规定，在截止时间前制作并上传电子响应文件。</w:t>
      </w:r>
      <w:bookmarkStart w:id="110" w:name="_Toc16938542"/>
      <w:r/>
      <w:bookmarkEnd w:id="110"/>
      <w:r/>
      <w:bookmarkStart w:id="111" w:name="_Toc20823298"/>
      <w:r/>
      <w:bookmarkEnd w:id="111"/>
      <w:r/>
      <w:bookmarkStart w:id="112" w:name="_Toc513029226"/>
      <w:r/>
      <w:r/>
    </w:p>
    <w:p>
      <w:pPr>
        <w:pStyle w:val="2800"/>
        <w:ind w:firstLine="56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19、提交响应文件截止时间</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color w:val="000000" w:themeColor="text1"/>
          <w:sz w:val="24"/>
          <w:szCs w:val="24"/>
          <w:highlight w:val="none"/>
          <w:u w:val="single"/>
          <w14:textFill>
            <w14:solidFill>
              <w14:schemeClr w14:val="tx1"/>
            </w14:solidFill>
          </w14:textFill>
        </w:rPr>
        <w:t xml:space="preserve">19.1供应商上传电子响应文件的时间不得迟于单一来源采购邀请中规定的截止时间。</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13" w:name="_Toc513029227"/>
      <w:r/>
      <w:bookmarkStart w:id="114" w:name="_Toc20823299"/>
      <w:r/>
      <w:bookmarkStart w:id="115" w:name="_Toc16938543"/>
      <w:r>
        <w:rPr>
          <w:rFonts w:hint="eastAsia" w:ascii="宋体" w:hAnsi="宋体" w:cs="宋体"/>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bookmarkEnd w:id="113"/>
      <w:r/>
      <w:bookmarkEnd w:id="114"/>
      <w:r/>
      <w:bookmarkEnd w:id="115"/>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19.2 代理机构可以按照规定，通过修改采购文件酌情延长截止时间，在此情况下，供应商的所有权利和义务以及供应商受制的截止时间以延长后新的截止时间为准。</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20、响应文件的拒收</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20.1 代理机构拒绝接收在其规定的截止时间后上传的任何电子响应文件。</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16" w:name="_Toc513029228"/>
      <w:r/>
      <w:bookmarkStart w:id="117" w:name="_Toc16938544"/>
      <w:r/>
      <w:bookmarkStart w:id="118" w:name="_Toc20823300"/>
      <w:r>
        <w:rPr>
          <w:rFonts w:hint="eastAsia" w:ascii="宋体" w:hAnsi="宋体" w:cs="宋体"/>
          <w:color w:val="000000" w:themeColor="text1"/>
          <w:sz w:val="24"/>
          <w:szCs w:val="24"/>
          <w:highlight w:val="none"/>
          <w14:textFill>
            <w14:solidFill>
              <w14:schemeClr w14:val="tx1"/>
            </w14:solidFill>
          </w14:textFill>
        </w:rPr>
        <w:t xml:space="preserve">21、响应文件的撤回和修改</w:t>
      </w:r>
      <w:bookmarkEnd w:id="116"/>
      <w:r/>
      <w:bookmarkEnd w:id="117"/>
      <w:r/>
      <w:bookmarkEnd w:id="118"/>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21.1响应文件的撤回</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21.1.1 电子响应文件的撤回</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供应商可在截止时间前，撤回其电子响应文件，具体操作方法见《操作手册》。</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21.1.2供应商撤回电子响应文件，则认为其不再参与本项目采购活动。</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21.2响应文件的修改</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供应商可在截止时间前，对其电子响应文件进行修改，具体操作方法见《操作手册》。</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21.3 在截止时间之后，供应商不得对其电子响应文件作任何修改。</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21.4 在截止时间至有效期满之间的这段时间内，供应商不得撤回其响应文件。</w:t>
      </w:r>
      <w:r/>
    </w:p>
    <w:p>
      <w:pPr>
        <w:pStyle w:val="2800"/>
        <w:ind w:firstLine="482"/>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19" w:name="_Toc20823301"/>
      <w:r/>
      <w:bookmarkStart w:id="120" w:name="_Toc16938545"/>
      <w:r/>
      <w:bookmarkStart w:id="121" w:name="_Toc120614218"/>
      <w:r/>
      <w:bookmarkStart w:id="122" w:name="_Toc513029229"/>
      <w:r>
        <w:rPr>
          <w:rFonts w:hint="eastAsia" w:ascii="宋体" w:hAnsi="宋体" w:cs="宋体"/>
          <w:b/>
          <w:color w:val="000000" w:themeColor="text1"/>
          <w:sz w:val="24"/>
          <w:szCs w:val="24"/>
          <w:highlight w:val="none"/>
          <w14:textFill>
            <w14:solidFill>
              <w14:schemeClr w14:val="tx1"/>
            </w14:solidFill>
          </w14:textFill>
        </w:rPr>
        <w:t xml:space="preserve">五、响应文件的解密与评审</w:t>
      </w:r>
      <w:bookmarkEnd w:id="119"/>
      <w:r/>
      <w:bookmarkEnd w:id="120"/>
      <w:r/>
      <w:bookmarkEnd w:id="121"/>
      <w:r/>
      <w:bookmarkEnd w:id="122"/>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23" w:name="_Toc20823302"/>
      <w:r/>
      <w:bookmarkStart w:id="124" w:name="_Toc16938546"/>
      <w:r/>
      <w:bookmarkStart w:id="125" w:name="_Toc513029230"/>
      <w:r>
        <w:rPr>
          <w:rFonts w:hint="eastAsia" w:ascii="宋体" w:hAnsi="宋体" w:cs="宋体"/>
          <w:color w:val="000000" w:themeColor="text1"/>
          <w:sz w:val="24"/>
          <w:szCs w:val="24"/>
          <w:highlight w:val="none"/>
          <w14:textFill>
            <w14:solidFill>
              <w14:schemeClr w14:val="tx1"/>
            </w14:solidFill>
          </w14:textFill>
        </w:rPr>
        <w:t xml:space="preserve">22、</w:t>
      </w:r>
      <w:bookmarkEnd w:id="123"/>
      <w:r/>
      <w:bookmarkEnd w:id="124"/>
      <w:r/>
      <w:bookmarkEnd w:id="125"/>
      <w:r>
        <w:rPr>
          <w:rFonts w:hint="eastAsia" w:ascii="宋体" w:hAnsi="宋体" w:cs="宋体"/>
          <w:color w:val="000000" w:themeColor="text1"/>
          <w:sz w:val="24"/>
          <w:szCs w:val="24"/>
          <w:highlight w:val="none"/>
          <w14:textFill>
            <w14:solidFill>
              <w14:schemeClr w14:val="tx1"/>
            </w14:solidFill>
          </w14:textFill>
        </w:rPr>
        <w:t xml:space="preserve">响应文件解密</w:t>
      </w:r>
      <w:r/>
    </w:p>
    <w:p>
      <w:pPr>
        <w:pStyle w:val="2800"/>
        <w:ind w:firstLine="36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22.1供应商应当按照《操作手册》规定，在苏采云系统规定的时间内对响应文件进行解密。</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26" w:name="_Toc513029231"/>
      <w:r/>
      <w:bookmarkStart w:id="127" w:name="_Toc16938547"/>
      <w:r/>
      <w:bookmarkStart w:id="128" w:name="_Toc20823303"/>
      <w:r>
        <w:rPr>
          <w:rFonts w:hint="eastAsia" w:ascii="宋体" w:hAnsi="宋体" w:cs="宋体"/>
          <w:color w:val="000000" w:themeColor="text1"/>
          <w:sz w:val="24"/>
          <w:szCs w:val="24"/>
          <w:highlight w:val="none"/>
          <w14:textFill>
            <w14:solidFill>
              <w14:schemeClr w14:val="tx1"/>
            </w14:solidFill>
          </w14:textFill>
        </w:rPr>
        <w:t xml:space="preserve">23、单一来源协商小组</w:t>
      </w:r>
      <w:bookmarkEnd w:id="126"/>
      <w:r/>
      <w:bookmarkEnd w:id="127"/>
      <w:r/>
      <w:bookmarkEnd w:id="128"/>
      <w:r/>
      <w:r/>
    </w:p>
    <w:p>
      <w:pPr>
        <w:pStyle w:val="28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23.1单一来源协商小组（以下简称“协商小组”）由政府采购评审专家、采购人代表组成，且人员构成符合政府采购有关规定。</w:t>
      </w:r>
      <w:r/>
    </w:p>
    <w:p>
      <w:pPr>
        <w:pStyle w:val="28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23.2协商小组应当按照客观、公正、审慎的原则评审供应商的响应文件，并与供应商协商采购标的的价格。</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24、单一来源协商过程的保密与公正</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29" w:name="_Toc513029232"/>
      <w:r/>
      <w:bookmarkStart w:id="130" w:name="_Toc16938548"/>
      <w:r/>
      <w:bookmarkStart w:id="131" w:name="_Toc20823304"/>
      <w:r>
        <w:rPr>
          <w:rFonts w:hint="eastAsia" w:ascii="宋体" w:hAnsi="宋体" w:cs="宋体"/>
          <w:color w:val="000000" w:themeColor="text1"/>
          <w:sz w:val="24"/>
          <w:szCs w:val="24"/>
          <w:highlight w:val="none"/>
          <w14:textFill>
            <w14:solidFill>
              <w14:schemeClr w14:val="tx1"/>
            </w14:solidFill>
          </w14:textFill>
        </w:rPr>
        <w:t xml:space="preserve">24.1协商小组、采购人和代理机构工作人员、相关监督人员等与评审工作有关的人员，对评审、单一来源协商情况以及在评审、单一来源协商过程（以下简称“协商过程”）中获悉的国家秘密、商业秘密负有保密责任。</w:t>
      </w:r>
      <w:bookmarkEnd w:id="129"/>
      <w:r/>
      <w:bookmarkEnd w:id="130"/>
      <w:r/>
      <w:bookmarkEnd w:id="131"/>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24.2在协商过程中，供应商不得以任何行为影响评审及协商过程，否则将会导致其响应文件被拒绝。</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25、评审及协商过程中的澄清</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25.1项目评审及协商过程中，协商小组有权要求供应商对响应文件中含义不明确、同类问题表述不一致或者有明显文字和计算错误的内容等作出必要的澄清、说明或者更正。</w:t>
      </w:r>
      <w:r/>
    </w:p>
    <w:p>
      <w:pPr>
        <w:pStyle w:val="28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28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25.3 接到协商小组澄清、说明和更正要求的供应商如未按规定作出澄清、说明和 更正，其风险由供应商自行承担。</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32" w:name="_Toc20823305"/>
      <w:r/>
      <w:bookmarkStart w:id="133" w:name="_Toc16938549"/>
      <w:r/>
      <w:bookmarkStart w:id="134" w:name="_Toc513029233"/>
      <w:r>
        <w:rPr>
          <w:rFonts w:hint="eastAsia" w:ascii="宋体" w:hAnsi="宋体" w:cs="宋体"/>
          <w:color w:val="000000" w:themeColor="text1"/>
          <w:sz w:val="24"/>
          <w:szCs w:val="24"/>
          <w:highlight w:val="none"/>
          <w14:textFill>
            <w14:solidFill>
              <w14:schemeClr w14:val="tx1"/>
            </w14:solidFill>
          </w14:textFill>
        </w:rPr>
        <w:t xml:space="preserve">26、对响应文件的审</w:t>
      </w:r>
      <w:bookmarkEnd w:id="132"/>
      <w:r/>
      <w:bookmarkEnd w:id="133"/>
      <w:r/>
      <w:bookmarkEnd w:id="134"/>
      <w:r>
        <w:rPr>
          <w:rFonts w:hint="eastAsia" w:ascii="宋体" w:hAnsi="宋体" w:cs="宋体"/>
          <w:color w:val="000000" w:themeColor="text1"/>
          <w:sz w:val="24"/>
          <w:szCs w:val="24"/>
          <w:highlight w:val="none"/>
          <w14:textFill>
            <w14:solidFill>
              <w14:schemeClr w14:val="tx1"/>
            </w14:solidFill>
          </w14:textFill>
        </w:rPr>
        <w:t xml:space="preserve">查</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26.1响应文件审查分为资格审查和符合性审查。</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26.1.1 资格审查：由协商小组依据法律法规和采购文件的规定，对响应文件中的资格证明文件进行审查，以确定供应商是否具备参加单一来源协商的资格。</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协商小组在进行资格审查的同时，将在“信用中国”网站（www.creditchina.gov.cn）查询供应商的信用记录，以确定供应商是否具备协商资格,查询结果留存并归档。</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26.1.2 符合性审查：依据采购文件的规定，由协商小组从响应文件的有效性、完整性和对采购文件的响应程度进行审查，以确定是否对采购文件的实质性要求作出响应。</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26.1.3 未通过资格审查或符合性审查的供应商，协商小组将在苏采云系统中告知未通过资格审查或符合性审查的原因，评审结束后，协商小组将不再告知未通过资格审查或符合性审查的原因。</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所谓重大偏离或保留是指与采购文件规定的实质性要求存在负偏离，或者在实质上与采购文件不一致，而且限制了合同中买方和代理机构的权利或供应商的义务。重大偏离由协商小组按照少数服从多数的原则认定。协商小组决定响应文件的响应性只根据响应文件本身的内容，而不寻求外部的证据。</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26.3未实质性响应采购文件的情形</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26.3.1供应商在苏采云系统规定的时间内未成功解密电子响应文件的。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26.3.2供应商未按照采购文件要求上传电子响应文件的。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26.3.3供应商提交两个（含两个）以上不同的响应文件或者最后报价的。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26.3.4供应商不具备采购文件中规定资格要求的。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26.3.5供应商的最后报价超过了采购预算。</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26.3.6不符合采购文件中规定的实质性要求和条件的</w:t>
      </w:r>
      <w:r>
        <w:rPr>
          <w:rFonts w:hint="eastAsia" w:ascii="宋体" w:hAnsi="宋体" w:cs="宋体"/>
          <w:i/>
          <w:color w:val="000000" w:themeColor="text1"/>
          <w:sz w:val="24"/>
          <w:szCs w:val="24"/>
          <w:highlight w:val="none"/>
          <w:u w:val="single"/>
          <w14:textFill>
            <w14:solidFill>
              <w14:schemeClr w14:val="tx1"/>
            </w14:solidFill>
          </w14:textFill>
        </w:rPr>
        <w:t xml:space="preserve">（本采购文件中斜体且有下划线部分为实质性要求和条件）。</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26.3.8响应文件含有采购人不能接受的附加条件的。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26.3.9供应商不能证明其报价合理性的，协商小组应当将其作为无效响应处理。</w:t>
      </w:r>
      <w:r/>
    </w:p>
    <w:p>
      <w:pPr>
        <w:pStyle w:val="2800"/>
        <w:ind w:firstLine="480"/>
        <w:jc w:val="both"/>
        <w:spacing w:beforeAutospacing="0" w:afterAutospacing="0"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评审过程中出现下列情形之一的，协商小组应当启动异常低价响应审查程序：</w:t>
      </w:r>
      <w:r/>
    </w:p>
    <w:p>
      <w:pPr>
        <w:pStyle w:val="2800"/>
        <w:ind w:firstLine="480"/>
        <w:jc w:val="both"/>
        <w:spacing w:beforeAutospacing="0" w:afterAutospacing="0"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1.投标（响应）报价低于采购项目最高限价45%的，即投标（响应）报价&lt;采购项目最高限价×45%；</w:t>
      </w:r>
      <w:r/>
    </w:p>
    <w:p>
      <w:pPr>
        <w:pStyle w:val="2800"/>
        <w:ind w:firstLine="480"/>
        <w:jc w:val="both"/>
        <w:spacing w:beforeAutospacing="0" w:afterAutospacing="0"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2评审委员会基于专业判断，认为供应商报价过低，有可能影响产品质量或者不能诚信履约的其他情形。</w:t>
      </w:r>
      <w:r/>
    </w:p>
    <w:p>
      <w:pPr>
        <w:pStyle w:val="2800"/>
        <w:ind w:firstLine="480"/>
        <w:jc w:val="both"/>
        <w:spacing w:beforeAutospacing="0" w:afterAutospacing="0"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相关法律法规对供应商报价有规定的，从其规定。</w:t>
      </w:r>
      <w:r/>
    </w:p>
    <w:p>
      <w:pPr>
        <w:pStyle w:val="2800"/>
        <w:ind w:firstLine="480"/>
        <w:jc w:val="both"/>
        <w:spacing w:beforeAutospacing="0" w:afterAutospacing="0"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r/>
    </w:p>
    <w:p>
      <w:pPr>
        <w:pStyle w:val="2800"/>
        <w:ind w:firstLine="480"/>
        <w:jc w:val="both"/>
        <w:spacing w:beforeAutospacing="0" w:afterAutospacing="0"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2800"/>
        <w:ind w:firstLine="480"/>
        <w:jc w:val="both"/>
        <w:spacing w:beforeAutospacing="0" w:afterAutospacing="0"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2800"/>
        <w:ind w:firstLine="480"/>
        <w:jc w:val="both"/>
        <w:spacing w:beforeAutospacing="0" w:afterAutospacing="0"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26.3.10响应文件未按照采购文件要求加盖CA电子公章的。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26.4未实质性响应采购文件的响应文件按无效响应处理。</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26.5如果响应文件实质上没有响应采购文件的要求，协商小组将予以拒绝。</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35" w:name="_Toc20823306"/>
      <w:r/>
      <w:bookmarkStart w:id="136" w:name="_Toc16938550"/>
      <w:r/>
      <w:bookmarkStart w:id="137" w:name="_Toc513029234"/>
      <w:r>
        <w:rPr>
          <w:rFonts w:hint="eastAsia" w:ascii="宋体" w:hAnsi="宋体" w:cs="宋体"/>
          <w:color w:val="000000" w:themeColor="text1"/>
          <w:sz w:val="24"/>
          <w:szCs w:val="24"/>
          <w:highlight w:val="none"/>
          <w14:textFill>
            <w14:solidFill>
              <w14:schemeClr w14:val="tx1"/>
            </w14:solidFill>
          </w14:textFill>
        </w:rPr>
        <w:t xml:space="preserve">26.6供应商在项目评审及协商全过程中应保持通信畅通，并安排专人与代理机构及协商小组联系。</w:t>
      </w:r>
      <w:bookmarkEnd w:id="135"/>
      <w:r/>
      <w:bookmarkEnd w:id="136"/>
      <w:r/>
      <w:bookmarkEnd w:id="137"/>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27、单一来源协商及成交原则</w:t>
      </w:r>
      <w:r/>
    </w:p>
    <w:p>
      <w:pPr>
        <w:pStyle w:val="28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27.1单一来源协商</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 对于通过资格审查和符合性审查的供应商，协商小组将通过苏采云系统与其就采购标的的价格、服务等内容进行单一来源协商。</w:t>
      </w:r>
      <w:r/>
    </w:p>
    <w:p>
      <w:pPr>
        <w:pStyle w:val="2800"/>
        <w:ind w:firstLine="478"/>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27.1.2供应商应当在苏采云系统中以书面形式对协商过程中做出的承诺与澄清进行确认，并在协商小组规定的时间内完成最后报价。</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2800"/>
        <w:ind w:firstLine="36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27.2成交原则</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协商小组根据政府采购相关法律、规章的规定，在供应商的响应情况能保证采购项目质量且最后报价合理的基础上确定其为成交供应商。</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27.3单一来源协商终止情形处理</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出现下列情形之一的，代理机构将终止采购活动，发布项目终止公告并说明原因，重新开展采购活动：</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   27.3.1 因情况变化，不再符合规定的单一来源采购方式适用情形的；</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   27.3.2 出现影响采购公正的违法、违规行为的；</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   27.3.3供应商最后报价超过采购预算的；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27.3.4供应商的技术方案、服务承诺、商务条款等不能满足采购人或协商小组的要求；</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27.3.5 法律、法规、规章规定的其他应当终止的情形。</w:t>
      </w:r>
      <w:r/>
    </w:p>
    <w:p>
      <w:pPr>
        <w:pStyle w:val="2800"/>
        <w:ind w:firstLine="482"/>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六、成交</w:t>
      </w:r>
      <w:r/>
    </w:p>
    <w:p>
      <w:pPr>
        <w:pStyle w:val="2800"/>
        <w:ind w:firstLine="42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28、确定成交供应商</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28.1协商小组根据协商情况编写单一来源评审报告，推荐成交候选供应商。</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28.2 采购人根据协商小组推荐的成交候选供应商确定成交供应商。</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 若有充分证据证明，成交供应商出现下列情况之一的，一经查实，将被取消成交资格：</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28.3.1提供虚假材料谋取成交的。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28.3.2与评审专家、采购人、其他供应商或者代理机构工作人员恶意串通的。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28.3.3向评审专家、采购人或代理机构工作人员行贿或者提供其他不正当利益的。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28.3.4恶意竞争，最后报价明显低于其自身合理成本且又无法提供证明的。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28.3.5不满足本采购文件规定的实质性要求，但在评审过程中又未被协商小组发现的。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28.3.6成交后无正当理由拒不与采购人签订政府采购合同或者未按照采购文件确定的事项签订政府采购合同的。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28.3.7将政府采购合同转包的。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成交供应商被取消成交资格后，代理机构有权重新组织采购。</w:t>
      </w:r>
      <w:r/>
    </w:p>
    <w:p>
      <w:pPr>
        <w:pStyle w:val="2800"/>
        <w:ind w:firstLine="60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38" w:name="_Toc200451960"/>
      <w:r>
        <w:rPr>
          <w:rFonts w:hint="eastAsia" w:ascii="宋体" w:hAnsi="宋体" w:cs="宋体"/>
          <w:color w:val="000000" w:themeColor="text1"/>
          <w:sz w:val="24"/>
          <w:szCs w:val="24"/>
          <w:highlight w:val="none"/>
          <w14:textFill>
            <w14:solidFill>
              <w14:schemeClr w14:val="tx1"/>
            </w14:solidFill>
          </w14:textFill>
        </w:rPr>
        <w:t xml:space="preserve">29、质疑处理</w:t>
      </w:r>
      <w:bookmarkEnd w:id="138"/>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29.1供应商认为采购过程和采购结果使自己的权益受到损害的，可以从采购结果公布之日起七个工作日内，以书面形式向代理机构提出质疑。</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29.2 供应商应当在法定质疑期内一次性提出针对同一采购程序环节的质疑。供应商如在法定期限内对同一采购程序环节提出多次质疑的，代理机构、采购人将只对供应商第一次质疑作出答复。</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firstLine="480"/>
        <w:jc w:val="left"/>
        <w:spacing w:line="480" w:lineRule="exact"/>
        <w:tabs>
          <w:tab w:val="left" w:pos="133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29.4 代理机构只接收以纸质原件形式送达的质疑,采购人和代理机构不接受未填写快递运单的快件。</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29.5 以下情形的质疑不予受理</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29.5.1 内容不符合《政府采购质疑和投诉办法》第十二条规定的质疑。</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29.5.2 超出政府采购法定期限的质疑。</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29.5.3 以传真、电子邮件等方式递交的非原件形式的质疑。</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29.5.4未参加单一来源采购活动的供应商所提出的质疑。</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29.5.5供应商组成联合体参加协商，联合体中任何一方或多方未按要求签字、盖章、加盖公章的质疑。</w:t>
      </w:r>
      <w:r/>
    </w:p>
    <w:p>
      <w:pPr>
        <w:pStyle w:val="2800"/>
        <w:ind w:firstLine="468"/>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2800"/>
        <w:ind w:firstLine="60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30、成交通知书</w:t>
      </w:r>
      <w:r/>
    </w:p>
    <w:p>
      <w:pPr>
        <w:pStyle w:val="2800"/>
        <w:ind w:firstLine="6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2800"/>
        <w:ind w:firstLine="6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280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39" w:name="_Toc20823308"/>
      <w:r/>
      <w:bookmarkStart w:id="140" w:name="_Toc16938552"/>
      <w:r/>
      <w:bookmarkStart w:id="141" w:name="_Toc120614220"/>
      <w:r/>
      <w:bookmarkStart w:id="142" w:name="_Toc513029236"/>
      <w:r>
        <w:rPr>
          <w:rFonts w:hint="eastAsia" w:ascii="宋体" w:hAnsi="宋体" w:cs="宋体"/>
          <w:b/>
          <w:color w:val="000000" w:themeColor="text1"/>
          <w:sz w:val="24"/>
          <w:szCs w:val="24"/>
          <w:highlight w:val="none"/>
          <w14:textFill>
            <w14:solidFill>
              <w14:schemeClr w14:val="tx1"/>
            </w14:solidFill>
          </w14:textFill>
        </w:rPr>
        <w:t xml:space="preserve">七、授予合同</w:t>
      </w:r>
      <w:bookmarkEnd w:id="139"/>
      <w:r/>
      <w:bookmarkEnd w:id="140"/>
      <w:r/>
      <w:bookmarkEnd w:id="141"/>
      <w:r/>
      <w:bookmarkEnd w:id="142"/>
      <w:r/>
      <w:r/>
    </w:p>
    <w:p>
      <w:pPr>
        <w:pStyle w:val="2800"/>
        <w:ind w:firstLine="60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bookmarkStart w:id="143" w:name="_Toc513029237"/>
      <w:r/>
      <w:bookmarkStart w:id="144" w:name="_Toc20823309"/>
      <w:r/>
      <w:bookmarkStart w:id="145" w:name="_Toc16938553"/>
      <w:r>
        <w:rPr>
          <w:rFonts w:hint="eastAsia" w:ascii="宋体" w:hAnsi="宋体" w:cs="宋体"/>
          <w:color w:val="000000" w:themeColor="text1"/>
          <w:sz w:val="24"/>
          <w:szCs w:val="24"/>
          <w:highlight w:val="none"/>
          <w14:textFill>
            <w14:solidFill>
              <w14:schemeClr w14:val="tx1"/>
            </w14:solidFill>
          </w14:textFill>
        </w:rPr>
        <w:t xml:space="preserve">31. 签订合同</w:t>
      </w:r>
      <w:bookmarkEnd w:id="143"/>
      <w:r/>
      <w:bookmarkEnd w:id="144"/>
      <w:r/>
      <w:bookmarkEnd w:id="145"/>
      <w:r/>
      <w:r/>
    </w:p>
    <w:p>
      <w:pPr>
        <w:pStyle w:val="2800"/>
        <w:ind w:firstLine="6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31.l成交供应商应当在成交通知书发出之日起三十日内，按照采购文件确定的事项与采购人签订政府采购合同。</w:t>
      </w:r>
      <w:r/>
    </w:p>
    <w:p>
      <w:pPr>
        <w:pStyle w:val="2800"/>
        <w:ind w:firstLine="6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31.2采购文件、成交供应商的响应文件及协商过程中有关澄清、承诺文件均应作为合同附件。</w:t>
      </w:r>
      <w:r/>
    </w:p>
    <w:p>
      <w:pPr>
        <w:pStyle w:val="2800"/>
        <w:ind w:firstLine="6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31.3 签订合同后，</w:t>
      </w:r>
      <w:r>
        <w:rPr>
          <w:rFonts w:hint="eastAsia" w:ascii="宋体" w:hAnsi="宋体" w:cs="宋体"/>
          <w:i/>
          <w:color w:val="000000" w:themeColor="text1"/>
          <w:sz w:val="24"/>
          <w:szCs w:val="24"/>
          <w:highlight w:val="none"/>
          <w:u w:val="single"/>
          <w14:textFill>
            <w14:solidFill>
              <w14:schemeClr w14:val="tx1"/>
            </w14:solidFill>
          </w14:textFill>
        </w:rPr>
        <w:t xml:space="preserve">成交供应商不得将合同标的进行转包</w:t>
      </w:r>
      <w:r>
        <w:rPr>
          <w:rFonts w:hint="eastAsia" w:ascii="宋体" w:hAnsi="宋体" w:cs="宋体"/>
          <w:color w:val="000000" w:themeColor="text1"/>
          <w:sz w:val="24"/>
          <w:szCs w:val="24"/>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pStyle w:val="2800"/>
        <w:ind w:firstLine="48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32、标的物的追加</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2800"/>
        <w:numPr>
          <w:ilvl w:val="0"/>
          <w:numId w:val="0"/>
        </w:numPr>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33.政府采购政策功能落实</w:t>
      </w:r>
      <w:r/>
    </w:p>
    <w:p>
      <w:pPr>
        <w:pStyle w:val="2800"/>
        <w:ind w:firstLine="480"/>
        <w:jc w:val="both"/>
        <w:keepLines/>
        <w:keepNext/>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33.1政府采购线上合同信用融资政策</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33.2进口产品</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33.3中小企业、监狱企业及残疾人福利性单位</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33.3.1中小企业定义：</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中小企业是</w:t>
      </w:r>
      <w:r>
        <w:rPr>
          <w:rFonts w:hint="eastAsia" w:ascii="宋体" w:hAnsi="宋体" w:cs="宋体"/>
          <w:color w:val="000000" w:themeColor="text1"/>
          <w:sz w:val="24"/>
          <w:szCs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33.3.2供应商提供的货物、工程或者服务符合下列情形的，享受中小企业扶持政策：</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33.3.2.1在货物采购项目中，货物由中小企业制造，即货物由中小企业生产且使用该中小企业商号或者注册商标；</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33.3.2.2在工程采购项目中，工程由中小企业承建，即工程施工单位为中小企业；</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33.3.2.3在服务采购项目中，服务由中小企业承接，即提供服务的人员为中小企业依照《中华人民共和国劳动合同法》订立劳动合同的从业人员。</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33.3.3在货物采购项目中，供应商提供的货物既有中小企业制造货物，也有大型企业制造货物的，不享受中小企业扶持政策。</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33.3.4以联合体形式参加政府采购活动，联合体各方均为中小企业的，联合体视同中小企业。其中，联合体各方均为小微企业的，联合体视同小微企业。</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33.3.6残疾人福利单位定义：享受政府采购支持政策的残疾人福利性单位应当同时满足以下条件：</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33.3.6.1安置的残疾人占本单位在职职工人数的比例不低于25%（含25%），并且安置的残疾人人数不少于10 人（含10 人）；</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33.3.6.2依法与安置的每位残疾人签订了一年以上（含一年）的劳动合同或服务协议；</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33.3.6.3为安置的每位残疾人按月足额缴纳了基本养老保险、基本医疗保险、失业保险、工伤保险和生育保险等社会保险费；</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33.3.6.4通过银行等金融机构向安置的每位残疾人，按月支付了不低于单位所在区县适用的经省级人民政府批准的月最低工资标准的工资；</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33.3.6.5提供本单位制造的货物、承担的工程或者服务（以下简称产品），或者提供其他残疾人福利性单位制造的货物（不包括使用非残疾人福利性单位注册商标的货物）；</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33.3.7本项目是否专门面向中小企业预留采购份额见第一章《单一来源采购邀请》。</w:t>
      </w:r>
      <w:r/>
    </w:p>
    <w:p>
      <w:pPr>
        <w:pStyle w:val="2800"/>
        <w:ind w:firstLine="48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33.3.8采购标的对应的中小企业划分标准所属行业见第四章《采购需求》。</w:t>
      </w:r>
      <w:r/>
    </w:p>
    <w:p>
      <w:pPr>
        <w:ind w:firstLine="482"/>
        <w:spacing w:line="480" w:lineRule="exact"/>
        <w:tabs>
          <w:tab w:val="left" w:pos="138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33.4政府采购节能产品、环境标志产品</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33.4.1</w:t>
      </w:r>
      <w:r>
        <w:rPr>
          <w:rFonts w:hint="eastAsia" w:ascii="宋体" w:hAnsi="宋体" w:cs="宋体"/>
          <w:color w:val="000000" w:themeColor="text1"/>
          <w:sz w:val="24"/>
          <w:szCs w:val="24"/>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i/>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其他条件相同情况下，应当优先采购节能产品、环境标志产品。</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33.4.2</w:t>
      </w:r>
      <w:r>
        <w:rPr>
          <w:rFonts w:hint="eastAsia" w:ascii="宋体" w:hAnsi="宋体" w:cs="宋体"/>
          <w:color w:val="000000" w:themeColor="text1"/>
          <w:sz w:val="24"/>
          <w:szCs w:val="24"/>
          <w:highlight w:val="none"/>
          <w14:textFill>
            <w14:solidFill>
              <w14:schemeClr w14:val="tx1"/>
            </w14:solidFill>
          </w14:textFill>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33.5绿色包装</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33.6政府采购创新产品</w:t>
      </w:r>
      <w:r/>
    </w:p>
    <w:p>
      <w:pPr>
        <w:ind w:firstLine="478"/>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采购人优先采购各级政府部门公开发布的有效期内的创新产品、创新服务、首台套、首购首用等《目录》的创新产品</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2"/>
        <w:spacing w:line="480" w:lineRule="exact"/>
        <w:tabs>
          <w:tab w:val="left" w:pos="138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33.7绿色数据中心政策 </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szCs w:val="24"/>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33.8实施本国产品标准及相关政策</w:t>
      </w:r>
      <w:r/>
    </w:p>
    <w:p>
      <w:pPr>
        <w:ind w:firstLine="482"/>
        <w:spacing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1.本项目对采购本国产品给予政策支持</w:t>
      </w:r>
      <w:r/>
    </w:p>
    <w:p>
      <w:pPr>
        <w:ind w:firstLine="482"/>
        <w:spacing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color w:val="000000" w:themeColor="text1"/>
          <w:sz w:val="24"/>
          <w:szCs w:val="24"/>
          <w:highlight w:val="none"/>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33.9履约保证金政策</w:t>
      </w:r>
      <w:r/>
    </w:p>
    <w:p>
      <w:pPr>
        <w:pStyle w:val="2801"/>
        <w:ind w:left="0" w:firstLine="560"/>
        <w:spacing w:after="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确需收取履约保证金的，履约保证金的缴纳形式：</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 预付款制度</w:t>
      </w:r>
      <w:r/>
    </w:p>
    <w:p>
      <w:pPr>
        <w:ind w:firstLine="480"/>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本项目落实预付款制度，预付款比例为30%。在签订合同时，中标、成交供应商明确书面表示无需预付款或者主动要求降低预付款比例的，采购人可就预付款比例作相应调整。</w:t>
      </w:r>
      <w:r/>
    </w:p>
    <w:p>
      <w:pPr>
        <w:pStyle w:val="2801"/>
        <w:ind w:left="0" w:firstLine="560"/>
        <w:spacing w:after="0"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2800"/>
        <w:ind w:firstLine="2640"/>
        <w:jc w:val="both"/>
        <w:keepNext/>
        <w:spacing w:beforeAutospacing="0" w:afterAutospacing="0"/>
        <w:rPr>
          <w:rFonts w:hint="eastAsia" w:ascii="黑体" w:hAnsi="宋体" w:eastAsia="黑体" w:cs="黑体"/>
          <w:color w:val="000000" w:themeColor="text1"/>
          <w:sz w:val="44"/>
          <w:szCs w:val="44"/>
          <w:highlight w:val="none"/>
          <w14:textFill>
            <w14:solidFill>
              <w14:schemeClr w14:val="tx1"/>
            </w14:solidFill>
          </w14:textFill>
        </w:rPr>
        <w:sectPr>
          <w:headerReference w:type="default" r:id="rId9"/>
          <w:headerReference w:type="even" r:id="rId10"/>
          <w:headerReference w:type="first" r:id="rId11"/>
          <w:footerReference w:type="default" r:id="rId27"/>
          <w:footnotePr/>
          <w:endnotePr/>
          <w:type w:val="nextPage"/>
          <w:pgSz w:w="11906" w:h="16838" w:orient="portrait"/>
          <w:pgMar w:top="1440" w:right="1800" w:bottom="1440" w:left="1800" w:header="851" w:footer="992" w:gutter="0"/>
          <w:lnNumType w:countBy="0" w:distance="360"/>
          <w:pgNumType w:start="1"/>
          <w:cols w:num="1" w:sep="0" w:space="720" w:equalWidth="1"/>
          <w:docGrid w:linePitch="360"/>
        </w:sectPr>
      </w:pPr>
      <w:r>
        <w:rPr>
          <w:rFonts w:hint="eastAsia" w:ascii="黑体" w:hAnsi="宋体" w:eastAsia="黑体" w:cs="黑体"/>
          <w:color w:val="000000" w:themeColor="text1"/>
          <w:sz w:val="44"/>
          <w:szCs w:val="44"/>
          <w:highlight w:val="none"/>
          <w14:textFill>
            <w14:solidFill>
              <w14:schemeClr w14:val="tx1"/>
            </w14:solidFill>
          </w14:textFill>
        </w:rPr>
      </w:r>
      <w:r/>
    </w:p>
    <w:p>
      <w:pPr>
        <w:pStyle w:val="2800"/>
        <w:jc w:val="center"/>
        <w:keepNext/>
        <w:spacing w:beforeAutospacing="0" w:afterAutospacing="0"/>
        <w:rPr>
          <w:rFonts w:hint="default"/>
          <w:color w:val="000000" w:themeColor="text1"/>
          <w:sz w:val="24"/>
          <w:szCs w:val="2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第三章  合同文本</w:t>
      </w:r>
      <w:r/>
    </w:p>
    <w:p>
      <w:pPr>
        <w:pStyle w:val="2800"/>
        <w:ind w:firstLine="48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bookmarkStart w:id="146" w:name="_Toc513029243"/>
      <w:r/>
      <w:bookmarkStart w:id="147" w:name="_Toc20823315"/>
      <w:r/>
      <w:bookmarkStart w:id="148" w:name="_Toc16938559"/>
      <w:r>
        <w:rPr>
          <w:rFonts w:hint="eastAsia" w:ascii="宋体" w:hAnsi="宋体" w:cs="宋体"/>
          <w:color w:val="000000" w:themeColor="text1"/>
          <w:sz w:val="24"/>
          <w:szCs w:val="24"/>
          <w:highlight w:val="none"/>
          <w14:textFill>
            <w14:solidFill>
              <w14:schemeClr w14:val="tx1"/>
            </w14:solidFill>
          </w14:textFill>
        </w:rPr>
        <w:t xml:space="preserve">以下为成交后签订本项目合同的通用条款，成交供应商不得提出实质性的修改。</w:t>
      </w:r>
      <w:bookmarkEnd w:id="146"/>
      <w:r/>
      <w:bookmarkEnd w:id="147"/>
      <w:r/>
      <w:bookmarkEnd w:id="148"/>
      <w:r/>
      <w:r/>
    </w:p>
    <w:p>
      <w:pPr>
        <w:pStyle w:val="2800"/>
        <w:ind w:firstLine="64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备注：请项目经办人提醒采购人按照《政府采购需求管理办法》第二十三条的规定完善合同文本。</w:t>
      </w:r>
      <w:r/>
    </w:p>
    <w:p>
      <w:pPr>
        <w:pStyle w:val="2800"/>
        <w:jc w:val="center"/>
        <w:spacing w:before="145" w:beforeAutospacing="0" w:after="145" w:afterAutospacing="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p>
      <w:pPr>
        <w:pStyle w:val="2800"/>
        <w:ind w:left="0"/>
        <w:jc w:val="center"/>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盐城市政府采购合同（合同编号）</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项目名称：盐城市公安局市区交通设施新建改建零星工程采购项目                             </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项目编号：JSZC-320900-JCJS-D2026-0002</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甲方（买方）： _________</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乙方（卖方）： _________</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甲、乙双方根据盐城市公安局市区交通设施新建改建零星工程采购项目单一来源采购的结果，签署本合同。</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一、采购标的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 产品/服务内容：。</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 服务期限：。</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 补充条款：。</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二、合同金额</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2.1 本合同金额为（大写）：_________________圆整（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__________元）人民币。</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维保服务预算</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289.18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万元，如超出该预算，按</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289.18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4万元结算；不足则按实际发生金额结算。</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本合同价款包含所有乙方提供合同约定产品和服务的报酬及乙方提供合同中产品和服务所支出的必要费用，甲方在上述合同价款之外不再向乙方支付其他任何费用。</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三、技术资料</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3.1乙方应按单一来源文件规定的时间向甲方提供有关技术资料。</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四、知识产权</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五、产权担保</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乙方保证所交付标的的所有权完全属于乙方且无任何抵押、查封等产权瑕疵。</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六、履约保证金</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6.1乙方交纳人民币_________元作为本合同的履约保证金。[合同金额的5%，甲方对AA评级及以上政府采购供应商（需在签订采购合同前提供信用管理 部门备案的第三方信用报告，且信用报告通过“信用盐城网”可查实，免收履约保证金。]</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6.2确需收取履约保证金的，履约保证金的缴纳形式：</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6.2.2 如以履约保函（保险）形式缴纳履约保证金，乙方可通过政府采购电子履约保函（保险）平台（www.jsdzbh.com）在线申请履约保函（保险）。</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6.3合同履行结束后，甲方应及时退还交纳的履约保证金。</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6.4履约保证金的退还：</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6.4.1方式：退还至乙方缴纳履约保证金的账户。如为保函，在到期时自行失效。</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6.4.2时间：验收合格且甲方收到发票后30日内。</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6.4.3条件：按合同要求全部履约完成并经甲方验收合格，且甲方收到乙方出具的发票。</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6.4.4不予退还情形：</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除不可抗力情况外，乙方出现下列情形之一的，其履约保证金，甲方将视情节决定不予退还或部分不予退还。</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（1）乙方无正当理由拒绝签订合同的，或者在签订合同时向甲方提出附加条件或者更改合同实质性内容要求的；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（2）乙方不履行与甲方订立的合同的；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（3）乙方所供货物或服务不符合招标文件规定要求的；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（4）乙方采取欺骗、弄虚作假方式投标的或与其它投标人串通投标的；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（5）乙方将合同内容转包、违法分包的；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（6）乙方故意捏造事实或伪造证明材料，进行虚假恶意投诉或反映的。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6.4.5逾期退还的违约责任：甲方逾期无故未退还履约保证金的，按中国人民银行同期贷款基准利率上浮20%后的利率支付超期资金占用费，但因乙方自身原因导致无法及时退还的除外。</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七、转包或分包</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.1本合同范围内产品或服务，应由乙方直接供应，不得转让他人供应；</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 除非得到甲方的书面同意，乙方不得部分分包给他人供应。</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.3如有转让和未经甲方同意的分包行为，甲方有权给予终止合同。 </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八、质保期</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.1质保期限为2年。  </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.2售后服务:提供7*24小时电话服务，提供一辆车辆用于配合设施巡查（保险、油费、修理费等一切费用由乙方负责）。①</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紧急抢修类。信号灯保障应5分钟内响应准备，30分钟内移动灯配送到位，24小时内完成抢修任务（不能立即维修的应采取紧急措施保障交通，并提出修复方案报经相关单位同意后实施）；②事故抢修类。事故设施保障应10分钟内响应准备（防撞垫等特殊设施相应延长时限），30分钟内到达现场，能够现场维修的6个小时内完成抢修任务，不能现场维修的应采取紧急措施恢复交通，并提出修复方案报经相关单位同意后实施；③日常养护类。应在2个工作日内完成；④整改建设类。原则上应在7个工作日内完成（水泥凝固期、其他行政单位审批时段不计入施工时限）。</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九、服务期、履行方式</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.1服务期：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至2026年12月31日</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.2履行方式：甲方明确其所属交</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管</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支队警保</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项目主管部门，具体负责项目派工、验收、网上审核、结算等事宜，乙方接到甲方派工指令后立即组织维保、抢修施工，并与相关辖区大队对接检查验收等事宜，甲方通过网上流程出单给乙方提交审计。具体流程按《市区相关道路交通安全设施维保工作规范》执行。</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十、合同款支付</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预付款：合同签订后，甲方收到预付款发票后10个工作日内，预付款支付比例：合同金额的30%。（在签订合同时，乙方明确书面表示无需预付款或者主动要求降低预付款比例的，甲方可就预付款比例作相应调整）</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进度款：以实际工程量结算，按季度审计后结算（结算时须扣除当季度应扣除的预付款）。甲方负责结算事宜、乙方配合，甲方应及时完成出单、审计、结算全部流程</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，乙方向甲方开具增值税发票，甲方在收到增值税发票后的10个工作日内支付相应款项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十一、税费</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本合同执行中相关的一切税费均由乙方负担。</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十二、质量保证及售后服务</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.1乙方应按单一来源文件规定和响应文件承诺的性能、技术要求、质量标准向甲方提供产品或服务。</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.2乙方提供的产品或服务在质保期内因其本身出现质量问题，根据实际情况，经双方协商，可按以下办法处理：</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（1）更换：由乙方承担所发生的全部费用。</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（2）合同终止处理：合同终止，并退还甲方支付的合同款，同时应承担由此产生的所有费用，甲方不承担发生任何费用。</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.3如在使用过程中发生质量问题，乙方在接到甲方通知后在小时内到达甲方现场。</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.4在质保期内，乙方应对产品或服务出现的质量及安全问题负责处理解决并承担一切费用。</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十三、验收</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.1甲方对乙方提交的产品或服务依据单一来源文件上的项目需求要求、乙方响应文件及国家有关质量标准进行验收。</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.2乙方交货前应对产品或服务作出全面检查和对验收文件进行整理，并列出清单，作为甲方验收和使用的技术条件依据，检验的结果应随服务一起提交甲方。</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.3甲方对乙方提供的产品或服务在使用前，乙方需负责培训甲方的使用操作人员，并协助甲方一起试用，直到符合技术要求，甲方才做最终验收。</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12.4对技术复杂的产品或服务，甲方可请国家认可的专业检测机构参与初步验收及最终验收，并由其出具质量检测报告。</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.5验收时乙方必须在现场，验收完毕后作出验收结果报告；验收费用由乙方承担。</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十四、合同内容的交付</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.1乙方应保证合同标的安全运达甲方指定地点。</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 使用说明书、质量检验证明书一并提交甲方。</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 乙方在合同标的交付甲方48小时前通知甲方准备接收。</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 合同标的在交付甲方前发生的风险均由乙方负责。</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 合同标的在规定的交付期限内由乙方送达甲方指定的地点视为交付，乙方同时需通知甲方已送达。</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十五、违约责任</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 甲方无正当理由拒收的，甲方向乙方偿付拒收货款总值的百分之五违约金。</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 甲方无故逾期验收和办理合同款支付手续的,甲方应按逾期付款总额每日千分之二向乙方支付违约金。</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 乙方逾期交付合同标的的，乙方应按逾期交货总额每日百分之一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 </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十六、不可抗力事件处理</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 在合同有效期内，任何一方因不可抗力事件导致不能履行合同，则合同履行期延长，其延长期与不可抗力影响期相同。</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 不可抗力事件发生后，应立即通知对方，并寄送有关权威机构出具的证明。</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 不可抗力事件延续120天以上，双方应通过友好协商，确定是否继续履行合同。</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十七、诉讼</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 双方在执行合同中所发生的一切争议，应通过协商解决。如协商不成，可向合同签订地法院起诉，合同签订地在此约定为盐城市。</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、合同生效及其它</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 合同经双方法定代表人或授权委托代表人签字并加盖单位公章后生效。</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.2本合同未尽事宜，遵照《民法典》有关条文执行。</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 本合同一式6份，具有同等法律效力，甲乙双方各执3份。</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2800"/>
        <w:ind w:firstLine="72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甲方：                                  乙方： </w:t>
      </w:r>
      <w:r/>
    </w:p>
    <w:p>
      <w:pPr>
        <w:pStyle w:val="2800"/>
        <w:ind w:firstLine="72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                                  地址： </w:t>
      </w:r>
      <w:r/>
    </w:p>
    <w:p>
      <w:pPr>
        <w:pStyle w:val="2800"/>
        <w:ind w:firstLine="72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法定代表人或授权代表：                  法定代表人或授权代表：</w:t>
      </w:r>
      <w:r/>
    </w:p>
    <w:p>
      <w:pPr>
        <w:pStyle w:val="2800"/>
        <w:ind w:firstLine="72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联系电话：                              联系电话：</w:t>
      </w:r>
      <w:r/>
    </w:p>
    <w:p>
      <w:pPr>
        <w:pStyle w:val="2800"/>
        <w:ind w:firstLine="4800"/>
        <w:jc w:val="both"/>
        <w:spacing w:beforeAutospacing="0" w:afterAutospacing="0"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签订日期：      年  月  日</w:t>
      </w:r>
      <w:r/>
    </w:p>
    <w:p>
      <w:pPr>
        <w:spacing w:line="540" w:lineRule="exact"/>
        <w:rPr>
          <w:rFonts w:hint="default"/>
          <w:color w:val="000000" w:themeColor="text1"/>
          <w:sz w:val="24"/>
          <w:szCs w:val="24"/>
          <w:highlight w:val="none"/>
          <w14:textFill>
            <w14:solidFill>
              <w14:schemeClr w14:val="tx1"/>
            </w14:solidFill>
          </w14:textFill>
        </w:rPr>
      </w:pPr>
      <w:r/>
      <w:bookmarkStart w:id="149" w:name="_Toc479757211"/>
      <w:r/>
      <w:bookmarkStart w:id="150" w:name="_Toc16938590"/>
      <w:r/>
      <w:bookmarkStart w:id="151" w:name="_Toc462564139"/>
      <w:r/>
      <w:bookmarkStart w:id="152" w:name="_Toc20823346"/>
      <w:r/>
      <w:bookmarkStart w:id="153" w:name="_Toc120614244"/>
      <w:r/>
      <w:bookmarkStart w:id="154" w:name="_Hlt16619350"/>
      <w:r/>
      <w:bookmarkStart w:id="155" w:name="_Hlt16619369"/>
      <w:r>
        <w:rPr>
          <w:rFonts w:hint="eastAsia" w:ascii="宋体" w:hAnsi="宋体" w:cs="宋体"/>
          <w:color w:val="000000" w:themeColor="text1"/>
          <w:sz w:val="24"/>
          <w:szCs w:val="24"/>
          <w:highlight w:val="none"/>
          <w14:textFill>
            <w14:solidFill>
              <w14:schemeClr w14:val="tx1"/>
            </w14:solidFill>
          </w14:textFill>
        </w:rPr>
        <w:br w:type="page" w:clear="all"/>
      </w:r>
      <w:r>
        <w:rPr>
          <w:rFonts w:hint="eastAsia"/>
          <w:color w:val="000000" w:themeColor="text1"/>
          <w:sz w:val="24"/>
          <w:szCs w:val="24"/>
          <w:highlight w:val="none"/>
          <w14:textFill>
            <w14:solidFill>
              <w14:schemeClr w14:val="tx1"/>
            </w14:solidFill>
          </w14:textFill>
        </w:rPr>
        <w:t xml:space="preserve">合同附件：</w:t>
      </w:r>
      <w:r/>
    </w:p>
    <w:p>
      <w:pPr>
        <w:jc w:val="center"/>
        <w:spacing w:line="540" w:lineRule="exact"/>
        <w:rPr>
          <w:rFonts w:hint="default"/>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项目建设供应商承诺函</w:t>
      </w:r>
      <w:r/>
    </w:p>
    <w:p>
      <w:pPr>
        <w:spacing w:line="540" w:lineRule="exact"/>
        <w:rPr>
          <w:rFonts w:hint="default"/>
          <w:b/>
          <w:color w:val="000000" w:themeColor="text1"/>
          <w:sz w:val="28"/>
          <w:szCs w:val="28"/>
          <w:highlight w:val="none"/>
          <w14:textFill>
            <w14:solidFill>
              <w14:schemeClr w14:val="tx1"/>
            </w14:solidFill>
          </w14:textFill>
        </w:rPr>
      </w:pPr>
      <w:r>
        <w:rPr>
          <w:rFonts w:hint="default"/>
          <w:b/>
          <w:color w:val="000000" w:themeColor="text1"/>
          <w:sz w:val="28"/>
          <w:szCs w:val="28"/>
          <w:highlight w:val="none"/>
          <w14:textFill>
            <w14:solidFill>
              <w14:schemeClr w14:val="tx1"/>
            </w14:solidFill>
          </w14:textFill>
        </w:rPr>
      </w:r>
      <w:r/>
    </w:p>
    <w:p>
      <w:pPr>
        <w:ind w:firstLine="560"/>
        <w:spacing w:line="540" w:lineRule="exact"/>
        <w:rPr>
          <w:rFonts w:hint="default"/>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560"/>
        <w:spacing w:line="540" w:lineRule="exact"/>
        <w:rPr>
          <w:rFonts w:hint="default"/>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560"/>
        <w:spacing w:line="540" w:lineRule="exact"/>
        <w:rPr>
          <w:rFonts w:hint="default"/>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对未列出的其他事项，严格按照法律法规等具体规定执行。</w:t>
      </w:r>
      <w:r/>
    </w:p>
    <w:p>
      <w:pPr>
        <w:ind w:firstLine="560"/>
        <w:spacing w:line="540" w:lineRule="exact"/>
        <w:rPr>
          <w:rFonts w:hint="default"/>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现承诺，我单位在履行</w:t>
      </w:r>
      <w:r>
        <w:rPr>
          <w:rFonts w:hint="eastAsia"/>
          <w:color w:val="000000" w:themeColor="text1"/>
          <w:sz w:val="28"/>
          <w:szCs w:val="28"/>
          <w:highlight w:val="none"/>
          <w:u w:val="single"/>
          <w:lang w:eastAsia="zh-CN"/>
          <w14:textFill>
            <w14:solidFill>
              <w14:schemeClr w14:val="tx1"/>
            </w14:solidFill>
          </w14:textFill>
        </w:rPr>
        <w:t xml:space="preserve">盐城市公安局市区交通设施新建改建零星工程采购项目</w:t>
      </w:r>
      <w:r>
        <w:rPr>
          <w:rFonts w:hint="eastAsia"/>
          <w:color w:val="000000" w:themeColor="text1"/>
          <w:sz w:val="28"/>
          <w:szCs w:val="28"/>
          <w:highlight w:val="none"/>
          <w14:textFill>
            <w14:solidFill>
              <w14:schemeClr w14:val="tx1"/>
            </w14:solidFill>
          </w14:textFill>
        </w:rPr>
        <w:t xml:space="preserve">的项目建设中，将严格按照提示函的内容和要求执行，如若违反愿意承担相应的责任。</w:t>
      </w:r>
      <w:r/>
    </w:p>
    <w:p>
      <w:pPr>
        <w:spacing w:line="540" w:lineRule="exact"/>
        <w:rPr>
          <w:rFonts w:hint="default"/>
          <w:color w:val="000000" w:themeColor="text1"/>
          <w:sz w:val="28"/>
          <w:szCs w:val="28"/>
          <w:highlight w:val="none"/>
          <w14:textFill>
            <w14:solidFill>
              <w14:schemeClr w14:val="tx1"/>
            </w14:solidFill>
          </w14:textFill>
        </w:rPr>
      </w:pPr>
      <w:r>
        <w:rPr>
          <w:rFonts w:hint="default"/>
          <w:color w:val="000000" w:themeColor="text1"/>
          <w:sz w:val="28"/>
          <w:szCs w:val="28"/>
          <w:highlight w:val="none"/>
          <w14:textFill>
            <w14:solidFill>
              <w14:schemeClr w14:val="tx1"/>
            </w14:solidFill>
          </w14:textFill>
        </w:rPr>
      </w:r>
      <w:r/>
    </w:p>
    <w:p>
      <w:pPr>
        <w:spacing w:line="540" w:lineRule="exact"/>
        <w:rPr>
          <w:rFonts w:hint="default"/>
          <w:color w:val="000000" w:themeColor="text1"/>
          <w:sz w:val="28"/>
          <w:szCs w:val="28"/>
          <w:highlight w:val="none"/>
          <w14:textFill>
            <w14:solidFill>
              <w14:schemeClr w14:val="tx1"/>
            </w14:solidFill>
          </w14:textFill>
        </w:rPr>
      </w:pPr>
      <w:r>
        <w:rPr>
          <w:rFonts w:hint="default"/>
          <w:color w:val="000000" w:themeColor="text1"/>
          <w:sz w:val="28"/>
          <w:szCs w:val="28"/>
          <w:highlight w:val="none"/>
          <w14:textFill>
            <w14:solidFill>
              <w14:schemeClr w14:val="tx1"/>
            </w14:solidFill>
          </w14:textFill>
        </w:rPr>
      </w:r>
      <w:r/>
    </w:p>
    <w:p>
      <w:pPr>
        <w:ind w:firstLine="560"/>
        <w:spacing w:line="540" w:lineRule="exact"/>
        <w:rPr>
          <w:rFonts w:hint="default"/>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供应商项目负责人（签字）：            联系方式：</w:t>
      </w:r>
      <w:r/>
    </w:p>
    <w:p>
      <w:pPr>
        <w:pStyle w:val="2800"/>
        <w:jc w:val="both"/>
        <w:spacing w:before="120" w:beforeAutospacing="0" w:after="120" w:afterAutospacing="0" w:line="240" w:lineRule="atLeast"/>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r>
      <w:r/>
    </w:p>
    <w:p>
      <w:pPr>
        <w:pStyle w:val="2800"/>
        <w:ind w:firstLine="5320"/>
        <w:jc w:val="both"/>
        <w:spacing w:before="120" w:beforeAutospacing="0" w:after="120" w:afterAutospacing="0" w:line="240" w:lineRule="atLeast"/>
        <w:rPr>
          <w:rFonts w:hint="eastAsia" w:ascii="黑体" w:hAnsi="宋体" w:eastAsia="黑体" w:cs="黑体"/>
          <w:color w:val="000000" w:themeColor="text1"/>
          <w:sz w:val="44"/>
          <w:szCs w:val="44"/>
          <w:highlight w:val="none"/>
          <w14:textFill>
            <w14:solidFill>
              <w14:schemeClr w14:val="tx1"/>
            </w14:solidFill>
          </w14:textFill>
        </w:rPr>
        <w:sectPr>
          <w:headerReference w:type="default" r:id="rId12"/>
          <w:headerReference w:type="even" r:id="rId13"/>
          <w:headerReference w:type="first" r:id="rId14"/>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color w:val="000000" w:themeColor="text1"/>
          <w:sz w:val="28"/>
          <w:szCs w:val="28"/>
          <w:highlight w:val="none"/>
          <w14:textFill>
            <w14:solidFill>
              <w14:schemeClr w14:val="tx1"/>
            </w14:solidFill>
          </w14:textFill>
        </w:rPr>
        <w:t xml:space="preserve">（供应商单位公章）</w:t>
      </w:r>
      <w:r>
        <w:rPr>
          <w:rFonts w:hint="eastAsia" w:ascii="黑体" w:hAnsi="宋体" w:eastAsia="黑体" w:cs="黑体"/>
          <w:color w:val="000000" w:themeColor="text1"/>
          <w:sz w:val="44"/>
          <w:szCs w:val="44"/>
          <w:highlight w:val="none"/>
          <w14:textFill>
            <w14:solidFill>
              <w14:schemeClr w14:val="tx1"/>
            </w14:solidFill>
          </w14:textFill>
        </w:rPr>
        <w:t xml:space="preserve"> </w:t>
      </w:r>
      <w:r/>
    </w:p>
    <w:p>
      <w:pPr>
        <w:pStyle w:val="2800"/>
        <w:jc w:val="center"/>
        <w:spacing w:before="120" w:beforeAutospacing="0" w:after="120" w:afterAutospacing="0" w:line="240" w:lineRule="atLeast"/>
        <w:rPr>
          <w:rFonts w:hint="default"/>
          <w:color w:val="000000" w:themeColor="text1"/>
          <w:sz w:val="24"/>
          <w:szCs w:val="2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w:t>
      </w:r>
      <w:bookmarkEnd w:id="149"/>
      <w:r>
        <w:rPr>
          <w:rFonts w:hint="eastAsia" w:ascii="黑体" w:hAnsi="宋体" w:eastAsia="黑体" w:cs="黑体"/>
          <w:color w:val="000000" w:themeColor="text1"/>
          <w:sz w:val="44"/>
          <w:szCs w:val="44"/>
          <w:highlight w:val="none"/>
          <w14:textFill>
            <w14:solidFill>
              <w14:schemeClr w14:val="tx1"/>
            </w14:solidFill>
          </w14:textFill>
        </w:rPr>
        <w:t xml:space="preserve">四章 采购需求</w:t>
      </w:r>
      <w:bookmarkEnd w:id="150"/>
      <w:r/>
      <w:bookmarkEnd w:id="151"/>
      <w:r/>
      <w:bookmarkEnd w:id="152"/>
      <w:r/>
      <w:bookmarkEnd w:id="153"/>
      <w:r/>
      <w:bookmarkStart w:id="156" w:name="_Toc26554093"/>
      <w:r/>
      <w:bookmarkEnd w:id="156"/>
      <w:r/>
      <w:bookmarkStart w:id="157" w:name="_Toc49090575"/>
      <w:r/>
      <w:bookmarkEnd w:id="157"/>
      <w:r/>
      <w:r/>
    </w:p>
    <w:p>
      <w:pPr>
        <w:pStyle w:val="280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line="0" w:lineRule="atLeast"/>
        <w:rPr>
          <w:rFonts w:hint="eastAsia" w:ascii="宋体" w:hAnsi="宋体" w:eastAsia="宋体" w:cs="宋体"/>
          <w:b/>
          <w:bCs/>
          <w:color w:val="000000" w:themeColor="text1"/>
          <w:sz w:val="24"/>
          <w:szCs w:val="21"/>
          <w:highlight w:val="none"/>
          <w:lang w:val="zh-CN"/>
          <w14:textFill>
            <w14:solidFill>
              <w14:schemeClr w14:val="tx1"/>
            </w14:solidFill>
          </w14:textFill>
        </w:rPr>
      </w:pPr>
      <w:r>
        <w:rPr>
          <w:rFonts w:hint="eastAsia" w:ascii="宋体" w:hAnsi="宋体" w:eastAsia="宋体" w:cs="宋体"/>
          <w:b/>
          <w:bCs/>
          <w:color w:val="000000" w:themeColor="text1"/>
          <w:sz w:val="24"/>
          <w:szCs w:val="21"/>
          <w:highlight w:val="none"/>
          <w:lang w:val="zh-CN"/>
          <w14:textFill>
            <w14:solidFill>
              <w14:schemeClr w14:val="tx1"/>
            </w14:solidFill>
          </w14:textFill>
        </w:rPr>
        <w:t xml:space="preserve">项目属性:服务类项目。</w:t>
      </w:r>
      <w:r/>
    </w:p>
    <w:p>
      <w:pPr>
        <w:keepLines w:val="0"/>
        <w:keepNext w:val="0"/>
        <w:pageBreakBefore w:val="0"/>
        <w:spacing w:line="500" w:lineRule="exact"/>
        <w:rPr>
          <w:rFonts w:ascii="宋体" w:hAnsi="宋体" w:eastAsia="宋体" w:cs="Calibri"/>
          <w:b/>
          <w:color w:val="000000" w:themeColor="text1"/>
          <w:sz w:val="24"/>
          <w:highlight w:val="none"/>
          <w14:textFill>
            <w14:solidFill>
              <w14:schemeClr w14:val="tx1"/>
            </w14:solidFill>
          </w14:textFill>
        </w:rPr>
      </w:pPr>
      <w:r>
        <w:rPr>
          <w:rFonts w:hint="eastAsia" w:ascii="宋体" w:hAnsi="宋体" w:eastAsia="宋体" w:cs="Calibri"/>
          <w:b/>
          <w:color w:val="000000" w:themeColor="text1"/>
          <w:sz w:val="24"/>
          <w:highlight w:val="none"/>
          <w14:textFill>
            <w14:solidFill>
              <w14:schemeClr w14:val="tx1"/>
            </w14:solidFill>
          </w14:textFill>
        </w:rPr>
        <w:t xml:space="preserve">采购标的对应的中小企业划分标准所属行业一览表</w:t>
      </w:r>
      <w:r/>
    </w:p>
    <w:tbl>
      <w:tblPr>
        <w:tblStyle w:val="2795"/>
        <w:tblW w:w="93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4511"/>
        <w:gridCol w:w="3889"/>
      </w:tblGrid>
      <w:tr>
        <w:trPr>
          <w:jc w:val="center"/>
          <w:tblCellSpacing w:w="0" w:type="dxa"/>
        </w:trPr>
        <w:tc>
          <w:tcPr>
            <w:tcW w:w="971" w:type="dxa"/>
            <w:vAlign w:val="center"/>
            <w:textDirection w:val="lrTb"/>
            <w:noWrap w:val="false"/>
          </w:tcPr>
          <w:p>
            <w:pPr>
              <w:pStyle w:val="2803"/>
              <w:jc w:val="center"/>
              <w:keepLines w:val="0"/>
              <w:keepNext w:val="0"/>
              <w:pageBreakBefore w:val="0"/>
              <w:spacing w:beforeAutospacing="0" w:afterAutospacing="0" w:line="500" w:lineRule="exact"/>
              <w:rPr>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 xml:space="preserve">序号</w:t>
            </w:r>
            <w:r/>
          </w:p>
        </w:tc>
        <w:tc>
          <w:tcPr>
            <w:tcW w:w="4511" w:type="dxa"/>
            <w:vAlign w:val="center"/>
            <w:textDirection w:val="lrTb"/>
            <w:noWrap w:val="false"/>
          </w:tcPr>
          <w:p>
            <w:pPr>
              <w:pStyle w:val="2803"/>
              <w:jc w:val="center"/>
              <w:keepLines w:val="0"/>
              <w:keepNext w:val="0"/>
              <w:pageBreakBefore w:val="0"/>
              <w:spacing w:beforeAutospacing="0" w:afterAutospacing="0" w:line="500" w:lineRule="exact"/>
              <w:rPr>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 xml:space="preserve">采购标的</w:t>
            </w:r>
            <w:r/>
          </w:p>
        </w:tc>
        <w:tc>
          <w:tcPr>
            <w:tcW w:w="3889" w:type="dxa"/>
            <w:vAlign w:val="center"/>
            <w:textDirection w:val="lrTb"/>
            <w:noWrap w:val="false"/>
          </w:tcPr>
          <w:p>
            <w:pPr>
              <w:pStyle w:val="2803"/>
              <w:jc w:val="center"/>
              <w:keepLines w:val="0"/>
              <w:keepNext w:val="0"/>
              <w:pageBreakBefore w:val="0"/>
              <w:spacing w:beforeAutospacing="0" w:afterAutospacing="0" w:line="500" w:lineRule="exact"/>
              <w:rPr>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 xml:space="preserve">对应中小微企业划分标准所属行业</w:t>
            </w:r>
            <w:r/>
          </w:p>
        </w:tc>
      </w:tr>
      <w:tr>
        <w:trPr>
          <w:jc w:val="center"/>
          <w:tblCellSpacing w:w="0" w:type="dxa"/>
          <w:trHeight w:val="291"/>
        </w:trPr>
        <w:tc>
          <w:tcPr>
            <w:tcW w:w="971" w:type="dxa"/>
            <w:vAlign w:val="center"/>
            <w:textDirection w:val="lrTb"/>
            <w:noWrap w:val="false"/>
          </w:tcPr>
          <w:p>
            <w:pPr>
              <w:pStyle w:val="2803"/>
              <w:jc w:val="center"/>
              <w:keepLines w:val="0"/>
              <w:keepNext w:val="0"/>
              <w:pageBreakBefore w:val="0"/>
              <w:spacing w:beforeAutospacing="0" w:afterAutospacing="0" w:line="500" w:lineRule="exact"/>
              <w:rPr>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 xml:space="preserve">1</w:t>
            </w:r>
            <w:r/>
          </w:p>
        </w:tc>
        <w:tc>
          <w:tcPr>
            <w:tcW w:w="4511" w:type="dxa"/>
            <w:vAlign w:val="center"/>
            <w:textDirection w:val="lrTb"/>
            <w:noWrap w:val="false"/>
          </w:tcPr>
          <w:p>
            <w:pPr>
              <w:pStyle w:val="2803"/>
              <w:jc w:val="center"/>
              <w:keepLines w:val="0"/>
              <w:keepNext w:val="0"/>
              <w:pageBreakBefore w:val="0"/>
              <w:spacing w:beforeAutospacing="0" w:afterAutospacing="0" w:line="500" w:lineRule="exact"/>
              <w:rPr>
                <w:rFonts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eastAsia="宋体" w:cs="宋体"/>
                <w:color w:val="000000" w:themeColor="text1"/>
                <w:highlight w:val="none"/>
                <w:shd w:val="clear" w:color="auto" w:fill="auto"/>
                <w:lang w:eastAsia="zh-CN"/>
                <w14:textFill>
                  <w14:solidFill>
                    <w14:schemeClr w14:val="tx1"/>
                  </w14:solidFill>
                </w14:textFill>
              </w:rPr>
              <w:t xml:space="preserve">盐城市公安局市区交通设施新建改建零星工程采购项目</w:t>
            </w:r>
            <w:r/>
          </w:p>
        </w:tc>
        <w:tc>
          <w:tcPr>
            <w:tcW w:w="3889" w:type="dxa"/>
            <w:vAlign w:val="center"/>
            <w:textDirection w:val="lrTb"/>
            <w:noWrap w:val="false"/>
          </w:tcPr>
          <w:p>
            <w:pPr>
              <w:pStyle w:val="2803"/>
              <w:jc w:val="center"/>
              <w:keepLines w:val="0"/>
              <w:keepNext w:val="0"/>
              <w:pageBreakBefore w:val="0"/>
              <w:spacing w:beforeAutospacing="0" w:afterAutospacing="0" w:line="50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租赁和商务服务业</w:t>
            </w:r>
            <w:r/>
          </w:p>
        </w:tc>
      </w:tr>
    </w:tbl>
    <w:p>
      <w:pPr>
        <w:pStyle w:val="2800"/>
        <w:jc w:val="both"/>
        <w:keepLines w:val="0"/>
        <w:keepNext w:val="0"/>
        <w:pageBreakBefore w:val="0"/>
        <w:spacing w:beforeAutospacing="0" w:afterAutospacing="0" w:line="500" w:lineRule="exact"/>
        <w:widowControl w:val="off"/>
        <w:rPr>
          <w:rFonts w:hint="default" w:ascii="宋体" w:hAnsi="宋体" w:eastAsia="宋体" w:cs="宋体"/>
          <w:b w:val="0"/>
          <w:bCs w:val="0"/>
          <w:color w:val="000000" w:themeColor="text1"/>
          <w:highlight w:val="none"/>
          <w:shd w:val="clear" w:color="auto" w:fill="auto"/>
          <w:lang w:eastAsia="zh-CN"/>
          <w14:textFill>
            <w14:solidFill>
              <w14:schemeClr w14:val="tx1"/>
            </w14:solidFill>
          </w14:textFill>
        </w:rPr>
      </w:pPr>
      <w:r/>
      <w:bookmarkStart w:id="158" w:name="_Toc618"/>
      <w:r>
        <w:rPr>
          <w:rFonts w:hint="default" w:ascii="宋体" w:hAnsi="宋体" w:eastAsia="宋体" w:cs="宋体"/>
          <w:b w:val="0"/>
          <w:bCs w:val="0"/>
          <w:color w:val="000000" w:themeColor="text1"/>
          <w:highlight w:val="none"/>
          <w:shd w:val="clear" w:color="auto" w:fill="auto"/>
          <w:lang w:val="en-US" w:eastAsia="zh-CN"/>
          <w14:textFill>
            <w14:solidFill>
              <w14:schemeClr w14:val="tx1"/>
            </w14:solidFill>
          </w14:textFill>
        </w:rPr>
        <w:t xml:space="preserve">一、</w:t>
      </w:r>
      <w:r>
        <w:rPr>
          <w:rFonts w:hint="default" w:ascii="宋体" w:hAnsi="宋体" w:eastAsia="宋体" w:cs="宋体"/>
          <w:b w:val="0"/>
          <w:bCs w:val="0"/>
          <w:color w:val="000000" w:themeColor="text1"/>
          <w:highlight w:val="none"/>
          <w:shd w:val="clear" w:color="auto" w:fill="auto"/>
          <w14:textFill>
            <w14:solidFill>
              <w14:schemeClr w14:val="tx1"/>
            </w14:solidFill>
          </w14:textFill>
        </w:rPr>
        <w:t xml:space="preserve">项目</w:t>
      </w:r>
      <w:bookmarkEnd w:id="158"/>
      <w:r/>
      <w:bookmarkStart w:id="159" w:name="_Toc517777390"/>
      <w:r/>
      <w:bookmarkStart w:id="160" w:name="_Toc1166"/>
      <w:r>
        <w:rPr>
          <w:rFonts w:hint="default" w:ascii="宋体" w:hAnsi="宋体" w:eastAsia="宋体" w:cs="宋体"/>
          <w:b w:val="0"/>
          <w:bCs w:val="0"/>
          <w:color w:val="000000" w:themeColor="text1"/>
          <w:highlight w:val="none"/>
          <w:shd w:val="clear" w:color="auto" w:fill="auto"/>
          <w14:textFill>
            <w14:solidFill>
              <w14:schemeClr w14:val="tx1"/>
            </w14:solidFill>
          </w14:textFill>
        </w:rPr>
        <w:t xml:space="preserve">名称：</w:t>
      </w:r>
      <w:bookmarkEnd w:id="159"/>
      <w:r>
        <w:rPr>
          <w:rFonts w:hint="eastAsia" w:ascii="宋体" w:hAnsi="宋体" w:eastAsia="宋体" w:cs="宋体"/>
          <w:b w:val="0"/>
          <w:bCs w:val="0"/>
          <w:color w:val="000000" w:themeColor="text1"/>
          <w:highlight w:val="none"/>
          <w:shd w:val="clear" w:color="auto" w:fill="auto"/>
          <w:lang w:eastAsia="zh-CN"/>
          <w14:textFill>
            <w14:solidFill>
              <w14:schemeClr w14:val="tx1"/>
            </w14:solidFill>
          </w14:textFill>
        </w:rPr>
        <w:t xml:space="preserve">盐城市公安局市区交通设施新建改建零星工程采购项目</w:t>
      </w:r>
      <w:bookmarkEnd w:id="160"/>
      <w:r/>
      <w:r/>
    </w:p>
    <w:p>
      <w:pPr>
        <w:pStyle w:val="2800"/>
        <w:jc w:val="both"/>
        <w:keepLines w:val="0"/>
        <w:keepNext w:val="0"/>
        <w:pageBreakBefore w:val="0"/>
        <w:spacing w:beforeAutospacing="0" w:afterAutospacing="0" w:line="500" w:lineRule="exact"/>
        <w:widowControl w:val="off"/>
        <w:rPr>
          <w:rFonts w:hint="default" w:ascii="宋体" w:hAnsi="宋体" w:eastAsia="宋体" w:cs="宋体"/>
          <w:b/>
          <w:bCs/>
          <w:color w:val="000000" w:themeColor="text1"/>
          <w:highlight w:val="none"/>
          <w:shd w:val="clear" w:color="auto" w:fill="auto"/>
          <w:lang w:val="en-US" w:eastAsia="zh-CN"/>
          <w14:textFill>
            <w14:solidFill>
              <w14:schemeClr w14:val="tx1"/>
            </w14:solidFill>
          </w14:textFill>
        </w:rPr>
      </w:pPr>
      <w:r/>
      <w:bookmarkStart w:id="161" w:name="_Toc9565"/>
      <w:r>
        <w:rPr>
          <w:rFonts w:hint="default" w:ascii="宋体" w:hAnsi="宋体" w:eastAsia="宋体" w:cs="宋体"/>
          <w:b/>
          <w:bCs/>
          <w:color w:val="000000" w:themeColor="text1"/>
          <w:highlight w:val="none"/>
          <w:shd w:val="clear" w:color="auto" w:fill="auto"/>
          <w:lang w:val="en-US" w:eastAsia="zh-CN"/>
          <w14:textFill>
            <w14:solidFill>
              <w14:schemeClr w14:val="tx1"/>
            </w14:solidFill>
          </w14:textFill>
        </w:rPr>
        <w:t xml:space="preserve">二、</w:t>
      </w:r>
      <w:bookmarkEnd w:id="161"/>
      <w:r>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t xml:space="preserve">项目内容</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b w:val="0"/>
          <w:bCs w:val="0"/>
          <w:color w:val="000000" w:themeColor="text1"/>
          <w:highlight w:val="none"/>
          <w:shd w:val="clear" w:color="auto" w:fill="auto"/>
          <w:lang w:val="en-US" w:eastAsia="zh-CN"/>
          <w14:textFill>
            <w14:solidFill>
              <w14:schemeClr w14:val="tx1"/>
            </w14:solidFill>
          </w14:textFill>
        </w:rPr>
        <w:t xml:space="preserve">采购人将亭湖大队辖区五大街道（先锋、文峰、五星、大洋、毓龙）范围内道路交通安全设施新建改建零星工程交由投标人实施。</w:t>
      </w:r>
      <w:r/>
    </w:p>
    <w:tbl>
      <w:tblPr>
        <w:tblStyle w:val="2795"/>
        <w:tblW w:w="9540" w:type="dxa"/>
        <w:jc w:val="center"/>
        <w:tblLayout w:type="fixed"/>
        <w:tblCellMar>
          <w:left w:w="108" w:type="dxa"/>
          <w:top w:w="0" w:type="dxa"/>
          <w:right w:w="108" w:type="dxa"/>
          <w:bottom w:w="0" w:type="dxa"/>
        </w:tblCellMar>
        <w:tblLook w:val="04A0" w:firstRow="1" w:lastRow="0" w:firstColumn="1" w:lastColumn="0" w:noHBand="0" w:noVBand="1"/>
      </w:tblPr>
      <w:tblGrid>
        <w:gridCol w:w="780"/>
        <w:gridCol w:w="2946"/>
        <w:gridCol w:w="787"/>
        <w:gridCol w:w="1891"/>
        <w:gridCol w:w="1518"/>
        <w:gridCol w:w="1618"/>
      </w:tblGrid>
      <w:tr>
        <w:trPr>
          <w:jc w:val="center"/>
          <w:trHeight w:val="6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品种名称及规格</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预计使用量</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最高限价（元）</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合计金额</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一、</w:t>
            </w:r>
            <w:r/>
          </w:p>
        </w:tc>
        <w:tc>
          <w:tcPr>
            <w:gridSpan w:val="5"/>
            <w:tcBorders>
              <w:top w:val="single" w:color="000000" w:sz="4" w:space="0"/>
              <w:left w:val="single" w:color="000000" w:sz="4" w:space="0"/>
              <w:bottom w:val="single" w:color="000000" w:sz="4" w:space="0"/>
              <w:right w:val="single" w:color="000000" w:sz="4" w:space="0"/>
            </w:tcBorders>
            <w:tcW w:w="8760" w:type="dxa"/>
            <w:vAlign w:val="center"/>
            <w:textDirection w:val="lrTb"/>
            <w:noWrap w:val="false"/>
          </w:tcPr>
          <w:p>
            <w:pPr>
              <w:jc w:val="left"/>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交通标线类</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常温标线（黄、白）</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25.13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12565</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常温彩色喷漆（红、绿等色）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34.23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6846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热熔停车位（5500mm×3000mm）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108.73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21746</w:t>
            </w:r>
            <w:r/>
          </w:p>
        </w:tc>
      </w:tr>
      <w:tr>
        <w:trPr>
          <w:jc w:val="center"/>
          <w:trHeight w:val="56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热熔标线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44.16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353280</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冷喷车位（5500mm×3000mm）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59.76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2988</w:t>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车让人（1200mmX800mm*3个字）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201.55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10077.5</w:t>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礼让行人（1200mm*1500mm*4个字）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397.35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19867.5</w:t>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停车不越线（800mm*600mm*5个字）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201.55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10077.5</w:t>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严管区（3000mm*1500mm*11个字）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1483.38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29667.6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前方路口、禁止逆行（500*700*8个字+图案）</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201.55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8062</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非机动车位线（线宽15cm）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3630</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标识、图案（800mm*500mm）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15.42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1233.6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震荡标线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150.61</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45183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除线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68.17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54536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路牙禁停线（线宽20cm）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9.28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1856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防滑标线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180.14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54042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标线甩涂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151.16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7558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常温双组份</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67.31</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10096.5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刮涂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181.46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9073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预成型地面车位</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331.58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3315.8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i w:val="0"/>
                <w:color w:val="000000"/>
                <w:sz w:val="21"/>
                <w:szCs w:val="21"/>
                <w:highlight w:val="none"/>
                <w:u w:val="none"/>
                <w:lang w:val="en-US" w:eastAsia="zh-CN" w:bidi="ar"/>
              </w:rPr>
              <w:t xml:space="preserve">小</w:t>
            </w:r>
            <w:r>
              <w:rPr>
                <w:rFonts w:hint="eastAsia" w:ascii="宋体" w:hAnsi="宋体" w:eastAsia="宋体" w:cs="宋体"/>
                <w:i w:val="0"/>
                <w:color w:val="000000"/>
                <w:sz w:val="21"/>
                <w:szCs w:val="21"/>
                <w:highlight w:val="none"/>
                <w:u w:val="none"/>
                <w:lang w:val="en-US" w:eastAsia="zh-CN" w:bidi="ar"/>
              </w:rPr>
              <w:t xml:space="preserve">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665701</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标志牌类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both"/>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标志牌（铝板、3M反光膜）含安装</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771.23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77123</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标志牌更改版面内容（3M反光膜）</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442.26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35380.8</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标志牌更改版面内容（其它材料）</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320.72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25657.6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标志牌租用（交通管制牌）</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98.47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9847</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指路牌、分道牌拆除（框架式）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2516.73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50334.6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活动自撑牌（800×1000mm）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757.35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22720.5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单立杆（φ76×3500mm）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915.26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45763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单立杆（φ140×3500mm）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1287.82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38634.6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写真贴</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81.83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8183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喷绘布</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68.37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6837</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发光标志牌</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3217.38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247738.26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i w:val="0"/>
                <w:color w:val="000000"/>
                <w:sz w:val="21"/>
                <w:szCs w:val="21"/>
                <w:highlight w:val="none"/>
                <w:u w:val="none"/>
                <w:lang w:val="en-US" w:eastAsia="zh-CN" w:bidi="ar"/>
              </w:rPr>
              <w:t xml:space="preserve">小</w:t>
            </w:r>
            <w:r>
              <w:rPr>
                <w:rFonts w:hint="eastAsia" w:ascii="宋体" w:hAnsi="宋体" w:eastAsia="宋体" w:cs="宋体"/>
                <w:i w:val="0"/>
                <w:color w:val="000000"/>
                <w:sz w:val="21"/>
                <w:szCs w:val="21"/>
                <w:highlight w:val="none"/>
                <w:u w:val="none"/>
                <w:lang w:val="en-US" w:eastAsia="zh-CN" w:bidi="ar"/>
              </w:rPr>
              <w:t xml:space="preserve">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568219.36</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信号灯类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both"/>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交通诱导屏维护维修</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2300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2300</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右侧通行太阳能爆闪灯（2000mm*350mm）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2958.23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29582.3</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太阳能黄闪灯（φ400mm）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2005.45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20054.5</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太阳能爆闪灯（φ114mm*1000mm）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2145.74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32186.1</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维修、维护信号灯（主灯、倒计时、行人灯）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912.36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86674.2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换灯屏（φ400mm）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684.26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13685.2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信号灯灯组（φ400mm）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1982.79</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19827.9</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人行灯灯组（φ300mm）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1483.38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29667.6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主灯小倒计时屏（400mm*400mm）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586.39</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5863.9</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人形灯倒计时屏（300mm*300mm）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497.92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9958.4</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独立倒计时屏（600mm×800mm）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3472.27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69445.4</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人行灯杆件（φ89mm*3000mm）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1483.38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29667.6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信号灯主灯杆件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24721.37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98885.48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智能信号机</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39684.47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39684.47</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单点信号机</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1948.38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5845.14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送、收移动信号灯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418.56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41856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基础开挖</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基础清运</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基础浇砼</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920.16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27604.8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地笼</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21.78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1960.2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公安井盖（定制）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350.62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5259.3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检修井</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952.56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9525.6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电缆线RVV2×6mm²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15.42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6168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电缆线RVV4×1.5mm²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10.89</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5445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电缆线RVV3×1.5mm²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4115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电缆线RVV5×1.5mm²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13.07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6535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电缆线RVV7×1.5mm²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15.42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7710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电缆线RVV2×10mm²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m²</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27.22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2722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电缆线RVV10×1.5mm²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3920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电缆线RVV2×2.5mm²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1646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电缆敷设人工费（米）</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6.53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19590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非开挖定向拉管（顶管)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141.54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21231</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破路及恢复（宽10cm、深20cm）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152.62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22893</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破路及恢复（深度≥30cm）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68.37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3418.5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悬臂式标志牌杆件拆除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2516.73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12583.65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立柱式标志牌杆件拆除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326.67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1633.35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标志牌拆除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81.83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4091.5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显示屏拆除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2516.73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5033.46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信号灯主灯杆件拆除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2395.6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4791.2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人行灯杆件拆除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402.18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1608.72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信号灯机箱拆除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871.13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1742.26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监控杆件拆除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2395.6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7186.8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四联爆闪灯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642.94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6429.4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四联爆闪灯租赁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59.41</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297.05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太阳能板发光道钉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33.03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3303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单相位移动灯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5988.02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5988.02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多相位移动灯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8981.43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8981.43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破路（普通沥青混凝土路面)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867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17340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破路(改性沥青混凝土路面)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904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18080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破路(面包砖路面)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499</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9980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破路（水泥混凝土路面)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835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16700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821497.43</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护栏类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both"/>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（1100mm×2300mm）圆管护栏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1090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32700</w:t>
            </w:r>
            <w:r/>
          </w:p>
        </w:tc>
      </w:tr>
      <w:tr>
        <w:trPr>
          <w:jc w:val="center"/>
          <w:trHeight w:val="64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彩色护栏（850mm×3000mm）（950mm×3000mm）等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693.64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27745.6</w:t>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实心钢筋护栏（770mm×3000mm）边隔离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1090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54500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建军路鹤鹿同春款护栏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1486.37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44591.1</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文港路中隔离花箱护栏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3468.18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13872.72</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文港路中隔离花箱护栏（护栏）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1387.27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5549.08</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文港路中隔离花箱护栏（花箱）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2378.18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9512.72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文港路边隔离护栏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1337.73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5350.92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198.18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59454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底座</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178.36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71344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拆除护栏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节</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59.76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5976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安装护栏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节</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91.46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9146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移动护栏（不锈钢3m×1m）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天/套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98.47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9847</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U型隔离桩（600mm×400mm）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274.43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5488.6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维修及固定护栏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302.34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60468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卡拉式自行车摆放架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174.23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13938.4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彩钢板围挡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18500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护栏翻新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节</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163.34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3266.8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护栏立柱翻新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59.89</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1197.8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防落网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921.62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36864.8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轮廓标</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21.78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4356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”盐“文化护栏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1092.63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5463.15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（1100mm×2300mm）圆管护栏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764.54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3822.7</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彩色护栏（850mm×3000mm）（950mm×3000mm）等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371.92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7438.4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实心钢筋护栏（770mm×3000mm）边隔离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764.54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15290.8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建军路鹤鹿同春款护栏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1157.16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23143.2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文港路边隔离护栏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995.31</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4976.55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护栏铸铁底座</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230.11</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6903.3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护栏铸铁底座加立柱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396.36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7530.84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围挡绿草皮</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64.37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1287.4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防爆拒马（1200*1200*700mm）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2617.59</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7852.77</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577378.65</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五</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警示柱类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both"/>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橡胶警示柱（730mm*φ80mm）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68.37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5469.6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钢质警示柱（850mm*φ76mm）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272.23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27223</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钢质警示柱（1000mm*φ140mm）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352.64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35264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拆除警示柱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21.66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649.8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铸铁桩</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952.56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9525.6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铸铁桩刷新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81.83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4091.5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车止石球（直径60cm）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672.7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3363.5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石材止车柱（直径80cm）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1045.35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5226.75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90813.75</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六</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车辆类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both"/>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保修吊车台班/登高车</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1450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29000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货车台班</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1228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24560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小型汽车（皮卡）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828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12420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防撞车租赁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1550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7750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73730</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七</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其它类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both"/>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安装减速带</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154.51</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12360.8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拆除、维修（零星小件）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205.25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16420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广角镜φ80cm、φ1m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740.46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2961.84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锥形桶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70.78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5662.4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锥形桶租赁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4.84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2420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指挥台（单层）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1812.63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3625.26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指挥台（双层）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3016.73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6033.46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单独用人工</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35500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单边桥</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1702.28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8511.4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桩考杆</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31.86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159.3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桩考底座</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37.97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303.76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旧防撞轮胎</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117.5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587.5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94545.72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2891885.91</w:t>
            </w:r>
            <w:r/>
          </w:p>
        </w:tc>
      </w:tr>
    </w:tbl>
    <w:p>
      <w:pPr>
        <w:pStyle w:val="2800"/>
        <w:jc w:val="both"/>
        <w:keepLines w:val="0"/>
        <w:keepNext w:val="0"/>
        <w:pageBreakBefore w:val="0"/>
        <w:spacing w:beforeAutospacing="0" w:afterAutospacing="0" w:line="500" w:lineRule="exact"/>
        <w:widowControl w:val="off"/>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t xml:space="preserve">三、履行方式</w:t>
      </w:r>
      <w:r/>
    </w:p>
    <w:p>
      <w:pPr>
        <w:pStyle w:val="2800"/>
        <w:jc w:val="both"/>
        <w:keepLines w:val="0"/>
        <w:keepNext w:val="0"/>
        <w:pageBreakBefore w:val="0"/>
        <w:spacing w:beforeAutospacing="0" w:afterAutospacing="0" w:line="500" w:lineRule="exact"/>
        <w:widowControl w:val="off"/>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t xml:space="preserve">　　</w:t>
      </w:r>
      <w:r>
        <w:rPr>
          <w:rFonts w:hint="eastAsia" w:ascii="宋体" w:hAnsi="宋体" w:eastAsia="宋体" w:cs="宋体"/>
          <w:b w:val="0"/>
          <w:bCs w:val="0"/>
          <w:color w:val="000000" w:themeColor="text1"/>
          <w:highlight w:val="none"/>
          <w:shd w:val="clear" w:color="auto" w:fill="auto"/>
          <w:lang w:val="en-US" w:eastAsia="zh-CN"/>
          <w14:textFill>
            <w14:solidFill>
              <w14:schemeClr w14:val="tx1"/>
            </w14:solidFill>
          </w14:textFill>
        </w:rPr>
        <w:t xml:space="preserve">采购人明确其所属交</w:t>
      </w:r>
      <w:r>
        <w:rPr>
          <w:rFonts w:hint="eastAsia" w:ascii="宋体" w:hAnsi="宋体" w:cs="宋体"/>
          <w:b w:val="0"/>
          <w:bCs w:val="0"/>
          <w:color w:val="000000" w:themeColor="text1"/>
          <w:highlight w:val="none"/>
          <w:shd w:val="clear" w:color="auto" w:fill="auto"/>
          <w:lang w:val="en-US" w:eastAsia="zh-CN"/>
          <w14:textFill>
            <w14:solidFill>
              <w14:schemeClr w14:val="tx1"/>
            </w14:solidFill>
          </w14:textFill>
        </w:rPr>
        <w:t xml:space="preserve">管</w:t>
      </w:r>
      <w:r>
        <w:rPr>
          <w:rFonts w:hint="eastAsia" w:ascii="宋体" w:hAnsi="宋体" w:eastAsia="宋体" w:cs="宋体"/>
          <w:b w:val="0"/>
          <w:bCs w:val="0"/>
          <w:color w:val="000000" w:themeColor="text1"/>
          <w:highlight w:val="none"/>
          <w:shd w:val="clear" w:color="auto" w:fill="auto"/>
          <w:lang w:val="en-US" w:eastAsia="zh-CN"/>
          <w14:textFill>
            <w14:solidFill>
              <w14:schemeClr w14:val="tx1"/>
            </w14:solidFill>
          </w14:textFill>
        </w:rPr>
        <w:t xml:space="preserve">支队警保</w:t>
      </w:r>
      <w:r>
        <w:rPr>
          <w:rFonts w:hint="eastAsia" w:ascii="宋体" w:hAnsi="宋体" w:cs="宋体"/>
          <w:b w:val="0"/>
          <w:bCs w:val="0"/>
          <w:color w:val="000000" w:themeColor="text1"/>
          <w:highlight w:val="none"/>
          <w:shd w:val="clear" w:color="auto" w:fill="auto"/>
          <w:lang w:val="en-US" w:eastAsia="zh-CN"/>
          <w14:textFill>
            <w14:solidFill>
              <w14:schemeClr w14:val="tx1"/>
            </w14:solidFill>
          </w14:textFill>
        </w:rPr>
        <w:t xml:space="preserve">室</w:t>
      </w:r>
      <w:r>
        <w:rPr>
          <w:rFonts w:hint="eastAsia" w:ascii="宋体" w:hAnsi="宋体" w:eastAsia="宋体" w:cs="宋体"/>
          <w:b w:val="0"/>
          <w:bCs w:val="0"/>
          <w:color w:val="000000" w:themeColor="text1"/>
          <w:highlight w:val="none"/>
          <w:shd w:val="clear" w:color="auto" w:fill="auto"/>
          <w:lang w:val="en-US" w:eastAsia="zh-CN"/>
          <w14:textFill>
            <w14:solidFill>
              <w14:schemeClr w14:val="tx1"/>
            </w14:solidFill>
          </w14:textFill>
        </w:rPr>
        <w:t xml:space="preserve">为项目主管部门，具体负责项目派工、验收、网上审核、结算等事宜，投标人接到采购人派工指令后立即组织维保、抢修施工，并与相关辖区大队对接检查验收等事宜，采购人通过网上流程出单给投标人提交审计。具体流程按《市区相关道路交通安全设施维保工作规范》执行。</w:t>
      </w:r>
      <w:r/>
    </w:p>
    <w:p>
      <w:pPr>
        <w:pStyle w:val="2800"/>
        <w:jc w:val="both"/>
        <w:keepLines w:val="0"/>
        <w:keepNext w:val="0"/>
        <w:pageBreakBefore w:val="0"/>
        <w:spacing w:beforeAutospacing="0" w:afterAutospacing="0" w:line="500" w:lineRule="exact"/>
        <w:widowControl w:val="off"/>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t xml:space="preserve">四、结算方式</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b w:val="0"/>
          <w:bCs w:val="0"/>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b w:val="0"/>
          <w:bCs w:val="0"/>
          <w:color w:val="000000" w:themeColor="text1"/>
          <w:highlight w:val="none"/>
          <w:shd w:val="clear" w:color="auto" w:fill="auto"/>
          <w:lang w:val="en-US" w:eastAsia="zh-CN"/>
          <w14:textFill>
            <w14:solidFill>
              <w14:schemeClr w14:val="tx1"/>
            </w14:solidFill>
          </w14:textFill>
        </w:rPr>
        <w:t xml:space="preserve">预付款：合同签订后，采购人收到预付款发票后10个工作日内，预付款支付比例：合同金额的30%。（在签订合同时，中标人明确书面表示无需预付款或者主动要求降低预付款比例的，采购人可就预付款比例作相应调整）</w:t>
      </w:r>
      <w:r/>
    </w:p>
    <w:p>
      <w:pPr>
        <w:pStyle w:val="2800"/>
        <w:numPr>
          <w:ilvl w:val="0"/>
          <w:numId w:val="0"/>
        </w:numPr>
        <w:ind w:left="120" w:firstLine="480"/>
        <w:jc w:val="both"/>
        <w:spacing w:beforeAutospacing="0" w:afterAutospacing="0"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highlight w:val="none"/>
          <w:shd w:val="clear" w:color="auto" w:fill="auto"/>
          <w:lang w:val="en-US" w:eastAsia="zh-CN"/>
          <w14:textFill>
            <w14:solidFill>
              <w14:schemeClr w14:val="tx1"/>
            </w14:solidFill>
          </w14:textFill>
        </w:rPr>
        <w:t xml:space="preserve">进度款：以实际工程量结算，按季度审计后结算（结算时须扣除当季度应扣除的预付款）。采购人负责结算事宜、中标人配合，采购人应及时完成出单、审计、结算全部流程，中标人向采购人开具增值税发票，采购人在收到增值税发票后的10个工作日内支付相应款项</w:t>
      </w:r>
      <w:r>
        <w:rPr>
          <w:rFonts w:hint="eastAsia" w:ascii="宋体" w:hAnsi="宋体" w:cs="宋体"/>
          <w:color w:val="000000" w:themeColor="text1"/>
          <w:sz w:val="24"/>
          <w:szCs w:val="24"/>
          <w:highlight w:val="none"/>
          <w14:textFill>
            <w14:solidFill>
              <w14:schemeClr w14:val="tx1"/>
            </w14:solidFill>
          </w14:textFill>
        </w:rPr>
        <w:t xml:space="preserve">。 </w:t>
      </w:r>
      <w:r/>
    </w:p>
    <w:p>
      <w:pPr>
        <w:pStyle w:val="280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2800"/>
        <w:ind w:firstLine="48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p>
      <w:pPr>
        <w:pStyle w:val="2800"/>
        <w:ind w:firstLine="602"/>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tabs>
          <w:tab w:val="left" w:pos="6205" w:leader="none"/>
        </w:tabs>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tabs>
          <w:tab w:val="left" w:pos="6205" w:leader="none"/>
        </w:tabs>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bookmarkStart w:id="162" w:name="_Toc120614281"/>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第五章  响应文件格式</w:t>
      </w:r>
      <w:r/>
    </w:p>
    <w:p>
      <w:pPr>
        <w:pStyle w:val="2800"/>
        <w:jc w:val="center"/>
        <w:spacing w:beforeAutospacing="0" w:afterAutospacing="0"/>
        <w:rPr>
          <w:rFonts w:hint="eastAsia" w:ascii="宋体" w:hAnsi="宋体" w:cs="宋体"/>
          <w:b/>
          <w:color w:val="000000" w:themeColor="text1"/>
          <w:sz w:val="72"/>
          <w:szCs w:val="72"/>
          <w:highlight w:val="none"/>
          <w14:textFill>
            <w14:solidFill>
              <w14:schemeClr w14:val="tx1"/>
            </w14:solidFill>
          </w14:textFill>
        </w:rPr>
      </w:pPr>
      <w:r/>
      <w:bookmarkStart w:id="163" w:name="_Toc120614282"/>
      <w:r/>
      <w:bookmarkEnd w:id="163"/>
      <w:r/>
      <w:bookmarkStart w:id="164" w:name="_Toc49090576"/>
      <w:r/>
      <w:bookmarkEnd w:id="164"/>
      <w:r/>
      <w:bookmarkStart w:id="165" w:name="_Toc26554094"/>
      <w:r/>
      <w:bookmarkStart w:id="166" w:name="_Hlt26955039"/>
      <w:r/>
      <w:bookmarkStart w:id="167" w:name="_Hlt26671244"/>
      <w:r/>
      <w:r/>
    </w:p>
    <w:p>
      <w:pPr>
        <w:pStyle w:val="2800"/>
        <w:jc w:val="center"/>
        <w:spacing w:beforeAutospacing="0" w:afterAutospacing="0"/>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响  应  文  件</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1084"/>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名 称：</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2800"/>
        <w:ind w:firstLine="1084"/>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采 购 编 号：</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   供应商名称 ：</w:t>
      </w:r>
      <w:r>
        <w:rPr>
          <w:rFonts w:hint="eastAsia" w:ascii="宋体" w:hAnsi="宋体" w:cs="宋体"/>
          <w:b/>
          <w:color w:val="000000" w:themeColor="text1"/>
          <w:sz w:val="36"/>
          <w:szCs w:val="36"/>
          <w:highlight w:val="none"/>
          <w:u w:val="single"/>
          <w14:textFill>
            <w14:solidFill>
              <w14:schemeClr w14:val="tx1"/>
            </w14:solidFill>
          </w14:textFill>
        </w:rPr>
        <w:t xml:space="preserve">（加盖CA电子公章）</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   日   期 ：</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280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center"/>
        <w:spacing w:beforeAutospacing="0" w:afterAutospacing="0" w:line="240" w:lineRule="atLeast"/>
        <w:rPr>
          <w:rFonts w:hint="eastAsia" w:ascii="宋体" w:hAnsi="宋体" w:cs="宋体"/>
          <w:b/>
          <w:color w:val="000000" w:themeColor="text1"/>
          <w:sz w:val="36"/>
          <w:szCs w:val="36"/>
          <w:highlight w:val="none"/>
          <w:u w:val="single"/>
          <w14:textFill>
            <w14:solidFill>
              <w14:schemeClr w14:val="tx1"/>
            </w14:solidFill>
          </w14:textFill>
        </w:rPr>
      </w:pPr>
      <w:r>
        <w:rPr>
          <w:rFonts w:hint="eastAsia" w:ascii="宋体" w:hAnsi="宋体" w:cs="宋体"/>
          <w:b/>
          <w:color w:val="000000" w:themeColor="text1"/>
          <w:sz w:val="36"/>
          <w:szCs w:val="36"/>
          <w:highlight w:val="none"/>
          <w:u w:val="single"/>
          <w14:textFill>
            <w14:solidFill>
              <w14:schemeClr w14:val="tx1"/>
            </w14:solidFill>
          </w14:textFill>
        </w:rPr>
      </w:r>
      <w:r/>
    </w:p>
    <w:p>
      <w:pPr>
        <w:pStyle w:val="2800"/>
        <w:jc w:val="center"/>
        <w:spacing w:beforeAutospacing="0" w:afterAutospacing="0" w:line="240" w:lineRule="atLeast"/>
        <w:rPr>
          <w:rFonts w:hint="eastAsia" w:ascii="宋体" w:hAnsi="宋体" w:cs="宋体"/>
          <w:b/>
          <w:color w:val="000000" w:themeColor="text1"/>
          <w:sz w:val="36"/>
          <w:szCs w:val="36"/>
          <w:highlight w:val="none"/>
          <w:u w:val="single"/>
          <w14:textFill>
            <w14:solidFill>
              <w14:schemeClr w14:val="tx1"/>
            </w14:solidFill>
          </w14:textFill>
        </w:rPr>
      </w:pPr>
      <w:r>
        <w:rPr>
          <w:rFonts w:hint="eastAsia" w:ascii="宋体" w:hAnsi="宋体" w:cs="宋体"/>
          <w:b/>
          <w:color w:val="000000" w:themeColor="text1"/>
          <w:sz w:val="36"/>
          <w:szCs w:val="36"/>
          <w:highlight w:val="none"/>
          <w:u w:val="single"/>
          <w14:textFill>
            <w14:solidFill>
              <w14:schemeClr w14:val="tx1"/>
            </w14:solidFill>
          </w14:textFill>
        </w:rPr>
      </w:r>
      <w:r/>
    </w:p>
    <w:p>
      <w:pPr>
        <w:pStyle w:val="2800"/>
        <w:jc w:val="center"/>
        <w:spacing w:beforeAutospacing="0" w:afterAutospacing="0" w:line="240" w:lineRule="atLeast"/>
        <w:rPr>
          <w:rFonts w:hint="eastAsia" w:ascii="宋体" w:hAnsi="宋体" w:cs="宋体"/>
          <w:b/>
          <w:color w:val="000000" w:themeColor="text1"/>
          <w:sz w:val="36"/>
          <w:szCs w:val="36"/>
          <w:highlight w:val="none"/>
          <w:u w:val="single"/>
          <w14:textFill>
            <w14:solidFill>
              <w14:schemeClr w14:val="tx1"/>
            </w14:solidFill>
          </w14:textFill>
        </w:rPr>
      </w:pPr>
      <w:r>
        <w:rPr>
          <w:rFonts w:hint="eastAsia" w:ascii="宋体" w:hAnsi="宋体" w:cs="宋体"/>
          <w:b/>
          <w:color w:val="000000" w:themeColor="text1"/>
          <w:sz w:val="36"/>
          <w:szCs w:val="36"/>
          <w:highlight w:val="none"/>
          <w:u w:val="single"/>
          <w14:textFill>
            <w14:solidFill>
              <w14:schemeClr w14:val="tx1"/>
            </w14:solidFill>
          </w14:textFill>
        </w:rPr>
      </w:r>
      <w:r/>
    </w:p>
    <w:p>
      <w:pPr>
        <w:pStyle w:val="280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响应文件目录</w:t>
      </w:r>
      <w:r/>
    </w:p>
    <w:p>
      <w:pPr>
        <w:pStyle w:val="280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left="480"/>
        <w:jc w:val="both"/>
        <w:spacing w:beforeAutospacing="0" w:afterAutospacing="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一、法人或者其他组织的营业执照等证明文件，自然人的身份证明</w:t>
      </w:r>
      <w:r/>
    </w:p>
    <w:p>
      <w:pPr>
        <w:ind w:firstLine="480"/>
        <w:jc w:val="left"/>
        <w:tabs>
          <w:tab w:val="left" w:pos="133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二、上一年度的财务状况报告（至少提供资产负债表、利润表、现金流量表，</w:t>
      </w:r>
      <w:r/>
    </w:p>
    <w:p>
      <w:pPr>
        <w:pStyle w:val="2800"/>
        <w:jc w:val="both"/>
        <w:spacing w:beforeAutospacing="0" w:afterAutospacing="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协商供应商成立不满一年无需提供）</w:t>
      </w:r>
      <w:r/>
    </w:p>
    <w:p>
      <w:pPr>
        <w:pStyle w:val="2800"/>
        <w:numPr>
          <w:ilvl w:val="0"/>
          <w:numId w:val="1"/>
        </w:numPr>
        <w:ind w:left="480"/>
        <w:jc w:val="both"/>
        <w:spacing w:beforeAutospacing="0" w:afterAutospacing="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pStyle w:val="2800"/>
        <w:numPr>
          <w:ilvl w:val="0"/>
          <w:numId w:val="0"/>
        </w:numPr>
        <w:ind w:firstLine="480"/>
        <w:jc w:val="both"/>
        <w:spacing w:beforeAutospacing="0" w:afterAutospacing="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2800"/>
        <w:ind w:firstLine="48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五、参加政府采购活动前 3 年内在经营活动中没有重大违法记录的书面声明</w:t>
      </w:r>
      <w:r/>
    </w:p>
    <w:p>
      <w:pPr>
        <w:pStyle w:val="2800"/>
        <w:ind w:firstLine="48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六、特定资格要求的证明文件（如果本项目设置特定资格要求，则需要提供）</w:t>
      </w:r>
      <w:r/>
    </w:p>
    <w:p>
      <w:pPr>
        <w:pStyle w:val="2800"/>
        <w:ind w:firstLine="48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七、法人授权书</w:t>
      </w:r>
      <w:r/>
    </w:p>
    <w:p>
      <w:pPr>
        <w:pStyle w:val="2800"/>
        <w:ind w:firstLine="48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八、单一来源响应函</w:t>
      </w:r>
      <w:r/>
    </w:p>
    <w:p>
      <w:pPr>
        <w:pStyle w:val="2800"/>
        <w:ind w:firstLine="48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九、中小微企业声明函</w:t>
      </w:r>
      <w:r/>
    </w:p>
    <w:p>
      <w:pPr>
        <w:pStyle w:val="2800"/>
        <w:ind w:firstLine="48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十、分项报价表</w:t>
      </w:r>
      <w:r/>
    </w:p>
    <w:p>
      <w:pPr>
        <w:pStyle w:val="2800"/>
        <w:ind w:firstLine="48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十一、技术要求响应及偏离表</w:t>
      </w:r>
      <w:r/>
    </w:p>
    <w:p>
      <w:pPr>
        <w:pStyle w:val="2800"/>
        <w:ind w:firstLine="48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十二、商务要求响应及偏离表</w:t>
      </w:r>
      <w:r/>
    </w:p>
    <w:p>
      <w:pPr>
        <w:pStyle w:val="2800"/>
        <w:ind w:left="480"/>
        <w:jc w:val="both"/>
        <w:spacing w:beforeAutospacing="0" w:afterAutospacing="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十三、开标一览表</w:t>
      </w:r>
      <w:r/>
    </w:p>
    <w:p>
      <w:pPr>
        <w:ind w:firstLine="480"/>
        <w:spacing w:before="50" w:after="5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十四、技术方案、服务承诺、培训承诺等</w:t>
      </w:r>
      <w:r/>
    </w:p>
    <w:p>
      <w:pPr>
        <w:pStyle w:val="2800"/>
        <w:ind w:firstLine="48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十五、盐城市政府采购事前信用承诺书</w:t>
      </w:r>
      <w:r/>
    </w:p>
    <w:p>
      <w:pPr>
        <w:pStyle w:val="2800"/>
        <w:ind w:firstLine="48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2800"/>
        <w:ind w:firstLine="48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48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ind w:firstLine="48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48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48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48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48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2800"/>
        <w:ind w:firstLine="48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eastAsia" w:eastAsia="黑体"/>
          <w:color w:val="000000" w:themeColor="text1"/>
          <w:sz w:val="24"/>
          <w:szCs w:val="24"/>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二、上一年度的财务状况报告</w:t>
      </w:r>
      <w:r/>
    </w:p>
    <w:p>
      <w:pPr>
        <w:ind w:firstLine="480"/>
        <w:jc w:val="left"/>
        <w:tabs>
          <w:tab w:val="left" w:pos="1331"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（至少提供资产负债表、利润表、现金流量表，协商供应商成立不满一年无需提供）</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三、具备履行合同所必需的设备和专业技术能力的书面声明</w:t>
      </w:r>
      <w:r/>
    </w:p>
    <w:p>
      <w:pPr>
        <w:pStyle w:val="2800"/>
        <w:ind w:firstLine="492"/>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2800"/>
        <w:ind w:firstLine="492"/>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主要设备有：</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2800"/>
        <w:ind w:firstLine="492"/>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主要专业技术能力有：</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280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四、依法缴纳税收和社会保障资金的相关材料</w:t>
      </w:r>
      <w:r/>
    </w:p>
    <w:p>
      <w:pPr>
        <w:pStyle w:val="2800"/>
        <w:ind w:firstLine="48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280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声  明</w:t>
      </w:r>
      <w:r/>
    </w:p>
    <w:p>
      <w:pPr>
        <w:pStyle w:val="280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六、特定资格要求的证明文件</w:t>
      </w:r>
      <w:r/>
    </w:p>
    <w:p>
      <w:pPr>
        <w:pStyle w:val="280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如果本项目申请人的特定资格要求中要求提供的，必须提供。</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bookmarkStart w:id="168" w:name="_Toc120614284"/>
      <w:r>
        <w:rPr>
          <w:rFonts w:hint="eastAsia" w:ascii="黑体" w:hAnsi="宋体" w:eastAsia="黑体" w:cs="黑体"/>
          <w:i/>
          <w:color w:val="000000" w:themeColor="text1"/>
          <w:sz w:val="32"/>
          <w:szCs w:val="32"/>
          <w:highlight w:val="none"/>
          <w:u w:val="single"/>
          <w14:textFill>
            <w14:solidFill>
              <w14:schemeClr w14:val="tx1"/>
            </w14:solidFill>
          </w14:textFill>
        </w:rPr>
        <w:t xml:space="preserve">七、法人授权书</w:t>
      </w:r>
      <w:r/>
    </w:p>
    <w:p>
      <w:pPr>
        <w:pStyle w:val="2800"/>
        <w:ind w:firstLine="480"/>
        <w:jc w:val="both"/>
        <w:spacing w:beforeAutospacing="0" w:afterAutospacing="0"/>
        <w:tabs>
          <w:tab w:val="left" w:pos="360" w:leader="none"/>
        </w:tabs>
        <w:rPr>
          <w:rFonts w:hint="default"/>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本授权书声明：____________（供应商名称）授权________________（被授权人的姓名）为我方就JSZC-320900-JCJS-D2026-0002号项目采购活动的合法代理人，以本单位名义全权处理一切与该项目采购有关的事务。</w:t>
      </w:r>
      <w:r/>
    </w:p>
    <w:p>
      <w:pPr>
        <w:pStyle w:val="2800"/>
        <w:ind w:firstLine="480"/>
        <w:jc w:val="both"/>
        <w:spacing w:beforeAutospacing="0" w:afterAutospacing="0"/>
        <w:tabs>
          <w:tab w:val="left" w:pos="360" w:leader="none"/>
        </w:tabs>
        <w:rPr>
          <w:rFonts w:hint="default"/>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本授权书于______年____月____日起生效，特此声明。</w:t>
      </w:r>
      <w:r/>
    </w:p>
    <w:p>
      <w:pPr>
        <w:pStyle w:val="2800"/>
        <w:jc w:val="both"/>
        <w:spacing w:beforeAutospacing="0" w:afterAutospacing="0"/>
        <w:tabs>
          <w:tab w:val="left" w:pos="360" w:leader="none"/>
        </w:tabs>
        <w:rPr>
          <w:rFonts w:hint="default"/>
          <w:color w:val="000000" w:themeColor="text1"/>
          <w:sz w:val="24"/>
          <w:szCs w:val="24"/>
          <w:highlight w:val="none"/>
          <w14:textFill>
            <w14:solidFill>
              <w14:schemeClr w14:val="tx1"/>
            </w14:solidFill>
          </w14:textFill>
        </w:rPr>
      </w:pPr>
      <w:r>
        <w:rPr>
          <w:rFonts w:hint="eastAsia" w:ascii="Times New Roman" w:hAnsi="Times New Roman" w:eastAsia="Times New Roman"/>
          <w:color w:val="000000" w:themeColor="text1"/>
          <w:sz w:val="24"/>
          <w:szCs w:val="24"/>
          <w:highlight w:val="none"/>
          <w14:textFill>
            <w14:solidFill>
              <w14:schemeClr w14:val="tx1"/>
            </w14:solidFill>
          </w14:textFill>
        </w:rPr>
        <w:t xml:space="preserve">          </w:t>
      </w:r>
      <w:r>
        <w:rPr>
          <w:rFonts w:hint="eastAsia" w:ascii="Times New Roman" w:hAnsi="Times New Roman"/>
          <w:color w:val="000000" w:themeColor="text1"/>
          <w:sz w:val="24"/>
          <w:szCs w:val="24"/>
          <w:highlight w:val="none"/>
          <w14:textFill>
            <w14:solidFill>
              <w14:schemeClr w14:val="tx1"/>
            </w14:solidFill>
          </w14:textFill>
        </w:rPr>
        <w:t xml:space="preserve">被授权人身份证号码：</w:t>
      </w:r>
      <w:r>
        <w:rPr>
          <w:rFonts w:hint="eastAsia" w:ascii="Times New Roman" w:hAnsi="Times New Roman" w:eastAsia="Times New Roman"/>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tabs>
          <w:tab w:val="left" w:pos="360" w:leader="none"/>
        </w:tabs>
        <w:rPr>
          <w:rFonts w:hint="default"/>
          <w:color w:val="000000" w:themeColor="text1"/>
          <w:sz w:val="24"/>
          <w:szCs w:val="24"/>
          <w:highlight w:val="none"/>
          <w14:textFill>
            <w14:solidFill>
              <w14:schemeClr w14:val="tx1"/>
            </w14:solidFill>
          </w14:textFill>
        </w:rPr>
      </w:pPr>
      <w:r>
        <w:rPr>
          <w:rFonts w:hint="eastAsia" w:ascii="Times New Roman" w:hAnsi="Times New Roman" w:eastAsia="Times New Roman"/>
          <w:color w:val="000000" w:themeColor="text1"/>
          <w:sz w:val="24"/>
          <w:szCs w:val="24"/>
          <w:highlight w:val="none"/>
          <w14:textFill>
            <w14:solidFill>
              <w14:schemeClr w14:val="tx1"/>
            </w14:solidFill>
          </w14:textFill>
        </w:rPr>
        <w:t xml:space="preserve">          </w:t>
      </w:r>
      <w:r>
        <w:rPr>
          <w:rFonts w:hint="eastAsia" w:ascii="Times New Roman" w:hAnsi="Times New Roman"/>
          <w:color w:val="000000" w:themeColor="text1"/>
          <w:sz w:val="24"/>
          <w:szCs w:val="24"/>
          <w:highlight w:val="none"/>
          <w14:textFill>
            <w14:solidFill>
              <w14:schemeClr w14:val="tx1"/>
            </w14:solidFill>
          </w14:textFill>
        </w:rPr>
        <w:t xml:space="preserve">被授权人联系电话：（手机）</w:t>
      </w:r>
      <w:r>
        <w:rPr>
          <w:rFonts w:hint="eastAsia" w:ascii="Times New Roman" w:hAnsi="Times New Roman" w:eastAsia="Times New Roman"/>
          <w:color w:val="000000" w:themeColor="text1"/>
          <w:sz w:val="24"/>
          <w:szCs w:val="24"/>
          <w:highlight w:val="none"/>
          <w:u w:val="single"/>
          <w14:textFill>
            <w14:solidFill>
              <w14:schemeClr w14:val="tx1"/>
            </w14:solidFill>
          </w14:textFill>
        </w:rPr>
        <w:t xml:space="preserve">                          </w:t>
      </w:r>
      <w:r/>
    </w:p>
    <w:p>
      <w:pPr>
        <w:pStyle w:val="2800"/>
        <w:ind w:firstLine="1200"/>
        <w:jc w:val="both"/>
        <w:spacing w:beforeAutospacing="0" w:afterAutospacing="0"/>
        <w:tabs>
          <w:tab w:val="left" w:pos="360" w:leader="none"/>
        </w:tabs>
        <w:rPr>
          <w:rFonts w:hint="default"/>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授权单位名称：</w:t>
      </w:r>
      <w:r>
        <w:rPr>
          <w:rFonts w:hint="eastAsia" w:ascii="Times New Roman" w:hAnsi="Times New Roman"/>
          <w:color w:val="000000" w:themeColor="text1"/>
          <w:sz w:val="24"/>
          <w:szCs w:val="24"/>
          <w:highlight w:val="none"/>
          <w:u w:val="single"/>
          <w14:textFill>
            <w14:solidFill>
              <w14:schemeClr w14:val="tx1"/>
            </w14:solidFill>
          </w14:textFill>
        </w:rPr>
        <w:t xml:space="preserve">（加盖CA电子公章）</w:t>
      </w:r>
      <w:r/>
    </w:p>
    <w:p>
      <w:pPr>
        <w:pStyle w:val="2800"/>
        <w:ind w:firstLine="480"/>
        <w:jc w:val="both"/>
        <w:spacing w:beforeAutospacing="0" w:afterAutospacing="0"/>
        <w:tabs>
          <w:tab w:val="left" w:pos="360" w:leader="none"/>
        </w:tabs>
        <w:rPr>
          <w:rFonts w:hint="default"/>
          <w:color w:val="000000" w:themeColor="text1"/>
          <w:sz w:val="24"/>
          <w:szCs w:val="24"/>
          <w:highlight w:val="none"/>
          <w14:textFill>
            <w14:solidFill>
              <w14:schemeClr w14:val="tx1"/>
            </w14:solidFill>
          </w14:textFill>
        </w:rPr>
      </w:pPr>
      <w:r>
        <w:rPr>
          <w:rFonts w:hint="eastAsia" w:ascii="Times New Roman" w:hAnsi="Times New Roman" w:eastAsia="Times New Roman"/>
          <w:color w:val="000000" w:themeColor="text1"/>
          <w:sz w:val="24"/>
          <w:szCs w:val="24"/>
          <w:highlight w:val="none"/>
          <w14:textFill>
            <w14:solidFill>
              <w14:schemeClr w14:val="tx1"/>
            </w14:solidFill>
          </w14:textFill>
        </w:rPr>
        <w:t xml:space="preserve">      </w:t>
      </w:r>
      <w:r>
        <w:rPr>
          <w:rFonts w:hint="eastAsia" w:ascii="Times New Roman" w:hAnsi="Times New Roman"/>
          <w:color w:val="000000" w:themeColor="text1"/>
          <w:sz w:val="24"/>
          <w:szCs w:val="24"/>
          <w:highlight w:val="none"/>
          <w14:textFill>
            <w14:solidFill>
              <w14:schemeClr w14:val="tx1"/>
            </w14:solidFill>
          </w14:textFill>
        </w:rPr>
        <w:t xml:space="preserve">单位地址：</w:t>
      </w:r>
      <w:r>
        <w:rPr>
          <w:rFonts w:hint="eastAsia" w:ascii="Times New Roman" w:hAnsi="Times New Roman" w:eastAsia="Times New Roman"/>
          <w:color w:val="000000" w:themeColor="text1"/>
          <w:sz w:val="24"/>
          <w:szCs w:val="24"/>
          <w:highlight w:val="none"/>
          <w:u w:val="single"/>
          <w14:textFill>
            <w14:solidFill>
              <w14:schemeClr w14:val="tx1"/>
            </w14:solidFill>
          </w14:textFill>
        </w:rPr>
        <w:t xml:space="preserve">                                         </w:t>
      </w:r>
      <w:r/>
    </w:p>
    <w:p>
      <w:pPr>
        <w:pStyle w:val="2800"/>
        <w:ind w:firstLine="480"/>
        <w:jc w:val="both"/>
        <w:spacing w:beforeAutospacing="0" w:afterAutospacing="0"/>
        <w:tabs>
          <w:tab w:val="left" w:pos="360" w:leader="none"/>
        </w:tabs>
        <w:rPr>
          <w:rFonts w:hint="default"/>
          <w:color w:val="000000" w:themeColor="text1"/>
          <w:sz w:val="24"/>
          <w:szCs w:val="24"/>
          <w:highlight w:val="none"/>
          <w14:textFill>
            <w14:solidFill>
              <w14:schemeClr w14:val="tx1"/>
            </w14:solidFill>
          </w14:textFill>
        </w:rPr>
      </w:pPr>
      <w:r>
        <w:rPr>
          <w:rFonts w:hint="eastAsia" w:ascii="Times New Roman" w:hAnsi="Times New Roman" w:eastAsia="Times New Roman"/>
          <w:color w:val="000000" w:themeColor="text1"/>
          <w:sz w:val="24"/>
          <w:szCs w:val="24"/>
          <w:highlight w:val="none"/>
          <w14:textFill>
            <w14:solidFill>
              <w14:schemeClr w14:val="tx1"/>
            </w14:solidFill>
          </w14:textFill>
        </w:rPr>
        <w:t xml:space="preserve">      </w:t>
      </w:r>
      <w:r>
        <w:rPr>
          <w:rFonts w:hint="eastAsia" w:ascii="Times New Roman" w:hAnsi="Times New Roman"/>
          <w:color w:val="000000" w:themeColor="text1"/>
          <w:sz w:val="24"/>
          <w:szCs w:val="24"/>
          <w:highlight w:val="none"/>
          <w14:textFill>
            <w14:solidFill>
              <w14:schemeClr w14:val="tx1"/>
            </w14:solidFill>
          </w14:textFill>
        </w:rPr>
        <w:t xml:space="preserve">日期：</w:t>
      </w:r>
      <w:bookmarkStart w:id="169" w:name="_Hlt26955070"/>
      <w:r/>
      <w:bookmarkStart w:id="170" w:name="_Hlt26671380"/>
      <w:r/>
      <w:bookmarkStart w:id="171" w:name="_格式3__银行出具的资信证明"/>
      <w:r>
        <w:rPr>
          <w:rFonts w:hint="eastAsia" w:ascii="Times New Roman" w:hAnsi="Times New Roman" w:eastAsia="Times New Roman"/>
          <w:color w:val="000000" w:themeColor="text1"/>
          <w:sz w:val="24"/>
          <w:szCs w:val="24"/>
          <w:highlight w:val="none"/>
          <w:u w:val="single"/>
          <w14:textFill>
            <w14:solidFill>
              <w14:schemeClr w14:val="tx1"/>
            </w14:solidFill>
          </w14:textFill>
        </w:rPr>
        <w:t xml:space="preserve">                                         </w:t>
      </w:r>
      <w:r/>
    </w:p>
    <w:p>
      <w:pPr>
        <w:pStyle w:val="2800"/>
        <w:ind w:firstLine="480"/>
        <w:jc w:val="both"/>
        <w:spacing w:beforeAutospacing="0" w:afterAutospacing="0"/>
        <w:tabs>
          <w:tab w:val="left" w:pos="360" w:leader="none"/>
        </w:tabs>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480"/>
        <w:jc w:val="both"/>
        <w:spacing w:beforeAutospacing="0" w:afterAutospacing="0"/>
        <w:tabs>
          <w:tab w:val="left" w:pos="360" w:leader="none"/>
        </w:tabs>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42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keepLines/>
        <w:keepNext/>
        <w:spacing w:before="260" w:beforeAutospacing="0" w:after="260" w:afterAutospacing="0" w:line="415" w:lineRule="auto"/>
        <w:rPr>
          <w:rFonts w:hint="eastAsia" w:ascii="黑体" w:hAnsi="宋体" w:eastAsia="黑体" w:cs="黑体"/>
          <w:b/>
          <w:i/>
          <w:color w:val="000000" w:themeColor="text1"/>
          <w:sz w:val="32"/>
          <w:szCs w:val="32"/>
          <w:highlight w:val="none"/>
          <w:u w:val="single"/>
          <w14:textFill>
            <w14:solidFill>
              <w14:schemeClr w14:val="tx1"/>
            </w14:solidFill>
          </w14:textFill>
        </w:rPr>
        <w:sectPr>
          <w:headerReference w:type="default" r:id="rId15"/>
          <w:headerReference w:type="even" r:id="rId16"/>
          <w:headerReference w:type="first" r:id="rId17"/>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ascii="宋体" w:hAnsi="宋体" w:cs="宋体"/>
          <w:b/>
          <w:color w:val="000000" w:themeColor="text1"/>
          <w:sz w:val="24"/>
          <w:szCs w:val="24"/>
          <w:highlight w:val="none"/>
          <w14:textFill>
            <w14:solidFill>
              <w14:schemeClr w14:val="tx1"/>
            </w14:solidFill>
          </w14:textFill>
        </w:rPr>
        <w:br w:type="page" w:clear="all"/>
      </w:r>
      <w:r/>
    </w:p>
    <w:p>
      <w:pPr>
        <w:pStyle w:val="2800"/>
        <w:jc w:val="center"/>
        <w:keepLines/>
        <w:keepNext/>
        <w:spacing w:before="260" w:beforeAutospacing="0" w:after="260" w:afterAutospacing="0" w:line="415" w:lineRule="auto"/>
        <w:rPr>
          <w:rFonts w:hint="default"/>
          <w:color w:val="000000" w:themeColor="text1"/>
          <w:sz w:val="24"/>
          <w:szCs w:val="24"/>
          <w:highlight w:val="none"/>
          <w14:textFill>
            <w14:solidFill>
              <w14:schemeClr w14:val="tx1"/>
            </w14:solidFill>
          </w14:textFill>
        </w:rPr>
      </w:pP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八、单一来源响应函</w:t>
      </w:r>
      <w:r/>
    </w:p>
    <w:p>
      <w:pPr>
        <w:pStyle w:val="2800"/>
        <w:spacing w:beforeAutospacing="0" w:afterAutospacing="0" w:line="240" w:lineRule="atLeast"/>
        <w:rPr>
          <w:rFonts w:hint="eastAsia"/>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致：江苏捷诚建设项目管理咨询有限公司</w:t>
      </w:r>
      <w:r/>
    </w:p>
    <w:p>
      <w:pPr>
        <w:pStyle w:val="2800"/>
        <w:ind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根据贵方的</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号采购文件，正式授权下述签字人______(姓名)代表我方______________（供应商的名称），全权处理本次项目单一来源采购的有关事宜。</w:t>
      </w:r>
      <w:r/>
    </w:p>
    <w:p>
      <w:pPr>
        <w:pStyle w:val="2800"/>
        <w:ind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据此函，__________签字人兹宣布同意如下：</w:t>
      </w:r>
      <w:r/>
    </w:p>
    <w:p>
      <w:pPr>
        <w:pStyle w:val="2800"/>
        <w:ind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1.按采购文件规定的各项要求，向买方提供所需货物、服务（包含与货物相关的服务及与服务相关的货物）。</w:t>
      </w:r>
      <w:r/>
    </w:p>
    <w:p>
      <w:pPr>
        <w:pStyle w:val="2800"/>
        <w:ind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2.我们已详细审核全部采购文件及其有效补充文件，我们知道必须放弃提出含糊不清或误解问题的权利。</w:t>
      </w:r>
      <w:r/>
    </w:p>
    <w:p>
      <w:pPr>
        <w:pStyle w:val="2800"/>
        <w:ind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3.我们同意从规定的单一来源协商时间起遵循本响应文件，并在规定的单一来源协商有效期期满之前均具有约束力。</w:t>
      </w:r>
      <w:r/>
    </w:p>
    <w:p>
      <w:pPr>
        <w:pStyle w:val="2800"/>
        <w:ind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4.同意向贵方提供贵方可能另外要求的与单一来源采购有关的任何证据或资料，并保证我方已提供和将要提供的文件是真实的、准确的。</w:t>
      </w:r>
      <w:r/>
    </w:p>
    <w:p>
      <w:pPr>
        <w:pStyle w:val="2800"/>
        <w:ind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5.一旦我方成交,我方将根据采购文件的规定，严格履行合同的责任和义务,并保证在采购文件规定的时间完成项目，交付买方验收、使用。</w:t>
      </w:r>
      <w:r/>
    </w:p>
    <w:p>
      <w:pPr>
        <w:pStyle w:val="2800"/>
        <w:ind w:left="425"/>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6.我方与本次单一来源采购有关的正式通讯地址为：</w:t>
      </w:r>
      <w:r/>
    </w:p>
    <w:p>
      <w:pPr>
        <w:pStyle w:val="2800"/>
        <w:ind w:left="420"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p>
    <w:p>
      <w:pPr>
        <w:pStyle w:val="2800"/>
        <w:ind w:left="420"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邮          编：</w:t>
      </w:r>
      <w:r/>
    </w:p>
    <w:p>
      <w:pPr>
        <w:pStyle w:val="2800"/>
        <w:ind w:left="420"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          话：</w:t>
      </w:r>
      <w:r/>
    </w:p>
    <w:p>
      <w:pPr>
        <w:pStyle w:val="2800"/>
        <w:ind w:left="420"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传          真：</w:t>
      </w:r>
      <w:r/>
    </w:p>
    <w:p>
      <w:pPr>
        <w:pStyle w:val="2800"/>
        <w:ind w:left="420"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供应商开户行：</w:t>
      </w:r>
      <w:r/>
    </w:p>
    <w:p>
      <w:pPr>
        <w:pStyle w:val="2800"/>
        <w:ind w:left="420"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账          号： </w:t>
      </w:r>
      <w:r/>
    </w:p>
    <w:p>
      <w:pPr>
        <w:pStyle w:val="2800"/>
        <w:ind w:left="420" w:firstLine="48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           期：________年____月____日</w:t>
      </w:r>
      <w:r/>
    </w:p>
    <w:p>
      <w:pPr>
        <w:pStyle w:val="2800"/>
        <w:ind w:firstLine="24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24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24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24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24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24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ind w:firstLine="24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九、中小微企业声明函（服务）（分包号：**）</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号）的规定，本公司（联合体）参加江苏捷诚建设项目管理咨询有限公司组织的</w:t>
      </w:r>
      <w:r>
        <w:rPr>
          <w:rFonts w:hint="eastAsia"/>
          <w:i/>
          <w:color w:val="000000" w:themeColor="text1"/>
          <w:sz w:val="24"/>
          <w:szCs w:val="24"/>
          <w:highlight w:val="none"/>
          <w:u w:val="single"/>
          <w14:textFill>
            <w14:solidFill>
              <w14:schemeClr w14:val="tx1"/>
            </w14:solidFill>
          </w14:textFill>
        </w:rPr>
        <w:t xml:space="preserve">盐城市公安局</w:t>
      </w:r>
      <w:r>
        <w:rPr>
          <w:rFonts w:hint="eastAsia"/>
          <w:color w:val="000000" w:themeColor="text1"/>
          <w:sz w:val="24"/>
          <w:szCs w:val="20"/>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采购编号为</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的</w:t>
      </w:r>
      <w:r>
        <w:rPr>
          <w:rFonts w:hint="eastAsia"/>
          <w:i/>
          <w:color w:val="000000" w:themeColor="text1"/>
          <w:sz w:val="24"/>
          <w:szCs w:val="24"/>
          <w:highlight w:val="none"/>
          <w:u w:val="single"/>
          <w14:textFill>
            <w14:solidFill>
              <w14:schemeClr w14:val="tx1"/>
            </w14:solidFill>
          </w14:textFill>
        </w:rPr>
        <w:t xml:space="preserve">（项目名称）</w:t>
      </w:r>
      <w:r>
        <w:rPr>
          <w:rFonts w:hint="eastAsia"/>
          <w:color w:val="000000" w:themeColor="text1"/>
          <w:sz w:val="24"/>
          <w:szCs w:val="24"/>
          <w:highlight w:val="none"/>
          <w14:textFill>
            <w14:solidFill>
              <w14:schemeClr w14:val="tx1"/>
            </w14:solidFill>
          </w14:textFill>
        </w:rPr>
        <w:t xml:space="preserve">的采购活动，服务全部由符合政策要求的中小企业承接。相关企业（含联合体中的中小企业、签订分包意向协议的中小企业）的具体情况如下：</w:t>
      </w:r>
      <w:r/>
    </w:p>
    <w:p>
      <w:pPr>
        <w:numPr>
          <w:ilvl w:val="0"/>
          <w:numId w:val="2"/>
        </w:numPr>
        <w:ind w:firstLine="480"/>
        <w:spacing w:line="500" w:lineRule="exact"/>
        <w:rPr>
          <w:rFonts w:hint="eastAsia"/>
          <w:color w:val="000000" w:themeColor="text1"/>
          <w:sz w:val="24"/>
          <w:szCs w:val="24"/>
          <w:highlight w:val="non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t xml:space="preserve">（标的名称）</w:t>
      </w:r>
      <w:r>
        <w:rPr>
          <w:rFonts w:hint="eastAsia"/>
          <w:color w:val="000000" w:themeColor="text1"/>
          <w:sz w:val="24"/>
          <w:szCs w:val="24"/>
          <w:highlight w:val="none"/>
          <w14:textFill>
            <w14:solidFill>
              <w14:schemeClr w14:val="tx1"/>
            </w14:solidFill>
          </w14:textFill>
        </w:rPr>
        <w:t xml:space="preserve"> ，属于</w:t>
      </w:r>
      <w:r>
        <w:rPr>
          <w:rFonts w:hint="eastAsia"/>
          <w:i/>
          <w:color w:val="000000" w:themeColor="text1"/>
          <w:sz w:val="24"/>
          <w:szCs w:val="24"/>
          <w:highlight w:val="none"/>
          <w:u w:val="single"/>
          <w14:textFill>
            <w14:solidFill>
              <w14:schemeClr w14:val="tx1"/>
            </w14:solidFill>
          </w14:textFill>
        </w:rPr>
        <w:t xml:space="preserve">（采购文件中明确的所属行业）</w:t>
      </w:r>
      <w:r>
        <w:rPr>
          <w:rFonts w:hint="eastAsia"/>
          <w:color w:val="000000" w:themeColor="text1"/>
          <w:sz w:val="24"/>
          <w:szCs w:val="24"/>
          <w:highlight w:val="none"/>
          <w14:textFill>
            <w14:solidFill>
              <w14:schemeClr w14:val="tx1"/>
            </w14:solidFill>
          </w14:textFill>
        </w:rPr>
        <w:t xml:space="preserve">；承建（承接）企业为</w:t>
      </w:r>
      <w:r>
        <w:rPr>
          <w:rFonts w:hint="eastAsia"/>
          <w:i/>
          <w:color w:val="000000" w:themeColor="text1"/>
          <w:sz w:val="24"/>
          <w:szCs w:val="24"/>
          <w:highlight w:val="none"/>
          <w:u w:val="single"/>
          <w14:textFill>
            <w14:solidFill>
              <w14:schemeClr w14:val="tx1"/>
            </w14:solidFill>
          </w14:textFill>
        </w:rPr>
        <w:t xml:space="preserve">（企业名称）</w:t>
      </w:r>
      <w:r>
        <w:rPr>
          <w:rFonts w:hint="eastAsia"/>
          <w:color w:val="000000" w:themeColor="text1"/>
          <w:sz w:val="24"/>
          <w:szCs w:val="24"/>
          <w:highlight w:val="none"/>
          <w14:textFill>
            <w14:solidFill>
              <w14:schemeClr w14:val="tx1"/>
            </w14:solidFill>
          </w14:textFill>
        </w:rPr>
        <w:t xml:space="preserve">，从业人员</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人，营业收入为</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万元，资产总额为</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万元，属于（</w:t>
      </w:r>
      <w:r>
        <w:rPr>
          <w:rFonts w:hint="eastAsia"/>
          <w:i/>
          <w:color w:val="000000" w:themeColor="text1"/>
          <w:sz w:val="24"/>
          <w:szCs w:val="24"/>
          <w:highlight w:val="none"/>
          <w:u w:val="single"/>
          <w14:textFill>
            <w14:solidFill>
              <w14:schemeClr w14:val="tx1"/>
            </w14:solidFill>
          </w14:textFill>
        </w:rPr>
        <w:t xml:space="preserve">中型企业、小型企业、微型企业</w:t>
      </w:r>
      <w:r>
        <w:rPr>
          <w:rFonts w:hint="eastAsia"/>
          <w:color w:val="000000" w:themeColor="text1"/>
          <w:sz w:val="24"/>
          <w:szCs w:val="24"/>
          <w:highlight w:val="none"/>
          <w14:textFill>
            <w14:solidFill>
              <w14:schemeClr w14:val="tx1"/>
            </w14:solidFill>
          </w14:textFill>
        </w:rPr>
        <w:t xml:space="preserve">）；</w:t>
      </w:r>
      <w:r/>
    </w:p>
    <w:p>
      <w:pPr>
        <w:numPr>
          <w:ilvl w:val="0"/>
          <w:numId w:val="2"/>
        </w:numPr>
        <w:ind w:firstLine="480"/>
        <w:spacing w:line="500" w:lineRule="exact"/>
        <w:rPr>
          <w:rFonts w:hint="eastAsia"/>
          <w:color w:val="000000" w:themeColor="text1"/>
          <w:sz w:val="24"/>
          <w:szCs w:val="24"/>
          <w:highlight w:val="non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t xml:space="preserve">（标的名称）</w:t>
      </w:r>
      <w:r>
        <w:rPr>
          <w:rFonts w:hint="eastAsia"/>
          <w:color w:val="000000" w:themeColor="text1"/>
          <w:sz w:val="24"/>
          <w:szCs w:val="24"/>
          <w:highlight w:val="none"/>
          <w14:textFill>
            <w14:solidFill>
              <w14:schemeClr w14:val="tx1"/>
            </w14:solidFill>
          </w14:textFill>
        </w:rPr>
        <w:t xml:space="preserve"> ，属于</w:t>
      </w:r>
      <w:r>
        <w:rPr>
          <w:rFonts w:hint="eastAsia"/>
          <w:i/>
          <w:color w:val="000000" w:themeColor="text1"/>
          <w:sz w:val="24"/>
          <w:szCs w:val="24"/>
          <w:highlight w:val="none"/>
          <w:u w:val="single"/>
          <w14:textFill>
            <w14:solidFill>
              <w14:schemeClr w14:val="tx1"/>
            </w14:solidFill>
          </w14:textFill>
        </w:rPr>
        <w:t xml:space="preserve">（采购文件中明确的所属行业）</w:t>
      </w:r>
      <w:r>
        <w:rPr>
          <w:rFonts w:hint="eastAsia"/>
          <w:color w:val="000000" w:themeColor="text1"/>
          <w:sz w:val="24"/>
          <w:szCs w:val="24"/>
          <w:highlight w:val="none"/>
          <w14:textFill>
            <w14:solidFill>
              <w14:schemeClr w14:val="tx1"/>
            </w14:solidFill>
          </w14:textFill>
        </w:rPr>
        <w:t xml:space="preserve">；承建（承接）企业为</w:t>
      </w:r>
      <w:r>
        <w:rPr>
          <w:rFonts w:hint="eastAsia"/>
          <w:i/>
          <w:color w:val="000000" w:themeColor="text1"/>
          <w:sz w:val="24"/>
          <w:szCs w:val="24"/>
          <w:highlight w:val="none"/>
          <w:u w:val="single"/>
          <w14:textFill>
            <w14:solidFill>
              <w14:schemeClr w14:val="tx1"/>
            </w14:solidFill>
          </w14:textFill>
        </w:rPr>
        <w:t xml:space="preserve">（企业名称）</w:t>
      </w:r>
      <w:r>
        <w:rPr>
          <w:rFonts w:hint="eastAsia"/>
          <w:color w:val="000000" w:themeColor="text1"/>
          <w:sz w:val="24"/>
          <w:szCs w:val="24"/>
          <w:highlight w:val="none"/>
          <w14:textFill>
            <w14:solidFill>
              <w14:schemeClr w14:val="tx1"/>
            </w14:solidFill>
          </w14:textFill>
        </w:rPr>
        <w:t xml:space="preserve">，从业人员</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人，营业收入为</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万元，资产总额为</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万元，属于</w:t>
      </w:r>
      <w:r>
        <w:rPr>
          <w:rFonts w:hint="eastAsia"/>
          <w:i/>
          <w:color w:val="000000" w:themeColor="text1"/>
          <w:sz w:val="24"/>
          <w:szCs w:val="24"/>
          <w:highlight w:val="none"/>
          <w:u w:val="single"/>
          <w14:textFill>
            <w14:solidFill>
              <w14:schemeClr w14:val="tx1"/>
            </w14:solidFill>
          </w14:textFill>
        </w:rPr>
        <w:t xml:space="preserve">（中型企业、小型企业、微型企业）</w:t>
      </w:r>
      <w:r>
        <w:rPr>
          <w:rFonts w:hint="eastAsia"/>
          <w:color w:val="000000" w:themeColor="text1"/>
          <w:sz w:val="24"/>
          <w:szCs w:val="24"/>
          <w:highlight w:val="none"/>
          <w14:textFill>
            <w14:solidFill>
              <w14:schemeClr w14:val="tx1"/>
            </w14:solidFill>
          </w14:textFill>
        </w:rPr>
        <w:t xml:space="preserve">；</w:t>
      </w:r>
      <w:r/>
    </w:p>
    <w:p>
      <w:pPr>
        <w:numPr>
          <w:ilvl w:val="0"/>
          <w:numId w:val="0"/>
        </w:numPr>
        <w:ind w:firstLine="480"/>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p>
    <w:p>
      <w:pPr>
        <w:numPr>
          <w:ilvl w:val="0"/>
          <w:numId w:val="0"/>
        </w:numPr>
        <w:ind w:firstLine="480"/>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numPr>
          <w:ilvl w:val="0"/>
          <w:numId w:val="0"/>
        </w:numPr>
        <w:ind w:firstLine="480"/>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2800"/>
        <w:ind w:right="72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right="180" w:firstLine="360"/>
        <w:jc w:val="right"/>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企业名称（加盖CA电子公章）：</w:t>
      </w:r>
      <w:r/>
    </w:p>
    <w:p>
      <w:pPr>
        <w:pStyle w:val="2800"/>
        <w:ind w:right="480" w:firstLine="540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  期：</w:t>
      </w:r>
      <w:r/>
    </w:p>
    <w:p>
      <w:pPr>
        <w:pStyle w:val="2800"/>
        <w:ind w:firstLine="24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48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pStyle w:val="2800"/>
        <w:ind w:firstLine="645"/>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备注2：供应商如不提供此声明函，价格将不做相应扣除（如项目全面面向中小企业，则资格审查不通过）。</w:t>
      </w:r>
      <w:r/>
    </w:p>
    <w:p>
      <w:pPr>
        <w:pStyle w:val="2800"/>
        <w:ind w:firstLine="645"/>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center"/>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32"/>
          <w:szCs w:val="32"/>
          <w:highlight w:val="none"/>
          <w14:textFill>
            <w14:solidFill>
              <w14:schemeClr w14:val="tx1"/>
            </w14:solidFill>
          </w14:textFill>
        </w:rPr>
        <w:t xml:space="preserve">十、分项报价表（服务类）</w:t>
      </w:r>
      <w:r/>
    </w:p>
    <w:tbl>
      <w:tblPr>
        <w:tblStyle w:val="2795"/>
        <w:tblW w:w="9540" w:type="dxa"/>
        <w:jc w:val="center"/>
        <w:tblLayout w:type="fixed"/>
        <w:tblCellMar>
          <w:left w:w="108" w:type="dxa"/>
          <w:top w:w="0" w:type="dxa"/>
          <w:right w:w="108" w:type="dxa"/>
          <w:bottom w:w="0" w:type="dxa"/>
        </w:tblCellMar>
        <w:tblLook w:val="04A0" w:firstRow="1" w:lastRow="0" w:firstColumn="1" w:lastColumn="0" w:noHBand="0" w:noVBand="1"/>
      </w:tblPr>
      <w:tblGrid>
        <w:gridCol w:w="780"/>
        <w:gridCol w:w="2946"/>
        <w:gridCol w:w="787"/>
        <w:gridCol w:w="1891"/>
        <w:gridCol w:w="1518"/>
        <w:gridCol w:w="1618"/>
      </w:tblGrid>
      <w:tr>
        <w:trPr>
          <w:jc w:val="center"/>
          <w:trHeight w:val="6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品种名称及规格</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预计使用量</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1"/>
                <w:szCs w:val="21"/>
                <w:highlight w:val="none"/>
                <w14:textFill>
                  <w14:solidFill>
                    <w14:schemeClr w14:val="tx1"/>
                  </w14:solidFill>
                </w14:textFill>
              </w:rPr>
              <w:t xml:space="preserve">限价（元）</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合计金额</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w:t>
            </w:r>
            <w:r/>
          </w:p>
        </w:tc>
        <w:tc>
          <w:tcPr>
            <w:gridSpan w:val="5"/>
            <w:tcBorders>
              <w:top w:val="single" w:color="000000" w:sz="4" w:space="0"/>
              <w:left w:val="single" w:color="000000" w:sz="4" w:space="0"/>
              <w:bottom w:val="single" w:color="000000" w:sz="4" w:space="0"/>
              <w:right w:val="single" w:color="000000" w:sz="4" w:space="0"/>
            </w:tcBorders>
            <w:tcW w:w="8760" w:type="dxa"/>
            <w:vAlign w:val="center"/>
            <w:textDirection w:val="lrTb"/>
            <w:noWrap w:val="false"/>
          </w:tcPr>
          <w:p>
            <w:pPr>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交通标线类</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常温标线（黄、白）</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常温彩色喷漆（红、绿等色）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热熔停车位（5500mm×3000mm）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6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热熔标线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冷喷车位（5500mm×3000mm）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车让人（1200mmX800mm*3个字）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礼让行人（1200mm*1500mm*4个字）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停车不越线（800mm*600mm*5个字）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严管区（3000mm*1500mm*11个字）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前方路口、禁止逆行（500*700*8个字+图案）</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非机动车位线</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（线宽15cm）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标识、图案（800mm*500mm）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震荡标线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除线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路牙禁停线</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（线宽20cm）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防滑标线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标线甩涂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常温双组份</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刮涂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预成型地面车位</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小</w:t>
            </w:r>
            <w:r>
              <w:rPr>
                <w:rFonts w:hint="eastAsia" w:ascii="宋体" w:hAnsi="宋体" w:eastAsia="宋体" w:cs="宋体"/>
                <w:color w:val="000000" w:themeColor="text1"/>
                <w:sz w:val="21"/>
                <w:szCs w:val="21"/>
                <w:highlight w:val="none"/>
                <w14:textFill>
                  <w14:solidFill>
                    <w14:schemeClr w14:val="tx1"/>
                  </w14:solidFill>
                </w14:textFill>
              </w:rPr>
              <w:t xml:space="preserve">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标志牌类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标志牌（铝板、3M反光膜）含安装</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标志牌更改版面内容（3M反光膜）</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标志牌更改版面内容（其它材料）</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标志牌租用（交通管制牌）</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指路牌、分道牌拆除（框架式）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活动自撑牌（800×1000mm）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单立杆（φ76×3500mm）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单立杆（φ140×3500mm）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写真贴</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喷绘布</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发光标志牌</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小</w:t>
            </w:r>
            <w:r>
              <w:rPr>
                <w:rFonts w:hint="eastAsia" w:ascii="宋体" w:hAnsi="宋体" w:eastAsia="宋体" w:cs="宋体"/>
                <w:color w:val="000000" w:themeColor="text1"/>
                <w:sz w:val="21"/>
                <w:szCs w:val="21"/>
                <w:highlight w:val="none"/>
                <w14:textFill>
                  <w14:solidFill>
                    <w14:schemeClr w14:val="tx1"/>
                  </w14:solidFill>
                </w14:textFill>
              </w:rPr>
              <w:t xml:space="preserve">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信号灯类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交通诱导屏维护维修</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右侧通行太阳能爆闪灯（2000mm*350mm）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太阳能黄闪灯</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（φ400mm）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太阳能爆闪灯（φ114mm*1000mm）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维修、维护信号灯（主灯、倒计时、行人灯）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换灯屏（φ400mm）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信号灯灯组（φ400mm）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人行灯灯组（φ300mm）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主灯小倒计时屏（400mm*400mm）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人形灯倒计时屏（300mm*300mm）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独立倒计时屏（600mm×800mm）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人行灯杆件（φ89mm*3000mm）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信号灯主灯杆件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智能信号机</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单点信号机</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送、收移动信号灯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基础开挖</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基础清运</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基础浇砼</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地笼</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kg</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公安井盖（定制）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检修井</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电缆线RVV2×6mm²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电缆线RVV4×1.5mm²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电缆线RVV3×1.5mm²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电缆线RVV5×1.5mm²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电缆线RVV7×1.5mm²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电缆线RVV2×10mm²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m²</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电缆线RVV10×1.5mm²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电缆线RVV2×2.5mm²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电缆敷设人工费（米）</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非开挖定向拉管（顶管)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破路及恢复（宽10cm、深20cm）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破路及恢复（深度≥30cm）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悬臂式标志牌杆件拆除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立柱式标志牌杆件拆除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标志牌拆除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显示屏拆除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信号灯主灯杆件拆除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人行灯杆件拆除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信号灯机箱拆除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监控杆件拆除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四联爆闪灯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四联爆闪灯租赁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太阳能板发光道钉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单相位移动灯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多相位移动灯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破路（普通沥青混凝土路面)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破路(改性沥青混凝土路面)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破路(面包砖路面)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破路（水泥混凝土路面)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小</w:t>
            </w:r>
            <w:r>
              <w:rPr>
                <w:rFonts w:hint="eastAsia" w:ascii="宋体" w:hAnsi="宋体" w:eastAsia="宋体" w:cs="宋体"/>
                <w:color w:val="000000" w:themeColor="text1"/>
                <w:sz w:val="21"/>
                <w:szCs w:val="21"/>
                <w:highlight w:val="none"/>
                <w14:textFill>
                  <w14:solidFill>
                    <w14:schemeClr w14:val="tx1"/>
                  </w14:solidFill>
                </w14:textFill>
              </w:rPr>
              <w:t xml:space="preserve">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护栏类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（1100mm×2300mm）圆管护栏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4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彩色护栏（850mm×3000mm）（950mm×3000mm）等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实心钢筋护栏（770mm×3000mm）边隔离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建军路鹤鹿同春款护栏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文港路中隔离花箱护栏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文港路中隔离花箱护栏（护栏）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文港路中隔离花箱护栏（花箱）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文港路边隔离护栏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立柱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底座</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拆除护栏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节</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安装护栏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节</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移动护栏（不锈钢3m×1m）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天/套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U型隔离桩（600mm×400mm）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维修及固定护栏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卡拉式自行车摆放架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彩钢板围挡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护栏翻新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节</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护栏立柱翻新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防落网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轮廓标</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”盐“文化护栏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（1100mm×2300mm）圆管护栏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彩色护栏（850mm×3000mm）（950mm×3000mm）等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实心钢筋护栏（770mm×3000mm）边隔离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建军路鹤鹿同春款护栏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文港路边隔离护栏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护栏铸铁底座</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护栏铸铁底座加立柱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围挡绿草皮</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防爆拒马（1200*1200*700mm）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小</w:t>
            </w:r>
            <w:r>
              <w:rPr>
                <w:rFonts w:hint="eastAsia" w:ascii="宋体" w:hAnsi="宋体" w:eastAsia="宋体" w:cs="宋体"/>
                <w:color w:val="000000" w:themeColor="text1"/>
                <w:sz w:val="21"/>
                <w:szCs w:val="21"/>
                <w:highlight w:val="none"/>
                <w14:textFill>
                  <w14:solidFill>
                    <w14:schemeClr w14:val="tx1"/>
                  </w14:solidFill>
                </w14:textFill>
              </w:rPr>
              <w:t xml:space="preserve">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警示柱类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橡胶警示柱（730mm*φ80mm）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钢质警示柱（850mm*φ76mm）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钢质警示柱（1000mm*φ140mm）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拆除警示柱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铸铁桩</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铸铁桩刷新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车止石球（直径60cm）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石材止车柱（直径80cm）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小</w:t>
            </w:r>
            <w:r>
              <w:rPr>
                <w:rFonts w:hint="eastAsia" w:ascii="宋体" w:hAnsi="宋体" w:eastAsia="宋体" w:cs="宋体"/>
                <w:color w:val="000000" w:themeColor="text1"/>
                <w:sz w:val="21"/>
                <w:szCs w:val="21"/>
                <w:highlight w:val="none"/>
                <w14:textFill>
                  <w14:solidFill>
                    <w14:schemeClr w14:val="tx1"/>
                  </w14:solidFill>
                </w14:textFill>
              </w:rPr>
              <w:t xml:space="preserve">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车辆类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保修吊车台班/登高车</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货车台班</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小型汽车（皮卡）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防撞车租赁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小</w:t>
            </w:r>
            <w:r>
              <w:rPr>
                <w:rFonts w:hint="eastAsia" w:ascii="宋体" w:hAnsi="宋体" w:eastAsia="宋体" w:cs="宋体"/>
                <w:color w:val="000000" w:themeColor="text1"/>
                <w:sz w:val="21"/>
                <w:szCs w:val="21"/>
                <w:highlight w:val="none"/>
                <w14:textFill>
                  <w14:solidFill>
                    <w14:schemeClr w14:val="tx1"/>
                  </w14:solidFill>
                </w14:textFill>
              </w:rPr>
              <w:t xml:space="preserve">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其它类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安装减速带</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拆除、维修（零星小件）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广角镜φ80cm、φ1m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锥形桶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锥形桶租赁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指挥台（</w:t>
            </w:r>
            <w:r>
              <w:rPr>
                <w:rFonts w:hint="eastAsia" w:ascii="宋体" w:hAnsi="宋体" w:cs="宋体"/>
                <w:color w:val="000000" w:themeColor="text1"/>
                <w:sz w:val="21"/>
                <w:szCs w:val="21"/>
                <w:highlight w:val="none"/>
                <w:lang w:val="en-US" w:eastAsia="zh-CN"/>
                <w14:textFill>
                  <w14:solidFill>
                    <w14:schemeClr w14:val="tx1"/>
                  </w14:solidFill>
                </w14:textFill>
              </w:rPr>
              <w:t xml:space="preserve">单</w:t>
            </w:r>
            <w:r>
              <w:rPr>
                <w:rFonts w:hint="eastAsia" w:ascii="宋体" w:hAnsi="宋体" w:eastAsia="宋体" w:cs="宋体"/>
                <w:color w:val="000000" w:themeColor="text1"/>
                <w:sz w:val="21"/>
                <w:szCs w:val="21"/>
                <w:highlight w:val="none"/>
                <w14:textFill>
                  <w14:solidFill>
                    <w14:schemeClr w14:val="tx1"/>
                  </w14:solidFill>
                </w14:textFill>
              </w:rPr>
              <w:t xml:space="preserve">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指挥台（双层）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单独用人工</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工日</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单边桥</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桩考杆</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桩考底座</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旧防撞轮胎</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小</w:t>
            </w:r>
            <w:r>
              <w:rPr>
                <w:rFonts w:hint="eastAsia" w:ascii="宋体" w:hAnsi="宋体" w:eastAsia="宋体" w:cs="宋体"/>
                <w:color w:val="000000" w:themeColor="text1"/>
                <w:sz w:val="21"/>
                <w:szCs w:val="21"/>
                <w:highlight w:val="none"/>
                <w14:textFill>
                  <w14:solidFill>
                    <w14:schemeClr w14:val="tx1"/>
                  </w14:solidFill>
                </w14:textFill>
              </w:rPr>
              <w:t xml:space="preserve">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bl>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ind w:firstLine="4320"/>
        <w:jc w:val="both"/>
        <w:spacing w:beforeAutospacing="0" w:afterAutospacing="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投标人（盖章）</w:t>
      </w:r>
      <w:r>
        <w:rPr>
          <w:rFonts w:hint="default"/>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2800"/>
        <w:ind w:firstLine="432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日期：年月日</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sectPr>
          <w:headerReference w:type="default" r:id="rId18"/>
          <w:headerReference w:type="even" r:id="rId19"/>
          <w:headerReference w:type="first" r:id="rId20"/>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ascii="黑体" w:hAnsi="宋体" w:eastAsia="黑体" w:cs="黑体"/>
          <w:b/>
          <w:color w:val="000000" w:themeColor="text1"/>
          <w:sz w:val="32"/>
          <w:szCs w:val="32"/>
          <w:highlight w:val="none"/>
          <w14:textFill>
            <w14:solidFill>
              <w14:schemeClr w14:val="tx1"/>
            </w14:solidFill>
          </w14:textFill>
        </w:rPr>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十一、技术要求响应及偏离表（分包号：**）</w:t>
      </w:r>
      <w:r/>
    </w:p>
    <w:tbl>
      <w:tblPr>
        <w:tblStyle w:val="2795"/>
        <w:tblW w:w="8520"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证明</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bl>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 行数不够，可自行添加。</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bookmarkStart w:id="172" w:name="_Hlt26955054"/>
      <w:r>
        <w:rPr>
          <w:rFonts w:hint="eastAsia" w:ascii="黑体" w:hAnsi="宋体" w:eastAsia="黑体" w:cs="黑体"/>
          <w:b/>
          <w:color w:val="000000" w:themeColor="text1"/>
          <w:sz w:val="32"/>
          <w:szCs w:val="32"/>
          <w:highlight w:val="none"/>
          <w14:textFill>
            <w14:solidFill>
              <w14:schemeClr w14:val="tx1"/>
            </w14:solidFill>
          </w14:textFill>
        </w:rPr>
        <w:t xml:space="preserve">十二、商务要求响应及偏离表（分包号：**）</w:t>
      </w:r>
      <w:r/>
    </w:p>
    <w:tbl>
      <w:tblPr>
        <w:tblStyle w:val="2795"/>
        <w:tblW w:w="8520"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bookmarkStart w:id="173" w:name="_Hlt26782999"/>
            <w:r/>
            <w:bookmarkStart w:id="174" w:name="_Hlt26671372"/>
            <w:r/>
            <w:bookmarkStart w:id="175" w:name="_Hlt26609391"/>
            <w:r/>
            <w:bookmarkStart w:id="176" w:name="_Hlt26671343"/>
            <w:r/>
            <w:bookmarkStart w:id="177" w:name="_Hlt26580838"/>
            <w:r/>
            <w:bookmarkStart w:id="178" w:name="_Hlt24879081"/>
            <w:r/>
            <w:bookmarkStart w:id="179" w:name="_Hlt26955056"/>
            <w:r/>
            <w:bookmarkStart w:id="180" w:name="_Hlt26955064"/>
            <w:r>
              <w:rPr>
                <w:rFonts w:hint="eastAsia" w:ascii="宋体" w:hAnsi="宋体" w:cs="宋体"/>
                <w:color w:val="000000" w:themeColor="text1"/>
                <w:sz w:val="24"/>
                <w:szCs w:val="24"/>
                <w:highlight w:val="none"/>
                <w14:textFill>
                  <w14:solidFill>
                    <w14:schemeClr w14:val="tx1"/>
                  </w14:solidFill>
                </w14:textFill>
              </w:rPr>
              <w:t xml:space="preserve">序号</w:t>
            </w:r>
            <w:bookmarkEnd w:id="173"/>
            <w:r/>
            <w:bookmarkEnd w:id="174"/>
            <w:r/>
            <w:bookmarkEnd w:id="175"/>
            <w:r/>
            <w:bookmarkEnd w:id="176"/>
            <w:r/>
            <w:bookmarkEnd w:id="177"/>
            <w:r/>
            <w:bookmarkEnd w:id="178"/>
            <w:r/>
            <w:bookmarkEnd w:id="179"/>
            <w:r/>
            <w:bookmarkEnd w:id="180"/>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证明</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tc>
      </w:tr>
    </w:tbl>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 行数不够，可自行添加。</w:t>
      </w:r>
      <w:r/>
    </w:p>
    <w:p>
      <w:pPr>
        <w:pStyle w:val="2800"/>
        <w:jc w:val="both"/>
        <w:spacing w:beforeAutospacing="0" w:afterAutospacing="0" w:line="48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line="48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jc w:val="both"/>
        <w:spacing w:beforeAutospacing="0" w:afterAutospacing="0" w:line="48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both"/>
        <w:spacing w:beforeAutospacing="0" w:afterAutospacing="0" w:line="48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pStyle w:val="2800"/>
        <w:jc w:val="both"/>
        <w:spacing w:beforeAutospacing="0" w:afterAutospacing="0" w:line="480" w:lineRule="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bookmarkEnd w:id="27"/>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4"/>
      <w:r/>
      <w:bookmarkEnd w:id="155"/>
      <w:r/>
      <w:bookmarkEnd w:id="162"/>
      <w:r/>
      <w:bookmarkEnd w:id="165"/>
      <w:r/>
      <w:bookmarkEnd w:id="166"/>
      <w:r/>
      <w:bookmarkEnd w:id="167"/>
      <w:r/>
      <w:bookmarkEnd w:id="168"/>
      <w:r/>
      <w:bookmarkEnd w:id="169"/>
      <w:r/>
      <w:bookmarkEnd w:id="170"/>
      <w:r/>
      <w:bookmarkEnd w:id="171"/>
      <w:r/>
      <w:bookmarkEnd w:id="172"/>
      <w:r/>
      <w:r/>
    </w:p>
    <w:p>
      <w:pPr>
        <w:pStyle w:val="2800"/>
        <w:jc w:val="center"/>
        <w:spacing w:beforeAutospacing="0" w:afterAutospacing="0"/>
        <w:rPr>
          <w:rFonts w:hint="eastAsia" w:ascii="黑体" w:hAnsi="宋体" w:eastAsia="黑体" w:cs="黑体"/>
          <w:b/>
          <w:i/>
          <w:color w:val="000000" w:themeColor="text1"/>
          <w:sz w:val="32"/>
          <w:szCs w:val="32"/>
          <w:highlight w:val="none"/>
          <w:u w:val="single"/>
          <w14:textFill>
            <w14:solidFill>
              <w14:schemeClr w14:val="tx1"/>
            </w14:solidFill>
          </w14:textFill>
        </w:rPr>
        <w:sectPr>
          <w:headerReference w:type="default" r:id="rId21"/>
          <w:headerReference w:type="even" r:id="rId22"/>
          <w:headerReference w:type="first" r:id="rId23"/>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ascii="黑体" w:hAnsi="宋体" w:eastAsia="黑体" w:cs="黑体"/>
          <w:b/>
          <w:i/>
          <w:color w:val="000000" w:themeColor="text1"/>
          <w:sz w:val="32"/>
          <w:szCs w:val="32"/>
          <w:highlight w:val="none"/>
          <w:u w:val="single"/>
          <w14:textFill>
            <w14:solidFill>
              <w14:schemeClr w14:val="tx1"/>
            </w14:solidFill>
          </w14:textFill>
        </w:rPr>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十三、开标一览表</w:t>
      </w:r>
      <w:r/>
    </w:p>
    <w:p>
      <w:pPr>
        <w:pStyle w:val="2800"/>
        <w:ind w:firstLine="480"/>
        <w:jc w:val="both"/>
        <w:spacing w:beforeAutospacing="0" w:afterAutospacing="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2800"/>
        <w:ind w:firstLine="480"/>
        <w:jc w:val="both"/>
        <w:spacing w:beforeAutospacing="0" w:afterAutospacing="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2800"/>
        <w:ind w:firstLine="48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投标人全称（加盖CA电子签章）：</w:t>
      </w:r>
      <w:r/>
    </w:p>
    <w:p>
      <w:pPr>
        <w:pStyle w:val="2800"/>
        <w:ind w:firstLine="48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pStyle w:val="2800"/>
        <w:ind w:firstLine="480"/>
        <w:jc w:val="both"/>
        <w:spacing w:beforeAutospacing="0" w:afterAutospacing="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w:t>
      </w:r>
      <w:r/>
    </w:p>
    <w:p>
      <w:pPr>
        <w:pStyle w:val="2800"/>
        <w:ind w:firstLine="48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分包号：</w:t>
      </w:r>
      <w:r/>
    </w:p>
    <w:tbl>
      <w:tblPr>
        <w:tblStyle w:val="2795"/>
        <w:tblW w:w="8206" w:type="dxa"/>
        <w:tblCellSpacing w:w="0" w:type="dxa"/>
        <w:tblInd w:w="1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2800"/>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2800"/>
              <w:spacing w:beforeAutospacing="0" w:afterAutospacing="0" w:line="240" w:lineRule="atLeast"/>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小写：                        （人民币：元）</w:t>
            </w:r>
            <w:r/>
          </w:p>
        </w:tc>
      </w:tr>
    </w:tbl>
    <w:p>
      <w:pPr>
        <w:pStyle w:val="280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480"/>
        <w:jc w:val="both"/>
        <w:spacing w:beforeAutospacing="0" w:afterAutospacing="0"/>
        <w:rPr>
          <w:rFonts w:hint="default"/>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p>
    <w:p>
      <w:pPr>
        <w:pStyle w:val="2800"/>
        <w:ind w:firstLine="480"/>
        <w:jc w:val="both"/>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 </w:t>
      </w:r>
      <w:r/>
    </w:p>
    <w:p>
      <w:pPr>
        <w:pStyle w:val="2800"/>
        <w:ind w:firstLine="48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before="50" w:after="50"/>
        <w:widowControl/>
        <w:rPr>
          <w:rFonts w:hint="default"/>
          <w:color w:val="000000" w:themeColor="text1"/>
          <w:sz w:val="21"/>
          <w:szCs w:val="24"/>
          <w:highlight w:val="none"/>
          <w14:textFill>
            <w14:solidFill>
              <w14:schemeClr w14:val="tx1"/>
            </w14:solidFill>
          </w14:textFill>
        </w:rPr>
      </w:pPr>
      <w:r>
        <w:rPr>
          <w:rFonts w:hint="default"/>
          <w:color w:val="000000" w:themeColor="text1"/>
          <w:sz w:val="21"/>
          <w:szCs w:val="24"/>
          <w:highlight w:val="none"/>
          <w14:textFill>
            <w14:solidFill>
              <w14:schemeClr w14:val="tx1"/>
            </w14:solidFill>
          </w14:textFill>
        </w:rPr>
        <w:tab/>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br w:type="page" w:clear="all"/>
      </w:r>
      <w:r/>
    </w:p>
    <w:p>
      <w:pPr>
        <w:jc w:val="center"/>
        <w:spacing w:before="50" w:after="5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十四、技术方案、服务承诺、培训承诺等</w:t>
      </w:r>
      <w:r/>
    </w:p>
    <w:p>
      <w:pPr>
        <w:pStyle w:val="2800"/>
        <w:jc w:val="both"/>
        <w:spacing w:beforeAutospacing="0" w:afterAutospacing="0"/>
        <w:tabs>
          <w:tab w:val="left" w:pos="2160" w:leader="none"/>
        </w:tabs>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十五、盐城市政府采购事前信用承诺书</w:t>
      </w:r>
      <w:r/>
    </w:p>
    <w:p>
      <w:pPr>
        <w:ind w:firstLine="640"/>
        <w:jc w:val="left"/>
        <w:spacing w:line="499" w:lineRule="atLeas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 </w:t>
      </w:r>
      <w:r/>
    </w:p>
    <w:p>
      <w:pPr>
        <w:ind w:firstLine="480"/>
        <w:jc w:val="left"/>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法定代表人签名：</w:t>
      </w:r>
      <w:r/>
    </w:p>
    <w:p>
      <w:pPr>
        <w:jc w:val="center"/>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单位名称（盖章）：</w:t>
      </w:r>
      <w:r/>
    </w:p>
    <w:p>
      <w:pPr>
        <w:jc w:val="center"/>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年 月 日</w:t>
      </w:r>
      <w:r/>
    </w:p>
    <w:p>
      <w:pPr>
        <w:pStyle w:val="2800"/>
        <w:jc w:val="center"/>
        <w:spacing w:beforeAutospacing="0" w:afterAutospacing="0"/>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r>
      <w:r/>
    </w:p>
    <w:p>
      <w:pPr>
        <w:rPr>
          <w:rFonts w:hint="default"/>
          <w:color w:val="000000" w:themeColor="text1"/>
          <w:sz w:val="21"/>
          <w:szCs w:val="24"/>
          <w:highlight w:val="none"/>
          <w14:textFill>
            <w14:solidFill>
              <w14:schemeClr w14:val="tx1"/>
            </w14:solidFill>
          </w14:textFill>
        </w:rPr>
      </w:pPr>
      <w:r>
        <w:rPr>
          <w:rFonts w:hint="default"/>
          <w:color w:val="000000" w:themeColor="text1"/>
          <w:sz w:val="21"/>
          <w:szCs w:val="24"/>
          <w:highlight w:val="none"/>
          <w14:textFill>
            <w14:solidFill>
              <w14:schemeClr w14:val="tx1"/>
            </w14:solidFill>
          </w14:textFill>
        </w:rPr>
      </w:r>
      <w:r/>
    </w:p>
    <w:p>
      <w:pPr>
        <w:pStyle w:val="2800"/>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质疑函范本</w:t>
      </w:r>
      <w:r/>
    </w:p>
    <w:p>
      <w:pPr>
        <w:pStyle w:val="2800"/>
        <w:jc w:val="both"/>
        <w:spacing w:before="290"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一、质疑供应商基本信息</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质疑供应商：</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邮编：</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授权代表：</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邮编：</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二、质疑项目基本情况</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质疑项目的名称：</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质疑项目的编号：</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采购人名称：</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采购文件获取日期：</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三、质疑事项具体内容</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质疑事项1：</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事实依据：</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法律依据：</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质疑事项2</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四、与质疑事项相关的质疑请求</w:t>
      </w:r>
      <w:r/>
    </w:p>
    <w:p>
      <w:pPr>
        <w:pStyle w:val="2800"/>
        <w:jc w:val="both"/>
        <w:spacing w:beforeAutospacing="0" w:afterAutospacing="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请求：</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2800"/>
        <w:jc w:val="both"/>
        <w:spacing w:beforeAutospacing="0" w:afterAutospacing="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签字(签章)：                 公章：               日期：    </w:t>
      </w:r>
      <w:r/>
    </w:p>
    <w:p>
      <w:pPr>
        <w:pStyle w:val="2800"/>
        <w:jc w:val="both"/>
        <w:spacing w:beforeAutospacing="0" w:afterAutospacing="0" w:line="24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质疑函制作说明：</w:t>
      </w:r>
      <w:r/>
    </w:p>
    <w:p>
      <w:pPr>
        <w:pStyle w:val="2800"/>
        <w:ind w:firstLine="480"/>
        <w:spacing w:beforeAutospacing="0" w:afterAutospacing="0" w:line="24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1.供应商提出质疑时，应提交质疑函和必要的证明材料。</w:t>
      </w:r>
      <w:r/>
    </w:p>
    <w:p>
      <w:pPr>
        <w:pStyle w:val="2800"/>
        <w:ind w:firstLine="480"/>
        <w:spacing w:beforeAutospacing="0" w:afterAutospacing="0" w:line="24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2800"/>
        <w:ind w:firstLine="480"/>
        <w:spacing w:beforeAutospacing="0" w:afterAutospacing="0" w:line="24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pStyle w:val="2800"/>
        <w:ind w:firstLine="480"/>
        <w:spacing w:beforeAutospacing="0" w:afterAutospacing="0" w:line="24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pStyle w:val="2800"/>
        <w:ind w:firstLine="480"/>
        <w:spacing w:beforeAutospacing="0" w:afterAutospacing="0" w:line="24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5.质疑函的质疑请求应与质疑事项相关。</w:t>
      </w:r>
      <w:r/>
    </w:p>
    <w:p>
      <w:pPr>
        <w:pStyle w:val="2800"/>
        <w:ind w:firstLine="480"/>
        <w:spacing w:beforeAutospacing="0" w:afterAutospacing="0" w:line="24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24"/>
      <w:headerReference w:type="even" r:id="rId25"/>
      <w:headerReference w:type="first" r:id="rId26"/>
      <w:footnotePr/>
      <w:endnotePr/>
      <w:type w:val="nextPage"/>
      <w:pgSz w:w="12240" w:h="15840" w:orient="portrait"/>
      <w:pgMar w:top="1440" w:right="1800" w:bottom="1440" w:left="1800" w:header="720" w:footer="720" w:gutter="0"/>
      <w:lnNumType w:countBy="0" w:distance="36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7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9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4" o:spid="_x0000_s5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79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9" w:lineRule="auto"/>
      </w:pPr>
      <w:r>
        <w:separator/>
      </w:r>
      <w:r/>
    </w:p>
  </w:footnote>
  <w:footnote w:type="continuationSeparator" w:id="0">
    <w:p>
      <w:pPr>
        <w:spacing w:before="0" w:after="0" w:line="259"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643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74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848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7564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667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7769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7257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7360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7462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7872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7974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8076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8486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8588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8691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4" o:spid="_x0000_s24" o:spt="1" type="#_x0000_t1" style="position:absolute;z-index:25168179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5" o:spid="_x0000_s25" o:spt="1" type="#_x0000_t1" style="position:absolute;z-index:25168281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6" o:spid="_x0000_s26" o:spt="1" type="#_x0000_t1" style="position:absolute;z-index:25168384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7" o:spid="_x0000_s27" o:spt="1" type="#_x0000_t1" style="position:absolute;z-index:25168793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8" o:spid="_x0000_s28" o:spt="1" type="#_x0000_t1" style="position:absolute;z-index:25168896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9" o:spid="_x0000_s29" o:spt="1" type="#_x0000_t1" style="position:absolute;z-index:25168998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0" o:spid="_x0000_s30" o:spt="1" type="#_x0000_t1" style="position:absolute;z-index:25169408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miter/>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1" o:spid="_x0000_s31" o:spt="1" type="#_x0000_t1" style="position:absolute;z-index:25169510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miter/>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2" o:spid="_x0000_s32" o:spt="1" type="#_x0000_t1" style="position:absolute;z-index:25169612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3" o:spid="_x0000_s33" o:spt="1" type="#_x0000_t1" style="position:absolute;z-index:25169100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4" o:spid="_x0000_s34" o:spt="1" type="#_x0000_t1" style="position:absolute;z-index:25169203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5" o:spid="_x0000_s35" o:spt="1" type="#_x0000_t1" style="position:absolute;z-index:25169305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6" o:spid="_x0000_s36" o:spt="1" type="#_x0000_t1" style="position:absolute;z-index:25169715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7" o:spid="_x0000_s37" o:spt="1" type="#_x0000_t1" style="position:absolute;z-index:25169817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8" o:spid="_x0000_s38" o:spt="1" type="#_x0000_t1" style="position:absolute;z-index:25169920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9" o:spid="_x0000_s39" o:spt="1" type="#_x0000_t1" style="position:absolute;z-index:25170329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0" o:spid="_x0000_s40" o:spt="1" type="#_x0000_t1" style="position:absolute;z-index:25170432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1" o:spid="_x0000_s41" o:spt="1" type="#_x0000_t1" style="position:absolute;z-index:25170534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2" o:spid="_x0000_s42" o:spt="1" type="#_x0000_t1" style="position:absolute;z-index:25170022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3" o:spid="_x0000_s43" o:spt="1" type="#_x0000_t1" style="position:absolute;z-index:25170124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4" o:spid="_x0000_s44" o:spt="1" type="#_x0000_t1" style="position:absolute;z-index:25170227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5" o:spid="_x0000_s45" o:spt="1" type="#_x0000_t1" style="position:absolute;z-index:25170636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6" o:spid="_x0000_s46" o:spt="1" type="#_x0000_t1" style="position:absolute;z-index:25170739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7" o:spid="_x0000_s47" o:spt="1" type="#_x0000_t1" style="position:absolute;z-index:25170841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8" o:spid="_x0000_s48" o:spt="1" type="#_x0000_t1" style="position:absolute;z-index:25171251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9" o:spid="_x0000_s49" o:spt="1" type="#_x0000_t1" style="position:absolute;z-index:25171353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5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0" o:spid="_x0000_s50" o:spt="1" type="#_x0000_t1" style="position:absolute;z-index:25171456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5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1" o:spid="_x0000_s51" o:spt="1" type="#_x0000_t1" style="position:absolute;z-index:25170944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2" o:spid="_x0000_s52" o:spt="1" type="#_x0000_t1" style="position:absolute;z-index:25171046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5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3" o:spid="_x0000_s53" o:spt="1" type="#_x0000_t1" style="position:absolute;z-index:25171148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盐城市公安局市区交通安全设施新建改建零星工程采购项目</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3"/>
      <w:numFmt w:val="chineseCounting"/>
      <w:isLgl w:val="false"/>
      <w:suff w:val="nothing"/>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617">
    <w:name w:val="Heading 1"/>
    <w:basedOn w:val="2793"/>
    <w:next w:val="2793"/>
    <w:link w:val="2618"/>
    <w:uiPriority w:val="9"/>
    <w:qFormat/>
    <w:pPr>
      <w:keepLines/>
      <w:keepNext/>
      <w:spacing w:before="480" w:after="200"/>
      <w:outlineLvl w:val="0"/>
    </w:pPr>
    <w:rPr>
      <w:rFonts w:ascii="Arial" w:hAnsi="Arial" w:eastAsia="Arial" w:cs="Arial"/>
      <w:sz w:val="40"/>
      <w:szCs w:val="40"/>
    </w:rPr>
  </w:style>
  <w:style w:type="character" w:styleId="2618">
    <w:name w:val="Heading 1 Char"/>
    <w:basedOn w:val="2794"/>
    <w:link w:val="2617"/>
    <w:uiPriority w:val="9"/>
    <w:rPr>
      <w:rFonts w:ascii="Arial" w:hAnsi="Arial" w:eastAsia="Arial" w:cs="Arial"/>
      <w:sz w:val="40"/>
      <w:szCs w:val="40"/>
    </w:rPr>
  </w:style>
  <w:style w:type="paragraph" w:styleId="2619">
    <w:name w:val="Heading 2"/>
    <w:basedOn w:val="2793"/>
    <w:next w:val="2793"/>
    <w:link w:val="2620"/>
    <w:uiPriority w:val="9"/>
    <w:unhideWhenUsed/>
    <w:qFormat/>
    <w:pPr>
      <w:keepLines/>
      <w:keepNext/>
      <w:spacing w:before="360" w:after="200"/>
      <w:outlineLvl w:val="1"/>
    </w:pPr>
    <w:rPr>
      <w:rFonts w:ascii="Arial" w:hAnsi="Arial" w:eastAsia="Arial" w:cs="Arial"/>
      <w:sz w:val="34"/>
    </w:rPr>
  </w:style>
  <w:style w:type="character" w:styleId="2620">
    <w:name w:val="Heading 2 Char"/>
    <w:basedOn w:val="2794"/>
    <w:link w:val="2619"/>
    <w:uiPriority w:val="9"/>
    <w:rPr>
      <w:rFonts w:ascii="Arial" w:hAnsi="Arial" w:eastAsia="Arial" w:cs="Arial"/>
      <w:sz w:val="34"/>
    </w:rPr>
  </w:style>
  <w:style w:type="paragraph" w:styleId="2621">
    <w:name w:val="Heading 3"/>
    <w:basedOn w:val="2793"/>
    <w:next w:val="2793"/>
    <w:link w:val="2622"/>
    <w:uiPriority w:val="9"/>
    <w:unhideWhenUsed/>
    <w:qFormat/>
    <w:pPr>
      <w:keepLines/>
      <w:keepNext/>
      <w:spacing w:before="320" w:after="200"/>
      <w:outlineLvl w:val="2"/>
    </w:pPr>
    <w:rPr>
      <w:rFonts w:ascii="Arial" w:hAnsi="Arial" w:eastAsia="Arial" w:cs="Arial"/>
      <w:sz w:val="30"/>
      <w:szCs w:val="30"/>
    </w:rPr>
  </w:style>
  <w:style w:type="character" w:styleId="2622">
    <w:name w:val="Heading 3 Char"/>
    <w:basedOn w:val="2794"/>
    <w:link w:val="2621"/>
    <w:uiPriority w:val="9"/>
    <w:rPr>
      <w:rFonts w:ascii="Arial" w:hAnsi="Arial" w:eastAsia="Arial" w:cs="Arial"/>
      <w:sz w:val="30"/>
      <w:szCs w:val="30"/>
    </w:rPr>
  </w:style>
  <w:style w:type="paragraph" w:styleId="2623">
    <w:name w:val="Heading 4"/>
    <w:basedOn w:val="2793"/>
    <w:next w:val="2793"/>
    <w:link w:val="2624"/>
    <w:uiPriority w:val="9"/>
    <w:unhideWhenUsed/>
    <w:qFormat/>
    <w:pPr>
      <w:keepLines/>
      <w:keepNext/>
      <w:spacing w:before="320" w:after="200"/>
      <w:outlineLvl w:val="3"/>
    </w:pPr>
    <w:rPr>
      <w:rFonts w:ascii="Arial" w:hAnsi="Arial" w:eastAsia="Arial" w:cs="Arial"/>
      <w:b/>
      <w:bCs/>
      <w:sz w:val="26"/>
      <w:szCs w:val="26"/>
    </w:rPr>
  </w:style>
  <w:style w:type="character" w:styleId="2624">
    <w:name w:val="Heading 4 Char"/>
    <w:basedOn w:val="2794"/>
    <w:link w:val="2623"/>
    <w:uiPriority w:val="9"/>
    <w:rPr>
      <w:rFonts w:ascii="Arial" w:hAnsi="Arial" w:eastAsia="Arial" w:cs="Arial"/>
      <w:b/>
      <w:bCs/>
      <w:sz w:val="26"/>
      <w:szCs w:val="26"/>
    </w:rPr>
  </w:style>
  <w:style w:type="paragraph" w:styleId="2625">
    <w:name w:val="Heading 5"/>
    <w:basedOn w:val="2793"/>
    <w:next w:val="2793"/>
    <w:link w:val="2626"/>
    <w:uiPriority w:val="9"/>
    <w:unhideWhenUsed/>
    <w:qFormat/>
    <w:pPr>
      <w:keepLines/>
      <w:keepNext/>
      <w:spacing w:before="320" w:after="200"/>
      <w:outlineLvl w:val="4"/>
    </w:pPr>
    <w:rPr>
      <w:rFonts w:ascii="Arial" w:hAnsi="Arial" w:eastAsia="Arial" w:cs="Arial"/>
      <w:b/>
      <w:bCs/>
      <w:sz w:val="24"/>
      <w:szCs w:val="24"/>
    </w:rPr>
  </w:style>
  <w:style w:type="character" w:styleId="2626">
    <w:name w:val="Heading 5 Char"/>
    <w:basedOn w:val="2794"/>
    <w:link w:val="2625"/>
    <w:uiPriority w:val="9"/>
    <w:rPr>
      <w:rFonts w:ascii="Arial" w:hAnsi="Arial" w:eastAsia="Arial" w:cs="Arial"/>
      <w:b/>
      <w:bCs/>
      <w:sz w:val="24"/>
      <w:szCs w:val="24"/>
    </w:rPr>
  </w:style>
  <w:style w:type="paragraph" w:styleId="2627">
    <w:name w:val="Heading 6"/>
    <w:basedOn w:val="2793"/>
    <w:next w:val="2793"/>
    <w:link w:val="2628"/>
    <w:uiPriority w:val="9"/>
    <w:unhideWhenUsed/>
    <w:qFormat/>
    <w:pPr>
      <w:keepLines/>
      <w:keepNext/>
      <w:spacing w:before="320" w:after="200"/>
      <w:outlineLvl w:val="5"/>
    </w:pPr>
    <w:rPr>
      <w:rFonts w:ascii="Arial" w:hAnsi="Arial" w:eastAsia="Arial" w:cs="Arial"/>
      <w:b/>
      <w:bCs/>
      <w:sz w:val="22"/>
      <w:szCs w:val="22"/>
    </w:rPr>
  </w:style>
  <w:style w:type="character" w:styleId="2628">
    <w:name w:val="Heading 6 Char"/>
    <w:basedOn w:val="2794"/>
    <w:link w:val="2627"/>
    <w:uiPriority w:val="9"/>
    <w:rPr>
      <w:rFonts w:ascii="Arial" w:hAnsi="Arial" w:eastAsia="Arial" w:cs="Arial"/>
      <w:b/>
      <w:bCs/>
      <w:sz w:val="22"/>
      <w:szCs w:val="22"/>
    </w:rPr>
  </w:style>
  <w:style w:type="paragraph" w:styleId="2629">
    <w:name w:val="Heading 7"/>
    <w:basedOn w:val="2793"/>
    <w:next w:val="2793"/>
    <w:link w:val="2630"/>
    <w:uiPriority w:val="9"/>
    <w:unhideWhenUsed/>
    <w:qFormat/>
    <w:pPr>
      <w:keepLines/>
      <w:keepNext/>
      <w:spacing w:before="320" w:after="200"/>
      <w:outlineLvl w:val="6"/>
    </w:pPr>
    <w:rPr>
      <w:rFonts w:ascii="Arial" w:hAnsi="Arial" w:eastAsia="Arial" w:cs="Arial"/>
      <w:b/>
      <w:bCs/>
      <w:i/>
      <w:iCs/>
      <w:sz w:val="22"/>
      <w:szCs w:val="22"/>
    </w:rPr>
  </w:style>
  <w:style w:type="character" w:styleId="2630">
    <w:name w:val="Heading 7 Char"/>
    <w:basedOn w:val="2794"/>
    <w:link w:val="2629"/>
    <w:uiPriority w:val="9"/>
    <w:rPr>
      <w:rFonts w:ascii="Arial" w:hAnsi="Arial" w:eastAsia="Arial" w:cs="Arial"/>
      <w:b/>
      <w:bCs/>
      <w:i/>
      <w:iCs/>
      <w:sz w:val="22"/>
      <w:szCs w:val="22"/>
    </w:rPr>
  </w:style>
  <w:style w:type="paragraph" w:styleId="2631">
    <w:name w:val="Heading 8"/>
    <w:basedOn w:val="2793"/>
    <w:next w:val="2793"/>
    <w:link w:val="2632"/>
    <w:uiPriority w:val="9"/>
    <w:unhideWhenUsed/>
    <w:qFormat/>
    <w:pPr>
      <w:keepLines/>
      <w:keepNext/>
      <w:spacing w:before="320" w:after="200"/>
      <w:outlineLvl w:val="7"/>
    </w:pPr>
    <w:rPr>
      <w:rFonts w:ascii="Arial" w:hAnsi="Arial" w:eastAsia="Arial" w:cs="Arial"/>
      <w:i/>
      <w:iCs/>
      <w:sz w:val="22"/>
      <w:szCs w:val="22"/>
    </w:rPr>
  </w:style>
  <w:style w:type="character" w:styleId="2632">
    <w:name w:val="Heading 8 Char"/>
    <w:basedOn w:val="2794"/>
    <w:link w:val="2631"/>
    <w:uiPriority w:val="9"/>
    <w:rPr>
      <w:rFonts w:ascii="Arial" w:hAnsi="Arial" w:eastAsia="Arial" w:cs="Arial"/>
      <w:i/>
      <w:iCs/>
      <w:sz w:val="22"/>
      <w:szCs w:val="22"/>
    </w:rPr>
  </w:style>
  <w:style w:type="paragraph" w:styleId="2633">
    <w:name w:val="Heading 9"/>
    <w:basedOn w:val="2793"/>
    <w:next w:val="2793"/>
    <w:link w:val="2634"/>
    <w:uiPriority w:val="9"/>
    <w:unhideWhenUsed/>
    <w:qFormat/>
    <w:pPr>
      <w:keepLines/>
      <w:keepNext/>
      <w:spacing w:before="320" w:after="200"/>
      <w:outlineLvl w:val="8"/>
    </w:pPr>
    <w:rPr>
      <w:rFonts w:ascii="Arial" w:hAnsi="Arial" w:eastAsia="Arial" w:cs="Arial"/>
      <w:i/>
      <w:iCs/>
      <w:sz w:val="21"/>
      <w:szCs w:val="21"/>
    </w:rPr>
  </w:style>
  <w:style w:type="character" w:styleId="2634">
    <w:name w:val="Heading 9 Char"/>
    <w:basedOn w:val="2794"/>
    <w:link w:val="2633"/>
    <w:uiPriority w:val="9"/>
    <w:rPr>
      <w:rFonts w:ascii="Arial" w:hAnsi="Arial" w:eastAsia="Arial" w:cs="Arial"/>
      <w:i/>
      <w:iCs/>
      <w:sz w:val="21"/>
      <w:szCs w:val="21"/>
    </w:rPr>
  </w:style>
  <w:style w:type="paragraph" w:styleId="2635">
    <w:name w:val="List Paragraph"/>
    <w:basedOn w:val="2793"/>
    <w:uiPriority w:val="34"/>
    <w:qFormat/>
    <w:pPr>
      <w:contextualSpacing/>
      <w:ind w:left="720"/>
    </w:pPr>
  </w:style>
  <w:style w:type="paragraph" w:styleId="2636">
    <w:name w:val="No Spacing"/>
    <w:uiPriority w:val="1"/>
    <w:qFormat/>
    <w:pPr>
      <w:spacing w:before="0" w:after="0" w:line="240" w:lineRule="auto"/>
    </w:pPr>
  </w:style>
  <w:style w:type="paragraph" w:styleId="2637">
    <w:name w:val="Title"/>
    <w:basedOn w:val="2793"/>
    <w:next w:val="2793"/>
    <w:link w:val="2638"/>
    <w:uiPriority w:val="10"/>
    <w:qFormat/>
    <w:pPr>
      <w:contextualSpacing/>
      <w:spacing w:before="300" w:after="200"/>
    </w:pPr>
    <w:rPr>
      <w:sz w:val="48"/>
      <w:szCs w:val="48"/>
    </w:rPr>
  </w:style>
  <w:style w:type="character" w:styleId="2638">
    <w:name w:val="Title Char"/>
    <w:basedOn w:val="2794"/>
    <w:link w:val="2637"/>
    <w:uiPriority w:val="10"/>
    <w:rPr>
      <w:sz w:val="48"/>
      <w:szCs w:val="48"/>
    </w:rPr>
  </w:style>
  <w:style w:type="paragraph" w:styleId="2639">
    <w:name w:val="Subtitle"/>
    <w:basedOn w:val="2793"/>
    <w:next w:val="2793"/>
    <w:link w:val="2640"/>
    <w:uiPriority w:val="11"/>
    <w:qFormat/>
    <w:pPr>
      <w:spacing w:before="200" w:after="200"/>
    </w:pPr>
    <w:rPr>
      <w:sz w:val="24"/>
      <w:szCs w:val="24"/>
    </w:rPr>
  </w:style>
  <w:style w:type="character" w:styleId="2640">
    <w:name w:val="Subtitle Char"/>
    <w:basedOn w:val="2794"/>
    <w:link w:val="2639"/>
    <w:uiPriority w:val="11"/>
    <w:rPr>
      <w:sz w:val="24"/>
      <w:szCs w:val="24"/>
    </w:rPr>
  </w:style>
  <w:style w:type="paragraph" w:styleId="2641">
    <w:name w:val="Quote"/>
    <w:basedOn w:val="2793"/>
    <w:next w:val="2793"/>
    <w:link w:val="2642"/>
    <w:uiPriority w:val="29"/>
    <w:qFormat/>
    <w:pPr>
      <w:ind w:left="720" w:right="720"/>
    </w:pPr>
    <w:rPr>
      <w:i/>
    </w:rPr>
  </w:style>
  <w:style w:type="character" w:styleId="2642">
    <w:name w:val="Quote Char"/>
    <w:link w:val="2641"/>
    <w:uiPriority w:val="29"/>
    <w:rPr>
      <w:i/>
    </w:rPr>
  </w:style>
  <w:style w:type="paragraph" w:styleId="2643">
    <w:name w:val="Intense Quote"/>
    <w:basedOn w:val="2793"/>
    <w:next w:val="2793"/>
    <w:link w:val="26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644">
    <w:name w:val="Intense Quote Char"/>
    <w:link w:val="2643"/>
    <w:uiPriority w:val="30"/>
    <w:rPr>
      <w:i/>
    </w:rPr>
  </w:style>
  <w:style w:type="character" w:styleId="2645">
    <w:name w:val="Header Char"/>
    <w:basedOn w:val="2794"/>
    <w:link w:val="2799"/>
    <w:uiPriority w:val="99"/>
  </w:style>
  <w:style w:type="character" w:styleId="2646">
    <w:name w:val="Footer Char"/>
    <w:basedOn w:val="2794"/>
    <w:link w:val="2798"/>
    <w:uiPriority w:val="99"/>
  </w:style>
  <w:style w:type="paragraph" w:styleId="2647">
    <w:name w:val="Caption"/>
    <w:basedOn w:val="2793"/>
    <w:next w:val="2793"/>
    <w:uiPriority w:val="35"/>
    <w:semiHidden/>
    <w:unhideWhenUsed/>
    <w:qFormat/>
    <w:pPr>
      <w:spacing w:line="276" w:lineRule="auto"/>
    </w:pPr>
    <w:rPr>
      <w:b/>
      <w:bCs/>
      <w:color w:val="4f81bd" w:themeColor="accent1"/>
      <w:sz w:val="18"/>
      <w:szCs w:val="18"/>
    </w:rPr>
  </w:style>
  <w:style w:type="character" w:styleId="2648">
    <w:name w:val="Caption Char"/>
    <w:basedOn w:val="2647"/>
    <w:link w:val="2798"/>
    <w:uiPriority w:val="99"/>
  </w:style>
  <w:style w:type="table" w:styleId="2649">
    <w:name w:val="Table Grid"/>
    <w:basedOn w:val="279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50">
    <w:name w:val="Table Grid Light"/>
    <w:basedOn w:val="2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51">
    <w:name w:val="Plain Table 1"/>
    <w:basedOn w:val="2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52">
    <w:name w:val="Plain Table 2"/>
    <w:basedOn w:val="2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653">
    <w:name w:val="Plain Table 3"/>
    <w:basedOn w:val="2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654">
    <w:name w:val="Plain Table 4"/>
    <w:basedOn w:val="2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655">
    <w:name w:val="Plain Table 5"/>
    <w:basedOn w:val="2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656">
    <w:name w:val="Grid Table 1 Light"/>
    <w:basedOn w:val="2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657">
    <w:name w:val="Grid Table 1 Light - Accent 1"/>
    <w:basedOn w:val="27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658">
    <w:name w:val="Grid Table 1 Light - Accent 2"/>
    <w:basedOn w:val="27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659">
    <w:name w:val="Grid Table 1 Light - Accent 3"/>
    <w:basedOn w:val="27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660">
    <w:name w:val="Grid Table 1 Light - Accent 4"/>
    <w:basedOn w:val="27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661">
    <w:name w:val="Grid Table 1 Light - Accent 5"/>
    <w:basedOn w:val="27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662">
    <w:name w:val="Grid Table 1 Light - Accent 6"/>
    <w:basedOn w:val="27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663">
    <w:name w:val="Grid Table 2"/>
    <w:basedOn w:val="2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664">
    <w:name w:val="Grid Table 2 - Accent 1"/>
    <w:basedOn w:val="27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665">
    <w:name w:val="Grid Table 2 - Accent 2"/>
    <w:basedOn w:val="27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666">
    <w:name w:val="Grid Table 2 - Accent 3"/>
    <w:basedOn w:val="27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667">
    <w:name w:val="Grid Table 2 - Accent 4"/>
    <w:basedOn w:val="27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668">
    <w:name w:val="Grid Table 2 - Accent 5"/>
    <w:basedOn w:val="27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669">
    <w:name w:val="Grid Table 2 - Accent 6"/>
    <w:basedOn w:val="27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670">
    <w:name w:val="Grid Table 3"/>
    <w:basedOn w:val="2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1">
    <w:name w:val="Grid Table 3 - Accent 1"/>
    <w:basedOn w:val="27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2">
    <w:name w:val="Grid Table 3 - Accent 2"/>
    <w:basedOn w:val="27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3">
    <w:name w:val="Grid Table 3 - Accent 3"/>
    <w:basedOn w:val="27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4">
    <w:name w:val="Grid Table 3 - Accent 4"/>
    <w:basedOn w:val="27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5">
    <w:name w:val="Grid Table 3 - Accent 5"/>
    <w:basedOn w:val="27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6">
    <w:name w:val="Grid Table 3 - Accent 6"/>
    <w:basedOn w:val="27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7">
    <w:name w:val="Grid Table 4"/>
    <w:basedOn w:val="2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678">
    <w:name w:val="Grid Table 4 - Accent 1"/>
    <w:basedOn w:val="27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679">
    <w:name w:val="Grid Table 4 - Accent 2"/>
    <w:basedOn w:val="27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680">
    <w:name w:val="Grid Table 4 - Accent 3"/>
    <w:basedOn w:val="27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681">
    <w:name w:val="Grid Table 4 - Accent 4"/>
    <w:basedOn w:val="27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682">
    <w:name w:val="Grid Table 4 - Accent 5"/>
    <w:basedOn w:val="27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2683">
    <w:name w:val="Grid Table 4 - Accent 6"/>
    <w:basedOn w:val="27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2684">
    <w:name w:val="Grid Table 5 Dark"/>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2685">
    <w:name w:val="Grid Table 5 Dark- Accent 1"/>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2686">
    <w:name w:val="Grid Table 5 Dark - Accent 2"/>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2687">
    <w:name w:val="Grid Table 5 Dark - Accent 3"/>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2688">
    <w:name w:val="Grid Table 5 Dark- Accent 4"/>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2689">
    <w:name w:val="Grid Table 5 Dark - Accent 5"/>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2690">
    <w:name w:val="Grid Table 5 Dark - Accent 6"/>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2691">
    <w:name w:val="Grid Table 6 Colorful"/>
    <w:basedOn w:val="2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2692">
    <w:name w:val="Grid Table 6 Colorful - Accent 1"/>
    <w:basedOn w:val="27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2693">
    <w:name w:val="Grid Table 6 Colorful - Accent 2"/>
    <w:basedOn w:val="27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2694">
    <w:name w:val="Grid Table 6 Colorful - Accent 3"/>
    <w:basedOn w:val="27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2695">
    <w:name w:val="Grid Table 6 Colorful - Accent 4"/>
    <w:basedOn w:val="27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2696">
    <w:name w:val="Grid Table 6 Colorful - Accent 5"/>
    <w:basedOn w:val="27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2697">
    <w:name w:val="Grid Table 6 Colorful - Accent 6"/>
    <w:basedOn w:val="27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2698">
    <w:name w:val="Grid Table 7 Colorful"/>
    <w:basedOn w:val="2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2699">
    <w:name w:val="Grid Table 7 Colorful - Accent 1"/>
    <w:basedOn w:val="27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2700">
    <w:name w:val="Grid Table 7 Colorful - Accent 2"/>
    <w:basedOn w:val="27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2701">
    <w:name w:val="Grid Table 7 Colorful - Accent 3"/>
    <w:basedOn w:val="27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2702">
    <w:name w:val="Grid Table 7 Colorful - Accent 4"/>
    <w:basedOn w:val="27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2703">
    <w:name w:val="Grid Table 7 Colorful - Accent 5"/>
    <w:basedOn w:val="27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2704">
    <w:name w:val="Grid Table 7 Colorful - Accent 6"/>
    <w:basedOn w:val="27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2705">
    <w:name w:val="List Table 1 Light"/>
    <w:basedOn w:val="2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706">
    <w:name w:val="List Table 1 Light - Accent 1"/>
    <w:basedOn w:val="279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2707">
    <w:name w:val="List Table 1 Light - Accent 2"/>
    <w:basedOn w:val="279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2708">
    <w:name w:val="List Table 1 Light - Accent 3"/>
    <w:basedOn w:val="279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2709">
    <w:name w:val="List Table 1 Light - Accent 4"/>
    <w:basedOn w:val="279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2710">
    <w:name w:val="List Table 1 Light - Accent 5"/>
    <w:basedOn w:val="279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2711">
    <w:name w:val="List Table 1 Light - Accent 6"/>
    <w:basedOn w:val="279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2712">
    <w:name w:val="List Table 2"/>
    <w:basedOn w:val="2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2713">
    <w:name w:val="List Table 2 - Accent 1"/>
    <w:basedOn w:val="27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2714">
    <w:name w:val="List Table 2 - Accent 2"/>
    <w:basedOn w:val="27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2715">
    <w:name w:val="List Table 2 - Accent 3"/>
    <w:basedOn w:val="27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2716">
    <w:name w:val="List Table 2 - Accent 4"/>
    <w:basedOn w:val="27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2717">
    <w:name w:val="List Table 2 - Accent 5"/>
    <w:basedOn w:val="27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718">
    <w:name w:val="List Table 2 - Accent 6"/>
    <w:basedOn w:val="27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719">
    <w:name w:val="List Table 3"/>
    <w:basedOn w:val="2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720">
    <w:name w:val="List Table 3 - Accent 1"/>
    <w:basedOn w:val="27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2721">
    <w:name w:val="List Table 3 - Accent 2"/>
    <w:basedOn w:val="27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2722">
    <w:name w:val="List Table 3 - Accent 3"/>
    <w:basedOn w:val="27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2723">
    <w:name w:val="List Table 3 - Accent 4"/>
    <w:basedOn w:val="27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2724">
    <w:name w:val="List Table 3 - Accent 5"/>
    <w:basedOn w:val="27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2725">
    <w:name w:val="List Table 3 - Accent 6"/>
    <w:basedOn w:val="27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2726">
    <w:name w:val="List Table 4"/>
    <w:basedOn w:val="2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727">
    <w:name w:val="List Table 4 - Accent 1"/>
    <w:basedOn w:val="27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2728">
    <w:name w:val="List Table 4 - Accent 2"/>
    <w:basedOn w:val="27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2729">
    <w:name w:val="List Table 4 - Accent 3"/>
    <w:basedOn w:val="27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2730">
    <w:name w:val="List Table 4 - Accent 4"/>
    <w:basedOn w:val="27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2731">
    <w:name w:val="List Table 4 - Accent 5"/>
    <w:basedOn w:val="27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2732">
    <w:name w:val="List Table 4 - Accent 6"/>
    <w:basedOn w:val="27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2733">
    <w:name w:val="List Table 5 Dark"/>
    <w:basedOn w:val="2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34">
    <w:name w:val="List Table 5 Dark - Accent 1"/>
    <w:basedOn w:val="27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35">
    <w:name w:val="List Table 5 Dark - Accent 2"/>
    <w:basedOn w:val="27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36">
    <w:name w:val="List Table 5 Dark - Accent 3"/>
    <w:basedOn w:val="27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37">
    <w:name w:val="List Table 5 Dark - Accent 4"/>
    <w:basedOn w:val="27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38">
    <w:name w:val="List Table 5 Dark - Accent 5"/>
    <w:basedOn w:val="27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39">
    <w:name w:val="List Table 5 Dark - Accent 6"/>
    <w:basedOn w:val="27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40">
    <w:name w:val="List Table 6 Colorful"/>
    <w:basedOn w:val="2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741">
    <w:name w:val="List Table 6 Colorful - Accent 1"/>
    <w:basedOn w:val="27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2742">
    <w:name w:val="List Table 6 Colorful - Accent 2"/>
    <w:basedOn w:val="27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2743">
    <w:name w:val="List Table 6 Colorful - Accent 3"/>
    <w:basedOn w:val="27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2744">
    <w:name w:val="List Table 6 Colorful - Accent 4"/>
    <w:basedOn w:val="27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2745">
    <w:name w:val="List Table 6 Colorful - Accent 5"/>
    <w:basedOn w:val="27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2746">
    <w:name w:val="List Table 6 Colorful - Accent 6"/>
    <w:basedOn w:val="27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2747">
    <w:name w:val="List Table 7 Colorful"/>
    <w:basedOn w:val="2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748">
    <w:name w:val="List Table 7 Colorful - Accent 1"/>
    <w:basedOn w:val="27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2749">
    <w:name w:val="List Table 7 Colorful - Accent 2"/>
    <w:basedOn w:val="27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2750">
    <w:name w:val="List Table 7 Colorful - Accent 3"/>
    <w:basedOn w:val="27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2751">
    <w:name w:val="List Table 7 Colorful - Accent 4"/>
    <w:basedOn w:val="27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2752">
    <w:name w:val="List Table 7 Colorful - Accent 5"/>
    <w:basedOn w:val="27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2753">
    <w:name w:val="List Table 7 Colorful - Accent 6"/>
    <w:basedOn w:val="27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2754">
    <w:name w:val="Lined - Accent"/>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755">
    <w:name w:val="Lined - Accent 1"/>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2756">
    <w:name w:val="Lined - Accent 2"/>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2757">
    <w:name w:val="Lined - Accent 3"/>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2758">
    <w:name w:val="Lined - Accent 4"/>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2759">
    <w:name w:val="Lined - Accent 5"/>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2760">
    <w:name w:val="Lined - Accent 6"/>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2761">
    <w:name w:val="Bordered &amp; Lined - Accent"/>
    <w:basedOn w:val="27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762">
    <w:name w:val="Bordered &amp; Lined - Accent 1"/>
    <w:basedOn w:val="27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2763">
    <w:name w:val="Bordered &amp; Lined - Accent 2"/>
    <w:basedOn w:val="27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2764">
    <w:name w:val="Bordered &amp; Lined - Accent 3"/>
    <w:basedOn w:val="27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2765">
    <w:name w:val="Bordered &amp; Lined - Accent 4"/>
    <w:basedOn w:val="27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2766">
    <w:name w:val="Bordered &amp; Lined - Accent 5"/>
    <w:basedOn w:val="27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2767">
    <w:name w:val="Bordered &amp; Lined - Accent 6"/>
    <w:basedOn w:val="27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2768">
    <w:name w:val="Bordered"/>
    <w:basedOn w:val="27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769">
    <w:name w:val="Bordered - Accent 1"/>
    <w:basedOn w:val="27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770">
    <w:name w:val="Bordered - Accent 2"/>
    <w:basedOn w:val="27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771">
    <w:name w:val="Bordered - Accent 3"/>
    <w:basedOn w:val="27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772">
    <w:name w:val="Bordered - Accent 4"/>
    <w:basedOn w:val="27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773">
    <w:name w:val="Bordered - Accent 5"/>
    <w:basedOn w:val="27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774">
    <w:name w:val="Bordered - Accent 6"/>
    <w:basedOn w:val="27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2775">
    <w:name w:val="Hyperlink"/>
    <w:uiPriority w:val="99"/>
    <w:unhideWhenUsed/>
    <w:rPr>
      <w:color w:val="0000ff" w:themeColor="hyperlink"/>
      <w:u w:val="single"/>
    </w:rPr>
  </w:style>
  <w:style w:type="paragraph" w:styleId="2776">
    <w:name w:val="footnote text"/>
    <w:basedOn w:val="2793"/>
    <w:link w:val="2777"/>
    <w:uiPriority w:val="99"/>
    <w:semiHidden/>
    <w:unhideWhenUsed/>
    <w:pPr>
      <w:spacing w:after="40" w:line="240" w:lineRule="auto"/>
    </w:pPr>
    <w:rPr>
      <w:sz w:val="18"/>
    </w:rPr>
  </w:style>
  <w:style w:type="character" w:styleId="2777">
    <w:name w:val="Footnote Text Char"/>
    <w:link w:val="2776"/>
    <w:uiPriority w:val="99"/>
    <w:rPr>
      <w:sz w:val="18"/>
    </w:rPr>
  </w:style>
  <w:style w:type="character" w:styleId="2778">
    <w:name w:val="footnote reference"/>
    <w:basedOn w:val="2794"/>
    <w:uiPriority w:val="99"/>
    <w:unhideWhenUsed/>
    <w:rPr>
      <w:vertAlign w:val="superscript"/>
    </w:rPr>
  </w:style>
  <w:style w:type="paragraph" w:styleId="2779">
    <w:name w:val="endnote text"/>
    <w:basedOn w:val="2793"/>
    <w:link w:val="2780"/>
    <w:uiPriority w:val="99"/>
    <w:semiHidden/>
    <w:unhideWhenUsed/>
    <w:pPr>
      <w:spacing w:after="0" w:line="240" w:lineRule="auto"/>
    </w:pPr>
    <w:rPr>
      <w:sz w:val="20"/>
    </w:rPr>
  </w:style>
  <w:style w:type="character" w:styleId="2780">
    <w:name w:val="Endnote Text Char"/>
    <w:link w:val="2779"/>
    <w:uiPriority w:val="99"/>
    <w:rPr>
      <w:sz w:val="20"/>
    </w:rPr>
  </w:style>
  <w:style w:type="character" w:styleId="2781">
    <w:name w:val="endnote reference"/>
    <w:basedOn w:val="2794"/>
    <w:uiPriority w:val="99"/>
    <w:semiHidden/>
    <w:unhideWhenUsed/>
    <w:rPr>
      <w:vertAlign w:val="superscript"/>
    </w:rPr>
  </w:style>
  <w:style w:type="paragraph" w:styleId="2782">
    <w:name w:val="toc 1"/>
    <w:basedOn w:val="2793"/>
    <w:next w:val="2793"/>
    <w:uiPriority w:val="39"/>
    <w:unhideWhenUsed/>
    <w:pPr>
      <w:ind w:left="0" w:right="0" w:firstLine="0"/>
      <w:spacing w:after="57"/>
    </w:pPr>
  </w:style>
  <w:style w:type="paragraph" w:styleId="2783">
    <w:name w:val="toc 2"/>
    <w:basedOn w:val="2793"/>
    <w:next w:val="2793"/>
    <w:uiPriority w:val="39"/>
    <w:unhideWhenUsed/>
    <w:pPr>
      <w:ind w:left="283" w:right="0" w:firstLine="0"/>
      <w:spacing w:after="57"/>
    </w:pPr>
  </w:style>
  <w:style w:type="paragraph" w:styleId="2784">
    <w:name w:val="toc 3"/>
    <w:basedOn w:val="2793"/>
    <w:next w:val="2793"/>
    <w:uiPriority w:val="39"/>
    <w:unhideWhenUsed/>
    <w:pPr>
      <w:ind w:left="567" w:right="0" w:firstLine="0"/>
      <w:spacing w:after="57"/>
    </w:pPr>
  </w:style>
  <w:style w:type="paragraph" w:styleId="2785">
    <w:name w:val="toc 4"/>
    <w:basedOn w:val="2793"/>
    <w:next w:val="2793"/>
    <w:uiPriority w:val="39"/>
    <w:unhideWhenUsed/>
    <w:pPr>
      <w:ind w:left="850" w:right="0" w:firstLine="0"/>
      <w:spacing w:after="57"/>
    </w:pPr>
  </w:style>
  <w:style w:type="paragraph" w:styleId="2786">
    <w:name w:val="toc 5"/>
    <w:basedOn w:val="2793"/>
    <w:next w:val="2793"/>
    <w:uiPriority w:val="39"/>
    <w:unhideWhenUsed/>
    <w:pPr>
      <w:ind w:left="1134" w:right="0" w:firstLine="0"/>
      <w:spacing w:after="57"/>
    </w:pPr>
  </w:style>
  <w:style w:type="paragraph" w:styleId="2787">
    <w:name w:val="toc 6"/>
    <w:basedOn w:val="2793"/>
    <w:next w:val="2793"/>
    <w:uiPriority w:val="39"/>
    <w:unhideWhenUsed/>
    <w:pPr>
      <w:ind w:left="1417" w:right="0" w:firstLine="0"/>
      <w:spacing w:after="57"/>
    </w:pPr>
  </w:style>
  <w:style w:type="paragraph" w:styleId="2788">
    <w:name w:val="toc 7"/>
    <w:basedOn w:val="2793"/>
    <w:next w:val="2793"/>
    <w:uiPriority w:val="39"/>
    <w:unhideWhenUsed/>
    <w:pPr>
      <w:ind w:left="1701" w:right="0" w:firstLine="0"/>
      <w:spacing w:after="57"/>
    </w:pPr>
  </w:style>
  <w:style w:type="paragraph" w:styleId="2789">
    <w:name w:val="toc 8"/>
    <w:basedOn w:val="2793"/>
    <w:next w:val="2793"/>
    <w:uiPriority w:val="39"/>
    <w:unhideWhenUsed/>
    <w:pPr>
      <w:ind w:left="1984" w:right="0" w:firstLine="0"/>
      <w:spacing w:after="57"/>
    </w:pPr>
  </w:style>
  <w:style w:type="paragraph" w:styleId="2790">
    <w:name w:val="toc 9"/>
    <w:basedOn w:val="2793"/>
    <w:next w:val="2793"/>
    <w:uiPriority w:val="39"/>
    <w:unhideWhenUsed/>
    <w:pPr>
      <w:ind w:left="2268" w:right="0" w:firstLine="0"/>
      <w:spacing w:after="57"/>
    </w:pPr>
  </w:style>
  <w:style w:type="paragraph" w:styleId="2791">
    <w:name w:val="TOC Heading"/>
    <w:uiPriority w:val="39"/>
    <w:unhideWhenUsed/>
  </w:style>
  <w:style w:type="paragraph" w:styleId="2792">
    <w:name w:val="table of figures"/>
    <w:basedOn w:val="2793"/>
    <w:next w:val="2793"/>
    <w:uiPriority w:val="99"/>
    <w:unhideWhenUsed/>
    <w:pPr>
      <w:spacing w:after="0" w:afterAutospacing="0"/>
    </w:pPr>
  </w:style>
  <w:style w:type="paragraph" w:styleId="2793" w:default="1">
    <w:name w:val="Normal"/>
    <w:next w:val="2796"/>
    <w:uiPriority w:val="0"/>
    <w:unhideWhenUsed/>
    <w:qFormat/>
    <w:pPr>
      <w:jc w:val="both"/>
      <w:spacing w:after="160" w:line="259" w:lineRule="auto"/>
      <w:widowControl w:val="off"/>
    </w:pPr>
    <w:rPr>
      <w:rFonts w:hint="default" w:ascii="Calibri" w:hAnsi="Calibri" w:eastAsia="宋体" w:cs="Times New Roman"/>
      <w:sz w:val="21"/>
      <w:szCs w:val="24"/>
      <w:lang w:val="en-US" w:eastAsia="zh-CN" w:bidi="ar-SA"/>
    </w:rPr>
  </w:style>
  <w:style w:type="character" w:styleId="2794" w:default="1">
    <w:name w:val="Default Paragraph Font"/>
    <w:uiPriority w:val="0"/>
    <w:semiHidden/>
    <w:qFormat/>
  </w:style>
  <w:style w:type="table" w:styleId="2795" w:default="1">
    <w:name w:val="Normal Table"/>
    <w:uiPriority w:val="0"/>
    <w:semiHidden/>
    <w:qFormat/>
    <w:tblPr>
      <w:tblCellMar>
        <w:left w:w="108" w:type="dxa"/>
        <w:top w:w="0" w:type="dxa"/>
        <w:right w:w="108" w:type="dxa"/>
        <w:bottom w:w="0" w:type="dxa"/>
      </w:tblCellMar>
    </w:tblPr>
  </w:style>
  <w:style w:type="paragraph" w:styleId="2796" w:customStyle="1">
    <w:name w:val="段"/>
    <w:next w:val="2797"/>
    <w:uiPriority w:val="0"/>
    <w:qFormat/>
    <w:pPr>
      <w:ind w:firstLine="200"/>
      <w:jc w:val="both"/>
      <w:spacing w:after="160" w:line="259" w:lineRule="auto"/>
      <w:widowControl w:val="off"/>
    </w:pPr>
    <w:rPr>
      <w:rFonts w:ascii="宋体" w:hAnsi="宋体" w:eastAsia="宋体" w:cs="宋体"/>
      <w:color w:val="000000"/>
      <w:sz w:val="21"/>
      <w:szCs w:val="21"/>
      <w:lang w:val="en-US" w:eastAsia="zh-CN" w:bidi="ar-SA"/>
    </w:rPr>
  </w:style>
  <w:style w:type="paragraph" w:styleId="2797" w:customStyle="1">
    <w:name w:val="正文 A"/>
    <w:next w:val="2796"/>
    <w:uiPriority w:val="0"/>
    <w:qFormat/>
    <w:pPr>
      <w:jc w:val="both"/>
      <w:spacing w:after="160" w:line="259" w:lineRule="auto"/>
      <w:widowControl w:val="off"/>
    </w:pPr>
    <w:rPr>
      <w:rFonts w:ascii="Times New Roman" w:hAnsi="Times New Roman" w:eastAsia="Calibri" w:cs="Calibri"/>
      <w:color w:val="000000"/>
      <w:sz w:val="21"/>
      <w:szCs w:val="21"/>
      <w:lang w:val="en-US" w:eastAsia="zh-CN" w:bidi="ar-SA"/>
    </w:rPr>
  </w:style>
  <w:style w:type="paragraph" w:styleId="2798">
    <w:name w:val="Footer"/>
    <w:basedOn w:val="2793"/>
    <w:uiPriority w:val="0"/>
    <w:qFormat/>
    <w:pPr>
      <w:jc w:val="left"/>
      <w:tabs>
        <w:tab w:val="center" w:pos="4153" w:leader="none"/>
        <w:tab w:val="right" w:pos="8306" w:leader="none"/>
      </w:tabs>
    </w:pPr>
    <w:rPr>
      <w:sz w:val="18"/>
    </w:rPr>
  </w:style>
  <w:style w:type="paragraph" w:styleId="2799">
    <w:name w:val="Header"/>
    <w:basedOn w:val="279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2800">
    <w:name w:val="Normal (Web)"/>
    <w:basedOn w:val="2793"/>
    <w:uiPriority w:val="0"/>
    <w:unhideWhenUsed/>
    <w:qFormat/>
    <w:pPr>
      <w:jc w:val="left"/>
      <w:spacing w:beforeAutospacing="1" w:afterAutospacing="1"/>
    </w:pPr>
    <w:rPr>
      <w:rFonts w:hint="default"/>
      <w:sz w:val="24"/>
      <w:szCs w:val="24"/>
    </w:rPr>
  </w:style>
  <w:style w:type="paragraph" w:styleId="2801" w:customStyle="1">
    <w:name w:val="正文首行缩进 21"/>
    <w:basedOn w:val="2802"/>
    <w:uiPriority w:val="0"/>
    <w:unhideWhenUsed/>
    <w:qFormat/>
    <w:pPr>
      <w:ind w:firstLine="420"/>
    </w:pPr>
    <w:rPr>
      <w:rFonts w:hint="default"/>
      <w:sz w:val="21"/>
      <w:szCs w:val="24"/>
    </w:rPr>
  </w:style>
  <w:style w:type="paragraph" w:styleId="2802" w:customStyle="1">
    <w:name w:val="正文文本缩进1"/>
    <w:basedOn w:val="2793"/>
    <w:uiPriority w:val="0"/>
    <w:unhideWhenUsed/>
    <w:qFormat/>
    <w:pPr>
      <w:ind w:left="420"/>
      <w:spacing w:after="120"/>
    </w:pPr>
    <w:rPr>
      <w:rFonts w:hint="default"/>
      <w:sz w:val="21"/>
      <w:szCs w:val="24"/>
    </w:rPr>
  </w:style>
  <w:style w:type="paragraph" w:styleId="2803" w:customStyle="1">
    <w:name w:val="普通(网站)1"/>
    <w:basedOn w:val="2793"/>
    <w:uiPriority w:val="0"/>
    <w:unhideWhenUsed/>
    <w:qFormat/>
    <w:pPr>
      <w:jc w:val="left"/>
      <w:spacing w:before="100" w:beforeAutospacing="1" w:after="100" w:afterAutospacing="1"/>
      <w:widowControl/>
    </w:pPr>
    <w:rPr>
      <w:rFonts w:hint="eastAsia" w:ascii="宋体" w:hAnsi="宋体" w:cs="宋体"/>
      <w:sz w:val="24"/>
      <w:szCs w:val="24"/>
    </w:rPr>
  </w:style>
  <w:style w:type="numbering" w:styleId="28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footer" Target="footer1.xml" /><Relationship Id="rId2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9"/>
    <customShpInfo spid="_x0000_s2060"/>
    <customShpInfo spid="_x0000_s2061"/>
    <customShpInfo spid="_x0000_s2065"/>
    <customShpInfo spid="_x0000_s2066"/>
    <customShpInfo spid="_x0000_s2067"/>
    <customShpInfo spid="_x0000_s2062"/>
    <customShpInfo spid="_x0000_s2063"/>
    <customShpInfo spid="_x0000_s2064"/>
    <customShpInfo spid="_x0000_s1026" textRotate="1"/>
    <customShpInfo spid="_x0000_s2068"/>
    <customShpInfo spid="_x0000_s2069"/>
    <customShpInfo spid="_x0000_s2070"/>
    <customShpInfo spid="_x0000_s2074"/>
    <customShpInfo spid="_x0000_s2075"/>
    <customShpInfo spid="_x0000_s2076"/>
    <customShpInfo spid="_x0000_s2071"/>
    <customShpInfo spid="_x0000_s2072"/>
    <customShpInfo spid="_x0000_s2073"/>
    <customShpInfo spid="_x0000_s2086"/>
    <customShpInfo spid="_x0000_s2087"/>
    <customShpInfo spid="_x0000_s2088"/>
    <customShpInfo spid="_x0000_s2092"/>
    <customShpInfo spid="_x0000_s2093"/>
    <customShpInfo spid="_x0000_s2094"/>
    <customShpInfo spid="_x0000_s2089"/>
    <customShpInfo spid="_x0000_s2090"/>
    <customShpInfo spid="_x0000_s2091"/>
    <customShpInfo spid="_x0000_s2104"/>
    <customShpInfo spid="_x0000_s2105"/>
    <customShpInfo spid="_x0000_s2106"/>
    <customShpInfo spid="_x0000_s2110"/>
    <customShpInfo spid="_x0000_s2111"/>
    <customShpInfo spid="_x0000_s2112"/>
    <customShpInfo spid="_x0000_s2107"/>
    <customShpInfo spid="_x0000_s2108"/>
    <customShpInfo spid="_x0000_s2109"/>
    <customShpInfo spid="_x0000_s2122"/>
    <customShpInfo spid="_x0000_s2123"/>
    <customShpInfo spid="_x0000_s2124"/>
    <customShpInfo spid="_x0000_s2128"/>
    <customShpInfo spid="_x0000_s2129"/>
    <customShpInfo spid="_x0000_s2130"/>
    <customShpInfo spid="_x0000_s2125"/>
    <customShpInfo spid="_x0000_s2126"/>
    <customShpInfo spid="_x0000_s2127"/>
    <customShpInfo spid="_x0000_s2131"/>
    <customShpInfo spid="_x0000_s2132"/>
    <customShpInfo spid="_x0000_s2133"/>
    <customShpInfo spid="_x0000_s2137"/>
    <customShpInfo spid="_x0000_s2138"/>
    <customShpInfo spid="_x0000_s2139"/>
    <customShpInfo spid="_x0000_s2134"/>
    <customShpInfo spid="_x0000_s2135"/>
    <customShpInfo spid="_x0000_s21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名可名，非常名</dc:creator>
  <cp:lastModifiedBy>吉胜</cp:lastModifiedBy>
  <cp:revision>3</cp:revision>
  <dcterms:created xsi:type="dcterms:W3CDTF">2026-03-26T02:46:00Z</dcterms:created>
  <dcterms:modified xsi:type="dcterms:W3CDTF">2026-05-18T09:46:34Z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84DD44051D304A079B4D8A5026FC209C_11</vt:lpwstr>
  </property>
  <property fmtid="{D5CDD505-2E9C-101B-9397-08002B2CF9AE}" pid="3" name="KSOProductBuildVer">
    <vt:lpwstr>2052-12.1.0.26375</vt:lpwstr>
  </property>
  <property fmtid="{D5CDD505-2E9C-101B-9397-08002B2CF9AE}" pid="4" name="KSOTemplateDocerSaveRecord">
    <vt:lpwstr>eyJoZGlkIjoiZDExZWQzYzZjNWM3OWE2OWM5ZDI4ZmVjYzA3NTA2NzQiLCJ1c2VySWQiOiIyNjY5ODk2MiJ9</vt:lpwstr>
  </property>
</Properties>
</file>