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宋体" w:hAnsi="宋体" w:eastAsia="宋体"/>
          <w:b/>
          <w:color w:val="auto"/>
          <w:spacing w:val="30"/>
          <w:sz w:val="56"/>
          <w:szCs w:val="32"/>
          <w:highlight w:val="none"/>
          <w:lang w:eastAsia="zh-CN"/>
        </w:rPr>
      </w:pPr>
      <w:r>
        <w:rPr>
          <w:color w:val="auto"/>
          <w:highlight w:val="none"/>
        </w:rPr>
        <mc:AlternateContent>
          <mc:Choice Requires="wpg">
            <w:drawing>
              <wp:inline xmlns:wp="http://schemas.openxmlformats.org/drawingml/2006/wordprocessingDrawing" distT="0" distB="0" distL="0" distR="0">
                <wp:extent cx="6000750" cy="8524875"/>
                <wp:effectExtent l="0" t="0" r="381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6000750" cy="852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5pt;height:671.2pt;mso-wrap-distance-left:0.0pt;mso-wrap-distance-top:0.0pt;mso-wrap-distance-right:0.0pt;mso-wrap-distance-bottom:0.0pt;" stroked="f">
                <v:path textboxrect="0,0,0,0"/>
                <v:imagedata r:id="rId16" o:title=""/>
              </v:shape>
            </w:pict>
          </mc:Fallback>
        </mc:AlternateContent>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hint="eastAsia" w:ascii="宋体" w:hAnsi="宋体"/>
          <w:color w:val="auto"/>
          <w:sz w:val="28"/>
          <w:highlight w:val="none"/>
        </w:rPr>
      </w:pPr>
      <w:r>
        <w:rPr>
          <w:rFonts w:hint="eastAsia" w:ascii="宋体" w:hAnsi="宋体"/>
          <w:color w:val="auto"/>
          <w:sz w:val="28"/>
          <w:highlight w:val="none"/>
        </w:rPr>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w:t>
      </w:r>
      <w:r>
        <w:rPr>
          <w:rFonts w:hint="eastAsia" w:ascii="宋体" w:hAnsi="宋体"/>
          <w:color w:val="auto"/>
          <w:sz w:val="30"/>
          <w:highlight w:val="none"/>
        </w:rPr>
        <w:t xml:space="preserve">1</w:t>
      </w:r>
      <w:r/>
    </w:p>
    <w:p>
      <w:pPr>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第二章 投标人须知…………………………………………</w:t>
      </w:r>
      <w:r>
        <w:rPr>
          <w:rFonts w:ascii="宋体" w:hAnsi="宋体"/>
          <w:color w:val="auto"/>
          <w:sz w:val="30"/>
          <w:highlight w:val="none"/>
        </w:rPr>
        <w:t xml:space="preserve">…</w:t>
      </w:r>
      <w:r>
        <w:rPr>
          <w:rFonts w:hint="eastAsia" w:ascii="宋体" w:hAnsi="宋体"/>
          <w:color w:val="auto"/>
          <w:sz w:val="30"/>
          <w:highlight w:val="none"/>
        </w:rPr>
        <w:t xml:space="preserve">5</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一、投标人须知前附表……………………………………</w:t>
      </w:r>
      <w:r>
        <w:rPr>
          <w:rFonts w:ascii="宋体" w:hAnsi="宋体"/>
          <w:color w:val="auto"/>
          <w:sz w:val="30"/>
          <w:highlight w:val="none"/>
        </w:rPr>
        <w:t xml:space="preserve">…</w:t>
      </w:r>
      <w:r>
        <w:rPr>
          <w:rFonts w:hint="eastAsia" w:ascii="宋体" w:hAnsi="宋体"/>
          <w:color w:val="auto"/>
          <w:sz w:val="30"/>
          <w:highlight w:val="none"/>
        </w:rPr>
        <w:t xml:space="preserve">5</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二、总则……………………………………………</w:t>
      </w:r>
      <w:r>
        <w:rPr>
          <w:rFonts w:ascii="宋体" w:hAnsi="宋体"/>
          <w:color w:val="auto"/>
          <w:sz w:val="30"/>
          <w:highlight w:val="none"/>
        </w:rPr>
        <w:t xml:space="preserve">…………</w:t>
      </w:r>
      <w:r>
        <w:rPr>
          <w:rFonts w:hint="eastAsia" w:ascii="宋体" w:hAnsi="宋体"/>
          <w:color w:val="auto"/>
          <w:sz w:val="30"/>
          <w:highlight w:val="none"/>
        </w:rPr>
        <w:t xml:space="preserve">6</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rPr>
        <w:t xml:space="preserve">6</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四、投标文件…………………………………………………7</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五、开标及资格审查………………………</w:t>
      </w:r>
      <w:r>
        <w:rPr>
          <w:rFonts w:ascii="宋体" w:hAnsi="宋体"/>
          <w:color w:val="auto"/>
          <w:sz w:val="30"/>
          <w:highlight w:val="none"/>
        </w:rPr>
        <w:t xml:space="preserve">…………………</w:t>
      </w:r>
      <w:r>
        <w:rPr>
          <w:rFonts w:hint="eastAsia" w:ascii="宋体" w:hAnsi="宋体"/>
          <w:color w:val="auto"/>
          <w:sz w:val="30"/>
          <w:highlight w:val="none"/>
        </w:rPr>
        <w:t xml:space="preserve">12</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13</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 七、定标…………………………………</w:t>
      </w:r>
      <w:r>
        <w:rPr>
          <w:rFonts w:ascii="宋体" w:hAnsi="宋体"/>
          <w:color w:val="auto"/>
          <w:sz w:val="30"/>
          <w:highlight w:val="none"/>
        </w:rPr>
        <w:t xml:space="preserve">……………………</w:t>
      </w:r>
      <w:r>
        <w:rPr>
          <w:rFonts w:hint="eastAsia" w:ascii="宋体" w:hAnsi="宋体"/>
          <w:color w:val="auto"/>
          <w:sz w:val="30"/>
          <w:highlight w:val="none"/>
        </w:rPr>
        <w:t xml:space="preserve">1</w:t>
      </w:r>
      <w:r>
        <w:rPr>
          <w:rFonts w:hint="eastAsia" w:ascii="宋体" w:hAnsi="宋体"/>
          <w:color w:val="auto"/>
          <w:sz w:val="30"/>
          <w:highlight w:val="none"/>
          <w:lang w:val="en-US" w:eastAsia="zh-CN"/>
        </w:rPr>
        <w:t xml:space="preserve">7</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3</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1</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4</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9</w:t>
      </w:r>
      <w:r/>
    </w:p>
    <w:p>
      <w:pPr>
        <w:pStyle w:val="1015"/>
        <w:ind w:firstLine="482"/>
        <w:rPr>
          <w:rFonts w:hint="eastAsia" w:ascii="宋体" w:hAnsi="宋体"/>
          <w:b/>
          <w:color w:val="auto"/>
          <w:sz w:val="48"/>
          <w:highlight w:val="none"/>
        </w:rPr>
      </w:pPr>
      <w:r>
        <w:rPr>
          <w:rFonts w:hint="eastAsia" w:ascii="宋体" w:hAnsi="宋体"/>
          <w:b/>
          <w:color w:val="auto"/>
          <w:sz w:val="48"/>
          <w:highlight w:val="none"/>
        </w:rPr>
      </w:r>
      <w:r/>
    </w:p>
    <w:p>
      <w:pPr>
        <w:rPr>
          <w:rFonts w:hint="eastAsia" w:ascii="宋体" w:hAnsi="宋体"/>
          <w:b/>
          <w:color w:val="auto"/>
          <w:sz w:val="48"/>
          <w:highlight w:val="none"/>
        </w:rPr>
      </w:pPr>
      <w:r>
        <w:rPr>
          <w:rFonts w:hint="eastAsia" w:ascii="宋体" w:hAnsi="宋体"/>
          <w:b/>
          <w:color w:val="auto"/>
          <w:sz w:val="48"/>
          <w:highlight w:val="none"/>
        </w:rPr>
      </w:r>
      <w:r/>
    </w:p>
    <w:p>
      <w:pPr>
        <w:rPr>
          <w:color w:val="auto"/>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color w:val="auto"/>
          <w:highlight w:val="none"/>
        </w:rPr>
      </w:r>
      <w:r/>
    </w:p>
    <w:p>
      <w:pPr>
        <w:pStyle w:val="821"/>
        <w:numPr>
          <w:ilvl w:val="0"/>
          <w:numId w:val="1"/>
        </w:numPr>
        <w:ind w:firstLine="2409"/>
        <w:spacing w:before="120" w:after="120" w:line="500" w:lineRule="exact"/>
        <w:rPr>
          <w:rFonts w:hint="eastAsia" w:hAnsi="宋体"/>
          <w:b/>
          <w:color w:val="auto"/>
          <w:sz w:val="48"/>
          <w:szCs w:val="24"/>
          <w:highlight w:val="none"/>
        </w:rPr>
        <w:outlineLvl w:val="0"/>
      </w:pPr>
      <w:r>
        <w:rPr>
          <w:rFonts w:hint="eastAsia" w:hAnsi="宋体"/>
          <w:b/>
          <w:color w:val="auto"/>
          <w:sz w:val="48"/>
          <w:szCs w:val="24"/>
          <w:highlight w:val="none"/>
        </w:rPr>
        <w:t xml:space="preserve"> 招标公告</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jc w:val="center"/>
        </w:trPr>
        <w:tc>
          <w:tcPr>
            <w:tcW w:w="9428" w:type="dxa"/>
            <w:textDirection w:val="lrTb"/>
            <w:noWrap/>
          </w:tcPr>
          <w:p>
            <w:pPr>
              <w:ind w:firstLine="482"/>
              <w:jc w:val="left"/>
              <w:spacing w:line="440" w:lineRule="exact"/>
              <w:widowControl/>
              <w:rPr>
                <w:rFonts w:hint="eastAsia" w:ascii="宋体" w:hAnsi="宋体"/>
                <w:b/>
                <w:bCs/>
                <w:color w:val="auto"/>
                <w:sz w:val="24"/>
                <w:highlight w:val="none"/>
              </w:rPr>
            </w:pPr>
            <w:r>
              <w:rPr>
                <w:rFonts w:ascii="宋体" w:hAnsi="宋体"/>
                <w:b/>
                <w:bCs/>
                <w:color w:val="auto"/>
                <w:sz w:val="24"/>
                <w:highlight w:val="none"/>
              </w:rPr>
              <w:t xml:space="preserve">项目概况</w:t>
            </w:r>
            <w:r/>
          </w:p>
          <w:p>
            <w:pPr>
              <w:ind w:firstLine="480"/>
              <w:jc w:val="left"/>
              <w:spacing w:line="440" w:lineRule="exact"/>
              <w:widowControl/>
              <w:rPr>
                <w:rFonts w:hint="eastAsia" w:ascii="宋体" w:hAnsi="宋体" w:cs="Arial"/>
                <w:bCs/>
                <w:color w:val="auto"/>
                <w:sz w:val="24"/>
                <w:szCs w:val="24"/>
                <w:highlight w:val="none"/>
              </w:rPr>
            </w:pPr>
            <w:r>
              <w:rPr>
                <w:rFonts w:hint="eastAsia" w:ascii="宋体" w:hAnsi="宋体"/>
                <w:color w:val="auto"/>
                <w:sz w:val="24"/>
                <w:highlight w:val="none"/>
              </w:rPr>
              <w:t xml:space="preserve">建湖县公安局2026年交安智能电子管控设备项目</w:t>
            </w:r>
            <w:r>
              <w:rPr>
                <w:rFonts w:hint="eastAsia" w:ascii="宋体" w:hAnsi="宋体"/>
                <w:color w:val="auto"/>
                <w:sz w:val="24"/>
                <w:highlight w:val="none"/>
                <w:lang w:eastAsia="zh-CN"/>
              </w:rPr>
              <w:t xml:space="preserve">JSZC-320925-CTGL-G2026-0003</w:t>
            </w:r>
            <w:r>
              <w:rPr>
                <w:rFonts w:hint="eastAsia" w:ascii="宋体" w:hAnsi="宋体"/>
                <w:color w:val="auto"/>
                <w:sz w:val="24"/>
                <w:highlight w:val="none"/>
              </w:rPr>
              <w:t xml:space="preserve">招标项目的潜在投标人应在“苏采云”系统内免费下载（投标人必须在苏采云系统中获取采购文件，方能参与政府采购项目）获取招标文件，并于2026-</w:t>
            </w:r>
            <w:r>
              <w:rPr>
                <w:rFonts w:hint="eastAsia" w:ascii="宋体" w:hAnsi="宋体"/>
                <w:color w:val="auto"/>
                <w:sz w:val="24"/>
                <w:highlight w:val="none"/>
                <w:lang w:val="en-US" w:eastAsia="zh-CN"/>
              </w:rPr>
              <w:t xml:space="preserve">07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:00（北京时间）前递交投标文件。</w:t>
            </w:r>
            <w:r/>
          </w:p>
        </w:tc>
      </w:tr>
    </w:tbl>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一、项目基本情况</w:t>
      </w:r>
      <w:r/>
    </w:p>
    <w:p>
      <w:pPr>
        <w:ind w:firstLine="480"/>
        <w:jc w:val="left"/>
        <w:spacing w:line="480" w:lineRule="exact"/>
        <w:widowControl/>
        <w:rPr>
          <w:rFonts w:hint="eastAsia" w:ascii="宋体" w:hAnsi="宋体" w:eastAsia="宋体" w:cs="Arial"/>
          <w:bCs/>
          <w:color w:val="auto"/>
          <w:sz w:val="24"/>
          <w:szCs w:val="24"/>
          <w:highlight w:val="none"/>
          <w:lang w:eastAsia="zh-CN"/>
        </w:rPr>
      </w:pPr>
      <w:r>
        <w:rPr>
          <w:rFonts w:hint="eastAsia" w:ascii="宋体" w:hAnsi="宋体" w:cs="Arial"/>
          <w:bCs/>
          <w:color w:val="auto"/>
          <w:sz w:val="24"/>
          <w:szCs w:val="24"/>
          <w:highlight w:val="none"/>
        </w:rPr>
        <w:t xml:space="preserve">项目编号：</w:t>
      </w:r>
      <w:r>
        <w:rPr>
          <w:rFonts w:hint="eastAsia" w:ascii="宋体" w:hAnsi="宋体" w:cs="Arial"/>
          <w:bCs/>
          <w:color w:val="auto"/>
          <w:sz w:val="24"/>
          <w:szCs w:val="24"/>
          <w:highlight w:val="none"/>
          <w:lang w:eastAsia="zh-CN"/>
        </w:rPr>
        <w:t xml:space="preserve">JSZC-320925-CTGL-G2026-0003</w:t>
      </w:r>
      <w:r/>
    </w:p>
    <w:p>
      <w:pPr>
        <w:ind w:firstLine="480"/>
        <w:jc w:val="left"/>
        <w:spacing w:line="480" w:lineRule="exact"/>
        <w:widowControl/>
        <w:rPr>
          <w:rFonts w:hint="eastAsia" w:ascii="宋体" w:hAnsi="宋体" w:cs="宋体"/>
          <w:color w:val="auto"/>
          <w:sz w:val="24"/>
          <w:highlight w:val="none"/>
        </w:rPr>
      </w:pPr>
      <w:r>
        <w:rPr>
          <w:rFonts w:hint="eastAsia" w:ascii="宋体" w:hAnsi="宋体" w:cs="Arial"/>
          <w:bCs/>
          <w:color w:val="auto"/>
          <w:sz w:val="24"/>
          <w:szCs w:val="24"/>
          <w:highlight w:val="none"/>
        </w:rPr>
        <w:t xml:space="preserve">项目名称：</w:t>
      </w:r>
      <w:r>
        <w:rPr>
          <w:rFonts w:hint="eastAsia" w:ascii="宋体" w:hAnsi="宋体" w:cs="宋体"/>
          <w:color w:val="auto"/>
          <w:sz w:val="24"/>
          <w:highlight w:val="none"/>
        </w:rPr>
        <w:t xml:space="preserve">建湖县公安局2026年交安智能电子管控设备项目</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预算金额：300.00万元</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最高限价（如有）：本项目最高限价为</w:t>
      </w:r>
      <w:r>
        <w:rPr>
          <w:rFonts w:hint="eastAsia" w:ascii="宋体" w:hAnsi="宋体" w:cs="Arial"/>
          <w:bCs/>
          <w:color w:val="auto"/>
          <w:sz w:val="24"/>
          <w:szCs w:val="24"/>
          <w:highlight w:val="none"/>
          <w:u w:val="single"/>
        </w:rPr>
        <w:t xml:space="preserve">300.00</w:t>
      </w:r>
      <w:r>
        <w:rPr>
          <w:rFonts w:hint="eastAsia" w:ascii="宋体" w:hAnsi="宋体" w:cs="Arial"/>
          <w:bCs/>
          <w:color w:val="auto"/>
          <w:sz w:val="24"/>
          <w:szCs w:val="24"/>
          <w:highlight w:val="none"/>
        </w:rPr>
        <w:t xml:space="preserve">万元，投标单位报价高于最高限价的作无效标处理。</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采购需求：建湖县公安局2026年交安智能电子管控设备采购，具体内容详见招标文件要求。</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合同履行期限：合同签订并接到采购人供货通知后45日历天内到货并安装调试完毕。</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质保期：三年。</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本项目（是/否）接受联合体投标：否。</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本项目（是/否）进口产品投标：不接受进口产品。</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二、申请人的资格要求</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2.上一年度的财务状况报告（成立不满一年不需提供）。</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3.依法缴纳税收和社会保障资金的相关材料。</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5.参加政府采购活动前3年内在经营活动中没有重大违法记录的书面声明。</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1.政策采购促进中小企业发展；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2.政府采购促进残疾人福利单位发展；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3.政府采购促进监狱和戒毒企业发展；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4.政府采购鼓励采购节能环保产品；</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6.政府采购鼓励优先采购节能产品、环境标志产品：严格执行政府采购关于支持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8.执行数据中心采购相关政策：若涉及到数据中心采购，应按照“关于印发《绿色数据中心政府采购需求标准（试行）》的通知（财库〔2023〕7号）”执行。</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（三）本项目特定资格要求：</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1.投标申请人应是中华人民共和国境内注册的供应商；</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w:t>
      </w:r>
      <w:r>
        <w:rPr>
          <w:rFonts w:hint="eastAsia" w:ascii="宋体" w:hAnsi="宋体" w:cs="Arial"/>
          <w:bCs/>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480" w:lineRule="exact"/>
        <w:widowControl/>
        <w:rPr>
          <w:color w:val="auto"/>
          <w:highlight w:val="none"/>
        </w:rPr>
      </w:pPr>
      <w:r>
        <w:rPr>
          <w:rFonts w:ascii="宋体" w:hAnsi="宋体" w:cs="Arial"/>
          <w:bCs/>
          <w:color w:val="auto"/>
          <w:sz w:val="24"/>
          <w:szCs w:val="24"/>
          <w:highlight w:val="none"/>
        </w:rPr>
        <w:t xml:space="preserve">3</w:t>
      </w:r>
      <w:r>
        <w:rPr>
          <w:rFonts w:hint="eastAsia" w:ascii="宋体" w:hAnsi="宋体" w:cs="Arial"/>
          <w:bCs/>
          <w:color w:val="auto"/>
          <w:sz w:val="24"/>
          <w:szCs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方式：本项目采用网上注册登记方式</w:t>
      </w:r>
      <w:r/>
    </w:p>
    <w:p>
      <w:pPr>
        <w:ind w:firstLine="480"/>
        <w:jc w:val="left"/>
        <w:spacing w:line="480" w:lineRule="exact"/>
        <w:widowControl/>
        <w:rPr>
          <w:rFonts w:hint="eastAsia" w:ascii="宋体" w:hAnsi="宋体"/>
          <w:b/>
          <w:bCs/>
          <w:color w:val="auto"/>
          <w:sz w:val="24"/>
          <w:highlight w:val="none"/>
        </w:rPr>
      </w:pPr>
      <w:r>
        <w:rPr>
          <w:rFonts w:hint="eastAsia" w:ascii="宋体" w:hAnsi="宋体" w:cs="宋体"/>
          <w:color w:val="auto"/>
          <w:sz w:val="24"/>
          <w:szCs w:val="24"/>
          <w:highlight w:val="none"/>
        </w:rPr>
        <w:t xml:space="preserve">售价：0.00元</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四、提交投标</w:t>
      </w:r>
      <w:r>
        <w:rPr>
          <w:rFonts w:ascii="宋体" w:hAnsi="宋体" w:cs="宋体"/>
          <w:b/>
          <w:bCs/>
          <w:color w:val="auto"/>
          <w:sz w:val="24"/>
          <w:highlight w:val="none"/>
        </w:rPr>
        <w:t xml:space="preserve">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2026-0</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17</w:t>
      </w:r>
      <w:r>
        <w:rPr>
          <w:rFonts w:hint="eastAsia" w:ascii="宋体" w:hAnsi="宋体"/>
          <w:bCs/>
          <w:color w:val="auto"/>
          <w:sz w:val="24"/>
          <w:highlight w:val="none"/>
        </w:rPr>
        <w:t xml:space="preserve"> 09:00 （北京时间）</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地点：“苏采云”政府采购交易系统网上开标大厅</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五</w:t>
      </w:r>
      <w:r>
        <w:rPr>
          <w:rFonts w:ascii="宋体" w:hAnsi="宋体" w:cs="宋体"/>
          <w:b/>
          <w:bCs/>
          <w:color w:val="auto"/>
          <w:sz w:val="24"/>
          <w:highlight w:val="none"/>
        </w:rPr>
        <w:t xml:space="preserve">、公告期限</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自</w:t>
      </w:r>
      <w:r>
        <w:rPr>
          <w:rFonts w:ascii="宋体" w:hAnsi="宋体" w:cs="宋体"/>
          <w:bCs/>
          <w:color w:val="auto"/>
          <w:sz w:val="24"/>
          <w:highlight w:val="none"/>
        </w:rPr>
        <w:t xml:space="preserve">本公告发布之日起</w:t>
      </w:r>
      <w:r>
        <w:rPr>
          <w:rFonts w:hint="eastAsia" w:ascii="宋体" w:hAnsi="宋体" w:cs="宋体"/>
          <w:bCs/>
          <w:color w:val="auto"/>
          <w:sz w:val="24"/>
          <w:highlight w:val="none"/>
        </w:rPr>
        <w:t xml:space="preserve">5个</w:t>
      </w:r>
      <w:r>
        <w:rPr>
          <w:rFonts w:ascii="宋体" w:hAnsi="宋体" w:cs="宋体"/>
          <w:bCs/>
          <w:color w:val="auto"/>
          <w:sz w:val="24"/>
          <w:highlight w:val="none"/>
        </w:rPr>
        <w:t xml:space="preserve">工作日</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w:t>
      </w:r>
      <w:r>
        <w:rPr>
          <w:rFonts w:ascii="宋体" w:hAnsi="宋体" w:cs="宋体"/>
          <w:b/>
          <w:bCs/>
          <w:color w:val="auto"/>
          <w:sz w:val="24"/>
          <w:highlight w:val="none"/>
        </w:rPr>
        <w:t xml:space="preserve">、其他补充事宜</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1.招标文件获取方式：本项目采用网上注册登记方式。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1.1潜在供应商访问电子招标响应交易平台的网络地址和方法：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1.2潜在投标人访问“苏采云”系统的网络地址和方法：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1.3“CA数字证书”的获取：</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color w:val="auto"/>
          <w:spacing w:val="-4"/>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color w:val="auto"/>
          <w:sz w:val="24"/>
          <w:highlight w:val="none"/>
        </w:rPr>
        <w:t xml:space="preserve">3. 投标人如在投标过程中存在以下行为，将被列入不良行为记录名单。</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3.2投标人递交无竞争力投标文件的。</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5.因供应商的系统环境、操作等原因导致报名、开评标过程中出现问题由供应商自行承担负责。</w:t>
      </w:r>
      <w:r/>
    </w:p>
    <w:p>
      <w:pPr>
        <w:ind w:firstLine="480"/>
        <w:jc w:val="left"/>
        <w:spacing w:line="480" w:lineRule="exact"/>
        <w:widowControl/>
        <w:rPr>
          <w:rFonts w:hint="eastAsia" w:ascii="宋体" w:hAnsi="宋体" w:cs="宋体"/>
          <w:b/>
          <w:bCs/>
          <w:color w:val="auto"/>
          <w:sz w:val="24"/>
          <w:highlight w:val="none"/>
        </w:rPr>
      </w:pPr>
      <w:r>
        <w:rPr>
          <w:rFonts w:hint="eastAsia" w:ascii="宋体" w:hAnsi="宋体" w:cs="宋体"/>
          <w:color w:val="auto"/>
          <w:sz w:val="24"/>
          <w:szCs w:val="22"/>
          <w:highlight w:val="none"/>
        </w:rPr>
        <w:t xml:space="preserve">6. 除单一来源采购项目外，为采购项目提供整体设计、规范编制或者项目管理、监理、检测等服务的供应商，不得再参加该采购项目的其他采购活动。</w:t>
      </w:r>
      <w:r/>
    </w:p>
    <w:p>
      <w:pPr>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名称：建湖县公安局</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地址：建湖县公安路1号</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联系电话：15862028248</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2.采购代理机构信息（如有）</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单位名称：江苏辰通项目管理有限公司</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单位地址：建湖县秀夫南路1699-9号</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联系人：王明权</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联系电话：15751125691</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项目联系人：王明权</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电话：15751125691</w:t>
      </w:r>
      <w:r/>
    </w:p>
    <w:p>
      <w:pPr>
        <w:ind w:right="360" w:firstLine="480"/>
        <w:jc w:val="righ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46"/>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46"/>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46"/>
        <w:rPr>
          <w:color w:val="auto"/>
          <w:highlight w:val="none"/>
        </w:rPr>
      </w:pPr>
      <w:r>
        <w:rPr>
          <w:color w:val="auto"/>
          <w:highlight w:val="none"/>
        </w:rPr>
      </w:r>
      <w:r/>
    </w:p>
    <w:p>
      <w:pPr>
        <w:jc w:val="center"/>
        <w:rPr>
          <w:rFonts w:hint="eastAsia" w:ascii="黑体" w:hAnsi="黑体" w:eastAsia="黑体" w:cs="黑体"/>
          <w:b/>
          <w:color w:val="auto"/>
          <w:sz w:val="40"/>
          <w:szCs w:val="40"/>
          <w:highlight w:val="none"/>
        </w:rPr>
      </w:pPr>
      <w:r>
        <w:rPr>
          <w:rFonts w:hint="eastAsia" w:ascii="宋体" w:hAnsi="宋体" w:cs="宋体"/>
          <w:b/>
          <w:color w:val="auto"/>
          <w:sz w:val="44"/>
          <w:szCs w:val="44"/>
          <w:highlight w:val="none"/>
        </w:rPr>
        <w:t xml:space="preserve">第二章  投标须知</w:t>
      </w:r>
      <w:r/>
    </w:p>
    <w:p>
      <w:pPr>
        <w:ind w:left="238"/>
        <w:jc w:val="center"/>
        <w:spacing w:before="161" w:after="161" w:line="400" w:lineRule="exact"/>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t xml:space="preserve">一、投标须知前附表</w:t>
      </w:r>
      <w:r/>
    </w:p>
    <w:tbl>
      <w:tblPr>
        <w:tblStyle w:val="811"/>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90"/>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项目名称</w:t>
            </w:r>
            <w:r/>
          </w:p>
        </w:tc>
        <w:tc>
          <w:tcPr>
            <w:gridSpan w:val="3"/>
            <w:tcW w:w="7965" w:type="dxa"/>
            <w:vAlign w:val="center"/>
            <w:textDirection w:val="lrTb"/>
            <w:noWrap/>
          </w:tcPr>
          <w:p>
            <w:pPr>
              <w:ind w:firstLine="1680"/>
              <w:jc w:val="left"/>
              <w:spacing w:line="320" w:lineRule="exact"/>
              <w:widowControl/>
              <w:rPr>
                <w:rFonts w:hint="eastAsia" w:cs="宋体" w:asciiTheme="minorEastAsia" w:hAnsiTheme="minorEastAsia" w:eastAsiaTheme="minorEastAsia"/>
                <w:bCs/>
                <w:color w:val="auto"/>
                <w:sz w:val="20"/>
                <w:highlight w:val="none"/>
              </w:rPr>
            </w:pPr>
            <w:r>
              <w:rPr>
                <w:rFonts w:hint="eastAsia" w:cs="宋体" w:asciiTheme="minorEastAsia" w:hAnsiTheme="minorEastAsia" w:eastAsiaTheme="minorEastAsia"/>
                <w:color w:val="auto"/>
                <w:sz w:val="20"/>
                <w:highlight w:val="none"/>
              </w:rPr>
              <w:t xml:space="preserve">建湖县公安局2026年交安智能电子管控设备项目</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采购需求</w:t>
            </w:r>
            <w:r/>
          </w:p>
        </w:tc>
        <w:tc>
          <w:tcPr>
            <w:gridSpan w:val="3"/>
            <w:tcW w:w="7965" w:type="dxa"/>
            <w:vAlign w:val="center"/>
            <w:textDirection w:val="lrTb"/>
            <w:noWrap/>
          </w:tcPr>
          <w:p>
            <w:pPr>
              <w:ind w:firstLine="480"/>
              <w:jc w:val="center"/>
              <w:spacing w:line="320" w:lineRule="exact"/>
              <w:tabs>
                <w:tab w:val="left" w:pos="900" w:leader="none"/>
              </w:tabs>
              <w:rPr>
                <w:rFonts w:hint="eastAsia" w:cs="宋体"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项目地点</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color w:val="auto"/>
                <w:spacing w:val="14"/>
                <w:sz w:val="20"/>
                <w:highlight w:val="none"/>
                <w:shd w:val="clear" w:color="auto" w:fill="ffffff"/>
              </w:rPr>
            </w:pPr>
            <w:r>
              <w:rPr>
                <w:rFonts w:hint="eastAsia" w:asciiTheme="minorEastAsia" w:hAnsiTheme="minorEastAsia" w:eastAsiaTheme="minorEastAsia"/>
                <w:bCs/>
                <w:color w:val="auto"/>
                <w:spacing w:val="14"/>
                <w:sz w:val="20"/>
                <w:highlight w:val="none"/>
                <w:shd w:val="clear" w:color="auto" w:fill="ffffff"/>
              </w:rPr>
              <w:t xml:space="preserve">采购人指定地点</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标段划分</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一个标段</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采购单位联系人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宋体" w:hAnsi="宋体" w:eastAsia="宋体"/>
                <w:bCs/>
                <w:color w:val="auto"/>
                <w:sz w:val="20"/>
                <w:szCs w:val="20"/>
                <w:highlight w:val="none"/>
                <w:lang w:val="en-US" w:eastAsia="zh-CN"/>
              </w:rPr>
              <w:t xml:space="preserve">于</w:t>
            </w:r>
            <w:r>
              <w:rPr>
                <w:rFonts w:hint="eastAsia" w:ascii="宋体" w:hAnsi="宋体" w:eastAsia="宋体"/>
                <w:bCs/>
                <w:color w:val="auto"/>
                <w:sz w:val="20"/>
                <w:szCs w:val="20"/>
                <w:highlight w:val="none"/>
              </w:rPr>
              <w:t xml:space="preserve">先生</w:t>
            </w:r>
            <w:r/>
          </w:p>
        </w:tc>
        <w:tc>
          <w:tcPr>
            <w:tcW w:w="162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15862028248</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代理机构联系人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王先生</w:t>
            </w:r>
            <w:r/>
          </w:p>
        </w:tc>
        <w:tc>
          <w:tcPr>
            <w:tcW w:w="162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13401754148</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投标保证金</w:t>
            </w:r>
            <w:r/>
          </w:p>
        </w:tc>
        <w:tc>
          <w:tcPr>
            <w:gridSpan w:val="3"/>
            <w:tcW w:w="7965" w:type="dxa"/>
            <w:vAlign w:val="center"/>
            <w:textDirection w:val="lrTb"/>
            <w:noWrap/>
          </w:tcPr>
          <w:p>
            <w:pPr>
              <w:ind w:firstLine="241"/>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
                <w:bCs/>
                <w:color w:val="auto"/>
                <w:sz w:val="20"/>
                <w:highlight w:val="none"/>
              </w:rPr>
              <w:t xml:space="preserve">为贯彻落实苏财购[2020]52号文件精神，该项目投标人可免交投标保证金。</w:t>
            </w:r>
            <w:r/>
          </w:p>
        </w:tc>
      </w:tr>
      <w:tr>
        <w:trPr>
          <w:trHeight w:val="2140"/>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履约保证金</w:t>
            </w:r>
            <w:r/>
          </w:p>
        </w:tc>
        <w:tc>
          <w:tcPr>
            <w:gridSpan w:val="3"/>
            <w:tcW w:w="7965" w:type="dxa"/>
            <w:vAlign w:val="center"/>
            <w:textDirection w:val="lrTb"/>
            <w:noWrap/>
          </w:tcPr>
          <w:p>
            <w:pPr>
              <w:ind w:firstLine="480"/>
              <w:jc w:val="left"/>
              <w:spacing w:line="320" w:lineRule="exact"/>
              <w:widowControl/>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color w:val="auto"/>
                <w:sz w:val="20"/>
                <w:highlight w:val="none"/>
              </w:rPr>
              <w:t xml:space="preserve">中标单位在签订合同前，须向采购人交纳中标价5%的履约保证金，</w:t>
            </w:r>
            <w:r>
              <w:rPr>
                <w:rFonts w:hint="eastAsia" w:asciiTheme="minorEastAsia" w:hAnsiTheme="minorEastAsia" w:eastAsiaTheme="minorEastAsia"/>
                <w:color w:val="auto"/>
                <w:sz w:val="20"/>
                <w:highlight w:val="none"/>
              </w:rPr>
              <w:t xml:space="preserve">于</w:t>
            </w:r>
            <w:r>
              <w:rPr>
                <w:rFonts w:hint="eastAsia" w:cs="Arial" w:asciiTheme="minorEastAsia" w:hAnsiTheme="minorEastAsia" w:eastAsiaTheme="minorEastAsia"/>
                <w:bCs/>
                <w:color w:val="auto"/>
                <w:sz w:val="20"/>
                <w:highlight w:val="none"/>
              </w:rPr>
              <w:t xml:space="preserve">项目安装、调试、验收并交付采购人使用后</w:t>
            </w:r>
            <w:r>
              <w:rPr>
                <w:rFonts w:hint="eastAsia" w:asciiTheme="minorEastAsia" w:hAnsiTheme="minorEastAsia" w:eastAsiaTheme="minorEastAsia"/>
                <w:color w:val="auto"/>
                <w:sz w:val="20"/>
                <w:highlight w:val="none"/>
              </w:rPr>
              <w:t xml:space="preserve">退还</w:t>
            </w:r>
            <w:r>
              <w:rPr>
                <w:rFonts w:hint="eastAsia" w:cs="宋体" w:asciiTheme="minorEastAsia" w:hAnsiTheme="minorEastAsia" w:eastAsiaTheme="minorEastAsia"/>
                <w:color w:val="auto"/>
                <w:sz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cs="宋体" w:asciiTheme="minorEastAsia" w:hAnsiTheme="minorEastAsia" w:eastAsiaTheme="minorEastAsia"/>
                <w:b/>
                <w:bCs/>
                <w:color w:val="auto"/>
                <w:sz w:val="20"/>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417"/>
        </w:trPr>
        <w:tc>
          <w:tcPr>
            <w:tcW w:w="2183" w:type="dxa"/>
            <w:vAlign w:val="center"/>
            <w:textDirection w:val="lrTb"/>
            <w:noWrap/>
          </w:tcPr>
          <w:p>
            <w:pPr>
              <w:jc w:val="center"/>
              <w:spacing w:line="320" w:lineRule="exact"/>
              <w:rPr>
                <w:rFonts w:hint="eastAsia" w:cs="Arial"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供货期</w:t>
            </w:r>
            <w:r/>
          </w:p>
        </w:tc>
        <w:tc>
          <w:tcPr>
            <w:gridSpan w:val="3"/>
            <w:tcW w:w="7965" w:type="dxa"/>
            <w:vAlign w:val="center"/>
            <w:textDirection w:val="lrTb"/>
            <w:noWrap/>
          </w:tcPr>
          <w:p>
            <w:pPr>
              <w:jc w:val="cente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281"/>
        </w:trPr>
        <w:tc>
          <w:tcPr>
            <w:tcW w:w="2183" w:type="dxa"/>
            <w:vAlign w:val="center"/>
            <w:textDirection w:val="lrTb"/>
            <w:noWrap/>
          </w:tcPr>
          <w:p>
            <w:pPr>
              <w:jc w:val="center"/>
              <w:spacing w:line="320" w:lineRule="exact"/>
              <w:rPr>
                <w:rFonts w:hint="eastAsia" w:cs="Arial"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质保期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406" w:hRule="exact"/>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投标有效期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color w:val="auto"/>
                <w:sz w:val="20"/>
                <w:highlight w:val="none"/>
              </w:rPr>
              <w:t xml:space="preserve">投标截止日起</w:t>
            </w:r>
            <w:r>
              <w:rPr>
                <w:rFonts w:hint="eastAsia" w:asciiTheme="minorEastAsia" w:hAnsiTheme="minorEastAsia" w:eastAsiaTheme="minorEastAsia"/>
                <w:color w:val="auto"/>
                <w:sz w:val="20"/>
                <w:highlight w:val="none"/>
                <w:u w:val="single"/>
              </w:rPr>
              <w:t xml:space="preserve"> 60 </w:t>
            </w:r>
            <w:r>
              <w:rPr>
                <w:rFonts w:hint="eastAsia" w:asciiTheme="minorEastAsia" w:hAnsiTheme="minorEastAsia" w:eastAsiaTheme="minorEastAsia"/>
                <w:color w:val="auto"/>
                <w:sz w:val="20"/>
                <w:highlight w:val="none"/>
              </w:rPr>
              <w:t xml:space="preserve">天（日历天）</w:t>
            </w:r>
            <w:r/>
          </w:p>
        </w:tc>
      </w:tr>
      <w:tr>
        <w:trPr>
          <w:trHeight w:val="392"/>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投标截止时间</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cs="宋体" w:asciiTheme="minorEastAsia" w:hAnsiTheme="minorEastAsia" w:eastAsiaTheme="minorEastAsia"/>
                <w:b/>
                <w:bCs/>
                <w:color w:val="auto"/>
                <w:sz w:val="20"/>
                <w:highlight w:val="none"/>
              </w:rPr>
              <w:t xml:space="preserve">时间:2026年0</w:t>
            </w:r>
            <w:r>
              <w:rPr>
                <w:rFonts w:hint="eastAsia" w:cs="宋体" w:asciiTheme="minorEastAsia" w:hAnsiTheme="minorEastAsia" w:eastAsiaTheme="minorEastAsia"/>
                <w:b/>
                <w:bCs/>
                <w:color w:val="auto"/>
                <w:sz w:val="20"/>
                <w:highlight w:val="none"/>
                <w:lang w:val="en-US" w:eastAsia="zh-CN"/>
              </w:rPr>
              <w:t xml:space="preserve">7</w:t>
            </w:r>
            <w:r>
              <w:rPr>
                <w:rFonts w:hint="eastAsia" w:cs="宋体" w:asciiTheme="minorEastAsia" w:hAnsiTheme="minorEastAsia" w:eastAsiaTheme="minorEastAsia"/>
                <w:b/>
                <w:bCs/>
                <w:color w:val="auto"/>
                <w:sz w:val="20"/>
                <w:highlight w:val="none"/>
              </w:rPr>
              <w:t xml:space="preserve">月</w:t>
            </w:r>
            <w:r>
              <w:rPr>
                <w:rFonts w:hint="eastAsia" w:cs="宋体" w:asciiTheme="minorEastAsia" w:hAnsiTheme="minorEastAsia" w:eastAsiaTheme="minorEastAsia"/>
                <w:b/>
                <w:bCs/>
                <w:color w:val="auto"/>
                <w:sz w:val="20"/>
                <w:highlight w:val="none"/>
                <w:lang w:val="en-US" w:eastAsia="zh-CN"/>
              </w:rPr>
              <w:t xml:space="preserve">17</w:t>
            </w:r>
            <w:r>
              <w:rPr>
                <w:rFonts w:hint="eastAsia" w:cs="宋体" w:asciiTheme="minorEastAsia" w:hAnsiTheme="minorEastAsia" w:eastAsiaTheme="minorEastAsia"/>
                <w:b/>
                <w:bCs/>
                <w:color w:val="auto"/>
                <w:sz w:val="20"/>
                <w:highlight w:val="none"/>
              </w:rPr>
              <w:t xml:space="preserve">日</w:t>
            </w:r>
            <w:r>
              <w:rPr>
                <w:rFonts w:hint="eastAsia" w:cs="宋体" w:asciiTheme="minorEastAsia" w:hAnsiTheme="minorEastAsia" w:eastAsiaTheme="minorEastAsia"/>
                <w:b/>
                <w:bCs/>
                <w:color w:val="auto"/>
                <w:sz w:val="20"/>
                <w:highlight w:val="none"/>
                <w:lang w:val="en-US" w:eastAsia="zh-CN"/>
              </w:rPr>
              <w:t xml:space="preserve">15</w:t>
            </w:r>
            <w:r>
              <w:rPr>
                <w:rFonts w:hint="eastAsia" w:cs="宋体" w:asciiTheme="minorEastAsia" w:hAnsiTheme="minorEastAsia" w:eastAsiaTheme="minorEastAsia"/>
                <w:b/>
                <w:bCs/>
                <w:color w:val="auto"/>
                <w:sz w:val="20"/>
                <w:highlight w:val="none"/>
              </w:rPr>
              <w:t xml:space="preserve">时00分 </w:t>
            </w:r>
            <w:r/>
          </w:p>
        </w:tc>
      </w:tr>
      <w:tr>
        <w:trPr>
          <w:trHeight w:val="56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开标时间及地点</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b/>
                <w:bCs/>
                <w:color w:val="auto"/>
                <w:sz w:val="20"/>
                <w:highlight w:val="none"/>
              </w:rPr>
              <w:t xml:space="preserve">时间:2026年0</w:t>
            </w:r>
            <w:r>
              <w:rPr>
                <w:rFonts w:hint="eastAsia" w:cs="宋体" w:asciiTheme="minorEastAsia" w:hAnsiTheme="minorEastAsia" w:eastAsiaTheme="minorEastAsia"/>
                <w:b/>
                <w:bCs/>
                <w:color w:val="auto"/>
                <w:sz w:val="20"/>
                <w:highlight w:val="none"/>
                <w:lang w:val="en-US" w:eastAsia="zh-CN"/>
              </w:rPr>
              <w:t xml:space="preserve">7</w:t>
            </w:r>
            <w:r>
              <w:rPr>
                <w:rFonts w:hint="eastAsia" w:cs="宋体" w:asciiTheme="minorEastAsia" w:hAnsiTheme="minorEastAsia" w:eastAsiaTheme="minorEastAsia"/>
                <w:b/>
                <w:bCs/>
                <w:color w:val="auto"/>
                <w:sz w:val="20"/>
                <w:highlight w:val="none"/>
              </w:rPr>
              <w:t xml:space="preserve">月</w:t>
            </w:r>
            <w:r>
              <w:rPr>
                <w:rFonts w:hint="eastAsia" w:cs="宋体" w:asciiTheme="minorEastAsia" w:hAnsiTheme="minorEastAsia" w:eastAsiaTheme="minorEastAsia"/>
                <w:b/>
                <w:bCs/>
                <w:color w:val="auto"/>
                <w:sz w:val="20"/>
                <w:highlight w:val="none"/>
                <w:lang w:val="en-US" w:eastAsia="zh-CN"/>
              </w:rPr>
              <w:t xml:space="preserve">17</w:t>
            </w:r>
            <w:r>
              <w:rPr>
                <w:rFonts w:hint="eastAsia" w:cs="宋体" w:asciiTheme="minorEastAsia" w:hAnsiTheme="minorEastAsia" w:eastAsiaTheme="minorEastAsia"/>
                <w:b/>
                <w:bCs/>
                <w:color w:val="auto"/>
                <w:sz w:val="20"/>
                <w:highlight w:val="none"/>
              </w:rPr>
              <w:t xml:space="preserve">日</w:t>
            </w:r>
            <w:r>
              <w:rPr>
                <w:rFonts w:hint="eastAsia" w:cs="宋体" w:asciiTheme="minorEastAsia" w:hAnsiTheme="minorEastAsia" w:eastAsiaTheme="minorEastAsia"/>
                <w:b/>
                <w:bCs/>
                <w:color w:val="auto"/>
                <w:sz w:val="20"/>
                <w:highlight w:val="none"/>
                <w:lang w:val="en-US" w:eastAsia="zh-CN"/>
              </w:rPr>
              <w:t xml:space="preserve">15</w:t>
            </w:r>
            <w:r>
              <w:rPr>
                <w:rFonts w:hint="eastAsia" w:cs="宋体" w:asciiTheme="minorEastAsia" w:hAnsiTheme="minorEastAsia" w:eastAsiaTheme="minorEastAsia"/>
                <w:b/>
                <w:bCs/>
                <w:color w:val="auto"/>
                <w:sz w:val="20"/>
                <w:highlight w:val="none"/>
              </w:rPr>
              <w:t xml:space="preserve">时00分  </w:t>
            </w:r>
            <w:r>
              <w:rPr>
                <w:rFonts w:hint="eastAsia" w:cs="宋体" w:asciiTheme="minorEastAsia" w:hAnsiTheme="minorEastAsia" w:eastAsiaTheme="minorEastAsia"/>
                <w:color w:val="auto"/>
                <w:sz w:val="20"/>
                <w:highlight w:val="none"/>
              </w:rPr>
              <w:t xml:space="preserve"> </w:t>
            </w:r>
            <w:r/>
          </w:p>
          <w:p>
            <w:pPr>
              <w:jc w:val="center"/>
              <w:spacing w:line="320" w:lineRule="exact"/>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color w:val="auto"/>
                <w:sz w:val="20"/>
                <w:highlight w:val="none"/>
              </w:rPr>
              <w:t xml:space="preserve">地点:</w:t>
            </w:r>
            <w:r>
              <w:rPr>
                <w:rFonts w:hint="eastAsia" w:asciiTheme="minorEastAsia" w:hAnsiTheme="minorEastAsia" w:eastAsiaTheme="minorEastAsia"/>
                <w:bCs/>
                <w:color w:val="auto"/>
                <w:sz w:val="20"/>
                <w:highlight w:val="none"/>
              </w:rPr>
              <w:t xml:space="preserve">建湖县公共资源交易中心不见面开标厅</w:t>
            </w:r>
            <w:r/>
          </w:p>
        </w:tc>
      </w:tr>
      <w:tr>
        <w:trPr>
          <w:trHeight w:val="888"/>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投标文件</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b/>
                <w:color w:val="auto"/>
                <w:sz w:val="20"/>
                <w:highlight w:val="none"/>
              </w:rPr>
            </w:pPr>
            <w:r>
              <w:rPr>
                <w:rFonts w:hint="eastAsia" w:asciiTheme="minorEastAsia" w:hAnsiTheme="minorEastAsia" w:eastAsiaTheme="minorEastAsia"/>
                <w:b/>
                <w:bCs/>
                <w:color w:val="auto"/>
                <w:sz w:val="20"/>
                <w:highlight w:val="none"/>
              </w:rPr>
              <w:t xml:space="preserve">电子投标文件一份</w:t>
            </w:r>
            <w:r>
              <w:rPr>
                <w:rFonts w:asciiTheme="minorEastAsia" w:hAnsiTheme="minorEastAsia" w:eastAsiaTheme="minorEastAsia"/>
                <w:b/>
                <w:bCs/>
                <w:color w:val="auto"/>
                <w:sz w:val="20"/>
                <w:highlight w:val="none"/>
              </w:rPr>
              <w:t xml:space="preserve">(通过系统提交)；纸质投标文件正本一份，副本</w:t>
            </w:r>
            <w:r>
              <w:rPr>
                <w:rFonts w:hint="eastAsia" w:asciiTheme="minorEastAsia" w:hAnsiTheme="minorEastAsia" w:eastAsiaTheme="minorEastAsia"/>
                <w:b/>
                <w:bCs/>
                <w:color w:val="auto"/>
                <w:sz w:val="20"/>
                <w:highlight w:val="none"/>
              </w:rPr>
              <w:t xml:space="preserve">贰</w:t>
            </w:r>
            <w:r>
              <w:rPr>
                <w:rFonts w:asciiTheme="minorEastAsia" w:hAnsiTheme="minorEastAsia" w:eastAsiaTheme="minorEastAsia"/>
                <w:b/>
                <w:bCs/>
                <w:color w:val="auto"/>
                <w:sz w:val="20"/>
                <w:highlight w:val="none"/>
              </w:rPr>
              <w:t xml:space="preserve">份（评审结束后由中标人邮寄至</w:t>
            </w:r>
            <w:r>
              <w:rPr>
                <w:rFonts w:hint="eastAsia" w:asciiTheme="minorEastAsia" w:hAnsiTheme="minorEastAsia" w:eastAsiaTheme="minorEastAsia"/>
                <w:b/>
                <w:bCs/>
                <w:color w:val="auto"/>
                <w:sz w:val="20"/>
                <w:highlight w:val="none"/>
              </w:rPr>
              <w:t xml:space="preserve">江苏辰通项目管理有限公司</w:t>
            </w:r>
            <w:r>
              <w:rPr>
                <w:rFonts w:asciiTheme="minorEastAsia" w:hAnsiTheme="minorEastAsia" w:eastAsiaTheme="minorEastAsia"/>
                <w:b/>
                <w:bCs/>
                <w:color w:val="auto"/>
                <w:sz w:val="20"/>
                <w:highlight w:val="none"/>
              </w:rPr>
              <w:t xml:space="preserve">，未中标单位不需要提供）。</w:t>
            </w:r>
            <w:r/>
          </w:p>
        </w:tc>
      </w:tr>
      <w:tr>
        <w:trPr>
          <w:trHeight w:val="27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采购预算</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本项目最高限价为300.00万元，投标单位报价高于最高限价的作无效标处理。</w:t>
            </w:r>
            <w:r/>
          </w:p>
        </w:tc>
      </w:tr>
      <w:tr>
        <w:trPr>
          <w:trHeight w:val="226"/>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评标办法</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综合评分法</w:t>
            </w:r>
            <w:r/>
          </w:p>
        </w:tc>
      </w:tr>
      <w:tr>
        <w:trPr>
          <w:trHeight w:val="613"/>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其他要求</w:t>
            </w:r>
            <w:r/>
          </w:p>
        </w:tc>
        <w:tc>
          <w:tcPr>
            <w:gridSpan w:val="3"/>
            <w:tcW w:w="7965" w:type="dxa"/>
            <w:vAlign w:val="center"/>
            <w:textDirection w:val="lrTb"/>
            <w:noWrap/>
          </w:tcPr>
          <w:p>
            <w:pPr>
              <w:spacing w:line="320" w:lineRule="exact"/>
              <w:rPr>
                <w:rFonts w:hint="eastAsia" w:cs="宋体" w:asciiTheme="minorEastAsia" w:hAnsiTheme="minorEastAsia" w:eastAsiaTheme="minorEastAsia"/>
                <w:b/>
                <w:color w:val="auto"/>
                <w:spacing w:val="-2"/>
                <w:sz w:val="20"/>
                <w:highlight w:val="none"/>
              </w:rPr>
            </w:pPr>
            <w:r>
              <w:rPr>
                <w:rFonts w:hint="eastAsia" w:cs="宋体" w:asciiTheme="minorEastAsia" w:hAnsiTheme="minorEastAsia" w:eastAsiaTheme="minorEastAsia"/>
                <w:b/>
                <w:bCs/>
                <w:color w:val="auto"/>
                <w:sz w:val="20"/>
                <w:highlight w:val="none"/>
              </w:rPr>
              <w:t xml:space="preserve">投标人如在投标过程中提供虚假材料谋取中标成交的或采取不正当手段诋毁、排挤其他供应商的,列入不良行为记录名单。</w:t>
            </w:r>
            <w:r/>
          </w:p>
        </w:tc>
      </w:tr>
      <w:tr>
        <w:trPr>
          <w:trHeight w:val="395"/>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解释权</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本采购文件的最终解释权归采购单位所有。</w:t>
            </w:r>
            <w:r/>
          </w:p>
        </w:tc>
      </w:tr>
      <w:tr>
        <w:trPr>
          <w:trHeight w:val="100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质疑</w:t>
            </w:r>
            <w:r>
              <w:rPr>
                <w:rFonts w:asciiTheme="minorEastAsia" w:hAnsiTheme="minorEastAsia" w:eastAsiaTheme="minorEastAsia"/>
                <w:bCs/>
                <w:color w:val="auto"/>
                <w:sz w:val="20"/>
                <w:highlight w:val="none"/>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联系部门：建湖县公安局/江苏辰通项目管理有限公司</w:t>
            </w:r>
            <w:r/>
          </w:p>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联系电话：</w:t>
            </w:r>
            <w:r>
              <w:rPr>
                <w:rFonts w:hint="eastAsia" w:asciiTheme="minorEastAsia" w:hAnsiTheme="minorEastAsia" w:eastAsiaTheme="minorEastAsia"/>
                <w:bCs/>
                <w:color w:val="auto"/>
                <w:sz w:val="20"/>
                <w:highlight w:val="none"/>
              </w:rPr>
              <w:t xml:space="preserve">15862028248</w:t>
            </w:r>
            <w:r>
              <w:rPr>
                <w:rFonts w:hint="eastAsia" w:cs="Arial" w:asciiTheme="minorEastAsia" w:hAnsiTheme="minorEastAsia" w:eastAsiaTheme="minorEastAsia"/>
                <w:color w:val="auto"/>
                <w:sz w:val="20"/>
                <w:highlight w:val="none"/>
              </w:rPr>
              <w:t xml:space="preserve">/13401754148</w:t>
            </w:r>
            <w:r/>
          </w:p>
          <w:p>
            <w:pPr>
              <w:spacing w:line="320" w:lineRule="exact"/>
              <w:rPr>
                <w:rFonts w:hint="eastAsia" w:asciiTheme="minorEastAsia" w:hAnsiTheme="minorEastAsia" w:eastAsiaTheme="minorEastAsia"/>
                <w:b/>
                <w:bCs/>
                <w:color w:val="auto"/>
                <w:sz w:val="20"/>
                <w:highlight w:val="none"/>
              </w:rPr>
            </w:pPr>
            <w:r>
              <w:rPr>
                <w:rFonts w:hint="eastAsia" w:cs="Arial" w:asciiTheme="minorEastAsia" w:hAnsiTheme="minorEastAsia" w:eastAsiaTheme="minorEastAsia"/>
                <w:color w:val="auto"/>
                <w:sz w:val="20"/>
                <w:highlight w:val="none"/>
              </w:rPr>
              <w:t xml:space="preserve">通讯地址：建湖县公安路1号/建湖县双湖壹品东门</w:t>
            </w:r>
            <w:r/>
          </w:p>
        </w:tc>
      </w:tr>
      <w:tr>
        <w:trPr>
          <w:trHeight w:val="701"/>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投诉</w:t>
            </w:r>
            <w:r>
              <w:rPr>
                <w:rFonts w:asciiTheme="minorEastAsia" w:hAnsiTheme="minorEastAsia" w:eastAsiaTheme="minorEastAsia"/>
                <w:bCs/>
                <w:color w:val="auto"/>
                <w:sz w:val="20"/>
                <w:highlight w:val="none"/>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联系部门：建湖县财政局</w:t>
            </w:r>
            <w:r/>
          </w:p>
          <w:p>
            <w:pPr>
              <w:spacing w:line="320" w:lineRule="exact"/>
              <w:rPr>
                <w:rFonts w:hint="eastAsia"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通讯</w:t>
            </w:r>
            <w:r>
              <w:rPr>
                <w:rFonts w:cs="Arial" w:asciiTheme="minorEastAsia" w:hAnsiTheme="minorEastAsia" w:eastAsiaTheme="minorEastAsia"/>
                <w:color w:val="auto"/>
                <w:sz w:val="20"/>
                <w:highlight w:val="none"/>
              </w:rPr>
              <w:t xml:space="preserve">地址：</w:t>
            </w:r>
            <w:r>
              <w:rPr>
                <w:rFonts w:hint="eastAsia" w:cs="Arial" w:asciiTheme="minorEastAsia" w:hAnsiTheme="minorEastAsia" w:eastAsiaTheme="minorEastAsia"/>
                <w:color w:val="auto"/>
                <w:sz w:val="20"/>
                <w:highlight w:val="none"/>
              </w:rPr>
              <w:t xml:space="preserve">建湖县</w:t>
            </w:r>
            <w:r>
              <w:rPr>
                <w:rFonts w:cs="Arial" w:asciiTheme="minorEastAsia" w:hAnsiTheme="minorEastAsia" w:eastAsiaTheme="minorEastAsia"/>
                <w:color w:val="auto"/>
                <w:sz w:val="20"/>
                <w:highlight w:val="none"/>
              </w:rPr>
              <w:t xml:space="preserve">双湖路建设大厦</w:t>
            </w:r>
            <w:r/>
          </w:p>
        </w:tc>
      </w:tr>
      <w:tr>
        <w:trPr>
          <w:trHeight w:val="101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财政监督电话</w:t>
            </w:r>
            <w:r/>
          </w:p>
        </w:tc>
        <w:tc>
          <w:tcPr>
            <w:gridSpan w:val="3"/>
            <w:tcW w:w="7965" w:type="dxa"/>
            <w:vAlign w:val="center"/>
            <w:textDirection w:val="lrTb"/>
            <w:noWrap/>
          </w:tcPr>
          <w:p>
            <w:pPr>
              <w:spacing w:line="320" w:lineRule="exact"/>
              <w:rPr>
                <w:rFonts w:hint="eastAsia" w:cs="宋体" w:asciiTheme="minorEastAsia" w:hAnsiTheme="minorEastAsia" w:eastAsiaTheme="minorEastAsia"/>
                <w:bCs/>
                <w:color w:val="auto"/>
                <w:sz w:val="20"/>
                <w:highlight w:val="none"/>
              </w:rPr>
            </w:pPr>
            <w:r>
              <w:rPr>
                <w:rFonts w:hint="eastAsia" w:cs="宋体" w:asciiTheme="minorEastAsia" w:hAnsiTheme="minorEastAsia" w:eastAsiaTheme="minorEastAsia"/>
                <w:bCs/>
                <w:color w:val="auto"/>
                <w:sz w:val="20"/>
                <w:highlight w:val="none"/>
              </w:rPr>
              <w:t xml:space="preserve">名称：建湖县财政局</w:t>
            </w:r>
            <w:r/>
          </w:p>
          <w:p>
            <w:pPr>
              <w:spacing w:line="320" w:lineRule="exact"/>
              <w:rPr>
                <w:rFonts w:hint="eastAsia" w:cs="宋体" w:asciiTheme="minorEastAsia" w:hAnsiTheme="minorEastAsia" w:eastAsiaTheme="minorEastAsia"/>
                <w:color w:val="auto"/>
                <w:sz w:val="20"/>
                <w:highlight w:val="none"/>
                <w:shd w:val="clear" w:color="auto" w:fill="ffffff"/>
              </w:rPr>
            </w:pPr>
            <w:r>
              <w:rPr>
                <w:rFonts w:hint="eastAsia" w:cs="宋体" w:asciiTheme="minorEastAsia" w:hAnsiTheme="minorEastAsia" w:eastAsiaTheme="minorEastAsia"/>
                <w:bCs/>
                <w:color w:val="auto"/>
                <w:sz w:val="20"/>
                <w:highlight w:val="none"/>
              </w:rPr>
              <w:t xml:space="preserve">地址：</w:t>
            </w:r>
            <w:r>
              <w:rPr>
                <w:rFonts w:hint="eastAsia" w:cs="宋体" w:asciiTheme="minorEastAsia" w:hAnsiTheme="minorEastAsia" w:eastAsiaTheme="minorEastAsia"/>
                <w:color w:val="auto"/>
                <w:sz w:val="20"/>
                <w:highlight w:val="none"/>
                <w:shd w:val="clear" w:color="auto" w:fill="ffffff"/>
              </w:rPr>
              <w:t xml:space="preserve">建湖县双湖路建设大厦</w:t>
            </w:r>
            <w:r/>
          </w:p>
          <w:p>
            <w:pPr>
              <w:spacing w:line="320" w:lineRule="exact"/>
              <w:rPr>
                <w:rFonts w:hint="eastAsia" w:cs="Arial" w:asciiTheme="minorEastAsia" w:hAnsiTheme="minorEastAsia" w:eastAsiaTheme="minorEastAsia"/>
                <w:color w:val="auto"/>
                <w:sz w:val="20"/>
                <w:highlight w:val="none"/>
              </w:rPr>
            </w:pPr>
            <w:r>
              <w:rPr>
                <w:rFonts w:hint="eastAsia" w:cs="宋体" w:asciiTheme="minorEastAsia" w:hAnsiTheme="minorEastAsia" w:eastAsiaTheme="minorEastAsia"/>
                <w:bCs/>
                <w:color w:val="auto"/>
                <w:sz w:val="20"/>
                <w:highlight w:val="none"/>
              </w:rPr>
              <w:t xml:space="preserve">联系方式：0515-86233622</w:t>
            </w:r>
            <w:r/>
          </w:p>
        </w:tc>
      </w:tr>
      <w:tr>
        <w:trPr>
          <w:trHeight w:val="59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宋体" w:hAnsi="宋体" w:cs="宋体"/>
                <w:bCs/>
                <w:color w:val="auto"/>
                <w:sz w:val="20"/>
                <w:highlight w:val="none"/>
                <w:lang w:bidi="ar"/>
              </w:rPr>
              <w:t xml:space="preserve">软件技术支持</w:t>
            </w:r>
            <w:r/>
          </w:p>
        </w:tc>
        <w:tc>
          <w:tcPr>
            <w:gridSpan w:val="3"/>
            <w:tcW w:w="7965" w:type="dxa"/>
            <w:vAlign w:val="center"/>
            <w:textDirection w:val="lrTb"/>
            <w:noWrap/>
          </w:tcPr>
          <w:p>
            <w:pPr>
              <w:jc w:val="left"/>
              <w:spacing w:line="320" w:lineRule="exact"/>
              <w:rPr>
                <w:rFonts w:hint="eastAsia" w:cs="宋体" w:asciiTheme="minorEastAsia" w:hAnsiTheme="minorEastAsia" w:eastAsiaTheme="minorEastAsia"/>
                <w:bCs/>
                <w:color w:val="auto"/>
                <w:sz w:val="20"/>
                <w:highlight w:val="none"/>
              </w:rPr>
            </w:pPr>
            <w:r>
              <w:rPr>
                <w:rFonts w:hint="eastAsia" w:ascii="宋体" w:hAnsi="宋体" w:cs="宋体"/>
                <w:bCs/>
                <w:color w:val="auto"/>
                <w:sz w:val="20"/>
                <w:highlight w:val="none"/>
                <w:lang w:bidi="ar"/>
              </w:rPr>
              <w:t xml:space="preserve">联系方式：0519-86722805</w:t>
            </w:r>
            <w:r/>
          </w:p>
        </w:tc>
      </w:tr>
    </w:tbl>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 适用范围</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1.1 本次项目仅适用于招标文件中所叙述项目的货物采购。</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 定义</w:t>
      </w:r>
      <w:r/>
    </w:p>
    <w:p>
      <w:pPr>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    2.1 “采购人”、“采购单位”系指本次采购项目的业主方。</w:t>
      </w:r>
      <w:r/>
    </w:p>
    <w:p>
      <w:pPr>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2.3 “投标人”系指获取了本招标文件，且已经提交或者准备提交本次投标文件的制造商或供货商。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cs="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“投标文件有效期”系指投标截止日起60天（日历天）；</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2.5 不可抗力：不可预见、不能避免并且不能克服的客观情况。</w:t>
      </w:r>
      <w:r/>
    </w:p>
    <w:p>
      <w:pPr>
        <w:ind w:firstLine="48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 申请人的资格要求：</w:t>
      </w:r>
      <w:r>
        <w:rPr>
          <w:rFonts w:hint="eastAsia" w:ascii="宋体" w:hAnsi="宋体" w:cs="Arial"/>
          <w:b/>
          <w:color w:val="auto"/>
          <w:sz w:val="24"/>
          <w:szCs w:val="24"/>
          <w:highlight w:val="none"/>
        </w:rPr>
        <w:t xml:space="preserve">详见招标公告。</w:t>
      </w:r>
      <w:r/>
    </w:p>
    <w:p>
      <w:pPr>
        <w:jc w:val="center"/>
        <w:spacing w:before="100" w:beforeAutospacing="1" w:after="100" w:afterAutospacing="1" w:line="48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4．招标文件的构成</w:t>
      </w:r>
      <w:r/>
    </w:p>
    <w:p>
      <w:pPr>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4.3 </w:t>
      </w:r>
      <w:r>
        <w:rPr>
          <w:rFonts w:hint="eastAsia" w:ascii="宋体" w:hAnsi="宋体" w:cs="宋体"/>
          <w:b/>
          <w:color w:val="auto"/>
          <w:sz w:val="24"/>
          <w:highlight w:val="none"/>
        </w:rPr>
        <w:t xml:space="preserve">勘察现场</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4.3.3 现场踏勘由各投标人自行实施，采购人不统一组织现场踏勘。</w:t>
      </w:r>
      <w:r/>
    </w:p>
    <w:p>
      <w:pPr>
        <w:pStyle w:val="813"/>
        <w:ind w:firstLine="480"/>
        <w:spacing w:line="460" w:lineRule="exact"/>
        <w:rPr>
          <w:color w:val="auto"/>
          <w:highlight w:val="none"/>
        </w:rPr>
      </w:pPr>
      <w:r>
        <w:rPr>
          <w:rFonts w:hint="eastAsia" w:ascii="宋体" w:hAnsi="宋体" w:cs="宋体"/>
          <w:color w:val="auto"/>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0"/>
        <w:jc w:val="left"/>
        <w:spacing w:line="480" w:lineRule="exact"/>
        <w:widowControl/>
        <w:tabs>
          <w:tab w:val="left" w:pos="7665" w:leader="none"/>
        </w:tabs>
        <w:rPr>
          <w:rFonts w:hint="eastAsia" w:ascii="宋体" w:hAnsi="宋体"/>
          <w:bCs/>
          <w:color w:val="auto"/>
          <w:sz w:val="24"/>
          <w:highlight w:val="none"/>
        </w:rPr>
      </w:pPr>
      <w:r>
        <w:rPr>
          <w:rFonts w:ascii="宋体" w:hAnsi="宋体"/>
          <w:bCs/>
          <w:color w:val="auto"/>
          <w:sz w:val="24"/>
          <w:highlight w:val="none"/>
        </w:rPr>
        <w:t xml:space="preserve">5.1投标人在收到招标文件后，如有疑问需要澄清，应以规定的时间和方式（20</w:t>
      </w:r>
      <w:r>
        <w:rPr>
          <w:rFonts w:hint="eastAsia" w:ascii="宋体" w:hAnsi="宋体"/>
          <w:bCs/>
          <w:color w:val="auto"/>
          <w:sz w:val="24"/>
          <w:highlight w:val="none"/>
        </w:rPr>
        <w:t xml:space="preserve">26</w:t>
      </w:r>
      <w:r>
        <w:rPr>
          <w:rFonts w:ascii="宋体" w:hAnsi="宋体"/>
          <w:bCs/>
          <w:color w:val="auto"/>
          <w:sz w:val="24"/>
          <w:highlight w:val="none"/>
        </w:rPr>
        <w:t xml:space="preserve">年</w:t>
      </w:r>
      <w:r>
        <w:rPr>
          <w:rFonts w:hint="eastAsia" w:ascii="宋体" w:hAnsi="宋体"/>
          <w:bCs/>
          <w:color w:val="auto"/>
          <w:sz w:val="24"/>
          <w:highlight w:val="none"/>
          <w:lang w:val="en-US" w:eastAsia="zh-CN"/>
        </w:rPr>
        <w:t xml:space="preserve">07</w:t>
      </w:r>
      <w:r>
        <w:rPr>
          <w:rFonts w:ascii="宋体" w:hAnsi="宋体"/>
          <w:bCs/>
          <w:color w:val="auto"/>
          <w:sz w:val="24"/>
          <w:highlight w:val="none"/>
        </w:rPr>
        <w:t xml:space="preserve">月</w:t>
      </w:r>
      <w:r>
        <w:rPr>
          <w:rFonts w:hint="eastAsia" w:ascii="宋体" w:hAnsi="宋体"/>
          <w:bCs/>
          <w:color w:val="auto"/>
          <w:sz w:val="24"/>
          <w:highlight w:val="none"/>
          <w:lang w:val="en-US" w:eastAsia="zh-CN"/>
        </w:rPr>
        <w:t xml:space="preserve">14</w:t>
      </w:r>
      <w:r>
        <w:rPr>
          <w:rFonts w:ascii="宋体" w:hAnsi="宋体"/>
          <w:bCs/>
          <w:color w:val="auto"/>
          <w:sz w:val="24"/>
          <w:highlight w:val="none"/>
        </w:rPr>
        <w:t xml:space="preserve">日17:00前）向采购人或代理机构提出，如在规定期限内未递交疑问或未按规定提交投标疑问的，则视为该投标人无疑问。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hint="eastAsia" w:ascii="宋体" w:hAnsi="宋体"/>
          <w:color w:val="auto"/>
          <w:sz w:val="24"/>
          <w:highlight w:val="none"/>
        </w:rPr>
      </w:pPr>
      <w:r>
        <w:rPr>
          <w:rFonts w:ascii="宋体" w:hAnsi="宋体"/>
          <w:color w:val="auto"/>
          <w:sz w:val="24"/>
          <w:highlight w:val="none"/>
        </w:rPr>
        <w:t xml:space="preserve">5.2 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hint="eastAsia" w:ascii="宋体" w:hAnsi="宋体"/>
          <w:bCs/>
          <w:color w:val="auto"/>
          <w:sz w:val="24"/>
          <w:highlight w:val="none"/>
        </w:rPr>
      </w:pPr>
      <w:r>
        <w:rPr>
          <w:rFonts w:ascii="宋体" w:hAnsi="宋体"/>
          <w:bCs/>
          <w:color w:val="auto"/>
          <w:sz w:val="24"/>
          <w:highlight w:val="none"/>
        </w:rPr>
        <w:t xml:space="preserve">5.3 标书以外的内容，一律拒绝答复。</w:t>
      </w:r>
      <w:r/>
    </w:p>
    <w:p>
      <w:pPr>
        <w:ind w:firstLine="480"/>
        <w:jc w:val="left"/>
        <w:spacing w:line="480" w:lineRule="exact"/>
        <w:widowControl/>
        <w:rPr>
          <w:rFonts w:hint="eastAsia" w:ascii="宋体" w:hAnsi="宋体"/>
          <w:bCs/>
          <w:color w:val="auto"/>
          <w:sz w:val="24"/>
          <w:highlight w:val="none"/>
        </w:rPr>
      </w:pPr>
      <w:r>
        <w:rPr>
          <w:rFonts w:ascii="宋体" w:hAnsi="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auto"/>
          <w:sz w:val="24"/>
          <w:highlight w:val="none"/>
        </w:rPr>
      </w:pPr>
      <w:r>
        <w:rPr>
          <w:rFonts w:ascii="宋体" w:hAnsi="宋体"/>
          <w:bCs/>
          <w:color w:val="auto"/>
          <w:sz w:val="24"/>
          <w:highlight w:val="none"/>
        </w:rPr>
        <w:t xml:space="preserve">5.5 本采购文件的最终解释权归采购单位所有</w:t>
      </w:r>
      <w:r>
        <w:rPr>
          <w:rFonts w:hint="eastAsia" w:ascii="宋体" w:hAnsi="宋体"/>
          <w:bCs/>
          <w:color w:val="auto"/>
          <w:sz w:val="24"/>
          <w:highlight w:val="none"/>
        </w:rPr>
        <w:t xml:space="preserve">。</w:t>
      </w:r>
      <w:r/>
    </w:p>
    <w:p>
      <w:pPr>
        <w:ind w:firstLine="3253"/>
        <w:spacing w:before="376"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6.1要求</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hint="eastAsia" w:ascii="宋体" w:hAnsi="宋体"/>
          <w:color w:val="auto"/>
          <w:sz w:val="24"/>
          <w:highlight w:val="none"/>
        </w:rPr>
      </w:pPr>
      <w:r>
        <w:rPr>
          <w:rFonts w:ascii="宋体" w:hAnsi="宋体"/>
          <w:color w:val="auto"/>
          <w:sz w:val="24"/>
          <w:highlight w:val="none"/>
        </w:rPr>
        <w:t xml:space="preserve">6.1.2无论投标过程中的做法和结果如何，投标人自行承担所有与参加投标有关的全部费用</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6.2投标语言及计量单位  </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6.2.1投标文件以及投标人与采购单位就有关投标事宜的所有来往函电均应使用简体中文书写。</w:t>
      </w:r>
      <w:r/>
    </w:p>
    <w:p>
      <w:pPr>
        <w:ind w:firstLine="480"/>
        <w:jc w:val="left"/>
        <w:spacing w:line="480" w:lineRule="exact"/>
        <w:widowControl/>
        <w:rPr>
          <w:rFonts w:hint="eastAsia" w:ascii="宋体" w:hAnsi="宋体" w:eastAsia="宋体"/>
          <w:color w:val="auto"/>
          <w:sz w:val="24"/>
          <w:highlight w:val="none"/>
          <w:lang w:val="en-US" w:eastAsia="zh-CN"/>
        </w:rPr>
      </w:pPr>
      <w:r>
        <w:rPr>
          <w:rFonts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olor w:val="auto"/>
          <w:sz w:val="24"/>
          <w:highlight w:val="none"/>
          <w:lang w:val="en-US" w:eastAsia="zh-CN"/>
        </w:rPr>
        <w:t xml:space="preserve"> </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6.3电子投标文件其他要求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.3.1电子招标投标交易平台（即“苏采云”系统）相关要求是本招标文件的组成部分。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6.3.2投标人应对CA证书妥善保管，如被他人盗用投标，因此带来的结果均由投标人自行承担。</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.3.3投标人应当对招标文件提出的实质性要求和条件作出实质性响应，并在电子投标系统逐条应答。</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highlight w:val="none"/>
        </w:rPr>
        <w:t xml:space="preserve">。</w:t>
      </w:r>
      <w:r/>
    </w:p>
    <w:p>
      <w:pPr>
        <w:pStyle w:val="813"/>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8. 投标报价：</w:t>
      </w:r>
      <w:r/>
    </w:p>
    <w:p>
      <w:pPr>
        <w:ind w:firstLine="463"/>
        <w:spacing w:line="480" w:lineRule="exact"/>
        <w:rPr>
          <w:rFonts w:hint="eastAsia" w:ascii="宋体" w:hAnsi="宋体"/>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8.2最高限价</w:t>
      </w:r>
      <w:r>
        <w:rPr>
          <w:rFonts w:hint="eastAsia" w:ascii="宋体" w:hAnsi="宋体"/>
          <w:b/>
          <w:bCs/>
          <w:color w:val="auto"/>
          <w:sz w:val="24"/>
          <w:highlight w:val="none"/>
        </w:rPr>
        <w:t xml:space="preserve">：本项目最高限价为300.00万元，投标单位报价高于最高限价的作无效标处理。</w:t>
      </w:r>
      <w:r/>
    </w:p>
    <w:p>
      <w:pPr>
        <w:ind w:firstLine="463"/>
        <w:spacing w:line="480" w:lineRule="exact"/>
        <w:rPr>
          <w:rFonts w:hint="eastAsia" w:ascii="宋体" w:hAnsi="宋体"/>
          <w:bCs/>
          <w:color w:val="auto"/>
          <w:sz w:val="24"/>
          <w:highlight w:val="none"/>
        </w:rPr>
      </w:pPr>
      <w:r>
        <w:rPr>
          <w:rFonts w:hint="eastAsia" w:ascii="宋体" w:hAnsi="宋体"/>
          <w:b/>
          <w:color w:val="auto"/>
          <w:sz w:val="24"/>
          <w:highlight w:val="none"/>
        </w:rPr>
        <w:t xml:space="preserve">8.3 投标报价</w:t>
      </w:r>
      <w:r/>
    </w:p>
    <w:p>
      <w:pPr>
        <w:ind w:firstLine="480"/>
        <w:jc w:val="left"/>
        <w:spacing w:line="480" w:lineRule="exact"/>
        <w:widowControl/>
        <w:rPr>
          <w:rFonts w:hint="eastAsia" w:ascii="宋体" w:hAnsi="宋体"/>
          <w:color w:val="auto"/>
          <w:sz w:val="24"/>
          <w:szCs w:val="24"/>
          <w:highlight w:val="none"/>
        </w:rPr>
      </w:pPr>
      <w:r>
        <w:rPr>
          <w:rFonts w:hint="eastAsia" w:ascii="宋体" w:hAnsi="宋体"/>
          <w:bCs/>
          <w:color w:val="auto"/>
          <w:sz w:val="24"/>
          <w:highlight w:val="none"/>
        </w:rPr>
        <w:t xml:space="preserve">8.3.1</w:t>
      </w:r>
      <w:r>
        <w:rPr>
          <w:rFonts w:hint="eastAsia" w:ascii="宋体" w:hAnsi="宋体"/>
          <w:color w:val="auto"/>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firstLine="460"/>
        <w:spacing w:line="480" w:lineRule="exact"/>
        <w:rPr>
          <w:rFonts w:hint="eastAsia" w:ascii="宋体" w:hAnsi="宋体"/>
          <w:color w:val="auto"/>
          <w:sz w:val="24"/>
          <w:highlight w:val="none"/>
        </w:rPr>
      </w:pPr>
      <w:r>
        <w:rPr>
          <w:rFonts w:hint="eastAsia" w:ascii="宋体" w:hAnsi="宋体"/>
          <w:color w:val="auto"/>
          <w:sz w:val="24"/>
          <w:highlight w:val="none"/>
        </w:rPr>
        <w:t xml:space="preserve">8.3.2 开标一览表、投标价格表的报价一律用人民币（单位：元）填报。</w:t>
      </w:r>
      <w:r/>
    </w:p>
    <w:p>
      <w:pPr>
        <w:pStyle w:val="813"/>
        <w:ind w:firstLine="482"/>
        <w:spacing w:line="480" w:lineRule="exact"/>
        <w:rPr>
          <w:rFonts w:hint="eastAsia" w:ascii="宋体" w:hAnsi="宋体" w:cs="宋体"/>
          <w:bCs/>
          <w:color w:val="auto"/>
          <w:sz w:val="24"/>
          <w:highlight w:val="none"/>
        </w:rPr>
      </w:pPr>
      <w:r>
        <w:rPr>
          <w:rFonts w:hint="eastAsia" w:ascii="宋体" w:hAnsi="宋体"/>
          <w:b/>
          <w:color w:val="auto"/>
          <w:sz w:val="24"/>
          <w:highlight w:val="none"/>
        </w:rPr>
        <w:t xml:space="preserve">8.4 招标代理服务费：</w:t>
      </w:r>
      <w:r>
        <w:rPr>
          <w:rFonts w:hint="eastAsia" w:ascii="宋体" w:hAnsi="宋体" w:cs="宋体"/>
          <w:bCs/>
          <w:color w:val="auto"/>
          <w:sz w:val="24"/>
          <w:highlight w:val="none"/>
        </w:rPr>
        <w:t xml:space="preserve">如中标人响应成交，中标人领取中标通知书签订合同后向招标代理机构交纳招标代理服务费（通过数字人民币方式交款），费用按中标价的0.52%收取；此项费用含在投标报价中，不单独列项，由投标单位在报价时综合考虑。</w:t>
      </w:r>
      <w:r/>
    </w:p>
    <w:p>
      <w:pPr>
        <w:pStyle w:val="813"/>
        <w:ind w:firstLine="482"/>
        <w:spacing w:line="480" w:lineRule="exact"/>
        <w:rPr>
          <w:rFonts w:hint="eastAsia" w:ascii="宋体" w:hAnsi="宋体"/>
          <w:color w:val="auto"/>
          <w:sz w:val="24"/>
          <w:highlight w:val="none"/>
        </w:rPr>
      </w:pPr>
      <w:r>
        <w:rPr>
          <w:rFonts w:hint="eastAsia" w:ascii="宋体" w:hAnsi="宋体"/>
          <w:b/>
          <w:color w:val="auto"/>
          <w:sz w:val="24"/>
          <w:highlight w:val="none"/>
        </w:rPr>
        <w:t xml:space="preserve">8.5</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hint="eastAsia" w:ascii="宋体" w:hAnsi="宋体"/>
          <w:b/>
          <w:bCs/>
          <w:color w:val="auto"/>
          <w:sz w:val="24"/>
          <w:highlight w:val="none"/>
        </w:rPr>
      </w:pPr>
      <w:r>
        <w:rPr>
          <w:rFonts w:ascii="宋体" w:hAnsi="宋体"/>
          <w:b/>
          <w:bCs/>
          <w:color w:val="auto"/>
          <w:sz w:val="24"/>
          <w:highlight w:val="none"/>
        </w:rPr>
        <w:t xml:space="preserve">9．</w:t>
      </w:r>
      <w:r>
        <w:rPr>
          <w:rFonts w:hint="eastAsia" w:ascii="宋体" w:hAnsi="宋体"/>
          <w:b/>
          <w:bCs/>
          <w:color w:val="auto"/>
          <w:sz w:val="24"/>
          <w:highlight w:val="none"/>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.1</w:t>
      </w:r>
      <w:r>
        <w:rPr>
          <w:rFonts w:hint="eastAsia" w:ascii="宋体" w:hAnsi="宋体"/>
          <w:b/>
          <w:color w:val="auto"/>
          <w:sz w:val="24"/>
          <w:highlight w:val="none"/>
        </w:rPr>
        <w:t xml:space="preserve">基本目录</w:t>
      </w:r>
      <w:r/>
    </w:p>
    <w:p>
      <w:pPr>
        <w:ind w:firstLine="472"/>
        <w:jc w:val="left"/>
        <w:spacing w:line="480" w:lineRule="exact"/>
        <w:widowControl/>
        <w:tabs>
          <w:tab w:val="left" w:pos="540" w:leader="none"/>
        </w:tabs>
        <w:rPr>
          <w:rFonts w:hint="eastAsia" w:ascii="宋体" w:hAnsi="宋体"/>
          <w:bCs/>
          <w:color w:val="auto"/>
          <w:sz w:val="24"/>
          <w:highlight w:val="none"/>
        </w:rPr>
      </w:pPr>
      <w:r>
        <w:rPr>
          <w:rFonts w:hint="eastAsia" w:ascii="宋体" w:hAnsi="宋体"/>
          <w:bCs/>
          <w:color w:val="auto"/>
          <w:sz w:val="24"/>
          <w:highlight w:val="none"/>
        </w:rPr>
        <w:t xml:space="preserve">（1）《开标一览表》（加盖电子签章，政府采购客户端工具输入报价自动生成）；</w:t>
      </w:r>
      <w:r/>
    </w:p>
    <w:p>
      <w:pPr>
        <w:ind w:firstLine="472"/>
        <w:jc w:val="left"/>
        <w:spacing w:line="480" w:lineRule="exact"/>
        <w:widowControl/>
        <w:tabs>
          <w:tab w:val="left" w:pos="54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color w:val="auto"/>
          <w:sz w:val="24"/>
          <w:highlight w:val="none"/>
        </w:rPr>
        <w:t xml:space="preserve">法定代表人身份证明书</w:t>
      </w:r>
      <w:r>
        <w:rPr>
          <w:rFonts w:hint="eastAsia" w:ascii="宋体" w:hAnsi="宋体"/>
          <w:bCs/>
          <w:color w:val="auto"/>
          <w:sz w:val="24"/>
          <w:highlight w:val="none"/>
        </w:rPr>
        <w:t xml:space="preserve">》</w:t>
      </w:r>
      <w:r>
        <w:rPr>
          <w:rFonts w:hint="eastAsia" w:ascii="宋体" w:hAnsi="宋体"/>
          <w:color w:val="auto"/>
          <w:sz w:val="24"/>
          <w:highlight w:val="none"/>
        </w:rPr>
        <w:t xml:space="preserve">及</w:t>
      </w:r>
      <w:r>
        <w:rPr>
          <w:rFonts w:hint="eastAsia" w:ascii="宋体" w:hAnsi="宋体"/>
          <w:bCs/>
          <w:color w:val="auto"/>
          <w:sz w:val="24"/>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.2</w:t>
      </w:r>
      <w:r>
        <w:rPr>
          <w:rFonts w:hint="eastAsia" w:ascii="宋体" w:hAnsi="宋体"/>
          <w:b/>
          <w:color w:val="auto"/>
          <w:sz w:val="24"/>
          <w:highlight w:val="none"/>
        </w:rPr>
        <w:t xml:space="preserve">资格条件（1-5必须提供，且须加盖电子签章，否则投标无效）</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（1）有效的营业执照（副本）</w:t>
      </w:r>
      <w:r>
        <w:rPr>
          <w:rFonts w:hint="eastAsia" w:ascii="宋体" w:hAnsi="宋体"/>
          <w:color w:val="auto"/>
          <w:sz w:val="24"/>
          <w:highlight w:val="none"/>
        </w:rPr>
        <w:t xml:space="preserve">原件扫描件</w:t>
      </w:r>
      <w:r>
        <w:rPr>
          <w:rFonts w:ascii="宋体" w:hAnsi="宋体"/>
          <w:color w:val="auto"/>
          <w:sz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w:t>
      </w:r>
      <w:r>
        <w:rPr>
          <w:rFonts w:hint="eastAsia" w:ascii="宋体" w:hAnsi="宋体" w:cs="Arial"/>
          <w:bCs/>
          <w:color w:val="auto"/>
          <w:sz w:val="24"/>
          <w:szCs w:val="24"/>
          <w:highlight w:val="none"/>
        </w:rPr>
        <w:t xml:space="preserve">上一年度的财务状况报表（至少提供资产负债表、利润表、现金流量表，投标人成立不满一年无需提供）</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w:t>
      </w:r>
      <w:r>
        <w:rPr>
          <w:rFonts w:hint="eastAsia" w:ascii="宋体" w:hAnsi="宋体" w:cs="Arial"/>
          <w:bCs/>
          <w:color w:val="auto"/>
          <w:sz w:val="24"/>
          <w:szCs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（4）具有履行合同所需的设备和专业技术能力的书面声明</w:t>
      </w:r>
      <w:r>
        <w:rPr>
          <w:rFonts w:hint="eastAsia" w:ascii="宋体" w:hAnsi="宋体"/>
          <w:color w:val="auto"/>
          <w:sz w:val="24"/>
          <w:highlight w:val="none"/>
        </w:rPr>
        <w:t xml:space="preserve">原件扫描件；</w:t>
      </w:r>
      <w:r/>
    </w:p>
    <w:p>
      <w:pPr>
        <w:ind w:firstLine="480"/>
        <w:jc w:val="left"/>
        <w:spacing w:line="480" w:lineRule="exact"/>
        <w:widowControl/>
        <w:rPr>
          <w:rFonts w:hint="eastAsia" w:ascii="宋体" w:hAnsi="宋体"/>
          <w:bCs/>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无重大违法记录声明函</w:t>
      </w:r>
      <w:r>
        <w:rPr>
          <w:rFonts w:hint="eastAsia" w:ascii="宋体" w:hAnsi="宋体"/>
          <w:color w:val="auto"/>
          <w:sz w:val="24"/>
          <w:highlight w:val="none"/>
        </w:rPr>
        <w:t xml:space="preserve">原件扫描件</w:t>
      </w:r>
      <w:r>
        <w:rPr>
          <w:rFonts w:hint="eastAsia" w:ascii="宋体" w:hAnsi="宋体"/>
          <w:bCs/>
          <w:color w:val="auto"/>
          <w:sz w:val="24"/>
          <w:highlight w:val="none"/>
        </w:rPr>
        <w:t xml:space="preserve">；</w:t>
      </w:r>
      <w:r/>
    </w:p>
    <w:p>
      <w:pPr>
        <w:ind w:firstLine="472"/>
        <w:jc w:val="left"/>
        <w:spacing w:line="50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.3</w:t>
      </w:r>
      <w:r>
        <w:rPr>
          <w:rFonts w:hint="eastAsia" w:ascii="宋体" w:hAnsi="宋体"/>
          <w:b/>
          <w:color w:val="auto"/>
          <w:sz w:val="24"/>
          <w:highlight w:val="none"/>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（1）报价：</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①《投标函》；</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②清单报价表；</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（2）商务资信：</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①供应商登记表；</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②售后服务承诺函；</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③公共资源交易投标信用承诺书；</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④建湖县政府采购事前信用承诺书；</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⑤实施方案及培训、售后服务方案。</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（3）技术响应：</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《技术响应表》</w:t>
      </w:r>
      <w:r/>
    </w:p>
    <w:p>
      <w:pPr>
        <w:ind w:firstLine="482"/>
        <w:jc w:val="left"/>
        <w:spacing w:line="50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.4</w:t>
      </w:r>
      <w:r>
        <w:rPr>
          <w:rFonts w:hint="eastAsia" w:ascii="宋体" w:hAnsi="宋体"/>
          <w:b/>
          <w:color w:val="auto"/>
          <w:sz w:val="24"/>
          <w:highlight w:val="none"/>
        </w:rPr>
        <w:t xml:space="preserve">企业报价折扣证明</w:t>
      </w:r>
      <w:r/>
    </w:p>
    <w:p>
      <w:pPr>
        <w:ind w:firstLine="482"/>
        <w:jc w:val="left"/>
        <w:spacing w:line="500" w:lineRule="exact"/>
        <w:widowControl/>
        <w:tabs>
          <w:tab w:val="left" w:pos="1440" w:leader="none"/>
        </w:tabs>
        <w:rPr>
          <w:rFonts w:hint="eastAsia" w:ascii="宋体" w:hAnsi="宋体"/>
          <w:bCs/>
          <w:color w:val="auto"/>
          <w:sz w:val="24"/>
          <w:highlight w:val="none"/>
        </w:rPr>
      </w:pPr>
      <w:r>
        <w:rPr>
          <w:rFonts w:hint="eastAsia" w:ascii="宋体" w:hAnsi="宋体"/>
          <w:bCs/>
          <w:color w:val="auto"/>
          <w:sz w:val="24"/>
          <w:highlight w:val="none"/>
        </w:rPr>
        <w:t xml:space="preserve">（1）投标人为中小企业（含中型、小型、微型企业，下同）的，</w:t>
      </w:r>
      <w:r>
        <w:rPr>
          <w:rFonts w:hint="eastAsia" w:ascii="宋体" w:hAnsi="宋体"/>
          <w:b/>
          <w:color w:val="auto"/>
          <w:sz w:val="24"/>
          <w:highlight w:val="none"/>
        </w:rPr>
        <w:t xml:space="preserve">提供《中小企业声明函》（加盖电子签章，填写完整，格式见招标文件第六章《投标文件相关格式》）</w:t>
      </w:r>
      <w:r>
        <w:rPr>
          <w:rFonts w:hint="eastAsia" w:ascii="宋体" w:hAnsi="宋体"/>
          <w:bCs/>
          <w:color w:val="auto"/>
          <w:sz w:val="24"/>
          <w:highlight w:val="none"/>
        </w:rPr>
        <w:t xml:space="preserve">。</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（4）政府采购鼓励优先采购节能产品、环境标志产品，投标人需提供相关产品的证明材料；</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（6）若涉及到数据中心采购，应按照《&lt;绿色数据中心政府采购需求标准（试行）&gt;的通知》（财库〔2023〕7号）执行；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hint="eastAsia" w:ascii="宋体" w:hAnsi="宋体"/>
          <w:b/>
          <w:color w:val="auto"/>
          <w:sz w:val="24"/>
          <w:highlight w:val="none"/>
        </w:rPr>
      </w:pPr>
      <w:r>
        <w:rPr>
          <w:rFonts w:ascii="宋体" w:hAnsi="宋体"/>
          <w:b/>
          <w:color w:val="auto"/>
          <w:sz w:val="24"/>
          <w:highlight w:val="none"/>
        </w:rPr>
        <w:t xml:space="preserve">10．投标文件线上格式要求</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0.1</w:t>
      </w:r>
      <w:r>
        <w:rPr>
          <w:rFonts w:hint="eastAsia" w:ascii="宋体" w:hAnsi="宋体"/>
          <w:color w:val="auto"/>
          <w:sz w:val="24"/>
          <w:highlight w:val="none"/>
        </w:rPr>
        <w:t xml:space="preserve">投标人应当通过“苏采云”系统提交数据电文形式的投标文件（即电子投标）。</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0.2 </w:t>
      </w:r>
      <w:r>
        <w:rPr>
          <w:rFonts w:hint="eastAsia" w:ascii="宋体" w:hAnsi="宋体"/>
          <w:color w:val="auto"/>
          <w:sz w:val="24"/>
          <w:highlight w:val="none"/>
        </w:rPr>
        <w:t xml:space="preserve">通过“苏采云”系统提交政府采购客户端工具导出加密的投标文件（后缀名为zip）。</w:t>
      </w:r>
      <w:r>
        <w:rPr>
          <w:rFonts w:hint="eastAsia" w:ascii="宋体" w:hAnsi="宋体"/>
          <w:b/>
          <w:bCs/>
          <w:color w:val="auto"/>
          <w:sz w:val="24"/>
          <w:highlight w:val="none"/>
        </w:rPr>
        <w:t xml:space="preserve">投标文件不得超过</w:t>
      </w:r>
      <w:r>
        <w:rPr>
          <w:rFonts w:ascii="宋体" w:hAnsi="宋体"/>
          <w:b/>
          <w:bCs/>
          <w:color w:val="auto"/>
          <w:sz w:val="24"/>
          <w:highlight w:val="none"/>
        </w:rPr>
        <w:t xml:space="preserve">1</w:t>
      </w:r>
      <w:r>
        <w:rPr>
          <w:rFonts w:hint="eastAsia" w:ascii="宋体" w:hAnsi="宋体"/>
          <w:b/>
          <w:bCs/>
          <w:color w:val="auto"/>
          <w:sz w:val="24"/>
          <w:highlight w:val="none"/>
        </w:rPr>
        <w:t xml:space="preserve">50M</w:t>
      </w:r>
      <w:r>
        <w:rPr>
          <w:rFonts w:hint="eastAsia" w:ascii="宋体" w:hAnsi="宋体"/>
          <w:color w:val="auto"/>
          <w:sz w:val="24"/>
          <w:highlight w:val="none"/>
        </w:rPr>
        <w:t xml:space="preserve">！</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0.3 </w:t>
      </w:r>
      <w:r>
        <w:rPr>
          <w:rFonts w:hint="eastAsia" w:ascii="宋体" w:hAnsi="宋体"/>
          <w:color w:val="auto"/>
          <w:sz w:val="24"/>
          <w:highlight w:val="none"/>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11．</w:t>
      </w:r>
      <w:r>
        <w:rPr>
          <w:rFonts w:hint="eastAsia" w:ascii="宋体" w:hAnsi="宋体"/>
          <w:b/>
          <w:color w:val="auto"/>
          <w:sz w:val="24"/>
          <w:highlight w:val="none"/>
        </w:rPr>
        <w:t xml:space="preserve">线上</w:t>
      </w:r>
      <w:r>
        <w:rPr>
          <w:rFonts w:ascii="宋体" w:hAnsi="宋体"/>
          <w:b/>
          <w:color w:val="auto"/>
          <w:sz w:val="24"/>
          <w:highlight w:val="none"/>
        </w:rPr>
        <w:t xml:space="preserve">投标文件的密封</w:t>
      </w:r>
      <w:r>
        <w:rPr>
          <w:rFonts w:hint="eastAsia" w:ascii="宋体" w:hAnsi="宋体"/>
          <w:b/>
          <w:color w:val="auto"/>
          <w:sz w:val="24"/>
          <w:highlight w:val="none"/>
        </w:rPr>
        <w:t xml:space="preserve">、签署、盖章要求</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1.1</w:t>
      </w:r>
      <w:r>
        <w:rPr>
          <w:rFonts w:hint="eastAsia" w:ascii="宋体" w:hAnsi="宋体"/>
          <w:color w:val="auto"/>
          <w:sz w:val="24"/>
          <w:highlight w:val="none"/>
        </w:rPr>
        <w:t xml:space="preserve">投标文件的密封（加密）要求：</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1.2</w:t>
      </w:r>
      <w:r>
        <w:rPr>
          <w:rFonts w:hint="eastAsia" w:ascii="宋体" w:hAnsi="宋体"/>
          <w:color w:val="auto"/>
          <w:sz w:val="24"/>
          <w:highlight w:val="none"/>
        </w:rPr>
        <w:t xml:space="preserve">投标文件的签署要求：见招标文件第六章《投标文件相关格式》。</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1.3</w:t>
      </w:r>
      <w:r>
        <w:rPr>
          <w:rFonts w:hint="eastAsia" w:ascii="宋体" w:hAnsi="宋体"/>
          <w:color w:val="auto"/>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1.4</w:t>
      </w:r>
      <w:r>
        <w:rPr>
          <w:rFonts w:hint="eastAsia" w:ascii="宋体" w:hAnsi="宋体"/>
          <w:color w:val="auto"/>
          <w:sz w:val="24"/>
          <w:highlight w:val="none"/>
        </w:rPr>
        <w:t xml:space="preserve">投标人未按规定加密的投标文件，“苏采云”系统应当拒收并提示。</w:t>
      </w:r>
      <w:r/>
    </w:p>
    <w:p>
      <w:pPr>
        <w:ind w:firstLine="482"/>
        <w:jc w:val="left"/>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2. </w:t>
      </w:r>
      <w:r>
        <w:rPr>
          <w:rFonts w:hint="eastAsia" w:ascii="宋体" w:hAnsi="宋体"/>
          <w:b/>
          <w:color w:val="auto"/>
          <w:sz w:val="24"/>
          <w:highlight w:val="none"/>
        </w:rPr>
        <w:t xml:space="preserve">投标文件的提交与接收</w:t>
      </w:r>
      <w:r/>
    </w:p>
    <w:p>
      <w:pPr>
        <w:ind w:right="-105" w:firstLine="482"/>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12.1 </w:t>
      </w:r>
      <w:r>
        <w:rPr>
          <w:rFonts w:hint="eastAsia" w:ascii="宋体" w:hAnsi="宋体"/>
          <w:color w:val="auto"/>
          <w:sz w:val="24"/>
          <w:highlight w:val="none"/>
        </w:rPr>
        <w:t xml:space="preserve">投标文件提交与接收时间：</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线上提交与接收时间：提交投标文件截止时间前。</w:t>
      </w:r>
      <w:r/>
    </w:p>
    <w:p>
      <w:pPr>
        <w:ind w:right="-105" w:firstLine="482"/>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12.2</w:t>
      </w:r>
      <w:r>
        <w:rPr>
          <w:rFonts w:hint="eastAsia" w:ascii="宋体" w:hAnsi="宋体"/>
          <w:color w:val="auto"/>
          <w:sz w:val="24"/>
          <w:highlight w:val="none"/>
        </w:rPr>
        <w:t xml:space="preserve">投标文件提交与接收地点：</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13．投标文件的撤回与修改</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13.1投标文件的撤回</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13.1.1电子投标文件的撤回</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13.1.2投标人撤回电子投标文件，则认为其不再参与本项目投标活动。</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13.2 投标文件的修改</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13.3 在投标截止时间之后，投标人不得对其电子投标文件作任何修改。</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hint="eastAsia" w:ascii="宋体" w:hAnsi="宋体"/>
          <w:b/>
          <w:color w:val="auto"/>
          <w:sz w:val="36"/>
          <w:szCs w:val="32"/>
          <w:highlight w:val="none"/>
        </w:rPr>
      </w:pPr>
      <w:r>
        <w:rPr>
          <w:rFonts w:ascii="宋体" w:hAnsi="宋体"/>
          <w:b/>
          <w:color w:val="auto"/>
          <w:sz w:val="36"/>
          <w:szCs w:val="32"/>
          <w:highlight w:val="none"/>
        </w:rPr>
        <w:t xml:space="preserve">五、开标及资格审查</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14．开标、唱标、资格审查</w:t>
      </w:r>
      <w:r/>
    </w:p>
    <w:p>
      <w:pPr>
        <w:ind w:firstLine="474"/>
        <w:jc w:val="left"/>
        <w:spacing w:line="480" w:lineRule="exact"/>
        <w:widowControl/>
        <w:rPr>
          <w:rFonts w:hint="eastAsia" w:ascii="宋体" w:hAnsi="宋体"/>
          <w:color w:val="auto"/>
          <w:spacing w:val="-2"/>
          <w:sz w:val="24"/>
          <w:highlight w:val="none"/>
        </w:rPr>
      </w:pPr>
      <w:r>
        <w:rPr>
          <w:rFonts w:ascii="宋体" w:hAnsi="宋体"/>
          <w:color w:val="auto"/>
          <w:spacing w:val="-2"/>
          <w:sz w:val="24"/>
          <w:highlight w:val="none"/>
        </w:rPr>
        <w:t xml:space="preserve">14.1 </w:t>
      </w:r>
      <w:r>
        <w:rPr>
          <w:rFonts w:hint="eastAsia" w:ascii="宋体" w:hAnsi="宋体"/>
          <w:color w:val="auto"/>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hint="eastAsia" w:ascii="宋体" w:hAnsi="宋体"/>
          <w:color w:val="auto"/>
          <w:spacing w:val="-2"/>
          <w:sz w:val="24"/>
          <w:highlight w:val="none"/>
        </w:rPr>
      </w:pPr>
      <w:r>
        <w:rPr>
          <w:rFonts w:hint="eastAsia" w:ascii="宋体" w:hAnsi="宋体"/>
          <w:color w:val="auto"/>
          <w:spacing w:val="-2"/>
          <w:sz w:val="24"/>
          <w:highlight w:val="none"/>
        </w:rPr>
        <w:t xml:space="preserve">1</w:t>
      </w:r>
      <w:r>
        <w:rPr>
          <w:rFonts w:ascii="宋体" w:hAnsi="宋体"/>
          <w:color w:val="auto"/>
          <w:spacing w:val="-2"/>
          <w:sz w:val="24"/>
          <w:highlight w:val="none"/>
        </w:rPr>
        <w:t xml:space="preserve">4.2</w:t>
      </w:r>
      <w:r>
        <w:rPr>
          <w:rFonts w:hint="eastAsia" w:ascii="宋体" w:hAnsi="宋体"/>
          <w:color w:val="auto"/>
          <w:spacing w:val="-2"/>
          <w:sz w:val="24"/>
          <w:highlight w:val="none"/>
        </w:rPr>
        <w:t xml:space="preserve">所有投标人解密（或解密时间）结束后，“苏采云”系统生成开标记录并向社会公众公布，但依法应当保密的除外。</w:t>
      </w:r>
      <w:r/>
    </w:p>
    <w:p>
      <w:pPr>
        <w:ind w:firstLine="472"/>
        <w:jc w:val="left"/>
        <w:spacing w:line="480" w:lineRule="exact"/>
        <w:widowControl/>
        <w:rPr>
          <w:rFonts w:hint="eastAsia" w:ascii="宋体" w:hAnsi="宋体"/>
          <w:color w:val="auto"/>
          <w:sz w:val="24"/>
          <w:highlight w:val="none"/>
          <w:lang w:val="zh-CN"/>
        </w:rPr>
      </w:pPr>
      <w:r>
        <w:rPr>
          <w:rFonts w:ascii="宋体" w:hAnsi="宋体"/>
          <w:color w:val="auto"/>
          <w:spacing w:val="-2"/>
          <w:sz w:val="24"/>
          <w:highlight w:val="none"/>
        </w:rPr>
        <w:t xml:space="preserve">14.3开标时，《开标一览表》</w:t>
      </w:r>
      <w:r>
        <w:rPr>
          <w:rFonts w:ascii="宋体" w:hAnsi="宋体"/>
          <w:color w:val="auto"/>
          <w:sz w:val="24"/>
          <w:highlight w:val="none"/>
          <w:lang w:val="zh-CN"/>
        </w:rPr>
        <w:t xml:space="preserve">（报价表）内容与投标文件中相应内容不一致的，以《开标一览表》（报价表）为准。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4 </w:t>
      </w:r>
      <w:r>
        <w:rPr>
          <w:rFonts w:ascii="宋体" w:hAnsi="宋体"/>
          <w:color w:val="auto"/>
          <w:sz w:val="24"/>
          <w:highlight w:val="none"/>
          <w:lang w:val="zh-CN"/>
        </w:rPr>
        <w:t xml:space="preserve">投标文件、《开标一览表》（报价表）中报价的大写金额与小写金额不一致的，以大写金额为准。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5 </w:t>
      </w:r>
      <w:r>
        <w:rPr>
          <w:rFonts w:ascii="宋体" w:hAnsi="宋体"/>
          <w:color w:val="auto"/>
          <w:sz w:val="24"/>
          <w:highlight w:val="none"/>
          <w:lang w:val="zh-CN"/>
        </w:rPr>
        <w:t xml:space="preserve">单价金额小数点或者百分比有明显错位的，以《开标一览表》（报价表）的总价为准，并修改单价；</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.6</w:t>
      </w:r>
      <w:r>
        <w:rPr>
          <w:rFonts w:ascii="宋体" w:hAnsi="宋体"/>
          <w:color w:val="auto"/>
          <w:sz w:val="24"/>
          <w:highlight w:val="none"/>
        </w:rPr>
        <w:t xml:space="preserve"> </w:t>
      </w:r>
      <w:r>
        <w:rPr>
          <w:rFonts w:ascii="宋体" w:hAnsi="宋体"/>
          <w:color w:val="auto"/>
          <w:sz w:val="24"/>
          <w:highlight w:val="none"/>
          <w:lang w:val="zh-CN"/>
        </w:rPr>
        <w:t xml:space="preserve">总价金额与按单价汇总金额不一致的，以单价金额计算结果为准；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.7同时出现</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.6中两种以上不一致的,按照</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.6的顺序修正。修正后的报价由法定代表人</w:t>
      </w:r>
      <w:r>
        <w:rPr>
          <w:rFonts w:ascii="宋体" w:hAnsi="宋体"/>
          <w:color w:val="auto"/>
          <w:sz w:val="24"/>
          <w:highlight w:val="none"/>
        </w:rPr>
        <w:t xml:space="preserve">/单位负责人</w:t>
      </w:r>
      <w:r>
        <w:rPr>
          <w:rFonts w:ascii="宋体" w:hAnsi="宋体"/>
          <w:color w:val="auto"/>
          <w:sz w:val="24"/>
          <w:highlight w:val="none"/>
          <w:lang w:val="zh-CN"/>
        </w:rPr>
        <w:t xml:space="preserve">或其授权的代表签字确认后产生约束力，投标人不确认的，投标无效。</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.8</w:t>
      </w:r>
      <w:r>
        <w:rPr>
          <w:rFonts w:ascii="宋体" w:hAnsi="宋体"/>
          <w:color w:val="auto"/>
          <w:sz w:val="24"/>
          <w:highlight w:val="none"/>
        </w:rPr>
        <w:t xml:space="preserve"> </w:t>
      </w:r>
      <w:r>
        <w:rPr>
          <w:rFonts w:ascii="宋体" w:hAnsi="宋体"/>
          <w:color w:val="auto"/>
          <w:sz w:val="24"/>
          <w:highlight w:val="none"/>
          <w:lang w:val="zh-CN"/>
        </w:rPr>
        <w:t xml:space="preserve">对不同文字文本投标文件的解释发生异议的，以中文文本为准。</w:t>
      </w:r>
      <w:r/>
    </w:p>
    <w:p>
      <w:pPr>
        <w:ind w:firstLine="482"/>
        <w:jc w:val="left"/>
        <w:spacing w:line="480" w:lineRule="exact"/>
        <w:widowControl/>
        <w:rPr>
          <w:rFonts w:hint="eastAsia" w:ascii="宋体" w:hAnsi="宋体"/>
          <w:color w:val="auto"/>
          <w:sz w:val="24"/>
          <w:highlight w:val="none"/>
        </w:rPr>
      </w:pPr>
      <w:r>
        <w:rPr>
          <w:rFonts w:ascii="宋体" w:hAnsi="宋体"/>
          <w:b/>
          <w:color w:val="auto"/>
          <w:sz w:val="24"/>
          <w:highlight w:val="none"/>
        </w:rPr>
        <w:t xml:space="preserve">14.9</w:t>
      </w:r>
      <w:r>
        <w:rPr>
          <w:rFonts w:ascii="宋体" w:hAnsi="宋体"/>
          <w:b/>
          <w:bCs/>
          <w:color w:val="auto"/>
          <w:sz w:val="24"/>
          <w:highlight w:val="none"/>
        </w:rPr>
        <w:t xml:space="preserve">资格审查：</w:t>
      </w:r>
      <w:r>
        <w:rPr>
          <w:rFonts w:ascii="宋体" w:hAnsi="宋体"/>
          <w:color w:val="auto"/>
          <w:sz w:val="24"/>
          <w:highlight w:val="none"/>
        </w:rPr>
        <w:t xml:space="preserve">开标结束后，依据法规政策和招标文件的规定，在对投标文件详细评估之前，</w:t>
      </w:r>
      <w:r>
        <w:rPr>
          <w:rFonts w:ascii="宋体" w:hAnsi="宋体"/>
          <w:b/>
          <w:bCs/>
          <w:color w:val="auto"/>
          <w:sz w:val="24"/>
          <w:highlight w:val="none"/>
        </w:rPr>
        <w:t xml:space="preserve">采购人或采购代理机构</w:t>
      </w:r>
      <w:r>
        <w:rPr>
          <w:rFonts w:ascii="宋体" w:hAnsi="宋体"/>
          <w:color w:val="auto"/>
          <w:sz w:val="24"/>
          <w:highlight w:val="none"/>
        </w:rPr>
        <w:t xml:space="preserve">将依据投标人提交的投标文件按招标公告第</w:t>
      </w:r>
      <w:r>
        <w:rPr>
          <w:rFonts w:hint="eastAsia" w:ascii="宋体" w:hAnsi="宋体"/>
          <w:color w:val="auto"/>
          <w:sz w:val="24"/>
          <w:highlight w:val="none"/>
        </w:rPr>
        <w:t xml:space="preserve">二</w:t>
      </w:r>
      <w:r>
        <w:rPr>
          <w:rFonts w:ascii="宋体" w:hAnsi="宋体"/>
          <w:color w:val="auto"/>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采购人及采购代理机构在进行资格性审查的同时，将在“信用中国”网站</w:t>
      </w:r>
      <w:r/>
    </w:p>
    <w:p>
      <w:pPr>
        <w:ind w:firstLine="470"/>
        <w:spacing w:line="480" w:lineRule="exact"/>
        <w:rPr>
          <w:rFonts w:hint="eastAsia" w:ascii="宋体" w:hAnsi="宋体" w:cs="宋体"/>
          <w:color w:val="auto"/>
          <w:sz w:val="24"/>
          <w:highlight w:val="none"/>
        </w:rPr>
      </w:pPr>
      <w:r>
        <w:rPr>
          <w:rFonts w:ascii="宋体" w:hAnsi="宋体"/>
          <w:color w:val="auto"/>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hint="eastAsia"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479" w:firstLine="65"/>
        <w:jc w:val="left"/>
        <w:spacing w:line="460" w:lineRule="exact"/>
        <w:widowControl/>
        <w:rPr>
          <w:rFonts w:hint="eastAsia" w:ascii="宋体" w:hAnsi="宋体"/>
          <w:b/>
          <w:bCs/>
          <w:color w:val="auto"/>
          <w:sz w:val="24"/>
          <w:highlight w:val="none"/>
        </w:rPr>
      </w:pPr>
      <w:r>
        <w:rPr>
          <w:rFonts w:hint="eastAsia" w:ascii="宋体" w:hAnsi="宋体"/>
          <w:b/>
          <w:color w:val="auto"/>
          <w:sz w:val="24"/>
          <w:highlight w:val="none"/>
        </w:rPr>
        <w:t xml:space="preserve">16.7异常低价审查</w:t>
      </w:r>
      <w:r>
        <w:rPr>
          <w:rFonts w:hint="eastAsia" w:ascii="宋体" w:hAnsi="宋体"/>
          <w:b/>
          <w:color w:val="auto"/>
          <w:sz w:val="24"/>
          <w:highlight w:val="none"/>
        </w:rPr>
        <w:br/>
      </w:r>
      <w:r>
        <w:rPr>
          <w:rFonts w:hint="eastAsia" w:ascii="宋体" w:hAnsi="宋体"/>
          <w:b/>
          <w:bCs/>
          <w:color w:val="auto"/>
          <w:sz w:val="24"/>
          <w:highlight w:val="none"/>
        </w:rPr>
        <w:t xml:space="preserve">16.7.1评审过程中出现下列情形之一的，评审委员会应当启动异常低价投标（响应）审查程序：</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（1）投标（响应）报价低于采购项目预算 50%的，即投标（响应）报价&lt;采购项目预算×50%；</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（2）投标（响应）报价低于采购项目最高限价 45%的，即投标（响应）报价&lt;采购项目最高限价×45%；</w:t>
      </w:r>
      <w:r/>
    </w:p>
    <w:p>
      <w:pPr>
        <w:ind w:firstLine="482"/>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82"/>
        <w:jc w:val="left"/>
        <w:spacing w:line="460" w:lineRule="exact"/>
        <w:widowControl/>
        <w:rPr>
          <w:rFonts w:hint="eastAsia" w:ascii="宋体" w:hAnsi="宋体"/>
          <w:bCs/>
          <w:color w:val="auto"/>
          <w:sz w:val="24"/>
          <w:highlight w:val="none"/>
        </w:rPr>
      </w:pPr>
      <w:r>
        <w:rPr>
          <w:rFonts w:hint="eastAsia" w:ascii="宋体" w:hAnsi="宋体"/>
          <w:bCs/>
          <w:color w:val="auto"/>
          <w:sz w:val="24"/>
          <w:highlight w:val="none"/>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17.3异常低价审查，根据（财库〔2026〕2号）文件要求</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（1）评审过程中出现下列情形之一的，评审委员会应当启动异常低价投标（响应）审查程序：</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③投标（响应）报价低于采购项目最高限价45%的，即投标（响应）报价＜采购项目最高限价×45%；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④评审委员会基于专业判断，认为供应商报价过低，有可能影响产品质量或者不能诚信履约的其他情形。</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（2）启动异常低价投标（响应）审查后，评审委员会</w:t>
      </w:r>
      <w:r>
        <w:rPr>
          <w:rFonts w:ascii="宋体" w:hAnsi="宋体"/>
          <w:b/>
          <w:bCs/>
          <w:color w:val="auto"/>
          <w:sz w:val="24"/>
          <w:highlight w:val="none"/>
        </w:rPr>
        <w:t xml:space="preserve">应当要求相关供应商在评审现场合理的时间内</w:t>
      </w:r>
      <w:r>
        <w:rPr>
          <w:rFonts w:hint="eastAsia" w:ascii="宋体" w:hAnsi="宋体"/>
          <w:b/>
          <w:bCs/>
          <w:color w:val="auto"/>
          <w:sz w:val="24"/>
          <w:highlight w:val="none"/>
        </w:rPr>
        <w:t xml:space="preserve">（本项目要求供应商提供相关解释及证明材料的时间为30分钟，如超过30分钟则视为放弃解释说明）</w:t>
      </w:r>
      <w:r>
        <w:rPr>
          <w:rFonts w:ascii="宋体" w:hAnsi="宋体"/>
          <w:b/>
          <w:bCs/>
          <w:color w:val="auto"/>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auto"/>
          <w:sz w:val="24"/>
          <w:highlight w:val="none"/>
        </w:rPr>
        <w:t xml:space="preserve">投标（响应）报价低于采购项目最高限价45%的</w:t>
      </w:r>
      <w:r>
        <w:rPr>
          <w:rFonts w:ascii="宋体" w:hAnsi="宋体"/>
          <w:b/>
          <w:bCs/>
          <w:color w:val="auto"/>
          <w:sz w:val="24"/>
          <w:highlight w:val="none"/>
        </w:rPr>
        <w:t xml:space="preserve">，供应商已随投标（响应）文件一并提交相关书面说明及必要的证明材料的，在评审现场可不再重复提交。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line="460" w:lineRule="exact"/>
        <w:rPr>
          <w:rFonts w:hint="eastAsia" w:ascii="宋体" w:hAnsi="宋体"/>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hint="eastAsia"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hint="eastAsia"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本项目提供相同品牌核心产品“立杆”且通过资格审查、符合性审查的不同投标人按一家投标人计算，评审后得分最高的同品牌投标人获得中标人推荐资格。评审得分相同的，按投标报价由低到高</w:t>
      </w:r>
      <w:bookmarkStart w:id="3" w:name="_GoBack"/>
      <w:r/>
      <w:bookmarkEnd w:id="3"/>
      <w:r>
        <w:rPr>
          <w:rFonts w:hint="eastAsia" w:ascii="宋体" w:hAnsi="宋体" w:cs="宋体"/>
          <w:b/>
          <w:color w:val="auto"/>
          <w:sz w:val="24"/>
          <w:highlight w:val="none"/>
        </w:rPr>
        <w:t xml:space="preserve">排列；得分且投标报价相同的并列，投标文件满足招标文件全部实质性要求，且按照评审因素的量化指标评审得分最高得投标人为排名第一的中标候选人。</w:t>
      </w:r>
      <w:r/>
    </w:p>
    <w:p>
      <w:pPr>
        <w:pStyle w:val="846"/>
        <w:spacing w:before="0" w:after="0" w:line="480" w:lineRule="exact"/>
        <w:rPr>
          <w:rFonts w:hint="eastAsia"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cs="宋体"/>
          <w:b/>
          <w:color w:val="auto"/>
          <w:sz w:val="24"/>
          <w:highlight w:val="none"/>
        </w:rPr>
      </w:pPr>
      <w:r>
        <w:rPr>
          <w:rFonts w:ascii="宋体" w:hAnsi="宋体" w:cs="宋体"/>
          <w:b/>
          <w:color w:val="auto"/>
          <w:sz w:val="24"/>
          <w:highlight w:val="none"/>
        </w:rPr>
        <w:t xml:space="preserve">21.</w:t>
      </w:r>
      <w:r>
        <w:rPr>
          <w:rFonts w:hint="eastAsia" w:ascii="宋体" w:hAnsi="宋体" w:cs="宋体"/>
          <w:b/>
          <w:color w:val="auto"/>
          <w:sz w:val="24"/>
          <w:highlight w:val="none"/>
        </w:rPr>
        <w:t xml:space="preserve">中标通知书和签订合同</w:t>
      </w:r>
      <w:r/>
    </w:p>
    <w:p>
      <w:pPr>
        <w:numPr>
          <w:ilvl w:val="1"/>
          <w:numId w:val="0"/>
        </w:numPr>
        <w:ind w:firstLine="480"/>
        <w:spacing w:line="480" w:lineRule="exact"/>
        <w:rPr>
          <w:color w:val="auto"/>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spacing w:line="460" w:lineRule="exact"/>
        <w:widowControl/>
        <w:rPr>
          <w:rFonts w:hint="eastAsia" w:ascii="宋体" w:hAnsi="宋体" w:cs="宋体"/>
          <w:bCs/>
          <w:color w:val="auto"/>
          <w:sz w:val="24"/>
          <w:highlight w:val="none"/>
        </w:rPr>
      </w:pPr>
      <w:r/>
      <w:bookmarkStart w:id="0" w:name="_Hlk153783081"/>
      <w:r>
        <w:rPr>
          <w:rFonts w:hint="eastAsia" w:ascii="宋体" w:hAnsi="宋体" w:cs="Arial"/>
          <w:bCs/>
          <w:color w:val="auto"/>
          <w:sz w:val="24"/>
          <w:szCs w:val="24"/>
          <w:highlight w:val="none"/>
        </w:rPr>
        <w:t xml:space="preserve">23.</w:t>
      </w:r>
      <w:r>
        <w:rPr>
          <w:rFonts w:hint="eastAsia" w:ascii="宋体" w:hAnsi="宋体" w:cs="宋体"/>
          <w:bCs/>
          <w:color w:val="auto"/>
          <w:sz w:val="24"/>
          <w:highlight w:val="none"/>
        </w:rPr>
        <w:t xml:space="preserve">投标人有下列行为之一造成采购人重新招标的，采购人重新招标时可以拒绝其参加投标：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（1）无故放弃中标；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（2）串通投标；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（3）存在弄虚作假行为；</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（4）以可能影响履约的异常低价参加投标；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（5）其他违反法律、法规的行为。</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宋体"/>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26.1</w:t>
      </w:r>
      <w:r>
        <w:rPr>
          <w:rFonts w:hint="eastAsia" w:ascii="宋体" w:hAnsi="宋体"/>
          <w:b/>
          <w:color w:val="auto"/>
          <w:sz w:val="24"/>
          <w:highlight w:val="none"/>
        </w:rPr>
        <w:t xml:space="preserve"> 本项目落实预付款制度，预付款比例为</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30</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36</w:t>
      </w:r>
      <w:r>
        <w:rPr>
          <w:rFonts w:hint="eastAsia" w:ascii="宋体" w:hAnsi="宋体" w:eastAsia="宋体" w:cs="Times New Roman"/>
          <w:b/>
          <w:color w:val="auto"/>
          <w:sz w:val="24"/>
          <w:highlight w:val="none"/>
        </w:rPr>
        <w:t xml:space="preserve">.</w:t>
      </w: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rPr>
        <w:t xml:space="preserve">实施本国产品标准及相关政策</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（1）本项目对采购本国产品给予政策支持，具体内容见招标文件。</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2"/>
        <w:spacing w:line="440" w:lineRule="exact"/>
        <w:rPr>
          <w:rFonts w:hint="eastAsia" w:ascii="宋体" w:hAnsi="宋体" w:eastAsia="宋体" w:cs="Times New Roman"/>
          <w:b/>
          <w:color w:val="auto"/>
          <w:sz w:val="24"/>
          <w:highlight w:val="none"/>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hint="eastAsia" w:ascii="宋体" w:hAnsi="宋体" w:eastAsia="宋体" w:cs="Times New Roman"/>
          <w:b/>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1957"/>
        <w:spacing w:before="50" w:line="440" w:lineRule="exact"/>
        <w:rPr>
          <w:rFonts w:hint="eastAsia" w:ascii="华文中宋" w:hAnsi="华文中宋" w:eastAsia="华文中宋" w:cs="Arial"/>
          <w:color w:val="auto"/>
          <w:sz w:val="44"/>
          <w:szCs w:val="44"/>
          <w:highlight w:val="none"/>
        </w:rPr>
      </w:pPr>
      <w:r>
        <w:rPr>
          <w:rFonts w:hint="eastAsia" w:ascii="宋体" w:hAnsi="宋体" w:cs="宋体"/>
          <w:b/>
          <w:color w:val="auto"/>
          <w:sz w:val="44"/>
          <w:szCs w:val="44"/>
          <w:highlight w:val="none"/>
        </w:rPr>
        <w:t xml:space="preserve">第三章  招标内容及要求</w:t>
      </w:r>
      <w:r/>
    </w:p>
    <w:p>
      <w:pPr>
        <w:ind w:firstLine="482"/>
        <w:jc w:val="left"/>
        <w:spacing w:line="48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1.项目属性: 货物类项目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2.项目名称：</w:t>
      </w:r>
      <w:r>
        <w:rPr>
          <w:rFonts w:hint="eastAsia" w:ascii="宋体" w:hAnsi="宋体" w:cs="宋体"/>
          <w:color w:val="auto"/>
          <w:sz w:val="24"/>
          <w:szCs w:val="24"/>
          <w:highlight w:val="none"/>
        </w:rPr>
        <w:t xml:space="preserve">建湖县公安局建湖县公安局2026年交安智能电子管控设备项目</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3.最高限价：本项目最高限价为300.00万元，投标单位报价高于最高限价的作无效标处理。</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4.采购需求：</w:t>
      </w:r>
      <w:r>
        <w:rPr>
          <w:rFonts w:hint="eastAsia" w:ascii="宋体" w:hAnsi="宋体" w:cs="宋体"/>
          <w:color w:val="auto"/>
          <w:sz w:val="24"/>
          <w:szCs w:val="24"/>
          <w:highlight w:val="none"/>
        </w:rPr>
        <w:t xml:space="preserve">建湖县公安局智能制造设备采购</w:t>
      </w:r>
      <w:r>
        <w:rPr>
          <w:rFonts w:hint="eastAsia" w:ascii="宋体" w:hAnsi="宋体" w:cs="Arial"/>
          <w:bCs/>
          <w:color w:val="auto"/>
          <w:sz w:val="24"/>
          <w:szCs w:val="24"/>
          <w:highlight w:val="none"/>
        </w:rPr>
        <w:t xml:space="preserve">，具体内容详见招标文件要求</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5</w:t>
      </w:r>
      <w:r>
        <w:rPr>
          <w:rFonts w:hint="eastAsia" w:ascii="宋体" w:hAnsi="宋体" w:cs="宋体"/>
          <w:color w:val="auto"/>
          <w:sz w:val="24"/>
          <w:szCs w:val="24"/>
          <w:highlight w:val="none"/>
        </w:rPr>
        <w:t xml:space="preserve">.供货期：合同签订并接到采购人供货通知后45日历天内到货并安装调试完毕。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6.质保期：三年</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7.本项目（是/否）接受联合体投标：不接受联合体</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8.本项目（是/否）进口产品投标：不接受进口产品</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二、采购内容及招标技术参数及要求</w:t>
      </w:r>
      <w:r/>
    </w:p>
    <w:tbl>
      <w:tblPr>
        <w:tblStyle w:val="811"/>
        <w:tblpPr w:horzAnchor="page" w:tblpX="1309" w:vertAnchor="text" w:tblpY="64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30"/>
        <w:gridCol w:w="1202"/>
        <w:gridCol w:w="5936"/>
        <w:gridCol w:w="912"/>
        <w:gridCol w:w="935"/>
      </w:tblGrid>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项目</w:t>
            </w:r>
            <w:r/>
          </w:p>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A</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交通信号灯路口增设卡口型电子警察系统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1200万像素高清电警抓拍单元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2"/>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采用全局曝光 CMOS 传感器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2.设备组成检查：高清抓拍单元由摄像机、高清镜头、室外防护罩、风扇、补光灯、电源适配器、安装万向节等组成。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3.接口检查：具有2个RJ45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信号灯故障检测功能检查：支持通过视频检测信号灯故障状态功能，故障状态包括灯组内三个颜色都不亮，灯组内红灯和绿灯同时亮，灯组内红灯或绿灯一直亮或一直不亮，倒计数数字灯不亮。输出故障信息同步上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5.★车型识别功能检查：支持车型识别，可识别车型种类≥49种。</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6.支持识别以下15种普通车型：大货车、中货车、小货车、大客车、中客车、轿车、面包车、suv、mpv、公交车、皮卡车、微型车、摩托车、二轮车、三轮车；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识别以下20种特殊车型：普通罐车、油罐车、渣土车、集装箱卡车、微卡/栏板车、混凝土搅拌车、出租车、警车、校车、救护车、洒水车、危险品运输车、消防车、拖拉机、吊车/工程车、平板拖车、粉粒物料运输车、吸污车、农用车、环卫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7.支持识别以下44种车型：轻型普通货车、轻型厢式货车、轻型平板货车、两厢轿车、三厢轿车、轿跑、小型客车、小型越野客车、小型面包车、中型罐式货车、中型仓栅</w:t>
            </w:r>
            <w:r>
              <w:rPr>
                <w:rFonts w:hint="eastAsia" w:ascii="宋体" w:hAnsi="宋体" w:cs="宋体"/>
                <w:color w:val="auto"/>
                <w:sz w:val="20"/>
                <w:highlight w:val="none"/>
                <w:lang w:bidi="ar"/>
              </w:rPr>
              <w:t xml:space="preserve">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9.支持识别车身副颜色。</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违法行为检测功能试验：具有超速、压线、禁止大货车、逆向行驶、闯红灯、不按车道行驶、违法变道、违法掉头、不礼让行人、闯禁令、占用非机动车道、接打电话、不系安全带、货车禁行、外地车未办理进京证的违法行为检测及抓拍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11.在白天视频光照正常、夜间视频补光正常情况下，白天违法行为捕获率&gt;99%；夜间违法行为捕获率&gt;99%；白天违法行为记录有效率&gt;99%；夜间违法行为记录有效率&gt;99%。</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12.闯红灯事件检测试验 ：在天气晴朗无雾，车辆无遮挡，白天环境光照度不低于 200lx，夜晚辅助光照度不高于30lx的情况下进行测试；白天捕获率≥99%，晚上捕获率≥99%；白天准确率≥99%，晚上准确率≥99%。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13.车辆识别性能试验 ：在天气晴朗无雾，车辆无遮挡，号牌无污损白天环境光照度不低于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14.★车牌识别功能检查 ：支持对25×10 像素～1100×3000 像素的机动车车牌进行抓拍并识别号码；</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15.支持抓拍并识别垂直倾斜角度≤45°、水平倾斜角度≤35°、俯仰角度≤40°的机动车车牌号码。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16.★目标跟踪功能检查 ：支持检测并跟踪指定区域内不少于 245 个目标，目标包括机动车、非机动车以及行人。 </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目标检测功能试验：具有机动车、行人、骑行者检测功能；在白天视频光照正常、夜间视频补光正常情况下，白天目标检测捕获率&gt;99%；晚上目标检测捕获率&gt;99%；白天目标检测准确率&gt;99%；晚上目标检测准确率&gt;99%。</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18.监控摄像机图像画面信息不应有明显的缺损，图像画面应连贯，物体移动时图像不应有前冲现象、图像边缘不应有明显的锯齿状、拉毛、断裂、拖尾等现象。5级评分应不低于3.5分。</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19.失步时间：≤1s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20.支持配置行人在检测区域内停留时间，若配置5秒则当人体目标在区域内停留5秒以上可检出并提示。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抓拍的车牌图片支持配置放大倍数（1倍/2倍/3倍）。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支持对无人驾驶的车辆进行车牌识别。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21.★支持对改装的牛眼灯进行检测。</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22.闯禁令支持根据车牌类型区分抓拍计划，包括蓝牌、新能源和货车三种，支持设置蓝牌和新能源车牌在22点～7点进行抓拍，黄牌货车24小时全天进行抓拍。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23.支持车辆右转弯压实线检测并抓拍。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24.支持视频测速功能，视频测速误差不大于5%（车速30km/h～65km/h范围内）； 支持外接雷达实现测速，并支持视频测速校正雷达测速结果输出。（在雷达未标定情况下）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25.支持逆行和变道违章触发抓拍，逆行识别类型包括:高速公路逆行、单行道逆向行驶;变道违章检测类型包括:实线变道(含双黄线)、导流区变道、连续变道(&gt;3条车道)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26.支持图片编码质量配置，车牌小图的图片质量(大/中/小)可配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27.支持车牌遮挡检查功能，在检测到车牌被遮挡的情况下可给出提示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28.支持对两轮/三轮车分类识别;可识别外卖箱(外卖品牌)的标识。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29.冒红灯违章支持叠加红灯已亮时间，可按照抓拍索引配置叠加红灯已亮时间</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30.支持渣土车/大货车喷涂车牌识别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31.支持同时输出不少于5路视频流，其中1路不低于16Mbps码率，1路不低于8Mbps码率。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智能鹰眼全结构化球机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1.细节通道视频图像分辨率不小于2688×1520，全景通道视频图像分辨率不小于2688×1520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2.摄像机内置不少于2个镜头，可输出至少1路全景视频图像和1路细节视频图像</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3.内置2颗GPU芯片，全景视频图像内置1个镜头，光圈不小于F1.0，具有不小于1/1.8靶面尺寸,细节视频图像内置1个镜头,内置10颗红外补光灯及1颗白光灯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4.细节视频图像内置1个镜头，支持不小于25倍光学变倍，镜头最大焦距不小于120mm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5.全景画面水平视场角90°，垂直视场角50°。全景通道可进行垂直旋转，旋转范围10°可调</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最低照度：全景通道彩色≤0.0005lx，黑白≤0.0001lx，细节通道彩色≤0.005lx，黑白≤0.001lx</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水平旋转范围360°连续旋转，垂直旋转范围-20°~90°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6.可设置300个预置位，8条巡航路径。支持预置位视频冻结功能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7.设备具有 H.265、H.264、MJPEG设置选项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9.★具有AI-ISP图像质量提升功能，在低照度环境下，可自动调节预览场景视频画面中人脸、人体、车辆等目标及预览场景视频画面的区域曝光、亮度、色彩饱和度、对比度、锐度等。</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10.★设备可同时对行人、非机动车、机动车进行检测、跟踪、抓拍，可支持人脸与人体，车牌与车辆的关联显示</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13.★可从诊断信息中导出云台控制历史记录，包括：手动键控PTZ、3D定位、手动调用预置点、手动调用花扫、手动调用巡航。</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14.可识别距设备200m处的人体轮廓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15.支持2路报警输入、1路报警输出、1路音频输入、16.1路音频输出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17.外壳防护等级不低于IP67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18.支持在-40°C~70 °C范围内功能应正常</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高清牌照识别</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车辆牌照上传对接，无缝推送数据至县市级交警平台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成像控制</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与抓拍机配套</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牌照补光灯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1.光源类型：原装大功率LED，单车道环境补光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2.LED灯珠数量：不少于16颗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3.发光角度：大于等于10°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4.最佳补光距离：16米-25米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5.触发方式：电平量触发(可选配开关量触发)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6.响应时间：小于20us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7.日夜功能：支持环境亮度监测,低照度下自动开启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8.触发信号电平：4V-6V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环境补光灯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1光源类型：原装大功率LED，三车道车牌补光灯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2.LED灯珠数量：不少于16颗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3.发光角度：大于等于40°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4.最佳补光距离：16米-25米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5.触发方式：电平量触发(可选配开关量触发)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6.响应时间：小于20us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7.★频率0-250HZ可调；支持通过调整占空比1%~39%进行亮度调节。</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8.日夜功能：支持环境亮度监测,低照度下自动开启(可选配)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9.触发信号电平：4V-6V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10.★支持远程显示补光灯故障、正常、开启、关闭等工作状态。</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前段存储设备</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1.具有18个10M/100M/1000M自适应RJ45接口，其中P1～P16与G1处于同一网段、G2处于另一网段；2个1000M SFP光端接口，分别与G1、G2处于同一网段。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2.支持IP地址过滤、SSH开关自定义、视频水印等安全防护功能，具有ARP防攻击设置选项、具备强密码管理功能；支持WEB回话Session ID、数据传输加密、固件完整性等安全检验。</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3.设备具备权限管理、数据加密、运行日志功能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5.摄像机与客户端分别连接样机的不同网段时，客户端可以通过端口映射，跨网段直接访问摄像机，对摄像机进行操作，包括进行参数配置、录像实时预览等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支持将1张、2张、3张、4张、5张、6张图片合成，支持选择图片形状，修改顺序，支持原始图片去黑边。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6.支持4块3.5或2.5英寸硬盘接入，每块盘位最大兼容12TB硬盘，支持硬盘自动切换，当一块硬盘损坏后，能自动切换至其它硬盘进行存储。支持SSD,机械硬盘和SSD可以混合使用。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7.外接机柜门时，通过连接开关量信号及相应的设置，当机柜门打开后，联动声音报警。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9.支持相同车牌号去重功能，多相机抓拍同一车牌号仅上传一条该车牌条记录到平台。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10.可对IP通道进行图像虚焦、亮度异常、图像偏色、雪花干扰、条纹干扰等类型视频质量进行诊断，可生成诊断信息并导出查看。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t xml:space="preserve">1.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8口工业级交换机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千兆8口，用于立杆抱箱至落地箱之间的网络传输</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汇聚落地箱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户外铁制镀锌喷塑：约600*600*1200cm，内含托架3层，安装柱，防雷，漏电保护，空开，插线板等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千兆不低于16口，带2组光口</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百兆单模双纤40公里（国标）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千兆单模单纤60公里（国标）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1.传感器类型：1” Global shutter 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2.图像控制：曝光速度、AGC控制、白平衡方式控制等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3.视频压缩标准：H.264, H.265, 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4.视频分辨率：4096(H)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5.压缩输出码率：32 Kbps~16 Mbps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6.帧率：25fps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7.多码流：支持3码流：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8.主码流：4096×2160（默认）；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9.子码流：1920×1080（默认）；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10.三码流：1920×1080（默认）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11.抓拍图片格式：JPEG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12.抓拍图片分辨率：4096(H)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13.存储功能：TF, USB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14.支持协议：ISAPI，GB/T 28181视频联网标准，GA/T 1400视图库标准，SDK，FTP协议等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15.镜头规格：50mm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16.光圈类型：手动光圈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17.通讯接口：3个RS-485接口，1个RS-232接口；2个RJ45 10M/100M/1000M自适应以太网口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18.触发输入：1个触发/报警输入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19.触发输出：7路F+/F-输出接口，可作为补光灯同步输出控制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20.同步输入：SYNC信号灯电源同步输入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22.机动车：车牌识别：支持识别符合GA 36《中华人民共和国机动车号牌》标准的车牌类型；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23.车身颜色识别：白、灰、黄、红、紫、绿、蓝、棕、黑；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24.车型识别：大客车、中型客车、大货车、小货车、面包车、皮卡、轿车、SUV/MPV、二轮车、三轮车；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25.车辆品牌，子品牌识别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26.非机动车：车型识别、特征识别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27.行人：人体识别、特征识别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28.整体组成：防尘、防水面板，内置LED补光灯，摄像机，单元防护罩，电源适配器（AC220转DC12）</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司乘人员抓拍性能：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1.应采用铝合金灯体，面罩耐高温材料，透光效果好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具备不少于24颗原装高亮度LED芯片，寿命长，稳定性好，发光效率高；</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2.应具备LED格栅，有效减少周边光污染；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3.气体光源回电时间应≤67ms，支持超速连拍；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4.支持气体补光控制具有峰值抑制功能；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5.支持LED灯频闪、白光气体爆闪，红外气体爆闪；</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6.支持相机误触发保护功能，触发信号输入异常时自动保护、且自动恢复；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7.符合GA/T 1202-2022《交通技术监控成像补光装置通用技术条件》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电警立杆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八棱热镀锌喷塑杆件：立杆高度6.5米、臂长10米、立杆壁厚δ8、横臂δ6、底部法兰对角φ430*8*M27，镀锌量不少于550g/m2，锌层厚度不少于85um</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基础尺寸≥1.5米×1.5米×1.5米，地笼规格不低于8-M24-1200MM，（含开挖、地笼、商混C25、回填等）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2、智能控制功能：支持非法取电告警功能，当电流超过预设值时，发出告警提示。</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7、端口自定义功能：支持输出端口自定义，支持配置不同控制策略。</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接地设备</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电源电缆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国标RVV2*4，注：如遇原路口主电源线线径过小需更换，保证新安装的电子警察设备正常工作</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国标RVV2*1.0</w:t>
            </w:r>
            <w:r/>
          </w:p>
        </w:tc>
        <w:tc>
          <w:tcPr>
            <w:shd w:val="clear" w:color="auto" w:fill="auto"/>
            <w:tcBorders>
              <w:top w:val="none" w:color="000000" w:sz="4" w:space="0"/>
              <w:left w:val="none" w:color="000000" w:sz="4" w:space="0"/>
              <w:bottom w:val="singl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馈线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国标RVVSP6*1.0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四芯（国标）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双管￠50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含固定信号灯抱箍、立杆固定高强螺栓、螺帽、接地及防雷设备等安装调试必备辅材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个路口每个路口按1项计算。杆件吊装、杆件地笼运输、前端设备安装及通电调试、线路维修、管道疏通等费用，在施工现场摆放施工警示牌及路障、路锥，并安排专人在路口疏导交通。确保系统正常运行，达到合格标准，违法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B</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重点区域增设道路视频监控设备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3"/>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传感器类型：【全景】1/1.8＂ 逐行扫描CMOS,【细节】1/2.8" 逐行扫描CMOS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2.最低照度：【全景】彩色：0.0005 Lux @（F1.0，AGC ON），0 Lux with Light；</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3.【细节】彩色：0.005 Lux @（F1.6，AGC ON），黑白：0.001 Lux @（F1.6，AGC ON），0 Lux with IR</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4.光学变倍：23倍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5.焦距：【全景】4mm；【细节】4.8 mm~110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6.视场角：【全景】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7.水平视场角：88.7°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8.垂直视场角：44.7°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9.对角视场角：107.5°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水平视场角：55~2.7°（广角-望远）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垂直视场角：33~1.5°（广角-望远）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对角视场角：61.5~3.1°（广角-望远）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补光灯类型：【全景】：白光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【细节】：红外，白光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补光灯距离：【全景】：白光30m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【细节】：红外100m，白光60m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红外波长范围：850 nm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水平范围：【细节】360°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垂直范围：-10°-90°(自动翻转)</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水平速度：水平键控速度：0.1°-240°/s,速度可设;水平预置点速度：240°/s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垂直速度：垂直键控速度：0.1°-200°/s,速度可设;垂直预置点速度：200°/s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主码流帧率分辨率：【全景】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视频压缩标准：主码流：H.264/H.265+/H.265/H.264+ 子码流：H.264/H.265/MJPEG 第三码流：H.264/H.265/MJPEG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宽动态：支持真宽动态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网络接口：RJ45网口,自适应10M/100M网络数据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SD卡扩展：内置Micro SD卡插槽，支持Micro SD/Micro SDHC/Micro SDXC卡（最大支持512GB）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内置麦克风：支持双mic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音频：1路音频输入1路音频输出</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报警：2路报警输入，1路报警输出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电流及功耗：DC36 V ±25%，最大功耗：24W（其中除雾加热3.5W，补光灯7W）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 ×216.4 × 333.6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重量：4 KG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工作温湿度：-30℃-65℃；湿度小于90% ,(无凝结)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除雾：加热玻璃除雾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防护：IP66，符合GB/T 17626.5 认证标准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球机立杆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等径杆，高度6.5米，横臂5米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基础尺寸≥1.5米×1.5米×1.5米，地笼规格不低于8-M24-1200MM，（含开挖、地笼、商混C25、回填等）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2、智能控制功能：支持非法取电告警功能，当电流超过预设值时，发出告警提示。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7、端口自定义功能：支持输出端口自定义，支持配置不同控制策略。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RVV2*1.0（国标）</w:t>
            </w:r>
            <w:r/>
          </w:p>
        </w:tc>
        <w:tc>
          <w:tcPr>
            <w:shd w:val="clear" w:color="auto" w:fill="auto"/>
            <w:tcBorders>
              <w:top w:val="none" w:color="000000" w:sz="4" w:space="0"/>
              <w:left w:val="none" w:color="000000" w:sz="4" w:space="0"/>
              <w:bottom w:val="singl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RVV2*2.5，（国标，中标方负责将附近220V电源接至立杆抱箱内）</w:t>
            </w:r>
            <w:r/>
          </w:p>
        </w:tc>
        <w:tc>
          <w:tcPr>
            <w:shd w:val="clear" w:color="auto" w:fill="auto"/>
            <w:tcBorders>
              <w:top w:val="non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含固定信号灯抱箍、立杆固定高强螺栓、螺帽、接地及防雷设备等安装调试必备辅材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个点位每个点位按1项计算。杆件吊装、杆件地笼运输、前端设备安装及通电调试、线路维修、管道疏通等费用，在施工现场摆放施工警示牌及路障、路锥，并安排专人在路口疏导交通。确保系统正常运行，达到合格标准，视频取证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C</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更换老旧测速点设备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平板微波雷达</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1.窄波测速雷达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2.单车道测速雷达，频率24G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3.测速距离：单车道18～28m(可调整)</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4.测速范围：10km/h～250km/h</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5.WIFI功能：可通过雷达WIFI进行雷达各项参数设置，调试简单快捷</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6.工作电压：9-12V DC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7.工作功耗：≤2W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8.选择行驶方向: 反向、同向、双方向。</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1.传感器类型：1” Global shutter 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2.图像控制：曝光速度、AGC控制、白平衡方式控制等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3.视频压缩标准：H.264, H.265, 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4.视频分辨率：4096(H)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5.压缩输出码率：32 Kbps~16 Mbps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6.帧率：25fps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7.多码流：支持3码流：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8.主码流：4096×2160（默认）；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9.子码流：1920×1080（默认）；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10.三码流：1920×1080（默认）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11.抓拍图片格式：JPEG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12.抓拍图片分辨率：4096(H)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13.存储功能：TF, USB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14.支持协议：ISAPI，GB/T 28181视频联网标准，GA/T 1400视图库标准，SDK，FTP协议等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15.镜头规格：50mm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16.光圈类型：手动光圈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17.通讯接口：3个RS-485接口，1个RS-232接口；2个RJ45 10M/100M/1000M自适应以太网口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18.触发输入：1个触发/报警输入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19.触发输出：7路F+/F-输出接口，可作为补光灯同步输出控制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20.同步输入：SYNC信号灯电源同步输入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22.机动车：车牌识别：支持识别符合GA 36《中华人民共和国机动车号牌》标准的车牌类型；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23.车身颜色识别：白、灰、黄、红、紫、绿、蓝、棕、黑；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24.车型识别：大客车、中型客车、大货车、小货车、面包车、皮卡、轿车、SUV/MPV、二轮车、三轮车；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25.车辆品牌，子品牌识别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26.非机动车：车型识别、特征识别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27.行人：人体识别、特征识别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28.整体组成：防尘、防水面板，内置LED补光灯，摄像机，单元防护罩，电源适配器（AC220转DC12）</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司乘人员抓拍性能：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b/>
                <w:bCs/>
                <w:color w:val="auto"/>
                <w:sz w:val="20"/>
                <w:highlight w:val="none"/>
                <w:lang w:bidi="ar"/>
              </w:rPr>
              <w:t xml:space="preserve">（投标时须提供公安部交通安全产品质量监督检测中心出具的检测报告原件扫描件并加盖投标单位公章）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1.★具有18个10M/100M/1000M自适应RJ45接口，其中P1～P16与G1处于同一网段、G2处于另一网段；2个1000M SFP光端接口，分别与G1、G2处于同一网段。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2.支持IP地址过滤、SSH开关自定义、视频水印等安全防护功能，具有ARP防攻击设置选项、具备强密码管理功能；支持WEB回话Session ID、数据传输加密、固件完整性等安全检验。</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3.设备均应具备权限管理、数据加密、运行日志功能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5.摄像机与客户端分别连接样机的不同网段时，客户端可以通过端口映射，跨网段直接访问摄像机，对摄像机进行操作，包括进行参数配置、录像实时预览等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支持将1张、2张、3张、4张、5张、6张图片合成，支持选择图片形状，修改顺序，支持原始图片去黑边。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6.支持4块3.5或2.5英寸硬盘接入，每块盘位最大兼容12TB硬盘，支持硬盘自动切换，当一块硬盘损坏后，能自动切换至其它硬盘进行存储。支持SSD,机械硬盘和SSD可以混合使用。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7.外接机柜门时，通过连接开关量信号及相应的设置，当机柜门打开后，联动声音报警。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9.支持相同车牌号去重功能，多相机抓拍同一车牌号仅上传一条该车牌条记录到平台。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10可对IP通道进行图像虚焦、亮度异常、图像偏色、雪花干扰、条纹干扰等类型视频质量进行诊断，可生成诊断信息并导出查看。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百兆单模双纤40公里（国标）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1.应采用铝合金灯体，面罩耐高温材料，透光效果好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具备不少于24颗原装高亮度LED芯片，寿命长，稳定性好，发光效率高；</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2.应具备LED格栅，有效减少周边光污染；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3.气体光源回电时间应≤67ms，支持超速连拍；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4.支持气体补光控制具有峰值抑制功能；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5.支持LED灯频闪、白光气体爆闪，红外气体爆闪；</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6.支持相机误触发保护功能，触发信号输入异常时自动保护、且自动恢复；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7.符合GA/T 1202-2022《交通技术监控成像补光装置通用技术条件》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2、智能控制功能：支持非法取电告警功能，当电流超过预设值时，发出告警提示。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7、端口自定义功能：支持输出端口自定义，支持配置不同控制策略。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T型八棱热镀锌喷塑杆件：立杆高度6.5米，双向横臂各8米，立杆壁厚φ8，横臂壁厚φ6.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RVV2*2.5，（国标，中标方负责将附近220V电源接至立杆抱箱内）</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50*50cm(含井圈、砌井、辅材等）</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安装所需的各项辅材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个点位每个点位按1项计算。杆件吊装、杆件地笼运输、前端设备安装及通电调试、线路维修、管道疏通等费用，在施工现场摆放施工警示牌及路障、路锥，并安排专人在路口疏导交通。确保系统正常运行，达到合格标准，测速及过车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D</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国省道增设防疲劳及哨兵系统设备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eastAsia="宋体" w:cs="宋体"/>
                <w:color w:val="auto"/>
                <w:sz w:val="20"/>
                <w:highlight w:val="none"/>
                <w:lang w:eastAsia="zh-CN"/>
              </w:rPr>
            </w:pPr>
            <w:r>
              <w:rPr>
                <w:rFonts w:hint="eastAsia" w:ascii="宋体" w:hAnsi="宋体" w:cs="宋体"/>
                <w:color w:val="auto"/>
                <w:sz w:val="20"/>
                <w:highlight w:val="none"/>
                <w:lang w:bidi="ar"/>
              </w:rPr>
              <w:t xml:space="preserve">双光束激光灯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Style w:val="1057"/>
                <w:rFonts w:hint="default"/>
                <w:color w:val="auto"/>
                <w:highlight w:val="none"/>
                <w:lang w:bidi="ar"/>
              </w:rPr>
              <w:t xml:space="preserve">1、激光颜色：绿色              </w:t>
            </w:r>
            <w:r>
              <w:rPr>
                <w:rStyle w:val="1057"/>
                <w:rFonts w:hint="default"/>
                <w:color w:val="auto"/>
                <w:highlight w:val="none"/>
                <w:lang w:bidi="ar"/>
              </w:rPr>
              <w:t xml:space="preserve">                                                                                                                                                                                                                                                  2、激光头功率：双绿1W*2</w:t>
            </w:r>
            <w:r>
              <w:rPr>
                <w:rStyle w:val="1057"/>
                <w:rFonts w:hint="default"/>
                <w:color w:val="auto"/>
                <w:highlight w:val="none"/>
                <w:lang w:bidi="ar"/>
              </w:rPr>
              <w:br/>
            </w:r>
            <w:r>
              <w:rPr>
                <w:rStyle w:val="1057"/>
                <w:rFonts w:hint="default"/>
                <w:color w:val="auto"/>
                <w:highlight w:val="none"/>
                <w:lang w:bidi="ar"/>
              </w:rPr>
              <w:t xml:space="preserve">3、激光束波长：绿色520nm</w:t>
            </w:r>
            <w:r>
              <w:rPr>
                <w:rStyle w:val="1057"/>
                <w:rFonts w:hint="default"/>
                <w:color w:val="auto"/>
                <w:highlight w:val="none"/>
                <w:lang w:bidi="ar"/>
              </w:rPr>
              <w:br/>
            </w:r>
            <w:r>
              <w:rPr>
                <w:rStyle w:val="1057"/>
                <w:rFonts w:hint="default"/>
                <w:color w:val="auto"/>
                <w:highlight w:val="none"/>
                <w:lang w:bidi="ar"/>
              </w:rPr>
              <w:t xml:space="preserve">4、光斑模式：光斑粗细可以调节</w:t>
            </w:r>
            <w:r>
              <w:rPr>
                <w:rStyle w:val="1057"/>
                <w:rFonts w:hint="default"/>
                <w:color w:val="auto"/>
                <w:highlight w:val="none"/>
                <w:lang w:bidi="ar"/>
              </w:rPr>
              <w:br/>
            </w:r>
            <w:r>
              <w:rPr>
                <w:rStyle w:val="1057"/>
                <w:rFonts w:hint="default"/>
                <w:color w:val="auto"/>
                <w:highlight w:val="none"/>
                <w:lang w:bidi="ar"/>
              </w:rPr>
              <w:t xml:space="preserve">5、额定工作电压：DC12V/24V</w:t>
            </w:r>
            <w:r>
              <w:rPr>
                <w:rStyle w:val="1057"/>
                <w:rFonts w:hint="default"/>
                <w:color w:val="auto"/>
                <w:highlight w:val="none"/>
                <w:lang w:bidi="ar"/>
              </w:rPr>
              <w:br/>
            </w:r>
            <w:r>
              <w:rPr>
                <w:rStyle w:val="1057"/>
                <w:rFonts w:hint="default"/>
                <w:color w:val="auto"/>
                <w:highlight w:val="none"/>
                <w:lang w:bidi="ar"/>
              </w:rPr>
              <w:t xml:space="preserve">6、最大工作电流：12V≤1.8A / 24V≤1A</w:t>
            </w:r>
            <w:r>
              <w:rPr>
                <w:rStyle w:val="1057"/>
                <w:rFonts w:hint="default"/>
                <w:color w:val="auto"/>
                <w:highlight w:val="none"/>
                <w:lang w:bidi="ar"/>
              </w:rPr>
              <w:br/>
            </w:r>
            <w:r>
              <w:rPr>
                <w:rStyle w:val="1057"/>
                <w:rFonts w:hint="default"/>
                <w:color w:val="auto"/>
                <w:highlight w:val="none"/>
                <w:lang w:bidi="ar"/>
              </w:rPr>
              <w:t xml:space="preserve">7、同步功能：同步功能（多个灯并联工作时，在同一模式下能够同步工作）</w:t>
            </w:r>
            <w:r>
              <w:rPr>
                <w:rStyle w:val="1057"/>
                <w:rFonts w:hint="default"/>
                <w:color w:val="auto"/>
                <w:highlight w:val="none"/>
                <w:lang w:bidi="ar"/>
              </w:rPr>
              <w:br/>
            </w:r>
            <w:r>
              <w:rPr>
                <w:rStyle w:val="1057"/>
                <w:rFonts w:hint="default"/>
                <w:color w:val="auto"/>
                <w:highlight w:val="none"/>
                <w:lang w:bidi="ar"/>
              </w:rPr>
              <w:t xml:space="preserve">8、夜间可视距离：晴朗天气≥1.5km,雨雾天气≥3km,</w:t>
            </w:r>
            <w:r>
              <w:rPr>
                <w:rStyle w:val="1057"/>
                <w:rFonts w:hint="default"/>
                <w:color w:val="auto"/>
                <w:highlight w:val="none"/>
                <w:lang w:bidi="ar"/>
              </w:rPr>
              <w:br/>
            </w:r>
            <w:r>
              <w:rPr>
                <w:rStyle w:val="1057"/>
                <w:rFonts w:hint="default"/>
                <w:color w:val="auto"/>
                <w:highlight w:val="none"/>
                <w:lang w:bidi="ar"/>
              </w:rPr>
              <w:t xml:space="preserve">9、外壳材质：全铝外壳、PC端盖、不锈钢支架</w:t>
            </w:r>
            <w:r>
              <w:rPr>
                <w:rStyle w:val="1057"/>
                <w:rFonts w:hint="default"/>
                <w:color w:val="auto"/>
                <w:highlight w:val="none"/>
                <w:lang w:bidi="ar"/>
              </w:rPr>
              <w:br/>
            </w:r>
            <w:r>
              <w:rPr>
                <w:rStyle w:val="1057"/>
                <w:rFonts w:hint="default"/>
                <w:color w:val="auto"/>
                <w:highlight w:val="none"/>
                <w:lang w:bidi="ar"/>
              </w:rPr>
              <w:t xml:space="preserve">10、控制方式：云平台/APP</w:t>
            </w:r>
            <w:r>
              <w:rPr>
                <w:rStyle w:val="1057"/>
                <w:rFonts w:hint="default"/>
                <w:color w:val="auto"/>
                <w:highlight w:val="none"/>
                <w:lang w:bidi="ar"/>
              </w:rPr>
              <w:br/>
            </w:r>
            <w:r>
              <w:rPr>
                <w:rStyle w:val="1058"/>
                <w:rFonts w:hint="default"/>
                <w:color w:val="auto"/>
                <w:highlight w:val="none"/>
                <w:lang w:bidi="ar"/>
              </w:rPr>
              <w:t xml:space="preserve">11、云平台控制模块要求：4G、北斗定位、接入云平台,可以设定工作模式系统自动开启，也可以手动开启关闭，闪光工作模式不低于三种，设备故障离线可以自动上报平台；</w:t>
            </w:r>
            <w:r>
              <w:rPr>
                <w:rStyle w:val="1037"/>
                <w:color w:val="auto"/>
                <w:highlight w:val="none"/>
                <w:lang w:bidi="ar"/>
              </w:rPr>
              <w:br/>
            </w:r>
            <w:r>
              <w:rPr>
                <w:rStyle w:val="1037"/>
                <w:color w:val="auto"/>
                <w:highlight w:val="none"/>
                <w:lang w:bidi="ar"/>
              </w:rPr>
              <w:t xml:space="preserve">12、激光发射装置外壳防护等级： IP66</w:t>
            </w:r>
            <w:r>
              <w:rPr>
                <w:rStyle w:val="1037"/>
                <w:color w:val="auto"/>
                <w:highlight w:val="none"/>
                <w:lang w:bidi="ar"/>
              </w:rPr>
              <w:br/>
            </w:r>
            <w:r>
              <w:rPr>
                <w:rStyle w:val="1037"/>
                <w:color w:val="auto"/>
                <w:highlight w:val="none"/>
                <w:lang w:bidi="ar"/>
              </w:rPr>
              <w:t xml:space="preserve">13、电源线规格：国标RVV三芯0.5平方毫米，防水航空插</w:t>
            </w:r>
            <w:r>
              <w:rPr>
                <w:rStyle w:val="1037"/>
                <w:color w:val="auto"/>
                <w:highlight w:val="none"/>
                <w:lang w:bidi="ar"/>
              </w:rPr>
              <w:br/>
            </w:r>
            <w:r>
              <w:rPr>
                <w:rStyle w:val="1037"/>
                <w:color w:val="auto"/>
                <w:highlight w:val="none"/>
                <w:lang w:bidi="ar"/>
              </w:rPr>
              <w:t xml:space="preserve">1</w:t>
            </w:r>
            <w:r>
              <w:rPr>
                <w:rStyle w:val="1037"/>
                <w:rFonts w:hint="eastAsia"/>
                <w:color w:val="auto"/>
                <w:highlight w:val="none"/>
                <w:lang w:bidi="ar"/>
              </w:rPr>
              <w:t xml:space="preserve">4</w:t>
            </w:r>
            <w:r>
              <w:rPr>
                <w:rStyle w:val="1037"/>
                <w:color w:val="auto"/>
                <w:highlight w:val="none"/>
                <w:lang w:bidi="ar"/>
              </w:rPr>
              <w:t xml:space="preserve">、使用温度范围 ：－20℃—60℃</w:t>
            </w:r>
            <w:r>
              <w:rPr>
                <w:rStyle w:val="1037"/>
                <w:color w:val="auto"/>
                <w:highlight w:val="none"/>
                <w:lang w:bidi="ar"/>
              </w:rPr>
              <w:br/>
            </w:r>
            <w:r>
              <w:rPr>
                <w:rStyle w:val="1037"/>
                <w:color w:val="auto"/>
                <w:highlight w:val="none"/>
                <w:lang w:bidi="ar"/>
              </w:rPr>
              <w:t xml:space="preserve">1</w:t>
            </w:r>
            <w:r>
              <w:rPr>
                <w:rStyle w:val="1037"/>
                <w:rFonts w:hint="eastAsia"/>
                <w:color w:val="auto"/>
                <w:highlight w:val="none"/>
                <w:lang w:bidi="ar"/>
              </w:rPr>
              <w:t xml:space="preserve">5</w:t>
            </w:r>
            <w:r>
              <w:rPr>
                <w:rStyle w:val="1037"/>
                <w:color w:val="auto"/>
                <w:highlight w:val="none"/>
                <w:lang w:bidi="ar"/>
              </w:rPr>
              <w:t xml:space="preserve">、冷却方式：风扇散热</w:t>
            </w:r>
            <w:r>
              <w:rPr>
                <w:rStyle w:val="1037"/>
                <w:color w:val="auto"/>
                <w:highlight w:val="none"/>
                <w:lang w:bidi="ar"/>
              </w:rPr>
              <w:br/>
            </w:r>
            <w:r>
              <w:rPr>
                <w:rStyle w:val="1037"/>
                <w:color w:val="auto"/>
                <w:highlight w:val="none"/>
                <w:lang w:bidi="ar"/>
              </w:rPr>
              <w:t xml:space="preserve">1</w:t>
            </w:r>
            <w:r>
              <w:rPr>
                <w:rStyle w:val="1037"/>
                <w:rFonts w:hint="eastAsia"/>
                <w:color w:val="auto"/>
                <w:highlight w:val="none"/>
                <w:lang w:bidi="ar"/>
              </w:rPr>
              <w:t xml:space="preserve">6</w:t>
            </w:r>
            <w:r>
              <w:rPr>
                <w:rStyle w:val="1037"/>
                <w:color w:val="auto"/>
                <w:highlight w:val="none"/>
                <w:lang w:bidi="ar"/>
              </w:rPr>
              <w:t xml:space="preserve">、安装方式 ：固定式/抱箍</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激光控制箱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4"/>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外形尺寸（长*宽*高）：≥260*175*280mm                         2、机柜材质：定制型钣金机柜（喷塑白色）                           3、壳体防护等级：≥IP44                </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4、配置要求：防浪涌自动电路保护、大功率电源、激光灯智能远程主控电路、抱箍紧固件                 5、控制功能要求：4G、北斗定位、接入云平台,可以设定工作模式系统自动开启，也可以手动开启关闭，闪光工作模式不低于三种。</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测速反馈信息屏</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1、外观尺寸：高*宽*深： 约1500mm *720mm*110mm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2、速度显示屏： LED屏尺寸： 约640mm*480mm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3、信息提示屏 ：LED屏尺寸： 约640mm*640mm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4、雷  达： 内置K波段平板窄波束24.125GHZ射频雷达，角度范围:水平30度、俯仰16度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5、触发模式 ：雷达</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6、测速范围： 1-240 公里/小时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7、测速距离： ≥200米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8、测速精度： ±1公里/小时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9、显示特效： 支持翻页、上移、下移、左移、连续上移、连续下移、连续左移、闪烁等特效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10、摄 像 机 ：1/2.8”Progressive Scan CMO</w:t>
            </w:r>
            <w:r>
              <w:rPr>
                <w:rFonts w:hint="eastAsia" w:ascii="宋体" w:hAnsi="宋体" w:cs="宋体"/>
                <w:color w:val="auto"/>
                <w:sz w:val="20"/>
                <w:highlight w:val="none"/>
                <w:lang w:bidi="ar"/>
              </w:rPr>
              <w:t xml:space="preserve">S传感器，主码流：2592*1944、2560*1440、2048*1536 1920*1080，25帧/秒；次码流：1280*720、704*576，352*288，25帧/秒；最低照度：彩色0.01Lux@F1.2, 黑白0.005Lux@F1.2；支持图像对比度、亮度、饱和度、锐度和画面镜像、翻转、透雾、强光抑制、背光补偿、降噪等级、数字宽动态等调节；支持TCP/IP、UDP、RTP、RTSP、RTCP、RTMP、HTTP、DNS、DDNS、DHCP、NTP、PPPOE、SMTP、UPNP等网络协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11、动环监控 支持 管理平台 支持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12、防护等级 IP55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13、网络接口 4个百兆以太网电口,1个百兆SFP光口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14、电   源 AC220V输入，可选配太阳能供电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15、功   耗 整本工作功耗约70W，省电模式功耗约25W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16、工作温度 0℃~+70℃, 相对湿度：≤95%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17、储存温度 -25℃~+80℃, 相对湿度：≤95%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1.传感器类型：【全景】1/1.8＂ 逐行扫描CMOS,【细节】1/2.8" 逐行扫描CMOS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2.最低照度：【全景】彩色：0.0005 Lux @（F1.0，AGC ON），0 Lux with Light；</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3.【细节】彩色：0.005 Lux @（F1.6，AGC ON），黑白：0.001 Lux @（F1.6，AGC ON），0 Lux with IR</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4.光学变倍：23倍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5.焦距：【全景】4mm；【细节】4.8 mm~110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6.视场角：【全景】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7.水平视场角：88.7°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8.垂直视场角：44.7°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9.对角视场角：107.5°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水平视场角：55~2.7°（广角-望远）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垂直视场角：33~1.5°（广角-望远）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对角视场角：61.5~3.1°（广角-望远）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补光灯类型：【全景】：白光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【细节】：红外，白光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补光灯距离：【全景】：白光30m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【细节】：红外100m，白光60m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红外波长范围：850 nm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水平范围：【细节】360°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垂直范围：-10°-90°(自动翻转)</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水平速度：水平键控速度：0.1°-240°/s,速度可设;水平预置点速度：240°/s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垂直速度：垂直键控速度：0.1°-200°/s,速度可设;垂直预置点速度：200°/s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主码流帧率分辨率：【全景】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视频压缩标准：主码流：H.264/H.265+/H.265/H.264+ 子码流：H.264/H.265/MJPEG 第三码流：H.264/H.265/MJPEG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宽动态：支持真宽动态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网络接口：RJ45网口,自适应10M/100M网络数据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SD卡扩展：内置Micro SD卡插槽，支持Micro SD/Micro SDHC/Micro SDXC卡（最大支持512GB）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内置麦克风：支持双mic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音频：1路音频输入1路音频输出</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报警：2路报警输入，1路报警输出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电流及功耗：DC36 V ±25%，最大功耗：24W（其中除雾加热3.5W，补光灯7W）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 ×216.4 × 333.6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重量：4 KG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工作温湿度：-30℃-65℃；湿度小于90% ,(无凝结)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除雾：加热玻璃除雾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防护：IP66，符合GB/T 17626.5 认证标准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一、核心处理器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缓存：</w:t>
            </w:r>
            <w:r>
              <w:rPr>
                <w:rFonts w:ascii="宋体" w:hAnsi="宋体" w:cs="宋体"/>
                <w:color w:val="auto"/>
                <w:sz w:val="20"/>
                <w:highlight w:val="none"/>
                <w:lang w:bidi="ar"/>
              </w:rPr>
              <w:t xml:space="preserve">三级缓存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36MB，二级缓存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40MB</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最大睿频：≥5.7GHz，满足高负载场景性能需求。</w:t>
            </w:r>
            <w:r>
              <w:rPr>
                <w:rFonts w:hint="eastAsia" w:ascii="宋体" w:hAnsi="宋体" w:cs="宋体"/>
                <w:color w:val="auto"/>
                <w:sz w:val="20"/>
                <w:highlight w:val="none"/>
                <w:lang w:bidi="ar"/>
              </w:rPr>
              <w:br/>
            </w:r>
            <w:r>
              <w:rPr>
                <w:rFonts w:ascii="宋体" w:hAnsi="宋体" w:cs="宋体"/>
                <w:color w:val="auto"/>
                <w:sz w:val="20"/>
                <w:highlight w:val="none"/>
                <w:lang w:bidi="ar"/>
              </w:rPr>
              <w:t xml:space="preserve">AI 算力</w:t>
            </w:r>
            <w:r>
              <w:rPr>
                <w:rFonts w:hint="eastAsia" w:ascii="MS Gothic" w:hAnsi="MS Gothic" w:eastAsia="MS Gothic" w:cs="MS Gothic"/>
                <w:color w:val="auto"/>
                <w:sz w:val="20"/>
                <w:highlight w:val="none"/>
                <w:lang w:bidi="ar"/>
              </w:rPr>
              <w:t xml:space="preserve">‌</w:t>
            </w:r>
            <w:r>
              <w:rPr>
                <w:rFonts w:ascii="宋体" w:hAnsi="宋体" w:cs="宋体"/>
                <w:color w:val="auto"/>
                <w:sz w:val="20"/>
                <w:highlight w:val="none"/>
                <w:lang w:bidi="ar"/>
              </w:rPr>
              <w:t xml:space="preserve">：内置 NPU 单元，AI 算力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13 TOPS，适合 AI 应用场景</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二、独立显卡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支持多显示器：外接接口≥3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显存容量≥</w:t>
            </w:r>
            <w:r>
              <w:rPr>
                <w:rFonts w:ascii="宋体" w:hAnsi="宋体" w:cs="宋体"/>
                <w:color w:val="auto"/>
                <w:sz w:val="20"/>
                <w:highlight w:val="none"/>
                <w:lang w:bidi="ar"/>
              </w:rPr>
              <w:t xml:space="preserve">32GB，</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显存位宽：≥</w:t>
            </w:r>
            <w:r>
              <w:rPr>
                <w:rFonts w:ascii="宋体" w:hAnsi="宋体" w:cs="宋体"/>
                <w:color w:val="auto"/>
                <w:sz w:val="20"/>
                <w:highlight w:val="none"/>
                <w:lang w:bidi="ar"/>
              </w:rPr>
              <w:t xml:space="preserve">512bit</w:t>
            </w:r>
            <w:r>
              <w:rPr>
                <w:rFonts w:hint="eastAsia" w:ascii="宋体" w:hAnsi="宋体" w:cs="宋体"/>
                <w:color w:val="auto"/>
                <w:sz w:val="20"/>
                <w:highlight w:val="none"/>
                <w:lang w:bidi="ar"/>
              </w:rPr>
              <w:t xml:space="preserve"> ，显存速率≥1792Gbps， </w:t>
            </w:r>
            <w:r>
              <w:rPr>
                <w:rFonts w:hint="eastAsia" w:ascii="宋体" w:hAnsi="宋体" w:cs="宋体"/>
                <w:color w:val="auto"/>
                <w:sz w:val="20"/>
                <w:highlight w:val="none"/>
                <w:lang w:bidi="ar"/>
              </w:rPr>
              <w:br/>
            </w:r>
            <w:r>
              <w:rPr>
                <w:rFonts w:ascii="宋体" w:hAnsi="宋体" w:cs="宋体"/>
                <w:color w:val="auto"/>
                <w:sz w:val="20"/>
                <w:highlight w:val="none"/>
                <w:lang w:bidi="ar"/>
              </w:rPr>
              <w:t xml:space="preserve">AI 算力</w:t>
            </w:r>
            <w:r>
              <w:rPr>
                <w:rFonts w:hint="eastAsia" w:ascii="MS Gothic" w:hAnsi="MS Gothic" w:eastAsia="MS Gothic" w:cs="MS Gothic"/>
                <w:color w:val="auto"/>
                <w:sz w:val="20"/>
                <w:highlight w:val="none"/>
                <w:lang w:bidi="ar"/>
              </w:rPr>
              <w:t xml:space="preserve">‌</w:t>
            </w:r>
            <w:r>
              <w:rPr>
                <w:rFonts w:ascii="宋体" w:hAnsi="宋体" w:cs="宋体"/>
                <w:color w:val="auto"/>
                <w:sz w:val="20"/>
                <w:highlight w:val="none"/>
                <w:lang w:bidi="ar"/>
              </w:rPr>
              <w:t xml:space="preserve">：</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 2375 TOPS</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三、内存配置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容量：≥64GB，支持采用双通道，支持内存扩展。</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四、存储设备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主硬盘：≥2TB NVMe PCIe 4.0×4 M.2 SSD。</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五、显示设备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尺寸：≥32 英寸；3台</w:t>
            </w:r>
            <w:r>
              <w:rPr>
                <w:rFonts w:hint="eastAsia" w:ascii="宋体" w:hAnsi="宋体" w:cs="宋体"/>
                <w:color w:val="auto"/>
                <w:sz w:val="20"/>
                <w:highlight w:val="none"/>
                <w:lang w:val="en-US" w:eastAsia="zh-CN" w:bidi="ar"/>
              </w:rPr>
              <w:t xml:space="preserve">/套</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rPr>
              <w:t xml:space="preserve">六、工作站外设（☆注：3套工作站只需配备1台）</w:t>
            </w:r>
            <w:r>
              <w:rPr>
                <w:rFonts w:hint="eastAsia" w:ascii="宋体" w:hAnsi="宋体" w:cs="宋体"/>
                <w:color w:val="auto"/>
                <w:sz w:val="20"/>
                <w:highlight w:val="none"/>
                <w:lang w:bidi="ar"/>
              </w:rPr>
              <w:br/>
            </w:r>
            <w:r>
              <w:rPr>
                <w:rFonts w:hint="eastAsia" w:ascii="宋体" w:hAnsi="宋体" w:cs="宋体"/>
                <w:color w:val="auto"/>
                <w:sz w:val="20"/>
                <w:highlight w:val="none"/>
              </w:rPr>
              <w:t xml:space="preserve">打印机：彩色激光双面打印扫描，支持A3、A4纸张，配备TPM2.0、WPA3TM、TLS1.3等最新安全功能。</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太阳能LED道路安全预警一体机，采用高精度毫米波雷达 &amp; 200万低照度摄像机，支持车辆检测；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配合太阳能供电系统，适用于无市电的场景；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有目标经过时红蓝爆闪灯可闪烁警示；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P10模组LED屏红绿双色用于警示信息发布，支持预警文字显示，支持平台下发预警信息；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支持超速预警、来车预警、自定义播报；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内置大功率音柱，支持音量调节，可分时段控制；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支持多设备联动预警，采用lora射频通信；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支持视频监控功能，可实时预览，覆盖场景可视化；</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网络视频输入：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SDK，ISAPI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性能特点：空间分辨率高、穿透能力强，支持全天候环境下工作，不受雨、雾、大风、灰尘、光照等影响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调制波形：FMCW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水平角：-35°~+35°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俯仰角：-10°~ +10°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作用距离：100m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角分辨率：10°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速度分辨率：1km/h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串口：1个RS-485接口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显示屏：支持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图片分辨率：1920×1080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外壳材质：SGCC钣金+喷塑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网络接口：1 个RJ45 100M以太网口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最小照度：彩色0.01Lux@(F1.2,AGC ON)</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黑白0.001Lux@(F1.2,AGC ON)</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快门：1/25秒至1/100,000秒</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视频压缩标准：H.264;H.265;MJPEG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视频分辨率：1920×1080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帧率：25fps(1920×1080)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图像设置：饱和度,亮度,对比度,白平衡,增益通过软件可调</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通用功能：心跳,密码保护,NTP校时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LED可视角度：水平：140°  垂直：100°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LED显示尺寸：320mm*1280mm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物理点间距：10mm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尺寸：2418mm x 140mm x 400mm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工作温度：温度-30℃~70℃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工作湿度：湿度5%~95%@40℃，无凝结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电源：DC24V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功耗：峰值功耗 69W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平均功耗  40W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防护等级：IP54</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焦距：6mm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分辨率：1920×1080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白平衡：自动白平衡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LED多功能多文字显示屏</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包含：显示屏、抱箍（适用杆件直径160mm）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产品尺寸：720mm×2320mm×150mm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材质：铝板折边、表面喷塑哑光处理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像素：64×224</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像素组成：1R1G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点间距：10mm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水平可视角度：110°±10°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垂直可视角度：60°±10°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最佳观看距离:10-100m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平均无故障时间：≥10000小时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使用寿命：100000小时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显示内容设定：远程设定或内置存储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显示文字内容：可显示红、黄、绿三种颜色的任意文字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控制方式：10/100M以太网、自动定时控制；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使用环境：户外，-20℃ ~ +85℃，湿度≤93%</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输入电压：AC 220V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额定功率：≤56W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重量：约60KG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安装模式：横杆/立杆</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道路安全一体机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外观检查：设备表面不应有明显的凹痕、划伤、裂缝、变形和污渍；表面应色泽均匀，不应有起泡、龟裂、脱落和磨损现象；金属部件不应有锈蚀；文字标志应清晰、完整。设备表面应有产品标识，标识应采用通用符号或中文进行标注，标识应不易被擦除，且不应出现卷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结构检查：摄像机的零部件应装配牢固，连接可靠。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主输出接口检查：备的基本接口为10/100M或10/100/1000M以太网接口，应符合IEEE802.3标准，采用RJ45连接；可选用射频无线接口或光纤接口连接。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辅助数据传输接口检查：辅助数据传输接口应采用RS-232或RS-485或USB或以太网接口或I/O接口中的一种或多种接口，实现单向或双向辅助数据或报警数据传输。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图像质量检查：网络摄像机图像画面信息不应有明显的缺损，图像画面应连贯，物体移动时图像不应有前冲现象、图像边缘不应有明显的锯齿状、拉毛、断裂、拖尾等现象。5级评分应不低于3.5分。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实时叠加显示功能检查：支持在视频画面上实时叠加显示检测目标信息，包括目标ID、目标类型、目标置信度、目标滞留时间、目标长度、宽度、高度。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目标的历史行驶轨迹叠加功能检查：支持检测目标的历史行驶轨迹可在视频上叠加，支持叠加的目标轨迹数不低于50条，同时支持在设备WEB界面查看目标行驶轨迹。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实时状态监测功能检查：支持雷达、视频、主控等核心模块的实时状态监测，检测到异常时记录日志信息，并且存储到设备EMMC中，支持记录日志条数不低于一万条。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摄像机镜头异常检测功能检查：支持摄像机镜头异常检测，可检测镜头起雾或脏污、场景变更、镜头遮挡、画面模糊并能够实时给出报警信息。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结构检查：设备结构上内置不可拆卸高精度检测仪，检测仪最小刻度可达0.1°，俯仰角及水平角检测误差不大于0.1°。</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视频测速功能功能检查：设备具备视频测速功能，视频测速与雷达测速的误差不大于2km/h。</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型分类检测功能检查：设备支持包括运矿车、铲车、皮卡车、挖掘车、钻眼台车、三轮车等车辆目标类型检测，车型分类检测准确率不低于90%；同时支持分车型的车流量统计，车流量统计的车型检测准确率不低于95%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自定义区域车辆数检测功能检查：支持自定义区域车辆数检测，支持绘制任意区域检测当前区域的车辆数据并支持区域叠加和展示。支持绘制区域的车辆轨迹输出功能。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线圈压占图和记录功能检查：支持线圈压占图检测和记录功能，支持选择任意线圈开始统计和绘制图像，并能把线圈压占状态数据导出excel(时间精确到0.1s)。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国标920协议交互检查：支持设置国标920协议（GAT 920-2010 道路交通信号控制机与车辆检测器间的通信协议）。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雷达流量检测模式切换功能检查：支持切换纯雷达流量检测模式，在视频异常遮挡的情况下，输出车流量，排队，区域车辆数。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虚拟线圈检测实时过车功能检测：支持分车道、分车型实时展示通过靠近图像下边缘的虚拟线圈检测的车辆信息，包括车头间距、时距、车型、瞬时速度、车辆方向、转向信息、排队长度、拥堵情况等信息，支持选择单线圈协议、双线圈协议或多线圈协议，多线圈协议中支持路口模式，可展示转向流量。</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流量统计功能检查：支持统计固定行车方向（来向/去向）单独车道车流量；支持统计单个车道，同时有来向、有去向车辆的车流量；支持统计一段时间内的车辆信息包括断面流量、空间占有率、时间占有率、平均速度、平均时距、平均间距、平均延误、到达流量、排队长度、平均停车次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雷达与视频测速校验异常报警功能检查：支持针对同一目标当雷达测速值和视频测速值相差大于10km/h时，输出目标测速值异常报警信息。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车道线和停止线自动识别功能检查：支持基于视频的车道线和停止线自动识别功能，可识别直线/曲线车道线、虚实线、停止线等道路标线。</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雷达车道线自动配置功能检查：支持视频上生成车道线后配置给雷达，实现雷达车道线自动配置并显示。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雷视融合自动标定功能检查：支持雷视融合自动标定功能，通过智能视频分析设备与毫米波雷达的协同工作，自动完成坐标标定，建立映射关系。</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bidi="ar"/>
              </w:rPr>
              <w:t xml:space="preserve">智能运维</w:t>
            </w:r>
            <w:r>
              <w:rPr>
                <w:rFonts w:hint="eastAsia" w:ascii="宋体" w:hAnsi="宋体" w:cs="宋体"/>
                <w:color w:val="auto"/>
                <w:sz w:val="20"/>
                <w:highlight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1.支持国产操作系统部署，包括但不限于银河麒麟、统信UOS、深度Deepin、红旗Linux等服务器系统，实现全域设备集中统一管控；</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2.统计设备的运行情况：设备总数、正常设备、告警设备、离线设备，设备统计数据支持查看详情列表；展示设备列表，包含设备名称、区域、状态等信息；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3.支持定位操作，通过电子地图进行联动定位，跳转到设备的安装位置；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4.展示系统中接入设备出现断电、断电信息，支持查看设备断电、断网时间、运维信息等；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以列表形式展示电子哨兵、测速反馈屏、情报板、IP音柱、无人机场、智能机柜、智能抱杆箱、摄像机、补光灯等设备，实时统计各类型设备总数、在线数、离线数、在线率、完好率，以图表形式展示最近一次巡检情况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6.支持原生鸿蒙APP移动端管控，支持联动无人机机场设备，拓展空天地一体化预警能力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7.支持对设备的软件版本进行批量升级操作；支持告警记录进行统计列表展示，支持相关的数据查询和数据导出；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8.支持道路预警设备接入及管理，包括道路预警设备实时动环信息，信息屏文本编辑及发布，预警设备音量、语速调节、LED屏亮度调节、限速值远程配置等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9.支持自动派单、手动派单，支持对不同告警类型、不同点位进行短信派单；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10.支持管理设备，包括新增、编辑、查看、删除、导出等功能；支持对设备温湿度、电压、倾斜、震动等告警阀值进行批量配置；</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8P/1000Mbps/switch8口全千兆智能交换机</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w:t>
            </w:r>
            <w:r>
              <w:rPr>
                <w:rFonts w:hint="eastAsia" w:ascii="宋体" w:hAnsi="宋体" w:cs="宋体"/>
                <w:b/>
                <w:bCs/>
                <w:color w:val="auto"/>
                <w:sz w:val="20"/>
                <w:highlight w:val="none"/>
                <w:lang w:eastAsia="zh-CN" w:bidi="ar"/>
              </w:rPr>
              <w:t xml:space="preserve">（</w:t>
            </w:r>
            <w:r>
              <w:rPr>
                <w:rFonts w:hint="eastAsia" w:ascii="宋体" w:hAnsi="宋体" w:cs="宋体"/>
                <w:b/>
                <w:bCs/>
                <w:color w:val="auto"/>
                <w:sz w:val="20"/>
                <w:highlight w:val="none"/>
                <w:lang w:val="en-US" w:eastAsia="zh-CN" w:bidi="ar"/>
              </w:rPr>
              <w:t xml:space="preserve">核心产品</w:t>
            </w:r>
            <w:r>
              <w:rPr>
                <w:rFonts w:hint="eastAsia" w:ascii="宋体" w:hAnsi="宋体" w:cs="宋体"/>
                <w:b/>
                <w:bCs/>
                <w:color w:val="auto"/>
                <w:sz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八棱热镀锌喷塑杆件：立杆高度6.5米、臂长10米、立杆壁厚δ8、横臂δ6、底部法兰对角φ430*8*M27，镀锌量不少于550g/m2，锌层厚度不少于85um</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基础尺寸≥1.2米×1.2米×1.2米，地笼规格不低于4-M24-1000MM，（含开挖、地笼、商混C30、回填等）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一体机防护栏</w:t>
            </w:r>
            <w:r/>
          </w:p>
        </w:tc>
        <w:tc>
          <w:tcPr>
            <w:shd w:val="clear" w:color="auto" w:fill="ffffff"/>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长70CM宽70CM高度50CM、材料同城市护栏。底座设计固定安装支架</w:t>
            </w:r>
            <w:r/>
          </w:p>
        </w:tc>
        <w:tc>
          <w:tcPr>
            <w:shd w:val="clear" w:color="auto" w:fill="ffffff"/>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激光灯控制线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RVV2*2.5（中标方负责将附近220V电源接至激光控制箱内）</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Style w:val="1059"/>
                <w:rFonts w:hint="default"/>
                <w:color w:val="auto"/>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安装所需的各种辅材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杆件吊装、杆件地笼运输、前端设备安装及通电调试、线路维修、管道疏通等费用，在施工现场摆放施工警示牌及路障、路锥，并安排专人在路口疏导交通。确保系统正常运行，达到合格标准，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r>
    </w:tbl>
    <w:p>
      <w:pPr>
        <w:pStyle w:val="837"/>
        <w:jc w:val="both"/>
        <w:spacing w:beforeAutospacing="0" w:afterAutospacing="0" w:line="480" w:lineRule="exact"/>
        <w:rPr>
          <w:rFonts w:hint="eastAsia" w:ascii="宋体" w:hAnsi="宋体" w:cs="宋体"/>
          <w:b/>
          <w:bCs/>
          <w:color w:val="auto"/>
          <w:highlight w:val="none"/>
        </w:rPr>
      </w:pPr>
      <w:r>
        <w:rPr>
          <w:rFonts w:hint="eastAsia" w:ascii="宋体" w:hAnsi="宋体" w:cs="宋体"/>
          <w:b/>
          <w:bCs/>
          <w:color w:val="auto"/>
          <w:highlight w:val="none"/>
        </w:rPr>
        <w:t xml:space="preserve">三、采购标的对应的中小企业划分标准所属行业一览表</w:t>
      </w:r>
      <w:r/>
    </w:p>
    <w:tbl>
      <w:tblPr>
        <w:tblStyle w:val="811"/>
        <w:tblW w:w="9849"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571"/>
        <w:gridCol w:w="4304"/>
      </w:tblGrid>
      <w:tr>
        <w:trPr>
          <w:tblCellSpacing w:w="0" w:type="dxa"/>
          <w:trHeight w:val="620"/>
        </w:trPr>
        <w:tc>
          <w:tcPr>
            <w:tcW w:w="1974" w:type="dxa"/>
            <w:vAlign w:val="center"/>
            <w:textDirection w:val="lrTb"/>
            <w:noWrap w:val="false"/>
          </w:tcPr>
          <w:p>
            <w:pPr>
              <w:pStyle w:val="837"/>
              <w:jc w:val="center"/>
              <w:spacing w:beforeAutospacing="0" w:afterAutospacing="0" w:line="480" w:lineRule="exact"/>
              <w:rPr>
                <w:color w:val="auto"/>
                <w:highlight w:val="none"/>
              </w:rPr>
            </w:pPr>
            <w:r>
              <w:rPr>
                <w:rFonts w:hint="eastAsia" w:ascii="宋体" w:hAnsi="宋体" w:cs="宋体"/>
                <w:color w:val="auto"/>
                <w:highlight w:val="none"/>
              </w:rPr>
              <w:t xml:space="preserve">序号</w:t>
            </w:r>
            <w:r/>
          </w:p>
        </w:tc>
        <w:tc>
          <w:tcPr>
            <w:tcW w:w="3571" w:type="dxa"/>
            <w:vAlign w:val="center"/>
            <w:textDirection w:val="lrTb"/>
            <w:noWrap w:val="false"/>
          </w:tcPr>
          <w:p>
            <w:pPr>
              <w:pStyle w:val="837"/>
              <w:jc w:val="center"/>
              <w:spacing w:beforeAutospacing="0" w:afterAutospacing="0" w:line="480" w:lineRule="exact"/>
              <w:rPr>
                <w:color w:val="auto"/>
                <w:highlight w:val="none"/>
              </w:rPr>
            </w:pPr>
            <w:r>
              <w:rPr>
                <w:rFonts w:hint="eastAsia"/>
                <w:color w:val="auto"/>
                <w:highlight w:val="none"/>
              </w:rPr>
              <w:t xml:space="preserve">采购标的</w:t>
            </w:r>
            <w:r/>
          </w:p>
        </w:tc>
        <w:tc>
          <w:tcPr>
            <w:tcW w:w="4304" w:type="dxa"/>
            <w:vAlign w:val="center"/>
            <w:textDirection w:val="lrTb"/>
            <w:noWrap w:val="false"/>
          </w:tcPr>
          <w:p>
            <w:pPr>
              <w:pStyle w:val="837"/>
              <w:jc w:val="center"/>
              <w:spacing w:beforeAutospacing="0" w:afterAutospacing="0" w:line="480" w:lineRule="exact"/>
              <w:rPr>
                <w:color w:val="auto"/>
                <w:highlight w:val="none"/>
              </w:rPr>
            </w:pPr>
            <w:r>
              <w:rPr>
                <w:rFonts w:hint="eastAsia" w:ascii="宋体" w:hAnsi="宋体" w:cs="宋体"/>
                <w:color w:val="auto"/>
                <w:highlight w:val="none"/>
              </w:rPr>
              <w:t xml:space="preserve">对应中小企业划分标准所属行业</w:t>
            </w:r>
            <w:r/>
          </w:p>
        </w:tc>
      </w:tr>
      <w:tr>
        <w:trPr>
          <w:tblCellSpacing w:w="0" w:type="dxa"/>
          <w:trHeight w:val="800"/>
        </w:trPr>
        <w:tc>
          <w:tcPr>
            <w:tcW w:w="1974" w:type="dxa"/>
            <w:vAlign w:val="center"/>
            <w:textDirection w:val="lrTb"/>
            <w:noWrap w:val="false"/>
          </w:tcPr>
          <w:p>
            <w:pPr>
              <w:pStyle w:val="837"/>
              <w:jc w:val="center"/>
              <w:spacing w:beforeAutospacing="0" w:afterAutospacing="0" w:line="480" w:lineRule="exact"/>
              <w:rPr>
                <w:color w:val="auto"/>
                <w:highlight w:val="none"/>
              </w:rPr>
            </w:pPr>
            <w:r>
              <w:rPr>
                <w:rFonts w:hint="eastAsia" w:ascii="宋体" w:hAnsi="宋体" w:cs="宋体"/>
                <w:color w:val="auto"/>
                <w:highlight w:val="none"/>
              </w:rPr>
              <w:t xml:space="preserve">1</w:t>
            </w:r>
            <w:r/>
          </w:p>
        </w:tc>
        <w:tc>
          <w:tcPr>
            <w:tcW w:w="3571"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清单中</w:t>
            </w:r>
            <w:r>
              <w:rPr>
                <w:rFonts w:hint="eastAsia"/>
                <w:color w:val="auto"/>
                <w:sz w:val="24"/>
                <w:szCs w:val="24"/>
                <w:highlight w:val="none"/>
              </w:rPr>
              <w:t xml:space="preserve">所有产品</w:t>
            </w:r>
            <w:r/>
          </w:p>
        </w:tc>
        <w:tc>
          <w:tcPr>
            <w:tcW w:w="4304" w:type="dxa"/>
            <w:vAlign w:val="center"/>
            <w:textDirection w:val="lrTb"/>
            <w:noWrap w:val="false"/>
          </w:tcPr>
          <w:p>
            <w:pPr>
              <w:pStyle w:val="837"/>
              <w:jc w:val="center"/>
              <w:spacing w:beforeAutospacing="0" w:afterAutospacing="0" w:line="480" w:lineRule="exact"/>
              <w:rPr>
                <w:color w:val="auto"/>
                <w:highlight w:val="none"/>
              </w:rPr>
            </w:pPr>
            <w:r>
              <w:rPr>
                <w:rFonts w:hint="eastAsia"/>
                <w:color w:val="auto"/>
                <w:highlight w:val="none"/>
              </w:rPr>
              <w:t xml:space="preserve">工业</w:t>
            </w:r>
            <w:r/>
          </w:p>
        </w:tc>
      </w:tr>
    </w:tbl>
    <w:p>
      <w:pPr>
        <w:rPr>
          <w:color w:val="auto"/>
          <w:highlight w:val="none"/>
        </w:rPr>
      </w:pPr>
      <w:r>
        <w:rPr>
          <w:color w:val="auto"/>
          <w:highlight w:val="none"/>
        </w:rPr>
      </w:r>
      <w:r/>
    </w:p>
    <w:p>
      <w:pPr>
        <w:jc w:val="center"/>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第四章  评标办法及评分标准</w:t>
      </w:r>
      <w:r/>
    </w:p>
    <w:p>
      <w:pPr>
        <w:ind w:firstLine="480"/>
        <w:spacing w:line="420" w:lineRule="atLeast"/>
        <w:rPr>
          <w:b/>
          <w:bCs/>
          <w:color w:val="auto"/>
          <w:sz w:val="24"/>
          <w:highlight w:val="none"/>
        </w:rPr>
      </w:pPr>
      <w:r>
        <w:rPr>
          <w:rFonts w:hint="eastAsia" w:ascii="宋体" w:hAnsi="宋体"/>
          <w:color w:val="auto"/>
          <w:sz w:val="24"/>
          <w:highlight w:val="none"/>
        </w:rPr>
        <w:t xml:space="preserve">一、</w:t>
      </w:r>
      <w:r>
        <w:rPr>
          <w:rFonts w:hint="eastAsia"/>
          <w:b/>
          <w:bCs/>
          <w:color w:val="auto"/>
          <w:sz w:val="24"/>
          <w:highlight w:val="none"/>
        </w:rPr>
        <w:t xml:space="preserve">评标办法：综合评分法。</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3.总得分最高的即为中标候选人。</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4.推荐的中标候选人数：1名。</w:t>
      </w:r>
      <w:r/>
    </w:p>
    <w:p>
      <w:pPr>
        <w:ind w:firstLine="482"/>
        <w:spacing w:line="420" w:lineRule="atLeast"/>
        <w:rPr>
          <w:rFonts w:hint="eastAsia" w:ascii="宋体" w:hAnsi="宋体" w:cs="宋体"/>
          <w:b/>
          <w:color w:val="auto"/>
          <w:sz w:val="24"/>
          <w:highlight w:val="none"/>
        </w:rPr>
      </w:pPr>
      <w:r>
        <w:rPr>
          <w:rFonts w:hint="eastAsia" w:ascii="宋体" w:hAnsi="宋体" w:cs="宋体"/>
          <w:b/>
          <w:color w:val="auto"/>
          <w:sz w:val="24"/>
          <w:highlight w:val="none"/>
        </w:rPr>
        <w:t xml:space="preserve">二、政府采购政策功能落实</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1、对小型和微型企业产品最后价格给予20%的扣除，用扣除后的价格参与评审。 </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如项目为工程类或服务类，施工单位/服务全部由符合政策要求的小微企业承接，对其总报价给予20%的扣除，用扣除后的价格参与价格评审。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2、供应商须按照采购文件要求提供相应的《企业声明函》（格式附后），不提供声明函或有弄虚作假的，将依法承担相应责任。</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3、企业标准请参照《关于印发中小企业划型标准规定的通知》（工信部联企业【2011】300号）文件规定自行填写。</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4、以上规定未尽事项，按《政府采购促进中小企业发展管理办法》 （财库【2020】46号）等有关制度规定执行。</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5、采购本国产品的支持政策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5.3供应商需按照招标文件的要求提供《关于符合本国产品标准的声明函》（以下简称《声明函》），如不提供将不享受本国产品价格评审优惠。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三、残疾人福利单位价格扣除：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2、残疾人福利单位需按照采购文件的要求提供《残疾人福利性单位声明函》（格式附后）。</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3、残疾人福利单位标准请参照《关于促进残疾人就业政府采购政策的通知》（财库〔2017〕141号）。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四、监狱和戒毒企业价格扣除：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3、监狱企业标准请参照《关于政府采购支持监狱企业发展有关问题的通知》（财库[2014]68号）。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五、残疾人福利单位、监狱企业属于小型、微型企业的，不重复享受政策。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六、严格执行政府采购关于支持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八、执行数据中心采购相关政策：若涉及到数据中心采购，应按照“关于印发《绿色数据中心政府采购需求标准（试行）》的通知（财库〔2023〕7号）”执行。</w:t>
      </w:r>
      <w:r/>
    </w:p>
    <w:p>
      <w:pPr>
        <w:ind w:firstLine="482"/>
        <w:spacing w:line="420" w:lineRule="atLeas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、评分标准（总分值为100分）</w:t>
      </w:r>
      <w:r/>
    </w:p>
    <w:tbl>
      <w:tblPr>
        <w:tblStyle w:val="811"/>
        <w:tblpPr w:horzAnchor="page" w:tblpX="1377" w:vertAnchor="text" w:tblpY="377" w:leftFromText="180" w:topFromText="0" w:rightFromText="180" w:bottomFromText="0"/>
        <w:tblW w:w="9533" w:type="dxa"/>
        <w:tblInd w:w="0" w:type="dxa"/>
        <w:tblLayout w:type="autofit"/>
        <w:tblCellMar>
          <w:left w:w="108" w:type="dxa"/>
          <w:top w:w="0" w:type="dxa"/>
          <w:right w:w="108" w:type="dxa"/>
          <w:bottom w:w="0" w:type="dxa"/>
        </w:tblCellMar>
        <w:tblLook w:val="04A0" w:firstRow="1" w:lastRow="0" w:firstColumn="1" w:lastColumn="0" w:noHBand="0" w:noVBand="1"/>
      </w:tblPr>
      <w:tblGrid>
        <w:gridCol w:w="745"/>
        <w:gridCol w:w="1061"/>
        <w:gridCol w:w="1122"/>
        <w:gridCol w:w="6605"/>
      </w:tblGrid>
      <w:tr>
        <w:trPr>
          <w:trHeight w:val="767"/>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评分项目</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评分细则</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报价部分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报价分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满足招标文件要求且投标价格最低的有效投标报价为评标基准价，其价格分为满分30分。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其他投标人的价格分统一按照下列公式计算：投标报价得分=（评标基准价/投标报价）×30，结果保留两位小数（有效投标文件是指未被评标委员会判定为无效标的投标文件）。</w:t>
            </w:r>
            <w:r/>
          </w:p>
          <w:p>
            <w:pPr>
              <w:jc w:val="left"/>
              <w:spacing w:line="320" w:lineRule="exact"/>
              <w:widowControl/>
              <w:rPr>
                <w:rFonts w:hint="eastAsia"/>
                <w:color w:val="auto"/>
                <w:highlight w:val="none"/>
              </w:rPr>
            </w:pPr>
            <w:r>
              <w:rPr>
                <w:rFonts w:hint="eastAsia" w:ascii="宋体" w:hAnsi="宋体" w:cs="宋体"/>
                <w:color w:val="auto"/>
                <w:sz w:val="18"/>
                <w:szCs w:val="18"/>
                <w:highlight w:val="none"/>
                <w:lang w:bidi="ar"/>
              </w:rPr>
              <w:t xml:space="preserve">注：小微企业优惠政策详见本文第四部分第二项“小微企业优惠情况”。</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技术部分（5</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技术参数响应</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根据各投标人对本次招标技术参数部分响应情况进行评定。投标人的所有技术参数满足招标要求的得满分5</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分。技术参数中加“★”部分重要指标，全部满足招标要求的得</w:t>
            </w:r>
            <w:r>
              <w:rPr>
                <w:rFonts w:hint="eastAsia" w:ascii="宋体" w:hAnsi="宋体" w:cs="宋体"/>
                <w:color w:val="auto"/>
                <w:sz w:val="18"/>
                <w:szCs w:val="18"/>
                <w:highlight w:val="none"/>
                <w:lang w:val="en-US" w:eastAsia="zh-CN"/>
              </w:rPr>
              <w:t xml:space="preserve">32</w:t>
            </w:r>
            <w:r>
              <w:rPr>
                <w:rFonts w:hint="eastAsia" w:ascii="宋体" w:hAnsi="宋体" w:cs="宋体"/>
                <w:color w:val="auto"/>
                <w:sz w:val="18"/>
                <w:szCs w:val="18"/>
                <w:highlight w:val="none"/>
              </w:rPr>
              <w:t xml:space="preserve">分，出现负偏离有一项扣</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分；技术参数中除加“★”以外的其它条款为一般技术指标，全部满足招标要求的得20分，出现负偏离有一项扣0.</w:t>
            </w:r>
            <w:r>
              <w:rPr>
                <w:rFonts w:hint="eastAsia" w:ascii="宋体" w:hAnsi="宋体" w:cs="宋体"/>
                <w:color w:val="auto"/>
                <w:sz w:val="18"/>
                <w:szCs w:val="18"/>
                <w:highlight w:val="none"/>
                <w:lang w:val="en-US" w:eastAsia="zh-CN"/>
              </w:rPr>
              <w:t xml:space="preserve">24</w:t>
            </w:r>
            <w:r>
              <w:rPr>
                <w:rFonts w:hint="eastAsia" w:ascii="宋体" w:hAnsi="宋体" w:cs="宋体"/>
                <w:color w:val="auto"/>
                <w:sz w:val="18"/>
                <w:szCs w:val="18"/>
                <w:highlight w:val="none"/>
              </w:rPr>
              <w:t xml:space="preserve">分，扣完为止。</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注：①“★”部分重要指标要求提供的证明材料的以证明材料复印件加盖投标单位公章为准，其他参数以提供的技术参数响应表加盖投标单位公章为准；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②“★”部分重要指标</w:t>
            </w:r>
            <w:r>
              <w:rPr>
                <w:rFonts w:hint="eastAsia" w:ascii="宋体" w:hAnsi="宋体" w:cs="宋体"/>
                <w:color w:val="auto"/>
                <w:sz w:val="18"/>
                <w:szCs w:val="18"/>
                <w:highlight w:val="none"/>
                <w:lang w:val="en-US" w:eastAsia="zh-CN"/>
              </w:rPr>
              <w:t xml:space="preserve">以每一条为一项；其他</w:t>
            </w:r>
            <w:r>
              <w:rPr>
                <w:rFonts w:hint="eastAsia" w:ascii="宋体" w:hAnsi="宋体" w:cs="宋体"/>
                <w:color w:val="auto"/>
                <w:sz w:val="18"/>
                <w:szCs w:val="18"/>
                <w:highlight w:val="none"/>
              </w:rPr>
              <w:t xml:space="preserve">技术参数中每一</w:t>
            </w:r>
            <w:r>
              <w:rPr>
                <w:rFonts w:hint="eastAsia" w:ascii="宋体" w:hAnsi="宋体" w:cs="宋体"/>
                <w:color w:val="auto"/>
                <w:sz w:val="18"/>
                <w:szCs w:val="18"/>
                <w:highlight w:val="none"/>
                <w:lang w:val="en-US" w:eastAsia="zh-CN"/>
              </w:rPr>
              <w:t xml:space="preserve">子目</w:t>
            </w:r>
            <w:r>
              <w:rPr>
                <w:rFonts w:hint="eastAsia" w:ascii="宋体" w:hAnsi="宋体" w:cs="宋体"/>
                <w:color w:val="auto"/>
                <w:sz w:val="18"/>
                <w:szCs w:val="18"/>
                <w:highlight w:val="none"/>
              </w:rPr>
              <w:t xml:space="preserve">为一项。</w:t>
            </w:r>
            <w:r/>
          </w:p>
        </w:tc>
      </w:tr>
      <w:tr>
        <w:trPr/>
        <w:tc>
          <w:tcPr>
            <w:shd w:val="clear" w:color="auto" w:fill="auto"/>
            <w:tcBorders>
              <w:top w:val="single" w:color="000000" w:sz="8" w:space="0"/>
              <w:left w:val="single" w:color="000000" w:sz="8" w:space="0"/>
              <w:right w:val="single" w:color="000000" w:sz="8" w:space="0"/>
            </w:tcBorders>
            <w:tcW w:w="74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8" w:space="0"/>
              <w:left w:val="single" w:color="000000" w:sz="8" w:space="0"/>
              <w:right w:val="single" w:color="000000" w:sz="8" w:space="0"/>
            </w:tcBorders>
            <w:tcW w:w="106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商务部分（</w:t>
            </w: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产品企业综合实力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bookmarkStart w:id="1" w:name="OLE_LINK3"/>
            <w:r>
              <w:rPr>
                <w:rFonts w:ascii="宋体" w:hAnsi="宋体" w:cs="宋体"/>
                <w:color w:val="auto"/>
                <w:sz w:val="18"/>
                <w:szCs w:val="18"/>
                <w:highlight w:val="none"/>
                <w:lang w:bidi="ar"/>
              </w:rPr>
              <w:t xml:space="preserve">投标人具有质量管理体系认证证书</w:t>
            </w:r>
            <w:r>
              <w:rPr>
                <w:rFonts w:hint="eastAsia" w:ascii="宋体" w:hAnsi="宋体" w:cs="宋体"/>
                <w:color w:val="auto"/>
                <w:sz w:val="18"/>
                <w:szCs w:val="18"/>
                <w:highlight w:val="none"/>
                <w:lang w:val="en-US" w:eastAsia="zh-CN" w:bidi="ar"/>
              </w:rPr>
              <w:t xml:space="preserve">的</w:t>
            </w:r>
            <w:r>
              <w:rPr>
                <w:rFonts w:ascii="宋体" w:hAnsi="宋体" w:cs="宋体"/>
                <w:color w:val="auto"/>
                <w:sz w:val="18"/>
                <w:szCs w:val="18"/>
                <w:highlight w:val="none"/>
                <w:lang w:bidi="ar"/>
              </w:rPr>
              <w:t xml:space="preserve">得1分。（投标时提供证书扫描件和官网查询截图加盖投标人公章，提供不全不得分）。认证证书查询官网“全国认证认可信息公共服务平台</w:t>
            </w:r>
            <w:r>
              <w:rPr>
                <w:color w:val="auto"/>
                <w:highlight w:val="none"/>
              </w:rPr>
              <w:fldChar w:fldCharType="begin"/>
            </w:r>
            <w:r>
              <w:rPr>
                <w:color w:val="auto"/>
                <w:highlight w:val="none"/>
              </w:rPr>
              <w:instrText xml:space="preserve"> HYPERLINK "http://cx.cnca.cn" </w:instrText>
            </w:r>
            <w:r>
              <w:rPr>
                <w:color w:val="auto"/>
                <w:highlight w:val="none"/>
              </w:rPr>
              <w:fldChar w:fldCharType="separate"/>
            </w:r>
            <w:r>
              <w:rPr>
                <w:color w:val="auto"/>
                <w:sz w:val="18"/>
                <w:szCs w:val="18"/>
                <w:highlight w:val="none"/>
                <w:lang w:bidi="ar"/>
              </w:rPr>
              <w:t xml:space="preserve">http://cx.cnca.cn</w:t>
            </w:r>
            <w:r>
              <w:rPr>
                <w:color w:val="auto"/>
                <w:sz w:val="18"/>
                <w:szCs w:val="18"/>
                <w:highlight w:val="none"/>
                <w:lang w:bidi="ar"/>
              </w:rPr>
              <w:fldChar w:fldCharType="end"/>
            </w:r>
            <w:r>
              <w:rPr>
                <w:rFonts w:ascii="宋体" w:hAnsi="宋体" w:cs="宋体"/>
                <w:color w:val="auto"/>
                <w:sz w:val="18"/>
                <w:szCs w:val="18"/>
                <w:highlight w:val="none"/>
                <w:lang w:bidi="ar"/>
              </w:rPr>
              <w:t xml:space="preserve">”</w:t>
            </w:r>
            <w:bookmarkEnd w:id="1"/>
            <w:r/>
            <w:r/>
          </w:p>
        </w:tc>
      </w:tr>
      <w:tr>
        <w:trPr>
          <w:trHeight w:val="1325"/>
        </w:trPr>
        <w:tc>
          <w:tcPr>
            <w:shd w:val="clear" w:color="auto" w:fill="auto"/>
            <w:tcBorders>
              <w:left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left w:val="single" w:color="000000" w:sz="8" w:space="0"/>
              <w:right w:val="single" w:color="000000" w:sz="8" w:space="0"/>
            </w:tcBorders>
            <w:tcW w:w="10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类似</w:t>
            </w:r>
            <w:r/>
          </w:p>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业绩</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auto" w:sz="4"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投标人自2021年1月1日（以合同/协议签订时间为准）至今承担过的类似项目业绩情况进行评定，每有1个得</w:t>
            </w:r>
            <w:r>
              <w:rPr>
                <w:rFonts w:hint="eastAsia" w:ascii="宋体" w:hAnsi="宋体" w:cs="宋体"/>
                <w:color w:val="auto"/>
                <w:sz w:val="18"/>
                <w:szCs w:val="18"/>
                <w:highlight w:val="none"/>
                <w:lang w:val="en-US" w:eastAsia="zh-CN" w:bidi="ar"/>
              </w:rPr>
              <w:t xml:space="preserve">2.5</w:t>
            </w:r>
            <w:r>
              <w:rPr>
                <w:rFonts w:hint="eastAsia" w:ascii="宋体" w:hAnsi="宋体" w:cs="宋体"/>
                <w:color w:val="auto"/>
                <w:sz w:val="18"/>
                <w:szCs w:val="18"/>
                <w:highlight w:val="none"/>
                <w:lang w:bidi="ar"/>
              </w:rPr>
              <w:t xml:space="preserve">分，最高得</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注：需在投标文件中提供业绩合同、验收单复印件加盖投标人公章，未提供或提供不全或提供的证明材料无法佐证的，该业绩不计入本项评分。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8" w:space="0"/>
              <w:left w:val="single" w:color="000000" w:sz="8" w:space="0"/>
              <w:bottom w:val="single" w:color="auto" w:sz="4"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实施方案（10分）</w:t>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实施方案（10分）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评标委员会根据各投标人项目实施方案中产品供货方案进行评定，提供有针对性的、科学有效的产品供货方案，至少包含：①供货周期及进度计划；②进度保证措施；③安装调试方案。投标人应在投标文件“实施方案”中设置专节来对上述3项内容作出响应性说明，每项为1分共3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评标委员会根据各投标人项目实施方案中售后服务方案进行评定，提供有针对性的、完整合理的售后服务方案至少包含：①人员配置情况；②对故障的接受工作制度和机制；③售后服务的响应时间；④排除故障时间。投标人应在投标文件“实施方案”中设置专节来对上述4项内容作出响应性说明，每项为1分共4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评标委员会根据各投标人项目实施方案中人员培训方案进行评定，提供有针对性的、科学合理的产品人员培训方案，至少包含：①日常保养和定期保养培训；②业务技术功能培训；③常见故障处理培训。投标人应在投标文件“实施方案”中设置专节来对上述3项内容作出响应性说明，每项为1分共3分，每缺一项说明或者说明内容与项目无关扣1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auto" w:sz="4" w:space="0"/>
              <w:left w:val="single" w:color="000000" w:sz="8" w:space="0"/>
              <w:bottom w:val="single" w:color="000000" w:sz="8" w:space="0"/>
              <w:right w:val="single" w:color="000000" w:sz="8" w:space="0"/>
            </w:tcBorders>
            <w:tcW w:w="1061" w:type="dxa"/>
            <w:vAlign w:val="center"/>
            <w:textDirection w:val="lrTb"/>
            <w:noWrap w:val="false"/>
          </w:tcPr>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节能</w:t>
            </w:r>
            <w:r/>
          </w:p>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环保</w:t>
            </w:r>
            <w:r/>
          </w:p>
          <w:p>
            <w:pPr>
              <w:jc w:val="center"/>
              <w:rPr>
                <w:rFonts w:hint="eastAsia" w:ascii="宋体" w:hAnsi="宋体" w:cs="宋体"/>
                <w:color w:val="auto"/>
                <w:szCs w:val="21"/>
                <w:highlight w:val="none"/>
              </w:rPr>
            </w:pPr>
            <w:r>
              <w:rPr>
                <w:rFonts w:hint="eastAsia" w:ascii="宋体" w:hAnsi="宋体" w:cs="宋体"/>
                <w:color w:val="auto"/>
                <w:sz w:val="20"/>
                <w:highlight w:val="none"/>
              </w:rPr>
              <w:t xml:space="preserve">（2分）</w:t>
            </w:r>
            <w:r/>
          </w:p>
        </w:tc>
        <w:tc>
          <w:tcPr>
            <w:shd w:val="clear" w:color="auto" w:fill="auto"/>
            <w:tcBorders>
              <w:top w:val="single" w:color="auto" w:sz="4" w:space="0"/>
              <w:left w:val="single" w:color="000000" w:sz="8" w:space="0"/>
              <w:bottom w:val="single" w:color="000000" w:sz="8" w:space="0"/>
              <w:right w:val="single" w:color="000000" w:sz="8" w:space="0"/>
            </w:tcBorders>
            <w:tcW w:w="1122" w:type="dxa"/>
            <w:vAlign w:val="center"/>
            <w:textDirection w:val="lrTb"/>
            <w:noWrap w:val="false"/>
          </w:tcPr>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节能</w:t>
            </w:r>
            <w:r/>
          </w:p>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环保</w:t>
            </w:r>
            <w:r/>
          </w:p>
          <w:p>
            <w:pPr>
              <w:jc w:val="center"/>
              <w:widowControl/>
              <w:rPr>
                <w:rFonts w:hint="eastAsia" w:ascii="宋体" w:hAnsi="宋体" w:cs="宋体"/>
                <w:color w:val="auto"/>
                <w:sz w:val="18"/>
                <w:szCs w:val="18"/>
                <w:highlight w:val="none"/>
              </w:rPr>
            </w:pPr>
            <w:r>
              <w:rPr>
                <w:rFonts w:hint="eastAsia" w:ascii="宋体" w:hAnsi="宋体" w:cs="宋体"/>
                <w:color w:val="auto"/>
                <w:sz w:val="20"/>
                <w:highlight w:val="none"/>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82"/>
        <w:spacing w:line="400" w:lineRule="exact"/>
        <w:rPr>
          <w:rFonts w:hint="eastAsia" w:ascii="宋体" w:hAnsi="宋体" w:cs="宋体"/>
          <w:b/>
          <w:color w:val="auto"/>
          <w:sz w:val="24"/>
          <w:highlight w:val="none"/>
        </w:rPr>
      </w:pPr>
      <w:r>
        <w:rPr>
          <w:rFonts w:hint="eastAsia" w:ascii="宋体" w:hAnsi="宋体"/>
          <w:b/>
          <w:bCs/>
          <w:color w:val="auto"/>
          <w:highlight w:val="none"/>
        </w:rPr>
        <w:t xml:space="preserve">注：上述评分标准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816"/>
        <w:jc w:val="center"/>
        <w:spacing w:line="48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ind w:left="0" w:firstLine="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46"/>
        <w:ind w:left="0" w:firstLine="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6"/>
        <w:jc w:val="center"/>
        <w:spacing w:line="480" w:lineRule="exact"/>
        <w:rPr>
          <w:rFonts w:hint="eastAsia" w:ascii="宋体" w:hAnsi="宋体"/>
          <w:b/>
          <w:bCs/>
          <w:color w:val="auto"/>
          <w:sz w:val="36"/>
          <w:szCs w:val="36"/>
          <w:highlight w:val="none"/>
        </w:rPr>
      </w:pPr>
      <w:r>
        <w:rPr>
          <w:rFonts w:hint="eastAsia" w:ascii="宋体" w:hAnsi="宋体"/>
          <w:b/>
          <w:color w:val="auto"/>
          <w:sz w:val="36"/>
          <w:szCs w:val="36"/>
          <w:highlight w:val="none"/>
        </w:rPr>
        <w:t xml:space="preserve">第五章    合同主要条款</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建湖县公安局      </w:t>
      </w:r>
      <w:r>
        <w:rPr>
          <w:rFonts w:hint="eastAsia" w:ascii="宋体" w:hAnsi="宋体"/>
          <w:color w:val="auto"/>
          <w:sz w:val="24"/>
          <w:highlight w:val="none"/>
        </w:rPr>
        <w:t xml:space="preserve">（以下简称甲方）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auto"/>
          <w:sz w:val="24"/>
          <w:highlight w:val="none"/>
        </w:rPr>
        <w:t xml:space="preserve">建湖县公安局2026年交安智能电子管控设备项目</w:t>
      </w:r>
      <w:r>
        <w:rPr>
          <w:rFonts w:hint="eastAsia" w:ascii="宋体" w:hAnsi="宋体"/>
          <w:color w:val="auto"/>
          <w:sz w:val="24"/>
          <w:highlight w:val="none"/>
        </w:rPr>
        <w:t xml:space="preserve">相关事项协商一致，达成如下合同条款：</w:t>
      </w:r>
      <w:r/>
    </w:p>
    <w:p>
      <w:pPr>
        <w:ind w:firstLine="474"/>
        <w:spacing w:line="480" w:lineRule="exact"/>
        <w:rPr>
          <w:rFonts w:hint="eastAsia" w:ascii="宋体" w:hAnsi="宋体" w:cs="宋体"/>
          <w:color w:val="auto"/>
          <w:spacing w:val="-2"/>
          <w:sz w:val="24"/>
          <w:highlight w:val="none"/>
        </w:rPr>
      </w:pPr>
      <w:r>
        <w:rPr>
          <w:rFonts w:hint="eastAsia" w:ascii="宋体" w:hAnsi="宋体" w:cs="宋体"/>
          <w:b/>
          <w:bCs/>
          <w:color w:val="auto"/>
          <w:spacing w:val="-2"/>
          <w:sz w:val="24"/>
          <w:highlight w:val="none"/>
        </w:rPr>
        <w:t xml:space="preserve">一、合同标的</w:t>
      </w:r>
      <w:r/>
    </w:p>
    <w:p>
      <w:pPr>
        <w:ind w:firstLine="472"/>
        <w:jc w:val="left"/>
        <w:spacing w:line="480" w:lineRule="exact"/>
        <w:widowControl/>
        <w:rPr>
          <w:rFonts w:hint="eastAsia" w:ascii="宋体" w:hAnsi="宋体"/>
          <w:bCs/>
          <w:color w:val="auto"/>
          <w:sz w:val="24"/>
          <w:highlight w:val="none"/>
        </w:rPr>
      </w:pPr>
      <w:r>
        <w:rPr>
          <w:rFonts w:hint="eastAsia" w:ascii="宋体" w:hAnsi="宋体" w:cs="宋体"/>
          <w:color w:val="auto"/>
          <w:spacing w:val="-2"/>
          <w:sz w:val="24"/>
          <w:highlight w:val="none"/>
        </w:rPr>
        <w:t xml:space="preserve">1.</w:t>
      </w:r>
      <w:r>
        <w:rPr>
          <w:rFonts w:hint="eastAsia" w:ascii="宋体" w:hAnsi="宋体"/>
          <w:color w:val="auto"/>
          <w:sz w:val="24"/>
          <w:highlight w:val="none"/>
        </w:rPr>
        <w:t xml:space="preserve">合同中合同总价应</w:t>
      </w:r>
      <w:r>
        <w:rPr>
          <w:rFonts w:hint="eastAsia" w:ascii="宋体" w:hAnsi="宋体"/>
          <w:bCs/>
          <w:color w:val="auto"/>
          <w:sz w:val="24"/>
          <w:highlight w:val="none"/>
        </w:rPr>
        <w:t xml:space="preserve">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left="59" w:firstLine="482"/>
        <w:spacing w:line="520" w:lineRule="exact"/>
        <w:rPr>
          <w:b/>
          <w:bCs/>
          <w:color w:val="auto"/>
          <w:sz w:val="24"/>
          <w:highlight w:val="none"/>
        </w:rPr>
      </w:pPr>
      <w:r>
        <w:rPr>
          <w:rFonts w:hint="eastAsia" w:ascii="宋体" w:hAnsi="宋体"/>
          <w:b/>
          <w:color w:val="auto"/>
          <w:sz w:val="24"/>
          <w:highlight w:val="none"/>
        </w:rPr>
        <w:t xml:space="preserve">二、</w:t>
      </w:r>
      <w:r>
        <w:rPr>
          <w:rFonts w:hint="eastAsia"/>
          <w:b/>
          <w:bCs/>
          <w:color w:val="auto"/>
          <w:sz w:val="24"/>
          <w:highlight w:val="none"/>
        </w:rPr>
        <w:t xml:space="preserve">组成本合同的有关文件</w:t>
      </w:r>
      <w:r/>
    </w:p>
    <w:p>
      <w:pPr>
        <w:ind w:firstLine="480"/>
        <w:spacing w:line="520" w:lineRule="exact"/>
        <w:rPr>
          <w:color w:val="auto"/>
          <w:sz w:val="24"/>
          <w:highlight w:val="none"/>
        </w:rPr>
      </w:pPr>
      <w:r>
        <w:rPr>
          <w:rFonts w:hint="eastAsia"/>
          <w:color w:val="auto"/>
          <w:sz w:val="24"/>
          <w:highlight w:val="none"/>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auto"/>
          <w:sz w:val="24"/>
          <w:highlight w:val="none"/>
        </w:rPr>
      </w:pPr>
      <w:r>
        <w:rPr>
          <w:rFonts w:hint="eastAsia"/>
          <w:color w:val="auto"/>
          <w:sz w:val="24"/>
          <w:highlight w:val="none"/>
        </w:rPr>
        <w:t xml:space="preserve">（1）乙方提供的投标文件和投标报价表；</w:t>
      </w:r>
      <w:r/>
    </w:p>
    <w:p>
      <w:pPr>
        <w:ind w:firstLine="480"/>
        <w:spacing w:line="520" w:lineRule="exact"/>
        <w:rPr>
          <w:color w:val="auto"/>
          <w:sz w:val="24"/>
          <w:highlight w:val="none"/>
        </w:rPr>
      </w:pPr>
      <w:r>
        <w:rPr>
          <w:rFonts w:hint="eastAsia"/>
          <w:color w:val="auto"/>
          <w:sz w:val="24"/>
          <w:highlight w:val="none"/>
        </w:rPr>
        <w:t xml:space="preserve">（2）开标一览表；</w:t>
      </w:r>
      <w:r/>
    </w:p>
    <w:p>
      <w:pPr>
        <w:ind w:firstLine="480"/>
        <w:spacing w:line="520" w:lineRule="exact"/>
        <w:rPr>
          <w:color w:val="auto"/>
          <w:sz w:val="24"/>
          <w:highlight w:val="none"/>
        </w:rPr>
      </w:pPr>
      <w:r>
        <w:rPr>
          <w:rFonts w:hint="eastAsia"/>
          <w:color w:val="auto"/>
          <w:sz w:val="24"/>
          <w:highlight w:val="none"/>
        </w:rPr>
        <w:t xml:space="preserve">（3）投标承诺；</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（4）服务承诺；</w:t>
      </w:r>
      <w:r/>
    </w:p>
    <w:p>
      <w:pPr>
        <w:ind w:firstLine="480"/>
        <w:spacing w:line="520" w:lineRule="exact"/>
        <w:rPr>
          <w:color w:val="auto"/>
          <w:sz w:val="24"/>
          <w:highlight w:val="none"/>
        </w:rPr>
      </w:pPr>
      <w:r>
        <w:rPr>
          <w:rFonts w:hint="eastAsia"/>
          <w:color w:val="auto"/>
          <w:sz w:val="24"/>
          <w:highlight w:val="none"/>
        </w:rPr>
        <w:t xml:space="preserve">（5）中标或成交通知书；</w:t>
      </w:r>
      <w:r/>
    </w:p>
    <w:p>
      <w:pPr>
        <w:ind w:firstLine="480"/>
        <w:spacing w:line="520" w:lineRule="exact"/>
        <w:rPr>
          <w:color w:val="auto"/>
          <w:highlight w:val="none"/>
        </w:rPr>
      </w:pPr>
      <w:r>
        <w:rPr>
          <w:rFonts w:hint="eastAsia"/>
          <w:color w:val="auto"/>
          <w:sz w:val="24"/>
          <w:highlight w:val="none"/>
        </w:rPr>
        <w:t xml:space="preserve">（6）甲乙双方商定的其他文件。</w:t>
      </w:r>
      <w:r/>
    </w:p>
    <w:p>
      <w:pPr>
        <w:ind w:firstLine="482"/>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1.乙方在签订合同前须向甲方交纳中标价的5%作为履约保证金（人民币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w:t>
      </w:r>
      <w:r>
        <w:rPr>
          <w:rFonts w:hint="eastAsia" w:ascii="宋体" w:hAnsi="宋体"/>
          <w:bCs/>
          <w:color w:val="auto"/>
          <w:sz w:val="24"/>
          <w:highlight w:val="none"/>
        </w:rPr>
        <w:t xml:space="preserve">在</w:t>
      </w:r>
      <w:r>
        <w:rPr>
          <w:rFonts w:hint="eastAsia" w:ascii="宋体" w:hAnsi="宋体" w:cs="Arial"/>
          <w:bCs/>
          <w:color w:val="auto"/>
          <w:sz w:val="24"/>
          <w:szCs w:val="24"/>
          <w:highlight w:val="none"/>
        </w:rPr>
        <w:t xml:space="preserve">安装、调试、验收并交付采购人使用后</w:t>
      </w:r>
      <w:r>
        <w:rPr>
          <w:rFonts w:hint="eastAsia" w:ascii="宋体" w:hAnsi="宋体"/>
          <w:bCs/>
          <w:color w:val="auto"/>
          <w:sz w:val="24"/>
          <w:highlight w:val="none"/>
        </w:rPr>
        <w:t xml:space="preserve">退还</w:t>
      </w:r>
      <w:r>
        <w:rPr>
          <w:rFonts w:hint="eastAsia" w:ascii="宋体" w:hAnsi="宋体" w:cs="宋体"/>
          <w:color w:val="auto"/>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2.合同履行结束后，甲方应及时退还交纳的履约保证金。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3.履约保证金的退还：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3.1方式：无息退还至投标人缴纳履约保证金的账户。如为保函，在到期时自行失效。</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3.2时间：验收合格且采购人收到发票后30日内。</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3.3条件：按合同要求全部履约完成并经甲方验收合格，且甲方收到乙方出具的发票。</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3.4不予退还情形：</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（2）乙方不履行与采购人订立的合同的；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（3）乙方所供货物或服务不符合招标文件规定要求的；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（4）乙方采取欺骗、弄虚作假方式投标的或与其它投标人串通投标的；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（5）乙方将合同内容转包、违法分包的；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（6）乙方故意捏造事实或伪造证明材料，进行虚假恶意投诉或反映的。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四、质量保证</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1.乙方提供的产品性能及质量应符合国家标准并满足招标文件规定的相关质量技术要求，实现乙方的投标承诺书条款。</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2.具体标准详见招标文件中技术参数要求部分。</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五、产品的运输方式、费用负担及保险</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六、交付与验收</w:t>
      </w:r>
      <w:r/>
    </w:p>
    <w:p>
      <w:pPr>
        <w:ind w:firstLine="477"/>
        <w:spacing w:line="480" w:lineRule="exact"/>
        <w:rPr>
          <w:rFonts w:hint="eastAsia" w:ascii="宋体" w:hAnsi="宋体"/>
          <w:bCs/>
          <w:color w:val="auto"/>
          <w:sz w:val="24"/>
          <w:highlight w:val="none"/>
          <w:shd w:val="clear" w:color="auto" w:fill="ffffff"/>
        </w:rPr>
      </w:pPr>
      <w:r>
        <w:rPr>
          <w:rFonts w:hint="eastAsia" w:ascii="宋体" w:hAnsi="宋体"/>
          <w:b/>
          <w:color w:val="auto"/>
          <w:sz w:val="24"/>
          <w:highlight w:val="none"/>
        </w:rPr>
        <w:t xml:space="preserve">1.</w:t>
      </w:r>
      <w:r>
        <w:rPr>
          <w:rFonts w:hint="eastAsia" w:ascii="宋体" w:hAnsi="宋体" w:cs="Arial"/>
          <w:bCs/>
          <w:color w:val="auto"/>
          <w:sz w:val="24"/>
          <w:szCs w:val="24"/>
          <w:highlight w:val="none"/>
        </w:rPr>
        <w:t xml:space="preserve">供货期</w:t>
      </w:r>
      <w:r>
        <w:rPr>
          <w:rFonts w:hint="eastAsia" w:ascii="宋体" w:hAnsi="宋体"/>
          <w:b/>
          <w:color w:val="auto"/>
          <w:sz w:val="24"/>
          <w:highlight w:val="none"/>
        </w:rPr>
        <w:t xml:space="preserve">：</w:t>
      </w:r>
      <w:r>
        <w:rPr>
          <w:rFonts w:hint="eastAsia" w:ascii="宋体" w:hAnsi="宋体" w:cs="宋体"/>
          <w:bCs/>
          <w:color w:val="auto"/>
          <w:szCs w:val="21"/>
          <w:highlight w:val="none"/>
        </w:rPr>
        <w:t xml:space="preserve">合同签订并接到采购人供货通知后45日历天内到货并安装调试完毕</w:t>
      </w:r>
      <w:r>
        <w:rPr>
          <w:rFonts w:hint="eastAsia" w:ascii="宋体" w:hAnsi="宋体" w:cs="Arial"/>
          <w:bCs/>
          <w:color w:val="auto"/>
          <w:sz w:val="24"/>
          <w:szCs w:val="24"/>
          <w:highlight w:val="none"/>
        </w:rPr>
        <w:t xml:space="preserve">；</w:t>
      </w:r>
      <w:r/>
    </w:p>
    <w:p>
      <w:pPr>
        <w:ind w:firstLine="117"/>
        <w:spacing w:line="480" w:lineRule="exact"/>
        <w:rPr>
          <w:rFonts w:hint="eastAsia" w:ascii="宋体" w:hAnsi="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交付地点</w:t>
      </w:r>
      <w:r>
        <w:rPr>
          <w:rFonts w:hint="eastAsia" w:ascii="宋体" w:hAnsi="宋体" w:cs="宋体"/>
          <w:color w:val="auto"/>
          <w:sz w:val="24"/>
          <w:highlight w:val="none"/>
        </w:rPr>
        <w:t xml:space="preserve">：</w:t>
      </w:r>
      <w:r>
        <w:rPr>
          <w:rFonts w:hint="eastAsia" w:ascii="宋体" w:hAnsi="宋体" w:cs="Arial"/>
          <w:bCs/>
          <w:color w:val="auto"/>
          <w:sz w:val="24"/>
          <w:highlight w:val="none"/>
        </w:rPr>
        <w:t xml:space="preserve">采购人指定地点。</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2.</w:t>
      </w:r>
      <w:r>
        <w:rPr>
          <w:rFonts w:hint="eastAsia" w:ascii="宋体" w:hAnsi="宋体"/>
          <w:color w:val="auto"/>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6.采购人或者采购代理机构应当按照政府采购合同规定的技术、服务、安全标准组织对供应商履约情况进行验收，并出具验收书。验收书应当包括每一项技术、服务、安全标准的履约情况。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color w:val="auto"/>
          <w:sz w:val="24"/>
          <w:highlight w:val="none"/>
        </w:rPr>
      </w:pPr>
      <w:r>
        <w:rPr>
          <w:rFonts w:hint="eastAsia" w:ascii="宋体" w:hAnsi="宋体"/>
          <w:b/>
          <w:color w:val="auto"/>
          <w:sz w:val="24"/>
          <w:highlight w:val="none"/>
        </w:rPr>
        <w:t xml:space="preserve">七、售后服务</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1.乙方</w:t>
      </w:r>
      <w:r>
        <w:rPr>
          <w:rFonts w:hint="eastAsia" w:ascii="宋体" w:hAnsi="宋体" w:cs="Arial"/>
          <w:color w:val="auto"/>
          <w:sz w:val="24"/>
          <w:highlight w:val="none"/>
        </w:rPr>
        <w:t xml:space="preserve">承诺所投产品免费质保期为</w:t>
      </w:r>
      <w:r>
        <w:rPr>
          <w:rFonts w:hint="eastAsia" w:ascii="宋体" w:hAnsi="宋体" w:cs="Arial"/>
          <w:color w:val="auto"/>
          <w:sz w:val="24"/>
          <w:highlight w:val="none"/>
          <w:u w:val="single"/>
        </w:rPr>
        <w:t xml:space="preserve">     </w:t>
      </w:r>
      <w:r>
        <w:rPr>
          <w:rFonts w:hint="eastAsia" w:ascii="宋体" w:hAnsi="宋体" w:cs="Arial"/>
          <w:color w:val="auto"/>
          <w:sz w:val="24"/>
          <w:highlight w:val="none"/>
        </w:rPr>
        <w:t xml:space="preserve">年，免费质保期间出现的问题，在2小时内响应，12个小时内到达现场，48小时内修复。如需要更换设备或送修，必须在7个工作日内完成，并提供备品</w:t>
      </w:r>
      <w:r>
        <w:rPr>
          <w:rFonts w:hint="eastAsia" w:ascii="宋体" w:hAnsi="宋体"/>
          <w:color w:val="auto"/>
          <w:sz w:val="24"/>
          <w:highlight w:val="none"/>
        </w:rPr>
        <w:t xml:space="preserve">。</w:t>
      </w:r>
      <w:r/>
    </w:p>
    <w:p>
      <w:pPr>
        <w:ind w:firstLine="472"/>
        <w:spacing w:line="480" w:lineRule="exact"/>
        <w:widowControl/>
        <w:rPr>
          <w:rFonts w:hint="eastAsia" w:ascii="宋体" w:hAnsi="宋体"/>
          <w:bCs/>
          <w:color w:val="auto"/>
          <w:sz w:val="24"/>
          <w:highlight w:val="none"/>
        </w:rPr>
      </w:pPr>
      <w:r>
        <w:rPr>
          <w:rFonts w:hint="eastAsia" w:ascii="宋体" w:hAnsi="宋体"/>
          <w:b/>
          <w:color w:val="auto"/>
          <w:sz w:val="24"/>
          <w:highlight w:val="none"/>
        </w:rPr>
        <w:t xml:space="preserve">2.</w:t>
      </w:r>
      <w:r>
        <w:rPr>
          <w:rFonts w:hint="eastAsia" w:ascii="宋体" w:hAnsi="宋体" w:cs="宋体"/>
          <w:color w:val="auto"/>
          <w:sz w:val="24"/>
          <w:highlight w:val="none"/>
        </w:rPr>
        <w:t xml:space="preserve"> 乙方应严格执行厂家的保修规定，质量保证期满后，产品须维修的，供货方或生产方应本着微利服务原则，按最低价格收取维修费用；</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八、结算方式及期限</w:t>
      </w:r>
      <w:r/>
    </w:p>
    <w:p>
      <w:pPr>
        <w:pStyle w:val="821"/>
        <w:ind w:firstLine="480"/>
        <w:spacing w:line="480" w:lineRule="exact"/>
        <w:widowControl/>
        <w:rPr>
          <w:rFonts w:hint="eastAsia"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w:t>
      </w:r>
      <w:r>
        <w:rPr>
          <w:rFonts w:hAnsi="宋体"/>
          <w:color w:val="auto"/>
          <w:sz w:val="24"/>
          <w:highlight w:val="none"/>
        </w:rPr>
        <w:t xml:space="preserve">结付程序：乙方按本合同内容合格地履行供货义务后，凭验收报告、销售发票办理货款结算手续</w:t>
      </w:r>
      <w:r>
        <w:rPr>
          <w:rFonts w:hint="eastAsia" w:hAnsi="宋体"/>
          <w:color w:val="auto"/>
          <w:sz w:val="24"/>
          <w:highlight w:val="none"/>
        </w:rPr>
        <w:t xml:space="preserve">。</w:t>
      </w:r>
      <w:r/>
    </w:p>
    <w:p>
      <w:pPr>
        <w:pStyle w:val="821"/>
        <w:ind w:firstLine="480"/>
        <w:spacing w:line="480" w:lineRule="exact"/>
        <w:widowControl/>
        <w:rPr>
          <w:rFonts w:hint="eastAsia" w:hAnsi="宋体"/>
          <w:color w:val="auto"/>
          <w:sz w:val="24"/>
          <w:highlight w:val="none"/>
        </w:rPr>
      </w:pPr>
      <w:r>
        <w:rPr>
          <w:rFonts w:hAnsi="宋体"/>
          <w:color w:val="auto"/>
          <w:sz w:val="24"/>
          <w:highlight w:val="none"/>
        </w:rPr>
        <w:t xml:space="preserve">2</w:t>
      </w:r>
      <w:r>
        <w:rPr>
          <w:rFonts w:hint="eastAsia" w:hAnsi="宋体"/>
          <w:color w:val="auto"/>
          <w:sz w:val="24"/>
          <w:highlight w:val="none"/>
        </w:rPr>
        <w:t xml:space="preserve">.</w:t>
      </w:r>
      <w:r>
        <w:rPr>
          <w:rFonts w:hAnsi="宋体"/>
          <w:color w:val="auto"/>
          <w:sz w:val="24"/>
          <w:highlight w:val="none"/>
        </w:rPr>
        <w:t xml:space="preserve">结算方式：当采购数量与实际使用数量不一致时，乙方应根据实际使用量供货，合同的最终结算金额按实际使用量乘以成交单价进行计算。</w:t>
      </w:r>
      <w:r/>
    </w:p>
    <w:p>
      <w:pPr>
        <w:pStyle w:val="821"/>
        <w:ind w:firstLine="480"/>
        <w:spacing w:line="480" w:lineRule="exact"/>
        <w:widowControl/>
        <w:rPr>
          <w:rFonts w:hint="eastAsia"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w:t>
      </w:r>
      <w:r>
        <w:rPr>
          <w:rFonts w:hAnsi="宋体"/>
          <w:color w:val="auto"/>
          <w:sz w:val="24"/>
          <w:highlight w:val="none"/>
        </w:rPr>
        <w:t xml:space="preserve">结付方式及期限：</w:t>
      </w:r>
      <w:r/>
    </w:p>
    <w:p>
      <w:pPr>
        <w:ind w:firstLine="472"/>
        <w:spacing w:line="480" w:lineRule="exact"/>
        <w:rPr>
          <w:rFonts w:hint="eastAsia" w:hAnsi="宋体"/>
          <w:color w:val="auto"/>
          <w:sz w:val="24"/>
          <w:highlight w:val="none"/>
        </w:rPr>
      </w:pPr>
      <w:r>
        <w:rPr>
          <w:rFonts w:hint="eastAsia" w:hAnsi="宋体"/>
          <w:color w:val="auto"/>
          <w:sz w:val="24"/>
          <w:highlight w:val="none"/>
        </w:rPr>
        <w:t xml:space="preserve">项目付款分期进行，该项目以审计结果作为结算依据。</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olor w:val="auto"/>
          <w:sz w:val="24"/>
          <w:highlight w:val="none"/>
        </w:rPr>
      </w:pPr>
      <w:r>
        <w:rPr>
          <w:rFonts w:hint="eastAsia" w:ascii="宋体" w:hAnsi="宋体"/>
          <w:color w:val="auto"/>
          <w:sz w:val="24"/>
          <w:highlight w:val="none"/>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2.甲方违约责任</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甲方违反合同规定，拒绝接收乙方交付的合格货物，应当承担乙方由此造成的损失。</w:t>
      </w:r>
      <w:r/>
    </w:p>
    <w:p>
      <w:pPr>
        <w:ind w:firstLine="472"/>
        <w:spacing w:line="480" w:lineRule="exact"/>
        <w:rPr>
          <w:rFonts w:hint="eastAsia" w:ascii="宋体" w:hAnsi="宋体"/>
          <w:b/>
          <w:color w:val="auto"/>
          <w:sz w:val="24"/>
          <w:highlight w:val="none"/>
        </w:rPr>
      </w:pPr>
      <w:r>
        <w:rPr>
          <w:rFonts w:hint="eastAsia" w:ascii="宋体" w:hAnsi="宋体"/>
          <w:b/>
          <w:color w:val="auto"/>
          <w:sz w:val="24"/>
          <w:highlight w:val="none"/>
        </w:rPr>
        <w:t xml:space="preserve">3.乙方违约责任</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auto"/>
          <w:sz w:val="24"/>
          <w:highlight w:val="none"/>
        </w:rPr>
        <w:t xml:space="preserve">5%</w:t>
      </w:r>
      <w:r>
        <w:rPr>
          <w:rFonts w:hint="eastAsia" w:ascii="宋体" w:hAnsi="宋体"/>
          <w:color w:val="auto"/>
          <w:sz w:val="24"/>
          <w:highlight w:val="none"/>
        </w:rPr>
        <w:t xml:space="preserve">的违约金，违约金不足以补偿损失的甲方有权要求乙方补足。</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十、安全问题</w:t>
      </w:r>
      <w:r/>
    </w:p>
    <w:p>
      <w:pPr>
        <w:ind w:firstLine="480"/>
        <w:spacing w:line="480" w:lineRule="exact"/>
        <w:widowControl/>
        <w:rPr>
          <w:color w:val="auto"/>
          <w:highlight w:val="none"/>
        </w:rPr>
      </w:pPr>
      <w:r>
        <w:rPr>
          <w:rFonts w:hint="eastAsia" w:ascii="宋体" w:hAnsi="宋体"/>
          <w:color w:val="auto"/>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十一、不可抗力</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2、不可抗力事件持续超过15日，任一方均有权解除本合同。</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十二、其他事项</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十三、合同争议解决方式</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十四、其他</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cs="宋体"/>
          <w:bCs/>
          <w:color w:val="auto"/>
          <w:sz w:val="24"/>
          <w:highlight w:val="none"/>
        </w:rPr>
        <w:t xml:space="preserve">本合同有效期：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日至</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日（以下单日为准）。</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3、</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4、</w:t>
      </w:r>
      <w:r>
        <w:rPr>
          <w:rFonts w:hint="eastAsia" w:ascii="宋体" w:hAnsi="宋体"/>
          <w:color w:val="auto"/>
          <w:sz w:val="24"/>
          <w:highlight w:val="none"/>
        </w:rPr>
        <w:t xml:space="preserve">本合同自甲乙双方代表签字盖章之日起生效，一式陆份，甲乙双方各贰份，江苏辰通项目管理有限公司贰份。</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5、</w:t>
      </w:r>
      <w:r>
        <w:rPr>
          <w:rFonts w:hint="eastAsia" w:ascii="宋体" w:hAnsi="宋体"/>
          <w:color w:val="auto"/>
          <w:sz w:val="24"/>
          <w:highlight w:val="none"/>
        </w:rPr>
        <w:t xml:space="preserve">本合同附件包括：招标文件、中标通知书、投标文件。</w:t>
      </w:r>
      <w:r/>
    </w:p>
    <w:p>
      <w:pPr>
        <w:ind w:firstLine="482"/>
        <w:jc w:val="left"/>
        <w:spacing w:line="480" w:lineRule="exact"/>
        <w:rPr>
          <w:rFonts w:hint="eastAsia" w:ascii="宋体" w:hAnsi="宋体"/>
          <w:b/>
          <w:bCs/>
          <w:color w:val="auto"/>
          <w:sz w:val="24"/>
          <w:highlight w:val="none"/>
        </w:rPr>
        <w:outlineLvl w:val="0"/>
      </w:pPr>
      <w:r>
        <w:rPr>
          <w:rFonts w:hint="eastAsia" w:ascii="宋体" w:hAnsi="宋体"/>
          <w:b/>
          <w:bCs/>
          <w:color w:val="auto"/>
          <w:sz w:val="24"/>
          <w:highlight w:val="none"/>
        </w:rPr>
        <w:t xml:space="preserve">6</w:t>
      </w:r>
      <w:r>
        <w:rPr>
          <w:rFonts w:hint="eastAsia" w:ascii="宋体" w:hAnsi="宋体" w:cs="宋体"/>
          <w:b/>
          <w:color w:val="auto"/>
          <w:sz w:val="24"/>
          <w:highlight w:val="none"/>
        </w:rPr>
        <w:t xml:space="preserve">、</w:t>
      </w:r>
      <w:r>
        <w:rPr>
          <w:rFonts w:ascii="宋体" w:hAnsi="宋体"/>
          <w:b/>
          <w:bCs/>
          <w:color w:val="auto"/>
          <w:sz w:val="24"/>
          <w:highlight w:val="none"/>
        </w:rPr>
        <w:t xml:space="preserve">该合同在签订之日起2个工作日内在江苏省政府采购网、盐城市政府采购网上予以公示。</w:t>
      </w:r>
      <w:r/>
    </w:p>
    <w:p>
      <w:pPr>
        <w:pStyle w:val="813"/>
        <w:rPr>
          <w:color w:val="auto"/>
          <w:highlight w:val="none"/>
        </w:rPr>
      </w:pPr>
      <w:r>
        <w:rPr>
          <w:color w:val="auto"/>
          <w:highlight w:val="none"/>
        </w:rPr>
      </w:r>
      <w:r/>
    </w:p>
    <w:p>
      <w:pPr>
        <w:pStyle w:val="813"/>
        <w:rPr>
          <w:color w:val="auto"/>
          <w:highlight w:val="none"/>
        </w:rPr>
      </w:pPr>
      <w:r>
        <w:rPr>
          <w:color w:val="auto"/>
          <w:highlight w:val="none"/>
        </w:rPr>
      </w:r>
      <w:r/>
    </w:p>
    <w:p>
      <w:pPr>
        <w:pStyle w:val="813"/>
        <w:rPr>
          <w:color w:val="auto"/>
          <w:highlight w:val="none"/>
        </w:rPr>
      </w:pPr>
      <w:r>
        <w:rPr>
          <w:color w:val="auto"/>
          <w:highlight w:val="none"/>
        </w:rPr>
      </w:r>
      <w:r/>
    </w:p>
    <w:p>
      <w:pPr>
        <w:numPr>
          <w:ilvl w:val="0"/>
          <w:numId w:val="5"/>
        </w:numPr>
        <w:spacing w:line="520" w:lineRule="exact"/>
        <w:rPr>
          <w:b/>
          <w:color w:val="auto"/>
          <w:sz w:val="44"/>
          <w:szCs w:val="44"/>
          <w:highlight w:val="none"/>
        </w:rPr>
      </w:pPr>
      <w:r>
        <w:rPr>
          <w:rFonts w:hint="eastAsia"/>
          <w:b/>
          <w:color w:val="auto"/>
          <w:sz w:val="44"/>
          <w:szCs w:val="44"/>
          <w:highlight w:val="none"/>
        </w:rPr>
        <w:t xml:space="preserve">投标文件及格式</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cs="Segoe UI"/>
          <w:color w:val="auto"/>
          <w:sz w:val="36"/>
          <w:szCs w:val="36"/>
          <w:highlight w:val="none"/>
        </w:rPr>
      </w:pPr>
      <w:r>
        <w:rPr>
          <w:rFonts w:hint="eastAsia" w:ascii="宋体" w:hAnsi="宋体" w:cs="Segoe UI"/>
          <w:color w:val="auto"/>
          <w:sz w:val="27"/>
          <w:szCs w:val="27"/>
          <w:highlight w:val="none"/>
        </w:rPr>
        <w:t xml:space="preserve">                  </w:t>
      </w:r>
      <w:r>
        <w:rPr>
          <w:rFonts w:hint="eastAsia" w:ascii="宋体" w:hAnsi="宋体" w:cs="Segoe UI"/>
          <w:b/>
          <w:bCs/>
          <w:color w:val="auto"/>
          <w:sz w:val="28"/>
          <w:szCs w:val="28"/>
          <w:highlight w:val="none"/>
        </w:rPr>
        <w:t xml:space="preserve">    </w:t>
      </w:r>
      <w:r>
        <w:rPr>
          <w:rFonts w:hint="eastAsia" w:ascii="宋体" w:hAnsi="宋体" w:cs="Segoe UI"/>
          <w:b/>
          <w:bCs/>
          <w:color w:val="auto"/>
          <w:sz w:val="36"/>
          <w:szCs w:val="36"/>
          <w:highlight w:val="none"/>
        </w:rPr>
        <w:t xml:space="preserve">（一）开标一览表</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rPr>
        <w:t xml:space="preserve">项目编号：</w:t>
      </w:r>
      <w:r>
        <w:rPr>
          <w:rFonts w:hint="eastAsia" w:ascii="宋体" w:hAnsi="宋体" w:cs="Segoe UI"/>
          <w:color w:val="auto"/>
          <w:sz w:val="27"/>
          <w:szCs w:val="27"/>
          <w:highlight w:val="none"/>
          <w:lang w:eastAsia="zh-CN"/>
        </w:rPr>
        <w:t xml:space="preserve">JSZC-320925-CTGL-G2026-0003</w:t>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货币单位：人民币元</w:t>
      </w:r>
      <w:r/>
    </w:p>
    <w:tbl>
      <w:tblPr>
        <w:tblStyle w:val="811"/>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49"/>
        <w:gridCol w:w="3141"/>
        <w:gridCol w:w="3095"/>
      </w:tblGrid>
      <w:tr>
        <w:trPr>
          <w:jc w:val="center"/>
          <w:trHeight w:val="720"/>
        </w:trPr>
        <w:tc>
          <w:tcPr>
            <w:tcW w:w="3049"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项目名称</w:t>
            </w:r>
            <w:r/>
          </w:p>
        </w:tc>
        <w:tc>
          <w:tcPr>
            <w:tcW w:w="3141"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（小写）</w:t>
            </w:r>
            <w:r/>
          </w:p>
        </w:tc>
      </w:tr>
      <w:tr>
        <w:trPr>
          <w:jc w:val="center"/>
          <w:trHeight w:val="897"/>
        </w:trPr>
        <w:tc>
          <w:tcPr>
            <w:tcW w:w="3049"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宋体"/>
                <w:color w:val="auto"/>
                <w:sz w:val="24"/>
                <w:highlight w:val="none"/>
              </w:rPr>
              <w:t xml:space="preserve">建湖县公安局2026年交安智能电子管控设备项目</w:t>
            </w:r>
            <w:r/>
          </w:p>
        </w:tc>
        <w:tc>
          <w:tcPr>
            <w:tcW w:w="3141"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 </w:t>
            </w:r>
            <w:r>
              <w:rPr>
                <w:rFonts w:ascii="宋体" w:hAnsi="宋体" w:cs="Segoe UI"/>
                <w:color w:val="auto"/>
                <w:sz w:val="24"/>
                <w:highlight w:val="none"/>
              </w:rPr>
              <w:t xml:space="preserve">  </w:t>
            </w:r>
            <w:r>
              <w:rPr>
                <w:rFonts w:hint="eastAsia" w:ascii="宋体" w:hAnsi="宋体" w:cs="Segoe UI"/>
                <w:color w:val="auto"/>
                <w:sz w:val="24"/>
                <w:highlight w:val="none"/>
              </w:rPr>
              <w:t xml:space="preserve">元</w:t>
            </w:r>
            <w:r/>
          </w:p>
        </w:tc>
      </w:tr>
      <w:tr>
        <w:trPr>
          <w:jc w:val="center"/>
          <w:trHeight w:val="782"/>
        </w:trPr>
        <w:tc>
          <w:tcPr>
            <w:tcW w:w="3049"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（大写）：</w:t>
            </w:r>
            <w:r/>
          </w:p>
        </w:tc>
        <w:tc>
          <w:tcPr>
            <w:gridSpan w:val="2"/>
            <w:tcW w:w="6236"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投标人公章：                          </w:t>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 （电子签章）</w:t>
      </w:r>
      <w:r/>
    </w:p>
    <w:p>
      <w:pPr>
        <w:jc w:val="cente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left"/>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pStyle w:val="846"/>
        <w:rPr>
          <w:rFonts w:hint="eastAsia"/>
          <w:color w:val="auto"/>
          <w:highlight w:val="none"/>
        </w:rPr>
      </w:pPr>
      <w:r>
        <w:rPr>
          <w:rFonts w:hint="eastAsia"/>
          <w:color w:val="auto"/>
          <w:highlight w:val="none"/>
        </w:rPr>
      </w:r>
      <w:r/>
    </w:p>
    <w:p>
      <w:pPr>
        <w:ind w:firstLine="2891"/>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821"/>
        <w:spacing w:before="120" w:after="120" w:line="480" w:lineRule="exact"/>
        <w:rPr>
          <w:rFonts w:hint="eastAsia"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建湖县公安局</w:t>
      </w:r>
      <w:r>
        <w:rPr>
          <w:rFonts w:hint="eastAsia" w:hAnsi="宋体"/>
          <w:color w:val="auto"/>
          <w:sz w:val="24"/>
          <w:highlight w:val="none"/>
          <w:u w:val="single"/>
        </w:rPr>
        <w:t xml:space="preserve"> </w:t>
      </w:r>
      <w:r/>
    </w:p>
    <w:p>
      <w:pPr>
        <w:pStyle w:val="813"/>
        <w:ind w:firstLine="480"/>
        <w:spacing w:line="48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根据</w:t>
      </w:r>
      <w:r>
        <w:rPr>
          <w:rFonts w:hint="eastAsia" w:ascii="宋体" w:hAnsi="宋体"/>
          <w:b/>
          <w:bCs/>
          <w:color w:val="auto"/>
          <w:sz w:val="24"/>
          <w:highlight w:val="none"/>
          <w:u w:val="single"/>
        </w:rPr>
        <w:t xml:space="preserve">建湖县公安局2026年交安智能电子管控设备项目</w:t>
      </w:r>
      <w:r>
        <w:rPr>
          <w:rFonts w:ascii="宋体" w:hAnsi="宋体"/>
          <w:color w:val="auto"/>
          <w:sz w:val="24"/>
          <w:highlight w:val="none"/>
        </w:rPr>
        <w:t xml:space="preserve">的招标文件，我单位经市场考察和研究上述项目招标文件的投标须知、相关标准及技术要求和其他有关文件后，我方愿以</w:t>
      </w:r>
      <w:r>
        <w:rPr>
          <w:rFonts w:hint="eastAsia" w:ascii="宋体" w:hAnsi="宋体"/>
          <w:color w:val="auto"/>
          <w:sz w:val="24"/>
          <w:highlight w:val="none"/>
        </w:rPr>
        <w:t xml:space="preserve">总价</w:t>
      </w:r>
      <w:r>
        <w:rPr>
          <w:rFonts w:ascii="宋体" w:hAnsi="宋体"/>
          <w:color w:val="auto"/>
          <w:sz w:val="24"/>
          <w:highlight w:val="none"/>
        </w:rPr>
        <w:t xml:space="preserve">人民币</w:t>
      </w:r>
      <w:r>
        <w:rPr>
          <w:rFonts w:hint="eastAsia" w:ascii="宋体" w:hAnsi="宋体"/>
          <w:color w:val="auto"/>
          <w:sz w:val="24"/>
          <w:highlight w:val="none"/>
        </w:rPr>
        <w:t xml:space="preserve">即</w:t>
      </w:r>
      <w:r>
        <w:rPr>
          <w:rFonts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的投标报价完成本项目，按招标要求实施此项目。</w:t>
      </w:r>
      <w:r/>
    </w:p>
    <w:p>
      <w:pPr>
        <w:ind w:firstLine="480"/>
        <w:spacing w:line="480" w:lineRule="exact"/>
        <w:rPr>
          <w:rFonts w:hint="eastAsia" w:ascii="宋体" w:hAnsi="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Arial"/>
          <w:bCs/>
          <w:color w:val="auto"/>
          <w:sz w:val="24"/>
          <w:szCs w:val="24"/>
          <w:highlight w:val="none"/>
        </w:rPr>
        <w:t xml:space="preserve">供货期</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合同签订并接到采购人供货通知后45日历天内到货并安装调试完毕；</w:t>
      </w:r>
      <w:r/>
    </w:p>
    <w:p>
      <w:pPr>
        <w:pStyle w:val="813"/>
        <w:ind w:firstLine="480"/>
        <w:spacing w:line="48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.我方承诺所投产品质保期为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年。如我方供应的产品因质量原因不能通过相关权威部门的验收，我方无偿更换全部产品，不收取任何费用，并承担相应责任。</w:t>
      </w:r>
      <w:r/>
    </w:p>
    <w:p>
      <w:pPr>
        <w:pStyle w:val="813"/>
        <w:ind w:firstLine="480"/>
        <w:spacing w:line="48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我方接受招标文件中的货款支付条件</w:t>
      </w:r>
      <w:r>
        <w:rPr>
          <w:rFonts w:hint="eastAsia" w:ascii="宋体" w:hAnsi="宋体"/>
          <w:color w:val="auto"/>
          <w:sz w:val="24"/>
          <w:highlight w:val="none"/>
        </w:rPr>
        <w:t xml:space="preserve">和招标文件中规定的各项要求</w:t>
      </w:r>
      <w:r>
        <w:rPr>
          <w:rFonts w:ascii="宋体" w:hAnsi="宋体"/>
          <w:color w:val="auto"/>
          <w:sz w:val="24"/>
          <w:highlight w:val="none"/>
        </w:rPr>
        <w:t xml:space="preserve">。</w:t>
      </w:r>
      <w:r/>
    </w:p>
    <w:p>
      <w:pPr>
        <w:ind w:firstLine="480"/>
        <w:spacing w:line="480" w:lineRule="exact"/>
        <w:rPr>
          <w:rFonts w:hint="eastAsia" w:ascii="宋体" w:hAnsi="宋体" w:cs="Arial"/>
          <w:bCs/>
          <w:color w:val="auto"/>
          <w:sz w:val="24"/>
          <w:highlight w:val="none"/>
        </w:rPr>
      </w:pPr>
      <w:r>
        <w:rPr>
          <w:rFonts w:ascii="宋体" w:hAnsi="宋体" w:cs="Arial"/>
          <w:bCs/>
          <w:color w:val="auto"/>
          <w:sz w:val="24"/>
          <w:highlight w:val="none"/>
        </w:rPr>
        <w:t xml:space="preserve">5</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rPr>
          <w:rFonts w:hint="eastAsia" w:ascii="宋体" w:hAnsi="宋体"/>
          <w:color w:val="auto"/>
          <w:sz w:val="24"/>
          <w:highlight w:val="none"/>
        </w:rPr>
        <w:t xml:space="preserve">。</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.我方承诺服务过程中所有工作人员的人身安全以及我方在实施期间产生的各类安全责任事故均由我方自行承担。</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.你方的中标通知书和本承诺书将成为约束双方合同文件的组成部分。</w:t>
      </w:r>
      <w:r/>
    </w:p>
    <w:p>
      <w:pPr>
        <w:pStyle w:val="892"/>
        <w:ind w:firstLine="0"/>
        <w:rPr>
          <w:rFonts w:hint="eastAsia" w:ascii="宋体" w:hAnsi="宋体"/>
          <w:color w:val="auto"/>
          <w:sz w:val="24"/>
          <w:highlight w:val="none"/>
        </w:rPr>
      </w:pPr>
      <w:r>
        <w:rPr>
          <w:rFonts w:hint="eastAsia" w:ascii="宋体" w:hAnsi="宋体"/>
          <w:color w:val="auto"/>
          <w:sz w:val="24"/>
          <w:highlight w:val="none"/>
        </w:rPr>
      </w:r>
      <w:r/>
    </w:p>
    <w:p>
      <w:pPr>
        <w:pStyle w:val="821"/>
        <w:ind w:firstLine="480"/>
        <w:spacing w:line="480" w:lineRule="exact"/>
        <w:rPr>
          <w:rFonts w:hint="eastAsia" w:hAnsi="宋体"/>
          <w:color w:val="auto"/>
          <w:sz w:val="24"/>
          <w:highlight w:val="none"/>
        </w:rPr>
      </w:pPr>
      <w:r>
        <w:rPr>
          <w:rFonts w:hint="eastAsia" w:hAnsi="宋体"/>
          <w:color w:val="auto"/>
          <w:sz w:val="24"/>
          <w:highlight w:val="none"/>
        </w:rPr>
        <w:t xml:space="preserve">投标单位：(盖章)</w:t>
      </w:r>
      <w:r/>
    </w:p>
    <w:p>
      <w:pPr>
        <w:pStyle w:val="821"/>
        <w:ind w:firstLine="460"/>
        <w:spacing w:line="480" w:lineRule="exact"/>
        <w:rPr>
          <w:rFonts w:hint="eastAsia" w:hAnsi="宋体"/>
          <w:color w:val="auto"/>
          <w:sz w:val="24"/>
          <w:highlight w:val="none"/>
        </w:rPr>
      </w:pPr>
      <w:r>
        <w:rPr>
          <w:rFonts w:hint="eastAsia" w:hAnsi="宋体"/>
          <w:color w:val="auto"/>
          <w:sz w:val="24"/>
          <w:highlight w:val="none"/>
        </w:rPr>
      </w:r>
      <w:r/>
    </w:p>
    <w:p>
      <w:pPr>
        <w:pStyle w:val="821"/>
        <w:ind w:firstLine="460"/>
        <w:spacing w:line="480" w:lineRule="exact"/>
        <w:rPr>
          <w:rFonts w:hint="eastAsia" w:hAnsi="宋体"/>
          <w:color w:val="auto"/>
          <w:sz w:val="24"/>
          <w:highlight w:val="none"/>
        </w:rPr>
      </w:pPr>
      <w:r>
        <w:rPr>
          <w:rFonts w:hint="eastAsia"/>
          <w:color w:val="auto"/>
          <w:sz w:val="24"/>
          <w:highlight w:val="none"/>
        </w:rPr>
        <w:t xml:space="preserve">法定代表人或委托代理人</w:t>
      </w:r>
      <w:r>
        <w:rPr>
          <w:rFonts w:hint="eastAsia" w:hAnsi="宋体"/>
          <w:color w:val="auto"/>
          <w:sz w:val="24"/>
          <w:highlight w:val="none"/>
        </w:rPr>
        <w:t xml:space="preserve">：(盖章或签字)</w:t>
      </w:r>
      <w:r/>
    </w:p>
    <w:p>
      <w:pPr>
        <w:pStyle w:val="821"/>
        <w:jc w:val="right"/>
        <w:spacing w:line="480" w:lineRule="exact"/>
        <w:rPr>
          <w:rFonts w:hint="eastAsia" w:ascii="黑体" w:hAnsi="黑体" w:eastAsia="黑体" w:cs="黑体"/>
          <w:b/>
          <w:color w:val="auto"/>
          <w:sz w:val="36"/>
          <w:szCs w:val="36"/>
          <w:highlight w:val="none"/>
        </w:rPr>
      </w:pPr>
      <w:r>
        <w:rPr>
          <w:rFonts w:hint="eastAsia"/>
          <w:color w:val="auto"/>
          <w:sz w:val="24"/>
          <w:highlight w:val="none"/>
        </w:rPr>
        <w:t xml:space="preserve">日期：      年      月      日</w:t>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16"/>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6"/>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6"/>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6"/>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（三）无重大违法记录声明函</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spacing w:line="600" w:lineRule="exact"/>
        <w:rPr>
          <w:rFonts w:hint="eastAsia" w:hAnsi="宋体" w:cs="宋体"/>
          <w:b/>
          <w:bCs/>
          <w:color w:val="auto"/>
          <w:sz w:val="24"/>
          <w:highlight w:val="none"/>
          <w:u w:val="single"/>
        </w:rPr>
      </w:pPr>
      <w:r>
        <w:rPr>
          <w:rFonts w:hint="eastAsia" w:hAnsi="宋体" w:cs="Arial"/>
          <w:b/>
          <w:color w:val="auto"/>
          <w:sz w:val="24"/>
          <w:highlight w:val="none"/>
          <w:u w:val="single"/>
        </w:rPr>
        <w:t xml:space="preserve">采购人：</w:t>
      </w:r>
      <w:r>
        <w:rPr>
          <w:rFonts w:hint="eastAsia" w:hAnsi="宋体" w:cs="宋体"/>
          <w:b/>
          <w:bCs/>
          <w:color w:val="auto"/>
          <w:sz w:val="24"/>
          <w:highlight w:val="none"/>
          <w:u w:val="single"/>
        </w:rPr>
        <w:t xml:space="preserve">建湖县公安局</w:t>
      </w:r>
      <w:r/>
    </w:p>
    <w:p>
      <w:pPr>
        <w:ind w:firstLine="480"/>
        <w:spacing w:line="600" w:lineRule="exact"/>
        <w:rPr>
          <w:rFonts w:hint="eastAsia" w:ascii="宋体" w:hAnsi="宋体"/>
          <w:b/>
          <w:color w:val="auto"/>
          <w:sz w:val="24"/>
          <w:highlight w:val="none"/>
        </w:rPr>
      </w:pP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rPr>
        <w:t xml:space="preserve">建湖县公安局2026年交安智能电子管控设备项目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hint="eastAsia"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pStyle w:val="821"/>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投标单位：(盖章)</w:t>
      </w:r>
      <w:r/>
    </w:p>
    <w:p>
      <w:pPr>
        <w:pStyle w:val="821"/>
        <w:ind w:firstLine="460"/>
        <w:spacing w:line="480" w:lineRule="exact"/>
        <w:rPr>
          <w:rFonts w:hint="eastAsia" w:hAnsi="宋体" w:cs="Arial"/>
          <w:bCs/>
          <w:color w:val="auto"/>
          <w:sz w:val="24"/>
          <w:highlight w:val="none"/>
        </w:rPr>
      </w:pPr>
      <w:r>
        <w:rPr>
          <w:rFonts w:hint="eastAsia" w:hAnsi="宋体" w:cs="Arial"/>
          <w:bCs/>
          <w:color w:val="auto"/>
          <w:sz w:val="24"/>
          <w:highlight w:val="none"/>
        </w:rPr>
      </w:r>
      <w:r/>
    </w:p>
    <w:p>
      <w:pPr>
        <w:pStyle w:val="821"/>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法定代表人或委托代理人：(盖章或签字)</w:t>
      </w:r>
      <w:r/>
    </w:p>
    <w:p>
      <w:pPr>
        <w:pStyle w:val="821"/>
        <w:ind w:left="5250" w:firstLine="403"/>
        <w:spacing w:line="480" w:lineRule="exact"/>
        <w:rPr>
          <w:rFonts w:hint="eastAsia" w:hAnsi="宋体"/>
          <w:color w:val="auto"/>
          <w:highlight w:val="none"/>
        </w:rPr>
      </w:pPr>
      <w:r>
        <w:rPr>
          <w:rFonts w:hint="eastAsia" w:hAnsi="宋体"/>
          <w:color w:val="auto"/>
          <w:highlight w:val="none"/>
        </w:rPr>
      </w:r>
      <w:r/>
    </w:p>
    <w:p>
      <w:pPr>
        <w:pStyle w:val="821"/>
        <w:ind w:left="5250" w:firstLine="403"/>
        <w:spacing w:line="480" w:lineRule="exact"/>
        <w:rPr>
          <w:rFonts w:hint="eastAsia" w:hAnsi="宋体"/>
          <w:color w:val="auto"/>
          <w:highlight w:val="none"/>
        </w:rPr>
      </w:pPr>
      <w:r>
        <w:rPr>
          <w:rFonts w:hint="eastAsia"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1017"/>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1017"/>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1017"/>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1017"/>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1017"/>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1017"/>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rPr>
          <w:color w:val="auto"/>
          <w:highlight w:val="none"/>
        </w:rPr>
      </w:pPr>
      <w:r>
        <w:rPr>
          <w:color w:val="auto"/>
          <w:highlight w:val="none"/>
        </w:rPr>
      </w:r>
      <w:r/>
    </w:p>
    <w:p>
      <w:pPr>
        <w:ind w:firstLine="321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w:t>
      </w:r>
      <w:r>
        <w:rPr>
          <w:rFonts w:hint="eastAsia" w:ascii="宋体" w:hAnsi="宋体" w:cs="宋体"/>
          <w:b/>
          <w:color w:val="auto"/>
          <w:sz w:val="32"/>
          <w:szCs w:val="32"/>
          <w:highlight w:val="none"/>
          <w:lang w:val="zh-CN"/>
        </w:rPr>
        <w:t xml:space="preserve">供应商登记表</w:t>
      </w:r>
      <w:r/>
    </w:p>
    <w:p>
      <w:pPr>
        <w:ind w:left="1447" w:firstLine="5649"/>
        <w:spacing w:line="360" w:lineRule="auto"/>
        <w:rPr>
          <w:rFonts w:hint="eastAsia"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范   围</w:t>
            </w:r>
            <w:r/>
          </w:p>
        </w:tc>
        <w:tc>
          <w:tcPr>
            <w:gridSpan w:val="5"/>
            <w:tcW w:w="811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194"/>
        </w:trPr>
        <w:tc>
          <w:tcPr>
            <w:gridSpan w:val="6"/>
            <w:tcW w:w="941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393"/>
        </w:trPr>
        <w:tc>
          <w:tcPr>
            <w:gridSpan w:val="6"/>
            <w:tcW w:w="941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1"/>
        <w:jc w:val="center"/>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821"/>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jc w:val="cente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（五）法定代表人身份证明书</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u w:val="singl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hint="eastAsia" w:ascii="宋体" w:hAnsi="宋体"/>
          <w:color w:val="auto"/>
          <w:sz w:val="24"/>
          <w:highlight w:val="none"/>
        </w:rPr>
      </w:pP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left="3598" w:hanging="2760"/>
        <w:rPr>
          <w:rFonts w:hint="eastAsia"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ind w:left="3598" w:hanging="2760"/>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特此证明。</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4440"/>
        <w:rPr>
          <w:rFonts w:hint="eastAsia"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440"/>
        <w:rPr>
          <w:rFonts w:hint="eastAsia" w:hAnsi="宋体"/>
          <w:color w:val="auto"/>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821"/>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821"/>
        <w:ind w:firstLine="2530"/>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846"/>
        <w:ind w:firstLine="0"/>
        <w:rPr>
          <w:color w:val="auto"/>
          <w:highlight w:val="none"/>
        </w:rPr>
      </w:pPr>
      <w:r>
        <w:rPr>
          <w:color w:val="auto"/>
          <w:highlight w:val="none"/>
        </w:rPr>
      </w:r>
      <w:r/>
    </w:p>
    <w:p>
      <w:pPr>
        <w:pStyle w:val="821"/>
        <w:spacing w:before="120" w:after="120" w:line="440" w:lineRule="exact"/>
        <w:rPr>
          <w:rFonts w:hint="eastAsia" w:hAnsi="宋体" w:cs="宋体"/>
          <w:b/>
          <w:bCs/>
          <w:color w:val="auto"/>
          <w:sz w:val="36"/>
          <w:szCs w:val="36"/>
          <w:highlight w:val="none"/>
        </w:rPr>
      </w:pPr>
      <w:r>
        <w:rPr>
          <w:rFonts w:hint="eastAsia" w:hAnsi="宋体" w:cs="宋体"/>
          <w:b/>
          <w:bCs/>
          <w:color w:val="auto"/>
          <w:sz w:val="36"/>
          <w:szCs w:val="36"/>
          <w:highlight w:val="none"/>
        </w:rPr>
      </w:r>
      <w:r/>
    </w:p>
    <w:p>
      <w:pPr>
        <w:pStyle w:val="821"/>
        <w:spacing w:before="120" w:after="120" w:line="440" w:lineRule="exact"/>
        <w:rPr>
          <w:rFonts w:hint="eastAsia" w:hAnsi="宋体" w:cs="宋体"/>
          <w:b/>
          <w:bCs/>
          <w:color w:val="auto"/>
          <w:sz w:val="36"/>
          <w:szCs w:val="36"/>
          <w:highlight w:val="none"/>
        </w:rPr>
      </w:pPr>
      <w:r>
        <w:rPr>
          <w:rFonts w:hint="eastAsia" w:hAnsi="宋体" w:cs="宋体"/>
          <w:b/>
          <w:bCs/>
          <w:color w:val="auto"/>
          <w:sz w:val="36"/>
          <w:szCs w:val="36"/>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（姓名）为我单位的代理人，以本公司的名义参加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法定代表人(印章或签字)：</w:t>
      </w:r>
      <w:r/>
    </w:p>
    <w:p>
      <w:pPr>
        <w:rPr>
          <w:rFonts w:hint="eastAsia" w:ascii="宋体" w:hAnsi="宋体"/>
          <w:color w:val="auto"/>
          <w:sz w:val="24"/>
          <w:highlight w:val="none"/>
        </w:rPr>
      </w:pPr>
      <w:r>
        <w:rPr>
          <w:rFonts w:hint="eastAsia" w:ascii="宋体" w:hAnsi="宋体"/>
          <w:color w:val="auto"/>
          <w:sz w:val="24"/>
          <w:highlight w:val="none"/>
        </w:rPr>
      </w:r>
      <w:r/>
    </w:p>
    <w:p>
      <w:pPr>
        <w:jc w:val="right"/>
        <w:spacing w:after="161" w:line="480" w:lineRule="exact"/>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附：</w:t>
      </w:r>
      <w:r/>
    </w:p>
    <w:tbl>
      <w:tblPr>
        <w:tblStyle w:val="81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spacing w:line="520" w:lineRule="exact"/>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spacing w:line="520" w:lineRule="exact"/>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（七）公共资源交易投标信用承诺书</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480" w:lineRule="exact"/>
        <w:rPr>
          <w:rFonts w:hint="eastAsia" w:ascii="宋体" w:hAnsi="宋体"/>
          <w:color w:val="auto"/>
          <w:sz w:val="24"/>
          <w:highlight w:val="none"/>
        </w:rPr>
      </w:pPr>
      <w:r>
        <w:rPr>
          <w:rFonts w:hint="eastAsia" w:ascii="宋体" w:hAnsi="宋体"/>
          <w:color w:val="auto"/>
          <w:sz w:val="24"/>
          <w:highlight w:val="none"/>
        </w:rPr>
      </w:r>
      <w:r/>
    </w:p>
    <w:p>
      <w:pPr>
        <w:jc w:val="left"/>
        <w:spacing w:before="161" w:after="161" w:line="48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spacing w:before="161" w:after="161"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before="161" w:after="161" w:line="480" w:lineRule="exact"/>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jc w:val="left"/>
        <w:spacing w:after="161" w:line="480" w:lineRule="exact"/>
        <w:rPr>
          <w:rFonts w:hint="eastAsia" w:ascii="宋体" w:hAnsi="宋体"/>
          <w:bCs/>
          <w:color w:val="auto"/>
          <w:sz w:val="24"/>
          <w:highlight w:val="none"/>
        </w:rPr>
      </w:pPr>
      <w:r>
        <w:rPr>
          <w:rFonts w:hint="eastAsia" w:ascii="宋体" w:hAnsi="宋体"/>
          <w:bCs/>
          <w:color w:val="auto"/>
          <w:sz w:val="24"/>
          <w:highlight w:val="none"/>
        </w:rPr>
      </w:r>
      <w:r/>
    </w:p>
    <w:p>
      <w:pPr>
        <w:jc w:val="right"/>
        <w:spacing w:after="161" w:line="480" w:lineRule="exact"/>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pStyle w:val="846"/>
        <w:rPr>
          <w:rFonts w:hint="eastAsia"/>
          <w:color w:val="auto"/>
          <w:highlight w:val="none"/>
        </w:rPr>
      </w:pPr>
      <w:r>
        <w:rPr>
          <w:rFonts w:hint="eastAsia"/>
          <w:color w:val="auto"/>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（八）建湖县政府采购事前信用承诺书</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（四）严格遵守即时信息公示规定，及时更新维护建湖县公共资源电子化服务平台中与本单位相关的信息；</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80"/>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jc w:val="left"/>
        <w:spacing w:line="520" w:lineRule="exact"/>
        <w:widowControl/>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单位名称（盖章）：</w:t>
      </w:r>
      <w:r/>
    </w:p>
    <w:p>
      <w:pPr>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jc w:val="righ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jc w:val="right"/>
        <w:spacing w:line="500" w:lineRule="exact"/>
        <w:widowControl/>
        <w:rPr>
          <w:color w:val="auto"/>
          <w:highlight w:val="none"/>
        </w:rPr>
      </w:pPr>
      <w:r>
        <w:rPr>
          <w:rFonts w:hint="eastAsia" w:ascii="宋体" w:hAnsi="宋体"/>
          <w:color w:val="auto"/>
          <w:sz w:val="24"/>
          <w:szCs w:val="22"/>
          <w:highlight w:val="none"/>
        </w:rPr>
        <w:t xml:space="preserve">年    月    日</w:t>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（九）中小企业声明函（货物）（如有）</w:t>
      </w:r>
      <w:r/>
    </w:p>
    <w:p>
      <w:pPr>
        <w:ind w:firstLine="480"/>
        <w:spacing w:line="520" w:lineRule="exact"/>
        <w:widowControl/>
        <w:rPr>
          <w:rFonts w:hint="eastAsia" w:ascii="宋体" w:hAnsi="宋体" w:cs="宋体"/>
          <w:bCs/>
          <w:color w:val="auto"/>
          <w:sz w:val="24"/>
          <w:highlight w:val="none"/>
          <w:u w:val="single"/>
          <w:lang w:bidi="ar"/>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highlight w:val="none"/>
          <w:u w:val="single"/>
          <w:lang w:bidi="ar"/>
        </w:rPr>
        <w:t xml:space="preserve">建湖县公安局</w:t>
      </w:r>
      <w:r>
        <w:rPr>
          <w:rFonts w:hint="eastAsia" w:ascii="宋体" w:hAnsi="宋体" w:cs="宋体"/>
          <w:color w:val="auto"/>
          <w:sz w:val="24"/>
          <w:highlight w:val="none"/>
          <w:lang w:bidi="ar"/>
        </w:rPr>
        <w:t xml:space="preserve">的</w:t>
      </w:r>
      <w:r>
        <w:rPr>
          <w:rFonts w:hint="eastAsia" w:ascii="宋体" w:hAnsi="宋体"/>
          <w:b/>
          <w:bCs/>
          <w:color w:val="auto"/>
          <w:sz w:val="24"/>
          <w:highlight w:val="none"/>
          <w:u w:val="single"/>
        </w:rPr>
        <w:t xml:space="preserve">建湖县公安局2026年交安智能电子管控设备项目</w:t>
      </w:r>
      <w:r>
        <w:rPr>
          <w:rFonts w:hint="eastAsia" w:ascii="宋体" w:hAnsi="宋体" w:cs="宋体"/>
          <w:color w:val="auto"/>
          <w:sz w:val="24"/>
          <w:highlight w:val="none"/>
          <w:lang w:bidi="ar"/>
        </w:rPr>
        <w:t xml:space="preserve">采购活动，提供的货物全部由符合政策要求的中小企业承接。相关企业（含联合体中的中小企业、签订分包意向协议的中小企业）的具体情况如下：</w:t>
      </w:r>
      <w:r/>
    </w:p>
    <w:p>
      <w:pPr>
        <w:ind w:firstLine="480"/>
        <w:spacing w:line="52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ind w:firstLine="480"/>
        <w:spacing w:line="52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pStyle w:val="816"/>
        <w:ind w:firstLine="630"/>
        <w:spacing w:line="520" w:lineRule="exact"/>
        <w:rPr>
          <w:color w:val="auto"/>
          <w:highlight w:val="none"/>
        </w:rPr>
      </w:pPr>
      <w:r>
        <w:rPr>
          <w:rFonts w:hint="eastAsia"/>
          <w:color w:val="auto"/>
          <w:highlight w:val="none"/>
        </w:rPr>
        <w:t xml:space="preserve">....</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本企业对上述声明内容的真实性负责。如有虚假，将依法承担相应责任。</w:t>
      </w:r>
      <w:r/>
    </w:p>
    <w:p>
      <w:pPr>
        <w:ind w:firstLine="4080"/>
        <w:spacing w:before="647"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w:t>
      </w:r>
      <w:r/>
    </w:p>
    <w:p>
      <w:pPr>
        <w:ind w:firstLine="4080"/>
        <w:spacing w:before="161"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日 期：</w:t>
      </w:r>
      <w:r/>
    </w:p>
    <w:p>
      <w:pPr>
        <w:jc w:val="left"/>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注：</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1.</w:t>
      </w:r>
      <w:r>
        <w:rPr>
          <w:rFonts w:hint="eastAsia" w:ascii="宋体" w:hAnsi="宋体"/>
          <w:b/>
          <w:bCs/>
          <w:color w:val="auto"/>
          <w:sz w:val="24"/>
          <w:szCs w:val="22"/>
          <w:highlight w:val="none"/>
        </w:rPr>
        <w:t xml:space="preserve">供应商如不提供此声明函或不提供证明材料的，投标报价将不做相应扣除。</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2.</w:t>
      </w:r>
      <w:r>
        <w:rPr>
          <w:rFonts w:hint="eastAsia" w:ascii="宋体" w:hAnsi="宋体"/>
          <w:b/>
          <w:bCs/>
          <w:color w:val="auto"/>
          <w:sz w:val="24"/>
          <w:szCs w:val="22"/>
          <w:highlight w:val="none"/>
        </w:rPr>
        <w:t xml:space="preserve">从业人员、营业收入、资产总额填报上一年度数据，无上一年度数据的新成立企业可不填报。</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r>
      <w:r/>
    </w:p>
    <w:p>
      <w:pPr>
        <w:pStyle w:val="803"/>
        <w:jc w:val="center"/>
        <w:rPr>
          <w:rFonts w:hint="eastAsia" w:ascii="宋体" w:hAnsi="宋体" w:cs="宋体"/>
          <w:bCs w:val="0"/>
          <w:color w:val="auto"/>
          <w:highlight w:val="none"/>
        </w:rPr>
      </w:pPr>
      <w:r>
        <w:rPr>
          <w:rFonts w:hint="eastAsia" w:ascii="宋体" w:hAnsi="宋体" w:cs="宋体"/>
          <w:bCs w:val="0"/>
          <w:color w:val="auto"/>
          <w:highlight w:val="none"/>
        </w:rPr>
        <w:t xml:space="preserve">（十）残疾人福利性单位声明函（如有）</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本单位在本次政府采购活动中提供的残疾人福利单位产品报价合计为人民币（大写）</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圆整（￥：</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本单位对上述声明的真实性负责。如有虚假，将依法承担相应责任。</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（备注：1、供应商如不提供此声明函，价格将不做相应扣除。</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单位名称（盖章）： </w:t>
      </w:r>
      <w:r/>
    </w:p>
    <w:p>
      <w:pPr>
        <w:pStyle w:val="1015"/>
        <w:rPr>
          <w:color w:val="auto"/>
          <w:highlight w:val="none"/>
        </w:rPr>
      </w:pPr>
      <w:r>
        <w:rPr>
          <w:color w:val="auto"/>
          <w:highlight w:val="none"/>
        </w:rPr>
      </w:r>
      <w:r/>
    </w:p>
    <w:p>
      <w:pPr>
        <w:ind w:firstLine="480"/>
        <w:jc w:val="righ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日 期：________年____月 ___日</w:t>
      </w:r>
      <w:r/>
    </w:p>
    <w:p>
      <w:pPr>
        <w:pStyle w:val="803"/>
        <w:jc w:val="center"/>
        <w:rPr>
          <w:rFonts w:hint="eastAsia" w:ascii="宋体" w:hAnsi="宋体"/>
          <w:color w:val="auto"/>
          <w:highlight w:val="none"/>
        </w:rPr>
      </w:pPr>
      <w:r>
        <w:rPr>
          <w:rFonts w:hint="eastAsia" w:ascii="宋体" w:hAnsi="宋体"/>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46"/>
        <w:rPr>
          <w:color w:val="auto"/>
          <w:highlight w:val="none"/>
        </w:rPr>
      </w:pPr>
      <w:r>
        <w:rPr>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before="15" w:after="15"/>
        <w:shd w:val="clear" w:color="auto" w:fill="ffffff"/>
        <w:widowControl/>
        <w:rPr>
          <w:rFonts w:ascii="宋体" w:hAnsi="宋体" w:cs="宋体"/>
          <w:color w:val="auto"/>
          <w:sz w:val="36"/>
          <w:szCs w:val="36"/>
          <w:highlight w:val="none"/>
        </w:rPr>
      </w:pPr>
      <w:r>
        <w:rPr>
          <w:rFonts w:hint="eastAsia" w:ascii="宋体" w:hAnsi="宋体" w:cs="宋体"/>
          <w:b/>
          <w:bCs/>
          <w:color w:val="auto"/>
          <w:sz w:val="36"/>
          <w:szCs w:val="36"/>
          <w:highlight w:val="none"/>
          <w:shd w:val="clear" w:color="auto" w:fill="ffffff"/>
        </w:rPr>
        <w:t xml:space="preserve">（十</w:t>
      </w:r>
      <w:r>
        <w:rPr>
          <w:rFonts w:hint="eastAsia" w:ascii="宋体" w:hAnsi="宋体" w:cs="宋体"/>
          <w:b/>
          <w:bCs/>
          <w:color w:val="auto"/>
          <w:sz w:val="36"/>
          <w:szCs w:val="36"/>
          <w:highlight w:val="none"/>
          <w:shd w:val="clear" w:color="auto" w:fill="ffffff"/>
          <w:lang w:val="en-US" w:eastAsia="zh-CN"/>
        </w:rPr>
        <w:t xml:space="preserve">一</w:t>
      </w:r>
      <w:r>
        <w:rPr>
          <w:rFonts w:hint="eastAsia" w:ascii="宋体" w:hAnsi="宋体" w:cs="宋体"/>
          <w:b/>
          <w:bCs/>
          <w:color w:val="auto"/>
          <w:sz w:val="36"/>
          <w:szCs w:val="36"/>
          <w:highlight w:val="none"/>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spacing w:line="480" w:lineRule="exact"/>
        <w:rPr>
          <w:rFonts w:hint="eastAsia" w:ascii="宋体" w:hAnsi="宋体" w:cs="宋体"/>
          <w:b/>
          <w:color w:val="auto"/>
          <w:sz w:val="32"/>
          <w:szCs w:val="32"/>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4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4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4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rPr>
        <w:t xml:space="preserve">）具备履行合同所必需的设备和专业技术能力的声明函</w:t>
      </w:r>
      <w:r/>
    </w:p>
    <w:p>
      <w:pPr>
        <w:pStyle w:val="803"/>
        <w:jc w:val="center"/>
        <w:rPr>
          <w:rFonts w:hint="eastAsia" w:ascii="宋体" w:hAnsi="宋体"/>
          <w:color w:val="auto"/>
          <w:sz w:val="24"/>
          <w:szCs w:val="24"/>
          <w:highlight w:val="none"/>
        </w:rPr>
      </w:pPr>
      <w:r>
        <w:rPr>
          <w:rFonts w:hint="eastAsia" w:ascii="宋体" w:hAnsi="宋体"/>
          <w:color w:val="auto"/>
          <w:sz w:val="24"/>
          <w:szCs w:val="24"/>
          <w:highlight w:val="none"/>
        </w:rPr>
      </w:r>
      <w:r/>
    </w:p>
    <w:p>
      <w:pPr>
        <w:ind w:firstLine="492"/>
        <w:spacing w:line="600" w:lineRule="exact"/>
        <w:rPr>
          <w:rFonts w:hint="eastAsia"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p>
    <w:p>
      <w:pPr>
        <w:spacing w:line="60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803"/>
        <w:jc w:val="center"/>
        <w:rPr>
          <w:rFonts w:hint="eastAsia" w:ascii="宋体" w:hAnsi="宋体"/>
          <w:bCs w:val="0"/>
          <w:color w:val="auto"/>
          <w:sz w:val="24"/>
          <w:highlight w:val="none"/>
        </w:rPr>
      </w:pPr>
      <w:r>
        <w:rPr>
          <w:rFonts w:hint="eastAsia" w:ascii="宋体" w:hAnsi="宋体"/>
          <w:bCs w:val="0"/>
          <w:color w:val="auto"/>
          <w:sz w:val="24"/>
          <w:highlight w:val="none"/>
        </w:rPr>
      </w:r>
      <w:r/>
    </w:p>
    <w:p>
      <w:pPr>
        <w:pStyle w:val="803"/>
        <w:jc w:val="right"/>
        <w:rPr>
          <w:rFonts w:hint="eastAsia" w:ascii="宋体" w:hAnsi="宋体"/>
          <w:b w:val="0"/>
          <w:color w:val="auto"/>
          <w:sz w:val="24"/>
          <w:highlight w:val="none"/>
        </w:rPr>
      </w:pPr>
      <w:r>
        <w:rPr>
          <w:rFonts w:hint="eastAsia" w:ascii="宋体" w:hAnsi="宋体"/>
          <w:b w:val="0"/>
          <w:color w:val="auto"/>
          <w:sz w:val="24"/>
          <w:highlight w:val="none"/>
        </w:rPr>
        <w:t xml:space="preserve"> 日期：______年</w:t>
      </w:r>
      <w:r>
        <w:rPr>
          <w:rFonts w:hint="eastAsia" w:ascii="宋体" w:hAnsi="宋体"/>
          <w:b w:val="0"/>
          <w:color w:val="auto"/>
          <w:sz w:val="24"/>
          <w:highlight w:val="none"/>
          <w:u w:val="single"/>
        </w:rPr>
        <w:t xml:space="preserve">    </w:t>
      </w:r>
      <w:r>
        <w:rPr>
          <w:rFonts w:hint="eastAsia" w:ascii="宋体" w:hAnsi="宋体"/>
          <w:b w:val="0"/>
          <w:color w:val="auto"/>
          <w:sz w:val="24"/>
          <w:highlight w:val="none"/>
        </w:rPr>
        <w:t xml:space="preserve">月</w:t>
      </w:r>
      <w:r>
        <w:rPr>
          <w:rFonts w:hint="eastAsia" w:ascii="宋体" w:hAnsi="宋体"/>
          <w:b w:val="0"/>
          <w:color w:val="auto"/>
          <w:sz w:val="24"/>
          <w:highlight w:val="none"/>
          <w:u w:val="single"/>
        </w:rPr>
        <w:t xml:space="preserve">    </w:t>
      </w:r>
      <w:r>
        <w:rPr>
          <w:rFonts w:hint="eastAsia" w:ascii="宋体" w:hAnsi="宋体"/>
          <w:b w:val="0"/>
          <w:color w:val="auto"/>
          <w:sz w:val="24"/>
          <w:highlight w:val="none"/>
        </w:rPr>
        <w:t xml:space="preserve">日</w:t>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三</w:t>
      </w:r>
      <w:r>
        <w:rPr>
          <w:rFonts w:hint="eastAsia" w:ascii="宋体" w:hAnsi="宋体" w:cs="宋体"/>
          <w:b/>
          <w:color w:val="auto"/>
          <w:sz w:val="36"/>
          <w:szCs w:val="36"/>
          <w:highlight w:val="none"/>
        </w:rPr>
        <w:t xml:space="preserve">）清单报价表</w:t>
      </w:r>
      <w:r/>
    </w:p>
    <w:p>
      <w:pPr>
        <w:jc w:val="left"/>
        <w:spacing w:line="480" w:lineRule="exact"/>
        <w:widowControl/>
        <w:rPr>
          <w:rFonts w:hint="eastAsia" w:ascii="宋体" w:hAnsi="宋体"/>
          <w:color w:val="auto"/>
          <w:sz w:val="24"/>
          <w:szCs w:val="22"/>
          <w:highlight w:val="none"/>
          <w:u w:val="single"/>
        </w:rPr>
      </w:pPr>
      <w:r>
        <w:rPr>
          <w:rFonts w:hint="eastAsia" w:ascii="宋体" w:hAnsi="宋体" w:cs="宋体"/>
          <w:b/>
          <w:bCs/>
          <w:color w:val="auto"/>
          <w:sz w:val="24"/>
          <w:szCs w:val="24"/>
          <w:highlight w:val="none"/>
          <w:u w:val="single"/>
          <w:lang w:bidi="ar"/>
        </w:rPr>
        <w:t xml:space="preserve">建湖县公安局</w:t>
      </w:r>
      <w:r>
        <w:rPr>
          <w:rFonts w:hint="eastAsia" w:ascii="宋体" w:hAnsi="宋体"/>
          <w:color w:val="auto"/>
          <w:sz w:val="24"/>
          <w:szCs w:val="22"/>
          <w:highlight w:val="none"/>
          <w:u w:val="single"/>
        </w:rPr>
        <w:t xml:space="preserve">：</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我单位愿意按照招标文件的要求和下面的报价提供所需产品及服务，并保证所供产品为原厂合格产品，提供服务为优质服务。                        单位： 人民币元</w:t>
      </w:r>
      <w:r/>
    </w:p>
    <w:tbl>
      <w:tblPr>
        <w:tblStyle w:val="811"/>
        <w:tblpPr w:horzAnchor="page" w:tblpX="959" w:vertAnchor="text" w:tblpY="484" w:leftFromText="180" w:topFromText="0" w:rightFromText="180" w:bottomFromText="0"/>
        <w:tblW w:w="5327" w:type="pct"/>
        <w:tblInd w:w="0" w:type="dxa"/>
        <w:tblLayout w:type="fixed"/>
        <w:tblCellMar>
          <w:left w:w="108" w:type="dxa"/>
          <w:top w:w="0" w:type="dxa"/>
          <w:right w:w="108" w:type="dxa"/>
          <w:bottom w:w="0" w:type="dxa"/>
        </w:tblCellMar>
        <w:tblLook w:val="04A0" w:firstRow="1" w:lastRow="0" w:firstColumn="1" w:lastColumn="0" w:noHBand="0" w:noVBand="1"/>
      </w:tblPr>
      <w:tblGrid>
        <w:gridCol w:w="747"/>
        <w:gridCol w:w="1935"/>
        <w:gridCol w:w="2302"/>
        <w:gridCol w:w="1321"/>
        <w:gridCol w:w="1261"/>
        <w:gridCol w:w="1407"/>
        <w:gridCol w:w="1224"/>
      </w:tblGrid>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项目</w:t>
            </w:r>
            <w:r/>
          </w:p>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总价</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A</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交通信号灯路口增设卡口型电子警察系统</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default" w:ascii="宋体" w:hAnsi="宋体" w:cs="宋体"/>
                <w:color w:val="auto"/>
                <w:sz w:val="20"/>
                <w:highlight w:val="none"/>
                <w:lang w:bidi="ar"/>
              </w:rPr>
              <w:t xml:space="preserve">1</w:t>
            </w:r>
            <w:r>
              <w:rPr>
                <w:rFonts w:hint="eastAsia" w:ascii="宋体" w:hAnsi="宋体" w:cs="宋体"/>
                <w:color w:val="auto"/>
                <w:sz w:val="20"/>
                <w:highlight w:val="none"/>
                <w:lang w:bidi="ar"/>
              </w:rPr>
              <w:t xml:space="preserve">200万像素高清电警抓拍单元</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智能鹰眼全结构化球机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高清牌照识别</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成像控制</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牌照补光灯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环境补光灯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前段存储设备</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8口工业级交换机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汇聚落地箱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电警立杆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接地设备</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电源电缆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馈线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B</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重点区域增设道路视频监控设备</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球机立杆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C</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更换老旧测速点设备</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平板微波雷达</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900万环保车辆人脸卡口</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终端服务器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光纤收发器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多合一环保补光灯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测速立杆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D</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国省道增设防疲劳及哨兵系统设备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双光束激光灯</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激光控制箱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测速反馈信息屏</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工作站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eastAsia="宋体" w:cs="宋体"/>
                <w:color w:val="auto"/>
                <w:sz w:val="20"/>
                <w:highlight w:val="none"/>
                <w:lang w:eastAsia="zh-CN"/>
              </w:rPr>
            </w:pPr>
            <w:r>
              <w:rPr>
                <w:rFonts w:hint="eastAsia" w:ascii="宋体" w:hAnsi="宋体" w:cs="宋体"/>
                <w:color w:val="auto"/>
                <w:sz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LED多功能多文字显示屏</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道路安全一体机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智能运维</w:t>
            </w:r>
            <w:r>
              <w:rPr>
                <w:rFonts w:hint="eastAsia" w:ascii="宋体" w:hAnsi="宋体" w:cs="宋体"/>
                <w:color w:val="auto"/>
                <w:sz w:val="20"/>
                <w:highlight w:val="none"/>
                <w:lang w:val="en-US" w:eastAsia="zh-CN" w:bidi="ar"/>
              </w:rPr>
              <w:t xml:space="preserve">配套</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工业级交换机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w:t>
            </w:r>
            <w:r>
              <w:rPr>
                <w:rFonts w:hint="eastAsia" w:ascii="宋体" w:hAnsi="宋体" w:cs="宋体"/>
                <w:b/>
                <w:bCs/>
                <w:color w:val="auto"/>
                <w:sz w:val="20"/>
                <w:highlight w:val="none"/>
                <w:lang w:eastAsia="zh-CN" w:bidi="ar"/>
              </w:rPr>
              <w:t xml:space="preserve">（</w:t>
            </w:r>
            <w:r>
              <w:rPr>
                <w:rFonts w:hint="eastAsia" w:ascii="宋体" w:hAnsi="宋体" w:cs="宋体"/>
                <w:b/>
                <w:bCs/>
                <w:color w:val="auto"/>
                <w:sz w:val="20"/>
                <w:highlight w:val="none"/>
                <w:lang w:val="en-US" w:eastAsia="zh-CN" w:bidi="ar"/>
              </w:rPr>
              <w:t xml:space="preserve">核心产品</w:t>
            </w:r>
            <w:r>
              <w:rPr>
                <w:rFonts w:hint="eastAsia" w:ascii="宋体" w:hAnsi="宋体" w:cs="宋体"/>
                <w:b/>
                <w:bCs/>
                <w:color w:val="auto"/>
                <w:sz w:val="20"/>
                <w:highlight w:val="none"/>
                <w:lang w:eastAsia="zh-CN" w:bidi="ar"/>
              </w:rPr>
              <w:t xml:space="preserve">）</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一体机防护栏</w:t>
            </w:r>
            <w:r/>
          </w:p>
        </w:tc>
        <w:tc>
          <w:tcPr>
            <w:shd w:val="clear" w:color="auto" w:fill="ffffff"/>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激光灯控制线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调试费</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1118"/>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1050" w:hanging="1050"/>
              <w:jc w:val="left"/>
              <w:spacing w:after="200" w:line="400" w:lineRule="exact"/>
              <w:widowControl/>
              <w:rPr>
                <w:color w:val="auto"/>
                <w:highlight w:val="none"/>
                <w:u w:val="single"/>
              </w:rPr>
            </w:pPr>
            <w:r>
              <w:rPr>
                <w:color w:val="auto"/>
                <w:highlight w:val="none"/>
              </w:rPr>
              <w:t xml:space="preserve">投标报价</w:t>
            </w:r>
            <w:r>
              <w:rPr>
                <w:rFonts w:hint="eastAsia"/>
                <w:color w:val="auto"/>
                <w:highlight w:val="none"/>
              </w:rPr>
              <w:t xml:space="preserve">（合计）</w:t>
            </w:r>
            <w:r>
              <w:rPr>
                <w:color w:val="auto"/>
                <w:highlight w:val="none"/>
              </w:rPr>
              <w:t xml:space="preserve">：（大写）</w:t>
            </w:r>
            <w:r>
              <w:rPr>
                <w:rFonts w:hint="eastAsia"/>
                <w:color w:val="auto"/>
                <w:highlight w:val="none"/>
                <w:u w:val="single"/>
              </w:rPr>
              <w:t xml:space="preserve">                                        </w:t>
            </w:r>
            <w:r/>
          </w:p>
          <w:p>
            <w:pPr>
              <w:ind w:firstLine="1890"/>
              <w:widowControl/>
              <w:rPr>
                <w:rFonts w:hint="eastAsia" w:ascii="宋体" w:hAnsi="宋体" w:cs="宋体"/>
                <w:b/>
                <w:bCs/>
                <w:color w:val="auto"/>
                <w:sz w:val="24"/>
                <w:szCs w:val="24"/>
                <w:highlight w:val="none"/>
              </w:rPr>
            </w:pPr>
            <w:r>
              <w:rPr>
                <w:color w:val="auto"/>
                <w:highlight w:val="none"/>
              </w:rPr>
              <w:t xml:space="preserve">（小写）</w:t>
            </w:r>
            <w:r>
              <w:rPr>
                <w:rFonts w:hint="eastAsia"/>
                <w:color w:val="auto"/>
                <w:highlight w:val="none"/>
                <w:u w:val="single"/>
              </w:rPr>
              <w:t xml:space="preserve">                                       </w:t>
            </w:r>
            <w:r/>
          </w:p>
        </w:tc>
      </w:tr>
    </w:tbl>
    <w:p>
      <w:pPr>
        <w:ind w:firstLine="474"/>
        <w:jc w:val="left"/>
        <w:spacing w:line="400" w:lineRule="exact"/>
        <w:widowControl/>
        <w:rPr>
          <w:rFonts w:hint="eastAsia" w:ascii="宋体" w:hAnsi="宋体"/>
          <w:color w:val="auto"/>
          <w:sz w:val="24"/>
          <w:szCs w:val="24"/>
          <w:highlight w:val="none"/>
        </w:rPr>
      </w:pPr>
      <w:r>
        <w:rPr>
          <w:rFonts w:hint="eastAsia" w:ascii="宋体" w:hAnsi="宋体" w:cs="宋体"/>
          <w:b/>
          <w:bCs/>
          <w:color w:val="auto"/>
          <w:spacing w:val="-2"/>
          <w:sz w:val="24"/>
          <w:highlight w:val="none"/>
        </w:rPr>
        <w:t xml:space="preserve">注：</w:t>
      </w:r>
      <w:r>
        <w:rPr>
          <w:rFonts w:hint="eastAsia" w:ascii="宋体" w:hAnsi="宋体"/>
          <w:color w:val="auto"/>
          <w:sz w:val="24"/>
          <w:szCs w:val="24"/>
          <w:highlight w:val="none"/>
        </w:rPr>
        <w:t xml:space="preserve">1.</w:t>
      </w:r>
      <w:r>
        <w:rPr>
          <w:rFonts w:hint="eastAsia" w:ascii="宋体" w:hAnsi="宋体"/>
          <w:color w:val="auto"/>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firstLine="480"/>
        <w:spacing w:line="400" w:lineRule="exact"/>
        <w:tabs>
          <w:tab w:val="left" w:pos="900" w:leader="none"/>
        </w:tabs>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Arial"/>
          <w:bCs/>
          <w:color w:val="auto"/>
          <w:sz w:val="24"/>
          <w:szCs w:val="24"/>
          <w:highlight w:val="none"/>
        </w:rPr>
        <w:t xml:space="preserve">本项目最高限价为300.00万元，投标单位报价高于最高限价的作无效标处理</w:t>
      </w:r>
      <w:r>
        <w:rPr>
          <w:rFonts w:hint="eastAsia" w:ascii="宋体" w:hAnsi="宋体"/>
          <w:color w:val="auto"/>
          <w:sz w:val="24"/>
          <w:highlight w:val="none"/>
        </w:rPr>
        <w:t xml:space="preserve">；</w:t>
      </w:r>
      <w:r/>
    </w:p>
    <w:p>
      <w:pPr>
        <w:ind w:firstLine="480"/>
        <w:spacing w:line="40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auto"/>
          <w:sz w:val="24"/>
          <w:highlight w:val="none"/>
        </w:rPr>
      </w:pPr>
      <w:r>
        <w:rPr>
          <w:rFonts w:hint="eastAsia"/>
          <w:color w:val="auto"/>
          <w:sz w:val="24"/>
          <w:highlight w:val="none"/>
        </w:rPr>
        <w:t xml:space="preserve">法定代表人或委托代理人</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（签 字或盖章）</w:t>
      </w:r>
      <w:r/>
    </w:p>
    <w:p>
      <w:pPr>
        <w:ind w:firstLine="6480"/>
        <w:spacing w:line="400" w:lineRule="exact"/>
        <w:rPr>
          <w:rFonts w:hint="eastAsia" w:ascii="宋体" w:hAnsi="宋体"/>
          <w:color w:val="auto"/>
          <w:sz w:val="24"/>
          <w:highlight w:val="none"/>
        </w:rPr>
        <w:sectPr>
          <w:headerReference w:type="default" r:id="rId9"/>
          <w:footerReference w:type="default" r:id="rId13"/>
          <w:footnotePr/>
          <w:endnotePr/>
          <w:type w:val="nextPage"/>
          <w:pgSz w:w="11906" w:h="16838" w:orient="portrait"/>
          <w:pgMar w:top="1134" w:right="1276" w:bottom="1134" w:left="1276" w:header="0" w:footer="992" w:gutter="0"/>
          <w:cols w:num="1" w:sep="0" w:space="1701" w:equalWidth="1"/>
          <w:docGrid w:linePitch="360"/>
        </w:sectPr>
      </w:pPr>
      <w:r>
        <w:rPr>
          <w:rFonts w:ascii="宋体" w:hAnsi="宋体"/>
          <w:color w:val="auto"/>
          <w:sz w:val="24"/>
          <w:highlight w:val="none"/>
        </w:rPr>
        <w:t xml:space="preserve">________年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spacing w:line="480" w:lineRule="exact"/>
        <w:rPr>
          <w:rFonts w:hint="eastAsia" w:ascii="宋体" w:hAnsi="宋体" w:cs="宋体"/>
          <w:color w:val="auto"/>
          <w:sz w:val="36"/>
          <w:szCs w:val="36"/>
          <w:highlight w:val="none"/>
        </w:rPr>
      </w:pPr>
      <w:r>
        <w:rPr>
          <w:rFonts w:hint="eastAsia" w:ascii="宋体" w:hAnsi="宋体" w:cs="宋体"/>
          <w:b/>
          <w:color w:val="auto"/>
          <w:sz w:val="36"/>
          <w:highlight w:val="none"/>
        </w:rPr>
        <w:t xml:space="preserve">（十</w:t>
      </w:r>
      <w:r>
        <w:rPr>
          <w:rFonts w:hint="eastAsia" w:ascii="宋体" w:hAnsi="宋体" w:cs="宋体"/>
          <w:b/>
          <w:color w:val="auto"/>
          <w:sz w:val="36"/>
          <w:highlight w:val="none"/>
          <w:lang w:val="en-US" w:eastAsia="zh-CN"/>
        </w:rPr>
        <w:t xml:space="preserve">四</w:t>
      </w:r>
      <w:r>
        <w:rPr>
          <w:rFonts w:hint="eastAsia" w:ascii="宋体" w:hAnsi="宋体" w:cs="宋体"/>
          <w:b/>
          <w:color w:val="auto"/>
          <w:sz w:val="36"/>
          <w:highlight w:val="none"/>
        </w:rPr>
        <w:t xml:space="preserve">）售后</w:t>
      </w:r>
      <w:r>
        <w:rPr>
          <w:rFonts w:hint="eastAsia" w:ascii="宋体" w:hAnsi="宋体" w:cs="宋体"/>
          <w:b/>
          <w:color w:val="auto"/>
          <w:sz w:val="36"/>
          <w:szCs w:val="36"/>
          <w:highlight w:val="none"/>
        </w:rPr>
        <w:t xml:space="preserve">服务承诺函</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670"/>
      </w:tblGrid>
      <w:tr>
        <w:trPr>
          <w:jc w:val="center"/>
          <w:trHeight w:val="4955"/>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售      后</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内      容</w:t>
            </w:r>
            <w:r/>
          </w:p>
        </w:tc>
        <w:tc>
          <w:tcPr>
            <w:tcW w:w="7670" w:type="dxa"/>
            <w:textDirection w:val="lrTb"/>
            <w:noWrap w:val="false"/>
          </w:tcPr>
          <w:p>
            <w:pPr>
              <w:ind w:firstLine="480"/>
              <w:spacing w:line="480" w:lineRule="exact"/>
              <w:tabs>
                <w:tab w:val="left" w:pos="900" w:leader="none"/>
              </w:tabs>
              <w:rPr>
                <w:rFonts w:hint="eastAsia" w:ascii="宋体" w:hAnsi="宋体"/>
                <w:color w:val="auto"/>
                <w:sz w:val="24"/>
                <w:highlight w:val="none"/>
              </w:rPr>
            </w:pPr>
            <w:r>
              <w:rPr>
                <w:rFonts w:hint="eastAsia" w:ascii="宋体" w:hAnsi="宋体"/>
                <w:color w:val="auto"/>
                <w:sz w:val="24"/>
                <w:highlight w:val="none"/>
              </w:rPr>
            </w:r>
            <w:r/>
          </w:p>
        </w:tc>
      </w:tr>
      <w:tr>
        <w:trPr>
          <w:jc w:val="center"/>
          <w:trHeight w:val="2448"/>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承      诺</w:t>
            </w:r>
            <w:r/>
          </w:p>
        </w:tc>
        <w:tc>
          <w:tcPr>
            <w:tcW w:w="7670" w:type="dxa"/>
            <w:textDirection w:val="lrTb"/>
            <w:noWrap w:val="false"/>
          </w:tcPr>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spacing w:before="100" w:beforeAutospacing="1" w:after="100" w:afterAutospacing="1" w:line="480" w:lineRule="exact"/>
        <w:widowControl/>
        <w:rPr>
          <w:color w:val="auto"/>
          <w:sz w:val="24"/>
          <w:highlight w:val="none"/>
        </w:rPr>
      </w:pPr>
      <w:r>
        <w:rPr>
          <w:color w:val="auto"/>
          <w:sz w:val="24"/>
          <w:highlight w:val="none"/>
        </w:rPr>
      </w:r>
      <w:r/>
    </w:p>
    <w:p>
      <w:pPr>
        <w:jc w:val="left"/>
        <w:spacing w:before="100" w:beforeAutospacing="1" w:after="100" w:afterAutospacing="1" w:line="480" w:lineRule="exact"/>
        <w:widowControl/>
        <w:rPr>
          <w:rFonts w:hint="eastAsia"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hint="eastAsia"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rFonts w:hint="eastAsia" w:ascii="宋体" w:hAnsi="宋体" w:cs="宋体"/>
          <w:b/>
          <w:color w:val="auto"/>
          <w:sz w:val="36"/>
          <w:szCs w:val="36"/>
          <w:highlight w:val="none"/>
        </w:rPr>
      </w:pPr>
      <w:r>
        <w:rPr>
          <w:rFonts w:hint="eastAsia"/>
          <w:color w:val="auto"/>
          <w:sz w:val="24"/>
          <w:highlight w:val="none"/>
        </w:rPr>
        <w:t xml:space="preserve">年    月    日</w:t>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五</w:t>
      </w:r>
      <w:r>
        <w:rPr>
          <w:rFonts w:hint="eastAsia" w:ascii="宋体" w:hAnsi="宋体" w:cs="宋体"/>
          <w:b/>
          <w:color w:val="auto"/>
          <w:sz w:val="36"/>
          <w:szCs w:val="36"/>
          <w:highlight w:val="none"/>
        </w:rPr>
        <w:t xml:space="preserve">）技术响应表</w:t>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招标文件技术要求</w:t>
            </w:r>
            <w:r/>
          </w:p>
        </w:tc>
        <w:tc>
          <w:tcPr>
            <w:tcW w:w="226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投标技术指标（不得完全复制，并且逐条对应招标文件技术要求）</w:t>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偏离情况</w:t>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74"/>
        <w:spacing w:line="500" w:lineRule="exact"/>
        <w:rPr>
          <w:rFonts w:hint="eastAsia" w:ascii="宋体" w:hAnsi="宋体" w:cs="宋体"/>
          <w:b/>
          <w:color w:val="auto"/>
          <w:spacing w:val="-2"/>
          <w:sz w:val="24"/>
          <w:highlight w:val="none"/>
        </w:rPr>
      </w:pPr>
      <w:r>
        <w:rPr>
          <w:rFonts w:hint="eastAsia" w:ascii="宋体" w:hAnsi="宋体" w:cs="宋体"/>
          <w:b/>
          <w:color w:val="auto"/>
          <w:spacing w:val="-2"/>
          <w:sz w:val="24"/>
          <w:highlight w:val="none"/>
        </w:rPr>
        <w:t xml:space="preserve">注：1.投标人应根据投标设备的性能指标、对照招标文件要求“第三章 二、技术要求及相关说明”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响应的约定作相应处理，需要提供相关佐证材料的以提供招标文件要求的相关佐证材料扫描件为准。</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2.投标人如在投标过程中提供虚假材料谋取中标成交的，列入不良行为记录名单，情节严重的禁止其1-3年内参加政府采购活动。</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jc w:val="left"/>
        <w:spacing w:line="480" w:lineRule="exact"/>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法定代表人或委托代理人</w:t>
      </w:r>
      <w:r>
        <w:rPr>
          <w:rFonts w:hint="eastAsia" w:ascii="宋体" w:hAnsi="宋体" w:cs="宋体"/>
          <w:color w:val="auto"/>
          <w:highlight w:val="none"/>
        </w:rPr>
        <w:t xml:space="preserve">： </w:t>
      </w:r>
      <w:r>
        <w:rPr>
          <w:rFonts w:hint="eastAsia" w:ascii="宋体" w:hAnsi="宋体" w:cs="宋体"/>
          <w:color w:val="auto"/>
          <w:sz w:val="24"/>
          <w:highlight w:val="none"/>
        </w:rPr>
        <w:t xml:space="preserve">（盖章或签字）</w:t>
      </w:r>
      <w:r/>
    </w:p>
    <w:p>
      <w:pPr>
        <w:ind w:firstLine="480"/>
        <w:spacing w:before="100" w:beforeAutospacing="1" w:after="100" w:afterAutospacing="1"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   （全称并加盖公章）</w:t>
      </w:r>
      <w:r/>
    </w:p>
    <w:p>
      <w:pPr>
        <w:ind w:firstLine="6240"/>
        <w:spacing w:before="100" w:beforeAutospacing="1" w:after="100" w:afterAutospacing="1" w:line="480" w:lineRule="exact"/>
        <w:rPr>
          <w:rFonts w:ascii="宋体" w:hAnsi="Courier New"/>
          <w:b/>
          <w:color w:val="auto"/>
          <w:sz w:val="32"/>
          <w:szCs w:val="32"/>
          <w:highlight w:val="none"/>
        </w:rPr>
      </w:pPr>
      <w:r>
        <w:rPr>
          <w:rFonts w:hint="eastAsia" w:ascii="宋体" w:hAnsi="宋体" w:cs="宋体"/>
          <w:color w:val="auto"/>
          <w:sz w:val="24"/>
          <w:highlight w:val="none"/>
        </w:rPr>
        <w:t xml:space="preserve">       年     月     日</w:t>
      </w:r>
      <w:bookmarkStart w:id="2" w:name="_Toc153981207"/>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）实施方案</w:t>
      </w:r>
      <w:bookmarkEnd w:id="2"/>
      <w:r>
        <w:rPr>
          <w:rFonts w:hint="eastAsia" w:ascii="宋体" w:hAnsi="宋体" w:cs="宋体"/>
          <w:b/>
          <w:color w:val="auto"/>
          <w:sz w:val="36"/>
          <w:szCs w:val="36"/>
          <w:highlight w:val="none"/>
        </w:rPr>
        <w:t xml:space="preserve">及培训、售后服务方案</w:t>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p>
      <w:pPr>
        <w:ind w:firstLine="723"/>
        <w:jc w:val="right"/>
        <w:spacing w:before="100" w:beforeAutospacing="1" w:after="100" w:afterAutospacing="1" w:line="48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Symbol">
    <w:panose1 w:val="05050102010706020507"/>
  </w:font>
  <w:font w:name="Wingdings">
    <w:panose1 w:val="05000000000000000000"/>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0">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name w:val="TOC Heading"/>
    <w:uiPriority w:val="39"/>
    <w:unhideWhenUsed/>
  </w:style>
  <w:style w:type="paragraph" w:styleId="8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1">
    <w:name w:val="Heading 1"/>
    <w:basedOn w:val="800"/>
    <w:next w:val="800"/>
    <w:link w:val="883"/>
    <w:uiPriority w:val="9"/>
    <w:qFormat/>
    <w:pPr>
      <w:keepLines/>
      <w:keepNext/>
      <w:spacing w:before="340" w:after="330" w:line="578" w:lineRule="auto"/>
      <w:outlineLvl w:val="0"/>
    </w:pPr>
    <w:rPr>
      <w:b/>
      <w:bCs/>
      <w:sz w:val="44"/>
      <w:szCs w:val="44"/>
    </w:rPr>
  </w:style>
  <w:style w:type="paragraph" w:styleId="802">
    <w:name w:val="Heading 2"/>
    <w:basedOn w:val="800"/>
    <w:next w:val="800"/>
    <w:link w:val="884"/>
    <w:uiPriority w:val="0"/>
    <w:qFormat/>
    <w:pPr>
      <w:jc w:val="left"/>
      <w:spacing w:beforeAutospacing="1" w:afterAutospacing="1"/>
      <w:widowControl/>
      <w:outlineLvl w:val="1"/>
    </w:pPr>
    <w:rPr>
      <w:rFonts w:hint="eastAsia" w:ascii="宋体" w:hAnsi="宋体"/>
      <w:b/>
      <w:bCs/>
      <w:sz w:val="36"/>
      <w:szCs w:val="36"/>
    </w:rPr>
  </w:style>
  <w:style w:type="paragraph" w:styleId="803">
    <w:name w:val="Heading 3"/>
    <w:basedOn w:val="800"/>
    <w:next w:val="800"/>
    <w:link w:val="885"/>
    <w:uiPriority w:val="9"/>
    <w:qFormat/>
    <w:pPr>
      <w:keepLines/>
      <w:keepNext/>
      <w:spacing w:before="260" w:after="260" w:line="416" w:lineRule="auto"/>
      <w:outlineLvl w:val="2"/>
    </w:pPr>
    <w:rPr>
      <w:b/>
      <w:bCs/>
      <w:sz w:val="32"/>
      <w:szCs w:val="32"/>
    </w:rPr>
  </w:style>
  <w:style w:type="paragraph" w:styleId="804">
    <w:name w:val="Heading 4"/>
    <w:basedOn w:val="800"/>
    <w:next w:val="800"/>
    <w:link w:val="886"/>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87"/>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88"/>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9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91"/>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spacing w:after="57"/>
    </w:pPr>
  </w:style>
  <w:style w:type="paragraph" w:styleId="813">
    <w:name w:val="Normal Indent"/>
    <w:basedOn w:val="800"/>
    <w:uiPriority w:val="0"/>
    <w:qFormat/>
    <w:pPr>
      <w:ind w:firstLine="420"/>
    </w:pPr>
    <w:rPr>
      <w:szCs w:val="24"/>
    </w:rPr>
  </w:style>
  <w:style w:type="paragraph" w:styleId="814">
    <w:name w:val="Caption"/>
    <w:basedOn w:val="800"/>
    <w:next w:val="800"/>
    <w:uiPriority w:val="35"/>
    <w:semiHidden/>
    <w:unhideWhenUsed/>
    <w:qFormat/>
    <w:pPr>
      <w:spacing w:line="276" w:lineRule="auto"/>
    </w:pPr>
    <w:rPr>
      <w:b/>
      <w:bCs/>
      <w:color w:val="4f81bd"/>
      <w:sz w:val="18"/>
      <w:szCs w:val="18"/>
    </w:rPr>
  </w:style>
  <w:style w:type="paragraph" w:styleId="815">
    <w:name w:val="annotation text"/>
    <w:basedOn w:val="800"/>
    <w:uiPriority w:val="0"/>
    <w:qFormat/>
    <w:pPr>
      <w:jc w:val="left"/>
    </w:pPr>
  </w:style>
  <w:style w:type="paragraph" w:styleId="816">
    <w:name w:val="Body Text"/>
    <w:basedOn w:val="800"/>
    <w:next w:val="800"/>
    <w:uiPriority w:val="0"/>
    <w:qFormat/>
    <w:rPr>
      <w:rFonts w:ascii="Tahoma" w:hAnsi="Tahoma"/>
      <w:szCs w:val="24"/>
    </w:rPr>
  </w:style>
  <w:style w:type="paragraph" w:styleId="817">
    <w:name w:val="Body Text Indent"/>
    <w:basedOn w:val="800"/>
    <w:uiPriority w:val="0"/>
    <w:qFormat/>
    <w:pPr>
      <w:ind w:firstLine="480"/>
      <w:tabs>
        <w:tab w:val="left" w:pos="180" w:leader="none"/>
      </w:tabs>
    </w:pPr>
    <w:rPr>
      <w:rFonts w:ascii="Tahoma" w:hAnsi="Tahoma"/>
      <w:sz w:val="24"/>
    </w:rPr>
  </w:style>
  <w:style w:type="paragraph" w:styleId="818">
    <w:name w:val="index 4"/>
    <w:basedOn w:val="800"/>
    <w:next w:val="800"/>
    <w:uiPriority w:val="0"/>
    <w:qFormat/>
    <w:pPr>
      <w:ind w:left="600"/>
      <w:spacing w:line="440" w:lineRule="exact"/>
    </w:pPr>
    <w:rPr>
      <w:szCs w:val="24"/>
    </w:rPr>
  </w:style>
  <w:style w:type="paragraph" w:styleId="819">
    <w:name w:val="toc 5"/>
    <w:basedOn w:val="800"/>
    <w:next w:val="800"/>
    <w:uiPriority w:val="39"/>
    <w:unhideWhenUsed/>
    <w:qFormat/>
    <w:pPr>
      <w:ind w:left="1134"/>
      <w:spacing w:after="57"/>
    </w:pPr>
  </w:style>
  <w:style w:type="paragraph" w:styleId="820">
    <w:name w:val="toc 3"/>
    <w:basedOn w:val="800"/>
    <w:next w:val="800"/>
    <w:uiPriority w:val="39"/>
    <w:unhideWhenUsed/>
    <w:qFormat/>
    <w:pPr>
      <w:ind w:left="567"/>
      <w:spacing w:after="57"/>
    </w:pPr>
  </w:style>
  <w:style w:type="paragraph" w:styleId="821">
    <w:name w:val="Plain Text"/>
    <w:basedOn w:val="800"/>
    <w:link w:val="1052"/>
    <w:uiPriority w:val="0"/>
    <w:qFormat/>
    <w:rPr>
      <w:rFonts w:ascii="宋体" w:hAnsi="Courier New"/>
    </w:rPr>
  </w:style>
  <w:style w:type="paragraph" w:styleId="822">
    <w:name w:val="toc 8"/>
    <w:basedOn w:val="800"/>
    <w:next w:val="800"/>
    <w:uiPriority w:val="39"/>
    <w:unhideWhenUsed/>
    <w:qFormat/>
    <w:pPr>
      <w:ind w:left="1984"/>
      <w:spacing w:after="57"/>
    </w:pPr>
  </w:style>
  <w:style w:type="paragraph" w:styleId="823">
    <w:name w:val="endnote text"/>
    <w:basedOn w:val="800"/>
    <w:link w:val="1010"/>
    <w:uiPriority w:val="99"/>
    <w:semiHidden/>
    <w:unhideWhenUsed/>
    <w:qFormat/>
    <w:rPr>
      <w:sz w:val="20"/>
    </w:rPr>
  </w:style>
  <w:style w:type="paragraph" w:styleId="824">
    <w:name w:val="Balloon Text"/>
    <w:basedOn w:val="800"/>
    <w:link w:val="1012"/>
    <w:uiPriority w:val="0"/>
    <w:qFormat/>
    <w:rPr>
      <w:sz w:val="18"/>
      <w:szCs w:val="18"/>
    </w:rPr>
  </w:style>
  <w:style w:type="paragraph" w:styleId="825">
    <w:name w:val="Footer"/>
    <w:basedOn w:val="800"/>
    <w:link w:val="902"/>
    <w:uiPriority w:val="0"/>
    <w:unhideWhenUsed/>
    <w:qFormat/>
    <w:pPr>
      <w:jc w:val="left"/>
      <w:tabs>
        <w:tab w:val="center" w:pos="4153" w:leader="none"/>
        <w:tab w:val="right" w:pos="8306" w:leader="none"/>
      </w:tabs>
    </w:pPr>
    <w:rPr>
      <w:sz w:val="18"/>
      <w:szCs w:val="18"/>
    </w:rPr>
  </w:style>
  <w:style w:type="paragraph" w:styleId="826">
    <w:name w:val="envelope return"/>
    <w:basedOn w:val="800"/>
    <w:uiPriority w:val="0"/>
    <w:qFormat/>
    <w:rPr>
      <w:rFonts w:ascii="Arial" w:hAnsi="Arial"/>
    </w:rPr>
  </w:style>
  <w:style w:type="paragraph" w:styleId="827">
    <w:name w:val="Header"/>
    <w:basedOn w:val="800"/>
    <w:link w:val="1013"/>
    <w:uiPriority w:val="0"/>
    <w:qFormat/>
    <w:pPr>
      <w:jc w:val="center"/>
      <w:tabs>
        <w:tab w:val="center" w:pos="4153" w:leader="none"/>
        <w:tab w:val="right" w:pos="8306" w:leader="none"/>
      </w:tabs>
      <w:pBdr>
        <w:bottom w:val="single" w:color="000000" w:sz="6" w:space="1"/>
      </w:pBdr>
    </w:pPr>
    <w:rPr>
      <w:sz w:val="18"/>
      <w:szCs w:val="18"/>
    </w:rPr>
  </w:style>
  <w:style w:type="paragraph" w:styleId="828">
    <w:name w:val="toc 1"/>
    <w:basedOn w:val="800"/>
    <w:next w:val="800"/>
    <w:uiPriority w:val="39"/>
    <w:unhideWhenUsed/>
    <w:qFormat/>
    <w:pPr>
      <w:spacing w:after="57"/>
    </w:pPr>
  </w:style>
  <w:style w:type="paragraph" w:styleId="829">
    <w:name w:val="toc 4"/>
    <w:basedOn w:val="800"/>
    <w:next w:val="800"/>
    <w:uiPriority w:val="39"/>
    <w:unhideWhenUsed/>
    <w:qFormat/>
    <w:pPr>
      <w:ind w:left="850"/>
      <w:spacing w:after="57"/>
    </w:pPr>
  </w:style>
  <w:style w:type="paragraph" w:styleId="830">
    <w:name w:val="Subtitle"/>
    <w:basedOn w:val="800"/>
    <w:next w:val="800"/>
    <w:link w:val="895"/>
    <w:uiPriority w:val="11"/>
    <w:qFormat/>
    <w:pPr>
      <w:spacing w:before="200" w:after="200"/>
    </w:pPr>
    <w:rPr>
      <w:sz w:val="24"/>
      <w:szCs w:val="24"/>
    </w:rPr>
  </w:style>
  <w:style w:type="paragraph" w:styleId="831">
    <w:name w:val="footnote text"/>
    <w:basedOn w:val="800"/>
    <w:link w:val="1009"/>
    <w:uiPriority w:val="99"/>
    <w:semiHidden/>
    <w:unhideWhenUsed/>
    <w:qFormat/>
    <w:pPr>
      <w:spacing w:after="40"/>
    </w:pPr>
    <w:rPr>
      <w:sz w:val="18"/>
    </w:rPr>
  </w:style>
  <w:style w:type="paragraph" w:styleId="832">
    <w:name w:val="toc 6"/>
    <w:basedOn w:val="800"/>
    <w:next w:val="800"/>
    <w:uiPriority w:val="39"/>
    <w:unhideWhenUsed/>
    <w:qFormat/>
    <w:pPr>
      <w:ind w:left="1417"/>
      <w:spacing w:after="57"/>
    </w:pPr>
  </w:style>
  <w:style w:type="paragraph" w:styleId="833">
    <w:name w:val="Body Text Indent 3"/>
    <w:basedOn w:val="800"/>
    <w:uiPriority w:val="0"/>
    <w:qFormat/>
    <w:pPr>
      <w:ind w:firstLine="480"/>
      <w:spacing w:line="400" w:lineRule="exact"/>
    </w:pPr>
    <w:rPr>
      <w:sz w:val="24"/>
    </w:rPr>
  </w:style>
  <w:style w:type="paragraph" w:styleId="834">
    <w:name w:val="table of figures"/>
    <w:basedOn w:val="800"/>
    <w:next w:val="800"/>
    <w:uiPriority w:val="99"/>
    <w:unhideWhenUsed/>
    <w:qFormat/>
  </w:style>
  <w:style w:type="paragraph" w:styleId="835">
    <w:name w:val="toc 2"/>
    <w:basedOn w:val="800"/>
    <w:next w:val="800"/>
    <w:uiPriority w:val="39"/>
    <w:unhideWhenUsed/>
    <w:qFormat/>
    <w:pPr>
      <w:ind w:left="283"/>
      <w:spacing w:after="57"/>
    </w:pPr>
  </w:style>
  <w:style w:type="paragraph" w:styleId="836">
    <w:name w:val="toc 9"/>
    <w:basedOn w:val="800"/>
    <w:next w:val="800"/>
    <w:uiPriority w:val="39"/>
    <w:unhideWhenUsed/>
    <w:qFormat/>
    <w:pPr>
      <w:ind w:left="2268"/>
      <w:spacing w:after="57"/>
    </w:pPr>
  </w:style>
  <w:style w:type="paragraph" w:styleId="837">
    <w:name w:val="Normal (Web)"/>
    <w:basedOn w:val="800"/>
    <w:uiPriority w:val="99"/>
    <w:qFormat/>
    <w:pPr>
      <w:jc w:val="left"/>
      <w:spacing w:before="100" w:beforeAutospacing="1" w:after="100" w:afterAutospacing="1"/>
      <w:widowControl/>
    </w:pPr>
    <w:rPr>
      <w:sz w:val="24"/>
      <w:szCs w:val="24"/>
    </w:rPr>
  </w:style>
  <w:style w:type="paragraph" w:styleId="838">
    <w:name w:val="Title"/>
    <w:basedOn w:val="800"/>
    <w:next w:val="800"/>
    <w:link w:val="894"/>
    <w:uiPriority w:val="10"/>
    <w:qFormat/>
    <w:pPr>
      <w:contextualSpacing/>
      <w:spacing w:before="300" w:after="200"/>
    </w:pPr>
    <w:rPr>
      <w:sz w:val="48"/>
      <w:szCs w:val="48"/>
    </w:rPr>
  </w:style>
  <w:style w:type="paragraph" w:styleId="839">
    <w:name w:val="Body Text First Indent 2"/>
    <w:basedOn w:val="817"/>
    <w:uiPriority w:val="0"/>
    <w:qFormat/>
    <w:pPr>
      <w:ind w:firstLine="420"/>
      <w:spacing w:line="360" w:lineRule="auto"/>
    </w:pPr>
    <w:rPr>
      <w:rFonts w:ascii="宋体" w:hAnsi="宋体"/>
      <w:sz w:val="20"/>
    </w:rPr>
  </w:style>
  <w:style w:type="table" w:styleId="840">
    <w:name w:val="Table Grid"/>
    <w:basedOn w:val="81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b/>
      <w:bCs/>
    </w:rPr>
  </w:style>
  <w:style w:type="character" w:styleId="842">
    <w:name w:val="endnote reference"/>
    <w:uiPriority w:val="99"/>
    <w:semiHidden/>
    <w:unhideWhenUsed/>
    <w:qFormat/>
    <w:rPr>
      <w:vertAlign w:val="superscript"/>
    </w:rPr>
  </w:style>
  <w:style w:type="character" w:styleId="843">
    <w:name w:val="page number"/>
    <w:uiPriority w:val="0"/>
    <w:qFormat/>
    <w:rPr>
      <w:rFonts w:ascii="Times New Roman" w:hAnsi="Times New Roman" w:eastAsia="宋体" w:cs="Times New Roman"/>
    </w:rPr>
  </w:style>
  <w:style w:type="character" w:styleId="844">
    <w:name w:val="Hyperlink"/>
    <w:uiPriority w:val="0"/>
    <w:qFormat/>
    <w:rPr>
      <w:color w:val="0000ff"/>
      <w:u w:val="single"/>
    </w:rPr>
  </w:style>
  <w:style w:type="character" w:styleId="845">
    <w:name w:val="footnote reference"/>
    <w:uiPriority w:val="99"/>
    <w:unhideWhenUsed/>
    <w:qFormat/>
    <w:rPr>
      <w:vertAlign w:val="superscript"/>
    </w:rPr>
  </w:style>
  <w:style w:type="paragraph" w:styleId="84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character" w:styleId="847" w:customStyle="1">
    <w:name w:val="Heading 1 Char"/>
    <w:basedOn w:val="810"/>
    <w:uiPriority w:val="9"/>
    <w:qFormat/>
    <w:rPr>
      <w:rFonts w:ascii="Arial" w:hAnsi="Arial" w:eastAsia="Arial" w:cs="Arial"/>
      <w:sz w:val="40"/>
      <w:szCs w:val="40"/>
    </w:rPr>
  </w:style>
  <w:style w:type="character" w:styleId="848" w:customStyle="1">
    <w:name w:val="Heading 2 Char"/>
    <w:basedOn w:val="810"/>
    <w:uiPriority w:val="9"/>
    <w:qFormat/>
    <w:rPr>
      <w:rFonts w:ascii="Arial" w:hAnsi="Arial" w:eastAsia="Arial" w:cs="Arial"/>
      <w:sz w:val="34"/>
    </w:rPr>
  </w:style>
  <w:style w:type="character" w:styleId="849" w:customStyle="1">
    <w:name w:val="Heading 3 Char"/>
    <w:basedOn w:val="810"/>
    <w:uiPriority w:val="9"/>
    <w:qFormat/>
    <w:rPr>
      <w:rFonts w:ascii="Arial" w:hAnsi="Arial" w:eastAsia="Arial" w:cs="Arial"/>
      <w:sz w:val="30"/>
      <w:szCs w:val="30"/>
    </w:rPr>
  </w:style>
  <w:style w:type="character" w:styleId="850" w:customStyle="1">
    <w:name w:val="Heading 4 Char"/>
    <w:basedOn w:val="810"/>
    <w:uiPriority w:val="9"/>
    <w:qFormat/>
    <w:rPr>
      <w:rFonts w:ascii="Arial" w:hAnsi="Arial" w:eastAsia="Arial" w:cs="Arial"/>
      <w:b/>
      <w:bCs/>
      <w:sz w:val="26"/>
      <w:szCs w:val="26"/>
    </w:rPr>
  </w:style>
  <w:style w:type="character" w:styleId="851" w:customStyle="1">
    <w:name w:val="Heading 5 Char"/>
    <w:basedOn w:val="810"/>
    <w:uiPriority w:val="9"/>
    <w:qFormat/>
    <w:rPr>
      <w:rFonts w:ascii="Arial" w:hAnsi="Arial" w:eastAsia="Arial" w:cs="Arial"/>
      <w:b/>
      <w:bCs/>
      <w:sz w:val="24"/>
      <w:szCs w:val="24"/>
    </w:rPr>
  </w:style>
  <w:style w:type="character" w:styleId="852" w:customStyle="1">
    <w:name w:val="Heading 6 Char"/>
    <w:basedOn w:val="810"/>
    <w:uiPriority w:val="9"/>
    <w:qFormat/>
    <w:rPr>
      <w:rFonts w:ascii="Arial" w:hAnsi="Arial" w:eastAsia="Arial" w:cs="Arial"/>
      <w:b/>
      <w:bCs/>
      <w:sz w:val="22"/>
      <w:szCs w:val="22"/>
    </w:rPr>
  </w:style>
  <w:style w:type="character" w:styleId="853" w:customStyle="1">
    <w:name w:val="Heading 7 Char"/>
    <w:basedOn w:val="810"/>
    <w:uiPriority w:val="9"/>
    <w:qFormat/>
    <w:rPr>
      <w:rFonts w:ascii="Arial" w:hAnsi="Arial" w:eastAsia="Arial" w:cs="Arial"/>
      <w:b/>
      <w:bCs/>
      <w:i/>
      <w:iCs/>
      <w:sz w:val="22"/>
      <w:szCs w:val="22"/>
    </w:rPr>
  </w:style>
  <w:style w:type="character" w:styleId="854" w:customStyle="1">
    <w:name w:val="Heading 8 Char"/>
    <w:basedOn w:val="810"/>
    <w:uiPriority w:val="9"/>
    <w:qFormat/>
    <w:rPr>
      <w:rFonts w:ascii="Arial" w:hAnsi="Arial" w:eastAsia="Arial" w:cs="Arial"/>
      <w:i/>
      <w:iCs/>
      <w:sz w:val="22"/>
      <w:szCs w:val="22"/>
    </w:rPr>
  </w:style>
  <w:style w:type="character" w:styleId="855" w:customStyle="1">
    <w:name w:val="Heading 9 Char"/>
    <w:basedOn w:val="810"/>
    <w:uiPriority w:val="9"/>
    <w:qFormat/>
    <w:rPr>
      <w:rFonts w:ascii="Arial" w:hAnsi="Arial" w:eastAsia="Arial" w:cs="Arial"/>
      <w:i/>
      <w:iCs/>
      <w:sz w:val="21"/>
      <w:szCs w:val="21"/>
    </w:rPr>
  </w:style>
  <w:style w:type="character" w:styleId="856" w:customStyle="1">
    <w:name w:val="Title Char"/>
    <w:basedOn w:val="810"/>
    <w:uiPriority w:val="10"/>
    <w:qFormat/>
    <w:rPr>
      <w:sz w:val="48"/>
      <w:szCs w:val="48"/>
    </w:rPr>
  </w:style>
  <w:style w:type="character" w:styleId="857" w:customStyle="1">
    <w:name w:val="Subtitle Char"/>
    <w:basedOn w:val="810"/>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Caption Char"/>
    <w:uiPriority w:val="99"/>
    <w:qFormat/>
  </w:style>
  <w:style w:type="table" w:styleId="861" w:customStyle="1">
    <w:name w:val="无格式表格 11"/>
    <w:basedOn w:val="811"/>
    <w:uiPriority w:val="41"/>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81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8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8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8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8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8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网格表 31"/>
    <w:basedOn w:val="8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8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网格表 5 深色1"/>
    <w:basedOn w:val="8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网格表 6 彩色1"/>
    <w:basedOn w:val="8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网格表 7 彩色1"/>
    <w:basedOn w:val="81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清单表 1 浅色1"/>
    <w:basedOn w:val="8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清单表 21"/>
    <w:basedOn w:val="81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清单表 31"/>
    <w:basedOn w:val="81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41"/>
    <w:basedOn w:val="8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5 深色1"/>
    <w:basedOn w:val="81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81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清单表 7 彩色1"/>
    <w:basedOn w:val="81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character" w:styleId="883" w:customStyle="1">
    <w:name w:val="标题 1 字符"/>
    <w:link w:val="801"/>
    <w:uiPriority w:val="9"/>
    <w:qFormat/>
    <w:rPr>
      <w:rFonts w:ascii="Arial" w:hAnsi="Arial" w:eastAsia="Arial" w:cs="Arial"/>
      <w:sz w:val="40"/>
      <w:szCs w:val="40"/>
    </w:rPr>
  </w:style>
  <w:style w:type="character" w:styleId="884" w:customStyle="1">
    <w:name w:val="标题 2 字符"/>
    <w:link w:val="802"/>
    <w:uiPriority w:val="9"/>
    <w:qFormat/>
    <w:rPr>
      <w:rFonts w:ascii="Arial" w:hAnsi="Arial" w:eastAsia="Arial" w:cs="Arial"/>
      <w:sz w:val="34"/>
    </w:rPr>
  </w:style>
  <w:style w:type="character" w:styleId="885" w:customStyle="1">
    <w:name w:val="标题 3 字符"/>
    <w:link w:val="803"/>
    <w:uiPriority w:val="9"/>
    <w:qFormat/>
    <w:rPr>
      <w:rFonts w:ascii="Arial" w:hAnsi="Arial" w:eastAsia="Arial" w:cs="Arial"/>
      <w:sz w:val="30"/>
      <w:szCs w:val="30"/>
    </w:rPr>
  </w:style>
  <w:style w:type="character" w:styleId="886" w:customStyle="1">
    <w:name w:val="标题 4 字符"/>
    <w:link w:val="804"/>
    <w:uiPriority w:val="9"/>
    <w:qFormat/>
    <w:rPr>
      <w:rFonts w:ascii="Arial" w:hAnsi="Arial" w:eastAsia="Arial" w:cs="Arial"/>
      <w:b/>
      <w:bCs/>
      <w:sz w:val="26"/>
      <w:szCs w:val="26"/>
    </w:rPr>
  </w:style>
  <w:style w:type="character" w:styleId="887" w:customStyle="1">
    <w:name w:val="标题 5 字符"/>
    <w:link w:val="805"/>
    <w:uiPriority w:val="9"/>
    <w:qFormat/>
    <w:rPr>
      <w:rFonts w:ascii="Arial" w:hAnsi="Arial" w:eastAsia="Arial" w:cs="Arial"/>
      <w:b/>
      <w:bCs/>
      <w:sz w:val="24"/>
      <w:szCs w:val="24"/>
    </w:rPr>
  </w:style>
  <w:style w:type="character" w:styleId="888" w:customStyle="1">
    <w:name w:val="标题 6 字符"/>
    <w:link w:val="806"/>
    <w:uiPriority w:val="9"/>
    <w:qFormat/>
    <w:rPr>
      <w:rFonts w:ascii="Arial" w:hAnsi="Arial" w:eastAsia="Arial" w:cs="Arial"/>
      <w:b/>
      <w:bCs/>
      <w:sz w:val="22"/>
      <w:szCs w:val="22"/>
    </w:rPr>
  </w:style>
  <w:style w:type="character" w:styleId="889" w:customStyle="1">
    <w:name w:val="标题 7 字符"/>
    <w:link w:val="807"/>
    <w:uiPriority w:val="9"/>
    <w:qFormat/>
    <w:rPr>
      <w:rFonts w:ascii="Arial" w:hAnsi="Arial" w:eastAsia="Arial" w:cs="Arial"/>
      <w:b/>
      <w:bCs/>
      <w:i/>
      <w:iCs/>
      <w:sz w:val="22"/>
      <w:szCs w:val="22"/>
    </w:rPr>
  </w:style>
  <w:style w:type="character" w:styleId="890" w:customStyle="1">
    <w:name w:val="标题 8 字符"/>
    <w:link w:val="808"/>
    <w:uiPriority w:val="9"/>
    <w:qFormat/>
    <w:rPr>
      <w:rFonts w:ascii="Arial" w:hAnsi="Arial" w:eastAsia="Arial" w:cs="Arial"/>
      <w:i/>
      <w:iCs/>
      <w:sz w:val="22"/>
      <w:szCs w:val="22"/>
    </w:rPr>
  </w:style>
  <w:style w:type="character" w:styleId="891" w:customStyle="1">
    <w:name w:val="标题 9 字符"/>
    <w:link w:val="809"/>
    <w:uiPriority w:val="9"/>
    <w:qFormat/>
    <w:rPr>
      <w:rFonts w:ascii="Arial" w:hAnsi="Arial" w:eastAsia="Arial" w:cs="Arial"/>
      <w:i/>
      <w:iCs/>
      <w:sz w:val="21"/>
      <w:szCs w:val="21"/>
    </w:rPr>
  </w:style>
  <w:style w:type="paragraph" w:styleId="892">
    <w:name w:val="List Paragraph"/>
    <w:basedOn w:val="800"/>
    <w:uiPriority w:val="34"/>
    <w:qFormat/>
    <w:pPr>
      <w:ind w:firstLine="420"/>
    </w:pPr>
  </w:style>
  <w:style w:type="paragraph" w:styleId="893">
    <w:name w:val="No Spacing"/>
    <w:uiPriority w:val="1"/>
    <w:qFormat/>
    <w:rPr>
      <w:rFonts w:ascii="Times New Roman" w:hAnsi="Times New Roman" w:eastAsia="宋体" w:cs="Times New Roman"/>
      <w:lang w:val="en-US" w:eastAsia="zh-CN" w:bidi="ar-SA"/>
    </w:rPr>
  </w:style>
  <w:style w:type="character" w:styleId="894" w:customStyle="1">
    <w:name w:val="标题 字符"/>
    <w:link w:val="838"/>
    <w:uiPriority w:val="10"/>
    <w:qFormat/>
    <w:rPr>
      <w:sz w:val="48"/>
      <w:szCs w:val="48"/>
    </w:rPr>
  </w:style>
  <w:style w:type="character" w:styleId="895" w:customStyle="1">
    <w:name w:val="副标题 字符"/>
    <w:link w:val="830"/>
    <w:uiPriority w:val="11"/>
    <w:qFormat/>
    <w:rPr>
      <w:sz w:val="24"/>
      <w:szCs w:val="24"/>
    </w:rPr>
  </w:style>
  <w:style w:type="paragraph" w:styleId="896">
    <w:name w:val="Quote"/>
    <w:basedOn w:val="800"/>
    <w:next w:val="800"/>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800"/>
    <w:next w:val="800"/>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uiPriority w:val="99"/>
    <w:qFormat/>
  </w:style>
  <w:style w:type="character" w:styleId="901" w:customStyle="1">
    <w:name w:val="Footer Char"/>
    <w:uiPriority w:val="99"/>
    <w:qFormat/>
  </w:style>
  <w:style w:type="character" w:styleId="902" w:customStyle="1">
    <w:name w:val="页脚 字符"/>
    <w:link w:val="825"/>
    <w:uiPriority w:val="99"/>
    <w:qFormat/>
  </w:style>
  <w:style w:type="table" w:styleId="9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9" w:customStyle="1">
    <w:name w:val="脚注文本 字符"/>
    <w:link w:val="831"/>
    <w:uiPriority w:val="99"/>
    <w:qFormat/>
    <w:rPr>
      <w:sz w:val="18"/>
    </w:rPr>
  </w:style>
  <w:style w:type="character" w:styleId="1010" w:customStyle="1">
    <w:name w:val="尾注文本 字符"/>
    <w:link w:val="823"/>
    <w:uiPriority w:val="99"/>
    <w:qFormat/>
    <w:rPr>
      <w:sz w:val="20"/>
    </w:rPr>
  </w:style>
  <w:style w:type="paragraph" w:styleId="1011" w:customStyle="1">
    <w:name w:val="TOC 标题11"/>
    <w:uiPriority w:val="39"/>
    <w:unhideWhenUsed/>
    <w:qFormat/>
    <w:rPr>
      <w:rFonts w:ascii="Times New Roman" w:hAnsi="Times New Roman" w:eastAsia="宋体" w:cs="Times New Roman"/>
      <w:lang w:val="en-US" w:eastAsia="zh-CN" w:bidi="ar-SA"/>
    </w:rPr>
  </w:style>
  <w:style w:type="character" w:styleId="1012" w:customStyle="1">
    <w:name w:val="批注框文本 字符"/>
    <w:link w:val="824"/>
    <w:uiPriority w:val="0"/>
    <w:qFormat/>
    <w:rPr>
      <w:sz w:val="18"/>
      <w:szCs w:val="18"/>
    </w:rPr>
  </w:style>
  <w:style w:type="character" w:styleId="1013" w:customStyle="1">
    <w:name w:val="页眉 字符"/>
    <w:link w:val="827"/>
    <w:uiPriority w:val="0"/>
    <w:qFormat/>
    <w:rPr>
      <w:rFonts w:ascii="Times New Roman" w:hAnsi="Times New Roman" w:eastAsia="宋体" w:cs="Times New Roman"/>
      <w:sz w:val="18"/>
      <w:szCs w:val="18"/>
    </w:rPr>
  </w:style>
  <w:style w:type="paragraph" w:styleId="1014" w:customStyle="1">
    <w:name w:val="目录 21"/>
    <w:basedOn w:val="800"/>
    <w:next w:val="800"/>
    <w:uiPriority w:val="99"/>
    <w:qFormat/>
    <w:pPr>
      <w:ind w:left="420"/>
    </w:pPr>
    <w:rPr>
      <w:rFonts w:ascii="Calibri" w:hAnsi="Calibri"/>
      <w:szCs w:val="22"/>
    </w:rPr>
  </w:style>
  <w:style w:type="paragraph" w:styleId="1015" w:customStyle="1">
    <w:name w:val="正文首行缩进11"/>
    <w:basedOn w:val="800"/>
    <w:uiPriority w:val="0"/>
    <w:qFormat/>
    <w:pPr>
      <w:ind w:firstLine="420"/>
    </w:pPr>
  </w:style>
  <w:style w:type="paragraph" w:styleId="1016" w:customStyle="1">
    <w:name w:val="正文首行缩进 211"/>
    <w:basedOn w:val="817"/>
    <w:uiPriority w:val="0"/>
    <w:qFormat/>
    <w:pPr>
      <w:ind w:left="420" w:firstLine="420"/>
    </w:pPr>
    <w:rPr>
      <w:rFonts w:ascii="Times New Roman" w:hAnsi="Times New Roman"/>
      <w:szCs w:val="24"/>
    </w:rPr>
  </w:style>
  <w:style w:type="paragraph" w:styleId="1017" w:customStyle="1">
    <w:name w:val="TOC 11"/>
    <w:basedOn w:val="800"/>
    <w:next w:val="800"/>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1018" w:customStyle="1">
    <w:name w:val="标题 31"/>
    <w:basedOn w:val="800"/>
    <w:next w:val="800"/>
    <w:uiPriority w:val="9"/>
    <w:qFormat/>
    <w:pPr>
      <w:keepLines/>
      <w:keepNext/>
      <w:spacing w:before="260" w:after="260" w:line="416" w:lineRule="auto"/>
      <w:outlineLvl w:val="2"/>
    </w:pPr>
    <w:rPr>
      <w:rFonts w:ascii="Calibri" w:hAnsi="Calibri"/>
      <w:b/>
      <w:bCs/>
      <w:sz w:val="32"/>
      <w:szCs w:val="32"/>
    </w:rPr>
  </w:style>
  <w:style w:type="paragraph" w:styleId="1019" w:customStyle="1">
    <w:name w:val="一级条标题"/>
    <w:basedOn w:val="1020"/>
    <w:next w:val="10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0" w:customStyle="1">
    <w:name w:val="章标题"/>
    <w:next w:val="80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1" w:customStyle="1">
    <w:name w:val="段"/>
    <w:next w:val="102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22" w:customStyle="1">
    <w:name w:val="正文 A"/>
    <w:next w:val="1021"/>
    <w:uiPriority w:val="0"/>
    <w:qFormat/>
    <w:pPr>
      <w:jc w:val="both"/>
      <w:widowControl w:val="off"/>
    </w:pPr>
    <w:rPr>
      <w:rFonts w:ascii="Calibri" w:hAnsi="Calibri" w:eastAsia="Calibri" w:cs="Calibri"/>
      <w:color w:val="000000"/>
      <w:sz w:val="21"/>
      <w:szCs w:val="21"/>
      <w:lang w:val="en-US" w:eastAsia="zh-CN" w:bidi="ar-SA"/>
    </w:rPr>
  </w:style>
  <w:style w:type="paragraph" w:styleId="1023" w:customStyle="1">
    <w:name w:val="正文1"/>
    <w:basedOn w:val="800"/>
    <w:next w:val="800"/>
    <w:uiPriority w:val="0"/>
    <w:qFormat/>
    <w:pPr>
      <w:ind w:right="-167"/>
      <w:spacing w:line="440" w:lineRule="exact"/>
      <w:widowControl/>
    </w:pPr>
    <w:rPr>
      <w:b/>
    </w:rPr>
  </w:style>
  <w:style w:type="paragraph" w:styleId="10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25" w:customStyle="1">
    <w:name w:val="msolistparagraph"/>
    <w:basedOn w:val="800"/>
    <w:uiPriority w:val="0"/>
    <w:qFormat/>
    <w:pPr>
      <w:ind w:firstLine="420"/>
    </w:pPr>
    <w:rPr>
      <w:rFonts w:ascii="Calibri" w:hAnsi="Calibri"/>
    </w:rPr>
  </w:style>
  <w:style w:type="paragraph" w:styleId="1026" w:customStyle="1">
    <w:name w:val="179"/>
    <w:basedOn w:val="800"/>
    <w:uiPriority w:val="0"/>
    <w:qFormat/>
    <w:pPr>
      <w:ind w:firstLine="420"/>
      <w:widowControl/>
    </w:pPr>
    <w:rPr>
      <w:rFonts w:ascii="Calibri" w:hAnsi="Calibri"/>
    </w:rPr>
  </w:style>
  <w:style w:type="character" w:styleId="1027" w:customStyle="1">
    <w:name w:val="NormalCharacter1"/>
    <w:uiPriority w:val="0"/>
    <w:semiHidden/>
    <w:qFormat/>
  </w:style>
  <w:style w:type="paragraph" w:styleId="1028" w:customStyle="1">
    <w:name w:val="Heading21"/>
    <w:basedOn w:val="800"/>
    <w:next w:val="800"/>
    <w:uiPriority w:val="0"/>
    <w:qFormat/>
    <w:pPr>
      <w:keepLines/>
      <w:keepNext/>
      <w:spacing w:before="260" w:after="260" w:line="412" w:lineRule="auto"/>
      <w:widowControl/>
    </w:pPr>
    <w:rPr>
      <w:rFonts w:ascii="Arial" w:hAnsi="Arial" w:eastAsia="黑体"/>
      <w:sz w:val="32"/>
      <w:szCs w:val="32"/>
    </w:rPr>
  </w:style>
  <w:style w:type="paragraph" w:styleId="1029" w:customStyle="1">
    <w:name w:val="列表段落1"/>
    <w:basedOn w:val="800"/>
    <w:uiPriority w:val="0"/>
    <w:qFormat/>
    <w:pPr>
      <w:ind w:firstLine="420"/>
    </w:pPr>
    <w:rPr>
      <w:szCs w:val="21"/>
    </w:rPr>
  </w:style>
  <w:style w:type="paragraph" w:styleId="1030" w:customStyle="1">
    <w:name w:val="表格文字"/>
    <w:basedOn w:val="800"/>
    <w:next w:val="816"/>
    <w:uiPriority w:val="0"/>
    <w:qFormat/>
    <w:pPr>
      <w:jc w:val="left"/>
      <w:spacing w:before="25" w:after="25"/>
    </w:pPr>
    <w:rPr>
      <w:bCs/>
      <w:spacing w:val="10"/>
      <w:sz w:val="24"/>
    </w:rPr>
  </w:style>
  <w:style w:type="paragraph" w:styleId="1031" w:customStyle="1">
    <w:name w:val="列出段落1"/>
    <w:basedOn w:val="800"/>
    <w:uiPriority w:val="0"/>
    <w:qFormat/>
    <w:pPr>
      <w:ind w:firstLine="420"/>
    </w:pPr>
  </w:style>
  <w:style w:type="paragraph" w:styleId="1032" w:customStyle="1">
    <w:name w:val="正文首行缩进1"/>
    <w:basedOn w:val="1033"/>
    <w:next w:val="800"/>
    <w:uiPriority w:val="0"/>
    <w:qFormat/>
    <w:pPr>
      <w:ind w:firstLine="420"/>
    </w:pPr>
  </w:style>
  <w:style w:type="paragraph" w:styleId="1033" w:customStyle="1">
    <w:name w:val="正文文本1"/>
    <w:basedOn w:val="800"/>
    <w:next w:val="800"/>
    <w:uiPriority w:val="0"/>
    <w:qFormat/>
    <w:rPr>
      <w:rFonts w:ascii="Tahoma" w:hAnsi="Tahoma"/>
      <w:szCs w:val="24"/>
    </w:rPr>
  </w:style>
  <w:style w:type="character" w:styleId="1034" w:customStyle="1">
    <w:name w:val="font11"/>
    <w:basedOn w:val="810"/>
    <w:uiPriority w:val="0"/>
    <w:qFormat/>
    <w:rPr>
      <w:rFonts w:hint="eastAsia" w:ascii="黑体" w:hAnsi="宋体" w:eastAsia="黑体" w:cs="黑体"/>
      <w:color w:val="000000"/>
      <w:sz w:val="28"/>
      <w:szCs w:val="28"/>
      <w:u w:val="none"/>
    </w:rPr>
  </w:style>
  <w:style w:type="character" w:styleId="1035" w:customStyle="1">
    <w:name w:val="font41"/>
    <w:basedOn w:val="810"/>
    <w:uiPriority w:val="0"/>
    <w:qFormat/>
    <w:rPr>
      <w:rFonts w:ascii="Wingdings 2" w:hAnsi="Wingdings 2" w:eastAsia="Wingdings 2" w:cs="Wingdings 2"/>
      <w:color w:val="000000"/>
      <w:sz w:val="28"/>
      <w:szCs w:val="28"/>
      <w:u w:val="none"/>
    </w:rPr>
  </w:style>
  <w:style w:type="character" w:styleId="1036" w:customStyle="1">
    <w:name w:val="font21"/>
    <w:uiPriority w:val="0"/>
    <w:qFormat/>
    <w:rPr>
      <w:rFonts w:hint="eastAsia" w:ascii="宋体" w:hAnsi="宋体" w:eastAsia="宋体" w:cs="宋体"/>
      <w:color w:val="000000"/>
      <w:sz w:val="21"/>
      <w:szCs w:val="21"/>
      <w:u w:val="none"/>
    </w:rPr>
  </w:style>
  <w:style w:type="character" w:styleId="1037" w:customStyle="1">
    <w:name w:val="font51"/>
    <w:basedOn w:val="810"/>
    <w:uiPriority w:val="0"/>
    <w:qFormat/>
    <w:rPr>
      <w:rFonts w:ascii="Calibri" w:hAnsi="Calibri" w:cs="Calibri"/>
      <w:color w:val="000000"/>
      <w:sz w:val="21"/>
      <w:szCs w:val="21"/>
      <w:u w:val="none"/>
    </w:rPr>
  </w:style>
  <w:style w:type="character" w:styleId="1038" w:customStyle="1">
    <w:name w:val="font01"/>
    <w:uiPriority w:val="0"/>
    <w:qFormat/>
    <w:rPr>
      <w:rFonts w:hint="eastAsia" w:ascii="宋体" w:hAnsi="宋体" w:eastAsia="宋体" w:cs="宋体"/>
      <w:color w:val="000000"/>
      <w:sz w:val="24"/>
      <w:szCs w:val="24"/>
      <w:u w:val="none"/>
    </w:rPr>
  </w:style>
  <w:style w:type="character" w:styleId="1039" w:customStyle="1">
    <w:name w:val="font31"/>
    <w:uiPriority w:val="0"/>
    <w:qFormat/>
    <w:rPr>
      <w:rFonts w:ascii="Calibri" w:hAnsi="Calibri" w:cs="Calibri"/>
      <w:color w:val="000000"/>
      <w:sz w:val="20"/>
      <w:szCs w:val="20"/>
      <w:u w:val="none"/>
    </w:rPr>
  </w:style>
  <w:style w:type="paragraph" w:styleId="104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11"/>
    <w:next w:val="1042"/>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正文首行缩进 21"/>
    <w:basedOn w:val="1043"/>
    <w:next w:val="1045"/>
    <w:uiPriority w:val="0"/>
    <w:qFormat/>
    <w:pPr>
      <w:ind w:left="0" w:firstLine="420"/>
      <w:spacing w:after="0" w:line="360" w:lineRule="auto"/>
    </w:pPr>
    <w:rPr>
      <w:rFonts w:ascii="宋体" w:hAnsi="宋体"/>
      <w:sz w:val="20"/>
      <w:szCs w:val="20"/>
    </w:rPr>
  </w:style>
  <w:style w:type="paragraph" w:styleId="1043" w:customStyle="1">
    <w:name w:val="正文文本缩进1"/>
    <w:basedOn w:val="1041"/>
    <w:next w:val="1044"/>
    <w:uiPriority w:val="0"/>
    <w:qFormat/>
    <w:pPr>
      <w:ind w:left="420"/>
      <w:spacing w:after="120"/>
    </w:pPr>
  </w:style>
  <w:style w:type="paragraph" w:styleId="1044" w:customStyle="1">
    <w:name w:val="寄信人地址1"/>
    <w:basedOn w:val="1041"/>
    <w:uiPriority w:val="0"/>
    <w:qFormat/>
    <w:rPr>
      <w:rFonts w:ascii="Arial" w:hAnsi="Arial"/>
    </w:rPr>
  </w:style>
  <w:style w:type="paragraph" w:styleId="1045" w:customStyle="1">
    <w:name w:val="正文缩进1"/>
    <w:basedOn w:val="1041"/>
    <w:next w:val="1041"/>
    <w:uiPriority w:val="0"/>
    <w:qFormat/>
    <w:pPr>
      <w:ind w:firstLine="420"/>
    </w:pPr>
  </w:style>
  <w:style w:type="character" w:styleId="1046" w:customStyle="1">
    <w:name w:val="font71"/>
    <w:uiPriority w:val="0"/>
    <w:qFormat/>
    <w:rPr>
      <w:rFonts w:ascii="微软雅黑" w:hAnsi="微软雅黑" w:eastAsia="微软雅黑" w:cs="微软雅黑"/>
      <w:color w:val="000000"/>
      <w:sz w:val="18"/>
      <w:szCs w:val="18"/>
      <w:u w:val="none"/>
    </w:rPr>
  </w:style>
  <w:style w:type="character" w:styleId="1047" w:customStyle="1">
    <w:name w:val="font61"/>
    <w:uiPriority w:val="0"/>
    <w:qFormat/>
    <w:rPr>
      <w:rFonts w:hint="eastAsia" w:ascii="宋体" w:hAnsi="宋体" w:eastAsia="宋体" w:cs="宋体"/>
      <w:color w:val="ff0000"/>
      <w:sz w:val="22"/>
      <w:szCs w:val="22"/>
      <w:u w:val="none"/>
    </w:rPr>
  </w:style>
  <w:style w:type="paragraph" w:styleId="1048" w:customStyle="1">
    <w:name w:val="文本块1"/>
    <w:basedOn w:val="800"/>
    <w:uiPriority w:val="99"/>
    <w:unhideWhenUsed/>
    <w:qFormat/>
    <w:pPr>
      <w:ind w:left="1440"/>
      <w:spacing w:after="120"/>
    </w:pPr>
    <w:rPr>
      <w:rFonts w:hint="eastAsia" w:ascii="Calibri" w:hAnsi="Calibri"/>
      <w:szCs w:val="24"/>
    </w:rPr>
  </w:style>
  <w:style w:type="character" w:styleId="1049" w:customStyle="1">
    <w:name w:val="font121"/>
    <w:uiPriority w:val="0"/>
    <w:qFormat/>
    <w:rPr>
      <w:rFonts w:hint="eastAsia" w:ascii="宋体" w:hAnsi="宋体" w:eastAsia="宋体" w:cs="宋体"/>
      <w:b/>
      <w:bCs/>
      <w:color w:val="ff0000"/>
      <w:sz w:val="22"/>
      <w:szCs w:val="22"/>
      <w:u w:val="none"/>
    </w:rPr>
  </w:style>
  <w:style w:type="character" w:styleId="1050" w:customStyle="1">
    <w:name w:val="font101"/>
    <w:basedOn w:val="810"/>
    <w:uiPriority w:val="0"/>
    <w:qFormat/>
    <w:rPr>
      <w:rFonts w:hint="eastAsia" w:ascii="宋体" w:hAnsi="宋体" w:eastAsia="宋体" w:cs="宋体"/>
      <w:b/>
      <w:bCs/>
      <w:color w:val="000000"/>
      <w:sz w:val="22"/>
      <w:szCs w:val="22"/>
      <w:u w:val="none"/>
    </w:rPr>
  </w:style>
  <w:style w:type="paragraph" w:styleId="1051" w:customStyle="1">
    <w:name w:val="批注文字1"/>
    <w:basedOn w:val="800"/>
    <w:uiPriority w:val="0"/>
    <w:qFormat/>
    <w:pPr>
      <w:jc w:val="left"/>
    </w:pPr>
    <w:rPr>
      <w:rFonts w:ascii="Calibri" w:hAnsi="Calibri"/>
      <w:szCs w:val="22"/>
    </w:rPr>
  </w:style>
  <w:style w:type="character" w:styleId="1052" w:customStyle="1">
    <w:name w:val="纯文本 字符"/>
    <w:link w:val="821"/>
    <w:uiPriority w:val="0"/>
    <w:qFormat/>
    <w:rPr>
      <w:rFonts w:ascii="宋体" w:hAnsi="Courier New"/>
      <w:sz w:val="21"/>
    </w:rPr>
  </w:style>
  <w:style w:type="paragraph" w:styleId="1053" w:customStyle="1">
    <w:name w:val="图表目录1"/>
    <w:basedOn w:val="800"/>
    <w:next w:val="800"/>
    <w:uiPriority w:val="99"/>
    <w:unhideWhenUsed/>
    <w:qFormat/>
  </w:style>
  <w:style w:type="paragraph" w:styleId="1054" w:customStyle="1">
    <w:name w:val="首行缩进"/>
    <w:basedOn w:val="800"/>
    <w:next w:val="800"/>
    <w:uiPriority w:val="0"/>
    <w:qFormat/>
    <w:pPr>
      <w:ind w:firstLine="480"/>
      <w:spacing w:line="360" w:lineRule="auto"/>
    </w:pPr>
    <w:rPr>
      <w:rFonts w:ascii="宋体" w:hAnsi="宋体" w:cs="宋体"/>
      <w:sz w:val="24"/>
    </w:rPr>
  </w:style>
  <w:style w:type="paragraph" w:styleId="1055" w:customStyle="1">
    <w:name w:val="_Style 305"/>
    <w:basedOn w:val="800"/>
    <w:next w:val="892"/>
    <w:uiPriority w:val="34"/>
    <w:qFormat/>
    <w:pPr>
      <w:ind w:firstLine="420"/>
    </w:pPr>
    <w:rPr>
      <w:rFonts w:ascii="Calibri" w:hAnsi="Calibri"/>
      <w:szCs w:val="22"/>
    </w:rPr>
  </w:style>
  <w:style w:type="character" w:styleId="1056" w:customStyle="1">
    <w:name w:val="font141"/>
    <w:basedOn w:val="810"/>
    <w:uiPriority w:val="0"/>
    <w:qFormat/>
    <w:rPr>
      <w:rFonts w:hint="default" w:ascii="Times New Roman" w:hAnsi="Times New Roman" w:cs="Times New Roman"/>
      <w:color w:val="000000"/>
      <w:sz w:val="20"/>
      <w:szCs w:val="20"/>
      <w:u w:val="none"/>
    </w:rPr>
  </w:style>
  <w:style w:type="character" w:styleId="1057" w:customStyle="1">
    <w:name w:val="font91"/>
    <w:basedOn w:val="810"/>
    <w:uiPriority w:val="0"/>
    <w:qFormat/>
    <w:rPr>
      <w:rFonts w:hint="eastAsia" w:ascii="宋体" w:hAnsi="宋体" w:eastAsia="宋体" w:cs="宋体"/>
      <w:color w:val="000000"/>
      <w:sz w:val="20"/>
      <w:szCs w:val="20"/>
      <w:u w:val="none"/>
    </w:rPr>
  </w:style>
  <w:style w:type="character" w:styleId="1058" w:customStyle="1">
    <w:name w:val="font151"/>
    <w:basedOn w:val="810"/>
    <w:uiPriority w:val="0"/>
    <w:qFormat/>
    <w:rPr>
      <w:rFonts w:hint="eastAsia" w:ascii="宋体" w:hAnsi="宋体" w:eastAsia="宋体" w:cs="宋体"/>
      <w:color w:val="ff0000"/>
      <w:sz w:val="20"/>
      <w:szCs w:val="20"/>
      <w:u w:val="none"/>
    </w:rPr>
  </w:style>
  <w:style w:type="character" w:styleId="1059" w:customStyle="1">
    <w:name w:val="font13"/>
    <w:basedOn w:val="810"/>
    <w:uiPriority w:val="0"/>
    <w:qFormat/>
    <w:rPr>
      <w:rFonts w:hint="eastAsia" w:ascii="宋体" w:hAnsi="宋体" w:eastAsia="宋体" w:cs="宋体"/>
      <w:color w:val="000000"/>
      <w:sz w:val="20"/>
      <w:szCs w:val="20"/>
      <w:u w:val="none"/>
    </w:rPr>
  </w:style>
  <w:style w:type="character" w:styleId="1060" w:customStyle="1">
    <w:name w:val="font111"/>
    <w:basedOn w:val="810"/>
    <w:uiPriority w:val="0"/>
    <w:qFormat/>
    <w:rPr>
      <w:rFonts w:hint="eastAsia" w:ascii="宋体" w:hAnsi="宋体" w:eastAsia="宋体" w:cs="宋体"/>
      <w:b/>
      <w:bCs/>
      <w:color w:val="000000"/>
      <w:sz w:val="24"/>
      <w:szCs w:val="24"/>
      <w:u w:val="none"/>
    </w:rPr>
  </w:style>
  <w:style w:type="character" w:styleId="1061" w:customStyle="1">
    <w:name w:val="font161"/>
    <w:basedOn w:val="810"/>
    <w:uiPriority w:val="0"/>
    <w:qFormat/>
    <w:rPr>
      <w:rFonts w:ascii="宋体" w:hAnsi="宋体" w:eastAsia="宋体" w:cs="宋体"/>
      <w:b/>
      <w:bCs/>
      <w:color w:val="000000"/>
      <w:sz w:val="24"/>
      <w:szCs w:val="24"/>
      <w:u w:val="none"/>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王明权</cp:lastModifiedBy>
  <cp:revision>4</cp:revision>
  <dcterms:created xsi:type="dcterms:W3CDTF">2026-06-24T08:00:00Z</dcterms:created>
  <dcterms:modified xsi:type="dcterms:W3CDTF">2026-06-26T03:13:16Z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eyJoZGlkIjoiMjM3OTI4N2EyYzA5MmJkMzUzNDZiMjgyYzEyOTRjNTYiLCJ1c2VySWQiOiI0MzkzMjc4NjQifQ==</vt:lpwstr>
  </property>
  <property fmtid="{D5CDD505-2E9C-101B-9397-08002B2CF9AE}" pid="3" name="KSOProductBuildVer">
    <vt:lpwstr>2052-12.1.0.26895</vt:lpwstr>
  </property>
  <property fmtid="{D5CDD505-2E9C-101B-9397-08002B2CF9AE}" pid="4" name="ICV">
    <vt:lpwstr>C9009AFD89804514BDA05F9D07ECC537_13</vt:lpwstr>
  </property>
</Properties>
</file>