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center"/>
        <w:spacing w:before="120" w:beforeAutospacing="0" w:after="120" w:afterAutospacing="0" w:line="360" w:lineRule="auto"/>
        <w:rPr>
          <w:rFonts w:ascii="Arial" w:hAnsi="Arial" w:cs="Arial"/>
          <w:b/>
          <w:color w:val="auto"/>
          <w:sz w:val="48"/>
          <w:szCs w:val="48"/>
          <w:highlight w:val="none"/>
        </w:rPr>
      </w:pPr>
      <w:r>
        <w:rPr>
          <w:rFonts w:ascii="Arial" w:hAnsi="Arial" w:cs="Arial"/>
          <w:b/>
          <w:color w:val="auto"/>
          <w:sz w:val="48"/>
          <w:szCs w:val="48"/>
          <w:highlight w:val="none"/>
        </w:rPr>
      </w:r>
      <w:r/>
    </w:p>
    <w:p>
      <w:pPr>
        <w:pStyle w:val="832"/>
        <w:jc w:val="center"/>
        <w:spacing w:before="120" w:beforeAutospacing="0" w:after="120" w:afterAutospacing="0" w:line="360" w:lineRule="auto"/>
        <w:rPr>
          <w:rFonts w:hint="eastAsia" w:ascii="Arial" w:hAnsi="Arial" w:cs="Arial" w:eastAsiaTheme="minorEastAsia"/>
          <w:b/>
          <w:color w:val="auto"/>
          <w:sz w:val="48"/>
          <w:szCs w:val="48"/>
          <w:highlight w:val="none"/>
          <w:lang w:eastAsia="zh-CN"/>
        </w:rPr>
      </w:pPr>
      <w:r>
        <w:rPr>
          <w:rFonts w:ascii="Arial" w:hAnsi="Arial" w:cs="Arial"/>
          <w:b/>
          <w:color w:val="auto"/>
          <w:sz w:val="48"/>
          <w:szCs w:val="48"/>
          <w:highlight w:val="none"/>
        </w:rPr>
        <w:t xml:space="preserve"> </w:t>
      </w:r>
      <w:r>
        <w:rPr>
          <w:rFonts w:hint="eastAsia" w:ascii="Arial" w:hAnsi="Arial" w:cs="Arial"/>
          <w:b/>
          <w:color w:val="auto"/>
          <w:sz w:val="48"/>
          <w:szCs w:val="48"/>
          <w:highlight w:val="none"/>
          <w:lang w:eastAsia="zh-CN"/>
        </w:rPr>
        <w:t xml:space="preserve">东台市中医院污水处理站运维服务</w:t>
      </w:r>
      <w:r/>
    </w:p>
    <w:p>
      <w:pPr>
        <w:pStyle w:val="832"/>
        <w:jc w:val="center"/>
        <w:spacing w:before="120" w:beforeAutospacing="0" w:after="120" w:afterAutospacing="0" w:line="360" w:lineRule="auto"/>
        <w:rPr>
          <w:rFonts w:hint="eastAsia" w:ascii="Arial" w:hAnsi="Arial" w:cs="Arial"/>
          <w:b/>
          <w:color w:val="auto"/>
          <w:sz w:val="48"/>
          <w:szCs w:val="48"/>
          <w:highlight w:val="none"/>
        </w:rPr>
      </w:pPr>
      <w:r>
        <w:rPr>
          <w:rFonts w:hint="eastAsia" w:ascii="Arial" w:hAnsi="Arial" w:cs="Arial"/>
          <w:b/>
          <w:color w:val="auto"/>
          <w:sz w:val="48"/>
          <w:szCs w:val="48"/>
          <w:highlight w:val="none"/>
        </w:rPr>
      </w:r>
      <w:r/>
    </w:p>
    <w:p>
      <w:pPr>
        <w:pStyle w:val="832"/>
        <w:jc w:val="center"/>
        <w:spacing w:before="120" w:beforeAutospacing="0" w:after="120" w:afterAutospacing="0" w:line="360" w:lineRule="auto"/>
        <w:rPr>
          <w:rFonts w:hint="eastAsia" w:ascii="Arial" w:hAnsi="Arial" w:cs="Arial"/>
          <w:b/>
          <w:color w:val="auto"/>
          <w:sz w:val="48"/>
          <w:szCs w:val="48"/>
          <w:highlight w:val="none"/>
        </w:rPr>
      </w:pPr>
      <w:r>
        <w:rPr>
          <w:rFonts w:hint="eastAsia" w:ascii="Arial" w:hAnsi="Arial" w:cs="Arial"/>
          <w:b/>
          <w:color w:val="auto"/>
          <w:sz w:val="48"/>
          <w:szCs w:val="48"/>
          <w:highlight w:val="none"/>
        </w:rPr>
      </w:r>
      <w:r/>
    </w:p>
    <w:p>
      <w:pPr>
        <w:pStyle w:val="832"/>
        <w:jc w:val="center"/>
        <w:spacing w:before="120" w:beforeAutospacing="0" w:after="120" w:afterAutospacing="0" w:line="360" w:lineRule="auto"/>
        <w:rPr>
          <w:rFonts w:hint="eastAsia" w:ascii="Arial" w:hAnsi="Arial" w:cs="Arial"/>
          <w:b/>
          <w:color w:val="auto"/>
          <w:sz w:val="48"/>
          <w:szCs w:val="48"/>
          <w:highlight w:val="none"/>
        </w:rPr>
      </w:pPr>
      <w:r>
        <w:rPr>
          <w:rFonts w:hint="eastAsia" w:ascii="Arial" w:hAnsi="Arial" w:cs="Arial"/>
          <w:b/>
          <w:color w:val="auto"/>
          <w:sz w:val="48"/>
          <w:szCs w:val="48"/>
          <w:highlight w:val="none"/>
        </w:rPr>
      </w:r>
      <w:r/>
    </w:p>
    <w:p>
      <w:pPr>
        <w:pStyle w:val="83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32"/>
        <w:ind w:left="2100" w:firstLine="161"/>
        <w:jc w:val="both"/>
        <w:spacing w:beforeAutospacing="0" w:afterAutospacing="0"/>
        <w:rPr>
          <w:color w:val="auto"/>
          <w:highlight w:val="none"/>
        </w:rPr>
      </w:pPr>
      <w:r>
        <w:rPr>
          <w:color w:val="auto"/>
          <w:highlight w:val="none"/>
        </w:rPr>
      </w:r>
      <w:r/>
    </w:p>
    <w:p>
      <w:pPr>
        <w:pStyle w:val="832"/>
        <w:ind w:left="2100" w:firstLine="161"/>
        <w:jc w:val="both"/>
        <w:spacing w:beforeAutospacing="0" w:afterAutospacing="0"/>
        <w:rPr>
          <w:color w:val="auto"/>
          <w:highlight w:val="none"/>
        </w:rPr>
      </w:pPr>
      <w:r>
        <w:rPr>
          <w:color w:val="auto"/>
          <w:highlight w:val="none"/>
        </w:rPr>
      </w:r>
      <w:r/>
    </w:p>
    <w:p>
      <w:pPr>
        <w:pStyle w:val="832"/>
        <w:spacing w:beforeAutospacing="0" w:afterAutospacing="0" w:line="360" w:lineRule="auto"/>
        <w:rPr>
          <w:color w:val="auto"/>
          <w:highlight w:val="none"/>
        </w:rPr>
      </w:pPr>
      <w:r>
        <w:rPr>
          <w:color w:val="auto"/>
          <w:highlight w:val="none"/>
        </w:rPr>
        <w:t xml:space="preserve"> </w:t>
      </w:r>
      <w:r/>
    </w:p>
    <w:p>
      <w:pPr>
        <w:pStyle w:val="832"/>
        <w:spacing w:beforeAutospacing="0" w:afterAutospacing="0" w:line="360" w:lineRule="auto"/>
        <w:rPr>
          <w:color w:val="auto"/>
          <w:highlight w:val="none"/>
        </w:rPr>
      </w:pPr>
      <w:r>
        <w:rPr>
          <w:color w:val="auto"/>
          <w:highlight w:val="none"/>
        </w:rPr>
        <w:t xml:space="preserve"> </w:t>
      </w:r>
      <w:r/>
    </w:p>
    <w:p>
      <w:pPr>
        <w:pStyle w:val="832"/>
        <w:spacing w:beforeAutospacing="0" w:afterAutospacing="0" w:line="360" w:lineRule="auto"/>
        <w:rPr>
          <w:color w:val="auto"/>
          <w:highlight w:val="none"/>
        </w:rPr>
      </w:pPr>
      <w:r>
        <w:rPr>
          <w:color w:val="auto"/>
          <w:highlight w:val="none"/>
        </w:rPr>
        <w:t xml:space="preserve"> </w:t>
      </w:r>
      <w:r/>
    </w:p>
    <w:p>
      <w:pPr>
        <w:pStyle w:val="832"/>
        <w:spacing w:beforeAutospacing="0" w:afterAutospacing="0" w:line="360" w:lineRule="auto"/>
        <w:rPr>
          <w:rFonts w:hint="eastAsia"/>
          <w:b/>
          <w:color w:val="auto"/>
          <w:sz w:val="31"/>
          <w:highlight w:val="none"/>
          <w:lang w:eastAsia="zh-CN"/>
        </w:rPr>
      </w:pPr>
      <w:r>
        <w:rPr>
          <w:color w:val="auto"/>
          <w:highlight w:val="none"/>
        </w:rPr>
        <w:t xml:space="preserve">  </w:t>
      </w:r>
      <w:r/>
    </w:p>
    <w:p>
      <w:pPr>
        <w:spacing w:line="480" w:lineRule="auto"/>
        <w:rPr>
          <w:rFonts w:hint="eastAsia"/>
          <w:b/>
          <w:color w:val="auto"/>
          <w:sz w:val="31"/>
          <w:highlight w:val="none"/>
          <w:lang w:eastAsia="zh-CN"/>
        </w:rPr>
        <w:outlineLvl w:val="0"/>
      </w:pPr>
      <w:r>
        <w:rPr>
          <w:rFonts w:hint="eastAsia"/>
          <w:b/>
          <w:color w:val="auto"/>
          <w:sz w:val="31"/>
          <w:highlight w:val="none"/>
          <w:lang w:eastAsia="zh-CN"/>
        </w:rPr>
      </w:r>
      <w:r/>
    </w:p>
    <w:p>
      <w:pPr>
        <w:spacing w:line="480" w:lineRule="auto"/>
        <w:rPr>
          <w:rFonts w:hint="eastAsia"/>
          <w:b/>
          <w:color w:val="auto"/>
          <w:sz w:val="31"/>
          <w:highlight w:val="none"/>
          <w:lang w:eastAsia="zh-CN"/>
        </w:rPr>
        <w:outlineLvl w:val="0"/>
      </w:pPr>
      <w:r>
        <w:rPr>
          <w:rFonts w:hint="eastAsia"/>
          <w:b/>
          <w:color w:val="auto"/>
          <w:sz w:val="31"/>
          <w:highlight w:val="none"/>
          <w:lang w:eastAsia="zh-CN"/>
        </w:rPr>
      </w:r>
      <w:r/>
    </w:p>
    <w:p>
      <w:pPr>
        <w:pStyle w:val="832"/>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东台市中医院</w:t>
      </w:r>
      <w:r/>
    </w:p>
    <w:p>
      <w:pPr>
        <w:pStyle w:val="832"/>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p>
    <w:p>
      <w:pPr>
        <w:pStyle w:val="832"/>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采购代理机构：江苏策诚工程咨询有限公司</w:t>
      </w:r>
      <w:r/>
    </w:p>
    <w:p>
      <w:pPr>
        <w:pStyle w:val="83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32"/>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12</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17</w:t>
      </w:r>
      <w:r>
        <w:rPr>
          <w:rFonts w:ascii="Arial" w:hAnsi="Arial" w:cs="Arial"/>
          <w:b/>
          <w:color w:val="auto"/>
          <w:sz w:val="32"/>
          <w:szCs w:val="32"/>
          <w:highlight w:val="none"/>
        </w:rPr>
        <w:t xml:space="preserve">日</w:t>
      </w:r>
      <w:r/>
    </w:p>
    <w:p>
      <w:pPr>
        <w:pStyle w:val="83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3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3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32"/>
        <w:jc w:val="center"/>
        <w:spacing w:beforeAutospacing="0" w:afterAutospacing="0" w:line="480" w:lineRule="auto"/>
        <w:rPr>
          <w:color w:val="auto"/>
          <w:highlight w:val="none"/>
        </w:rPr>
      </w:pPr>
      <w:r>
        <w:rPr>
          <w:rFonts w:ascii="Arial" w:hAnsi="Arial" w:cs="Arial"/>
          <w:color w:val="auto"/>
          <w:highlight w:val="none"/>
        </w:rPr>
        <w:t xml:space="preserve">         </w:t>
      </w:r>
      <w:r>
        <w:rPr>
          <w:rFonts w:ascii="Times New Roman" w:hAnsi="Times New Roman"/>
          <w:color w:val="auto"/>
          <w:sz w:val="21"/>
          <w:szCs w:val="21"/>
          <w:highlight w:val="none"/>
        </w:rPr>
        <w:t xml:space="preserve"> </w:t>
      </w:r>
      <w:bookmarkStart w:id="0" w:name="_Toc120614210"/>
      <w:r/>
      <w:bookmarkStart w:id="1" w:name="_Toc16938516"/>
      <w:r/>
      <w:bookmarkStart w:id="2" w:name="_Toc20823272"/>
      <w:r/>
      <w:bookmarkStart w:id="3" w:name="_Toc523127445"/>
      <w:r/>
      <w:bookmarkStart w:id="4" w:name="_Toc479757206"/>
      <w:r/>
      <w:bookmarkStart w:id="5"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32"/>
        <w:jc w:val="both"/>
        <w:spacing w:beforeAutospacing="0" w:afterAutospacing="0" w:line="480" w:lineRule="auto"/>
        <w:rPr>
          <w:color w:val="auto"/>
          <w:highlight w:val="none"/>
        </w:rPr>
      </w:pPr>
      <w:r>
        <w:rPr>
          <w:color w:val="auto"/>
          <w:highlight w:val="none"/>
        </w:rPr>
        <w:t xml:space="preserve"> </w:t>
      </w:r>
      <w:r/>
    </w:p>
    <w:p>
      <w:pPr>
        <w:pStyle w:val="83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83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83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3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3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83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32"/>
        <w:ind w:firstLine="480"/>
        <w:jc w:val="both"/>
        <w:pageBreakBefore w:val="0"/>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832"/>
        <w:ind w:firstLine="480"/>
        <w:jc w:val="both"/>
        <w:pageBreakBefore w:val="0"/>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东台市中医院污水处理站运维服务</w:t>
      </w:r>
      <w:r>
        <w:rPr>
          <w:rFonts w:hint="eastAsia" w:ascii="宋体" w:hAnsi="宋体" w:eastAsia="宋体" w:cs="宋体"/>
          <w:color w:val="auto"/>
          <w:highlight w:val="none"/>
          <w:u w:val="single"/>
        </w:rPr>
        <w:t xml:space="preserve">JSZC-320981-CCGC-G2025-0068</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auto"/>
          <w:highlight w:val="none"/>
          <w:u w:val="single"/>
          <w:lang w:val="en-US" w:eastAsia="zh-CN"/>
        </w:rPr>
        <w:t xml:space="preserve">2026-1-8 15</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00</w:t>
      </w:r>
      <w:r>
        <w:rPr>
          <w:rFonts w:hint="eastAsia" w:ascii="宋体" w:hAnsi="宋体" w:eastAsia="宋体" w:cs="宋体"/>
          <w:color w:val="auto"/>
          <w:highlight w:val="none"/>
          <w:u w:val="single"/>
        </w:rPr>
        <w:t xml:space="preserve">（北京时间）</w:t>
      </w:r>
      <w:r>
        <w:rPr>
          <w:rFonts w:hint="eastAsia" w:ascii="宋体" w:hAnsi="宋体" w:eastAsia="宋体" w:cs="宋体"/>
          <w:color w:val="auto"/>
          <w:highlight w:val="none"/>
        </w:rPr>
        <w:t xml:space="preserve">前递交投标文件。</w:t>
      </w:r>
      <w:r/>
    </w:p>
    <w:p>
      <w:pPr>
        <w:pStyle w:val="83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 w:name="_Toc28359079"/>
      <w:r/>
      <w:bookmarkStart w:id="7" w:name="_Toc35393621"/>
      <w:r/>
      <w:bookmarkStart w:id="8" w:name="_Toc35393790"/>
      <w:r/>
      <w:bookmarkStart w:id="9" w:name="_Hlk24379207"/>
      <w:r/>
      <w:bookmarkStart w:id="10" w:name="_Toc28359002"/>
      <w:r/>
      <w:bookmarkStart w:id="11" w:name="_Toc38985263"/>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32"/>
        <w:ind w:firstLine="480"/>
        <w:jc w:val="both"/>
        <w:pageBreakBefore w:val="0"/>
        <w:spacing w:beforeAutospacing="0" w:afterAutospacing="0" w:line="48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项目编号：JSZC-320981-CCGC-G2025-0068</w:t>
      </w:r>
      <w:r>
        <w:rPr>
          <w:rFonts w:hint="eastAsia" w:ascii="宋体" w:hAnsi="宋体" w:eastAsia="宋体" w:cs="宋体"/>
          <w:color w:val="auto"/>
          <w:highlight w:val="none"/>
          <w:lang w:val="en-US" w:eastAsia="zh-CN"/>
        </w:rPr>
        <w:t xml:space="preserve"> </w:t>
      </w:r>
      <w:r/>
    </w:p>
    <w:p>
      <w:pPr>
        <w:pStyle w:val="832"/>
        <w:ind w:firstLine="480"/>
        <w:jc w:val="both"/>
        <w:pageBreakBefore w:val="0"/>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东台市中医院污水处理站运维服务</w:t>
      </w:r>
      <w:r/>
    </w:p>
    <w:p>
      <w:pPr>
        <w:pStyle w:val="832"/>
        <w:ind w:firstLine="480"/>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采购方式：</w:t>
      </w:r>
      <w:r>
        <w:rPr>
          <w:rFonts w:hint="eastAsia" w:ascii="宋体" w:hAnsi="宋体" w:eastAsia="宋体" w:cs="宋体"/>
          <w:color w:val="auto"/>
          <w:highlight w:val="none"/>
          <w:lang w:val="en-US" w:eastAsia="zh-CN"/>
        </w:rPr>
        <w:t xml:space="preserve">公开招标</w:t>
      </w:r>
      <w:r/>
    </w:p>
    <w:p>
      <w:pPr>
        <w:pStyle w:val="83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val="en-US" w:eastAsia="zh-CN"/>
        </w:rPr>
        <w:t xml:space="preserve">108</w:t>
      </w:r>
      <w:r>
        <w:rPr>
          <w:rFonts w:hint="eastAsia" w:ascii="宋体" w:hAnsi="宋体" w:eastAsia="宋体" w:cs="宋体"/>
          <w:color w:val="auto"/>
          <w:highlight w:val="none"/>
        </w:rPr>
        <w:t xml:space="preserve">万元</w:t>
      </w:r>
      <w:bookmarkStart w:id="204" w:name="_GoBack"/>
      <w:r/>
      <w:bookmarkEnd w:id="204"/>
      <w:r/>
      <w:r/>
    </w:p>
    <w:p>
      <w:pPr>
        <w:pStyle w:val="832"/>
        <w:ind w:firstLine="480"/>
        <w:jc w:val="both"/>
        <w:pageBreakBefore w:val="0"/>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val="en-US" w:eastAsia="zh-CN"/>
        </w:rPr>
        <w:t xml:space="preserve">108</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zh-CN"/>
        </w:rPr>
        <w:t xml:space="preserve">。</w:t>
      </w:r>
      <w:r/>
    </w:p>
    <w:p>
      <w:pPr>
        <w:pStyle w:val="83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eastAsia="zh-CN"/>
        </w:rPr>
        <w:t xml:space="preserve">东台市中医院污水处理站运维服务</w:t>
      </w:r>
      <w:r>
        <w:rPr>
          <w:rFonts w:hint="eastAsia" w:ascii="宋体" w:hAnsi="宋体" w:eastAsia="宋体" w:cs="宋体"/>
          <w:color w:val="auto"/>
          <w:highlight w:val="none"/>
          <w:lang w:val="en-US" w:eastAsia="zh-CN"/>
        </w:rPr>
        <w:t xml:space="preserve">,具体要求详见项目需求</w:t>
      </w:r>
      <w:r>
        <w:rPr>
          <w:rFonts w:hint="eastAsia" w:ascii="宋体" w:hAnsi="宋体" w:eastAsia="宋体" w:cs="宋体"/>
          <w:color w:val="auto"/>
          <w:highlight w:val="none"/>
        </w:rPr>
        <w:t xml:space="preserve">。</w:t>
      </w:r>
      <w:r/>
    </w:p>
    <w:p>
      <w:pPr>
        <w:pStyle w:val="83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年。</w:t>
      </w:r>
      <w:r/>
    </w:p>
    <w:p>
      <w:pPr>
        <w:pStyle w:val="832"/>
        <w:ind w:firstLine="480"/>
        <w:jc w:val="both"/>
        <w:pageBreakBefore w:val="0"/>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lang w:eastAsia="zh-CN"/>
        </w:rPr>
        <w:t xml:space="preserve">不</w:t>
      </w:r>
      <w:r>
        <w:rPr>
          <w:rFonts w:hint="eastAsia" w:ascii="宋体" w:hAnsi="宋体" w:eastAsia="宋体" w:cs="宋体"/>
          <w:color w:val="auto"/>
          <w:highlight w:val="none"/>
        </w:rPr>
        <w:t xml:space="preserve">接受联合体参与</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lang w:eastAsia="zh-CN"/>
        </w:rPr>
        <w:t xml:space="preserve">。</w:t>
      </w:r>
      <w:r/>
    </w:p>
    <w:p>
      <w:pPr>
        <w:pStyle w:val="83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 w:name="_Toc35393791"/>
      <w:r/>
      <w:bookmarkStart w:id="13" w:name="_Toc35393622"/>
      <w:r/>
      <w:bookmarkStart w:id="14" w:name="_Toc38985264"/>
      <w:r/>
      <w:bookmarkStart w:id="15" w:name="_Toc28359003"/>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2.上一年度的财务状况报告（供应商成立不满一年无需提供）；</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3.具备履行合同所必需的设备和专业技术能力的书面声明；</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5.参加政府采购活动前3年内在经营活动中没有重大违法记录的书面声明；</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7.投标人为被授权人缴纳的社会养老保险证明（如有）；</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pStyle w:val="832"/>
        <w:ind w:firstLine="480"/>
        <w:jc w:val="both"/>
        <w:pageBreakBefore w:val="0"/>
        <w:spacing w:beforeAutospacing="0" w:afterAutospacing="0" w:line="480" w:lineRule="exact"/>
        <w:rPr>
          <w:color w:val="auto"/>
          <w:highlight w:val="none"/>
        </w:rPr>
      </w:pPr>
      <w:r>
        <w:rPr>
          <w:rFonts w:hint="eastAsia" w:ascii="宋体" w:hAnsi="宋体" w:eastAsia="宋体" w:cs="宋体"/>
          <w:color w:val="auto"/>
          <w:highlight w:val="none"/>
        </w:rPr>
        <w:t xml:space="preserve">1.项目为专门面向中小企业采购的项目,供应商必须为中小微企业（或监狱企业或残疾人福利性单位），不接受非中小微型企业（或监狱企业或残疾人福利性单位）参与本项目投标。</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pStyle w:val="83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无</w:t>
      </w:r>
      <w:r>
        <w:rPr>
          <w:rFonts w:hint="eastAsia" w:ascii="宋体" w:hAnsi="宋体" w:eastAsia="宋体" w:cs="宋体"/>
          <w:color w:val="auto"/>
          <w:highlight w:val="none"/>
        </w:rPr>
        <w:t xml:space="preserve">。</w:t>
      </w:r>
      <w:r/>
    </w:p>
    <w:p>
      <w:pPr>
        <w:pStyle w:val="83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bookmarkStart w:id="17" w:name="_Toc38985266"/>
      <w:r/>
      <w:bookmarkStart w:id="18" w:name="_Toc35393793"/>
      <w:r/>
      <w:bookmarkStart w:id="19" w:name="_Toc28359005"/>
      <w:r/>
      <w:bookmarkStart w:id="20" w:name="_Toc28359082"/>
      <w:r/>
      <w:bookmarkStart w:id="21" w:name="_Toc35393624"/>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en-US" w:eastAsia="zh-CN"/>
        </w:rPr>
        <w:t xml:space="preserve">：</w:t>
      </w:r>
      <w:bookmarkEnd w:id="17"/>
      <w:r/>
      <w:bookmarkEnd w:id="18"/>
      <w:r/>
      <w:bookmarkEnd w:id="19"/>
      <w:r/>
      <w:bookmarkEnd w:id="20"/>
      <w:r/>
      <w:bookmarkEnd w:id="21"/>
      <w:r>
        <w:rPr>
          <w:rFonts w:hint="eastAsia" w:ascii="宋体" w:hAnsi="宋体" w:eastAsia="宋体" w:cs="宋体"/>
          <w:color w:val="auto"/>
          <w:sz w:val="24"/>
          <w:highlight w:val="none"/>
          <w:lang w:val="en-US" w:eastAsia="zh-CN"/>
        </w:rPr>
        <w:t xml:space="preserve">自招标文件公告发布之日起5个工作日。</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2.地点：“苏采云”系统内免费下载（投标人必须在苏采云系统中获取采购文件，方能参与政府采购项目）；</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83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时间：2026-1-8  15:00（北京时间）</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2.地点：苏采云“不见面”开标大厅 。</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bookmarkStart w:id="22" w:name="_Toc28359084"/>
      <w:r/>
      <w:bookmarkStart w:id="23" w:name="_Toc35393625"/>
      <w:r/>
      <w:bookmarkStart w:id="24" w:name="_Toc35393794"/>
      <w:r/>
      <w:bookmarkStart w:id="25" w:name="_Toc38985267"/>
      <w:r/>
      <w:bookmarkStart w:id="26" w:name="_Toc2835900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bookmarkStart w:id="27" w:name="_Toc35393626"/>
      <w:r/>
      <w:bookmarkStart w:id="28" w:name="_Toc35393795"/>
      <w:r/>
      <w:bookmarkStart w:id="29" w:name="_Toc38985268"/>
      <w:r>
        <w:rPr>
          <w:rFonts w:hint="eastAsia" w:ascii="宋体" w:hAnsi="宋体" w:eastAsia="宋体" w:cs="宋体"/>
          <w:color w:val="auto"/>
          <w:sz w:val="24"/>
          <w:highlight w:val="none"/>
          <w:lang w:val="en-US" w:eastAsia="zh-CN"/>
        </w:rPr>
        <w:t xml:space="preserve">自本公告发布之日起5个工作日。</w:t>
      </w:r>
      <w:bookmarkEnd w:id="27"/>
      <w:r/>
      <w:bookmarkEnd w:id="28"/>
      <w:r/>
      <w:bookmarkEnd w:id="29"/>
      <w:r/>
      <w:r/>
    </w:p>
    <w:p>
      <w:pPr>
        <w:pStyle w:val="83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360" w:lineRule="auto"/>
        <w:rPr>
          <w:rFonts w:hint="eastAsia" w:ascii="宋体" w:hAnsi="宋体" w:eastAsia="宋体" w:cs="宋体"/>
          <w:color w:val="auto"/>
          <w:sz w:val="24"/>
          <w:highlight w:val="none"/>
          <w:lang w:val="en-US" w:eastAsia="zh-CN"/>
        </w:rPr>
      </w:pPr>
      <w:r/>
      <w:bookmarkStart w:id="30" w:name="_Toc28359018"/>
      <w:r>
        <w:rPr>
          <w:rFonts w:hint="eastAsia" w:ascii="宋体" w:hAnsi="宋体" w:eastAsia="宋体" w:cs="宋体"/>
          <w:color w:val="auto"/>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 潜在供应商访问电子招标响应交易平台的网络地址和方法：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 潜在投标人访问“苏采云”系统方法：江苏省政府采购网首页-“苏采云”链接。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 采购文件（后缀名为“.kedt”）、供应商操作手册及政府采购客户端 工具可通过“苏采云”系统相应链接进行下载。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 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如潜在投标人未按上述要求操作，将自行承担所产生的风险。</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4.本次招标不收取投标保证金，不收取质量保证金。</w:t>
      </w:r>
      <w:r/>
    </w:p>
    <w:p>
      <w:pPr>
        <w:pStyle w:val="823"/>
        <w:ind w:firstLine="480"/>
        <w:jc w:val="both"/>
        <w:pageBreakBefore w:val="0"/>
        <w:spacing w:before="0" w:beforeAutospacing="0" w:after="0" w:afterAutospacing="0" w:line="480" w:lineRule="exact"/>
        <w:shd w:val="clear" w:color="auto" w:fill="ffffff"/>
        <w:widowControl/>
        <w:rPr>
          <w:rFonts w:hint="eastAsia" w:cs="宋体"/>
          <w:b/>
          <w:bCs/>
          <w:color w:val="auto"/>
          <w:sz w:val="24"/>
          <w:szCs w:val="24"/>
          <w:highlight w:val="none"/>
          <w:shd w:val="clear" w:color="auto" w:fill="ffffff"/>
          <w:lang w:bidi="ar-SA"/>
        </w:rPr>
        <w:outlineLvl w:val="1"/>
      </w:pPr>
      <w:r>
        <w:rPr>
          <w:rFonts w:hint="eastAsia" w:cs="宋体"/>
          <w:b/>
          <w:bCs/>
          <w:color w:val="auto"/>
          <w:sz w:val="24"/>
          <w:szCs w:val="24"/>
          <w:highlight w:val="none"/>
          <w:shd w:val="clear" w:color="auto" w:fill="ffffff"/>
          <w:lang w:val="en-US" w:eastAsia="zh-CN" w:bidi="ar-SA"/>
        </w:rPr>
        <w:t xml:space="preserve">七</w:t>
      </w:r>
      <w:r>
        <w:rPr>
          <w:rFonts w:hint="eastAsia" w:cs="宋体"/>
          <w:b/>
          <w:bCs/>
          <w:color w:val="auto"/>
          <w:sz w:val="24"/>
          <w:szCs w:val="24"/>
          <w:highlight w:val="none"/>
          <w:shd w:val="clear" w:color="auto" w:fill="ffffff"/>
          <w:lang w:bidi="ar-SA"/>
        </w:rPr>
        <w:t xml:space="preserve">、对本次</w:t>
      </w:r>
      <w:r>
        <w:rPr>
          <w:rFonts w:hint="eastAsia" w:cs="宋体"/>
          <w:b/>
          <w:bCs/>
          <w:color w:val="auto"/>
          <w:sz w:val="24"/>
          <w:szCs w:val="24"/>
          <w:highlight w:val="none"/>
          <w:shd w:val="clear" w:color="auto" w:fill="ffffff"/>
          <w:lang w:val="en-US" w:eastAsia="zh-CN" w:bidi="ar-SA"/>
        </w:rPr>
        <w:t xml:space="preserve">招标</w:t>
      </w:r>
      <w:r>
        <w:rPr>
          <w:rFonts w:hint="eastAsia" w:cs="宋体"/>
          <w:b/>
          <w:bCs/>
          <w:color w:val="auto"/>
          <w:sz w:val="24"/>
          <w:szCs w:val="24"/>
          <w:highlight w:val="none"/>
          <w:shd w:val="clear" w:color="auto" w:fill="ffffff"/>
          <w:lang w:bidi="ar-SA"/>
        </w:rPr>
        <w:t xml:space="preserve">提出询问，请按以下方式联系。</w:t>
      </w:r>
      <w:bookmarkEnd w:id="30"/>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bookmarkStart w:id="31" w:name="_Toc28359009"/>
      <w:r>
        <w:rPr>
          <w:rFonts w:hint="eastAsia" w:ascii="宋体" w:hAnsi="宋体" w:eastAsia="宋体" w:cs="宋体"/>
          <w:color w:val="auto"/>
          <w:highlight w:val="none"/>
          <w:shd w:val="clear" w:color="auto" w:fill="ffffff"/>
          <w:lang w:val="en-US" w:eastAsia="zh-CN"/>
        </w:rPr>
        <w:t xml:space="preserve">1.采购人信息</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名 称：东台市中医院  </w:t>
      </w:r>
      <w:r/>
    </w:p>
    <w:p>
      <w:pPr>
        <w:pStyle w:val="832"/>
        <w:ind w:firstLine="560"/>
        <w:jc w:val="both"/>
        <w:pageBreakBefore w:val="0"/>
        <w:spacing w:beforeAutospacing="0" w:afterAutospacing="0" w:line="480" w:lineRule="exact"/>
        <w:shd w:val="clear" w:color="auto" w:fill="ffffff"/>
        <w:widowControl/>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地址：东台市雅居路198号</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联系人：孙先生             </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联系方式：0515-69662279      </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2.采购代理机构信息</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名 称：江苏策诚工程咨询有限公司</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地 址：东台市唯诚大厦二十层</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联系人：王先生                     </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color w:val="auto"/>
          <w:highlight w:val="none"/>
          <w:shd w:val="clear" w:color="auto" w:fill="ffffff"/>
          <w:lang w:val="en-US" w:eastAsia="zh-CN"/>
        </w:rPr>
        <w:t xml:space="preserve">13770279267       </w:t>
      </w:r>
      <w:bookmarkEnd w:id="32"/>
      <w:r/>
      <w:bookmarkEnd w:id="33"/>
      <w:r>
        <w:rPr>
          <w:rFonts w:hint="eastAsia" w:ascii="宋体" w:hAnsi="宋体" w:eastAsia="宋体" w:cs="宋体"/>
          <w:color w:val="auto"/>
          <w:highlight w:val="none"/>
          <w:shd w:val="clear" w:color="auto" w:fill="ffffff"/>
          <w:lang w:val="en-US" w:eastAsia="zh-CN"/>
        </w:rPr>
        <w:t xml:space="preserve">            </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bookmarkStart w:id="34" w:name="_Toc28359021"/>
      <w:r>
        <w:rPr>
          <w:rFonts w:hint="eastAsia" w:ascii="宋体" w:hAnsi="宋体" w:eastAsia="宋体" w:cs="宋体"/>
          <w:color w:val="auto"/>
          <w:highlight w:val="none"/>
          <w:shd w:val="clear" w:color="auto" w:fill="ffffff"/>
          <w:lang w:val="en-US" w:eastAsia="zh-CN"/>
        </w:rPr>
        <w:t xml:space="preserve">3.</w:t>
      </w:r>
      <w:bookmarkEnd w:id="34"/>
      <w:r>
        <w:rPr>
          <w:rFonts w:hint="eastAsia" w:ascii="宋体" w:hAnsi="宋体" w:eastAsia="宋体" w:cs="宋体"/>
          <w:color w:val="auto"/>
          <w:highlight w:val="none"/>
          <w:shd w:val="clear" w:color="auto" w:fill="ffffff"/>
          <w:lang w:val="en-US" w:eastAsia="zh-CN"/>
        </w:rPr>
        <w:t xml:space="preserve">项目联系方式</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项目联系人：王先生</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电　　 话：13770279267　　　　　　　　　　　　</w:t>
      </w:r>
      <w:r/>
    </w:p>
    <w:p>
      <w:pPr>
        <w:pStyle w:val="83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r/>
    </w:p>
    <w:p>
      <w:pPr>
        <w:pStyle w:val="832"/>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p>
    <w:p>
      <w:pPr>
        <w:pStyle w:val="832"/>
        <w:ind w:firstLine="2429"/>
        <w:jc w:val="both"/>
        <w:keepLines/>
        <w:keepNext/>
        <w:pageBreakBefore w:val="0"/>
        <w:spacing w:before="260" w:beforeAutospacing="0" w:after="260" w:afterAutospacing="0" w:line="480" w:lineRule="exact"/>
        <w:widowControl w:val="off"/>
        <w:rPr>
          <w:color w:val="auto"/>
          <w:highlight w:val="none"/>
        </w:rPr>
      </w:pPr>
      <w:r/>
      <w:bookmarkStart w:id="35" w:name="_Toc120614211"/>
      <w:r/>
      <w:bookmarkStart w:id="36" w:name="_Hlt26668975"/>
      <w:r/>
      <w:bookmarkStart w:id="37" w:name="_Hlt26670373"/>
      <w:r/>
      <w:bookmarkStart w:id="38" w:name="_Hlt26954850"/>
      <w:r/>
      <w:bookmarkStart w:id="39" w:name="_Hlt26670360"/>
      <w:r/>
      <w:bookmarkStart w:id="40" w:name="_Hlt26668983"/>
      <w:r/>
      <w:bookmarkStart w:id="41" w:name="_Hlt26670486"/>
      <w:r/>
      <w:bookmarkStart w:id="42" w:name="_Toc513029226"/>
      <w:r/>
      <w:bookmarkStart w:id="43" w:name="_Hlt26954734"/>
      <w:r/>
      <w:bookmarkStart w:id="44" w:name="_Hlt26954846"/>
      <w:r/>
      <w:bookmarkStart w:id="45" w:name="_Hlt26954838"/>
      <w:r/>
      <w:bookmarkStart w:id="46" w:name="_Hlt26954731"/>
      <w:r/>
      <w:bookmarkStart w:id="47" w:name="_Hlt26670489"/>
      <w:r/>
      <w:bookmarkStart w:id="48" w:name="_Hlt26670399"/>
      <w:r/>
      <w:bookmarkStart w:id="49" w:name="_Hlt26954840"/>
      <w:r/>
      <w:bookmarkStart w:id="50" w:name="_Hlt26670425"/>
      <w:r/>
      <w:bookmarkStart w:id="51" w:name="_Hlt26954848"/>
      <w:r/>
      <w:bookmarkStart w:id="52" w:name="_Hlt26954852"/>
      <w:r/>
      <w:bookmarkStart w:id="53" w:name="_Hlt26954844"/>
      <w:r/>
      <w:bookmarkStart w:id="54" w:name="_Hlt26670403"/>
      <w:r/>
      <w:bookmarkStart w:id="55" w:name="_Hlt26954842"/>
      <w:r/>
      <w:bookmarkStart w:id="56" w:name="_Hlt26670482"/>
      <w:r/>
      <w:bookmarkStart w:id="57" w:name="_Hlt26954739"/>
      <w:r/>
      <w:bookmarkStart w:id="58" w:name="_Hlt16619475"/>
      <w:r>
        <w:rPr>
          <w:rFonts w:hint="eastAsia" w:ascii="黑体" w:hAnsi="宋体" w:eastAsia="黑体" w:cs="黑体"/>
          <w:b/>
          <w:color w:val="auto"/>
          <w:sz w:val="44"/>
          <w:szCs w:val="44"/>
          <w:highlight w:val="none"/>
        </w:rPr>
        <w:t xml:space="preserve">第二章  </w:t>
      </w:r>
      <w:bookmarkEnd w:id="35"/>
      <w:r/>
      <w:bookmarkStart w:id="59" w:name="_Toc513029202"/>
      <w:r/>
      <w:bookmarkStart w:id="60" w:name="_Toc16938518"/>
      <w:r/>
      <w:bookmarkStart w:id="61" w:name="_Toc20823274"/>
      <w:r/>
      <w:bookmarkStart w:id="62" w:name="_Toc120614213"/>
      <w:r>
        <w:rPr>
          <w:rFonts w:hint="eastAsia" w:ascii="黑体" w:hAnsi="宋体" w:eastAsia="黑体" w:cs="黑体"/>
          <w:b/>
          <w:color w:val="auto"/>
          <w:sz w:val="44"/>
          <w:szCs w:val="44"/>
          <w:highlight w:val="none"/>
        </w:rPr>
        <w:t xml:space="preserve">投标人须知</w:t>
      </w:r>
      <w:bookmarkEnd w:id="59"/>
      <w:r/>
      <w:bookmarkEnd w:id="60"/>
      <w:r/>
      <w:bookmarkEnd w:id="61"/>
      <w:r/>
      <w:bookmarkEnd w:id="62"/>
      <w:r/>
      <w:r/>
    </w:p>
    <w:p>
      <w:pPr>
        <w:pStyle w:val="832"/>
        <w:ind w:firstLine="498"/>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63" w:name="_Toc120614214"/>
      <w:r/>
      <w:bookmarkStart w:id="64" w:name="_Toc16938519"/>
      <w:r/>
      <w:bookmarkStart w:id="65" w:name="_Toc513029203"/>
      <w:r/>
      <w:bookmarkStart w:id="66" w:name="_Toc20823275"/>
      <w:r>
        <w:rPr>
          <w:rFonts w:hint="eastAsia" w:ascii="宋体" w:hAnsi="宋体" w:eastAsia="宋体" w:cs="宋体"/>
          <w:b/>
          <w:color w:val="auto"/>
          <w:highlight w:val="none"/>
        </w:rPr>
        <w:t xml:space="preserve">一、总则</w:t>
      </w:r>
      <w:bookmarkEnd w:id="63"/>
      <w:r/>
      <w:bookmarkEnd w:id="64"/>
      <w:r/>
      <w:bookmarkEnd w:id="65"/>
      <w:r/>
      <w:bookmarkEnd w:id="66"/>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67" w:name="_Toc16938520"/>
      <w:r/>
      <w:bookmarkStart w:id="68" w:name="_Toc20823276"/>
      <w:r/>
      <w:bookmarkStart w:id="69" w:name="_Toc458694821"/>
      <w:r/>
      <w:bookmarkStart w:id="70" w:name="_Toc513029204"/>
      <w:r>
        <w:rPr>
          <w:rFonts w:hint="eastAsia" w:ascii="宋体" w:hAnsi="宋体" w:eastAsia="宋体" w:cs="宋体"/>
          <w:color w:val="auto"/>
          <w:highlight w:val="none"/>
        </w:rPr>
        <w:t xml:space="preserve">1</w:t>
      </w:r>
      <w:bookmarkEnd w:id="67"/>
      <w:r>
        <w:rPr>
          <w:rFonts w:hint="eastAsia" w:ascii="宋体" w:hAnsi="宋体" w:eastAsia="宋体" w:cs="宋体"/>
          <w:color w:val="auto"/>
          <w:highlight w:val="none"/>
        </w:rPr>
        <w:t xml:space="preserve">、招标方式</w:t>
      </w:r>
      <w:bookmarkEnd w:id="68"/>
      <w:r/>
      <w:bookmarkEnd w:id="69"/>
      <w:r/>
      <w:bookmarkEnd w:id="70"/>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71" w:name="_Toc513029205"/>
      <w:r/>
      <w:bookmarkStart w:id="72" w:name="_Toc20823277"/>
      <w:r/>
      <w:bookmarkStart w:id="73" w:name="_Toc16938521"/>
      <w:r>
        <w:rPr>
          <w:rFonts w:hint="eastAsia" w:ascii="宋体" w:hAnsi="宋体" w:eastAsia="宋体" w:cs="宋体"/>
          <w:color w:val="auto"/>
          <w:highlight w:val="none"/>
        </w:rPr>
        <w:t xml:space="preserve">2、合格的投标人</w:t>
      </w:r>
      <w:bookmarkEnd w:id="71"/>
      <w:r/>
      <w:bookmarkEnd w:id="72"/>
      <w:r/>
      <w:bookmarkEnd w:id="73"/>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74" w:name="_Toc16938522"/>
      <w:r/>
      <w:bookmarkStart w:id="75" w:name="_Toc20823278"/>
      <w:r/>
      <w:bookmarkStart w:id="76" w:name="_Toc513029206"/>
      <w:r>
        <w:rPr>
          <w:rFonts w:hint="eastAsia" w:ascii="宋体" w:hAnsi="宋体" w:eastAsia="宋体" w:cs="宋体"/>
          <w:color w:val="auto"/>
          <w:highlight w:val="none"/>
        </w:rPr>
        <w:t xml:space="preserve">3、适用法律</w:t>
      </w:r>
      <w:bookmarkEnd w:id="74"/>
      <w:r/>
      <w:bookmarkEnd w:id="75"/>
      <w:r/>
      <w:bookmarkEnd w:id="76"/>
      <w:r/>
      <w:r/>
    </w:p>
    <w:p>
      <w:pPr>
        <w:pStyle w:val="832"/>
        <w:ind w:firstLine="42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77" w:name="_Toc20823279"/>
      <w:r/>
      <w:bookmarkStart w:id="78" w:name="_Toc513029207"/>
      <w:r/>
      <w:bookmarkStart w:id="79" w:name="_Toc462564067"/>
      <w:r/>
      <w:bookmarkStart w:id="80" w:name="_Toc16938523"/>
      <w:r>
        <w:rPr>
          <w:rFonts w:hint="eastAsia" w:ascii="宋体" w:hAnsi="宋体" w:eastAsia="宋体" w:cs="宋体"/>
          <w:color w:val="auto"/>
          <w:highlight w:val="none"/>
        </w:rPr>
        <w:t xml:space="preserve">4、投标费用</w:t>
      </w:r>
      <w:bookmarkEnd w:id="77"/>
      <w:r/>
      <w:bookmarkEnd w:id="78"/>
      <w:r/>
      <w:bookmarkEnd w:id="79"/>
      <w:r/>
      <w:bookmarkEnd w:id="80"/>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w:t>
      </w:r>
      <w:r>
        <w:rPr>
          <w:rFonts w:hint="eastAsia" w:ascii="宋体" w:hAnsi="宋体" w:eastAsia="宋体" w:cs="宋体"/>
          <w:color w:val="auto"/>
          <w:highlight w:val="none"/>
          <w:lang w:val="en-US" w:eastAsia="zh-CN"/>
        </w:rPr>
        <w:t xml:space="preserve">东台市中医院</w:t>
      </w:r>
      <w:r>
        <w:rPr>
          <w:rFonts w:hint="eastAsia" w:ascii="宋体" w:hAnsi="宋体" w:eastAsia="宋体" w:cs="宋体"/>
          <w:color w:val="auto"/>
          <w:highlight w:val="none"/>
        </w:rPr>
        <w:t xml:space="preserve">（以下简称采购人）在任何情况下均无义务和责任承担这些费用。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4.2本次招标采购人不收取标书工本费。</w:t>
      </w:r>
      <w:r/>
    </w:p>
    <w:p>
      <w:pPr>
        <w:pStyle w:val="832"/>
        <w:ind w:firstLine="480"/>
        <w:jc w:val="both"/>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w:t>
      </w:r>
      <w:r>
        <w:rPr>
          <w:rFonts w:hint="eastAsia" w:ascii="宋体" w:hAnsi="宋体" w:eastAsia="宋体" w:cs="宋体"/>
          <w:color w:val="auto"/>
          <w:highlight w:val="none"/>
          <w:lang w:val="zh-CN" w:eastAsia="zh-CN"/>
        </w:rPr>
        <w:t xml:space="preserve">本次招标代理服务费按</w:t>
      </w:r>
      <w:r>
        <w:rPr>
          <w:rFonts w:hint="eastAsia" w:ascii="宋体" w:hAnsi="宋体" w:eastAsia="宋体" w:cs="宋体"/>
          <w:color w:val="auto"/>
          <w:highlight w:val="none"/>
          <w:lang w:val="en-US" w:eastAsia="zh-CN"/>
        </w:rPr>
        <w:t xml:space="preserve">4500元</w:t>
      </w:r>
      <w:r>
        <w:rPr>
          <w:rFonts w:hint="eastAsia" w:ascii="宋体" w:hAnsi="宋体" w:eastAsia="宋体" w:cs="宋体"/>
          <w:color w:val="auto"/>
          <w:highlight w:val="none"/>
          <w:lang w:val="zh-CN" w:eastAsia="zh-CN"/>
        </w:rPr>
        <w:t xml:space="preserve">，投标人应考虑在报价中，该费用包含在总价内，不单独列项。无论是否将该费用在报价中列明，均视为已含在总价中。</w:t>
      </w:r>
      <w:r/>
    </w:p>
    <w:p>
      <w:pPr>
        <w:pStyle w:val="832"/>
        <w:ind w:firstLine="602"/>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5、</w:t>
      </w:r>
      <w:r>
        <w:rPr>
          <w:rFonts w:hint="eastAsia" w:ascii="宋体" w:hAnsi="宋体" w:eastAsia="宋体" w:cs="宋体"/>
          <w:color w:val="auto"/>
          <w:highlight w:val="none"/>
        </w:rPr>
        <w:t xml:space="preserve">招标文件的约束力</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832"/>
        <w:ind w:firstLine="321"/>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81" w:name="_Toc120614215"/>
      <w:r/>
      <w:bookmarkStart w:id="82" w:name="_Toc16938525"/>
      <w:r/>
      <w:bookmarkStart w:id="83" w:name="_Toc513029209"/>
      <w:r/>
      <w:bookmarkStart w:id="84" w:name="_Toc20823281"/>
      <w:r>
        <w:rPr>
          <w:rFonts w:hint="eastAsia" w:ascii="宋体" w:hAnsi="宋体" w:eastAsia="宋体" w:cs="宋体"/>
          <w:b/>
          <w:color w:val="auto"/>
          <w:highlight w:val="none"/>
        </w:rPr>
        <w:t xml:space="preserve">二、招标文件</w:t>
      </w:r>
      <w:bookmarkEnd w:id="81"/>
      <w:r/>
      <w:bookmarkEnd w:id="82"/>
      <w:r/>
      <w:bookmarkEnd w:id="83"/>
      <w:r/>
      <w:bookmarkEnd w:id="84"/>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85" w:name="_Toc20823282"/>
      <w:r/>
      <w:bookmarkStart w:id="86" w:name="_Toc513029210"/>
      <w:r/>
      <w:bookmarkStart w:id="87" w:name="_Toc16938526"/>
      <w:r>
        <w:rPr>
          <w:rFonts w:hint="eastAsia" w:ascii="宋体" w:hAnsi="宋体" w:eastAsia="宋体" w:cs="宋体"/>
          <w:color w:val="auto"/>
          <w:highlight w:val="none"/>
        </w:rPr>
        <w:t xml:space="preserve">6、招标文件构成</w:t>
      </w:r>
      <w:bookmarkEnd w:id="85"/>
      <w:r/>
      <w:bookmarkEnd w:id="86"/>
      <w:r/>
      <w:bookmarkEnd w:id="87"/>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请仔细检查招标文件是否齐全，如有缺漏请立即与采购人联系解决。</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88" w:name="_Toc462564070"/>
      <w:r/>
      <w:bookmarkStart w:id="89" w:name="_Toc20823283"/>
      <w:r/>
      <w:bookmarkStart w:id="90" w:name="_Toc513029211"/>
      <w:r/>
      <w:bookmarkStart w:id="91" w:name="_Toc16938527"/>
      <w:r>
        <w:rPr>
          <w:rFonts w:hint="eastAsia" w:ascii="宋体" w:hAnsi="宋体" w:eastAsia="宋体" w:cs="宋体"/>
          <w:color w:val="auto"/>
          <w:highlight w:val="none"/>
        </w:rPr>
        <w:t xml:space="preserve">7、招标文件的澄清</w:t>
      </w:r>
      <w:bookmarkEnd w:id="88"/>
      <w:r/>
      <w:bookmarkEnd w:id="89"/>
      <w:r/>
      <w:bookmarkEnd w:id="90"/>
      <w:r/>
      <w:bookmarkEnd w:id="91"/>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前按招标公告中的通讯地址，以书面形式通知采购人。</w:t>
      </w:r>
      <w:r/>
    </w:p>
    <w:p>
      <w:pPr>
        <w:pStyle w:val="83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92" w:name="_Toc462564071"/>
      <w:r/>
      <w:bookmarkStart w:id="93" w:name="_Toc16938528"/>
      <w:r/>
      <w:bookmarkStart w:id="94" w:name="_Toc513029212"/>
      <w:r/>
      <w:bookmarkStart w:id="95" w:name="_Toc20823284"/>
      <w:r>
        <w:rPr>
          <w:rFonts w:hint="eastAsia" w:ascii="宋体" w:hAnsi="宋体" w:eastAsia="宋体" w:cs="宋体"/>
          <w:color w:val="auto"/>
          <w:highlight w:val="none"/>
        </w:rPr>
        <w:t xml:space="preserve">8、招标文件的修改</w:t>
      </w:r>
      <w:bookmarkEnd w:id="92"/>
      <w:r/>
      <w:bookmarkEnd w:id="93"/>
      <w:r/>
      <w:bookmarkEnd w:id="94"/>
      <w:r/>
      <w:bookmarkEnd w:id="95"/>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8.1在投标截止时间前，采购人可以对招标文件进行修改。</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83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96" w:name="_Toc16938529"/>
      <w:r/>
      <w:bookmarkStart w:id="97" w:name="_Toc513029213"/>
      <w:r/>
      <w:bookmarkStart w:id="98" w:name="_Toc462564072"/>
      <w:r/>
      <w:bookmarkStart w:id="99" w:name="_Toc120614216"/>
      <w:r/>
      <w:bookmarkStart w:id="100" w:name="_Toc20823285"/>
      <w:r>
        <w:rPr>
          <w:rFonts w:hint="eastAsia" w:ascii="宋体" w:hAnsi="宋体" w:eastAsia="宋体" w:cs="宋体"/>
          <w:b/>
          <w:color w:val="auto"/>
          <w:highlight w:val="none"/>
        </w:rPr>
        <w:t xml:space="preserve">三、投标文件的编制</w:t>
      </w:r>
      <w:bookmarkEnd w:id="96"/>
      <w:r/>
      <w:bookmarkEnd w:id="97"/>
      <w:r/>
      <w:bookmarkEnd w:id="98"/>
      <w:r/>
      <w:bookmarkEnd w:id="99"/>
      <w:r/>
      <w:bookmarkEnd w:id="100"/>
      <w:r/>
      <w:r/>
    </w:p>
    <w:p>
      <w:pPr>
        <w:pStyle w:val="83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01" w:name="_Toc20823286"/>
      <w:r/>
      <w:bookmarkStart w:id="102" w:name="_Toc462564073"/>
      <w:r/>
      <w:bookmarkStart w:id="103" w:name="_Toc16938530"/>
      <w:r/>
      <w:bookmarkStart w:id="104" w:name="_Toc513029214"/>
      <w:r>
        <w:rPr>
          <w:rFonts w:hint="eastAsia" w:ascii="宋体" w:hAnsi="宋体" w:eastAsia="宋体" w:cs="宋体"/>
          <w:color w:val="auto"/>
          <w:highlight w:val="none"/>
        </w:rPr>
        <w:t xml:space="preserve">9、投标文件的语言及度量衡单位</w:t>
      </w:r>
      <w:bookmarkEnd w:id="101"/>
      <w:r/>
      <w:bookmarkEnd w:id="102"/>
      <w:r/>
      <w:bookmarkEnd w:id="103"/>
      <w:r/>
      <w:bookmarkEnd w:id="104"/>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05" w:name="_Toc513029215"/>
      <w:r/>
      <w:bookmarkStart w:id="106" w:name="_Toc462564074"/>
      <w:r/>
      <w:bookmarkStart w:id="107" w:name="_Toc16938531"/>
      <w:r/>
      <w:bookmarkStart w:id="108" w:name="_Toc20823287"/>
      <w:r>
        <w:rPr>
          <w:rFonts w:hint="eastAsia" w:ascii="宋体" w:hAnsi="宋体" w:eastAsia="宋体" w:cs="宋体"/>
          <w:color w:val="auto"/>
          <w:highlight w:val="none"/>
        </w:rPr>
        <w:t xml:space="preserve">10、投标文件构成</w:t>
      </w:r>
      <w:bookmarkEnd w:id="105"/>
      <w:r/>
      <w:bookmarkEnd w:id="106"/>
      <w:r/>
      <w:bookmarkEnd w:id="107"/>
      <w:r/>
      <w:bookmarkEnd w:id="108"/>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10.1开标一览表（系统固定格式）</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10.2资格审查资料</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10.2.1法人或者其他组织的营业执照等证明文件，自然人的身份证明</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10.2.2上一年度的财务状况报告（投标人成立不满一年无需提供）</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10.2.4具备履行合同所必需的设备和专业技术能力的书面声明</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10.2.5参加政府采购活动前3年内在经营活动中没有重大违法记录的书面声明</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10.2.6投标人法定代表人身份证明和投标文件签署授权委托书（另附法定代表人和被授权人的身份证复印件或扫描件）；</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10.2.7投标人为被授权人缴纳的社会养老保险证明；</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10.2.8与资格审查有关的其他资料（如有）。</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10.3符合性资料</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10.3.1报价明细表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10.3.2投标函；</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10.3.3所供服务（服务附带的产品）内容及服务要求偏离表；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10.3.4投标人的服务承诺；</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10.3.5小微企业声明函、残疾人福利性单位声明函；（如有）</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10.3.6联合体协议（如有）；</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10.3.7盐城市政府采购事前信用承诺书；</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10.4综合评审相关资料</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10.5价格折扣文件（如有）</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注：1）以上材料须按顺序进行排列。</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2）如为法定代表人参与公开招标的无须提供“投标文件签署授权委托书”和“被授权人缴纳的社会养老保险证明”。</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3）与本次公开招标无关的资料不要求提供。</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“江苏政府采购网”、“盐城市政府采购网”发布的招标文件为准。</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09" w:name="_Toc513029219"/>
      <w:r/>
      <w:bookmarkStart w:id="110" w:name="_Toc14577354"/>
      <w:r/>
      <w:bookmarkStart w:id="111" w:name="_Toc14577357"/>
      <w:r/>
      <w:bookmarkStart w:id="112" w:name="_Toc49090509"/>
      <w:r/>
      <w:bookmarkStart w:id="113" w:name="_Toc49090507"/>
      <w:r/>
      <w:bookmarkStart w:id="114" w:name="_Toc513029216"/>
      <w:r>
        <w:rPr>
          <w:rFonts w:hint="eastAsia" w:ascii="宋体" w:hAnsi="宋体" w:eastAsia="宋体" w:cs="宋体"/>
          <w:color w:val="auto"/>
          <w:highlight w:val="none"/>
        </w:rPr>
        <w:t xml:space="preserve">11、证明投标人及投标标的符合招标文件规定的文件</w:t>
      </w:r>
      <w:bookmarkEnd w:id="109"/>
      <w:r/>
      <w:bookmarkEnd w:id="110"/>
      <w:r/>
      <w:bookmarkEnd w:id="111"/>
      <w:r/>
      <w:bookmarkEnd w:id="112"/>
      <w:r/>
      <w:bookmarkEnd w:id="113"/>
      <w:r/>
      <w:bookmarkEnd w:id="11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15" w:name="_Toc14577355"/>
      <w:r/>
      <w:bookmarkStart w:id="116" w:name="_Toc49090508"/>
      <w:r>
        <w:rPr>
          <w:rFonts w:hint="eastAsia" w:ascii="宋体" w:hAnsi="宋体" w:eastAsia="宋体" w:cs="宋体"/>
          <w:color w:val="auto"/>
          <w:highlight w:val="none"/>
        </w:rPr>
        <w:t xml:space="preserve"> </w:t>
      </w:r>
      <w:bookmarkEnd w:id="115"/>
      <w:r/>
      <w:bookmarkEnd w:id="116"/>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11.3“</w:t>
      </w:r>
      <w:r>
        <w:rPr>
          <w:rFonts w:hint="eastAsia" w:ascii="宋体" w:hAnsi="宋体" w:eastAsia="宋体" w:cs="Times New Roman"/>
          <w:color w:val="auto"/>
          <w:sz w:val="24"/>
          <w:highlight w:val="none"/>
          <w:lang w:eastAsia="zh-CN"/>
        </w:rPr>
        <w:t xml:space="preserve">上一年度或上上年度的财务状况报表</w:t>
      </w:r>
      <w:r>
        <w:rPr>
          <w:rFonts w:hint="eastAsia" w:ascii="宋体" w:hAnsi="宋体" w:eastAsia="宋体" w:cs="Times New Roman"/>
          <w:color w:val="auto"/>
          <w:sz w:val="24"/>
          <w:highlight w:val="none"/>
        </w:rPr>
        <w:t xml:space="preserve">”，投标人至少提供资产负债表、利润表、现金流量表，投标人成立不满一年无需提供。</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11.4“依法缴纳税收的相关材料”，投标人应提供近期缴纳税收的凭据。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11.5“依法缴纳社会保障资金的相关材料”，投标人应提供近期缴纳社会保险的凭据。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11.6依法免税或不需要缴纳社会保障资金的投标人，应提供相应文件证明其依法免税或不需要缴纳社会保障资金。</w:t>
      </w:r>
      <w:r/>
    </w:p>
    <w:p>
      <w:pPr>
        <w:ind w:firstLine="48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Times New Roman"/>
          <w:color w:val="auto"/>
          <w:sz w:val="24"/>
          <w:szCs w:val="24"/>
          <w:highlight w:val="none"/>
          <w:lang w:val="en-US" w:eastAsia="zh-CN"/>
        </w:rPr>
        <w:t xml:space="preserve">11.7“申请人的资格要求”和“资格审查资料”中的“近期”是指近两年以来的任一时间段。</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12.1投标人应按照招标文件规定格式填报投标分项报价表。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12.3报价说明：</w:t>
      </w:r>
      <w:r>
        <w:rPr>
          <w:rFonts w:hint="eastAsia" w:ascii="宋体" w:hAnsi="宋体" w:eastAsia="宋体" w:cs="宋体"/>
          <w:color w:val="auto"/>
          <w:highlight w:val="none"/>
          <w:lang w:val="en-US" w:eastAsia="zh-CN"/>
        </w:rPr>
        <w:t xml:space="preserve">主要包括投标人履约过程中的人工、设备、差旅、住宿、保险、税金、验收、后期服务(如有)、招投标费用、利润、与项目相关的其他所有费用等</w:t>
      </w:r>
      <w:r/>
    </w:p>
    <w:p>
      <w:pPr>
        <w:pStyle w:val="832"/>
        <w:ind w:firstLine="7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832"/>
        <w:ind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17" w:name="_Toc49090510"/>
      <w:r/>
      <w:bookmarkStart w:id="118" w:name="_Toc14577359"/>
      <w:r>
        <w:rPr>
          <w:rFonts w:hint="eastAsia" w:ascii="宋体" w:hAnsi="宋体" w:eastAsia="宋体" w:cs="宋体"/>
          <w:color w:val="auto"/>
          <w:highlight w:val="none"/>
        </w:rPr>
        <w:t xml:space="preserve">14、投标函和开标一览表</w:t>
      </w:r>
      <w:bookmarkEnd w:id="117"/>
      <w:r/>
      <w:bookmarkEnd w:id="118"/>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19" w:name="_Toc49090511"/>
      <w:r/>
      <w:bookmarkStart w:id="120" w:name="_Toc14577360"/>
      <w:r>
        <w:rPr>
          <w:rFonts w:hint="eastAsia" w:ascii="宋体" w:hAnsi="宋体" w:eastAsia="宋体" w:cs="宋体"/>
          <w:color w:val="auto"/>
          <w:highlight w:val="none"/>
        </w:rPr>
        <w:t xml:space="preserve">15、投标有效期</w:t>
      </w:r>
      <w:bookmarkEnd w:id="119"/>
      <w:r/>
      <w:bookmarkEnd w:id="120"/>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15.1投标有效期为采购人规定的开标之日后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3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121" w:name="_Toc20823296"/>
      <w:r/>
      <w:bookmarkStart w:id="122" w:name="_Toc120614217"/>
      <w:r/>
      <w:bookmarkStart w:id="123" w:name="_Toc16938540"/>
      <w:r/>
      <w:bookmarkStart w:id="124" w:name="_Toc513029224"/>
      <w:r>
        <w:rPr>
          <w:rFonts w:hint="eastAsia" w:ascii="宋体" w:hAnsi="宋体" w:eastAsia="宋体" w:cs="宋体"/>
          <w:b/>
          <w:color w:val="auto"/>
          <w:highlight w:val="none"/>
        </w:rPr>
        <w:t xml:space="preserve">四、投标文件的递交</w:t>
      </w:r>
      <w:bookmarkEnd w:id="121"/>
      <w:r/>
      <w:bookmarkEnd w:id="122"/>
      <w:r/>
      <w:bookmarkEnd w:id="123"/>
      <w:r/>
      <w:bookmarkEnd w:id="124"/>
      <w:r/>
      <w:r/>
    </w:p>
    <w:p>
      <w:pPr>
        <w:pStyle w:val="83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25" w:name="_Toc20823297"/>
      <w:r/>
      <w:bookmarkStart w:id="126" w:name="_Toc462564084"/>
      <w:r/>
      <w:bookmarkStart w:id="127" w:name="_Toc513029225"/>
      <w:r/>
      <w:bookmarkStart w:id="128" w:name="_Toc16938541"/>
      <w:r>
        <w:rPr>
          <w:rFonts w:hint="eastAsia" w:ascii="宋体" w:hAnsi="宋体" w:eastAsia="宋体" w:cs="宋体"/>
          <w:color w:val="auto"/>
          <w:highlight w:val="none"/>
        </w:rPr>
        <w:t xml:space="preserve">17、投标文件</w:t>
      </w:r>
      <w:bookmarkEnd w:id="125"/>
      <w:r/>
      <w:bookmarkEnd w:id="126"/>
      <w:r/>
      <w:bookmarkEnd w:id="127"/>
      <w:r/>
      <w:bookmarkEnd w:id="128"/>
      <w:r>
        <w:rPr>
          <w:rFonts w:hint="eastAsia" w:ascii="宋体" w:hAnsi="宋体" w:eastAsia="宋体" w:cs="宋体"/>
          <w:color w:val="auto"/>
          <w:highlight w:val="none"/>
        </w:rPr>
        <w:t xml:space="preserve">的递交</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9" w:name="_Toc16938542"/>
      <w:r/>
      <w:bookmarkEnd w:id="129"/>
      <w:r/>
      <w:bookmarkStart w:id="130" w:name="_Toc20823298"/>
      <w:r/>
      <w:bookmarkEnd w:id="130"/>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18.1投标人上传电子投标文件的时间不得迟于招标公告中规定的投标截止时间。</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31" w:name="_Toc16938543"/>
      <w:r/>
      <w:bookmarkStart w:id="132" w:name="_Toc513029227"/>
      <w:r/>
      <w:bookmarkStart w:id="133" w:name="_Toc20823299"/>
      <w:r>
        <w:rPr>
          <w:rFonts w:hint="eastAsia" w:ascii="宋体" w:hAnsi="宋体" w:eastAsia="宋体" w:cs="宋体"/>
          <w:color w:val="auto"/>
          <w:highlight w:val="none"/>
        </w:rPr>
        <w:t xml:space="preserve">19、投标文件</w:t>
      </w:r>
      <w:bookmarkEnd w:id="131"/>
      <w:r/>
      <w:bookmarkEnd w:id="132"/>
      <w:r/>
      <w:bookmarkEnd w:id="133"/>
      <w:r>
        <w:rPr>
          <w:rFonts w:hint="eastAsia" w:ascii="宋体" w:hAnsi="宋体" w:eastAsia="宋体" w:cs="宋体"/>
          <w:color w:val="auto"/>
          <w:highlight w:val="none"/>
        </w:rPr>
        <w:t xml:space="preserve">的拒收</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19.1采购人拒绝接收在其规定的投标截止时间后上传的任何投标文件。</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34" w:name="_Toc16938544"/>
      <w:r/>
      <w:bookmarkStart w:id="135" w:name="_Toc513029228"/>
      <w:r/>
      <w:bookmarkStart w:id="136" w:name="_Toc20823300"/>
      <w:r>
        <w:rPr>
          <w:rFonts w:hint="eastAsia" w:ascii="宋体" w:hAnsi="宋体" w:eastAsia="宋体" w:cs="宋体"/>
          <w:color w:val="auto"/>
          <w:highlight w:val="none"/>
        </w:rPr>
        <w:t xml:space="preserve">20、投标文件的撤回和修改</w:t>
      </w:r>
      <w:bookmarkEnd w:id="134"/>
      <w:r/>
      <w:bookmarkEnd w:id="135"/>
      <w:r/>
      <w:bookmarkEnd w:id="136"/>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83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137" w:name="_Toc513029229"/>
      <w:r/>
      <w:bookmarkStart w:id="138" w:name="_Toc20823301"/>
      <w:r/>
      <w:bookmarkStart w:id="139" w:name="_Toc120614218"/>
      <w:r/>
      <w:bookmarkStart w:id="140" w:name="_Toc16938545"/>
      <w:r>
        <w:rPr>
          <w:rFonts w:hint="eastAsia" w:ascii="宋体" w:hAnsi="宋体" w:eastAsia="宋体" w:cs="宋体"/>
          <w:b/>
          <w:color w:val="auto"/>
          <w:highlight w:val="none"/>
        </w:rPr>
        <w:t xml:space="preserve">五、开标与评标</w:t>
      </w:r>
      <w:bookmarkEnd w:id="137"/>
      <w:r/>
      <w:bookmarkEnd w:id="138"/>
      <w:r/>
      <w:bookmarkEnd w:id="139"/>
      <w:r/>
      <w:bookmarkEnd w:id="140"/>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41" w:name="_Toc20823302"/>
      <w:r/>
      <w:bookmarkStart w:id="142" w:name="_Toc513029230"/>
      <w:r/>
      <w:bookmarkStart w:id="143" w:name="_Toc16938546"/>
      <w:r>
        <w:rPr>
          <w:rFonts w:hint="eastAsia" w:ascii="宋体" w:hAnsi="宋体" w:eastAsia="宋体" w:cs="宋体"/>
          <w:color w:val="auto"/>
          <w:highlight w:val="none"/>
        </w:rPr>
        <w:t xml:space="preserve">21、开标</w:t>
      </w:r>
      <w:bookmarkEnd w:id="141"/>
      <w:r/>
      <w:bookmarkEnd w:id="142"/>
      <w:r/>
      <w:bookmarkEnd w:id="143"/>
      <w:r/>
      <w:r/>
    </w:p>
    <w:p>
      <w:pPr>
        <w:pStyle w:val="83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21.1采购人将在招标公告中规定的时间和地点组织公开开标。投标人应当按照《操作手册》规定，参加开标活动和在苏采云系统规定的时间内对投标文件进行解密。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21.2开标仪式由采购人组织。苏采云系统将自动对项目进行开标，并宣布各投标人名称和投标价格。</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44" w:name="_Toc513029231"/>
      <w:r/>
      <w:bookmarkStart w:id="145" w:name="_Toc20823303"/>
      <w:r/>
      <w:bookmarkStart w:id="146" w:name="_Toc16938547"/>
      <w:r>
        <w:rPr>
          <w:rFonts w:hint="eastAsia" w:ascii="宋体" w:hAnsi="宋体" w:eastAsia="宋体" w:cs="宋体"/>
          <w:color w:val="auto"/>
          <w:highlight w:val="none"/>
        </w:rPr>
        <w:t xml:space="preserve">22、评标委员会</w:t>
      </w:r>
      <w:bookmarkEnd w:id="144"/>
      <w:r/>
      <w:bookmarkEnd w:id="145"/>
      <w:r/>
      <w:bookmarkEnd w:id="146"/>
      <w:r/>
      <w:r/>
    </w:p>
    <w:p>
      <w:pPr>
        <w:pStyle w:val="83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22.1开标后，采购人将立即组织评标委员会（以下简称评委会）进行评标。</w:t>
      </w:r>
      <w:r/>
    </w:p>
    <w:p>
      <w:pPr>
        <w:pStyle w:val="83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83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22.3评委会独立工作，负责评审所有投标文件并确定中标</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23.1凡是与审查、澄清、评价和比较投标的有关资料以及授标建议等，采购人、评委均不得向投标人或与评标无关的其他人员透露。</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23.3采购人和评标委员会不向未中标的投标人解释未中标原因，也不公布评标过程中的相关细节。</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47" w:name="_Toc513029232"/>
      <w:r/>
      <w:bookmarkStart w:id="148" w:name="_Toc20823304"/>
      <w:r/>
      <w:bookmarkStart w:id="149" w:name="_Toc16938548"/>
      <w:r>
        <w:rPr>
          <w:rFonts w:hint="eastAsia" w:ascii="宋体" w:hAnsi="宋体" w:eastAsia="宋体" w:cs="宋体"/>
          <w:color w:val="auto"/>
          <w:highlight w:val="none"/>
        </w:rPr>
        <w:t xml:space="preserve">24、投标文件的澄清</w:t>
      </w:r>
      <w:bookmarkEnd w:id="147"/>
      <w:r/>
      <w:bookmarkEnd w:id="148"/>
      <w:r/>
      <w:bookmarkEnd w:id="149"/>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50" w:name="_Toc16938549"/>
      <w:r/>
      <w:bookmarkStart w:id="151" w:name="_Toc20823305"/>
      <w:r/>
      <w:bookmarkStart w:id="152" w:name="_Toc513029233"/>
      <w:r>
        <w:rPr>
          <w:rFonts w:hint="eastAsia" w:ascii="宋体" w:hAnsi="宋体" w:eastAsia="宋体" w:cs="宋体"/>
          <w:color w:val="auto"/>
          <w:highlight w:val="none"/>
        </w:rPr>
        <w:t xml:space="preserve">25、对投标文件的初审</w:t>
      </w:r>
      <w:bookmarkEnd w:id="150"/>
      <w:r/>
      <w:bookmarkEnd w:id="151"/>
      <w:r/>
      <w:bookmarkEnd w:id="152"/>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32"/>
        <w:ind w:firstLine="420"/>
        <w:jc w:val="both"/>
        <w:pageBreakBefore w:val="0"/>
        <w:spacing w:beforeAutospacing="0" w:afterAutospacing="0" w:line="480" w:lineRule="exact"/>
        <w:widowControl w:val="off"/>
        <w:rPr>
          <w:rFonts w:hint="eastAsia" w:ascii="宋体" w:hAnsi="宋体" w:eastAsia="宋体" w:cs="宋体"/>
          <w:color w:val="auto"/>
          <w:highlight w:val="none"/>
        </w:rPr>
      </w:pPr>
      <w:r/>
      <w:bookmarkStart w:id="153" w:name="_Toc16938550"/>
      <w:r/>
      <w:bookmarkStart w:id="154" w:name="_Toc513029234"/>
      <w:r/>
      <w:bookmarkStart w:id="155" w:name="_Toc20823306"/>
      <w:r>
        <w:rPr>
          <w:rFonts w:hint="eastAsia" w:ascii="宋体" w:hAnsi="宋体" w:eastAsia="宋体" w:cs="宋体"/>
          <w:color w:val="auto"/>
          <w:highlight w:val="none"/>
        </w:rPr>
        <w:t xml:space="preserve">25.6投标人在开、评标全过程中应保持通讯畅通，及时登录苏采云系统查阅、答复相关信息，并安排专人与采购人及评标委员会联系。</w:t>
      </w:r>
      <w:bookmarkEnd w:id="153"/>
      <w:r/>
      <w:bookmarkEnd w:id="154"/>
      <w:r/>
      <w:bookmarkEnd w:id="155"/>
      <w:r/>
      <w:r/>
    </w:p>
    <w:p>
      <w:pPr>
        <w:pStyle w:val="83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bookmarkStart w:id="156" w:name="_Toc120614219"/>
      <w:r>
        <w:rPr>
          <w:rFonts w:hint="eastAsia" w:ascii="宋体" w:hAnsi="宋体" w:eastAsia="宋体" w:cs="宋体"/>
          <w:color w:val="auto"/>
          <w:sz w:val="24"/>
          <w:highlight w:val="none"/>
        </w:rPr>
        <w:t xml:space="preserve">26.1无效投标条款</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 投标人在苏采云系统规定的时间内未成功解密电子投标文件的。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.1.2 投标人未按照招标文件要求上传电子投标文件的。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.1.3 同一投标人提交两个（含两个）以上不同的投标报价的。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.1.4 投标人不具备招标文件中规定资格要求的。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.1.5 投标人的报价超过了采购预算或最高限价的。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.1.6 未通过符合性审查的。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.1.7被授权人无法提供证明其为本单位正式职工的社会养老保险缴费证明的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.1.8由被授权人参加，但未随投标文件一起提交合法、有效的“授权委托书”的；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.1.9投标文件内容不全或关键字迹模糊、无法辨认的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.1.10投标文件修改处未加盖投标人公章的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.1.11未通过符合性审查的。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.1.12不符合招标文件中规定的实质性要求和条件的。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1.13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.1.14投标文件含有采购人不能接受的附加条件的。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.1.15投标人不能证明其报价合理性的，评标委员会应当将其作为无效投标处理。</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（一）评审过程中出现下列情形之一的，评标委员会应当启动异常低价投标审查程序：</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1.投标报价低于采购项目预算50% 的，即投标报价&lt;采购项目预算×50%；</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2.投标报价低于采购项目最高限价45% 的，即投标报价&lt;采购项目最高限价×45%；</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3.评标委员会认定的供应商报价过低、有可能影响产品质量或者不能诚信履约的其他情形。</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.1.16投标文件中所供服务周期（产品供货期限）、售后服务条款不符合招标文件相关条款要求或技术指标要求、产品的包装方式、检验标准等低于招标文件规定指标、要求的；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.1.17以他人的名义投标、串通投标、以行贿手段谋取中标或者以其他弄虚作假方式投标的；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.1.18组成联合体，投标文件未附联合体协议的。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.1.19投标文件未按照招标文件要求签署或加盖CA电子公章的。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.1.20其他法律、法规及本招标文件规定的属无效投标的情形。</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.2废标条款</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.2.1符合专业条件的供应商或者对招标文件作实质响应的供应商不足三家的。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.2.2出现影响采购公正的违法、违规行为的。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.2.3因重大变故，采购任务取消的。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.2.4评标委员会认定招标文件存在歧义、重大缺陷导致评审工作无法进行。</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.2.5因苏采云系统系统故障原因造成开标不成功的。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.3投标截止时间结束后参加投标的供应商不足三家的处理：</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.3.1如出现投标截止时间结束后参加投标的供应商或者在评标期间对招标文件做出实质响应的供应商不足三家情况，按政府采购相关规定执行。</w:t>
      </w:r>
      <w:r/>
    </w:p>
    <w:p>
      <w:pPr>
        <w:pStyle w:val="83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六、定标</w:t>
      </w:r>
      <w:bookmarkEnd w:id="156"/>
      <w:r/>
      <w:r/>
    </w:p>
    <w:p>
      <w:pPr>
        <w:pStyle w:val="832"/>
        <w:ind w:firstLine="48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57" w:name="_Toc20823310"/>
      <w:r/>
      <w:bookmarkStart w:id="158" w:name="_Toc513029238"/>
      <w:r/>
      <w:bookmarkStart w:id="159" w:name="_Toc16938554"/>
      <w:r>
        <w:rPr>
          <w:rFonts w:hint="eastAsia" w:ascii="宋体" w:hAnsi="宋体" w:eastAsia="宋体" w:cs="宋体"/>
          <w:color w:val="auto"/>
          <w:highlight w:val="none"/>
        </w:rPr>
        <w:t xml:space="preserve">27、</w:t>
      </w:r>
      <w:bookmarkEnd w:id="157"/>
      <w:r>
        <w:rPr>
          <w:rFonts w:hint="eastAsia" w:ascii="宋体" w:hAnsi="宋体" w:eastAsia="宋体" w:cs="宋体"/>
          <w:color w:val="auto"/>
          <w:highlight w:val="none"/>
        </w:rPr>
        <w:t xml:space="preserve">确定</w:t>
      </w:r>
      <w:bookmarkEnd w:id="158"/>
      <w:r/>
      <w:bookmarkEnd w:id="159"/>
      <w:r>
        <w:rPr>
          <w:rFonts w:hint="eastAsia" w:ascii="宋体" w:hAnsi="宋体" w:eastAsia="宋体" w:cs="宋体"/>
          <w:color w:val="auto"/>
          <w:highlight w:val="none"/>
        </w:rPr>
        <w:t xml:space="preserve">中标单位</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27.3采购人将在“中国政府采购网”、“江苏政府采购网”、“盐城市政府采购网”发布中标公告，公告期限为1个工作日。</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27.4.2向采购人行贿或者提供其他不正当利益的。</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 有下列情形之一的，视为投标人串通投标，投标无效：</w:t>
      </w:r>
      <w:bookmarkEnd w:id="160"/>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32"/>
        <w:ind w:firstLine="48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采购人只接收以纸质原件形式送达的质疑,采购人不接受未填写快递运单的快件。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质疑受理部门： </w:t>
      </w:r>
      <w:r/>
    </w:p>
    <w:p>
      <w:pPr>
        <w:ind w:firstLine="480"/>
        <w:spacing w:line="360" w:lineRule="auto"/>
        <w:rPr>
          <w:rFonts w:hint="eastAsia" w:ascii="宋体" w:hAnsi="宋体" w:cs="宋体" w:eastAsiaTheme="minorEastAsia"/>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val="en-US" w:eastAsia="zh-CN"/>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832"/>
        <w:ind w:firstLine="468"/>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bookmarkStart w:id="161" w:name="_Toc20823308"/>
      <w:r/>
      <w:bookmarkStart w:id="162" w:name="_Toc120614220"/>
      <w:r/>
      <w:bookmarkStart w:id="163" w:name="_Toc513029236"/>
      <w:r/>
      <w:bookmarkStart w:id="164" w:name="_Toc16938552"/>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.l中标结果确定后，采购人将向中标人发出中标通知书。</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七、授予合同</w:t>
      </w:r>
      <w:bookmarkEnd w:id="161"/>
      <w:r/>
      <w:bookmarkEnd w:id="162"/>
      <w:r/>
      <w:bookmarkEnd w:id="163"/>
      <w:r/>
      <w:bookmarkEnd w:id="164"/>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65" w:name="_Toc20823309"/>
      <w:r/>
      <w:bookmarkStart w:id="166" w:name="_Toc16938553"/>
      <w:r/>
      <w:bookmarkStart w:id="167" w:name="_Toc513029237"/>
      <w:r>
        <w:rPr>
          <w:rFonts w:hint="eastAsia" w:ascii="宋体" w:hAnsi="宋体" w:eastAsia="宋体" w:cs="宋体"/>
          <w:color w:val="auto"/>
          <w:highlight w:val="none"/>
        </w:rPr>
        <w:t xml:space="preserve">30.签订合同</w:t>
      </w:r>
      <w:bookmarkEnd w:id="165"/>
      <w:r/>
      <w:bookmarkEnd w:id="166"/>
      <w:r/>
      <w:bookmarkEnd w:id="167"/>
      <w:r/>
      <w:r/>
    </w:p>
    <w:p>
      <w:pPr>
        <w:pStyle w:val="83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83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83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3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pStyle w:val="83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83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32.8履约保证金政策</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 预付款制度</w:t>
      </w:r>
      <w:r/>
    </w:p>
    <w:p>
      <w:pPr>
        <w:pStyle w:val="83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。在签订合同时，中标、成交供应商明确书面表示无需预付款或者主动要求降低预付款比例的，采购人可就预付款比例作相应调整。</w:t>
      </w:r>
      <w:r/>
    </w:p>
    <w:p>
      <w:pPr>
        <w:pStyle w:val="83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3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3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3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3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黑体" w:hAnsi="宋体" w:eastAsia="黑体" w:cs="黑体"/>
          <w:color w:val="auto"/>
          <w:sz w:val="40"/>
          <w:szCs w:val="40"/>
          <w:highlight w:val="none"/>
        </w:rPr>
      </w:pPr>
      <w:r>
        <w:rPr>
          <w:rFonts w:hint="eastAsia" w:ascii="黑体" w:hAnsi="宋体" w:eastAsia="黑体" w:cs="黑体"/>
          <w:color w:val="auto"/>
          <w:sz w:val="40"/>
          <w:szCs w:val="40"/>
          <w:highlight w:val="none"/>
        </w:rPr>
        <w:br w:type="page" w:clear="all"/>
      </w:r>
      <w:r/>
    </w:p>
    <w:p>
      <w:pPr>
        <w:jc w:val="center"/>
        <w:keepLines w:val="0"/>
        <w:keepNext w:val="0"/>
        <w:pageBreakBefore w:val="0"/>
        <w:spacing w:line="500" w:lineRule="exact"/>
        <w:widowControl w:val="off"/>
        <w:rPr>
          <w:color w:val="auto"/>
          <w:sz w:val="40"/>
          <w:szCs w:val="40"/>
          <w:highlight w:val="none"/>
        </w:rPr>
      </w:pPr>
      <w:r>
        <w:rPr>
          <w:rFonts w:hint="eastAsia" w:ascii="黑体" w:hAnsi="宋体" w:eastAsia="黑体" w:cs="黑体"/>
          <w:color w:val="auto"/>
          <w:sz w:val="40"/>
          <w:szCs w:val="40"/>
          <w:highlight w:val="none"/>
        </w:rPr>
        <w:t xml:space="preserve">第三章  合同文本</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rPr>
          <w:rFonts w:ascii="SimSun" w:hAnsi="SimSun" w:eastAsia="SimSun" w:cs="SimSun"/>
          <w:color w:val="000000"/>
          <w:sz w:val="24"/>
        </w:rPr>
        <w:t xml:space="preserve">（成交供应商）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依据《中华人民共和国政府采购法》、《中华人民共和国民法典》及有关法律、法规。双方就有关事项协商一致，订立本合同。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一、合同价款及中标内容清单：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），该价格包括交付使用前的一切费用。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2.招标内容清单</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7"/>
        <w:gridCol w:w="1158"/>
        <w:gridCol w:w="4787"/>
        <w:gridCol w:w="760"/>
        <w:gridCol w:w="727"/>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3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本项目配备技术管理团队人员不少于4名：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项目管理人员1名，本项目总负责人，全面负责管理本项目；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值守运行人员1名，负责每日现场值守运行污水处理站；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设备维修人员1名，负责每周定期上门维护保养、维修设备；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巡视技术人员1名，负责每月定期上门巡视、检查、指导、培训、汇报工作。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如遇临时检查或突发状况时需加派持证人员紧急处理。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所有人员须持证上岗，含社保、福利、工资等。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污水药剂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设计污水处理量1500吨/日，污水处理设备24小时运行，药剂按排放标准定量投加，确保水质、废气长期合格。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包含：次氯酸钠；氯片；PAM；植物除臭剂。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具体用量投标单位自行测算。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日常维修、保养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每日对污水、废气、污泥、电气、管路、池体等机电设备及设施进行专业的维护保养，对故障设备及时上报并维修。维修材料、配件等单价在500元以内由中标方免费提供并负责安装调试，500元以上（含）由医院负责采购或委托中标方代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日常自检化验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中标方提供满足要求的手持式余氯检测仪器、手持式PH检测仪器。并免费提供配套的检测试剂，每日检测不少于2次。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排污许可检测报告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排污许可证自行监测方案、环保、疾控等部门要求的检测因子及频次执行，登记每日检测数据，出具周、月、季度污水、废气、噪声等监测项目的第三方检测合格报告。监测因子和频次有缺项的有服务单位根据环保要求补足，费用包含在本项目中，不再另行增加。根据医疗机构相关标准要求，北关院区（老院区）每月检测一次粪大肠菌群数；每季度检测一次总汞、总镉、沙门氏菌；每半年检测一次志贺氏菌。相关检测需要第三方执行的，由中标方负责委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办公劳保工具安全物资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定期为工作人员配备专业劳保用品、办公用品、耗材、工具、交通车辆、安全用品物资、安全保障物资等。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排污许可证证后管理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排污许可证证后管理，包含：督促排污单位按时完成规定的环境检测；按要求及时完成江苏省自行监测平台的填报；编制符合排污许可证要求的自行监测方案；按要求完成排污许可证的年度、季度、月度执行报告；排污许可证注销、重新申请、变更及维护；企业信息披露年度填报；提供及完善排污许可证有效期内的技术咨询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污水池体清理清洗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水池体长时间运行会产生大量的污泥累积、沉淀池底，需要派遣具有相关能力的人员对各污水池体进行每年不低于一次清理清洗，人员需配备有限空间作业证书，并配合使用环保专用的移动式吸污压泥车进行污泥压滤、消毒。需要清理的池体包括：格栅池、调节池、沉淀池、消毒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企业管理费、税金、利润、以及其他产生的一切费用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二、供货时间、地点及验收方法</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1.服务期限：本项目服务期三年，合同一年一签。本期合同时间：1年，有效期：   年   月   日起至   年   月   日。服务期间甲方将对乙方进行考核,考核不合格甲方有权终止合同，年度合同到期经甲方测评合格后，甲方可续约下年度合同，应当于期限届满1个月前重新签订合同，最多可续约2次。测评为甲方职能科室根据乙方服务期情况进行综合考评，考评满意度≥80%可续签合同。如甲方无意续签合同，须在合同期满前1个月以书面形式通知乙方。如乙方无意续签合同，须在合同期满前4个月以书面形式通知甲方。甲方有权决定续签或重新</w:t>
      </w:r>
      <w:r>
        <w:rPr>
          <w:rFonts w:ascii="SimSun" w:hAnsi="SimSun" w:eastAsia="SimSun" w:cs="SimSun"/>
          <w:color w:val="000000"/>
          <w:sz w:val="24"/>
        </w:rPr>
        <w:t xml:space="preserve">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乙方在服务期限结束前向甲方提供服务内容中要求的各项报告后，甲方对报告进行审查，如无重大技术瑕疵、报告质量满足服务内容要求，则通过验收。如存在以上问题，乙方应进行改进，直至验收合格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三、付款方式</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签订后支付年度服务费30%的预付款，乙方按月及时提供考核资料（经甲方考核小组对服务人员考核并经医院确认）及结算依据【扣除考核违约金及其他的费用后】，并开据合法票据。费用每六个月支付一次服务费。</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注：服务费按月考核付费，结算时须扣除已支付的预付款款项。</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w:t>
      </w:r>
      <w:r>
        <w:rPr>
          <w:rFonts w:ascii="SimSun" w:hAnsi="SimSun" w:eastAsia="SimSun" w:cs="SimSun"/>
          <w:color w:val="000000"/>
          <w:sz w:val="24"/>
        </w:rPr>
        <w:t xml:space="preserve">、</w:t>
      </w:r>
      <w:r>
        <w:rPr>
          <w:rFonts w:ascii="SimSun" w:hAnsi="SimSun" w:eastAsia="SimSun" w:cs="SimSun"/>
          <w:color w:val="000000"/>
          <w:sz w:val="24"/>
        </w:rPr>
        <w:t xml:space="preserve">产权担保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4.1乙方保证所交付的服务（包含与服务相关的货物）的所有权完全属于乙方且无任何抵押、查封等产权瑕疵。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五、履约保证金</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5.1乙方交纳人民币</w:t>
      </w:r>
      <w:r>
        <w:rPr>
          <w:rFonts w:ascii="SimSun" w:hAnsi="SimSun" w:eastAsia="SimSun" w:cs="SimSun"/>
          <w:color w:val="000000"/>
          <w:sz w:val="24"/>
          <w:u w:val="single"/>
        </w:rPr>
        <w:t xml:space="preserve">（年度中标价的10%）</w:t>
      </w:r>
      <w:r>
        <w:rPr>
          <w:rFonts w:ascii="SimSun" w:hAnsi="SimSun" w:eastAsia="SimSun" w:cs="SimSun"/>
          <w:color w:val="000000"/>
          <w:sz w:val="24"/>
        </w:rPr>
        <w:t xml:space="preserve">元作为本合同的履约保证金。</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（备注：对AA评级及以上政府采购供应商（需提供信用管理部门备案的第三方信用报告）免收履约保证金）</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5.2确需收取履约保证金的，履约保证金的缴纳形式：</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 如以履约保函（保险）形式缴纳履约保证金，供应商可通过政府采购电子履约保函（保险）平台（www.jsdzbh.com）在线申请履约保函（保险）。</w:t>
      </w:r>
      <w:r/>
    </w:p>
    <w:p>
      <w:pPr>
        <w:ind w:left="428" w:right="0" w:firstLine="14"/>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5.3合同履行结束后，甲方应及时退还交纳的履约保证金。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5.4履约保证金的退还：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5.4.1方式：退还至投标人缴纳履约保证金的账户。如为保函，在到期时自行失效。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5.4.2时间：验收合格且采购人收到发票后30日内。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5.4.3条件：按合同要求全部履约完成并经采购人验收合格，且采购人收到中标人出具的发票。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5.4.4不予退还情形：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5.4.5逾期退还的违约责任：采购人逾期无故未退还履约保证金的，按中国人民银行同期贷款基准利率上浮20%后的利率支付超期资金占用费，但因供应商自身原因导致无法及时退还的除外。</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1.在运营服务期内，因乙方原因受到相关部门处罚的，由乙方承担相应费用，且甲方有权追究乙方相关责任。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2.乙方未按合同规定的质量要求提供服务，不能完成合同时，甲方有权终止合同，由此造成乙方的直接损失和间接损失，甲方有权要求乙方赔偿。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3.乙方必须自己完成合同内容，不得转包、分包，否则，甲方有权按乙方不能完成合同处理；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4.乙方原因导致出现重大安全责任事故及其他事故的，一切责任由乙方承担。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5.如甲方使用不当造成货物的毁损，乙方有义务协助维修。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1.甲方不按合同规定付清合同款项，将按银行同期利率加倍罚息。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2.所有服务完毕后，甲方不在规定时间内验收，无特殊原因，视同验收合格。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3.发生合同纠纷，向甲方所在地人民法院提起诉讼。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八、本合同由下列文件共同构成：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3.采购人的招标文件及其补充（答疑）资料；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4.中标人的投标文件及其补充（澄清）资料。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九、本合同未尽事宜，由甲、乙双方依据招标文件、中标人的投标文件另行协商解决。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十、本合同一式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份，甲乙双方各执二份，其余用于相关单位存档。。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十一、采购人或其委托的代理机构应当自政府采购合同签订之日起</w:t>
      </w:r>
      <w:r>
        <w:rPr>
          <w:rFonts w:ascii="SimSun" w:hAnsi="SimSun" w:eastAsia="SimSun" w:cs="SimSun"/>
          <w:color w:val="000000"/>
          <w:sz w:val="24"/>
          <w:u w:val="single"/>
        </w:rPr>
        <w:t xml:space="preserve">2</w:t>
      </w:r>
      <w:r>
        <w:rPr>
          <w:rFonts w:ascii="SimSun" w:hAnsi="SimSun" w:eastAsia="SimSun" w:cs="SimSun"/>
          <w:color w:val="000000"/>
          <w:sz w:val="24"/>
        </w:rPr>
        <w:t xml:space="preserve">个工作日内，将政府采购合同的扫描件（PDF格式）传送政府采购交易执行系统实施网上备案，经东台市财政局审核后，网上公示。</w:t>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nil"/>
        <w:rPr>
          <w:rFonts w:hint="eastAsia" w:ascii="Calibri" w:hAnsi="Calibri" w:eastAsia="宋体" w:cs="Times New Roman"/>
          <w:b/>
          <w:bCs/>
          <w:color w:val="auto"/>
          <w:sz w:val="28"/>
          <w:szCs w:val="28"/>
          <w:highlight w:val="none"/>
          <w:lang w:val="en-US" w:eastAsia="zh-CN"/>
        </w:rPr>
      </w:pPr>
      <w:r>
        <w:rPr>
          <w:rFonts w:hint="eastAsia" w:ascii="Calibri" w:hAnsi="Calibri" w:eastAsia="宋体" w:cs="Times New Roman"/>
          <w:b/>
          <w:color w:val="auto"/>
          <w:sz w:val="28"/>
          <w:szCs w:val="28"/>
          <w:highlight w:val="none"/>
          <w:lang w:val="en-US" w:eastAsia="zh-CN"/>
        </w:rPr>
        <w:br w:type="page" w:clear="all"/>
      </w:r>
      <w:r>
        <w:rPr>
          <w:rFonts w:hint="eastAsia" w:ascii="Calibri" w:hAnsi="Calibri" w:eastAsia="宋体" w:cs="Times New Roman"/>
          <w:b/>
          <w:color w:val="auto"/>
          <w:sz w:val="28"/>
          <w:szCs w:val="28"/>
          <w:highlight w:val="none"/>
          <w:lang w:val="en-US" w:eastAsia="zh-CN"/>
        </w:rPr>
      </w:r>
    </w:p>
    <w:p>
      <w:pPr>
        <w:jc w:val="both"/>
        <w:rPr>
          <w:rFonts w:hint="eastAsia" w:ascii="Calibri" w:hAnsi="Calibri" w:eastAsia="宋体" w:cs="Times New Roman"/>
          <w:b/>
          <w:bCs/>
          <w:color w:val="auto"/>
          <w:sz w:val="28"/>
          <w:szCs w:val="28"/>
          <w:highlight w:val="none"/>
          <w:lang w:val="en-US" w:eastAsia="zh-CN"/>
        </w:rPr>
      </w:pPr>
      <w:r>
        <w:rPr>
          <w:rFonts w:hint="eastAsia" w:ascii="Calibri" w:hAnsi="Calibri" w:eastAsia="宋体" w:cs="Times New Roman"/>
          <w:b/>
          <w:color w:val="auto"/>
          <w:sz w:val="28"/>
          <w:szCs w:val="28"/>
          <w:highlight w:val="none"/>
        </w:rPr>
        <w:t xml:space="preserve">附件</w:t>
      </w:r>
      <w:r>
        <w:rPr>
          <w:rFonts w:hint="eastAsia" w:ascii="Calibri" w:hAnsi="Calibri" w:eastAsia="宋体" w:cs="Times New Roman"/>
          <w:b/>
          <w:color w:val="auto"/>
          <w:sz w:val="28"/>
          <w:szCs w:val="28"/>
          <w:highlight w:val="none"/>
          <w:lang w:val="en-US" w:eastAsia="zh-CN"/>
        </w:rPr>
        <w:t xml:space="preserve">1</w:t>
      </w:r>
      <w:r/>
    </w:p>
    <w:p>
      <w:pPr>
        <w:jc w:val="center"/>
        <w:rPr>
          <w:rFonts w:hint="eastAsia" w:ascii="Calibri" w:hAnsi="Calibri" w:eastAsia="宋体" w:cs="Times New Roman"/>
          <w:b/>
          <w:bCs/>
          <w:color w:val="auto"/>
          <w:sz w:val="28"/>
          <w:szCs w:val="28"/>
          <w:highlight w:val="none"/>
        </w:rPr>
      </w:pPr>
      <w:r>
        <w:rPr>
          <w:rFonts w:hint="eastAsia" w:ascii="Calibri" w:hAnsi="Calibri" w:eastAsia="宋体" w:cs="Times New Roman"/>
          <w:b/>
          <w:bCs/>
          <w:color w:val="auto"/>
          <w:sz w:val="28"/>
          <w:szCs w:val="28"/>
          <w:highlight w:val="none"/>
          <w:lang w:val="en-US" w:eastAsia="zh-CN"/>
        </w:rPr>
        <w:t xml:space="preserve">东台市中医院污水处理站工作考核表</w:t>
      </w:r>
      <w:r/>
    </w:p>
    <w:p>
      <w:pPr>
        <w:pageBreakBefore w:val="0"/>
        <w:spacing w:line="360" w:lineRule="auto"/>
        <w:widowControl w:val="off"/>
        <w:rPr>
          <w:rFonts w:hint="default"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en-US" w:eastAsia="zh-CN" w:bidi="ar-SA"/>
        </w:rPr>
        <w:t xml:space="preserve">被考核</w:t>
      </w:r>
      <w:r>
        <w:rPr>
          <w:rFonts w:hint="eastAsia" w:ascii="宋体" w:hAnsi="宋体" w:eastAsia="宋体" w:cs="宋体"/>
          <w:b/>
          <w:bCs/>
          <w:color w:val="auto"/>
          <w:sz w:val="24"/>
          <w:szCs w:val="24"/>
          <w:highlight w:val="none"/>
          <w:vertAlign w:val="baseline"/>
          <w:lang w:val="en-US" w:eastAsia="zh-CN" w:bidi="ar-SA"/>
        </w:rPr>
        <w:t xml:space="preserve">单位：</w:t>
      </w:r>
      <w:r>
        <w:rPr>
          <w:rFonts w:hint="eastAsia" w:ascii="宋体" w:hAnsi="宋体" w:cs="宋体"/>
          <w:b/>
          <w:bCs/>
          <w:color w:val="auto"/>
          <w:sz w:val="24"/>
          <w:szCs w:val="24"/>
          <w:highlight w:val="none"/>
          <w:vertAlign w:val="baseline"/>
          <w:lang w:val="en-US" w:eastAsia="zh-CN" w:bidi="ar-SA"/>
        </w:rPr>
        <w:t xml:space="preserve">                                     考核时间：</w:t>
      </w:r>
      <w:r/>
    </w:p>
    <w:p>
      <w:pPr>
        <w:jc w:val="left"/>
        <w:spacing w:line="360" w:lineRule="auto"/>
        <w:tabs>
          <w:tab w:val="left" w:pos="1980" w:leader="none"/>
        </w:tabs>
        <w:rPr>
          <w:rFonts w:hint="eastAsia" w:ascii="宋体" w:hAnsi="宋体" w:eastAsia="宋体" w:cs="宋体"/>
          <w:b w:val="0"/>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bidi="ar-SA"/>
        </w:rPr>
        <w:t xml:space="preserve">考核要求：</w:t>
      </w:r>
      <w:r>
        <w:rPr>
          <w:rFonts w:hint="eastAsia" w:ascii="宋体" w:hAnsi="宋体" w:eastAsia="宋体" w:cs="宋体"/>
          <w:color w:val="auto"/>
          <w:sz w:val="24"/>
          <w:szCs w:val="24"/>
          <w:highlight w:val="none"/>
          <w:lang w:val="en-US" w:eastAsia="zh-CN"/>
        </w:rPr>
        <w:t xml:space="preserve">考核分≥90分，无扣款；80分≤考核分&lt;90分，每少1分，扣款200元；考核分＜80分，每少1分，扣款500元，并提出警告。</w:t>
      </w:r>
      <w:r/>
    </w:p>
    <w:tbl>
      <w:tblPr>
        <w:tblStyle w:val="834"/>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506"/>
        <w:gridCol w:w="1113"/>
        <w:gridCol w:w="5219"/>
        <w:gridCol w:w="885"/>
      </w:tblGrid>
      <w:tr>
        <w:trPr>
          <w:jc w:val="center"/>
          <w:trHeight w:val="662"/>
        </w:trPr>
        <w:tc>
          <w:tcPr>
            <w:tcW w:w="495"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w:t>
            </w:r>
            <w:r/>
          </w:p>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号</w:t>
            </w:r>
            <w:r/>
          </w:p>
        </w:tc>
        <w:tc>
          <w:tcPr>
            <w:tcW w:w="1506"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考核</w:t>
            </w:r>
            <w:r/>
          </w:p>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项目</w:t>
            </w:r>
            <w:r/>
          </w:p>
        </w:tc>
        <w:tc>
          <w:tcPr>
            <w:tcW w:w="1113"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每项</w:t>
            </w:r>
            <w:r/>
          </w:p>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分值</w:t>
            </w:r>
            <w:r/>
          </w:p>
        </w:tc>
        <w:tc>
          <w:tcPr>
            <w:tcW w:w="5219" w:type="dxa"/>
            <w:vAlign w:val="center"/>
            <w:textDirection w:val="lrTb"/>
            <w:noWrap w:val="false"/>
          </w:tcPr>
          <w:p>
            <w:pPr>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考核</w:t>
            </w:r>
            <w:r>
              <w:rPr>
                <w:rFonts w:hint="eastAsia" w:ascii="宋体" w:hAnsi="宋体" w:cs="宋体"/>
                <w:b/>
                <w:bCs/>
                <w:color w:val="auto"/>
                <w:sz w:val="24"/>
                <w:szCs w:val="24"/>
                <w:highlight w:val="none"/>
                <w:vertAlign w:val="baseline"/>
                <w:lang w:val="en-US" w:eastAsia="zh-CN"/>
              </w:rPr>
              <w:t xml:space="preserve">具体内容</w:t>
            </w:r>
            <w:r/>
          </w:p>
        </w:tc>
        <w:tc>
          <w:tcPr>
            <w:tcW w:w="885"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考核</w:t>
            </w:r>
            <w:r/>
          </w:p>
          <w:p>
            <w:pPr>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结果</w:t>
            </w:r>
            <w:r/>
          </w:p>
        </w:tc>
      </w:tr>
      <w:tr>
        <w:trPr>
          <w:jc w:val="center"/>
          <w:trHeight w:val="2467"/>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现场管理</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21</w:t>
            </w:r>
            <w:r>
              <w:rPr>
                <w:rFonts w:hint="eastAsia" w:ascii="宋体" w:hAnsi="宋体" w:eastAsia="宋体" w:cs="宋体"/>
                <w:color w:val="auto"/>
                <w:sz w:val="24"/>
                <w:szCs w:val="24"/>
                <w:highlight w:val="none"/>
                <w:vertAlign w:val="baseline"/>
                <w:lang w:val="en-US" w:eastAsia="zh-CN"/>
              </w:rPr>
              <w:t xml:space="preserve">分）</w:t>
            </w:r>
            <w:r/>
          </w:p>
        </w:tc>
        <w:tc>
          <w:tcPr>
            <w:tcW w:w="1113" w:type="dxa"/>
            <w:vAlign w:val="center"/>
            <w:textDirection w:val="lrTb"/>
            <w:noWrap w:val="false"/>
          </w:tcPr>
          <w:p>
            <w:pPr>
              <w:numPr>
                <w:ilvl w:val="0"/>
                <w:numId w:val="0"/>
              </w:num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3分*7</w:t>
            </w:r>
            <w:r/>
          </w:p>
        </w:tc>
        <w:tc>
          <w:tcPr>
            <w:tcW w:w="5219" w:type="dxa"/>
            <w:vAlign w:val="center"/>
            <w:textDirection w:val="lrTb"/>
            <w:noWrap w:val="false"/>
          </w:tcPr>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办公室及</w:t>
            </w:r>
            <w:r>
              <w:rPr>
                <w:rFonts w:hint="eastAsia" w:ascii="宋体" w:hAnsi="宋体" w:cs="宋体"/>
                <w:color w:val="auto"/>
                <w:sz w:val="24"/>
                <w:szCs w:val="24"/>
                <w:highlight w:val="none"/>
                <w:vertAlign w:val="baseline"/>
                <w:lang w:val="en-US" w:eastAsia="zh-CN"/>
              </w:rPr>
              <w:t xml:space="preserve">操作</w:t>
            </w:r>
            <w:r>
              <w:rPr>
                <w:rFonts w:hint="eastAsia" w:ascii="宋体" w:hAnsi="宋体" w:eastAsia="宋体" w:cs="宋体"/>
                <w:color w:val="auto"/>
                <w:sz w:val="24"/>
                <w:szCs w:val="24"/>
                <w:highlight w:val="none"/>
                <w:vertAlign w:val="baseline"/>
                <w:lang w:val="en-US" w:eastAsia="zh-CN"/>
              </w:rPr>
              <w:t xml:space="preserve">设备间干净、整齐；</w:t>
            </w:r>
            <w:r/>
          </w:p>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站点</w:t>
            </w:r>
            <w:r>
              <w:rPr>
                <w:rFonts w:hint="eastAsia" w:ascii="宋体" w:hAnsi="宋体" w:eastAsia="宋体" w:cs="宋体"/>
                <w:color w:val="auto"/>
                <w:sz w:val="24"/>
                <w:szCs w:val="24"/>
                <w:highlight w:val="none"/>
                <w:vertAlign w:val="baseline"/>
                <w:lang w:val="en-US" w:eastAsia="zh-CN"/>
              </w:rPr>
              <w:t xml:space="preserve">现场无任何安全隐患存在；</w:t>
            </w:r>
            <w:r/>
          </w:p>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劳保</w:t>
            </w:r>
            <w:r>
              <w:rPr>
                <w:rFonts w:hint="eastAsia" w:ascii="宋体" w:hAnsi="宋体" w:cs="宋体"/>
                <w:color w:val="auto"/>
                <w:sz w:val="24"/>
                <w:szCs w:val="24"/>
                <w:highlight w:val="none"/>
                <w:vertAlign w:val="baseline"/>
                <w:lang w:val="en-US" w:eastAsia="zh-CN"/>
              </w:rPr>
              <w:t xml:space="preserve">、工具、</w:t>
            </w:r>
            <w:r>
              <w:rPr>
                <w:rFonts w:hint="eastAsia" w:ascii="宋体" w:hAnsi="宋体" w:eastAsia="宋体" w:cs="宋体"/>
                <w:color w:val="auto"/>
                <w:sz w:val="24"/>
                <w:szCs w:val="24"/>
                <w:highlight w:val="none"/>
                <w:vertAlign w:val="baseline"/>
                <w:lang w:val="en-US" w:eastAsia="zh-CN"/>
              </w:rPr>
              <w:t xml:space="preserve">防护用品齐全；</w:t>
            </w:r>
            <w:r/>
          </w:p>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各种规章制度</w:t>
            </w:r>
            <w:r>
              <w:rPr>
                <w:rFonts w:hint="eastAsia" w:ascii="宋体" w:hAnsi="宋体" w:cs="宋体"/>
                <w:color w:val="auto"/>
                <w:sz w:val="24"/>
                <w:szCs w:val="24"/>
                <w:highlight w:val="none"/>
                <w:vertAlign w:val="baseline"/>
                <w:lang w:val="en-US" w:eastAsia="zh-CN"/>
              </w:rPr>
              <w:t xml:space="preserve">能及时张贴</w:t>
            </w:r>
            <w:r>
              <w:rPr>
                <w:rFonts w:hint="eastAsia" w:ascii="宋体" w:hAnsi="宋体" w:eastAsia="宋体" w:cs="宋体"/>
                <w:color w:val="auto"/>
                <w:sz w:val="24"/>
                <w:szCs w:val="24"/>
                <w:highlight w:val="none"/>
                <w:vertAlign w:val="baseline"/>
                <w:lang w:val="en-US" w:eastAsia="zh-CN"/>
              </w:rPr>
              <w:t xml:space="preserve">上墙；</w:t>
            </w:r>
            <w:r/>
          </w:p>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药剂规范存储与投加，无跑冒滴漏</w:t>
            </w:r>
            <w:r>
              <w:rPr>
                <w:rFonts w:hint="eastAsia" w:ascii="宋体" w:hAnsi="宋体" w:cs="宋体"/>
                <w:color w:val="auto"/>
                <w:sz w:val="24"/>
                <w:szCs w:val="24"/>
                <w:highlight w:val="none"/>
                <w:vertAlign w:val="baseline"/>
                <w:lang w:val="en-US" w:eastAsia="zh-CN"/>
              </w:rPr>
              <w:t xml:space="preserve">现象发生</w:t>
            </w:r>
            <w:r>
              <w:rPr>
                <w:rFonts w:hint="eastAsia" w:ascii="宋体" w:hAnsi="宋体" w:eastAsia="宋体" w:cs="宋体"/>
                <w:color w:val="auto"/>
                <w:sz w:val="24"/>
                <w:szCs w:val="24"/>
                <w:highlight w:val="none"/>
                <w:vertAlign w:val="baseline"/>
                <w:lang w:val="en-US" w:eastAsia="zh-CN"/>
              </w:rPr>
              <w:t xml:space="preserve">；</w:t>
            </w:r>
            <w:r/>
          </w:p>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完成每天的巡检工作，保证设备能正常运行；</w:t>
            </w:r>
            <w:r/>
          </w:p>
          <w:p>
            <w:pPr>
              <w:numPr>
                <w:ilvl w:val="0"/>
                <w:numId w:val="1"/>
              </w:numPr>
              <w:ind w:left="0" w:firstLine="0"/>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出现问题</w:t>
            </w:r>
            <w:r>
              <w:rPr>
                <w:rFonts w:hint="eastAsia" w:ascii="宋体" w:hAnsi="宋体" w:cs="宋体"/>
                <w:color w:val="auto"/>
                <w:sz w:val="24"/>
                <w:szCs w:val="24"/>
                <w:highlight w:val="none"/>
                <w:vertAlign w:val="baseline"/>
                <w:lang w:val="en-US" w:eastAsia="zh-CN"/>
              </w:rPr>
              <w:t xml:space="preserve">能</w:t>
            </w:r>
            <w:r>
              <w:rPr>
                <w:rFonts w:hint="eastAsia" w:ascii="宋体" w:hAnsi="宋体" w:eastAsia="宋体" w:cs="宋体"/>
                <w:color w:val="auto"/>
                <w:sz w:val="24"/>
                <w:szCs w:val="24"/>
                <w:highlight w:val="none"/>
                <w:vertAlign w:val="baseline"/>
                <w:lang w:val="en-US" w:eastAsia="zh-CN"/>
              </w:rPr>
              <w:t xml:space="preserve">及时上报并解决。</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1379"/>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人员要求</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12</w:t>
            </w:r>
            <w:r>
              <w:rPr>
                <w:rFonts w:hint="eastAsia" w:ascii="宋体" w:hAnsi="宋体" w:eastAsia="宋体" w:cs="宋体"/>
                <w:color w:val="auto"/>
                <w:sz w:val="24"/>
                <w:szCs w:val="24"/>
                <w:highlight w:val="none"/>
                <w:vertAlign w:val="baseline"/>
                <w:lang w:val="en-US" w:eastAsia="zh-CN"/>
              </w:rPr>
              <w:t xml:space="preserve">分）</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3" w:type="dxa"/>
            <w:vAlign w:val="center"/>
            <w:textDirection w:val="lrTb"/>
            <w:noWrap w:val="false"/>
          </w:tcPr>
          <w:p>
            <w:pPr>
              <w:numPr>
                <w:ilvl w:val="0"/>
                <w:numId w:val="0"/>
              </w:numPr>
              <w:ind w:left="0" w:firstLine="0"/>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rPr>
                <w:rFonts w:hint="eastAsia" w:ascii="宋体" w:hAnsi="宋体" w:cs="宋体"/>
                <w:color w:val="auto"/>
                <w:sz w:val="21"/>
                <w:szCs w:val="21"/>
                <w:highlight w:val="none"/>
                <w:vertAlign w:val="baseline"/>
                <w:lang w:val="en-US" w:eastAsia="zh-CN"/>
              </w:rPr>
              <w:t xml:space="preserve">分</w:t>
            </w:r>
            <w:r>
              <w:rPr>
                <w:rFonts w:hint="eastAsia" w:ascii="宋体" w:hAnsi="宋体" w:cs="宋体"/>
                <w:color w:val="auto"/>
                <w:sz w:val="24"/>
                <w:szCs w:val="24"/>
                <w:highlight w:val="none"/>
                <w:vertAlign w:val="baseline"/>
                <w:lang w:val="en-US" w:eastAsia="zh-CN"/>
              </w:rPr>
              <w:t xml:space="preserve">*4</w:t>
            </w:r>
            <w:r/>
          </w:p>
        </w:tc>
        <w:tc>
          <w:tcPr>
            <w:tcW w:w="5219" w:type="dxa"/>
            <w:vAlign w:val="center"/>
            <w:textDirection w:val="lrTb"/>
            <w:noWrap w:val="false"/>
          </w:tcPr>
          <w:p>
            <w:pPr>
              <w:numPr>
                <w:ilvl w:val="0"/>
                <w:numId w:val="2"/>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配备合格的运维人员并持证上岗；</w:t>
            </w:r>
            <w:r/>
          </w:p>
          <w:p>
            <w:pPr>
              <w:numPr>
                <w:ilvl w:val="0"/>
                <w:numId w:val="2"/>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w:t>
            </w:r>
            <w:r>
              <w:rPr>
                <w:rFonts w:hint="eastAsia" w:ascii="宋体" w:hAnsi="宋体" w:eastAsia="宋体" w:cs="宋体"/>
                <w:color w:val="auto"/>
                <w:sz w:val="24"/>
                <w:szCs w:val="24"/>
                <w:highlight w:val="none"/>
                <w:vertAlign w:val="baseline"/>
                <w:lang w:val="en-US" w:eastAsia="zh-CN"/>
              </w:rPr>
              <w:t xml:space="preserve">能熟练操作各种污水设备设施；</w:t>
            </w:r>
            <w:r/>
          </w:p>
          <w:p>
            <w:pPr>
              <w:numPr>
                <w:ilvl w:val="0"/>
                <w:numId w:val="2"/>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w:t>
            </w:r>
            <w:r>
              <w:rPr>
                <w:rFonts w:hint="eastAsia" w:ascii="宋体" w:hAnsi="宋体" w:eastAsia="宋体" w:cs="宋体"/>
                <w:color w:val="auto"/>
                <w:sz w:val="24"/>
                <w:szCs w:val="24"/>
                <w:highlight w:val="none"/>
                <w:vertAlign w:val="baseline"/>
                <w:lang w:val="en-US" w:eastAsia="zh-CN"/>
              </w:rPr>
              <w:t xml:space="preserve">能及时解决各种突发状况事件；</w:t>
            </w:r>
            <w:r/>
          </w:p>
          <w:p>
            <w:pPr>
              <w:numPr>
                <w:ilvl w:val="0"/>
                <w:numId w:val="2"/>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w:t>
            </w:r>
            <w:r>
              <w:rPr>
                <w:rFonts w:hint="eastAsia" w:ascii="宋体" w:hAnsi="宋体" w:eastAsia="宋体" w:cs="宋体"/>
                <w:color w:val="auto"/>
                <w:sz w:val="24"/>
                <w:szCs w:val="24"/>
                <w:highlight w:val="none"/>
                <w:vertAlign w:val="baseline"/>
                <w:lang w:val="en-US" w:eastAsia="zh-CN"/>
              </w:rPr>
              <w:t xml:space="preserve">能应对</w:t>
            </w:r>
            <w:r>
              <w:rPr>
                <w:rFonts w:hint="eastAsia" w:ascii="宋体" w:hAnsi="宋体" w:cs="宋体"/>
                <w:color w:val="auto"/>
                <w:sz w:val="24"/>
                <w:szCs w:val="24"/>
                <w:highlight w:val="none"/>
                <w:vertAlign w:val="baseline"/>
                <w:lang w:val="en-US" w:eastAsia="zh-CN"/>
              </w:rPr>
              <w:t xml:space="preserve">属地</w:t>
            </w:r>
            <w:r>
              <w:rPr>
                <w:rFonts w:hint="eastAsia" w:ascii="宋体" w:hAnsi="宋体" w:eastAsia="宋体" w:cs="宋体"/>
                <w:color w:val="auto"/>
                <w:sz w:val="24"/>
                <w:szCs w:val="24"/>
                <w:highlight w:val="none"/>
                <w:vertAlign w:val="baseline"/>
                <w:lang w:val="en-US" w:eastAsia="zh-CN"/>
              </w:rPr>
              <w:t xml:space="preserve">和上级环保部门随时检查。</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1176"/>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水质检测</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9</w:t>
            </w:r>
            <w:r>
              <w:rPr>
                <w:rFonts w:hint="eastAsia" w:ascii="宋体" w:hAnsi="宋体" w:eastAsia="宋体" w:cs="宋体"/>
                <w:color w:val="auto"/>
                <w:sz w:val="24"/>
                <w:szCs w:val="24"/>
                <w:highlight w:val="none"/>
                <w:vertAlign w:val="baseline"/>
                <w:lang w:val="en-US" w:eastAsia="zh-CN"/>
              </w:rPr>
              <w:t xml:space="preserve">分）</w:t>
            </w:r>
            <w:r/>
          </w:p>
        </w:tc>
        <w:tc>
          <w:tcPr>
            <w:tcW w:w="1113" w:type="dxa"/>
            <w:vAlign w:val="center"/>
            <w:textDirection w:val="lrTb"/>
            <w:noWrap w:val="false"/>
          </w:tcPr>
          <w:p>
            <w:pPr>
              <w:numPr>
                <w:ilvl w:val="0"/>
                <w:numId w:val="0"/>
              </w:num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3分*3</w:t>
            </w:r>
            <w:r/>
          </w:p>
        </w:tc>
        <w:tc>
          <w:tcPr>
            <w:tcW w:w="5219" w:type="dxa"/>
            <w:vAlign w:val="center"/>
            <w:textDirection w:val="lrTb"/>
            <w:noWrap w:val="false"/>
          </w:tcPr>
          <w:p>
            <w:pPr>
              <w:numPr>
                <w:ilvl w:val="0"/>
                <w:numId w:val="3"/>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按合同及</w:t>
            </w:r>
            <w:r>
              <w:rPr>
                <w:rFonts w:hint="eastAsia" w:ascii="宋体" w:hAnsi="宋体" w:cs="宋体"/>
                <w:color w:val="auto"/>
                <w:sz w:val="24"/>
                <w:szCs w:val="24"/>
                <w:highlight w:val="none"/>
                <w:vertAlign w:val="baseline"/>
                <w:lang w:val="en-US" w:eastAsia="zh-CN"/>
              </w:rPr>
              <w:t xml:space="preserve">属地</w:t>
            </w:r>
            <w:r>
              <w:rPr>
                <w:rFonts w:hint="eastAsia" w:ascii="宋体" w:hAnsi="宋体" w:eastAsia="宋体" w:cs="宋体"/>
                <w:color w:val="auto"/>
                <w:sz w:val="24"/>
                <w:szCs w:val="24"/>
                <w:highlight w:val="none"/>
                <w:vertAlign w:val="baseline"/>
                <w:lang w:val="en-US" w:eastAsia="zh-CN"/>
              </w:rPr>
              <w:t xml:space="preserve">环保部门</w:t>
            </w:r>
            <w:r>
              <w:rPr>
                <w:rFonts w:hint="eastAsia" w:ascii="宋体" w:hAnsi="宋体" w:cs="宋体"/>
                <w:color w:val="auto"/>
                <w:sz w:val="24"/>
                <w:szCs w:val="24"/>
                <w:highlight w:val="none"/>
                <w:vertAlign w:val="baseline"/>
                <w:lang w:val="en-US" w:eastAsia="zh-CN"/>
              </w:rPr>
              <w:t xml:space="preserve">要求做好水质监测</w:t>
            </w:r>
            <w:r>
              <w:rPr>
                <w:rFonts w:hint="eastAsia" w:ascii="宋体" w:hAnsi="宋体" w:eastAsia="宋体" w:cs="宋体"/>
                <w:color w:val="auto"/>
                <w:sz w:val="24"/>
                <w:szCs w:val="24"/>
                <w:highlight w:val="none"/>
                <w:vertAlign w:val="baseline"/>
                <w:lang w:val="en-US" w:eastAsia="zh-CN"/>
              </w:rPr>
              <w:t xml:space="preserve">；</w:t>
            </w:r>
            <w:r/>
          </w:p>
          <w:p>
            <w:pPr>
              <w:numPr>
                <w:ilvl w:val="0"/>
                <w:numId w:val="3"/>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水质</w:t>
            </w:r>
            <w:r>
              <w:rPr>
                <w:rFonts w:hint="eastAsia" w:ascii="宋体" w:hAnsi="宋体" w:cs="宋体"/>
                <w:color w:val="auto"/>
                <w:sz w:val="24"/>
                <w:szCs w:val="24"/>
                <w:highlight w:val="none"/>
                <w:vertAlign w:val="baseline"/>
                <w:lang w:val="en-US" w:eastAsia="zh-CN"/>
              </w:rPr>
              <w:t xml:space="preserve">自测</w:t>
            </w:r>
            <w:r>
              <w:rPr>
                <w:rFonts w:hint="eastAsia" w:ascii="宋体" w:hAnsi="宋体" w:eastAsia="宋体" w:cs="宋体"/>
                <w:color w:val="auto"/>
                <w:sz w:val="24"/>
                <w:szCs w:val="24"/>
                <w:highlight w:val="none"/>
                <w:vertAlign w:val="baseline"/>
                <w:lang w:val="en-US" w:eastAsia="zh-CN"/>
              </w:rPr>
              <w:t xml:space="preserve">合格并有书面记录；</w:t>
            </w:r>
            <w:r/>
          </w:p>
          <w:p>
            <w:pPr>
              <w:numPr>
                <w:ilvl w:val="0"/>
                <w:numId w:val="3"/>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第三方水质报告</w:t>
            </w:r>
            <w:r>
              <w:rPr>
                <w:rFonts w:hint="eastAsia" w:ascii="宋体" w:hAnsi="宋体" w:cs="宋体"/>
                <w:color w:val="auto"/>
                <w:sz w:val="24"/>
                <w:szCs w:val="24"/>
                <w:highlight w:val="none"/>
                <w:vertAlign w:val="baseline"/>
                <w:lang w:val="en-US" w:eastAsia="zh-CN"/>
              </w:rPr>
              <w:t xml:space="preserve">合格，并按规定存档</w:t>
            </w:r>
            <w:r>
              <w:rPr>
                <w:rFonts w:hint="eastAsia" w:ascii="宋体" w:hAnsi="宋体" w:eastAsia="宋体" w:cs="宋体"/>
                <w:color w:val="auto"/>
                <w:sz w:val="24"/>
                <w:szCs w:val="24"/>
                <w:highlight w:val="none"/>
                <w:vertAlign w:val="baseline"/>
                <w:lang w:val="en-US" w:eastAsia="zh-CN"/>
              </w:rPr>
              <w:t xml:space="preserve">。</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889"/>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制度规范</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10</w:t>
            </w:r>
            <w:r>
              <w:rPr>
                <w:rFonts w:hint="eastAsia" w:ascii="宋体" w:hAnsi="宋体" w:eastAsia="宋体" w:cs="宋体"/>
                <w:color w:val="auto"/>
                <w:sz w:val="24"/>
                <w:szCs w:val="24"/>
                <w:highlight w:val="none"/>
                <w:vertAlign w:val="baseline"/>
                <w:lang w:val="en-US" w:eastAsia="zh-CN"/>
              </w:rPr>
              <w:t xml:space="preserve">分）</w:t>
            </w:r>
            <w:r/>
          </w:p>
        </w:tc>
        <w:tc>
          <w:tcPr>
            <w:tcW w:w="1113" w:type="dxa"/>
            <w:vAlign w:val="center"/>
            <w:textDirection w:val="lrTb"/>
            <w:noWrap w:val="false"/>
          </w:tcPr>
          <w:p>
            <w:pPr>
              <w:numPr>
                <w:ilvl w:val="0"/>
                <w:numId w:val="0"/>
              </w:num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rPr>
                <w:rFonts w:hint="eastAsia" w:ascii="宋体" w:hAnsi="宋体" w:cs="宋体"/>
                <w:color w:val="auto"/>
                <w:sz w:val="21"/>
                <w:szCs w:val="21"/>
                <w:highlight w:val="none"/>
                <w:vertAlign w:val="baseline"/>
                <w:lang w:val="en-US" w:eastAsia="zh-CN"/>
              </w:rPr>
              <w:t xml:space="preserve">分</w:t>
            </w:r>
            <w:r>
              <w:rPr>
                <w:rFonts w:hint="eastAsia" w:ascii="宋体" w:hAnsi="宋体" w:cs="宋体"/>
                <w:color w:val="auto"/>
                <w:sz w:val="24"/>
                <w:szCs w:val="24"/>
                <w:highlight w:val="none"/>
                <w:vertAlign w:val="baseline"/>
                <w:lang w:val="en-US" w:eastAsia="zh-CN"/>
              </w:rPr>
              <w:t xml:space="preserve">*2</w:t>
            </w:r>
            <w:r/>
          </w:p>
        </w:tc>
        <w:tc>
          <w:tcPr>
            <w:tcW w:w="5219" w:type="dxa"/>
            <w:vAlign w:val="center"/>
            <w:textDirection w:val="lrTb"/>
            <w:noWrap w:val="false"/>
          </w:tcPr>
          <w:p>
            <w:pPr>
              <w:numPr>
                <w:ilvl w:val="0"/>
                <w:numId w:val="4"/>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组织操作岗位人员定期参加技能培训；</w:t>
            </w:r>
            <w:r/>
          </w:p>
          <w:p>
            <w:pPr>
              <w:numPr>
                <w:ilvl w:val="0"/>
                <w:numId w:val="4"/>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建立完善的运维台账制度。</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988"/>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纪律执行</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12</w:t>
            </w:r>
            <w:r>
              <w:rPr>
                <w:rFonts w:hint="eastAsia" w:ascii="宋体" w:hAnsi="宋体" w:eastAsia="宋体" w:cs="宋体"/>
                <w:color w:val="auto"/>
                <w:sz w:val="24"/>
                <w:szCs w:val="24"/>
                <w:highlight w:val="none"/>
                <w:vertAlign w:val="baseline"/>
                <w:lang w:val="en-US" w:eastAsia="zh-CN"/>
              </w:rPr>
              <w:t xml:space="preserve">分）</w:t>
            </w:r>
            <w:r/>
          </w:p>
        </w:tc>
        <w:tc>
          <w:tcPr>
            <w:tcW w:w="1113"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rPr>
                <w:rFonts w:hint="eastAsia" w:ascii="宋体" w:hAnsi="宋体" w:cs="宋体"/>
                <w:color w:val="auto"/>
                <w:sz w:val="21"/>
                <w:szCs w:val="21"/>
                <w:highlight w:val="none"/>
                <w:vertAlign w:val="baseline"/>
                <w:lang w:val="en-US" w:eastAsia="zh-CN"/>
              </w:rPr>
              <w:t xml:space="preserve">分</w:t>
            </w:r>
            <w:r>
              <w:rPr>
                <w:rFonts w:hint="eastAsia" w:ascii="宋体" w:hAnsi="宋体" w:cs="宋体"/>
                <w:color w:val="auto"/>
                <w:sz w:val="24"/>
                <w:szCs w:val="24"/>
                <w:highlight w:val="none"/>
                <w:vertAlign w:val="baseline"/>
                <w:lang w:val="en-US" w:eastAsia="zh-CN"/>
              </w:rPr>
              <w:t xml:space="preserve">*2</w:t>
            </w:r>
            <w:r/>
          </w:p>
        </w:tc>
        <w:tc>
          <w:tcPr>
            <w:tcW w:w="5219" w:type="dxa"/>
            <w:vAlign w:val="center"/>
            <w:textDirection w:val="lrTb"/>
            <w:noWrap w:val="false"/>
          </w:tcPr>
          <w:p>
            <w:pPr>
              <w:numPr>
                <w:ilvl w:val="0"/>
                <w:numId w:val="5"/>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值班人员无逃岗、离岗、串岗</w:t>
            </w:r>
            <w:r>
              <w:rPr>
                <w:rFonts w:hint="eastAsia" w:ascii="宋体" w:hAnsi="宋体" w:cs="宋体"/>
                <w:color w:val="auto"/>
                <w:sz w:val="24"/>
                <w:szCs w:val="24"/>
                <w:highlight w:val="none"/>
                <w:vertAlign w:val="baseline"/>
                <w:lang w:val="en-US" w:eastAsia="zh-CN"/>
              </w:rPr>
              <w:t xml:space="preserve">现象</w:t>
            </w:r>
            <w:r>
              <w:rPr>
                <w:rFonts w:hint="eastAsia" w:ascii="宋体" w:hAnsi="宋体" w:eastAsia="宋体" w:cs="宋体"/>
                <w:color w:val="auto"/>
                <w:sz w:val="24"/>
                <w:szCs w:val="24"/>
                <w:highlight w:val="none"/>
                <w:vertAlign w:val="baseline"/>
                <w:lang w:val="en-US" w:eastAsia="zh-CN"/>
              </w:rPr>
              <w:t xml:space="preserve">发生；</w:t>
            </w:r>
            <w:r/>
          </w:p>
          <w:p>
            <w:pPr>
              <w:numPr>
                <w:ilvl w:val="0"/>
                <w:numId w:val="5"/>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无任何违反院区道路、消防、安全等各种规章制度</w:t>
            </w:r>
            <w:r>
              <w:rPr>
                <w:rFonts w:hint="eastAsia" w:ascii="宋体" w:hAnsi="宋体" w:cs="宋体"/>
                <w:color w:val="auto"/>
                <w:sz w:val="24"/>
                <w:szCs w:val="24"/>
                <w:highlight w:val="none"/>
                <w:vertAlign w:val="baseline"/>
                <w:lang w:val="en-US" w:eastAsia="zh-CN"/>
              </w:rPr>
              <w:t xml:space="preserve">发生</w:t>
            </w:r>
            <w:r>
              <w:rPr>
                <w:rFonts w:hint="eastAsia" w:ascii="宋体" w:hAnsi="宋体" w:eastAsia="宋体" w:cs="宋体"/>
                <w:color w:val="auto"/>
                <w:sz w:val="24"/>
                <w:szCs w:val="24"/>
                <w:highlight w:val="none"/>
                <w:vertAlign w:val="baseline"/>
                <w:lang w:val="en-US" w:eastAsia="zh-CN"/>
              </w:rPr>
              <w:t xml:space="preserve">。</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1379"/>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环保抽查</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18</w:t>
            </w:r>
            <w:r>
              <w:rPr>
                <w:rFonts w:hint="eastAsia" w:ascii="宋体" w:hAnsi="宋体" w:eastAsia="宋体" w:cs="宋体"/>
                <w:color w:val="auto"/>
                <w:sz w:val="24"/>
                <w:szCs w:val="24"/>
                <w:highlight w:val="none"/>
                <w:vertAlign w:val="baseline"/>
                <w:lang w:val="en-US" w:eastAsia="zh-CN"/>
              </w:rPr>
              <w:t xml:space="preserve">分）</w:t>
            </w:r>
            <w:r/>
          </w:p>
        </w:tc>
        <w:tc>
          <w:tcPr>
            <w:tcW w:w="1113" w:type="dxa"/>
            <w:vAlign w:val="center"/>
            <w:textDirection w:val="lrTb"/>
            <w:noWrap w:val="false"/>
          </w:tcPr>
          <w:p>
            <w:pPr>
              <w:numPr>
                <w:ilvl w:val="0"/>
                <w:numId w:val="0"/>
              </w:numPr>
              <w:ind w:left="0" w:firstLine="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rPr>
                <w:rFonts w:hint="eastAsia" w:ascii="宋体" w:hAnsi="宋体" w:cs="宋体"/>
                <w:color w:val="auto"/>
                <w:sz w:val="21"/>
                <w:szCs w:val="21"/>
                <w:highlight w:val="none"/>
                <w:vertAlign w:val="baseline"/>
                <w:lang w:val="en-US" w:eastAsia="zh-CN"/>
              </w:rPr>
              <w:t xml:space="preserve">分</w:t>
            </w:r>
            <w:r>
              <w:rPr>
                <w:rFonts w:hint="eastAsia" w:ascii="宋体" w:hAnsi="宋体" w:cs="宋体"/>
                <w:color w:val="auto"/>
                <w:sz w:val="24"/>
                <w:szCs w:val="24"/>
                <w:highlight w:val="none"/>
                <w:vertAlign w:val="baseline"/>
                <w:lang w:val="en-US" w:eastAsia="zh-CN"/>
              </w:rPr>
              <w:t xml:space="preserve">*3</w:t>
            </w:r>
            <w:r/>
          </w:p>
        </w:tc>
        <w:tc>
          <w:tcPr>
            <w:tcW w:w="5219" w:type="dxa"/>
            <w:vAlign w:val="center"/>
            <w:textDirection w:val="lrTb"/>
            <w:noWrap w:val="false"/>
          </w:tcPr>
          <w:p>
            <w:pPr>
              <w:numPr>
                <w:ilvl w:val="0"/>
                <w:numId w:val="0"/>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1、通过属地环保部门及上级环保单位抽查；</w:t>
            </w:r>
            <w:r/>
          </w:p>
          <w:p>
            <w:pPr>
              <w:numPr>
                <w:ilvl w:val="0"/>
                <w:numId w:val="0"/>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2、运行服务期内无任何一起水质超标事故。</w:t>
            </w:r>
            <w:r/>
          </w:p>
          <w:p>
            <w:pPr>
              <w:numPr>
                <w:ilvl w:val="0"/>
                <w:numId w:val="0"/>
              </w:numPr>
              <w:jc w:val="both"/>
              <w:rPr>
                <w:rFonts w:hint="default"/>
                <w:color w:val="auto"/>
                <w:highlight w:val="none"/>
                <w:lang w:val="en-US" w:eastAsia="zh-CN"/>
              </w:rPr>
            </w:pPr>
            <w:r>
              <w:rPr>
                <w:rFonts w:hint="eastAsia" w:ascii="宋体" w:hAnsi="宋体" w:eastAsia="宋体" w:cs="宋体"/>
                <w:color w:val="auto"/>
                <w:sz w:val="24"/>
                <w:szCs w:val="24"/>
                <w:highlight w:val="none"/>
                <w:vertAlign w:val="baseline"/>
                <w:lang w:val="en-US" w:eastAsia="zh-CN"/>
              </w:rPr>
              <w:t xml:space="preserve">3、运行服务期内无任何一起人为安全责任事故。</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988"/>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其他事项</w:t>
            </w:r>
            <w:r/>
          </w:p>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18</w:t>
            </w:r>
            <w:r>
              <w:rPr>
                <w:rFonts w:hint="eastAsia" w:ascii="宋体" w:hAnsi="宋体" w:eastAsia="宋体" w:cs="宋体"/>
                <w:color w:val="auto"/>
                <w:sz w:val="24"/>
                <w:szCs w:val="24"/>
                <w:highlight w:val="none"/>
                <w:vertAlign w:val="baseline"/>
                <w:lang w:val="en-US" w:eastAsia="zh-CN"/>
              </w:rPr>
              <w:t xml:space="preserve">分）</w:t>
            </w:r>
            <w:r/>
          </w:p>
        </w:tc>
        <w:tc>
          <w:tcPr>
            <w:tcW w:w="1113" w:type="dxa"/>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rPr>
                <w:rFonts w:hint="eastAsia" w:ascii="宋体" w:hAnsi="宋体" w:cs="宋体"/>
                <w:color w:val="auto"/>
                <w:sz w:val="21"/>
                <w:szCs w:val="21"/>
                <w:highlight w:val="none"/>
                <w:vertAlign w:val="baseline"/>
                <w:lang w:val="en-US" w:eastAsia="zh-CN"/>
              </w:rPr>
              <w:t xml:space="preserve">分*3</w:t>
            </w:r>
            <w:r/>
          </w:p>
        </w:tc>
        <w:tc>
          <w:tcPr>
            <w:tcW w:w="5219" w:type="dxa"/>
            <w:vAlign w:val="center"/>
            <w:textDirection w:val="lrTb"/>
            <w:noWrap w:val="false"/>
          </w:tcPr>
          <w:p>
            <w:pPr>
              <w:numPr>
                <w:ilvl w:val="0"/>
                <w:numId w:val="6"/>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工作人员</w:t>
            </w:r>
            <w:r>
              <w:rPr>
                <w:rFonts w:hint="eastAsia" w:ascii="宋体" w:hAnsi="宋体" w:cs="宋体"/>
                <w:color w:val="auto"/>
                <w:sz w:val="24"/>
                <w:szCs w:val="24"/>
                <w:highlight w:val="none"/>
                <w:vertAlign w:val="baseline"/>
                <w:lang w:val="en-US" w:eastAsia="zh-CN"/>
              </w:rPr>
              <w:t xml:space="preserve">必须</w:t>
            </w:r>
            <w:r>
              <w:rPr>
                <w:rFonts w:hint="eastAsia" w:ascii="宋体" w:hAnsi="宋体" w:eastAsia="宋体" w:cs="宋体"/>
                <w:color w:val="auto"/>
                <w:sz w:val="24"/>
                <w:szCs w:val="24"/>
                <w:highlight w:val="none"/>
                <w:vertAlign w:val="baseline"/>
                <w:lang w:val="en-US" w:eastAsia="zh-CN"/>
              </w:rPr>
              <w:t xml:space="preserve">服从医院</w:t>
            </w:r>
            <w:r>
              <w:rPr>
                <w:rFonts w:hint="eastAsia" w:ascii="宋体" w:hAnsi="宋体" w:cs="宋体"/>
                <w:color w:val="auto"/>
                <w:sz w:val="24"/>
                <w:szCs w:val="24"/>
                <w:highlight w:val="none"/>
                <w:vertAlign w:val="baseline"/>
                <w:lang w:val="en-US" w:eastAsia="zh-CN"/>
              </w:rPr>
              <w:t xml:space="preserve">及公司的</w:t>
            </w:r>
            <w:r>
              <w:rPr>
                <w:rFonts w:hint="eastAsia" w:ascii="宋体" w:hAnsi="宋体" w:eastAsia="宋体" w:cs="宋体"/>
                <w:color w:val="auto"/>
                <w:sz w:val="24"/>
                <w:szCs w:val="24"/>
                <w:highlight w:val="none"/>
                <w:vertAlign w:val="baseline"/>
                <w:lang w:val="en-US" w:eastAsia="zh-CN"/>
              </w:rPr>
              <w:t xml:space="preserve">管理；</w:t>
            </w:r>
            <w:r/>
          </w:p>
          <w:p>
            <w:pPr>
              <w:numPr>
                <w:ilvl w:val="0"/>
                <w:numId w:val="6"/>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无</w:t>
            </w:r>
            <w:r>
              <w:rPr>
                <w:rFonts w:hint="eastAsia" w:ascii="宋体" w:hAnsi="宋体" w:eastAsia="宋体" w:cs="宋体"/>
                <w:color w:val="auto"/>
                <w:sz w:val="24"/>
                <w:szCs w:val="24"/>
                <w:highlight w:val="none"/>
                <w:vertAlign w:val="baseline"/>
                <w:lang w:val="en-US" w:eastAsia="zh-CN"/>
              </w:rPr>
              <w:t xml:space="preserve">环保</w:t>
            </w:r>
            <w:r>
              <w:rPr>
                <w:rFonts w:hint="eastAsia" w:ascii="宋体" w:hAnsi="宋体" w:cs="宋体"/>
                <w:color w:val="auto"/>
                <w:sz w:val="24"/>
                <w:szCs w:val="24"/>
                <w:highlight w:val="none"/>
                <w:vertAlign w:val="baseline"/>
                <w:lang w:val="en-US" w:eastAsia="zh-CN"/>
              </w:rPr>
              <w:t xml:space="preserve">处罚</w:t>
            </w:r>
            <w:r>
              <w:rPr>
                <w:rFonts w:hint="eastAsia" w:ascii="宋体" w:hAnsi="宋体" w:eastAsia="宋体" w:cs="宋体"/>
                <w:color w:val="auto"/>
                <w:sz w:val="24"/>
                <w:szCs w:val="24"/>
                <w:highlight w:val="none"/>
                <w:vertAlign w:val="baseline"/>
                <w:lang w:val="en-US" w:eastAsia="zh-CN"/>
              </w:rPr>
              <w:t xml:space="preserve">、媒体曝光</w:t>
            </w:r>
            <w:r>
              <w:rPr>
                <w:rFonts w:hint="eastAsia" w:ascii="宋体" w:hAnsi="宋体" w:cs="宋体"/>
                <w:color w:val="auto"/>
                <w:sz w:val="24"/>
                <w:szCs w:val="24"/>
                <w:highlight w:val="none"/>
                <w:vertAlign w:val="baseline"/>
                <w:lang w:val="en-US" w:eastAsia="zh-CN"/>
              </w:rPr>
              <w:t xml:space="preserve">等情况</w:t>
            </w:r>
            <w:r>
              <w:rPr>
                <w:rFonts w:hint="eastAsia" w:ascii="宋体" w:hAnsi="宋体" w:eastAsia="宋体" w:cs="宋体"/>
                <w:color w:val="auto"/>
                <w:sz w:val="24"/>
                <w:szCs w:val="24"/>
                <w:highlight w:val="none"/>
                <w:vertAlign w:val="baseline"/>
                <w:lang w:val="en-US" w:eastAsia="zh-CN"/>
              </w:rPr>
              <w:t xml:space="preserve">；</w:t>
            </w:r>
            <w:r/>
          </w:p>
          <w:p>
            <w:pPr>
              <w:numPr>
                <w:ilvl w:val="0"/>
                <w:numId w:val="6"/>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无</w:t>
            </w:r>
            <w:r>
              <w:rPr>
                <w:rFonts w:hint="eastAsia" w:ascii="宋体" w:hAnsi="宋体" w:eastAsia="宋体" w:cs="宋体"/>
                <w:color w:val="auto"/>
                <w:sz w:val="24"/>
                <w:szCs w:val="24"/>
                <w:highlight w:val="none"/>
                <w:vertAlign w:val="baseline"/>
                <w:lang w:val="en-US" w:eastAsia="zh-CN"/>
              </w:rPr>
              <w:t xml:space="preserve">人员安全伤亡事故</w:t>
            </w:r>
            <w:r>
              <w:rPr>
                <w:rFonts w:hint="eastAsia" w:ascii="宋体" w:hAnsi="宋体" w:cs="宋体"/>
                <w:color w:val="auto"/>
                <w:sz w:val="24"/>
                <w:szCs w:val="24"/>
                <w:highlight w:val="none"/>
                <w:vertAlign w:val="baseline"/>
                <w:lang w:val="en-US" w:eastAsia="zh-CN"/>
              </w:rPr>
              <w:t xml:space="preserve">情况</w:t>
            </w:r>
            <w:r>
              <w:rPr>
                <w:rFonts w:hint="eastAsia" w:ascii="宋体" w:hAnsi="宋体" w:eastAsia="宋体" w:cs="宋体"/>
                <w:color w:val="auto"/>
                <w:sz w:val="24"/>
                <w:szCs w:val="24"/>
                <w:highlight w:val="none"/>
                <w:vertAlign w:val="baseline"/>
                <w:lang w:val="en-US" w:eastAsia="zh-CN"/>
              </w:rPr>
              <w:t xml:space="preserve">。</w:t>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640"/>
        </w:trPr>
        <w:tc>
          <w:tcPr>
            <w:tcW w:w="49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506"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总分100</w:t>
            </w:r>
            <w:r/>
          </w:p>
        </w:tc>
        <w:tc>
          <w:tcPr>
            <w:tcW w:w="1113"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5219" w:type="dxa"/>
            <w:vAlign w:val="center"/>
            <w:textDirection w:val="lrTb"/>
            <w:noWrap w:val="false"/>
          </w:tcPr>
          <w:p>
            <w:pPr>
              <w:numPr>
                <w:ilvl w:val="0"/>
                <w:numId w:val="0"/>
              </w:numPr>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885"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keepLines w:val="0"/>
        <w:keepNext w:val="0"/>
        <w:pageBreakBefore w:val="0"/>
        <w:spacing w:line="480" w:lineRule="exact"/>
        <w:widowControl w:val="off"/>
        <w:rPr>
          <w:rFonts w:hint="eastAsia" w:ascii="楷体_GB2312" w:eastAsia="楷体_GB2312"/>
          <w:color w:val="auto"/>
          <w:highlight w:val="none"/>
        </w:rPr>
      </w:pPr>
      <w:r>
        <w:rPr>
          <w:rFonts w:hint="eastAsia" w:ascii="楷体_GB2312" w:eastAsia="楷体_GB2312"/>
          <w:color w:val="auto"/>
          <w:highlight w:val="none"/>
        </w:rPr>
      </w:r>
      <w:r/>
    </w:p>
    <w:p>
      <w:pPr>
        <w:pStyle w:val="832"/>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178" w:name="_Toc49090575"/>
      <w:r/>
      <w:bookmarkStart w:id="179" w:name="_Toc26554093"/>
      <w:r>
        <w:rPr>
          <w:rFonts w:hint="eastAsia" w:ascii="宋体" w:hAnsi="宋体" w:eastAsia="宋体" w:cs="宋体"/>
          <w:color w:val="auto"/>
          <w:sz w:val="24"/>
          <w:szCs w:val="24"/>
          <w:highlight w:val="none"/>
        </w:rPr>
        <w:t xml:space="preserve">项目属性:服务类项目。</w:t>
      </w:r>
      <w:bookmarkEnd w:id="178"/>
      <w:r/>
      <w:bookmarkEnd w:id="179"/>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台市中医院地处市雅居路198号，是一所以中医为主、中西医结合、集医疗、科研、教学和预防保健于一体的综合性三级中医院。污水处理站设计废水总处理量1500吨/日，主要处理院内的医疗废水及生活污水等，处理后的废水中各类污染物排放浓度达到医院全国排污许可证副本载明的许可限值和《医疗机构水污染物排放标准》（GB18466-2005）“综合医院和其他医疗机构水污染物排放限值（日均值）”所规定的预处理排放标准限值，并能通过环保部门的监督检查。</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主要包括污水处理站范围内废水、废气的正常稳定处理，达标排放。包含污水处理站范围内设施设备、辅助设备及功能性污水处理装置的维护保养及维修；电气自控设施的维护保养及维修；栅渣、污泥和光氧灯管的收集及消毒处理（不含固废和危废处置）；水质日常化验（含配套仪器和试剂）；排污许可证要求的年度第三方自行监测；排污许可证的日常维护管理；消毒、除臭、压泥药剂原料的购置及投加；远程监控平台的维护保养及维修；项目技术团队和值守人员的配备管理；运营台账的建立及存档管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二、项目服务要求</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1、污水处理运行工作应认真积极、紧急问题紧急处理，如实认真填写工作记录。重要的设备按规定要求定期检查、调试、维护保养及维修并做好记录。</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2、应具有相应的技术管理团队，运行人员具备污水处理站运营服务经验和能力。</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3、工作人员必须身体健康、遵纪守法、无不良行为；需统一着装、注意个人卫生和形象；需语言文明、服务态度好、积极配合医院的管理及安排；保持工作团队人员的稳定、接受岗前专业的培训。</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4、服务人员必须具备相应的污废水处理工上岗证书，持证上岗。</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5、每天对所有设施、设备进行一次常规性巡查，及时发现设备缺陷，作出预防性鉴定，提交相关记录和处理意见，确保设备安全运行。</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6、每天对排放废水进行取样检测不得少于2次，并认真做好相关记录。</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7、保证每天废水稳定、达标排放，能够通过相关部门水质检测和监督检查。</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8、污水处理设备维修、设备整机或零件的更换等单价在500元以内的由服务单位免费提供并负责安装调试完成，500以上（含）的由医院负责采购或委托服务单位代办。</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9、因服务单位运维不当原因导致医院被环保部门行政处罚，则医院有权对服务单位进行责任和经济追偿。</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三、项目组织管理要求</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1、服务单位必须有健全的组织机构和人员分工，岗位职责明确。</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2、有健全和具体的管理制度，有明细的污水处理运行、维修保养工作流程和措施，有可行的检查监督制度，有奖励惩罚制度，有良好的员工文化制度，有固定的办公地点。</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3、做好与医院管理人员的协调沟通工作，服从医院管理人员的管理，接受医院组织的对该项目的承包内容、质量、管理等检查监督，及时做好总结和改进工作。</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4、医院定期或不定期随机抽查，若发现不符合规定，则有权按照医院相关制度进行处理。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5、有应对突发事件的预案，确保各类突发事件的相关保障措施得到有效落实。</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6、有明确的的管理及服务方式，信息反馈渠道。</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7、有污水处理站运营、维修保养服务具体方案设计。</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8、提供给医院污水处理站运行、维修保养的文件资料清单。</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四、项目服务明细要求</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1、人员配备</w:t>
      </w:r>
      <w:r/>
    </w:p>
    <w:p>
      <w:pPr>
        <w:pStyle w:val="83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本项目配备技术管理团队人员不少于4名：项目管理人员1名，值守运行人员1名，设备维修人员1名，巡检技术人员1名，遇特殊情况，无条件安排加班值守。</w:t>
      </w:r>
      <w:r>
        <w:rPr>
          <w:rFonts w:hint="eastAsia" w:ascii="宋体" w:hAnsi="宋体" w:eastAsia="宋体" w:cs="宋体"/>
          <w:color w:val="auto"/>
          <w:sz w:val="24"/>
          <w:szCs w:val="24"/>
          <w:highlight w:val="none"/>
          <w:lang w:val="en-US" w:eastAsia="zh-CN"/>
        </w:rPr>
        <w:t xml:space="preserve">防汛期间须按采购人需求增加值守人员。所有人员的安全责任全部由中标供应商自行负责，与院方无涉。</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2、药剂管理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本项目设计运行水量1500吨/日，所需药剂分别为次氯酸钠消毒剂、氯片消毒剂、PAM絮凝剂、植物除臭剂。</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次氯酸钠消毒剂：污水消毒使用次氯酸钠消毒剂，确保排水余氯达到2-8mg/l。</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氯片消毒剂：污泥消毒使用氯片溶解后投入污泥池消毒，压滤污泥时应先消毒。</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PAM絮凝剂：污泥定期按月压滤，压滤时使用PAM絮凝剂。</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植物除臭剂：废气处理设施运行过程中喷淋系统需要添加除臭剂，保证有组织废气、无组织废气均能达到大气污染源排放标准。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3、日常维修、保养</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处理设备在日常运行过程中，需要定期进行维修、维护保养：防腐、刷漆，更换机油、台账记录、配件更换产生耗材。包含设备的常规维修、配件和耗材：水泵、鼓风机、曝气机、计量泵、PLC、程序、远程监控模块及平台、安防摄像、电气元器件、加药管路、皮带、空滤、滴油嘴、软管、黄油、齿轮油、抗磨液压油、止回阀、泵上下单向阀、注射阀、背压阀、连接件、胶圈、垫片、盘根等。</w:t>
      </w:r>
      <w:r/>
    </w:p>
    <w:p>
      <w:pPr>
        <w:pStyle w:val="83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维修材料、配件单价须由采购人委托的第三方造价咨询公司出具预算书为准。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4、日常自检化验</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在日常运行过程中，需要按国家环保规定进行每日水质化验自检，并记录每日数据台账。日常水质自检包含PH值和余氯，每日不少于2次。自行投入化验仪器（包含化验仪表年检），日常化验设备及试剂耗材。</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5、排污许可证要求的自行监测</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排污许可证自行监测方案、环保、疾控等部门要求的检测因子及频次执行，登记每日检测数据，出具周、月、季度污水、废气、噪声等监测项目的第三方检测合格报告。监测因子和频次有缺项的由服务单位根据最新环保要求进行补足，费用包含在本项目中，不再另行增加。</w:t>
      </w:r>
      <w:r/>
    </w:p>
    <w:p>
      <w:pPr>
        <w:pStyle w:val="83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根据医疗机构相关标准要求，北关院区（老院区）每月检测一次粪大肠菌群数；每季度检测一次总汞、总镉、沙门氏菌；每半年检测一次志贺氏菌。</w:t>
      </w:r>
      <w:r/>
    </w:p>
    <w:p>
      <w:pPr>
        <w:pStyle w:val="83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相关检测需要第三方执行的，由中标方负责委托。</w:t>
      </w:r>
      <w:r>
        <w:rPr>
          <w:rFonts w:hint="eastAsia" w:ascii="宋体" w:hAnsi="宋体" w:eastAsia="宋体" w:cs="宋体"/>
          <w:color w:val="auto"/>
          <w:sz w:val="24"/>
          <w:szCs w:val="24"/>
          <w:highlight w:val="none"/>
          <w:lang w:val="en-US" w:eastAsia="zh-CN"/>
        </w:rPr>
        <w:t xml:space="preserve">所有检测费用均由中标方承担。</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6、办公劳保工具安全物资</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污水处理工作场所范围内所需的各类纸质台账资料、办公用品、劳保用品、维修保养工具、安全用品物资等。</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7、排污许可证证后管理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家排污许可证证后管理，包含：督促排污单位按时完成规定的环境检测；按要求及时完成江苏省自行监测平台的填报；编制符合排污许可证要求的自行监测方案；按要求完成排污许可证的年度、季度、月度执行报告；排污许可证注销、重新申请、变更及维护；企业信息披露年度填报；提供及完善排污许可证有效期内的技术咨询工作。</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8、污水池体清理清洗</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池体长时间运行会产生大量的污泥累积、沉淀池底，需要派遣具有相关能力的人员对各污水池体进行每年不低于一次清理清洗，人员需配备有限空间作业证书，并配合使用环保专用的移动式吸污压泥车进行污泥压滤、消毒。需要清理的池体包括：格栅池、调节池、沉淀池、消毒池。</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9、危废和固废处理：</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危险废物和一般工业固废包含：沉淀池污泥、栅渣、光氧灯管等。工作人员每日清掏栅渣、按月压滤污泥，按环保有关规定消毒、打包及存储。污泥、栅渣、光氧灯管都属于危险废物，由医院委托有资质单位负责转运及处置。  </w:t>
      </w:r>
      <w:r/>
    </w:p>
    <w:p>
      <w:pPr>
        <w:pStyle w:val="83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五、采购内容</w:t>
      </w:r>
      <w:r/>
    </w:p>
    <w:tbl>
      <w:tblPr>
        <w:tblStyle w:val="834"/>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25"/>
        <w:gridCol w:w="5481"/>
        <w:gridCol w:w="869"/>
        <w:gridCol w:w="831"/>
      </w:tblGrid>
      <w:tr>
        <w:trPr>
          <w:jc w:val="center"/>
          <w:trHeight w:val="273"/>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w:t>
            </w:r>
            <w:r/>
          </w:p>
        </w:tc>
        <w:tc>
          <w:tcPr>
            <w:tcW w:w="475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工作内容</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单位</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r>
      <w:tr>
        <w:trPr>
          <w:jc w:val="center"/>
          <w:trHeight w:val="1616"/>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w:t>
            </w:r>
            <w:r/>
          </w:p>
        </w:tc>
        <w:tc>
          <w:tcPr>
            <w:tcW w:w="4757"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本项目配备技术管理团队人员不少于4名：</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项目管理人员1名，本项目总负责人，全面负责管理本项目；</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值守运行人员1名，负责每日现场值守运行污水处理站；</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设备维修人员1名，负责每周定期上门维护保养、维修设备；</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巡视技术人员1名，负责每月定期上门巡视、检查、指导、培训、汇报工作。</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如遇临时检查或突发状况时需加派持证人员紧急处理。</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所有人员须持证上岗，含社保、福利、工资等。</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676"/>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污水药剂</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设计污水处理量1500吨/日，污水处理设备24小时运行，药剂按排放标准定量投加，确保水质、废气长期合格。</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包含：次氯酸钠；氯片；PAM；植物除臭剂。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具体用量投标单位自行测算。</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676"/>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日常维修、保养</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人员每日对污水、废气、污泥、电气、管路、池体等机电设备及设施进行专业的维护保养，对故障设备及时上报并维修。维修材料、配件等单价在500元以内由中标方免费提供并负责安装调试，500元以上（含）由医院负责采购或委托中标方代办。</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408"/>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日常自检化验</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中标方提供满足要求的手持式余氯检测仪器、手持式PH检测仪器。并免费提供配套的检测试剂，每日检测不少于2次。</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811"/>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排污许可检测报告</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排污许可证自行监测方案、环保、疾控等部门要求的检测因子及频次执行，登记每日检测数据，出具周、月、季度污水、废气、噪声等监测项目的第三方检测合格报告。监测因子和频次有缺项的有服务单位根据环保要求补足，费用包含在本项目中，不再另行增加。根据医疗机构相关标准要求，北关院区（老院区）每月检测一次粪大肠菌群数；每季度检测一次总汞、总镉、沙门氏菌；每半年检测一次志贺氏菌。相关检测需要第三方执行的，由中标方负责委托。</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408"/>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办公劳保工具安全物资</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定期为工作人员配备专业劳保用品、办公用品、耗材、工具、交通车辆、安全用品物资、安全保障物资等。</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90"/>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排污许可证证后管理</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院排污许可证证后管理，包含：督促排污单位按时完成规定的环境检测；按要求及时完成江苏省自行监测平台的填报；编制符合排污许可证要求的自行监测方案；按要求完成排污许可证的年度、季度、月度执行报告；排污许可证注销、重新申请、变更及维护；企业信息披露年度填报；提供及完善排污许可证有效期内的技术咨询工作。</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408"/>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污水池体清理清洗</w:t>
            </w:r>
            <w:r/>
          </w:p>
        </w:tc>
        <w:tc>
          <w:tcPr>
            <w:tcW w:w="4757"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污水池体长时间运行会产生大量的污泥累积、沉淀池底，需要派遣具有相关能力的人员对各污水池体进行每年不低于一次清理清洗，人员需配备有限空间作业证书，并配合使用环保专用的移动式吸污压泥车进行污泥压滤、消毒。需要清理的池体包括：格栅池、调节池、沉淀池、消毒池。</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jc w:val="center"/>
          <w:trHeight w:val="273"/>
        </w:trPr>
        <w:tc>
          <w:tcPr>
            <w:tcW w:w="652"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150"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其他费用</w:t>
            </w:r>
            <w:r/>
          </w:p>
        </w:tc>
        <w:tc>
          <w:tcPr>
            <w:tcW w:w="4757"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企业管理费、税金、利润、以及其他产生的一切费用</w:t>
            </w:r>
            <w:r/>
          </w:p>
        </w:tc>
        <w:tc>
          <w:tcPr>
            <w:tcW w:w="75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72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bl>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六、投标人针对本项目需求编制各项方案</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1、管理制度，包含但不限于：①运营管理服务工作标准；②污水站运营管理制度；③工作程序；④奖惩制度及岗位制度。</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施方案，包含但不限于：①污水站现有设备状况编制的设备设施日常维护计划；②污水站设备设施维护技术方案；③污水站运维安全管理方案；④运营管理机构人员配置及岗位职责；⑤档案管理方案；⑥新旧合同交接方案及项目移交方案。</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3、资源配置方案，包含但不限于：①运营服务所需的COD水质分析仪、氨氮水质分析仪、在线余氯仪、溶氧仪、便携式PH计；②运营服务所需的具有水、泥、渣三相分离功能的移动式吸污净化车。</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4、各类突发事件应急预案，包含但不限于：①应急事件处理程序；②应急事件响应措施；③应急培训演练；④应急物资的储备。</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5、清淤服务方案，包含但不限于：①清淤工艺流程；②人员配置；③安全防护措施；④有限空间作业管理制度。</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七、商务要求</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时间：本项目服务期三年（合同一年一签），服务期间甲方将对乙方进行考核,考核不合格甲方有权终止合同，年度合同到期经甲方测评合格后，甲方可续约下年度合同，应当于期限届满1个月前重新签订合同，最多可续约2次。测评为甲方职能科室根据乙方服务期情况进行综合考评，考评满意度≥80%可续签合同。如甲方无意续签合同，须在合同期满前1个月以书面形式通知乙方。如乙方无意续签合同，须在合同期满前4个月以书面形式通知甲方。甲方有权决定项目续签或重新招标。</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2、付款方式：</w:t>
      </w:r>
      <w:r>
        <w:rPr>
          <w:rFonts w:hint="eastAsia" w:ascii="宋体" w:hAnsi="宋体" w:eastAsia="宋体" w:cs="宋体"/>
          <w:color w:val="auto"/>
          <w:sz w:val="24"/>
          <w:szCs w:val="24"/>
          <w:highlight w:val="none"/>
        </w:rPr>
        <w:t xml:space="preserve">合同签订生效后，本项目按月考核，</w:t>
      </w:r>
      <w:r>
        <w:rPr>
          <w:rFonts w:hint="eastAsia" w:ascii="宋体" w:hAnsi="宋体" w:eastAsia="宋体" w:cs="宋体"/>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用</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六个月支付一次。</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3、服务地点：东台市中医院。</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4、报价要求：</w:t>
      </w:r>
      <w:r>
        <w:rPr>
          <w:rFonts w:hint="eastAsia" w:ascii="宋体" w:hAnsi="宋体" w:eastAsia="宋体" w:cs="宋体"/>
          <w:color w:val="auto"/>
          <w:sz w:val="24"/>
          <w:szCs w:val="24"/>
          <w:highlight w:val="none"/>
          <w:lang w:val="en-US" w:eastAsia="zh-CN"/>
        </w:rPr>
        <w:t xml:space="preserve">投标人投标总价不得超过限价（108万元/3年）</w:t>
      </w:r>
      <w:r>
        <w:rPr>
          <w:rFonts w:hint="eastAsia" w:ascii="宋体" w:hAnsi="宋体" w:eastAsia="宋体" w:cs="宋体"/>
          <w:color w:val="auto"/>
          <w:sz w:val="24"/>
          <w:szCs w:val="24"/>
          <w:highlight w:val="none"/>
          <w:lang w:val="en-US" w:eastAsia="zh-CN"/>
        </w:rPr>
        <w:t xml:space="preserve">，投标人的报价是投标人全部完成本项目所有的服务内容的全部工作、服务内容的综合最终报价,包括投标人履约过程中的人工、设备、差旅、住宿、保险、税金、验收、后期服务(如有)、招投标费用、利润、与项目相关的其他所有费用等。采购人在项目结算时不再向成交投标人支付其他任何费用。如出现在投标、报价估算错误等引起的损失由投标人自行承担。</w:t>
      </w:r>
      <w:r/>
    </w:p>
    <w:p>
      <w:pPr>
        <w:pStyle w:val="832"/>
        <w:ind w:firstLine="480"/>
        <w:jc w:val="both"/>
        <w:keepLines w:val="0"/>
        <w:keepNext w:val="0"/>
        <w:pageBreakBefore w:val="0"/>
        <w:spacing w:beforeAutospacing="0" w:afterAutospacing="0" w:line="44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5、验收标准：中标人与采购人应严格按照政府采购相关法律法规以及《财政部关于进一步加强政府采购需求和履约验收管理的指导意见》的通知（财库〔2016〕205号）的要求、投标文件规定的要求和响应文件及合同承诺的内容进行验收。</w:t>
      </w:r>
      <w:r/>
    </w:p>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八、采购标的对应的中小企业划分标准所属行业一览表</w:t>
      </w:r>
      <w:r/>
    </w:p>
    <w:tbl>
      <w:tblPr>
        <w:tblStyle w:val="825"/>
        <w:tblW w:w="80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04"/>
        <w:gridCol w:w="4285"/>
        <w:gridCol w:w="3010"/>
      </w:tblGrid>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83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2"/>
              <w:ind w:firstLine="24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3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东台市中医院污水处理站运维服务</w:t>
            </w:r>
            <w:r/>
          </w:p>
        </w:tc>
        <w:tc>
          <w:tcPr>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83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租赁和商务服务业</w:t>
            </w:r>
            <w:r/>
          </w:p>
        </w:tc>
      </w:tr>
    </w:tbl>
    <w:p>
      <w:pPr>
        <w:pStyle w:val="832"/>
        <w:ind w:firstLine="480"/>
        <w:jc w:val="both"/>
        <w:keepLines w:val="0"/>
        <w:keepNext w:val="0"/>
        <w:pageBreakBefore w:val="0"/>
        <w:spacing w:beforeAutospacing="0" w:afterAutospacing="0" w:line="440" w:lineRule="exact"/>
        <w:widowControl w:val="off"/>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rPr>
        <w:t xml:space="preserve"> </w:t>
      </w:r>
      <w:bookmarkStart w:id="180" w:name="_Toc120614281"/>
      <w:r/>
      <w:r/>
    </w:p>
    <w:p>
      <w:pPr>
        <w:keepLines w:val="0"/>
        <w:keepNext w:val="0"/>
        <w:pageBreakBefore w:val="0"/>
        <w:spacing w:line="44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3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32"/>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32"/>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38"/>
        <w:ind w:firstLine="360"/>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32"/>
        <w:ind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32"/>
        <w:ind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32"/>
        <w:ind w:left="120" w:firstLine="360"/>
        <w:spacing w:before="120" w:beforeAutospacing="0" w:after="120" w:afterAutospacing="0" w:line="0" w:lineRule="atLeas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32"/>
        <w:ind w:left="120"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32"/>
        <w:ind w:left="120"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32"/>
        <w:ind w:left="120" w:firstLine="360"/>
        <w:spacing w:before="120" w:beforeAutospacing="0" w:after="120" w:afterAutospacing="0" w:line="0" w:lineRule="atLeas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3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32"/>
        <w:ind w:left="120" w:firstLine="360"/>
        <w:spacing w:before="120" w:beforeAutospacing="0" w:after="120" w:afterAutospacing="0" w:line="0" w:lineRule="atLeas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32"/>
        <w:ind w:firstLine="482"/>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25"/>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748"/>
        <w:gridCol w:w="1243"/>
        <w:gridCol w:w="6335"/>
        <w:gridCol w:w="793"/>
      </w:tblGrid>
      <w:tr>
        <w:trPr>
          <w:jc w:val="center"/>
          <w:trHeight w:val="224"/>
          <w:tblHeader/>
        </w:trPr>
        <w:tc>
          <w:tcPr>
            <w:tcW w:w="1018" w:type="dxa"/>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评分项</w:t>
            </w:r>
            <w:r/>
          </w:p>
        </w:tc>
        <w:tc>
          <w:tcPr>
            <w:tcW w:w="748" w:type="dxa"/>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1243" w:type="dxa"/>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评分因素</w:t>
            </w:r>
            <w:r/>
          </w:p>
        </w:tc>
        <w:tc>
          <w:tcPr>
            <w:tcW w:w="6335" w:type="dxa"/>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评分细则</w:t>
            </w:r>
            <w:r/>
          </w:p>
        </w:tc>
        <w:tc>
          <w:tcPr>
            <w:tcW w:w="793" w:type="dxa"/>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分值</w:t>
            </w:r>
            <w:r/>
          </w:p>
        </w:tc>
      </w:tr>
      <w:tr>
        <w:trPr>
          <w:jc w:val="center"/>
          <w:trHeight w:val="873"/>
        </w:trPr>
        <w:tc>
          <w:tcPr>
            <w:tcW w:w="101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一、价格部分(</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0分）</w:t>
            </w:r>
            <w:r/>
          </w:p>
        </w:tc>
        <w:tc>
          <w:tcPr>
            <w:tcW w:w="74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报价</w:t>
            </w:r>
            <w:r/>
          </w:p>
        </w:tc>
        <w:tc>
          <w:tcPr>
            <w:tcW w:w="6335" w:type="dxa"/>
            <w:vAlign w:val="center"/>
            <w:textDirection w:val="lrTb"/>
            <w:noWrap w:val="false"/>
          </w:tcPr>
          <w:p>
            <w:pPr>
              <w:ind w:firstLine="420"/>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rPr>
                <w:rFonts w:ascii="SimSun" w:hAnsi="SimSun" w:eastAsia="SimSun" w:cs="SimSun"/>
                <w:color w:val="000000"/>
                <w:sz w:val="21"/>
              </w:rPr>
              <w:t xml:space="preserve">满足采购文件要求且投标价格最低的投标报价为基准价，其价格分为满分。报价得分=(评标基准价/投标报价)×10。</w:t>
            </w:r>
            <w:r>
              <w:rPr>
                <w:rFonts w:hint="eastAsia" w:ascii="宋体" w:hAnsi="宋体" w:cs="宋体"/>
                <w:color w:val="auto"/>
                <w:sz w:val="21"/>
                <w:szCs w:val="21"/>
                <w:highlight w:val="none"/>
              </w:rPr>
            </w:r>
            <w:r/>
          </w:p>
        </w:tc>
        <w:tc>
          <w:tcPr>
            <w:tcW w:w="793" w:type="dxa"/>
            <w:vAlign w:val="center"/>
            <w:textDirection w:val="lrTb"/>
            <w:noWrap w:val="false"/>
          </w:tcPr>
          <w:p>
            <w:pPr>
              <w:jc w:val="center"/>
              <w:spacing w:line="24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90"/>
        </w:trPr>
        <w:tc>
          <w:tcPr>
            <w:tcW w:w="1018" w:type="dxa"/>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二、技术部分(</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0分）</w:t>
            </w:r>
            <w:r/>
          </w:p>
        </w:tc>
        <w:tc>
          <w:tcPr>
            <w:tcW w:w="74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管理</w:t>
            </w:r>
            <w:r>
              <w:rPr>
                <w:rFonts w:hint="eastAsia" w:ascii="宋体" w:hAnsi="宋体" w:cs="宋体"/>
                <w:color w:val="auto"/>
                <w:sz w:val="21"/>
                <w:szCs w:val="21"/>
                <w:highlight w:val="none"/>
              </w:rPr>
              <w:t xml:space="preserve">制度</w:t>
            </w:r>
            <w:r/>
          </w:p>
        </w:tc>
        <w:tc>
          <w:tcPr>
            <w:tcW w:w="6335" w:type="dxa"/>
            <w:vAlign w:val="center"/>
            <w:textDirection w:val="lrTb"/>
            <w:noWrap w:val="false"/>
          </w:tcPr>
          <w:p>
            <w:pPr>
              <w:ind w:firstLine="422"/>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针对本项目服务要求编制的管理制度，包含①</w:t>
            </w:r>
            <w:r>
              <w:rPr>
                <w:rFonts w:hint="eastAsia" w:ascii="宋体" w:hAnsi="宋体" w:cs="宋体"/>
                <w:b/>
                <w:bCs/>
                <w:color w:val="auto"/>
                <w:sz w:val="21"/>
                <w:szCs w:val="21"/>
                <w:highlight w:val="none"/>
              </w:rPr>
              <w:t xml:space="preserve">运营管理服务工作标准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②</w:t>
            </w:r>
            <w:r>
              <w:rPr>
                <w:rFonts w:hint="eastAsia" w:ascii="宋体" w:hAnsi="宋体" w:cs="宋体"/>
                <w:b/>
                <w:bCs/>
                <w:color w:val="auto"/>
                <w:sz w:val="21"/>
                <w:szCs w:val="21"/>
                <w:highlight w:val="none"/>
              </w:rPr>
              <w:t xml:space="preserve">污水站运营管理制度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③</w:t>
            </w:r>
            <w:r>
              <w:rPr>
                <w:rFonts w:hint="eastAsia" w:ascii="宋体" w:hAnsi="宋体" w:cs="宋体"/>
                <w:b/>
                <w:bCs/>
                <w:color w:val="auto"/>
                <w:sz w:val="21"/>
                <w:szCs w:val="21"/>
                <w:highlight w:val="none"/>
              </w:rPr>
              <w:t xml:space="preserve">工作程序</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④</w:t>
            </w:r>
            <w:r>
              <w:rPr>
                <w:rFonts w:hint="eastAsia" w:ascii="宋体" w:hAnsi="宋体" w:cs="宋体"/>
                <w:b/>
                <w:bCs/>
                <w:color w:val="auto"/>
                <w:sz w:val="21"/>
                <w:szCs w:val="21"/>
                <w:highlight w:val="none"/>
              </w:rPr>
              <w:t xml:space="preserve">奖惩制度</w:t>
            </w:r>
            <w:r>
              <w:rPr>
                <w:rFonts w:hint="eastAsia" w:ascii="宋体" w:hAnsi="宋体" w:cs="宋体"/>
                <w:b/>
                <w:bCs/>
                <w:color w:val="auto"/>
                <w:sz w:val="21"/>
                <w:szCs w:val="21"/>
                <w:highlight w:val="none"/>
                <w:lang w:val="en-US" w:eastAsia="zh-CN"/>
              </w:rPr>
              <w:t xml:space="preserve">及</w:t>
            </w:r>
            <w:r>
              <w:rPr>
                <w:rFonts w:hint="eastAsia" w:ascii="宋体" w:hAnsi="宋体" w:cs="宋体"/>
                <w:b/>
                <w:bCs/>
                <w:color w:val="auto"/>
                <w:sz w:val="21"/>
                <w:szCs w:val="21"/>
                <w:highlight w:val="none"/>
              </w:rPr>
              <w:t xml:space="preserve">岗位制度</w:t>
            </w:r>
            <w:r>
              <w:rPr>
                <w:rFonts w:hint="eastAsia" w:ascii="宋体" w:hAnsi="宋体" w:cs="宋体"/>
                <w:b/>
                <w:bCs/>
                <w:color w:val="auto"/>
                <w:sz w:val="21"/>
                <w:szCs w:val="21"/>
                <w:highlight w:val="none"/>
                <w:lang w:val="en-US" w:eastAsia="zh-CN"/>
              </w:rPr>
              <w:t xml:space="preserve">等内容，</w:t>
            </w:r>
            <w:r>
              <w:rPr>
                <w:rFonts w:hint="eastAsia" w:ascii="宋体" w:hAnsi="宋体" w:cs="宋体"/>
                <w:b/>
                <w:bCs/>
                <w:color w:val="auto"/>
                <w:sz w:val="21"/>
                <w:szCs w:val="21"/>
                <w:highlight w:val="none"/>
              </w:rPr>
              <w:t xml:space="preserve">进行综合评审：满足以上</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项要求最多得1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分，满足任意1项最多得3分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其余情况不得分。</w:t>
            </w:r>
            <w:r/>
          </w:p>
          <w:p>
            <w:pPr>
              <w:ind w:firstLine="420"/>
              <w:spacing w:line="240" w:lineRule="auto"/>
              <w:tabs>
                <w:tab w:val="left" w:pos="426" w:leader="none"/>
              </w:tabs>
              <w:rPr>
                <w:rStyle w:val="843"/>
                <w:rFonts w:hint="eastAsia" w:ascii="Times New Roman" w:hAnsi="Times New Roman" w:eastAsia="宋体" w:cs="Times New Roman"/>
                <w:color w:val="auto"/>
                <w:sz w:val="21"/>
                <w:szCs w:val="21"/>
                <w:highlight w:val="none"/>
                <w:lang w:eastAsia="zh-CN"/>
              </w:rPr>
            </w:pPr>
            <w:r>
              <w:rPr>
                <w:rStyle w:val="843"/>
                <w:rFonts w:hint="eastAsia" w:ascii="Times New Roman" w:hAnsi="Times New Roman" w:eastAsia="宋体" w:cs="Times New Roman"/>
                <w:color w:val="auto"/>
                <w:sz w:val="21"/>
                <w:szCs w:val="21"/>
                <w:highlight w:val="none"/>
                <w:lang w:val="zh-CN" w:eastAsia="zh-CN"/>
              </w:rPr>
              <w:t xml:space="preserve">注：评审委员会根据各投标人的具体响应内容按照以下量化的评审因素指标对各项要求进行评审：</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①</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条理清晰、有效，科学合理且可行性高，完全满足服务项目需求，该项得3分。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②</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条理性一般、合理性一般、可行性一般，基本满足服务项目需求，该项得2分。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③</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条理混乱，缺乏科学合理性，可行性较差，且未能充分理解服务项目需求，该项得分1分。</w:t>
            </w:r>
            <w:r/>
          </w:p>
          <w:p>
            <w:pPr>
              <w:ind w:firstLine="420"/>
              <w:spacing w:line="240" w:lineRule="auto"/>
              <w:widowControl/>
              <w:rPr>
                <w:rFonts w:hint="eastAsia" w:ascii="宋体" w:hAnsi="宋体" w:cs="宋体"/>
                <w:color w:val="auto"/>
                <w:sz w:val="21"/>
                <w:szCs w:val="21"/>
                <w:highlight w:val="none"/>
              </w:rPr>
            </w:pPr>
            <w:r>
              <w:rPr>
                <w:rStyle w:val="843"/>
                <w:rFonts w:hint="eastAsia" w:ascii="宋体" w:hAnsi="宋体" w:eastAsia="宋体" w:cs="宋体"/>
                <w:color w:val="auto"/>
                <w:sz w:val="21"/>
                <w:szCs w:val="21"/>
                <w:highlight w:val="none"/>
              </w:rPr>
              <w:t xml:space="preserve">④</w:t>
            </w:r>
            <w:r>
              <w:rPr>
                <w:rStyle w:val="843"/>
                <w:rFonts w:hint="eastAsia" w:ascii="宋体" w:hAnsi="宋体" w:eastAsia="宋体" w:cs="宋体"/>
                <w:color w:val="auto"/>
                <w:sz w:val="21"/>
                <w:szCs w:val="21"/>
                <w:highlight w:val="none"/>
                <w:lang w:eastAsia="zh-CN"/>
              </w:rPr>
              <w:t xml:space="preserve">提供的内容不完整或未提供</w:t>
            </w:r>
            <w:r>
              <w:rPr>
                <w:rStyle w:val="843"/>
                <w:rFonts w:hint="eastAsia" w:ascii="宋体" w:hAnsi="宋体" w:eastAsia="宋体" w:cs="宋体"/>
                <w:color w:val="auto"/>
                <w:sz w:val="21"/>
                <w:szCs w:val="21"/>
                <w:highlight w:val="none"/>
                <w:lang w:val="en-US" w:eastAsia="zh-CN"/>
              </w:rPr>
              <w:t xml:space="preserve">相关管理制度</w:t>
            </w:r>
            <w:r>
              <w:rPr>
                <w:rStyle w:val="843"/>
                <w:rFonts w:hint="eastAsia" w:ascii="宋体" w:hAnsi="宋体" w:eastAsia="宋体" w:cs="宋体"/>
                <w:color w:val="auto"/>
                <w:sz w:val="21"/>
                <w:szCs w:val="21"/>
                <w:highlight w:val="none"/>
                <w:lang w:eastAsia="zh-CN"/>
              </w:rPr>
              <w:t xml:space="preserve">，</w:t>
            </w:r>
            <w:r>
              <w:rPr>
                <w:rStyle w:val="843"/>
                <w:rFonts w:hint="eastAsia" w:ascii="宋体" w:hAnsi="宋体" w:eastAsia="宋体" w:cs="宋体"/>
                <w:color w:val="auto"/>
                <w:sz w:val="21"/>
                <w:szCs w:val="21"/>
                <w:highlight w:val="none"/>
                <w:lang w:val="en-US" w:eastAsia="zh-CN"/>
              </w:rPr>
              <w:t xml:space="preserve">与服务项目需求严重不符，该项得0分。</w:t>
            </w:r>
            <w:r/>
          </w:p>
        </w:tc>
        <w:tc>
          <w:tcPr>
            <w:tcW w:w="793" w:type="dxa"/>
            <w:vAlign w:val="center"/>
            <w:textDirection w:val="lrTb"/>
            <w:noWrap w:val="false"/>
          </w:tcPr>
          <w:p>
            <w:pPr>
              <w:jc w:val="center"/>
              <w:spacing w:line="240" w:lineRule="auto"/>
              <w:widowControl/>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r>
      <w:tr>
        <w:trPr>
          <w:jc w:val="center"/>
          <w:trHeight w:val="90"/>
        </w:trPr>
        <w:tc>
          <w:tcPr>
            <w:tcW w:w="1018" w:type="dxa"/>
            <w:vAlign w:val="center"/>
            <w:vMerge w:val="continue"/>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4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tc>
        <w:tc>
          <w:tcPr>
            <w:tcW w:w="6335" w:type="dxa"/>
            <w:vAlign w:val="center"/>
            <w:textDirection w:val="lrTb"/>
            <w:noWrap w:val="false"/>
          </w:tcPr>
          <w:p>
            <w:pPr>
              <w:ind w:firstLine="422"/>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针对本项目服务要求编制的污水运维实施方案，包含①污水站现有设备状况编制的设备设施日常维护计划</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②污水站设备设施维护技术方案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③污水站运维安全管理方案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④运营管理机构人员配置及岗位职责；⑤档案管理方案；⑥新旧合同交接方案及项目移交方案等内容，</w:t>
            </w:r>
            <w:r>
              <w:rPr>
                <w:rFonts w:hint="eastAsia" w:ascii="宋体" w:hAnsi="宋体" w:cs="宋体"/>
                <w:b/>
                <w:bCs/>
                <w:color w:val="auto"/>
                <w:sz w:val="21"/>
                <w:szCs w:val="21"/>
                <w:highlight w:val="none"/>
              </w:rPr>
              <w:t xml:space="preserve">进行综合评审：满足以上</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项要求最多得</w:t>
            </w:r>
            <w:r>
              <w:rPr>
                <w:rFonts w:hint="eastAsia" w:ascii="宋体" w:hAnsi="宋体" w:cs="宋体"/>
                <w:b/>
                <w:bCs/>
                <w:color w:val="auto"/>
                <w:sz w:val="21"/>
                <w:szCs w:val="21"/>
                <w:highlight w:val="none"/>
                <w:lang w:val="en-US" w:eastAsia="zh-CN"/>
              </w:rPr>
              <w:t xml:space="preserve">18</w:t>
            </w:r>
            <w:r>
              <w:rPr>
                <w:rFonts w:hint="eastAsia" w:ascii="宋体" w:hAnsi="宋体" w:cs="宋体"/>
                <w:b/>
                <w:bCs/>
                <w:color w:val="auto"/>
                <w:sz w:val="21"/>
                <w:szCs w:val="21"/>
                <w:highlight w:val="none"/>
              </w:rPr>
              <w:t xml:space="preserve">分，满足任意1项最多得</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分；其余情况不得分。</w:t>
            </w:r>
            <w:r/>
          </w:p>
          <w:p>
            <w:pPr>
              <w:ind w:firstLine="420"/>
              <w:spacing w:line="240" w:lineRule="auto"/>
              <w:tabs>
                <w:tab w:val="left" w:pos="426" w:leader="none"/>
              </w:tabs>
              <w:rPr>
                <w:rStyle w:val="843"/>
                <w:rFonts w:hint="eastAsia" w:ascii="Times New Roman" w:hAnsi="Times New Roman" w:eastAsia="宋体" w:cs="Times New Roman"/>
                <w:color w:val="auto"/>
                <w:sz w:val="21"/>
                <w:szCs w:val="21"/>
                <w:highlight w:val="none"/>
                <w:lang w:eastAsia="zh-CN"/>
              </w:rPr>
            </w:pPr>
            <w:r>
              <w:rPr>
                <w:rStyle w:val="843"/>
                <w:rFonts w:hint="eastAsia" w:ascii="Times New Roman" w:hAnsi="Times New Roman" w:eastAsia="宋体" w:cs="Times New Roman"/>
                <w:color w:val="auto"/>
                <w:sz w:val="21"/>
                <w:szCs w:val="21"/>
                <w:highlight w:val="none"/>
                <w:lang w:val="zh-CN" w:eastAsia="zh-CN"/>
              </w:rPr>
              <w:t xml:space="preserve">注：评审委员会根据各投标人的具体响应内容按照以下量化的评审因素指标对各项要求进行评审：</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①</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条理清晰、有效，科学合理且可行性高，完全满足服务项目需求，该项得3分。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②</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条理性一般、合理性一般、可行性一般，基本满足服务项目需求，该项得2分。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③</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条理混乱，缺乏科学合理性，可行性较差，且未能充分理解服务项目需求，该项得分1分。</w:t>
            </w:r>
            <w:r/>
          </w:p>
          <w:p>
            <w:pPr>
              <w:ind w:firstLine="420"/>
              <w:jc w:val="left"/>
              <w:spacing w:line="240" w:lineRule="auto"/>
              <w:rPr>
                <w:rFonts w:hint="eastAsia" w:ascii="宋体" w:hAnsi="宋体" w:cs="宋体"/>
                <w:color w:val="auto"/>
                <w:sz w:val="21"/>
                <w:szCs w:val="21"/>
                <w:highlight w:val="none"/>
              </w:rPr>
            </w:pPr>
            <w:r>
              <w:rPr>
                <w:rStyle w:val="843"/>
                <w:rFonts w:hint="eastAsia" w:ascii="宋体" w:hAnsi="宋体" w:eastAsia="宋体" w:cs="宋体"/>
                <w:color w:val="auto"/>
                <w:sz w:val="21"/>
                <w:szCs w:val="21"/>
                <w:highlight w:val="none"/>
              </w:rPr>
              <w:t xml:space="preserve">④</w:t>
            </w:r>
            <w:r>
              <w:rPr>
                <w:rStyle w:val="843"/>
                <w:rFonts w:hint="eastAsia" w:ascii="宋体" w:hAnsi="宋体" w:eastAsia="宋体" w:cs="宋体"/>
                <w:color w:val="auto"/>
                <w:sz w:val="21"/>
                <w:szCs w:val="21"/>
                <w:highlight w:val="none"/>
                <w:lang w:eastAsia="zh-CN"/>
              </w:rPr>
              <w:t xml:space="preserve">提供的内容不完整或未提供</w:t>
            </w:r>
            <w:r>
              <w:rPr>
                <w:rStyle w:val="843"/>
                <w:rFonts w:hint="eastAsia" w:ascii="宋体" w:hAnsi="宋体" w:eastAsia="宋体" w:cs="宋体"/>
                <w:color w:val="auto"/>
                <w:sz w:val="21"/>
                <w:szCs w:val="21"/>
                <w:highlight w:val="none"/>
                <w:lang w:val="en-US" w:eastAsia="zh-CN"/>
              </w:rPr>
              <w:t xml:space="preserve">相关设施方案</w:t>
            </w:r>
            <w:r>
              <w:rPr>
                <w:rStyle w:val="843"/>
                <w:rFonts w:hint="eastAsia" w:ascii="宋体" w:hAnsi="宋体" w:eastAsia="宋体" w:cs="宋体"/>
                <w:color w:val="auto"/>
                <w:sz w:val="21"/>
                <w:szCs w:val="21"/>
                <w:highlight w:val="none"/>
                <w:lang w:eastAsia="zh-CN"/>
              </w:rPr>
              <w:t xml:space="preserve">，</w:t>
            </w:r>
            <w:r>
              <w:rPr>
                <w:rStyle w:val="843"/>
                <w:rFonts w:hint="eastAsia" w:ascii="宋体" w:hAnsi="宋体" w:eastAsia="宋体" w:cs="宋体"/>
                <w:color w:val="auto"/>
                <w:sz w:val="21"/>
                <w:szCs w:val="21"/>
                <w:highlight w:val="none"/>
                <w:lang w:val="en-US" w:eastAsia="zh-CN"/>
              </w:rPr>
              <w:t xml:space="preserve">与服务项目需求严重不符，该项得0分。</w:t>
            </w:r>
            <w:r/>
          </w:p>
        </w:tc>
        <w:tc>
          <w:tcPr>
            <w:tcW w:w="793" w:type="dxa"/>
            <w:vAlign w:val="center"/>
            <w:textDirection w:val="lrTb"/>
            <w:noWrap w:val="false"/>
          </w:tcPr>
          <w:p>
            <w:pPr>
              <w:jc w:val="center"/>
              <w:spacing w:line="24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p>
        </w:tc>
      </w:tr>
      <w:tr>
        <w:trPr>
          <w:jc w:val="center"/>
          <w:trHeight w:val="3644"/>
        </w:trPr>
        <w:tc>
          <w:tcPr>
            <w:tcW w:w="1018" w:type="dxa"/>
            <w:vAlign w:val="center"/>
            <w:vMerge w:val="continue"/>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48" w:type="dxa"/>
            <w:vAlign w:val="center"/>
            <w:textDirection w:val="lrTb"/>
            <w:noWrap w:val="false"/>
          </w:tcPr>
          <w:p>
            <w:pPr>
              <w:jc w:val="center"/>
              <w:spacing w:line="24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tcW w:w="1243" w:type="dxa"/>
            <w:vAlign w:val="center"/>
            <w:textDirection w:val="lrTb"/>
            <w:noWrap w:val="false"/>
          </w:tcPr>
          <w:p>
            <w:pPr>
              <w:jc w:val="center"/>
              <w:spacing w:line="24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资源配置方案</w:t>
            </w:r>
            <w:r/>
          </w:p>
        </w:tc>
        <w:tc>
          <w:tcPr>
            <w:tcW w:w="6335" w:type="dxa"/>
            <w:vAlign w:val="center"/>
            <w:textDirection w:val="lrTb"/>
            <w:noWrap w:val="false"/>
          </w:tcPr>
          <w:p>
            <w:pPr>
              <w:ind w:firstLine="422"/>
              <w:spacing w:line="240" w:lineRule="auto"/>
              <w:tabs>
                <w:tab w:val="left" w:pos="42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针对本项目服务要求编制的资源配置方案，包含①运营服务</w:t>
            </w:r>
            <w:r>
              <w:rPr>
                <w:rFonts w:hint="eastAsia" w:ascii="宋体" w:hAnsi="宋体" w:cs="宋体"/>
                <w:b/>
                <w:bCs/>
                <w:color w:val="auto"/>
                <w:sz w:val="21"/>
                <w:szCs w:val="21"/>
                <w:highlight w:val="none"/>
              </w:rPr>
              <w:t xml:space="preserve">所需</w:t>
            </w:r>
            <w:r>
              <w:rPr>
                <w:rFonts w:hint="eastAsia" w:ascii="宋体" w:hAnsi="宋体" w:cs="宋体"/>
                <w:b/>
                <w:bCs/>
                <w:color w:val="auto"/>
                <w:sz w:val="21"/>
                <w:szCs w:val="21"/>
                <w:highlight w:val="none"/>
                <w:lang w:val="en-US" w:eastAsia="zh-CN"/>
              </w:rPr>
              <w:t xml:space="preserve">的</w:t>
            </w:r>
            <w:r>
              <w:rPr>
                <w:rFonts w:hint="eastAsia" w:ascii="宋体" w:hAnsi="宋体" w:cs="宋体"/>
                <w:b/>
                <w:bCs/>
                <w:color w:val="auto"/>
                <w:sz w:val="21"/>
                <w:szCs w:val="21"/>
                <w:highlight w:val="none"/>
              </w:rPr>
              <w:t xml:space="preserve">COD</w:t>
            </w:r>
            <w:r>
              <w:rPr>
                <w:rFonts w:hint="eastAsia" w:ascii="宋体" w:hAnsi="宋体" w:cs="宋体"/>
                <w:b/>
                <w:bCs/>
                <w:color w:val="auto"/>
                <w:sz w:val="21"/>
                <w:szCs w:val="21"/>
                <w:highlight w:val="none"/>
                <w:lang w:val="en-US" w:eastAsia="zh-CN"/>
              </w:rPr>
              <w:t xml:space="preserve">水质分析仪</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氨氮水质分析仪、在线余氯仪、溶氧仪、便携式PH计</w:t>
            </w:r>
            <w:r>
              <w:rPr>
                <w:rFonts w:hint="eastAsia" w:ascii="宋体" w:hAnsi="宋体" w:cs="宋体"/>
                <w:b/>
                <w:bCs/>
                <w:color w:val="auto"/>
                <w:sz w:val="21"/>
                <w:szCs w:val="21"/>
                <w:highlight w:val="none"/>
                <w:lang w:eastAsia="zh-CN"/>
              </w:rPr>
              <w:t xml:space="preserve">；</w:t>
            </w:r>
            <w:r>
              <w:rPr>
                <w:rStyle w:val="843"/>
                <w:rFonts w:hint="eastAsia" w:ascii="宋体" w:hAnsi="宋体" w:eastAsia="宋体" w:cs="宋体"/>
                <w:b/>
                <w:bCs/>
                <w:color w:val="auto"/>
                <w:sz w:val="21"/>
                <w:szCs w:val="21"/>
                <w:highlight w:val="none"/>
              </w:rPr>
              <w:t xml:space="preserve">②</w:t>
            </w:r>
            <w:r>
              <w:rPr>
                <w:rFonts w:hint="eastAsia" w:ascii="宋体" w:hAnsi="宋体" w:cs="宋体"/>
                <w:b/>
                <w:bCs/>
                <w:color w:val="auto"/>
                <w:sz w:val="21"/>
                <w:szCs w:val="21"/>
                <w:highlight w:val="none"/>
                <w:lang w:val="en-US" w:eastAsia="zh-CN"/>
              </w:rPr>
              <w:t xml:space="preserve">运营服务</w:t>
            </w:r>
            <w:r>
              <w:rPr>
                <w:rFonts w:hint="eastAsia" w:ascii="宋体" w:hAnsi="宋体" w:cs="宋体"/>
                <w:b/>
                <w:bCs/>
                <w:color w:val="auto"/>
                <w:sz w:val="21"/>
                <w:szCs w:val="21"/>
                <w:highlight w:val="none"/>
              </w:rPr>
              <w:t xml:space="preserve">所需</w:t>
            </w:r>
            <w:r>
              <w:rPr>
                <w:rFonts w:hint="eastAsia" w:ascii="宋体" w:hAnsi="宋体" w:cs="宋体"/>
                <w:b/>
                <w:bCs/>
                <w:color w:val="auto"/>
                <w:sz w:val="21"/>
                <w:szCs w:val="21"/>
                <w:highlight w:val="none"/>
                <w:lang w:val="en-US" w:eastAsia="zh-CN"/>
              </w:rPr>
              <w:t xml:space="preserve">的</w:t>
            </w:r>
            <w:r>
              <w:rPr>
                <w:rFonts w:hint="eastAsia" w:ascii="宋体" w:hAnsi="宋体" w:cs="宋体"/>
                <w:b/>
                <w:bCs/>
                <w:color w:val="auto"/>
                <w:sz w:val="21"/>
                <w:szCs w:val="21"/>
                <w:highlight w:val="none"/>
              </w:rPr>
              <w:t xml:space="preserve">具有水、泥、渣三相分离功能的移动式吸污净化车</w:t>
            </w:r>
            <w:r>
              <w:rPr>
                <w:rFonts w:hint="eastAsia" w:ascii="宋体" w:hAnsi="宋体" w:cs="宋体"/>
                <w:b/>
                <w:bCs/>
                <w:color w:val="auto"/>
                <w:sz w:val="21"/>
                <w:szCs w:val="21"/>
                <w:highlight w:val="none"/>
                <w:lang w:eastAsia="zh-CN"/>
              </w:rPr>
              <w:t xml:space="preserve">。</w:t>
            </w:r>
            <w:r>
              <w:rPr>
                <w:rStyle w:val="843"/>
                <w:rFonts w:hint="eastAsia" w:ascii="宋体" w:hAnsi="宋体" w:eastAsia="宋体" w:cs="宋体"/>
                <w:b/>
                <w:bCs/>
                <w:color w:val="auto"/>
                <w:sz w:val="21"/>
                <w:szCs w:val="21"/>
                <w:highlight w:val="none"/>
                <w:lang w:eastAsia="zh-CN"/>
              </w:rPr>
              <w:t xml:space="preserve">提供的</w:t>
            </w:r>
            <w:r>
              <w:rPr>
                <w:rStyle w:val="843"/>
                <w:rFonts w:hint="eastAsia" w:ascii="宋体" w:hAnsi="宋体" w:eastAsia="宋体" w:cs="宋体"/>
                <w:b/>
                <w:bCs/>
                <w:color w:val="auto"/>
                <w:sz w:val="21"/>
                <w:szCs w:val="21"/>
                <w:highlight w:val="none"/>
                <w:lang w:val="en-US" w:eastAsia="zh-CN"/>
              </w:rPr>
              <w:t xml:space="preserve">资源配置必要材料需要包含：仪表</w:t>
            </w:r>
            <w:r>
              <w:rPr>
                <w:rFonts w:hint="eastAsia" w:ascii="宋体" w:hAnsi="宋体" w:cs="宋体"/>
                <w:b/>
                <w:bCs/>
                <w:color w:val="auto"/>
                <w:sz w:val="21"/>
                <w:szCs w:val="21"/>
                <w:highlight w:val="none"/>
              </w:rPr>
              <w:t xml:space="preserve">购置发票</w:t>
            </w:r>
            <w:r>
              <w:rPr>
                <w:rStyle w:val="843"/>
                <w:rFonts w:hint="eastAsia" w:ascii="宋体" w:hAnsi="宋体" w:eastAsia="宋体" w:cs="宋体"/>
                <w:b/>
                <w:bCs/>
                <w:color w:val="auto"/>
                <w:sz w:val="21"/>
                <w:szCs w:val="21"/>
                <w:highlight w:val="none"/>
                <w:lang w:val="en-US" w:eastAsia="zh-CN"/>
              </w:rPr>
              <w:t xml:space="preserve">、车辆</w:t>
            </w:r>
            <w:r>
              <w:rPr>
                <w:rFonts w:hint="eastAsia" w:ascii="宋体" w:hAnsi="宋体" w:cs="宋体"/>
                <w:b/>
                <w:bCs/>
                <w:color w:val="auto"/>
                <w:sz w:val="21"/>
                <w:szCs w:val="21"/>
                <w:highlight w:val="none"/>
              </w:rPr>
              <w:t xml:space="preserve">购置发票（发票车辆类型：吸污净化车）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车辆说明书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车辆照片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行驶证（车辆类型：非载货专项作业车辆）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对以上内容</w:t>
            </w:r>
            <w:r>
              <w:rPr>
                <w:rFonts w:hint="eastAsia" w:ascii="宋体" w:hAnsi="宋体" w:cs="宋体"/>
                <w:b/>
                <w:bCs/>
                <w:color w:val="auto"/>
                <w:sz w:val="21"/>
                <w:szCs w:val="21"/>
                <w:highlight w:val="none"/>
              </w:rPr>
              <w:t xml:space="preserve">进行综合评审：满足以上</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项要求最多得</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分，满足任意1项最多得</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分；其余情况不得分。</w:t>
            </w:r>
            <w:r/>
          </w:p>
          <w:p>
            <w:pPr>
              <w:ind w:firstLine="420"/>
              <w:spacing w:line="240" w:lineRule="auto"/>
              <w:tabs>
                <w:tab w:val="left" w:pos="426" w:leader="none"/>
              </w:tabs>
              <w:rPr>
                <w:rStyle w:val="843"/>
                <w:rFonts w:hint="eastAsia" w:ascii="Times New Roman" w:hAnsi="Times New Roman" w:eastAsia="宋体" w:cs="Times New Roman"/>
                <w:color w:val="auto"/>
                <w:sz w:val="21"/>
                <w:szCs w:val="21"/>
                <w:highlight w:val="none"/>
                <w:lang w:val="zh-CN" w:eastAsia="zh-CN"/>
              </w:rPr>
            </w:pPr>
            <w:r>
              <w:rPr>
                <w:rStyle w:val="843"/>
                <w:rFonts w:hint="eastAsia" w:ascii="Times New Roman" w:hAnsi="Times New Roman" w:eastAsia="宋体" w:cs="Times New Roman"/>
                <w:color w:val="auto"/>
                <w:sz w:val="21"/>
                <w:szCs w:val="21"/>
                <w:highlight w:val="none"/>
                <w:lang w:val="zh-CN" w:eastAsia="zh-CN"/>
              </w:rPr>
              <w:t xml:space="preserve">注：评审委员会根据各投标人的具体响应内容按照以下量化的评审因素指标对各项要求进行评审：</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①</w:t>
            </w:r>
            <w:r>
              <w:rPr>
                <w:rStyle w:val="843"/>
                <w:rFonts w:hint="eastAsia" w:ascii="宋体" w:hAnsi="宋体" w:eastAsia="宋体" w:cs="宋体"/>
                <w:color w:val="auto"/>
                <w:sz w:val="21"/>
                <w:szCs w:val="21"/>
                <w:highlight w:val="none"/>
                <w:lang w:val="en-US" w:eastAsia="zh-CN"/>
              </w:rPr>
              <w:t xml:space="preserve">仪表和车辆由企业完全自有的，提供的资料齐全且名称完全吻合一致的，该项得3分。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②</w:t>
            </w:r>
            <w:r>
              <w:rPr>
                <w:rStyle w:val="843"/>
                <w:rFonts w:hint="eastAsia" w:ascii="宋体" w:hAnsi="宋体" w:eastAsia="宋体" w:cs="宋体"/>
                <w:color w:val="auto"/>
                <w:sz w:val="21"/>
                <w:szCs w:val="21"/>
                <w:highlight w:val="none"/>
                <w:lang w:val="en-US" w:eastAsia="zh-CN"/>
              </w:rPr>
              <w:t xml:space="preserve">仪表和车辆由企业租赁的，提供了租赁合同、资料齐全且名称完全吻合的，该项得2分。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③</w:t>
            </w:r>
            <w:r>
              <w:rPr>
                <w:rStyle w:val="843"/>
                <w:rFonts w:hint="eastAsia" w:ascii="宋体" w:hAnsi="宋体" w:eastAsia="宋体" w:cs="宋体"/>
                <w:color w:val="auto"/>
                <w:sz w:val="21"/>
                <w:szCs w:val="21"/>
                <w:highlight w:val="none"/>
                <w:lang w:val="en-US" w:eastAsia="zh-CN"/>
              </w:rPr>
              <w:t xml:space="preserve">仪表和车辆由企业自有的或者租赁的（提供租赁合同），提供的资料不完整不齐全、名称不完全吻合的，该项得1分。</w:t>
            </w:r>
            <w:r/>
          </w:p>
          <w:p>
            <w:pPr>
              <w:ind w:firstLine="420"/>
              <w:spacing w:line="240" w:lineRule="auto"/>
              <w:widowControl/>
              <w:rPr>
                <w:rFonts w:hint="eastAsia" w:ascii="宋体" w:hAnsi="宋体" w:cs="宋体"/>
                <w:color w:val="auto"/>
                <w:sz w:val="21"/>
                <w:szCs w:val="21"/>
                <w:highlight w:val="none"/>
              </w:rPr>
            </w:pPr>
            <w:r>
              <w:rPr>
                <w:rStyle w:val="843"/>
                <w:rFonts w:hint="eastAsia" w:ascii="宋体" w:hAnsi="宋体" w:eastAsia="宋体" w:cs="宋体"/>
                <w:color w:val="auto"/>
                <w:sz w:val="21"/>
                <w:szCs w:val="21"/>
                <w:highlight w:val="none"/>
              </w:rPr>
              <w:t xml:space="preserve">④</w:t>
            </w:r>
            <w:r>
              <w:rPr>
                <w:rStyle w:val="843"/>
                <w:rFonts w:hint="eastAsia" w:ascii="宋体" w:hAnsi="宋体" w:eastAsia="宋体" w:cs="宋体"/>
                <w:color w:val="auto"/>
                <w:sz w:val="21"/>
                <w:szCs w:val="21"/>
                <w:highlight w:val="none"/>
                <w:lang w:val="en-US" w:eastAsia="zh-CN"/>
              </w:rPr>
              <w:t xml:space="preserve">没有提供相关资源配置、或者提供的资源配置与服务项目需求不符，该项得0分。</w:t>
            </w:r>
            <w:r/>
          </w:p>
        </w:tc>
        <w:tc>
          <w:tcPr>
            <w:tcW w:w="793" w:type="dxa"/>
            <w:vAlign w:val="center"/>
            <w:textDirection w:val="lrTb"/>
            <w:noWrap w:val="false"/>
          </w:tcPr>
          <w:p>
            <w:pPr>
              <w:jc w:val="center"/>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jc w:val="center"/>
          <w:trHeight w:val="538"/>
        </w:trPr>
        <w:tc>
          <w:tcPr>
            <w:tcW w:w="1018" w:type="dxa"/>
            <w:vAlign w:val="center"/>
            <w:vMerge w:val="continue"/>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48" w:type="dxa"/>
            <w:vAlign w:val="center"/>
            <w:vMerge w:val="restart"/>
            <w:textDirection w:val="lrTb"/>
            <w:noWrap w:val="false"/>
          </w:tcPr>
          <w:p>
            <w:pPr>
              <w:jc w:val="center"/>
              <w:spacing w:line="240" w:lineRule="auto"/>
              <w:widowControl/>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W w:w="1243" w:type="dxa"/>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各类突发事件应急预案</w:t>
            </w:r>
            <w:r/>
          </w:p>
        </w:tc>
        <w:tc>
          <w:tcPr>
            <w:tcW w:w="6335" w:type="dxa"/>
            <w:vAlign w:val="center"/>
            <w:vMerge w:val="restart"/>
            <w:textDirection w:val="lrTb"/>
            <w:noWrap w:val="false"/>
          </w:tcPr>
          <w:p>
            <w:pPr>
              <w:ind w:firstLine="422"/>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针对本项目服务要求编制的各类突发事件应急预案，包含①应急事件处理程序</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②应急事件响应措施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③应急培训演练</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④应急物资的储备等内容，</w:t>
            </w:r>
            <w:r>
              <w:rPr>
                <w:rFonts w:hint="eastAsia" w:ascii="宋体" w:hAnsi="宋体" w:cs="宋体"/>
                <w:b/>
                <w:bCs/>
                <w:color w:val="auto"/>
                <w:sz w:val="21"/>
                <w:szCs w:val="21"/>
                <w:highlight w:val="none"/>
              </w:rPr>
              <w:t xml:space="preserve">进行综合评审：满足以上</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项要求最多得</w:t>
            </w:r>
            <w:r>
              <w:rPr>
                <w:rFonts w:hint="eastAsia" w:ascii="宋体" w:hAnsi="宋体" w:cs="宋体"/>
                <w:b/>
                <w:bCs/>
                <w:color w:val="auto"/>
                <w:sz w:val="21"/>
                <w:szCs w:val="21"/>
                <w:highlight w:val="none"/>
                <w:lang w:val="en-US" w:eastAsia="zh-CN"/>
              </w:rPr>
              <w:t xml:space="preserve">12</w:t>
            </w:r>
            <w:r>
              <w:rPr>
                <w:rFonts w:hint="eastAsia" w:ascii="宋体" w:hAnsi="宋体" w:cs="宋体"/>
                <w:b/>
                <w:bCs/>
                <w:color w:val="auto"/>
                <w:sz w:val="21"/>
                <w:szCs w:val="21"/>
                <w:highlight w:val="none"/>
              </w:rPr>
              <w:t xml:space="preserve">分，满足任意1项最多得3分；其余情况不得分。</w:t>
            </w:r>
            <w:r/>
          </w:p>
          <w:p>
            <w:pPr>
              <w:ind w:firstLine="420"/>
              <w:spacing w:line="240" w:lineRule="auto"/>
              <w:tabs>
                <w:tab w:val="left" w:pos="426" w:leader="none"/>
              </w:tabs>
              <w:rPr>
                <w:rStyle w:val="843"/>
                <w:rFonts w:hint="eastAsia" w:ascii="Times New Roman" w:hAnsi="Times New Roman" w:eastAsia="宋体" w:cs="Times New Roman"/>
                <w:color w:val="auto"/>
                <w:sz w:val="21"/>
                <w:szCs w:val="21"/>
                <w:highlight w:val="none"/>
                <w:lang w:eastAsia="zh-CN"/>
              </w:rPr>
            </w:pPr>
            <w:r>
              <w:rPr>
                <w:rStyle w:val="843"/>
                <w:rFonts w:hint="eastAsia" w:ascii="Times New Roman" w:hAnsi="Times New Roman" w:eastAsia="宋体" w:cs="Times New Roman"/>
                <w:color w:val="auto"/>
                <w:sz w:val="21"/>
                <w:szCs w:val="21"/>
                <w:highlight w:val="none"/>
                <w:lang w:val="zh-CN" w:eastAsia="zh-CN"/>
              </w:rPr>
              <w:t xml:space="preserve">注：评审委员会根据各投标人的具体响应内容按照以下量化的评审因素指标对各项要求进行评审：</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①</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条理清晰、有效，科学合理且可行性高，完全满足服务项目需求，该项得3分。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②</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条理性一般、合理性一般、可行性一般，基本满足服务项目需求，该项得2分。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③</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条理混乱，缺乏科学合理性，可行性较差，且未能充分理解服务项目需求，该项得分1分。</w:t>
            </w:r>
            <w:r/>
          </w:p>
          <w:p>
            <w:pPr>
              <w:ind w:firstLine="420"/>
              <w:spacing w:line="240" w:lineRule="auto"/>
              <w:widowControl/>
              <w:rPr>
                <w:rFonts w:hint="eastAsia" w:ascii="宋体" w:hAnsi="宋体" w:cs="宋体"/>
                <w:color w:val="auto"/>
                <w:sz w:val="21"/>
                <w:szCs w:val="21"/>
                <w:highlight w:val="none"/>
              </w:rPr>
            </w:pPr>
            <w:r>
              <w:rPr>
                <w:rStyle w:val="843"/>
                <w:rFonts w:hint="eastAsia" w:ascii="宋体" w:hAnsi="宋体" w:eastAsia="宋体" w:cs="宋体"/>
                <w:color w:val="auto"/>
                <w:sz w:val="21"/>
                <w:szCs w:val="21"/>
                <w:highlight w:val="none"/>
              </w:rPr>
              <w:t xml:space="preserve">④</w:t>
            </w:r>
            <w:r>
              <w:rPr>
                <w:rStyle w:val="843"/>
                <w:rFonts w:hint="eastAsia" w:ascii="宋体" w:hAnsi="宋体" w:eastAsia="宋体" w:cs="宋体"/>
                <w:color w:val="auto"/>
                <w:sz w:val="21"/>
                <w:szCs w:val="21"/>
                <w:highlight w:val="none"/>
                <w:lang w:eastAsia="zh-CN"/>
              </w:rPr>
              <w:t xml:space="preserve">提供的内容不完整或未提供</w:t>
            </w:r>
            <w:r>
              <w:rPr>
                <w:rStyle w:val="843"/>
                <w:rFonts w:hint="eastAsia" w:ascii="宋体" w:hAnsi="宋体" w:eastAsia="宋体" w:cs="宋体"/>
                <w:color w:val="auto"/>
                <w:sz w:val="21"/>
                <w:szCs w:val="21"/>
                <w:highlight w:val="none"/>
                <w:lang w:val="en-US" w:eastAsia="zh-CN"/>
              </w:rPr>
              <w:t xml:space="preserve">相关</w:t>
            </w:r>
            <w:r>
              <w:rPr>
                <w:rFonts w:hint="eastAsia" w:ascii="宋体" w:hAnsi="宋体" w:cs="宋体"/>
                <w:color w:val="auto"/>
                <w:sz w:val="21"/>
                <w:szCs w:val="21"/>
                <w:highlight w:val="none"/>
              </w:rPr>
              <w:t xml:space="preserve">各类突发事件应急预案</w:t>
            </w:r>
            <w:r>
              <w:rPr>
                <w:rStyle w:val="843"/>
                <w:rFonts w:hint="eastAsia" w:ascii="宋体" w:hAnsi="宋体" w:eastAsia="宋体" w:cs="宋体"/>
                <w:color w:val="auto"/>
                <w:sz w:val="21"/>
                <w:szCs w:val="21"/>
                <w:highlight w:val="none"/>
                <w:lang w:eastAsia="zh-CN"/>
              </w:rPr>
              <w:t xml:space="preserve">，</w:t>
            </w:r>
            <w:r>
              <w:rPr>
                <w:rStyle w:val="843"/>
                <w:rFonts w:hint="eastAsia" w:ascii="宋体" w:hAnsi="宋体" w:eastAsia="宋体" w:cs="宋体"/>
                <w:color w:val="auto"/>
                <w:sz w:val="21"/>
                <w:szCs w:val="21"/>
                <w:highlight w:val="none"/>
                <w:lang w:val="en-US" w:eastAsia="zh-CN"/>
              </w:rPr>
              <w:t xml:space="preserve">与服务项目需求严重不符，该项得0分。</w:t>
            </w:r>
            <w:r/>
          </w:p>
        </w:tc>
        <w:tc>
          <w:tcPr>
            <w:tcW w:w="793" w:type="dxa"/>
            <w:vAlign w:val="center"/>
            <w:vMerge w:val="restart"/>
            <w:textDirection w:val="lrTb"/>
            <w:noWrap w:val="false"/>
          </w:tcPr>
          <w:p>
            <w:pPr>
              <w:jc w:val="center"/>
              <w:spacing w:line="240" w:lineRule="auto"/>
              <w:widowControl/>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r>
      <w:tr>
        <w:trPr>
          <w:jc w:val="center"/>
          <w:trHeight w:val="1998"/>
        </w:trPr>
        <w:tc>
          <w:tcPr>
            <w:tcW w:w="1018" w:type="dxa"/>
            <w:vAlign w:val="center"/>
            <w:vMerge w:val="continue"/>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48" w:type="dxa"/>
            <w:vAlign w:val="center"/>
            <w:textDirection w:val="lrTb"/>
            <w:noWrap w:val="false"/>
          </w:tcPr>
          <w:p>
            <w:pPr>
              <w:jc w:val="center"/>
              <w:spacing w:line="240" w:lineRule="auto"/>
              <w:widowControl/>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清淤服务方案</w:t>
            </w:r>
            <w:r/>
          </w:p>
        </w:tc>
        <w:tc>
          <w:tcPr>
            <w:tcW w:w="6335" w:type="dxa"/>
            <w:vAlign w:val="center"/>
            <w:textDirection w:val="lrTb"/>
            <w:noWrap w:val="false"/>
          </w:tcPr>
          <w:p>
            <w:pPr>
              <w:ind w:firstLine="422"/>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针对本项目服务要求编制的清淤服务方案，包含①清淤工艺流程</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②人员配置</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③安全防护措施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④有限空间作业管理制度等内容，</w:t>
            </w:r>
            <w:r>
              <w:rPr>
                <w:rFonts w:hint="eastAsia" w:ascii="宋体" w:hAnsi="宋体" w:cs="宋体"/>
                <w:b/>
                <w:bCs/>
                <w:color w:val="auto"/>
                <w:sz w:val="21"/>
                <w:szCs w:val="21"/>
                <w:highlight w:val="none"/>
              </w:rPr>
              <w:t xml:space="preserve">进行综合评审：满足以上</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项要求最多得</w:t>
            </w:r>
            <w:r>
              <w:rPr>
                <w:rFonts w:hint="eastAsia" w:ascii="宋体" w:hAnsi="宋体" w:cs="宋体"/>
                <w:b/>
                <w:bCs/>
                <w:color w:val="auto"/>
                <w:sz w:val="21"/>
                <w:szCs w:val="21"/>
                <w:highlight w:val="none"/>
                <w:lang w:val="en-US" w:eastAsia="zh-CN"/>
              </w:rPr>
              <w:t xml:space="preserve">12</w:t>
            </w:r>
            <w:r>
              <w:rPr>
                <w:rFonts w:hint="eastAsia" w:ascii="宋体" w:hAnsi="宋体" w:cs="宋体"/>
                <w:b/>
                <w:bCs/>
                <w:color w:val="auto"/>
                <w:sz w:val="21"/>
                <w:szCs w:val="21"/>
                <w:highlight w:val="none"/>
              </w:rPr>
              <w:t xml:space="preserve">分，满足任意1项最多得3分；其余情况不得分。</w:t>
            </w:r>
            <w:r/>
          </w:p>
          <w:p>
            <w:pPr>
              <w:ind w:firstLine="420"/>
              <w:spacing w:line="240" w:lineRule="auto"/>
              <w:tabs>
                <w:tab w:val="left" w:pos="426" w:leader="none"/>
              </w:tabs>
              <w:rPr>
                <w:rStyle w:val="843"/>
                <w:rFonts w:hint="eastAsia" w:ascii="Times New Roman" w:hAnsi="Times New Roman" w:eastAsia="宋体" w:cs="Times New Roman"/>
                <w:color w:val="auto"/>
                <w:sz w:val="21"/>
                <w:szCs w:val="21"/>
                <w:highlight w:val="none"/>
                <w:lang w:eastAsia="zh-CN"/>
              </w:rPr>
            </w:pPr>
            <w:r>
              <w:rPr>
                <w:rStyle w:val="843"/>
                <w:rFonts w:hint="eastAsia" w:ascii="Times New Roman" w:hAnsi="Times New Roman" w:eastAsia="宋体" w:cs="Times New Roman"/>
                <w:color w:val="auto"/>
                <w:sz w:val="21"/>
                <w:szCs w:val="21"/>
                <w:highlight w:val="none"/>
                <w:lang w:val="zh-CN" w:eastAsia="zh-CN"/>
              </w:rPr>
              <w:t xml:space="preserve">注：评审委员会根据各投标人的具体响应内容按照以下量化的评审因素指标对各项要求进行评审：</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①</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条理清晰、有效，科学合理且可行性高，完全满足服务项目需求，该项得3分。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②</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条理性一般、合理性一般、可行性一般，基本满足服务项目需求，该项得2分。</w:t>
            </w:r>
            <w:r/>
          </w:p>
          <w:p>
            <w:pPr>
              <w:ind w:firstLine="420"/>
              <w:spacing w:line="240" w:lineRule="auto"/>
              <w:tabs>
                <w:tab w:val="left" w:pos="426" w:leader="none"/>
              </w:tabs>
              <w:rPr>
                <w:rStyle w:val="843"/>
                <w:rFonts w:hint="eastAsia" w:ascii="宋体" w:hAnsi="宋体" w:eastAsia="宋体" w:cs="宋体"/>
                <w:color w:val="auto"/>
                <w:sz w:val="21"/>
                <w:szCs w:val="21"/>
                <w:highlight w:val="none"/>
                <w:lang w:eastAsia="zh-CN"/>
              </w:rPr>
            </w:pPr>
            <w:r>
              <w:rPr>
                <w:rStyle w:val="843"/>
                <w:rFonts w:hint="eastAsia" w:ascii="宋体" w:hAnsi="宋体" w:eastAsia="宋体" w:cs="宋体"/>
                <w:color w:val="auto"/>
                <w:sz w:val="21"/>
                <w:szCs w:val="21"/>
                <w:highlight w:val="none"/>
              </w:rPr>
              <w:t xml:space="preserve">③</w:t>
            </w:r>
            <w:r>
              <w:rPr>
                <w:rStyle w:val="843"/>
                <w:rFonts w:hint="eastAsia" w:ascii="宋体" w:hAnsi="宋体" w:eastAsia="宋体" w:cs="宋体"/>
                <w:color w:val="auto"/>
                <w:sz w:val="21"/>
                <w:szCs w:val="21"/>
                <w:highlight w:val="none"/>
                <w:lang w:eastAsia="zh-CN"/>
              </w:rPr>
              <w:t xml:space="preserve">提供的内容</w:t>
            </w:r>
            <w:r>
              <w:rPr>
                <w:rStyle w:val="843"/>
                <w:rFonts w:hint="eastAsia" w:ascii="宋体" w:hAnsi="宋体" w:eastAsia="宋体" w:cs="宋体"/>
                <w:color w:val="auto"/>
                <w:sz w:val="21"/>
                <w:szCs w:val="21"/>
                <w:highlight w:val="none"/>
                <w:lang w:val="en-US" w:eastAsia="zh-CN"/>
              </w:rPr>
              <w:t xml:space="preserve">条理混乱，缺乏科学合理性，可行性较差，且未能充分理解服务项目需求，该项得分1分。</w:t>
            </w:r>
            <w:r/>
          </w:p>
          <w:p>
            <w:pPr>
              <w:ind w:firstLine="420"/>
              <w:spacing w:line="240" w:lineRule="auto"/>
              <w:widowControl/>
              <w:rPr>
                <w:color w:val="auto"/>
                <w:sz w:val="21"/>
                <w:szCs w:val="21"/>
                <w:highlight w:val="none"/>
              </w:rPr>
            </w:pPr>
            <w:r>
              <w:rPr>
                <w:rStyle w:val="843"/>
                <w:rFonts w:hint="eastAsia" w:ascii="宋体" w:hAnsi="宋体" w:eastAsia="宋体" w:cs="宋体"/>
                <w:color w:val="auto"/>
                <w:sz w:val="21"/>
                <w:szCs w:val="21"/>
                <w:highlight w:val="none"/>
              </w:rPr>
              <w:t xml:space="preserve">④</w:t>
            </w:r>
            <w:r>
              <w:rPr>
                <w:rStyle w:val="843"/>
                <w:rFonts w:hint="eastAsia" w:ascii="宋体" w:hAnsi="宋体" w:eastAsia="宋体" w:cs="宋体"/>
                <w:color w:val="auto"/>
                <w:sz w:val="21"/>
                <w:szCs w:val="21"/>
                <w:highlight w:val="none"/>
                <w:lang w:eastAsia="zh-CN"/>
              </w:rPr>
              <w:t xml:space="preserve">提供的内容不完整或未提供</w:t>
            </w:r>
            <w:r>
              <w:rPr>
                <w:rStyle w:val="843"/>
                <w:rFonts w:hint="eastAsia" w:ascii="宋体" w:hAnsi="宋体" w:eastAsia="宋体" w:cs="宋体"/>
                <w:color w:val="auto"/>
                <w:sz w:val="21"/>
                <w:szCs w:val="21"/>
                <w:highlight w:val="none"/>
                <w:lang w:val="en-US" w:eastAsia="zh-CN"/>
              </w:rPr>
              <w:t xml:space="preserve">相关</w:t>
            </w:r>
            <w:r>
              <w:rPr>
                <w:rFonts w:hint="eastAsia" w:ascii="宋体" w:hAnsi="宋体" w:cs="宋体"/>
                <w:color w:val="auto"/>
                <w:sz w:val="21"/>
                <w:szCs w:val="21"/>
                <w:highlight w:val="none"/>
              </w:rPr>
              <w:t xml:space="preserve">清淤服务方案</w:t>
            </w:r>
            <w:r>
              <w:rPr>
                <w:rStyle w:val="843"/>
                <w:rFonts w:hint="eastAsia" w:ascii="宋体" w:hAnsi="宋体" w:eastAsia="宋体" w:cs="宋体"/>
                <w:color w:val="auto"/>
                <w:sz w:val="21"/>
                <w:szCs w:val="21"/>
                <w:highlight w:val="none"/>
                <w:lang w:eastAsia="zh-CN"/>
              </w:rPr>
              <w:t xml:space="preserve">，</w:t>
            </w:r>
            <w:r>
              <w:rPr>
                <w:rStyle w:val="843"/>
                <w:rFonts w:hint="eastAsia" w:ascii="宋体" w:hAnsi="宋体" w:eastAsia="宋体" w:cs="宋体"/>
                <w:color w:val="auto"/>
                <w:sz w:val="21"/>
                <w:szCs w:val="21"/>
                <w:highlight w:val="none"/>
                <w:lang w:val="en-US" w:eastAsia="zh-CN"/>
              </w:rPr>
              <w:t xml:space="preserve">与服务项目需求严重不符，该项得0分。</w:t>
            </w:r>
            <w:r/>
          </w:p>
        </w:tc>
        <w:tc>
          <w:tcPr>
            <w:tcW w:w="793" w:type="dxa"/>
            <w:vAlign w:val="center"/>
            <w:textDirection w:val="lrTb"/>
            <w:noWrap w:val="false"/>
          </w:tcPr>
          <w:p>
            <w:pPr>
              <w:jc w:val="center"/>
              <w:spacing w:line="24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jc w:val="center"/>
          <w:trHeight w:val="1306"/>
        </w:trPr>
        <w:tc>
          <w:tcPr>
            <w:tcW w:w="1018" w:type="dxa"/>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三、商务部分(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0分）</w:t>
            </w:r>
            <w:r/>
          </w:p>
        </w:tc>
        <w:tc>
          <w:tcPr>
            <w:tcW w:w="74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综合实力</w:t>
            </w:r>
            <w:r/>
          </w:p>
        </w:tc>
        <w:tc>
          <w:tcPr>
            <w:tcW w:w="6335" w:type="dxa"/>
            <w:vAlign w:val="center"/>
            <w:textDirection w:val="lrTb"/>
            <w:noWrap w:val="false"/>
          </w:tcPr>
          <w:p>
            <w:pPr>
              <w:ind w:firstLine="42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具有有效期内的质量管理体系认证证书、环境管理体系认证证书、职业健康安全管理体系认证证书，每提供一份得1分，最高得3分；（证书认证范围需包含污水处理设施运维服务等内容，不包含不得分，提供证书复印件及国家认证认可监督管理委员会网站查询截图，加盖公章。未提供或提供资料不符合要求均不得分）</w:t>
            </w:r>
            <w:r/>
          </w:p>
          <w:p>
            <w:pPr>
              <w:spacing w:line="24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【须提供有效期内的证书复印件，原件备查】</w:t>
            </w:r>
            <w:r/>
          </w:p>
        </w:tc>
        <w:tc>
          <w:tcPr>
            <w:tcW w:w="79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jc w:val="center"/>
          <w:trHeight w:val="3254"/>
        </w:trPr>
        <w:tc>
          <w:tcPr>
            <w:tcW w:w="1018" w:type="dxa"/>
            <w:vAlign w:val="center"/>
            <w:vMerge w:val="continue"/>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4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运营服务团队人员资历</w:t>
            </w:r>
            <w:r/>
          </w:p>
        </w:tc>
        <w:tc>
          <w:tcPr>
            <w:tcW w:w="6335" w:type="dxa"/>
            <w:vAlign w:val="center"/>
            <w:textDirection w:val="lrTb"/>
            <w:noWrap w:val="false"/>
          </w:tcPr>
          <w:p>
            <w:pPr>
              <w:ind w:firstLine="420"/>
              <w:jc w:val="left"/>
              <w:spacing w:line="240" w:lineRule="auto"/>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1.技术负责人</w:t>
            </w:r>
            <w:r>
              <w:rPr>
                <w:rFonts w:hint="eastAsia" w:ascii="宋体" w:hAnsi="宋体" w:cs="宋体"/>
                <w:color w:val="auto"/>
                <w:sz w:val="21"/>
                <w:szCs w:val="21"/>
                <w:highlight w:val="none"/>
                <w:lang w:val="en-US" w:eastAsia="zh-CN"/>
              </w:rPr>
              <w:t xml:space="preserve">1名</w:t>
            </w:r>
            <w:r>
              <w:rPr>
                <w:rFonts w:hint="eastAsia" w:ascii="宋体" w:hAnsi="宋体" w:cs="宋体"/>
                <w:color w:val="auto"/>
                <w:sz w:val="21"/>
                <w:szCs w:val="21"/>
                <w:highlight w:val="none"/>
              </w:rPr>
              <w:t xml:space="preserve">：具备政府主管部门颁发的环境工程专业高级工程师职称</w:t>
            </w:r>
            <w:r>
              <w:rPr>
                <w:rFonts w:hint="eastAsia" w:ascii="宋体" w:hAnsi="宋体" w:cs="宋体"/>
                <w:color w:val="auto"/>
                <w:sz w:val="21"/>
                <w:szCs w:val="21"/>
                <w:highlight w:val="none"/>
                <w:lang w:val="en-US" w:eastAsia="zh-CN"/>
              </w:rPr>
              <w:t xml:space="preserve">证书的</w:t>
            </w:r>
            <w:r>
              <w:rPr>
                <w:rFonts w:hint="eastAsia" w:ascii="宋体" w:hAnsi="宋体" w:cs="宋体"/>
                <w:color w:val="auto"/>
                <w:sz w:val="21"/>
                <w:szCs w:val="21"/>
                <w:highlight w:val="none"/>
              </w:rPr>
              <w:t xml:space="preserve">得3分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同时具备给排水专业高级工程师职称</w:t>
            </w:r>
            <w:r>
              <w:rPr>
                <w:rFonts w:hint="eastAsia" w:ascii="宋体" w:hAnsi="宋体" w:cs="宋体"/>
                <w:color w:val="auto"/>
                <w:sz w:val="21"/>
                <w:szCs w:val="21"/>
                <w:highlight w:val="none"/>
                <w:lang w:val="en-US" w:eastAsia="zh-CN"/>
              </w:rPr>
              <w:t xml:space="preserve">证书的</w:t>
            </w:r>
            <w:r>
              <w:rPr>
                <w:rFonts w:hint="eastAsia" w:ascii="宋体" w:hAnsi="宋体" w:cs="宋体"/>
                <w:color w:val="auto"/>
                <w:sz w:val="21"/>
                <w:szCs w:val="21"/>
                <w:highlight w:val="none"/>
              </w:rPr>
              <w:t xml:space="preserve">得3分，最高得6分。</w:t>
            </w:r>
            <w:r/>
          </w:p>
          <w:p>
            <w:pPr>
              <w:ind w:firstLine="42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运营负责人</w:t>
            </w:r>
            <w:r>
              <w:rPr>
                <w:rFonts w:hint="eastAsia" w:ascii="宋体" w:hAnsi="宋体" w:cs="宋体"/>
                <w:color w:val="auto"/>
                <w:sz w:val="21"/>
                <w:szCs w:val="21"/>
                <w:highlight w:val="none"/>
                <w:lang w:val="en-US" w:eastAsia="zh-CN"/>
              </w:rPr>
              <w:t xml:space="preserve">1名</w:t>
            </w:r>
            <w:r>
              <w:rPr>
                <w:rFonts w:hint="eastAsia" w:ascii="宋体" w:hAnsi="宋体" w:cs="宋体"/>
                <w:color w:val="auto"/>
                <w:sz w:val="21"/>
                <w:szCs w:val="21"/>
                <w:highlight w:val="none"/>
              </w:rPr>
              <w:t xml:space="preserve">：具备政府主管部门颁发的注册环保工程师证书的得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分，同时具备环境工程专业高级工程师证书的得3分，最高</w:t>
            </w:r>
            <w:r>
              <w:rPr>
                <w:rFonts w:hint="eastAsia" w:ascii="宋体" w:hAnsi="宋体" w:cs="宋体"/>
                <w:color w:val="auto"/>
                <w:sz w:val="21"/>
                <w:szCs w:val="21"/>
                <w:highlight w:val="none"/>
                <w:lang w:val="en-US" w:eastAsia="zh-CN"/>
              </w:rPr>
              <w:t xml:space="preserve">得5</w:t>
            </w:r>
            <w:r>
              <w:rPr>
                <w:rFonts w:hint="eastAsia" w:ascii="宋体" w:hAnsi="宋体" w:cs="宋体"/>
                <w:color w:val="auto"/>
                <w:sz w:val="21"/>
                <w:szCs w:val="21"/>
                <w:highlight w:val="none"/>
              </w:rPr>
              <w:t xml:space="preserve">分。</w:t>
            </w:r>
            <w:r/>
          </w:p>
          <w:p>
            <w:pPr>
              <w:ind w:firstLine="42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3.技术服务支持团队</w:t>
            </w:r>
            <w:r>
              <w:rPr>
                <w:rFonts w:hint="eastAsia" w:ascii="宋体" w:hAnsi="宋体" w:cs="宋体"/>
                <w:color w:val="auto"/>
                <w:sz w:val="21"/>
                <w:szCs w:val="21"/>
                <w:highlight w:val="none"/>
                <w:lang w:val="en-US" w:eastAsia="zh-CN"/>
              </w:rPr>
              <w:t xml:space="preserve">5名</w:t>
            </w:r>
            <w:r>
              <w:rPr>
                <w:rFonts w:hint="eastAsia" w:ascii="宋体" w:hAnsi="宋体" w:cs="宋体"/>
                <w:color w:val="auto"/>
                <w:sz w:val="21"/>
                <w:szCs w:val="21"/>
                <w:highlight w:val="none"/>
              </w:rPr>
              <w:t xml:space="preserve">：</w:t>
            </w:r>
            <w:r/>
          </w:p>
          <w:p>
            <w:pPr>
              <w:ind w:firstLine="42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（1）具备中华人民共和国注册公用设备工程师(给水排水)执业资格证书得2分；</w:t>
            </w:r>
            <w:r/>
          </w:p>
          <w:p>
            <w:pPr>
              <w:ind w:firstLine="42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（2）具备污废水处理工、自动监控(污废水) 运行工、废气处理工、固废处理工证书，每提供一种专业人员证书得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spacing w:line="24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【须提供人员及岗位名单、证书复印件，专人专岗，同一人员设立多个岗位的不得重复得分，且须提供本单位投标前近三个月的为其缴纳社保的证明扫描件，原件备查】</w:t>
            </w:r>
            <w:r/>
          </w:p>
        </w:tc>
        <w:tc>
          <w:tcPr>
            <w:tcW w:w="793" w:type="dxa"/>
            <w:vAlign w:val="center"/>
            <w:textDirection w:val="lrTb"/>
            <w:noWrap w:val="false"/>
          </w:tcPr>
          <w:p>
            <w:pPr>
              <w:jc w:val="center"/>
              <w:spacing w:line="24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p>
        </w:tc>
      </w:tr>
      <w:tr>
        <w:trPr>
          <w:jc w:val="center"/>
          <w:trHeight w:val="1313"/>
        </w:trPr>
        <w:tc>
          <w:tcPr>
            <w:tcW w:w="1018" w:type="dxa"/>
            <w:vAlign w:val="center"/>
            <w:vMerge w:val="continue"/>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48"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W w:w="124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tc>
        <w:tc>
          <w:tcPr>
            <w:tcW w:w="6335" w:type="dxa"/>
            <w:vAlign w:val="center"/>
            <w:textDirection w:val="lrTb"/>
            <w:noWrap w:val="false"/>
          </w:tcPr>
          <w:p>
            <w:pPr>
              <w:ind w:firstLine="42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提供投标截止前近三年内（2022年1月1日至今）具有二级及以上医疗机构污水站托管运营项目业绩的每提供一个计</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分，最高得10分。 </w:t>
            </w:r>
            <w:r/>
          </w:p>
          <w:p>
            <w:pPr>
              <w:spacing w:line="24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【需同时提供中标通知书、合同扫描件及国家卫健委官网医疗机构等级查询截图，三项缺一不可，同一甲方项目只计算一次业绩分，日期以合同签订日期为准】</w:t>
            </w:r>
            <w:r/>
          </w:p>
        </w:tc>
        <w:tc>
          <w:tcPr>
            <w:tcW w:w="793" w:type="dxa"/>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r>
    </w:tbl>
    <w:p>
      <w:pPr>
        <w:pStyle w:val="832"/>
        <w:jc w:val="both"/>
        <w:spacing w:beforeAutospacing="0" w:afterAutospacing="0"/>
        <w:rPr>
          <w:rFonts w:hint="eastAsia" w:ascii="黑体" w:hAnsi="宋体" w:eastAsia="黑体" w:cs="黑体"/>
          <w:color w:val="auto"/>
          <w:sz w:val="44"/>
          <w:szCs w:val="44"/>
          <w:highlight w:val="none"/>
        </w:rPr>
      </w:pPr>
      <w:r>
        <w:rPr>
          <w:rFonts w:hint="eastAsia" w:ascii="宋体" w:hAnsi="宋体" w:eastAsia="宋体" w:cs="宋体"/>
          <w:color w:val="auto"/>
          <w:highlight w:val="none"/>
        </w:rPr>
        <w:t xml:space="preserve"> </w:t>
      </w:r>
      <w:r/>
    </w:p>
    <w:p>
      <w:pPr>
        <w:shd w:val="nil" w:color="auto"/>
        <w:rPr>
          <w:color w:val="auto"/>
          <w:highlight w:val="none"/>
        </w:rPr>
      </w:pPr>
      <w:r>
        <w:rPr>
          <w:rFonts w:hint="eastAsia" w:ascii="黑体" w:hAnsi="宋体" w:eastAsia="黑体" w:cs="黑体"/>
          <w:color w:val="auto"/>
          <w:sz w:val="44"/>
          <w:szCs w:val="44"/>
          <w:highlight w:val="none"/>
        </w:rPr>
        <w:br w:type="page" w:clear="all"/>
      </w:r>
      <w:r>
        <w:rPr>
          <w:rFonts w:hint="eastAsia" w:ascii="黑体" w:hAnsi="宋体" w:eastAsia="黑体" w:cs="黑体"/>
          <w:color w:val="auto"/>
          <w:sz w:val="44"/>
          <w:szCs w:val="44"/>
          <w:highlight w:val="none"/>
        </w:rPr>
      </w:r>
      <w:r/>
    </w:p>
    <w:p>
      <w:pPr>
        <w:pStyle w:val="83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p>
    <w:p>
      <w:pPr>
        <w:pStyle w:val="832"/>
        <w:jc w:val="center"/>
        <w:spacing w:beforeAutospacing="0" w:afterAutospacing="0"/>
        <w:rPr>
          <w:color w:val="auto"/>
          <w:highlight w:val="none"/>
        </w:rPr>
      </w:pPr>
      <w:r/>
      <w:bookmarkStart w:id="181" w:name="_Toc26554094"/>
      <w:r/>
      <w:bookmarkEnd w:id="181"/>
      <w:r/>
      <w:bookmarkStart w:id="182" w:name="_Hlt26671244"/>
      <w:r/>
      <w:bookmarkEnd w:id="182"/>
      <w:r/>
      <w:bookmarkStart w:id="183" w:name="_Hlt26955039"/>
      <w:r/>
      <w:bookmarkEnd w:id="183"/>
      <w:r/>
      <w:bookmarkStart w:id="184" w:name="_Toc49090576"/>
      <w:r/>
      <w:bookmarkStart w:id="185" w:name="_Toc120614282"/>
      <w:r>
        <w:rPr>
          <w:rFonts w:hint="eastAsia" w:ascii="宋体" w:hAnsi="宋体" w:eastAsia="宋体" w:cs="宋体"/>
          <w:b/>
          <w:color w:val="auto"/>
          <w:sz w:val="72"/>
          <w:szCs w:val="72"/>
          <w:highlight w:val="none"/>
        </w:rPr>
        <w:t xml:space="preserve">投  标  文  件</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3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3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3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3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3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w:t>
      </w:r>
      <w:r/>
    </w:p>
    <w:p>
      <w:pPr>
        <w:pStyle w:val="832"/>
        <w:ind w:left="480"/>
        <w:jc w:val="both"/>
        <w:spacing w:beforeAutospacing="0" w:afterAutospacing="0"/>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83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3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3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3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3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3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3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3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3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83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3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3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3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832"/>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832"/>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32"/>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3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3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3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3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32"/>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83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3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32"/>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3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3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3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32"/>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3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3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3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3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32"/>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3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3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7" w:name="_Hlt26955070"/>
      <w:r/>
      <w:bookmarkStart w:id="188" w:name="_Hlt26671380"/>
      <w:r/>
      <w:bookmarkStart w:id="189" w:name="_格式3__银行出具的资信证明"/>
      <w:r>
        <w:rPr>
          <w:rFonts w:ascii="Times New Roman" w:hAnsi="Times New Roman"/>
          <w:color w:val="auto"/>
          <w:highlight w:val="none"/>
          <w:u w:val="single"/>
        </w:rPr>
        <w:t xml:space="preserve">                                         </w:t>
      </w:r>
      <w:r/>
    </w:p>
    <w:p>
      <w:pPr>
        <w:pStyle w:val="832"/>
        <w:ind w:firstLine="420"/>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我公司（单位）委托进行现场演示的人员为（本项目如果无现场演示要求，请项目经办人自行删除该备注）</w:t>
      </w:r>
      <w:r/>
    </w:p>
    <w:p>
      <w:pPr>
        <w:pStyle w:val="83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（人员姓名），身份证号          。</w:t>
      </w:r>
      <w:r/>
    </w:p>
    <w:p>
      <w:pPr>
        <w:pStyle w:val="83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832"/>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东台市中医院</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根据贵方的JSZC-320981-CCGC-G2025-0</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3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                                      </w:t>
      </w:r>
      <w:r/>
    </w:p>
    <w:p>
      <w:pPr>
        <w:ind w:firstLine="924"/>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rPr>
          <w:rFonts w:hint="eastAsia" w:ascii="宋体" w:hAnsi="宋体" w:eastAsia="宋体" w:cs="宋体"/>
          <w:color w:val="auto"/>
          <w:sz w:val="24"/>
          <w:highlight w:val="none"/>
          <w:u w:val="single"/>
        </w:rPr>
        <w:t xml:space="preserve">              </w:t>
      </w:r>
      <w:r/>
    </w:p>
    <w:p>
      <w:pP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00" w:lineRule="exact"/>
        <w:widowControl w:val="off"/>
        <w:rPr>
          <w:rFonts w:ascii="仿宋_GB2312" w:eastAsia="仿宋_GB2312"/>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rPr>
        <w:t xml:space="preserve"> </w:t>
      </w:r>
      <w:r/>
    </w:p>
    <w:p>
      <w:pPr>
        <w:pStyle w:val="832"/>
        <w:ind w:firstLine="240"/>
        <w:jc w:val="center"/>
        <w:spacing w:beforeAutospacing="0" w:afterAutospacing="0" w:line="0" w:lineRule="atLeast"/>
        <w:rPr>
          <w:color w:val="auto"/>
          <w:highlight w:val="none"/>
        </w:rPr>
      </w:pPr>
      <w:r>
        <w:rPr>
          <w:color w:val="auto"/>
          <w:highlight w:val="none"/>
        </w:rPr>
        <w:t xml:space="preserve"> </w:t>
      </w:r>
      <w:r/>
    </w:p>
    <w:p>
      <w:pPr>
        <w:pStyle w:val="832"/>
        <w:ind w:firstLine="240"/>
        <w:jc w:val="center"/>
        <w:spacing w:beforeAutospacing="0" w:afterAutospacing="0" w:line="0" w:lineRule="atLeast"/>
        <w:rPr>
          <w:color w:val="auto"/>
          <w:highlight w:val="none"/>
        </w:rPr>
      </w:pPr>
      <w:r>
        <w:rPr>
          <w:color w:val="auto"/>
          <w:highlight w:val="none"/>
        </w:rPr>
        <w:t xml:space="preserve"> </w:t>
      </w:r>
      <w:r/>
    </w:p>
    <w:p>
      <w:pPr>
        <w:pStyle w:val="832"/>
        <w:ind w:firstLine="240"/>
        <w:jc w:val="center"/>
        <w:spacing w:beforeAutospacing="0" w:afterAutospacing="0" w:line="0" w:lineRule="atLeast"/>
        <w:rPr>
          <w:color w:val="auto"/>
          <w:highlight w:val="none"/>
        </w:rPr>
      </w:pPr>
      <w:r>
        <w:rPr>
          <w:color w:val="auto"/>
          <w:highlight w:val="none"/>
        </w:rPr>
        <w:t xml:space="preserve"> </w:t>
      </w:r>
      <w:r/>
    </w:p>
    <w:p>
      <w:pPr>
        <w:pStyle w:val="832"/>
        <w:ind w:firstLine="240"/>
        <w:jc w:val="center"/>
        <w:spacing w:beforeAutospacing="0" w:afterAutospacing="0" w:line="0" w:lineRule="atLeast"/>
        <w:rPr>
          <w:color w:val="auto"/>
          <w:highlight w:val="none"/>
        </w:rPr>
      </w:pPr>
      <w:r>
        <w:rPr>
          <w:color w:val="auto"/>
          <w:highlight w:val="none"/>
        </w:rPr>
        <w:t xml:space="preserve"> </w:t>
      </w:r>
      <w:r/>
    </w:p>
    <w:p>
      <w:pPr>
        <w:pStyle w:val="832"/>
        <w:ind w:firstLine="240"/>
        <w:jc w:val="center"/>
        <w:spacing w:beforeAutospacing="0" w:afterAutospacing="0" w:line="0" w:lineRule="atLeast"/>
        <w:rPr>
          <w:color w:val="auto"/>
          <w:highlight w:val="none"/>
        </w:rPr>
      </w:pPr>
      <w:r>
        <w:rPr>
          <w:color w:val="auto"/>
          <w:highlight w:val="none"/>
        </w:rPr>
      </w:r>
      <w:r/>
    </w:p>
    <w:p>
      <w:pPr>
        <w:pStyle w:val="832"/>
        <w:ind w:firstLine="240"/>
        <w:jc w:val="center"/>
        <w:spacing w:beforeAutospacing="0" w:afterAutospacing="0" w:line="0" w:lineRule="atLeast"/>
        <w:rPr>
          <w:color w:val="auto"/>
          <w:highlight w:val="none"/>
        </w:rPr>
      </w:pPr>
      <w:r>
        <w:rPr>
          <w:color w:val="auto"/>
          <w:highlight w:val="none"/>
        </w:rPr>
      </w:r>
      <w:r/>
    </w:p>
    <w:p>
      <w:pPr>
        <w:pStyle w:val="832"/>
        <w:ind w:firstLine="240"/>
        <w:jc w:val="center"/>
        <w:spacing w:beforeAutospacing="0" w:afterAutospacing="0" w:line="0" w:lineRule="atLeast"/>
        <w:rPr>
          <w:color w:val="auto"/>
          <w:highlight w:val="none"/>
        </w:rPr>
      </w:pPr>
      <w:r>
        <w:rPr>
          <w:color w:val="auto"/>
          <w:highlight w:val="none"/>
        </w:rPr>
      </w:r>
      <w:r/>
    </w:p>
    <w:p>
      <w:pPr>
        <w:pStyle w:val="832"/>
        <w:ind w:firstLine="240"/>
        <w:jc w:val="center"/>
        <w:spacing w:beforeAutospacing="0" w:afterAutospacing="0" w:line="0" w:lineRule="atLeast"/>
        <w:rPr>
          <w:color w:val="auto"/>
          <w:highlight w:val="none"/>
        </w:rPr>
      </w:pPr>
      <w:r>
        <w:rPr>
          <w:color w:val="auto"/>
          <w:highlight w:val="none"/>
        </w:rPr>
      </w:r>
      <w:r/>
    </w:p>
    <w:p>
      <w:pPr>
        <w:pStyle w:val="832"/>
        <w:ind w:firstLine="240"/>
        <w:jc w:val="center"/>
        <w:spacing w:beforeAutospacing="0" w:afterAutospacing="0" w:line="0" w:lineRule="atLeast"/>
        <w:rPr>
          <w:color w:val="auto"/>
          <w:highlight w:val="none"/>
        </w:rPr>
      </w:pPr>
      <w:r>
        <w:rPr>
          <w:color w:val="auto"/>
          <w:highlight w:val="none"/>
        </w:rPr>
      </w:r>
      <w:r/>
    </w:p>
    <w:p>
      <w:pPr>
        <w:pStyle w:val="832"/>
        <w:ind w:firstLine="240"/>
        <w:jc w:val="center"/>
        <w:spacing w:beforeAutospacing="0" w:afterAutospacing="0" w:line="0" w:lineRule="atLeast"/>
        <w:rPr>
          <w:color w:val="auto"/>
          <w:highlight w:val="none"/>
        </w:rPr>
      </w:pPr>
      <w:r>
        <w:rPr>
          <w:color w:val="auto"/>
          <w:highlight w:val="none"/>
        </w:rPr>
      </w:r>
      <w:r/>
    </w:p>
    <w:p>
      <w:pPr>
        <w:pStyle w:val="832"/>
        <w:ind w:firstLine="240"/>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7"/>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7"/>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32"/>
        <w:ind w:right="720"/>
        <w:jc w:val="both"/>
        <w:spacing w:beforeAutospacing="0" w:afterAutospacing="0" w:line="0" w:lineRule="atLeast"/>
        <w:rPr>
          <w:color w:val="auto"/>
          <w:highlight w:val="none"/>
        </w:rPr>
      </w:pPr>
      <w:r>
        <w:rPr>
          <w:color w:val="auto"/>
          <w:highlight w:val="none"/>
        </w:rPr>
        <w:t xml:space="preserve"> </w:t>
      </w:r>
      <w:r/>
    </w:p>
    <w:p>
      <w:pPr>
        <w:pStyle w:val="83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32"/>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32"/>
        <w:ind w:firstLine="24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3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3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3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3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32"/>
        <w:ind w:firstLine="480"/>
        <w:jc w:val="both"/>
        <w:spacing w:beforeAutospacing="0" w:afterAutospacing="0" w:line="0" w:lineRule="atLeast"/>
        <w:rPr>
          <w:color w:val="auto"/>
          <w:highlight w:val="none"/>
        </w:rPr>
      </w:pPr>
      <w:r>
        <w:rPr>
          <w:color w:val="auto"/>
          <w:highlight w:val="none"/>
        </w:rPr>
        <w:t xml:space="preserve"> </w:t>
      </w:r>
      <w:r/>
    </w:p>
    <w:p>
      <w:pPr>
        <w:pStyle w:val="832"/>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3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32"/>
        <w:ind w:firstLine="624"/>
        <w:jc w:val="both"/>
        <w:spacing w:beforeAutospacing="0" w:afterAutospacing="0" w:line="0" w:lineRule="atLeast"/>
        <w:rPr>
          <w:color w:val="auto"/>
          <w:highlight w:val="none"/>
        </w:rPr>
      </w:pPr>
      <w:r>
        <w:rPr>
          <w:color w:val="auto"/>
          <w:highlight w:val="none"/>
        </w:rPr>
        <w:t xml:space="preserve"> </w:t>
      </w:r>
      <w:r/>
    </w:p>
    <w:p>
      <w:pPr>
        <w:pStyle w:val="832"/>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32"/>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color w:val="auto"/>
          <w:highlight w:val="none"/>
        </w:rPr>
        <w:t xml:space="preserve"> </w:t>
      </w:r>
      <w:r/>
    </w:p>
    <w:p>
      <w:pPr>
        <w:pStyle w:val="83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83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3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3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3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32"/>
        <w:ind w:firstLine="645"/>
        <w:jc w:val="both"/>
        <w:spacing w:beforeAutospacing="0" w:afterAutospacing="0" w:line="0" w:lineRule="atLeast"/>
        <w:rPr>
          <w:color w:val="auto"/>
          <w:highlight w:val="none"/>
        </w:rPr>
      </w:pPr>
      <w:r>
        <w:rPr>
          <w:color w:val="auto"/>
          <w:highlight w:val="none"/>
        </w:rPr>
        <w:t xml:space="preserve"> </w:t>
      </w:r>
      <w:r/>
    </w:p>
    <w:p>
      <w:pPr>
        <w:pStyle w:val="83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3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32"/>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3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32"/>
        <w:ind w:firstLine="645"/>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r>
      <w:r/>
    </w:p>
    <w:p>
      <w:pPr>
        <w:pStyle w:val="832"/>
        <w:jc w:val="both"/>
        <w:spacing w:beforeAutospacing="0" w:afterAutospacing="0" w:line="0" w:lineRule="atLeast"/>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r>
      <w:r/>
    </w:p>
    <w:p>
      <w:pPr>
        <w:ind w:firstLine="3534"/>
        <w:rPr>
          <w:rFonts w:ascii="黑体" w:hAnsi="Calibri" w:eastAsia="黑体"/>
          <w:b/>
          <w:bCs/>
          <w:color w:val="auto"/>
          <w:sz w:val="32"/>
          <w:szCs w:val="32"/>
          <w:highlight w:val="none"/>
        </w:rPr>
        <w:outlineLvl w:val="1"/>
      </w:pPr>
      <w:r>
        <w:rPr>
          <w:rFonts w:hint="eastAsia" w:ascii="黑体" w:hAnsi="宋体" w:eastAsia="黑体" w:cs="黑体"/>
          <w:b/>
          <w:color w:val="auto"/>
          <w:sz w:val="32"/>
          <w:szCs w:val="32"/>
          <w:highlight w:val="none"/>
        </w:rPr>
        <w:t xml:space="preserve">十二、</w:t>
      </w:r>
      <w:r>
        <w:rPr>
          <w:rFonts w:hint="eastAsia" w:ascii="黑体" w:hAnsi="Calibri" w:eastAsia="黑体"/>
          <w:b/>
          <w:bCs/>
          <w:color w:val="auto"/>
          <w:sz w:val="32"/>
          <w:szCs w:val="32"/>
          <w:highlight w:val="none"/>
        </w:rPr>
        <w:t xml:space="preserve">报价表</w:t>
      </w:r>
      <w:r/>
    </w:p>
    <w:tbl>
      <w:tblPr>
        <w:tblStyle w:val="825"/>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4562"/>
        <w:gridCol w:w="2143"/>
        <w:gridCol w:w="1578"/>
      </w:tblGrid>
      <w:tr>
        <w:trPr>
          <w:trHeight w:val="950"/>
        </w:trPr>
        <w:tc>
          <w:tcPr>
            <w:tcW w:w="835" w:type="dxa"/>
            <w:vAlign w:val="center"/>
            <w:textDirection w:val="lrTb"/>
            <w:noWrap w:val="false"/>
          </w:tcPr>
          <w:p>
            <w:pPr>
              <w:jc w:val="center"/>
              <w:rPr>
                <w:rFonts w:hint="eastAsia" w:ascii="仿宋_GB2312" w:eastAsia="仿宋_GB2312"/>
                <w:b/>
                <w:color w:val="auto"/>
                <w:sz w:val="24"/>
                <w:highlight w:val="none"/>
                <w:lang w:val="en-US" w:eastAsia="zh-CN"/>
              </w:rPr>
            </w:pPr>
            <w:r>
              <w:rPr>
                <w:rFonts w:hint="eastAsia" w:ascii="仿宋_GB2312" w:eastAsia="仿宋_GB2312"/>
                <w:b/>
                <w:color w:val="auto"/>
                <w:sz w:val="24"/>
                <w:highlight w:val="none"/>
                <w:lang w:val="en-US" w:eastAsia="zh-CN"/>
              </w:rPr>
              <w:t xml:space="preserve">序号</w:t>
            </w:r>
            <w:r/>
          </w:p>
        </w:tc>
        <w:tc>
          <w:tcPr>
            <w:tcW w:w="4562" w:type="dxa"/>
            <w:vAlign w:val="center"/>
            <w:textDirection w:val="lrTb"/>
            <w:noWrap w:val="false"/>
          </w:tcPr>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项目名称</w:t>
            </w:r>
            <w:r/>
          </w:p>
        </w:tc>
        <w:tc>
          <w:tcPr>
            <w:tcW w:w="2143" w:type="dxa"/>
            <w:vAlign w:val="center"/>
            <w:textDirection w:val="lrTb"/>
            <w:noWrap w:val="false"/>
          </w:tcPr>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综合单价</w:t>
            </w:r>
            <w:r/>
          </w:p>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（元/</w:t>
            </w:r>
            <w:r>
              <w:rPr>
                <w:rFonts w:hint="eastAsia" w:ascii="仿宋_GB2312" w:eastAsia="仿宋_GB2312"/>
                <w:b/>
                <w:color w:val="auto"/>
                <w:sz w:val="24"/>
                <w:highlight w:val="none"/>
                <w:lang w:val="en-US" w:eastAsia="zh-CN"/>
              </w:rPr>
              <w:t xml:space="preserve">年</w:t>
            </w:r>
            <w:r>
              <w:rPr>
                <w:rFonts w:hint="eastAsia" w:ascii="仿宋_GB2312" w:eastAsia="仿宋_GB2312"/>
                <w:b/>
                <w:color w:val="auto"/>
                <w:sz w:val="24"/>
                <w:highlight w:val="none"/>
              </w:rPr>
              <w:t xml:space="preserve">）</w:t>
            </w:r>
            <w:r/>
          </w:p>
        </w:tc>
        <w:tc>
          <w:tcPr>
            <w:tcW w:w="1578" w:type="dxa"/>
            <w:vAlign w:val="center"/>
            <w:textDirection w:val="lrTb"/>
            <w:noWrap w:val="false"/>
          </w:tcPr>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合计</w:t>
            </w:r>
            <w:r/>
          </w:p>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(元/</w:t>
            </w:r>
            <w:r>
              <w:rPr>
                <w:rFonts w:hint="eastAsia" w:ascii="仿宋_GB2312" w:eastAsia="仿宋_GB2312"/>
                <w:b/>
                <w:color w:val="auto"/>
                <w:sz w:val="24"/>
                <w:highlight w:val="none"/>
                <w:lang w:val="en-US" w:eastAsia="zh-CN"/>
              </w:rPr>
              <w:t xml:space="preserve">三</w:t>
            </w:r>
            <w:r>
              <w:rPr>
                <w:rFonts w:hint="eastAsia" w:ascii="仿宋_GB2312" w:eastAsia="仿宋_GB2312"/>
                <w:b/>
                <w:color w:val="auto"/>
                <w:sz w:val="24"/>
                <w:highlight w:val="none"/>
              </w:rPr>
              <w:t xml:space="preserve">年)</w:t>
            </w:r>
            <w:r/>
          </w:p>
        </w:tc>
      </w:tr>
      <w:tr>
        <w:trPr>
          <w:trHeight w:val="894"/>
        </w:trPr>
        <w:tc>
          <w:tcPr>
            <w:tcW w:w="835" w:type="dxa"/>
            <w:vAlign w:val="center"/>
            <w:textDirection w:val="lrTb"/>
            <w:noWrap w:val="false"/>
          </w:tcPr>
          <w:p>
            <w:pPr>
              <w:jc w:val="center"/>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 xml:space="preserve">1</w:t>
            </w:r>
            <w:r/>
          </w:p>
        </w:tc>
        <w:tc>
          <w:tcPr>
            <w:tcW w:w="4562" w:type="dxa"/>
            <w:vAlign w:val="center"/>
            <w:textDirection w:val="lrTb"/>
            <w:noWrap w:val="false"/>
          </w:tcPr>
          <w:p>
            <w:pPr>
              <w:jc w:val="center"/>
              <w:rPr>
                <w:rFonts w:ascii="仿宋_GB2312" w:eastAsia="仿宋_GB2312"/>
                <w:color w:val="auto"/>
                <w:sz w:val="24"/>
                <w:highlight w:val="none"/>
              </w:rPr>
            </w:pPr>
            <w:r>
              <w:rPr>
                <w:rFonts w:ascii="仿宋_GB2312" w:eastAsia="仿宋_GB2312"/>
                <w:color w:val="auto"/>
                <w:sz w:val="24"/>
                <w:highlight w:val="none"/>
              </w:rPr>
              <w:t xml:space="preserve"> </w:t>
            </w:r>
            <w:r>
              <w:rPr>
                <w:rFonts w:hint="eastAsia" w:ascii="仿宋_GB2312" w:eastAsia="仿宋_GB2312"/>
                <w:color w:val="auto"/>
                <w:sz w:val="24"/>
                <w:highlight w:val="none"/>
                <w:lang w:eastAsia="zh-CN"/>
              </w:rPr>
              <w:t xml:space="preserve">东台市中医院污水处理站运维服务</w:t>
            </w:r>
            <w:r/>
          </w:p>
        </w:tc>
        <w:tc>
          <w:tcPr>
            <w:tcW w:w="2143" w:type="dxa"/>
            <w:vAlign w:val="center"/>
            <w:textDirection w:val="lrTb"/>
            <w:noWrap w:val="false"/>
          </w:tcPr>
          <w:p>
            <w:pPr>
              <w:jc w:val="center"/>
              <w:rPr>
                <w:rFonts w:ascii="仿宋_GB2312" w:eastAsia="仿宋_GB2312"/>
                <w:color w:val="auto"/>
                <w:sz w:val="24"/>
                <w:highlight w:val="none"/>
              </w:rPr>
            </w:pPr>
            <w:r>
              <w:rPr>
                <w:rFonts w:ascii="仿宋_GB2312" w:eastAsia="仿宋_GB2312"/>
                <w:color w:val="auto"/>
                <w:sz w:val="24"/>
                <w:highlight w:val="none"/>
              </w:rPr>
            </w:r>
            <w:r/>
          </w:p>
        </w:tc>
        <w:tc>
          <w:tcPr>
            <w:tcW w:w="1578" w:type="dxa"/>
            <w:vAlign w:val="center"/>
            <w:textDirection w:val="lrTb"/>
            <w:noWrap w:val="false"/>
          </w:tcPr>
          <w:p>
            <w:pPr>
              <w:jc w:val="center"/>
              <w:rPr>
                <w:rFonts w:ascii="仿宋_GB2312" w:eastAsia="仿宋_GB2312"/>
                <w:color w:val="auto"/>
                <w:sz w:val="24"/>
                <w:highlight w:val="none"/>
              </w:rPr>
            </w:pPr>
            <w:r>
              <w:rPr>
                <w:rFonts w:ascii="仿宋_GB2312" w:eastAsia="仿宋_GB2312"/>
                <w:color w:val="auto"/>
                <w:sz w:val="24"/>
                <w:highlight w:val="none"/>
              </w:rPr>
            </w:r>
            <w:r/>
          </w:p>
        </w:tc>
      </w:tr>
      <w:tr>
        <w:trPr>
          <w:trHeight w:val="835"/>
        </w:trPr>
        <w:tc>
          <w:tcPr>
            <w:tcW w:w="835" w:type="dxa"/>
            <w:vAlign w:val="center"/>
            <w:textDirection w:val="lrTb"/>
            <w:noWrap w:val="false"/>
          </w:tcPr>
          <w:p>
            <w:pPr>
              <w:jc w:val="center"/>
              <w:rPr>
                <w:rFonts w:hint="default" w:ascii="仿宋_GB2312" w:eastAsia="仿宋_GB2312"/>
                <w:b/>
                <w:color w:val="auto"/>
                <w:sz w:val="24"/>
                <w:highlight w:val="none"/>
                <w:lang w:val="en-US" w:eastAsia="zh-CN"/>
              </w:rPr>
            </w:pPr>
            <w:r>
              <w:rPr>
                <w:rFonts w:hint="eastAsia" w:ascii="仿宋_GB2312" w:eastAsia="仿宋_GB2312"/>
                <w:b/>
                <w:color w:val="auto"/>
                <w:sz w:val="24"/>
                <w:highlight w:val="none"/>
                <w:lang w:val="en-US" w:eastAsia="zh-CN"/>
              </w:rPr>
              <w:t xml:space="preserve">2</w:t>
            </w:r>
            <w:r/>
          </w:p>
        </w:tc>
        <w:tc>
          <w:tcPr>
            <w:gridSpan w:val="3"/>
            <w:tcW w:w="8283" w:type="dxa"/>
            <w:vAlign w:val="center"/>
            <w:textDirection w:val="lrTb"/>
            <w:noWrap w:val="false"/>
          </w:tcPr>
          <w:p>
            <w:pPr>
              <w:jc w:val="center"/>
              <w:rPr>
                <w:rFonts w:ascii="仿宋_GB2312" w:eastAsia="仿宋_GB2312"/>
                <w:color w:val="auto"/>
                <w:sz w:val="24"/>
                <w:highlight w:val="none"/>
              </w:rPr>
            </w:pPr>
            <w:r>
              <w:rPr>
                <w:rFonts w:hint="eastAsia" w:ascii="仿宋_GB2312" w:eastAsia="仿宋_GB2312"/>
                <w:b/>
                <w:color w:val="auto"/>
                <w:sz w:val="24"/>
                <w:highlight w:val="none"/>
              </w:rPr>
              <w:t xml:space="preserve">总计</w:t>
            </w:r>
            <w:r/>
          </w:p>
        </w:tc>
      </w:tr>
    </w:tbl>
    <w:p>
      <w:pPr>
        <w:ind w:firstLine="420"/>
        <w:rPr>
          <w:rFonts w:hint="eastAsia" w:ascii="仿宋_GB2312" w:eastAsia="仿宋_GB2312"/>
          <w:color w:val="auto"/>
          <w:sz w:val="24"/>
          <w:highlight w:val="none"/>
        </w:rPr>
      </w:pPr>
      <w:r>
        <w:rPr>
          <w:rFonts w:hint="eastAsia" w:ascii="仿宋_GB2312" w:eastAsia="仿宋_GB2312"/>
          <w:color w:val="auto"/>
          <w:sz w:val="24"/>
          <w:highlight w:val="none"/>
        </w:rPr>
        <w:t xml:space="preserve">注：投标人履约过程中的人工、设备、差旅、住宿、保险、税金、验收、后期服务(如有)、招投标费用、利润、与项目相关的其他所有费用等</w:t>
      </w:r>
      <w:r/>
    </w:p>
    <w:p>
      <w:pPr>
        <w:ind w:firstLine="420"/>
        <w:rPr>
          <w:rFonts w:ascii="仿宋_GB2312" w:eastAsia="仿宋_GB2312"/>
          <w:color w:val="auto"/>
          <w:sz w:val="24"/>
          <w:highlight w:val="none"/>
        </w:rPr>
      </w:pPr>
      <w:r>
        <w:rPr>
          <w:rFonts w:ascii="仿宋_GB2312" w:eastAsia="仿宋_GB2312"/>
          <w:color w:val="auto"/>
          <w:sz w:val="24"/>
          <w:highlight w:val="none"/>
        </w:rPr>
      </w:r>
      <w:r/>
    </w:p>
    <w:p>
      <w:pPr>
        <w:ind w:firstLine="24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w:t>
      </w:r>
      <w:r>
        <w:rPr>
          <w:rFonts w:hint="eastAsia" w:ascii="仿宋_GB2312" w:hAnsi="Calibri" w:eastAsia="仿宋_GB2312"/>
          <w:color w:val="auto"/>
          <w:sz w:val="24"/>
          <w:highlight w:val="none"/>
        </w:rPr>
        <w:t xml:space="preserve">被授权人（</w:t>
      </w:r>
      <w:r>
        <w:rPr>
          <w:rFonts w:hint="eastAsia" w:ascii="仿宋_GB2312" w:eastAsia="仿宋_GB2312"/>
          <w:color w:val="auto"/>
          <w:sz w:val="24"/>
          <w:highlight w:val="none"/>
        </w:rPr>
        <w:t xml:space="preserve">签字</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p>
    <w:p>
      <w:pPr>
        <w:ind w:firstLine="33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w:t>
      </w:r>
      <w:r/>
    </w:p>
    <w:p>
      <w:pPr>
        <w:ind w:firstLine="1200"/>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32"/>
        <w:jc w:val="center"/>
        <w:spacing w:beforeAutospacing="0" w:afterAutospacing="0"/>
        <w:rPr>
          <w:color w:val="auto"/>
          <w:highlight w:val="none"/>
        </w:rPr>
      </w:pPr>
      <w:r>
        <w:rPr>
          <w:rFonts w:ascii="仿宋_GB2312" w:eastAsia="仿宋_GB2312"/>
          <w:color w:val="auto"/>
          <w:sz w:val="24"/>
          <w:highlight w:val="none"/>
        </w:rPr>
        <w:br w:type="page" w:clear="all"/>
      </w:r>
      <w:r/>
    </w:p>
    <w:p>
      <w:pPr>
        <w:pStyle w:val="83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2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bl>
    <w:p>
      <w:pPr>
        <w:pStyle w:val="83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center"/>
        <w:spacing w:beforeAutospacing="0" w:afterAutospacing="0"/>
        <w:rPr>
          <w:color w:val="auto"/>
          <w:highlight w:val="none"/>
        </w:rPr>
      </w:pPr>
      <w:r/>
      <w:bookmarkStart w:id="190" w:name="_Hlt26955054"/>
      <w:r>
        <w:rPr>
          <w:rFonts w:hint="eastAsia" w:ascii="黑体" w:hAnsi="宋体" w:eastAsia="黑体" w:cs="黑体"/>
          <w:b/>
          <w:color w:val="auto"/>
          <w:sz w:val="32"/>
          <w:szCs w:val="32"/>
          <w:highlight w:val="none"/>
        </w:rPr>
        <w:t xml:space="preserve">十四、商务要求响应及偏离表（分包号：**）</w:t>
      </w:r>
      <w:r/>
    </w:p>
    <w:tbl>
      <w:tblPr>
        <w:tblStyle w:val="82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bookmarkStart w:id="191" w:name="_Hlt26955064"/>
            <w:r/>
            <w:bookmarkStart w:id="192" w:name="_Hlt26671343"/>
            <w:r/>
            <w:bookmarkStart w:id="193" w:name="_Hlt24879081"/>
            <w:r/>
            <w:bookmarkStart w:id="194" w:name="_Hlt26580838"/>
            <w:r/>
            <w:bookmarkStart w:id="195" w:name="_Hlt26955056"/>
            <w:r/>
            <w:bookmarkStart w:id="196" w:name="_Hlt26671372"/>
            <w:r/>
            <w:bookmarkStart w:id="197" w:name="_Hlt26782999"/>
            <w:r/>
            <w:bookmarkStart w:id="198" w:name="_Hlt26609391"/>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2"/>
              <w:jc w:val="center"/>
              <w:spacing w:beforeAutospacing="0" w:afterAutospacing="0"/>
              <w:rPr>
                <w:color w:val="auto"/>
                <w:highlight w:val="none"/>
              </w:rPr>
            </w:pPr>
            <w:r>
              <w:rPr>
                <w:color w:val="auto"/>
                <w:highlight w:val="none"/>
              </w:rPr>
              <w:t xml:space="preserve"> </w:t>
            </w:r>
            <w:r/>
          </w:p>
        </w:tc>
      </w:tr>
    </w:tbl>
    <w:p>
      <w:pPr>
        <w:pStyle w:val="83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32"/>
        <w:jc w:val="both"/>
        <w:spacing w:beforeAutospacing="0" w:afterAutospacing="0" w:line="480" w:lineRule="auto"/>
        <w:rPr>
          <w:color w:val="auto"/>
          <w:highlight w:val="none"/>
        </w:rPr>
      </w:pPr>
      <w:r>
        <w:rPr>
          <w:color w:val="auto"/>
          <w:highlight w:val="none"/>
        </w:rPr>
        <w:t xml:space="preserve"> </w:t>
      </w:r>
      <w:r/>
    </w:p>
    <w:p>
      <w:pPr>
        <w:pStyle w:val="832"/>
        <w:jc w:val="both"/>
        <w:spacing w:beforeAutospacing="0" w:afterAutospacing="0" w:line="480" w:lineRule="auto"/>
        <w:rPr>
          <w:color w:val="auto"/>
          <w:highlight w:val="none"/>
        </w:rPr>
      </w:pPr>
      <w:r>
        <w:rPr>
          <w:color w:val="auto"/>
          <w:highlight w:val="none"/>
        </w:rPr>
        <w:t xml:space="preserve"> </w:t>
      </w:r>
      <w:r/>
    </w:p>
    <w:p>
      <w:pPr>
        <w:pStyle w:val="832"/>
        <w:jc w:val="center"/>
        <w:spacing w:beforeAutospacing="0" w:afterAutospacing="0"/>
        <w:rPr>
          <w:color w:val="auto"/>
          <w:highlight w:val="none"/>
        </w:rPr>
      </w:pPr>
      <w:r/>
      <w:bookmarkStart w:id="199" w:name="_Hlt26609389"/>
      <w:r/>
      <w:bookmarkStart w:id="200" w:name="_格式2__法定代表人授权书"/>
      <w:r/>
      <w:bookmarkStart w:id="201" w:name="_Hlt26671374"/>
      <w:r/>
      <w:bookmarkStart w:id="202" w:name="_Hlt26955066"/>
      <w:r/>
      <w:bookmarkStart w:id="203" w:name="_Toc462564146"/>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t xml:space="preserve"> </w:t>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pStyle w:val="832"/>
        <w:jc w:val="both"/>
        <w:spacing w:beforeAutospacing="0" w:afterAutospacing="0"/>
        <w:rPr>
          <w:color w:val="auto"/>
          <w:highlight w:val="none"/>
        </w:rPr>
      </w:pPr>
      <w:r>
        <w:rPr>
          <w:color w:val="auto"/>
          <w:highlight w:val="none"/>
        </w:rPr>
      </w:r>
      <w:r/>
    </w:p>
    <w:p>
      <w:pPr>
        <w:shd w:val="nil" w:color="auto"/>
        <w:rPr>
          <w:bCs w:val="0"/>
          <w:i w:val="0"/>
          <w:color w:val="auto"/>
          <w:highlight w:val="none"/>
        </w:rPr>
      </w:pPr>
      <w:r>
        <w:rPr>
          <w:rFonts w:hint="eastAsia" w:ascii="黑体" w:hAnsi="宋体" w:eastAsia="黑体" w:cs="黑体"/>
          <w:b/>
          <w:i w:val="0"/>
          <w:iCs/>
          <w:color w:val="auto"/>
          <w:sz w:val="32"/>
          <w:szCs w:val="32"/>
          <w:highlight w:val="none"/>
          <w:u w:val="single"/>
        </w:rPr>
        <w:br w:type="page" w:clear="all"/>
      </w:r>
      <w:r>
        <w:rPr>
          <w:rFonts w:hint="eastAsia" w:ascii="黑体" w:hAnsi="宋体" w:eastAsia="黑体" w:cs="黑体"/>
          <w:b/>
          <w:i w:val="0"/>
          <w:iCs/>
          <w:color w:val="auto"/>
          <w:sz w:val="32"/>
          <w:szCs w:val="32"/>
          <w:highlight w:val="none"/>
          <w:u w:val="single"/>
        </w:rPr>
      </w:r>
      <w:r/>
    </w:p>
    <w:p>
      <w:pPr>
        <w:pStyle w:val="832"/>
        <w:jc w:val="center"/>
        <w:spacing w:beforeAutospacing="0" w:afterAutospacing="0"/>
        <w:rPr>
          <w:rFonts w:hint="eastAsia" w:ascii="黑体" w:hAnsi="宋体" w:eastAsia="黑体" w:cs="黑体"/>
          <w:b/>
          <w:bCs w:val="0"/>
          <w:i w:val="0"/>
          <w:iCs/>
          <w:color w:val="auto"/>
          <w:sz w:val="32"/>
          <w:szCs w:val="32"/>
          <w:highlight w:val="none"/>
          <w:u w:val="single"/>
        </w:rPr>
      </w:pPr>
      <w:r>
        <w:rPr>
          <w:rFonts w:hint="eastAsia" w:ascii="黑体" w:hAnsi="宋体" w:eastAsia="黑体" w:cs="黑体"/>
          <w:b/>
          <w:i w:val="0"/>
          <w:iCs/>
          <w:color w:val="auto"/>
          <w:sz w:val="32"/>
          <w:szCs w:val="32"/>
          <w:highlight w:val="none"/>
          <w:u w:val="single"/>
        </w:rPr>
        <w:t xml:space="preserve">十五、开标一览表</w:t>
      </w:r>
      <w:r/>
    </w:p>
    <w:p>
      <w:pPr>
        <w:pStyle w:val="83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3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3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3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2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32"/>
        <w:jc w:val="both"/>
        <w:spacing w:beforeAutospacing="0" w:afterAutospacing="0"/>
        <w:rPr>
          <w:color w:val="auto"/>
          <w:highlight w:val="none"/>
        </w:rPr>
      </w:pPr>
      <w:r>
        <w:rPr>
          <w:color w:val="auto"/>
          <w:highlight w:val="none"/>
        </w:rPr>
        <w:t xml:space="preserve"> </w:t>
      </w:r>
      <w:r/>
    </w:p>
    <w:p>
      <w:pPr>
        <w:pStyle w:val="83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32"/>
        <w:ind w:firstLine="480"/>
        <w:jc w:val="both"/>
        <w:spacing w:beforeAutospacing="0" w:afterAutospacing="0"/>
        <w:rPr>
          <w:color w:val="auto"/>
          <w:highlight w:val="none"/>
        </w:rPr>
      </w:pPr>
      <w:r>
        <w:rPr>
          <w:color w:val="auto"/>
          <w:highlight w:val="none"/>
        </w:rPr>
        <w:t xml:space="preserve"> </w:t>
      </w:r>
      <w:r/>
    </w:p>
    <w:p>
      <w:pPr>
        <w:pStyle w:val="835"/>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十六、技术方案、服务承诺、培训承诺等</w:t>
      </w:r>
      <w:r/>
    </w:p>
    <w:p>
      <w:pPr>
        <w:pStyle w:val="832"/>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hd w:val="nil" w:color="auto"/>
        <w:rPr>
          <w:rFonts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（八）本人已认真阅读了上述承诺，并向本单位员工作了宣传教育。</w:t>
      </w:r>
      <w:r/>
    </w:p>
    <w:p>
      <w:pPr>
        <w:ind w:firstLine="4622"/>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22"/>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left="4730" w:hanging="4012"/>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供应商全称（加盖CA电子公章）：           日  期：</w:t>
      </w:r>
      <w:bookmarkEnd w:id="31"/>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shd w:val="nil" w:color="auto"/>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r>
      <w:r/>
    </w:p>
    <w:p>
      <w:pPr>
        <w:pStyle w:val="83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3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3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3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3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3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3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32"/>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24"/>
    <w:link w:val="822"/>
    <w:uiPriority w:val="9"/>
    <w:rPr>
      <w:rFonts w:ascii="Arial" w:hAnsi="Arial" w:eastAsia="Arial" w:cs="Arial"/>
      <w:sz w:val="40"/>
      <w:szCs w:val="40"/>
    </w:rPr>
  </w:style>
  <w:style w:type="character" w:styleId="649">
    <w:name w:val="Heading 2 Char"/>
    <w:basedOn w:val="824"/>
    <w:link w:val="823"/>
    <w:uiPriority w:val="9"/>
    <w:rPr>
      <w:rFonts w:ascii="Arial" w:hAnsi="Arial" w:eastAsia="Arial" w:cs="Arial"/>
      <w:sz w:val="34"/>
    </w:rPr>
  </w:style>
  <w:style w:type="paragraph" w:styleId="650">
    <w:name w:val="Heading 3"/>
    <w:basedOn w:val="821"/>
    <w:next w:val="821"/>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basedOn w:val="824"/>
    <w:link w:val="650"/>
    <w:uiPriority w:val="9"/>
    <w:rPr>
      <w:rFonts w:ascii="Arial" w:hAnsi="Arial" w:eastAsia="Arial" w:cs="Arial"/>
      <w:sz w:val="30"/>
      <w:szCs w:val="30"/>
    </w:rPr>
  </w:style>
  <w:style w:type="paragraph" w:styleId="652">
    <w:name w:val="Heading 4"/>
    <w:basedOn w:val="821"/>
    <w:next w:val="821"/>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basedOn w:val="824"/>
    <w:link w:val="652"/>
    <w:uiPriority w:val="9"/>
    <w:rPr>
      <w:rFonts w:ascii="Arial" w:hAnsi="Arial" w:eastAsia="Arial" w:cs="Arial"/>
      <w:b/>
      <w:bCs/>
      <w:sz w:val="26"/>
      <w:szCs w:val="26"/>
    </w:rPr>
  </w:style>
  <w:style w:type="paragraph" w:styleId="654">
    <w:name w:val="Heading 5"/>
    <w:basedOn w:val="821"/>
    <w:next w:val="821"/>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basedOn w:val="824"/>
    <w:link w:val="654"/>
    <w:uiPriority w:val="9"/>
    <w:rPr>
      <w:rFonts w:ascii="Arial" w:hAnsi="Arial" w:eastAsia="Arial" w:cs="Arial"/>
      <w:b/>
      <w:bCs/>
      <w:sz w:val="24"/>
      <w:szCs w:val="24"/>
    </w:rPr>
  </w:style>
  <w:style w:type="paragraph" w:styleId="656">
    <w:name w:val="Heading 6"/>
    <w:basedOn w:val="821"/>
    <w:next w:val="821"/>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basedOn w:val="824"/>
    <w:link w:val="656"/>
    <w:uiPriority w:val="9"/>
    <w:rPr>
      <w:rFonts w:ascii="Arial" w:hAnsi="Arial" w:eastAsia="Arial" w:cs="Arial"/>
      <w:b/>
      <w:bCs/>
      <w:sz w:val="22"/>
      <w:szCs w:val="22"/>
    </w:rPr>
  </w:style>
  <w:style w:type="paragraph" w:styleId="658">
    <w:name w:val="Heading 7"/>
    <w:basedOn w:val="821"/>
    <w:next w:val="821"/>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basedOn w:val="824"/>
    <w:link w:val="658"/>
    <w:uiPriority w:val="9"/>
    <w:rPr>
      <w:rFonts w:ascii="Arial" w:hAnsi="Arial" w:eastAsia="Arial" w:cs="Arial"/>
      <w:b/>
      <w:bCs/>
      <w:i/>
      <w:iCs/>
      <w:sz w:val="22"/>
      <w:szCs w:val="22"/>
    </w:rPr>
  </w:style>
  <w:style w:type="paragraph" w:styleId="660">
    <w:name w:val="Heading 8"/>
    <w:basedOn w:val="821"/>
    <w:next w:val="821"/>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basedOn w:val="824"/>
    <w:link w:val="660"/>
    <w:uiPriority w:val="9"/>
    <w:rPr>
      <w:rFonts w:ascii="Arial" w:hAnsi="Arial" w:eastAsia="Arial" w:cs="Arial"/>
      <w:i/>
      <w:iCs/>
      <w:sz w:val="22"/>
      <w:szCs w:val="22"/>
    </w:rPr>
  </w:style>
  <w:style w:type="paragraph" w:styleId="662">
    <w:name w:val="Heading 9"/>
    <w:basedOn w:val="821"/>
    <w:next w:val="821"/>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basedOn w:val="824"/>
    <w:link w:val="662"/>
    <w:uiPriority w:val="9"/>
    <w:rPr>
      <w:rFonts w:ascii="Arial" w:hAnsi="Arial" w:eastAsia="Arial" w:cs="Arial"/>
      <w:i/>
      <w:iCs/>
      <w:sz w:val="21"/>
      <w:szCs w:val="21"/>
    </w:rPr>
  </w:style>
  <w:style w:type="paragraph" w:styleId="664">
    <w:name w:val="List Paragraph"/>
    <w:basedOn w:val="821"/>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821"/>
    <w:next w:val="821"/>
    <w:link w:val="667"/>
    <w:uiPriority w:val="10"/>
    <w:qFormat/>
    <w:pPr>
      <w:contextualSpacing/>
      <w:spacing w:before="300" w:after="200"/>
    </w:pPr>
    <w:rPr>
      <w:sz w:val="48"/>
      <w:szCs w:val="48"/>
    </w:rPr>
  </w:style>
  <w:style w:type="character" w:styleId="667">
    <w:name w:val="Title Char"/>
    <w:basedOn w:val="824"/>
    <w:link w:val="666"/>
    <w:uiPriority w:val="10"/>
    <w:rPr>
      <w:sz w:val="48"/>
      <w:szCs w:val="48"/>
    </w:rPr>
  </w:style>
  <w:style w:type="paragraph" w:styleId="668">
    <w:name w:val="Subtitle"/>
    <w:basedOn w:val="821"/>
    <w:next w:val="821"/>
    <w:link w:val="669"/>
    <w:uiPriority w:val="11"/>
    <w:qFormat/>
    <w:pPr>
      <w:spacing w:before="200" w:after="200"/>
    </w:pPr>
    <w:rPr>
      <w:sz w:val="24"/>
      <w:szCs w:val="24"/>
    </w:rPr>
  </w:style>
  <w:style w:type="character" w:styleId="669">
    <w:name w:val="Subtitle Char"/>
    <w:basedOn w:val="824"/>
    <w:link w:val="668"/>
    <w:uiPriority w:val="11"/>
    <w:rPr>
      <w:sz w:val="24"/>
      <w:szCs w:val="24"/>
    </w:rPr>
  </w:style>
  <w:style w:type="paragraph" w:styleId="670">
    <w:name w:val="Quote"/>
    <w:basedOn w:val="821"/>
    <w:next w:val="821"/>
    <w:link w:val="671"/>
    <w:uiPriority w:val="29"/>
    <w:qFormat/>
    <w:pPr>
      <w:ind w:left="720" w:right="720"/>
    </w:pPr>
    <w:rPr>
      <w:i/>
    </w:rPr>
  </w:style>
  <w:style w:type="character" w:styleId="671">
    <w:name w:val="Quote Char"/>
    <w:link w:val="670"/>
    <w:uiPriority w:val="29"/>
    <w:rPr>
      <w:i/>
    </w:rPr>
  </w:style>
  <w:style w:type="paragraph" w:styleId="672">
    <w:name w:val="Intense Quote"/>
    <w:basedOn w:val="821"/>
    <w:next w:val="821"/>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character" w:styleId="674">
    <w:name w:val="Header Char"/>
    <w:basedOn w:val="824"/>
    <w:link w:val="831"/>
    <w:uiPriority w:val="99"/>
  </w:style>
  <w:style w:type="character" w:styleId="675">
    <w:name w:val="Footer Char"/>
    <w:basedOn w:val="824"/>
    <w:link w:val="830"/>
    <w:uiPriority w:val="99"/>
  </w:style>
  <w:style w:type="paragraph" w:styleId="676">
    <w:name w:val="Caption"/>
    <w:basedOn w:val="821"/>
    <w:next w:val="821"/>
    <w:uiPriority w:val="35"/>
    <w:semiHidden/>
    <w:unhideWhenUsed/>
    <w:qFormat/>
    <w:pPr>
      <w:spacing w:line="276" w:lineRule="auto"/>
    </w:pPr>
    <w:rPr>
      <w:b/>
      <w:bCs/>
      <w:color w:val="4f81bd" w:themeColor="accent1"/>
      <w:sz w:val="18"/>
      <w:szCs w:val="18"/>
    </w:rPr>
  </w:style>
  <w:style w:type="character" w:styleId="677">
    <w:name w:val="Caption Char"/>
    <w:basedOn w:val="676"/>
    <w:link w:val="830"/>
    <w:uiPriority w:val="99"/>
  </w:style>
  <w:style w:type="table" w:styleId="678">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9">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4">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5">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6">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7">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8">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9">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0">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1">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3">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4">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5">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6">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7">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8">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7">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8">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9">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0">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1">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4">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5">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6">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7">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8">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9">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1">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2">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3">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4">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5">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6">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8">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2">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3">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5">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6">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7">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8">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9">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0">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2">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3">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4">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5">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6">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9">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0">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1">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2">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3">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4">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6">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7">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8">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9">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0">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1">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0">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1">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2">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3">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4">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5">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6">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7">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8">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9">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0">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1">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2">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4">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5">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6">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7">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8">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9">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1">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2">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3">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4">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5">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6">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7">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8">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9">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0">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1">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2">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3">
    <w:name w:val="Hyperlink"/>
    <w:uiPriority w:val="99"/>
    <w:unhideWhenUsed/>
    <w:rPr>
      <w:color w:val="0000ff" w:themeColor="hyperlink"/>
      <w:u w:val="single"/>
    </w:rPr>
  </w:style>
  <w:style w:type="paragraph" w:styleId="804">
    <w:name w:val="footnote text"/>
    <w:basedOn w:val="821"/>
    <w:link w:val="805"/>
    <w:uiPriority w:val="99"/>
    <w:semiHidden/>
    <w:unhideWhenUsed/>
    <w:pPr>
      <w:spacing w:after="40" w:line="240" w:lineRule="auto"/>
    </w:pPr>
    <w:rPr>
      <w:sz w:val="18"/>
    </w:rPr>
  </w:style>
  <w:style w:type="character" w:styleId="805">
    <w:name w:val="Footnote Text Char"/>
    <w:link w:val="804"/>
    <w:uiPriority w:val="99"/>
    <w:rPr>
      <w:sz w:val="18"/>
    </w:rPr>
  </w:style>
  <w:style w:type="character" w:styleId="806">
    <w:name w:val="footnote reference"/>
    <w:basedOn w:val="824"/>
    <w:uiPriority w:val="99"/>
    <w:unhideWhenUsed/>
    <w:rPr>
      <w:vertAlign w:val="superscript"/>
    </w:rPr>
  </w:style>
  <w:style w:type="paragraph" w:styleId="807">
    <w:name w:val="endnote text"/>
    <w:basedOn w:val="821"/>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basedOn w:val="824"/>
    <w:uiPriority w:val="99"/>
    <w:semiHidden/>
    <w:unhideWhenUsed/>
    <w:rPr>
      <w:vertAlign w:val="superscript"/>
    </w:rPr>
  </w:style>
  <w:style w:type="paragraph" w:styleId="810">
    <w:name w:val="toc 1"/>
    <w:basedOn w:val="821"/>
    <w:next w:val="821"/>
    <w:uiPriority w:val="39"/>
    <w:unhideWhenUsed/>
    <w:pPr>
      <w:ind w:left="0" w:right="0" w:firstLine="0"/>
      <w:spacing w:after="57"/>
    </w:pPr>
  </w:style>
  <w:style w:type="paragraph" w:styleId="811">
    <w:name w:val="toc 2"/>
    <w:basedOn w:val="821"/>
    <w:next w:val="821"/>
    <w:uiPriority w:val="39"/>
    <w:unhideWhenUsed/>
    <w:pPr>
      <w:ind w:left="283" w:right="0" w:firstLine="0"/>
      <w:spacing w:after="57"/>
    </w:pPr>
  </w:style>
  <w:style w:type="paragraph" w:styleId="812">
    <w:name w:val="toc 3"/>
    <w:basedOn w:val="821"/>
    <w:next w:val="821"/>
    <w:uiPriority w:val="39"/>
    <w:unhideWhenUsed/>
    <w:pPr>
      <w:ind w:left="567" w:right="0" w:firstLine="0"/>
      <w:spacing w:after="57"/>
    </w:pPr>
  </w:style>
  <w:style w:type="paragraph" w:styleId="813">
    <w:name w:val="toc 4"/>
    <w:basedOn w:val="821"/>
    <w:next w:val="821"/>
    <w:uiPriority w:val="39"/>
    <w:unhideWhenUsed/>
    <w:pPr>
      <w:ind w:left="850" w:right="0" w:firstLine="0"/>
      <w:spacing w:after="57"/>
    </w:pPr>
  </w:style>
  <w:style w:type="paragraph" w:styleId="814">
    <w:name w:val="toc 5"/>
    <w:basedOn w:val="821"/>
    <w:next w:val="821"/>
    <w:uiPriority w:val="39"/>
    <w:unhideWhenUsed/>
    <w:pPr>
      <w:ind w:left="1134" w:right="0" w:firstLine="0"/>
      <w:spacing w:after="57"/>
    </w:pPr>
  </w:style>
  <w:style w:type="paragraph" w:styleId="815">
    <w:name w:val="toc 6"/>
    <w:basedOn w:val="821"/>
    <w:next w:val="821"/>
    <w:uiPriority w:val="39"/>
    <w:unhideWhenUsed/>
    <w:pPr>
      <w:ind w:left="1417" w:right="0" w:firstLine="0"/>
      <w:spacing w:after="57"/>
    </w:pPr>
  </w:style>
  <w:style w:type="paragraph" w:styleId="816">
    <w:name w:val="toc 7"/>
    <w:basedOn w:val="821"/>
    <w:next w:val="821"/>
    <w:uiPriority w:val="39"/>
    <w:unhideWhenUsed/>
    <w:pPr>
      <w:ind w:left="1701" w:right="0" w:firstLine="0"/>
      <w:spacing w:after="57"/>
    </w:pPr>
  </w:style>
  <w:style w:type="paragraph" w:styleId="817">
    <w:name w:val="toc 8"/>
    <w:basedOn w:val="821"/>
    <w:next w:val="821"/>
    <w:uiPriority w:val="39"/>
    <w:unhideWhenUsed/>
    <w:pPr>
      <w:ind w:left="1984" w:right="0" w:firstLine="0"/>
      <w:spacing w:after="57"/>
    </w:pPr>
  </w:style>
  <w:style w:type="paragraph" w:styleId="818">
    <w:name w:val="toc 9"/>
    <w:basedOn w:val="821"/>
    <w:next w:val="821"/>
    <w:uiPriority w:val="39"/>
    <w:unhideWhenUsed/>
    <w:pPr>
      <w:ind w:left="2268" w:right="0" w:firstLine="0"/>
      <w:spacing w:after="57"/>
    </w:pPr>
  </w:style>
  <w:style w:type="paragraph" w:styleId="819">
    <w:name w:val="TOC Heading"/>
    <w:uiPriority w:val="39"/>
    <w:unhideWhenUsed/>
  </w:style>
  <w:style w:type="paragraph" w:styleId="820">
    <w:name w:val="table of figures"/>
    <w:basedOn w:val="821"/>
    <w:next w:val="821"/>
    <w:uiPriority w:val="99"/>
    <w:unhideWhenUsed/>
    <w:pPr>
      <w:spacing w:after="0" w:afterAutospacing="0"/>
    </w:pPr>
  </w:style>
  <w:style w:type="paragraph" w:styleId="82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2">
    <w:name w:val="Heading 1"/>
    <w:basedOn w:val="821"/>
    <w:next w:val="821"/>
    <w:uiPriority w:val="0"/>
    <w:qFormat/>
    <w:pPr>
      <w:jc w:val="center"/>
      <w:keepLines/>
      <w:keepNext/>
      <w:spacing w:before="240" w:beforeAutospacing="0" w:after="120" w:afterAutospacing="0" w:line="300" w:lineRule="auto"/>
      <w:outlineLvl w:val="0"/>
    </w:pPr>
    <w:rPr>
      <w:rFonts w:ascii="宋体"/>
      <w:b/>
      <w:sz w:val="32"/>
    </w:rPr>
  </w:style>
  <w:style w:type="paragraph" w:styleId="823">
    <w:name w:val="Heading 2"/>
    <w:basedOn w:val="821"/>
    <w:next w:val="82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annotation text"/>
    <w:basedOn w:val="821"/>
    <w:uiPriority w:val="0"/>
    <w:qFormat/>
    <w:pPr>
      <w:jc w:val="left"/>
    </w:pPr>
  </w:style>
  <w:style w:type="paragraph" w:styleId="827">
    <w:name w:val="Body Text"/>
    <w:basedOn w:val="821"/>
    <w:next w:val="828"/>
    <w:uiPriority w:val="0"/>
    <w:qFormat/>
    <w:pPr>
      <w:spacing w:after="120" w:afterAutospacing="0"/>
    </w:pPr>
  </w:style>
  <w:style w:type="paragraph" w:styleId="828" w:customStyle="1">
    <w:name w:val="_Style 2"/>
    <w:basedOn w:val="821"/>
    <w:next w:val="821"/>
    <w:uiPriority w:val="0"/>
    <w:qFormat/>
    <w:pPr>
      <w:ind w:firstLine="420"/>
    </w:pPr>
    <w:rPr>
      <w:rFonts w:ascii="Times New Roman" w:hAnsi="Times New Roman" w:eastAsia="宋体" w:cs="Times New Roman"/>
    </w:rPr>
  </w:style>
  <w:style w:type="paragraph" w:styleId="829">
    <w:name w:val="Body Text Indent 2"/>
    <w:basedOn w:val="821"/>
    <w:uiPriority w:val="0"/>
    <w:qFormat/>
    <w:pPr>
      <w:ind w:firstLine="480"/>
    </w:pPr>
    <w:rPr>
      <w:rFonts w:ascii="仿宋_GB2312" w:eastAsia="仿宋_GB2312"/>
      <w:sz w:val="24"/>
    </w:rPr>
  </w:style>
  <w:style w:type="paragraph" w:styleId="830">
    <w:name w:val="Footer"/>
    <w:basedOn w:val="821"/>
    <w:link w:val="837"/>
    <w:uiPriority w:val="0"/>
    <w:qFormat/>
    <w:pPr>
      <w:jc w:val="left"/>
      <w:tabs>
        <w:tab w:val="center" w:pos="4153" w:leader="none"/>
        <w:tab w:val="right" w:pos="8306" w:leader="none"/>
      </w:tabs>
    </w:pPr>
    <w:rPr>
      <w:sz w:val="18"/>
      <w:szCs w:val="18"/>
    </w:rPr>
  </w:style>
  <w:style w:type="paragraph" w:styleId="831">
    <w:name w:val="Header"/>
    <w:basedOn w:val="821"/>
    <w:link w:val="836"/>
    <w:uiPriority w:val="0"/>
    <w:qFormat/>
    <w:pPr>
      <w:jc w:val="center"/>
      <w:tabs>
        <w:tab w:val="center" w:pos="4153" w:leader="none"/>
        <w:tab w:val="right" w:pos="8306" w:leader="none"/>
      </w:tabs>
      <w:pBdr>
        <w:bottom w:val="single" w:color="auto" w:sz="6" w:space="1"/>
      </w:pBdr>
    </w:pPr>
    <w:rPr>
      <w:sz w:val="18"/>
      <w:szCs w:val="18"/>
    </w:rPr>
  </w:style>
  <w:style w:type="paragraph" w:styleId="832">
    <w:name w:val="Normal (Web)"/>
    <w:basedOn w:val="821"/>
    <w:uiPriority w:val="0"/>
    <w:qFormat/>
    <w:pPr>
      <w:jc w:val="left"/>
      <w:spacing w:beforeAutospacing="1" w:afterAutospacing="1"/>
    </w:pPr>
    <w:rPr>
      <w:rFonts w:cs="Times New Roman"/>
      <w:sz w:val="24"/>
    </w:rPr>
  </w:style>
  <w:style w:type="paragraph" w:styleId="833">
    <w:name w:val="Body Text First Indent"/>
    <w:basedOn w:val="827"/>
    <w:uiPriority w:val="0"/>
    <w:qFormat/>
    <w:pPr>
      <w:ind w:firstLine="420"/>
      <w:spacing w:after="120" w:line="240" w:lineRule="auto"/>
    </w:pPr>
    <w:rPr>
      <w:rFonts w:ascii="宋体" w:hAnsi="宋体" w:eastAsia="宋体"/>
      <w:sz w:val="24"/>
    </w:rPr>
  </w:style>
  <w:style w:type="table" w:styleId="834">
    <w:name w:val="Table Grid"/>
    <w:basedOn w:val="82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5" w:customStyle="1">
    <w:name w:val="Default"/>
    <w:basedOn w:val="821"/>
    <w:uiPriority w:val="0"/>
    <w:semiHidden/>
    <w:qFormat/>
    <w:pPr>
      <w:jc w:val="left"/>
    </w:pPr>
    <w:rPr>
      <w:rFonts w:ascii="宋体" w:hAnsi="Calibri" w:cs="宋体"/>
      <w:color w:val="000000"/>
      <w:sz w:val="24"/>
    </w:rPr>
  </w:style>
  <w:style w:type="character" w:styleId="836" w:customStyle="1">
    <w:name w:val="页眉 Char"/>
    <w:basedOn w:val="824"/>
    <w:link w:val="831"/>
    <w:uiPriority w:val="0"/>
    <w:qFormat/>
    <w:rPr>
      <w:rFonts w:asciiTheme="minorHAnsi" w:hAnsiTheme="minorHAnsi" w:eastAsiaTheme="minorEastAsia" w:cstheme="minorBidi"/>
      <w:sz w:val="18"/>
      <w:szCs w:val="18"/>
    </w:rPr>
  </w:style>
  <w:style w:type="character" w:styleId="837" w:customStyle="1">
    <w:name w:val="页脚 Char"/>
    <w:basedOn w:val="824"/>
    <w:link w:val="830"/>
    <w:uiPriority w:val="0"/>
    <w:qFormat/>
    <w:rPr>
      <w:rFonts w:asciiTheme="minorHAnsi" w:hAnsiTheme="minorHAnsi" w:eastAsiaTheme="minorEastAsia" w:cstheme="minorBidi"/>
      <w:sz w:val="18"/>
      <w:szCs w:val="18"/>
    </w:rPr>
  </w:style>
  <w:style w:type="paragraph" w:styleId="838" w:customStyle="1">
    <w:name w:val="普通正文"/>
    <w:basedOn w:val="821"/>
    <w:uiPriority w:val="0"/>
    <w:qFormat/>
    <w:pPr>
      <w:ind w:firstLine="480"/>
      <w:jc w:val="left"/>
      <w:spacing w:before="120" w:after="120" w:line="360" w:lineRule="auto"/>
    </w:pPr>
    <w:rPr>
      <w:rFonts w:ascii="Arial" w:hAnsi="Arial" w:eastAsia="等线" w:cs="Arial"/>
      <w:sz w:val="24"/>
      <w:szCs w:val="24"/>
    </w:rPr>
  </w:style>
  <w:style w:type="paragraph" w:styleId="839" w:customStyle="1">
    <w:name w:val="正文首行缩进 21"/>
    <w:basedOn w:val="840"/>
    <w:uiPriority w:val="0"/>
    <w:qFormat/>
    <w:pPr>
      <w:ind w:firstLine="420"/>
    </w:pPr>
  </w:style>
  <w:style w:type="paragraph" w:styleId="840" w:customStyle="1">
    <w:name w:val="正文文本缩进1"/>
    <w:basedOn w:val="821"/>
    <w:uiPriority w:val="0"/>
    <w:qFormat/>
    <w:pPr>
      <w:ind w:left="420"/>
      <w:spacing w:after="120"/>
    </w:pPr>
  </w:style>
  <w:style w:type="paragraph" w:styleId="841" w:customStyle="1">
    <w:name w:val="BodyText1I"/>
    <w:basedOn w:val="842"/>
    <w:uiPriority w:val="0"/>
    <w:qFormat/>
    <w:pPr>
      <w:ind w:firstLine="420"/>
      <w:jc w:val="left"/>
      <w:spacing w:line="480" w:lineRule="auto"/>
    </w:pPr>
    <w:rPr>
      <w:rFonts w:ascii="Times New Roman" w:hAnsi="Times New Roman" w:eastAsia="宋体"/>
      <w:sz w:val="24"/>
      <w:szCs w:val="20"/>
      <w:lang w:val="zh-CN" w:eastAsia="zh-CN" w:bidi="ar-SA"/>
    </w:rPr>
  </w:style>
  <w:style w:type="paragraph" w:styleId="842" w:customStyle="1">
    <w:name w:val="BodyText"/>
    <w:basedOn w:val="821"/>
    <w:uiPriority w:val="0"/>
    <w:qFormat/>
    <w:pPr>
      <w:jc w:val="left"/>
      <w:spacing w:line="480" w:lineRule="auto"/>
    </w:pPr>
    <w:rPr>
      <w:rFonts w:ascii="宋体" w:hAnsi="Times New Roman" w:eastAsia="宋体"/>
      <w:sz w:val="24"/>
      <w:szCs w:val="20"/>
      <w:lang w:val="zh-CN" w:eastAsia="zh-CN" w:bidi="ar-SA"/>
    </w:rPr>
  </w:style>
  <w:style w:type="character" w:styleId="843" w:customStyle="1">
    <w:name w:val="NormalCharacter"/>
    <w:uiPriority w:val="0"/>
    <w:qFormat/>
  </w:style>
  <w:style w:type="numbering" w:styleId="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王润新</cp:lastModifiedBy>
  <cp:revision>275</cp:revision>
  <dcterms:created xsi:type="dcterms:W3CDTF">2014-10-29T12:08:00Z</dcterms:created>
  <dcterms:modified xsi:type="dcterms:W3CDTF">2025-12-17T08:47:27Z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B286C83E9FA04AEBAB165C10AEB284BF_13</vt:lpwstr>
  </property>
  <property fmtid="{D5CDD505-2E9C-101B-9397-08002B2CF9AE}" pid="4" name="KSOTemplateDocerSaveRecord">
    <vt:lpwstr>eyJoZGlkIjoiZmM4OTVhODlkNWVkYzQwZTIxMDM4MTk3Y2IyZmUwNzciLCJ1c2VySWQiOiI0Nzk0NjQwNDUifQ==</vt:lpwstr>
  </property>
</Properties>
</file>