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tabs>
          <w:tab w:val="left" w:pos="7642"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98"/>
        <w:ind w:firstLine="0"/>
        <w:tabs>
          <w:tab w:val="left" w:pos="7642"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pStyle w:val="998"/>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8"/>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8"/>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98"/>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JSZC-320900-YCLX-G2026-0007</w:t>
      </w:r>
      <w:r/>
    </w:p>
    <w:p>
      <w:pPr>
        <w:ind w:firstLine="2168"/>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z w:val="36"/>
          <w:highlight w:val="none"/>
        </w:rPr>
        <w:t xml:space="preserve">项目名称：</w:t>
      </w:r>
      <w:r>
        <w:rPr>
          <w:rFonts w:hint="eastAsia" w:ascii="宋体" w:hAnsi="宋体" w:eastAsia="宋体" w:cs="宋体"/>
          <w:b/>
          <w:color w:val="auto"/>
          <w:sz w:val="32"/>
          <w:szCs w:val="32"/>
          <w:highlight w:val="none"/>
          <w:lang w:eastAsia="zh-CN"/>
        </w:rPr>
        <w:t xml:space="preserve">盐城市“茉莉花开·家门口赏好戏”—全省优秀舞台艺术作品和优秀群众文艺作品乡镇巡演项目</w:t>
      </w:r>
      <w:r/>
    </w:p>
    <w:p>
      <w:pPr>
        <w:pStyle w:val="998"/>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998"/>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998"/>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998"/>
        <w:ind w:firstLine="0"/>
        <w:jc w:val="center"/>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盐城市文化广电和旅游局</w:t>
      </w:r>
      <w:r/>
    </w:p>
    <w:p>
      <w:pPr>
        <w:pStyle w:val="998"/>
        <w:ind w:firstLine="0"/>
        <w:jc w:val="center"/>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盐城立信造价工程师事务所有限公司</w:t>
      </w:r>
      <w:r/>
    </w:p>
    <w:p>
      <w:pPr>
        <w:pStyle w:val="998"/>
        <w:ind w:firstLine="0"/>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0</w:t>
      </w:r>
      <w:r>
        <w:rPr>
          <w:rFonts w:hint="eastAsia" w:ascii="宋体" w:hAnsi="宋体" w:cs="宋体"/>
          <w:b/>
          <w:bCs/>
          <w:color w:val="auto"/>
          <w:sz w:val="32"/>
          <w:highlight w:val="none"/>
          <w:lang w:val="en-US" w:eastAsia="zh-CN"/>
        </w:rPr>
        <w:t xml:space="preserve">5</w:t>
      </w:r>
      <w:r>
        <w:rPr>
          <w:rFonts w:hint="eastAsia" w:ascii="宋体" w:hAnsi="宋体" w:eastAsia="宋体" w:cs="宋体"/>
          <w:b/>
          <w:bCs/>
          <w:color w:val="auto"/>
          <w:sz w:val="32"/>
          <w:highlight w:val="none"/>
        </w:rPr>
        <w:t xml:space="preserve">月</w:t>
      </w:r>
      <w:r/>
    </w:p>
    <w:p>
      <w:pP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3313"/>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3313"/>
        <w:rPr>
          <w:rFonts w:hint="eastAsia" w:ascii="宋体" w:hAnsi="宋体" w:eastAsia="宋体" w:cs="宋体"/>
          <w:b/>
          <w:color w:val="auto"/>
          <w:sz w:val="44"/>
          <w:szCs w:val="21"/>
          <w:highlight w:val="none"/>
        </w:rPr>
        <w:sectPr>
          <w:headerReference w:type="default" r:id="rId9"/>
          <w:headerReference w:type="first" r:id="rId10"/>
          <w:footerReference w:type="even" r:id="rId11"/>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21"/>
          <w:highlight w:val="none"/>
        </w:rPr>
        <w:t xml:space="preserve">目 录</w:t>
      </w:r>
      <w:r/>
    </w:p>
    <w:p>
      <w:pPr>
        <w:ind w:left="0" w:right="0"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4"/>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_Toc29404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_Toc29404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04"/>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04"/>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_Toc16269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04"/>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_Toc15384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_Toc15384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04"/>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2</w:t>
      </w:r>
      <w:r/>
    </w:p>
    <w:p>
      <w:pPr>
        <w:pStyle w:val="804"/>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_Toc29394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_Toc29394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771"/>
        <w:numPr>
          <w:ilvl w:val="0"/>
          <w:numId w:val="1"/>
        </w:numPr>
        <w:ind w:left="2660" w:firstLine="0"/>
        <w:rPr>
          <w:rFonts w:hint="eastAsia" w:ascii="宋体" w:hAnsi="宋体" w:eastAsia="宋体" w:cs="宋体"/>
          <w:color w:val="auto"/>
          <w:sz w:val="44"/>
          <w:szCs w:val="44"/>
          <w:highlight w:val="none"/>
        </w:rPr>
        <w:sectPr>
          <w:footerReference w:type="default" r:id="rId12"/>
          <w:footerReference w:type="first" r:id="rId13"/>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hint="eastAsia" w:ascii="宋体" w:hAnsi="宋体" w:eastAsia="宋体" w:cs="宋体"/>
          <w:color w:val="auto"/>
          <w:sz w:val="44"/>
          <w:szCs w:val="44"/>
          <w:highlight w:val="none"/>
        </w:rPr>
      </w:r>
      <w:r/>
    </w:p>
    <w:p>
      <w:pPr>
        <w:pStyle w:val="771"/>
        <w:numPr>
          <w:ilvl w:val="0"/>
          <w:numId w:val="0"/>
        </w:numPr>
        <w:ind w:left="2660" w:firstLine="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lang w:val="en-US" w:eastAsia="zh-CN" w:bidi="ar-SA"/>
        </w:rPr>
        <w:t xml:space="preserve">第一章</w:t>
      </w:r>
      <w:r>
        <w:rPr>
          <w:rFonts w:hint="eastAsia" w:ascii="宋体" w:hAnsi="宋体" w:eastAsia="宋体" w:cs="宋体"/>
          <w:b/>
          <w:bCs/>
          <w:color w:val="auto"/>
          <w:sz w:val="44"/>
          <w:szCs w:val="44"/>
          <w:highlight w:val="none"/>
        </w:rPr>
        <w:t xml:space="preserve"> </w:t>
      </w:r>
      <w:bookmarkStart w:id="0" w:name="_Toc29404"/>
      <w:r>
        <w:rPr>
          <w:rFonts w:hint="eastAsia" w:ascii="宋体" w:hAnsi="宋体" w:eastAsia="宋体" w:cs="宋体"/>
          <w:b/>
          <w:bCs/>
          <w:color w:val="auto"/>
          <w:sz w:val="44"/>
          <w:szCs w:val="44"/>
          <w:highlight w:val="none"/>
        </w:rPr>
        <w:t xml:space="preserve">招标公告</w:t>
      </w:r>
      <w:bookmarkEnd w:id="0"/>
      <w:r/>
      <w:r/>
    </w:p>
    <w:p>
      <w:pPr>
        <w:ind w:firstLine="482"/>
        <w:keepLines w:val="0"/>
        <w:pageBreakBefore w:val="0"/>
        <w:spacing w:line="500" w:lineRule="exact"/>
        <w:rPr>
          <w:rFonts w:hint="eastAsia" w:ascii="宋体" w:hAnsi="宋体" w:eastAsia="宋体" w:cs="宋体"/>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4"/>
          <w:szCs w:val="24"/>
          <w:highlight w:val="none"/>
        </w:rPr>
        <w:t xml:space="preserve">项目概况</w:t>
      </w:r>
      <w:r/>
    </w:p>
    <w:p>
      <w:pPr>
        <w:ind w:firstLine="480"/>
        <w:keepLines w:val="0"/>
        <w:pageBreakBefore w:val="0"/>
        <w:spacing w:line="500" w:lineRule="exact"/>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盐城市“茉莉花开·家门口赏好戏”—全省优秀舞台艺术作品和优秀群众文艺作品乡镇巡演项目</w:t>
      </w:r>
      <w:r>
        <w:rPr>
          <w:rFonts w:hint="eastAsia" w:ascii="宋体" w:hAnsi="宋体" w:eastAsia="宋体" w:cs="宋体"/>
          <w:color w:val="auto"/>
          <w:sz w:val="24"/>
          <w:szCs w:val="24"/>
          <w:highlight w:val="none"/>
        </w:rPr>
        <w:t xml:space="preserve">的潜在投标人应在“苏采云”系统内免费下载（投标人必须在苏采云系统中获取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，方能参与政府采购项目）获取招标文件，并于202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年6月10日09:00</w:t>
      </w:r>
      <w:r>
        <w:rPr>
          <w:rFonts w:hint="eastAsia" w:ascii="宋体" w:hAnsi="宋体" w:eastAsia="宋体" w:cs="宋体"/>
          <w:color w:val="auto"/>
          <w:sz w:val="24"/>
          <w:szCs w:val="24"/>
          <w:highlight w:val="none"/>
        </w:rPr>
        <w:t xml:space="preserve">（北京时间）前递交投标文件</w:t>
      </w:r>
      <w:r>
        <w:rPr>
          <w:rFonts w:hint="eastAsia" w:ascii="宋体" w:hAnsi="宋体" w:eastAsia="宋体" w:cs="宋体"/>
          <w:b w:val="0"/>
          <w:bCs w:val="0"/>
          <w:color w:val="auto"/>
          <w:sz w:val="24"/>
          <w:szCs w:val="24"/>
          <w:highlight w:val="none"/>
          <w:lang w:eastAsia="zh-CN"/>
        </w:rPr>
        <w:t xml:space="preserve">。</w:t>
      </w:r>
      <w:r/>
    </w:p>
    <w:p>
      <w:pPr>
        <w:pStyle w:val="772"/>
        <w:ind w:firstLine="482"/>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1" w:name="_Toc35393621"/>
      <w:r/>
      <w:bookmarkStart w:id="2" w:name="_Toc35393790"/>
      <w:r/>
      <w:bookmarkStart w:id="3" w:name="_Toc28359002"/>
      <w:r/>
      <w:bookmarkStart w:id="4" w:name="_Toc28359079"/>
      <w:r/>
      <w:bookmarkStart w:id="5"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1.项目编号：</w:t>
      </w:r>
      <w:r>
        <w:rPr>
          <w:rFonts w:hint="eastAsia" w:ascii="宋体" w:hAnsi="宋体" w:cs="宋体"/>
          <w:color w:val="auto"/>
          <w:sz w:val="24"/>
          <w:highlight w:val="none"/>
          <w:lang w:val="en-US" w:eastAsia="zh-CN"/>
        </w:rPr>
        <w:t xml:space="preserve">JSZC-320900-YCLX-G2026-0007</w:t>
      </w:r>
      <w:r>
        <w:rPr>
          <w:rFonts w:hint="eastAsia" w:ascii="宋体" w:hAnsi="宋体" w:eastAsia="宋体" w:cs="宋体"/>
          <w:color w:val="auto"/>
          <w:sz w:val="24"/>
          <w:highlight w:val="none"/>
          <w:lang w:val="en-US" w:eastAsia="zh-CN"/>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盐城市“茉莉花开·家门口赏好戏”—全省优秀舞台艺术作品和优秀群众文艺作品乡镇巡演项目</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采购方式：</w:t>
      </w:r>
      <w:r>
        <w:rPr>
          <w:rFonts w:hint="eastAsia" w:ascii="宋体" w:hAnsi="宋体" w:eastAsia="宋体" w:cs="宋体"/>
          <w:color w:val="auto"/>
          <w:sz w:val="24"/>
          <w:highlight w:val="none"/>
          <w:lang w:val="en-US" w:eastAsia="zh-CN"/>
        </w:rPr>
        <w:t xml:space="preserve">公开招标</w:t>
      </w:r>
      <w:bookmarkEnd w:id="5"/>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预算金额：</w:t>
      </w:r>
      <w:r>
        <w:rPr>
          <w:rFonts w:hint="eastAsia" w:ascii="宋体" w:hAnsi="宋体" w:cs="宋体"/>
          <w:color w:val="auto"/>
          <w:sz w:val="24"/>
          <w:highlight w:val="none"/>
          <w:lang w:val="en-US" w:eastAsia="zh-CN"/>
        </w:rPr>
        <w:t xml:space="preserve">188</w:t>
      </w:r>
      <w:r>
        <w:rPr>
          <w:rFonts w:hint="eastAsia" w:ascii="宋体" w:hAnsi="宋体" w:eastAsia="宋体" w:cs="宋体"/>
          <w:color w:val="auto"/>
          <w:sz w:val="24"/>
          <w:highlight w:val="none"/>
        </w:rPr>
        <w:t xml:space="preserve">万元（采购包1：</w:t>
      </w:r>
      <w:r>
        <w:rPr>
          <w:rFonts w:hint="eastAsia" w:ascii="宋体" w:hAnsi="宋体" w:cs="宋体"/>
          <w:color w:val="auto"/>
          <w:sz w:val="24"/>
          <w:highlight w:val="none"/>
          <w:lang w:val="en-US" w:eastAsia="zh-CN"/>
        </w:rPr>
        <w:t xml:space="preserve">38</w:t>
      </w:r>
      <w:r>
        <w:rPr>
          <w:rFonts w:hint="eastAsia" w:ascii="宋体" w:hAnsi="宋体" w:eastAsia="宋体" w:cs="宋体"/>
          <w:color w:val="auto"/>
          <w:sz w:val="24"/>
          <w:highlight w:val="none"/>
        </w:rPr>
        <w:t xml:space="preserve">万元；采购包2：</w:t>
      </w:r>
      <w:r>
        <w:rPr>
          <w:rFonts w:hint="eastAsia" w:ascii="宋体" w:hAnsi="宋体" w:cs="宋体"/>
          <w:color w:val="auto"/>
          <w:sz w:val="24"/>
          <w:highlight w:val="none"/>
          <w:lang w:val="en-US" w:eastAsia="zh-CN"/>
        </w:rPr>
        <w:t xml:space="preserve">38</w:t>
      </w:r>
      <w:r>
        <w:rPr>
          <w:rFonts w:hint="eastAsia" w:ascii="宋体" w:hAnsi="宋体" w:eastAsia="宋体" w:cs="宋体"/>
          <w:color w:val="auto"/>
          <w:sz w:val="24"/>
          <w:highlight w:val="none"/>
        </w:rPr>
        <w:t xml:space="preserve">万元；采购包3：</w:t>
      </w:r>
      <w:r>
        <w:rPr>
          <w:rFonts w:hint="eastAsia" w:ascii="宋体" w:hAnsi="宋体" w:cs="宋体"/>
          <w:color w:val="auto"/>
          <w:sz w:val="24"/>
          <w:highlight w:val="none"/>
          <w:lang w:val="en-US" w:eastAsia="zh-CN"/>
        </w:rPr>
        <w:t xml:space="preserve">38</w:t>
      </w:r>
      <w:r>
        <w:rPr>
          <w:rFonts w:hint="eastAsia" w:ascii="宋体" w:hAnsi="宋体" w:eastAsia="宋体" w:cs="宋体"/>
          <w:color w:val="auto"/>
          <w:sz w:val="24"/>
          <w:highlight w:val="none"/>
        </w:rPr>
        <w:t xml:space="preserve">万元；采购包4：</w:t>
      </w:r>
      <w:r>
        <w:rPr>
          <w:rFonts w:hint="eastAsia" w:ascii="宋体" w:hAnsi="宋体" w:cs="宋体"/>
          <w:color w:val="auto"/>
          <w:sz w:val="24"/>
          <w:highlight w:val="none"/>
          <w:lang w:val="en-US" w:eastAsia="zh-CN"/>
        </w:rPr>
        <w:t xml:space="preserve">38</w:t>
      </w:r>
      <w:r>
        <w:rPr>
          <w:rFonts w:hint="eastAsia" w:ascii="宋体" w:hAnsi="宋体" w:eastAsia="宋体" w:cs="宋体"/>
          <w:color w:val="auto"/>
          <w:sz w:val="24"/>
          <w:highlight w:val="none"/>
        </w:rPr>
        <w:t xml:space="preserve">万元；采购包5：</w:t>
      </w:r>
      <w:r>
        <w:rPr>
          <w:rFonts w:hint="eastAsia" w:ascii="宋体" w:hAnsi="宋体" w:cs="宋体"/>
          <w:color w:val="auto"/>
          <w:sz w:val="24"/>
          <w:highlight w:val="none"/>
          <w:lang w:val="en-US" w:eastAsia="zh-CN"/>
        </w:rPr>
        <w:t xml:space="preserve">36</w:t>
      </w:r>
      <w:r>
        <w:rPr>
          <w:rFonts w:hint="eastAsia" w:ascii="宋体" w:hAnsi="宋体" w:eastAsia="宋体" w:cs="宋体"/>
          <w:color w:val="auto"/>
          <w:sz w:val="24"/>
          <w:highlight w:val="none"/>
        </w:rPr>
        <w:t xml:space="preserve">万元）。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）：各分包最高限价均为</w:t>
      </w:r>
      <w:r>
        <w:rPr>
          <w:rFonts w:hint="eastAsia" w:ascii="宋体" w:hAnsi="宋体" w:cs="宋体"/>
          <w:color w:val="auto"/>
          <w:sz w:val="24"/>
          <w:szCs w:val="24"/>
          <w:highlight w:val="none"/>
          <w:lang w:val="en-US" w:eastAsia="zh-CN"/>
        </w:rPr>
        <w:t xml:space="preserve">20000</w:t>
      </w:r>
      <w:r>
        <w:rPr>
          <w:rFonts w:hint="eastAsia" w:ascii="宋体" w:hAnsi="宋体" w:eastAsia="宋体" w:cs="宋体"/>
          <w:color w:val="auto"/>
          <w:sz w:val="24"/>
          <w:szCs w:val="24"/>
          <w:highlight w:val="none"/>
        </w:rPr>
        <w:t xml:space="preserve">元/场</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szCs w:val="20"/>
        </w:rPr>
        <w:t xml:space="preserve">（简介）：</w:t>
      </w:r>
      <w:r>
        <w:rPr>
          <w:rFonts w:hint="eastAsia" w:ascii="宋体" w:hAnsi="宋体" w:cs="宋体"/>
          <w:color w:val="auto"/>
          <w:sz w:val="24"/>
          <w:szCs w:val="20"/>
        </w:rPr>
        <w:t xml:space="preserve">以包含音乐、舞蹈、戏剧、曲艺等多个门类的综合表演形式为主，</w:t>
      </w:r>
      <w:r>
        <w:rPr>
          <w:rFonts w:hint="eastAsia" w:ascii="宋体" w:hAnsi="宋体" w:cs="宋体"/>
          <w:color w:val="auto"/>
          <w:sz w:val="24"/>
          <w:szCs w:val="20"/>
          <w:lang w:eastAsia="zh-CN"/>
        </w:rPr>
        <w:t xml:space="preserve">时长不少于</w:t>
      </w:r>
      <w:r>
        <w:rPr>
          <w:rFonts w:hint="eastAsia" w:ascii="宋体" w:hAnsi="宋体" w:cs="宋体"/>
          <w:color w:val="auto"/>
          <w:sz w:val="24"/>
          <w:szCs w:val="20"/>
          <w:lang w:val="en-US" w:eastAsia="zh-CN"/>
        </w:rPr>
        <w:t xml:space="preserve">90分钟，</w:t>
      </w:r>
      <w:r>
        <w:rPr>
          <w:rFonts w:hint="eastAsia" w:ascii="宋体" w:hAnsi="宋体" w:cs="宋体"/>
          <w:color w:val="auto"/>
          <w:sz w:val="24"/>
          <w:szCs w:val="20"/>
        </w:rPr>
        <w:t xml:space="preserve">对除大纵湖镇以外的94个乡镇进行巡演（其中我市阜宁县古河镇与淮安市淮安区苏嘴镇互换1场）</w:t>
      </w:r>
      <w:r>
        <w:rPr>
          <w:rFonts w:hint="eastAsia" w:ascii="宋体" w:hAnsi="宋体" w:cs="宋体"/>
          <w:color w:val="auto"/>
          <w:sz w:val="24"/>
          <w:szCs w:val="20"/>
          <w:lang w:eastAsia="zh-CN"/>
        </w:rPr>
        <w:t xml:space="preserve">，总计</w:t>
      </w:r>
      <w:r>
        <w:rPr>
          <w:rFonts w:hint="eastAsia" w:ascii="宋体" w:hAnsi="宋体" w:cs="宋体"/>
          <w:color w:val="auto"/>
          <w:sz w:val="24"/>
          <w:szCs w:val="20"/>
          <w:lang w:val="en-US" w:eastAsia="zh-CN"/>
        </w:rPr>
        <w:t xml:space="preserve">94场</w:t>
      </w:r>
      <w:r>
        <w:rPr>
          <w:rFonts w:hint="eastAsia" w:ascii="宋体" w:hAnsi="宋体" w:cs="宋体"/>
          <w:color w:val="auto"/>
          <w:sz w:val="24"/>
          <w:szCs w:val="20"/>
        </w:rPr>
        <w:t xml:space="preserve">。演出节目应符合乡镇实际、体现当地特色、内容健康向上、形式丰富多样、群众喜闻乐见。</w:t>
      </w:r>
      <w:r>
        <w:rPr>
          <w:rFonts w:ascii="宋体" w:hAnsi="宋体" w:cs="宋体"/>
          <w:color w:val="auto"/>
          <w:sz w:val="24"/>
          <w:szCs w:val="20"/>
        </w:rPr>
        <w:t xml:space="preserve">具体见</w:t>
      </w:r>
      <w:r>
        <w:rPr>
          <w:rFonts w:hint="eastAsia" w:ascii="宋体" w:hAnsi="宋体" w:cs="宋体"/>
          <w:color w:val="auto"/>
          <w:sz w:val="24"/>
          <w:szCs w:val="20"/>
        </w:rPr>
        <w:t xml:space="preserve">招标</w:t>
      </w:r>
      <w:r>
        <w:rPr>
          <w:rFonts w:ascii="宋体" w:hAnsi="宋体" w:cs="宋体"/>
          <w:color w:val="auto"/>
          <w:sz w:val="24"/>
          <w:szCs w:val="20"/>
        </w:rPr>
        <w:t xml:space="preserve">文件第四章“</w:t>
      </w:r>
      <w:bookmarkStart w:id="6" w:name="OLE_LINK52"/>
      <w:r>
        <w:rPr>
          <w:rFonts w:hint="eastAsia" w:ascii="宋体" w:hAnsi="宋体" w:cs="宋体"/>
          <w:color w:val="auto"/>
          <w:sz w:val="24"/>
          <w:szCs w:val="20"/>
        </w:rPr>
        <w:t xml:space="preserve">采购</w:t>
      </w:r>
      <w:r>
        <w:rPr>
          <w:rFonts w:ascii="宋体" w:hAnsi="宋体" w:cs="宋体"/>
          <w:color w:val="auto"/>
          <w:sz w:val="24"/>
          <w:szCs w:val="20"/>
        </w:rPr>
        <w:t xml:space="preserve">需</w:t>
      </w:r>
      <w:r>
        <w:rPr>
          <w:rFonts w:ascii="宋体" w:hAnsi="宋体" w:cs="宋体"/>
          <w:color w:val="auto"/>
          <w:sz w:val="24"/>
          <w:szCs w:val="20"/>
          <w:highlight w:val="none"/>
        </w:rPr>
        <w:t xml:space="preserve">求</w:t>
      </w:r>
      <w:bookmarkEnd w:id="6"/>
      <w:r>
        <w:rPr>
          <w:rFonts w:ascii="宋体" w:hAnsi="宋体" w:cs="宋体"/>
          <w:color w:val="auto"/>
          <w:sz w:val="24"/>
          <w:szCs w:val="20"/>
          <w:highlight w:val="none"/>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szCs w:val="20"/>
        </w:rPr>
      </w:pPr>
      <w:r>
        <w:rPr>
          <w:rFonts w:hint="eastAsia" w:ascii="宋体" w:hAnsi="宋体" w:eastAsia="宋体" w:cs="宋体"/>
          <w:color w:val="auto"/>
          <w:sz w:val="24"/>
          <w:szCs w:val="20"/>
          <w:highlight w:val="none"/>
        </w:rPr>
        <w:t xml:space="preserve">注：供应商可同时参与多个分包的投标，但最多中标1个分包，评审、定标顺序：</w:t>
      </w:r>
      <w:r>
        <w:rPr>
          <w:rFonts w:hint="eastAsia" w:ascii="宋体" w:hAnsi="宋体" w:eastAsia="宋体" w:cs="宋体"/>
          <w:color w:val="auto"/>
          <w:sz w:val="24"/>
          <w:highlight w:val="none"/>
        </w:rPr>
        <w:t xml:space="preserve">分包1→分包</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，即分包1、分包2、分包3、分包4、分包5</w:t>
      </w:r>
      <w:r>
        <w:rPr>
          <w:rFonts w:hint="eastAsia" w:ascii="宋体" w:hAnsi="宋体" w:eastAsia="宋体" w:cs="宋体"/>
          <w:color w:val="auto"/>
          <w:sz w:val="24"/>
          <w:szCs w:val="20"/>
          <w:highlight w:val="none"/>
        </w:rPr>
        <w:t xml:space="preserve">。在合同签订</w:t>
      </w:r>
      <w:r>
        <w:rPr>
          <w:rFonts w:hint="eastAsia" w:ascii="宋体" w:hAnsi="宋体" w:eastAsia="宋体" w:cs="宋体"/>
          <w:color w:val="auto"/>
          <w:sz w:val="24"/>
          <w:szCs w:val="20"/>
        </w:rPr>
        <w:t xml:space="preserve">之前，若某标段因质疑、投诉等事项导致中标结果改变的，不影响其余分包的中标结果。</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合同履行期限：</w:t>
      </w:r>
      <w:r>
        <w:rPr>
          <w:rFonts w:hint="eastAsia" w:ascii="宋体" w:hAnsi="宋体" w:eastAsia="宋体" w:cs="宋体"/>
          <w:i w:val="0"/>
          <w:iCs w:val="0"/>
          <w:color w:val="auto"/>
          <w:sz w:val="24"/>
          <w:szCs w:val="24"/>
          <w:highlight w:val="none"/>
          <w:u w:val="none"/>
          <w:lang w:val="en-US" w:eastAsia="zh-CN"/>
        </w:rPr>
        <w:t xml:space="preserve">自合同签订之日起至2026年12月31日</w:t>
      </w:r>
      <w:r>
        <w:rPr>
          <w:rFonts w:hint="eastAsia" w:ascii="宋体" w:hAnsi="宋体" w:eastAsia="宋体" w:cs="宋体"/>
          <w:color w:val="auto"/>
          <w:sz w:val="24"/>
          <w:highlight w:val="none"/>
          <w:shd w:val="clear" w:color="auto" w:fill="auto"/>
          <w:lang w:eastAsia="zh-CN"/>
        </w:rPr>
        <w:t xml:space="preserve">。</w:t>
      </w:r>
      <w:r/>
    </w:p>
    <w:p>
      <w:pPr>
        <w:ind w:left="479" w:firstLine="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0"/>
        </w:rPr>
        <w:t xml:space="preserve">本项目（是/否）接受联合体投标：</w:t>
      </w:r>
      <w:r>
        <w:rPr>
          <w:rFonts w:hint="eastAsia" w:ascii="宋体" w:hAnsi="宋体" w:eastAsia="宋体" w:cs="宋体"/>
          <w:color w:val="auto"/>
          <w:sz w:val="24"/>
        </w:rPr>
        <w:t xml:space="preserve">否</w:t>
      </w:r>
      <w:r>
        <w:rPr>
          <w:rFonts w:hint="eastAsia" w:ascii="宋体" w:hAnsi="宋体" w:eastAsia="宋体" w:cs="宋体"/>
          <w:color w:val="auto"/>
          <w:sz w:val="24"/>
          <w:highlight w:val="none"/>
        </w:rPr>
        <w:t xml:space="preserve">。</w:t>
      </w:r>
      <w:r/>
    </w:p>
    <w:p>
      <w:pPr>
        <w:pStyle w:val="772"/>
        <w:ind w:firstLine="482"/>
        <w:jc w:val="left"/>
        <w:keepLines w:val="0"/>
        <w:pageBreakBefore w:val="0"/>
        <w:spacing w:line="50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7" w:name="_Toc28359003"/>
      <w:r/>
      <w:bookmarkStart w:id="8" w:name="_Toc35393622"/>
      <w:r/>
      <w:bookmarkStart w:id="9" w:name="_Toc28359080"/>
      <w:r/>
      <w:bookmarkStart w:id="10" w:name="_Toc35393791"/>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的资格要求：</w:t>
      </w:r>
      <w:bookmarkEnd w:id="7"/>
      <w:r/>
      <w:bookmarkEnd w:id="8"/>
      <w:r/>
      <w:bookmarkEnd w:id="9"/>
      <w:r/>
      <w:bookmarkEnd w:id="10"/>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满足《中华人民共和国政府采购法》第二十二条规定，并提供下列材料：</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法人或者其他组织的营业执照等证明文件，自然人的身份证明；</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上一年度的财务状况报表（</w:t>
      </w:r>
      <w:r>
        <w:rPr>
          <w:rFonts w:hint="eastAsia" w:ascii="宋体" w:hAnsi="宋体" w:eastAsia="宋体" w:cs="宋体"/>
          <w:color w:val="auto"/>
          <w:sz w:val="24"/>
          <w:szCs w:val="20"/>
        </w:rPr>
        <w:t xml:space="preserve">上一年度的财务状况报表2025年度报表未出的，可使用2024年度报表，财务状况报表至少包含利润表、资产负债表、现金流量表，成立不满一年无需提供</w:t>
      </w:r>
      <w:r>
        <w:rPr>
          <w:rFonts w:hint="eastAsia" w:ascii="宋体" w:hAnsi="宋体" w:eastAsia="宋体" w:cs="宋体"/>
          <w:color w:val="auto"/>
          <w:sz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依法缴纳税收和社会保障资金的相关材料（提供提交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截止时间前一年内至少一个月依法缴纳税收及缴纳社会保障资金的证明材料</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依法享受缓缴、免缴税收、社会保障资金的提供证明材料）；</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参加政府采购活动前3年内在经营活动中没有重大违法记录的书面声明。</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6.法律、行政法规规定的其他条件。</w:t>
      </w:r>
      <w:r/>
    </w:p>
    <w:p>
      <w:pPr>
        <w:ind w:firstLine="480"/>
        <w:keepLines w:val="0"/>
        <w:keepNext w:val="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中无需提供证明材料）</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单位负责人为同一人或者存在直接控股、管理关系的不同</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，不得参加同一合同项下的政府采购活动。</w:t>
      </w:r>
      <w:r/>
    </w:p>
    <w:p>
      <w:pPr>
        <w:numPr>
          <w:ilvl w:val="0"/>
          <w:numId w:val="2"/>
        </w:numPr>
        <w:ind w:firstLine="480"/>
        <w:keepLines w:val="0"/>
        <w:pageBreakBefore w:val="0"/>
        <w:spacing w:line="500" w:lineRule="exact"/>
        <w:widowControl w:val="off"/>
        <w:rPr>
          <w:rFonts w:hint="eastAsia" w:ascii="宋体" w:hAnsi="宋体" w:eastAsia="宋体" w:cs="宋体"/>
          <w:color w:val="auto"/>
          <w:sz w:val="24"/>
          <w:highlight w:val="none"/>
          <w:lang w:val="en-US" w:eastAsia="zh-CN"/>
        </w:rPr>
      </w:pPr>
      <w:r/>
      <w:bookmarkStart w:id="11" w:name="_Toc28359081"/>
      <w:r/>
      <w:bookmarkStart w:id="12" w:name="_Toc28359004"/>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本项目的特定资格要求：</w:t>
      </w:r>
      <w:bookmarkStart w:id="13" w:name="_Toc35393792"/>
      <w:r/>
      <w:bookmarkStart w:id="14" w:name="_Toc35393623"/>
      <w:r/>
      <w:bookmarkStart w:id="15" w:name="_Toc35393631"/>
      <w:r/>
      <w:bookmarkStart w:id="16" w:name="_Toc35393800"/>
      <w:r/>
      <w:r/>
    </w:p>
    <w:p>
      <w:pPr>
        <w:ind w:firstLine="480"/>
        <w:keepLines w:val="0"/>
        <w:pageBreakBefore w:val="0"/>
        <w:spacing w:line="5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rPr>
        <w:t xml:space="preserve">投标人具有有效的《营业性演出许可证》，投标时须提供证书扫描件加盖投标人公章</w:t>
      </w:r>
      <w:r>
        <w:rPr>
          <w:rFonts w:hint="eastAsia" w:ascii="宋体" w:hAnsi="宋体" w:eastAsia="宋体" w:cs="宋体"/>
          <w:color w:val="auto"/>
          <w:sz w:val="24"/>
          <w:highlight w:val="none"/>
        </w:rPr>
        <w:t xml:space="preserve">。</w:t>
      </w:r>
      <w:bookmarkEnd w:id="11"/>
      <w:r/>
      <w:bookmarkEnd w:id="12"/>
      <w:r/>
      <w:bookmarkEnd w:id="13"/>
      <w:r/>
      <w:bookmarkEnd w:id="14"/>
      <w:r/>
      <w:bookmarkEnd w:id="15"/>
      <w:r/>
      <w:bookmarkEnd w:id="16"/>
      <w:r/>
      <w:r/>
    </w:p>
    <w:p>
      <w:pPr>
        <w:pStyle w:val="772"/>
        <w:ind w:firstLine="482"/>
        <w:jc w:val="left"/>
        <w:keepLines w:val="0"/>
        <w:pageBreakBefore w:val="0"/>
        <w:spacing w:line="500" w:lineRule="exact"/>
        <w:tabs>
          <w:tab w:val="left" w:pos="0" w:leader="none"/>
          <w:tab w:val="left" w:pos="3165" w:leader="none"/>
          <w:tab w:val="center" w:pos="4153" w:leader="none"/>
        </w:tabs>
        <w:rPr>
          <w:rFonts w:hint="eastAsia" w:ascii="宋体" w:hAnsi="宋体" w:eastAsia="宋体" w:cs="宋体"/>
          <w:bCs/>
          <w:color w:val="auto"/>
          <w:sz w:val="24"/>
          <w:szCs w:val="24"/>
          <w:highlight w:val="none"/>
        </w:rPr>
      </w:pPr>
      <w:r/>
      <w:bookmarkStart w:id="17" w:name="_Toc28359082"/>
      <w:r/>
      <w:bookmarkStart w:id="18" w:name="_Toc28359005"/>
      <w:r/>
      <w:bookmarkStart w:id="19" w:name="_Toc35393624"/>
      <w:r/>
      <w:bookmarkStart w:id="20" w:name="_Toc35393793"/>
      <w:r/>
      <w:bookmarkStart w:id="21" w:name="_Toc35393796"/>
      <w:r/>
      <w:bookmarkStart w:id="22" w:name="_Toc28359085"/>
      <w:r/>
      <w:bookmarkStart w:id="23" w:name="_Toc35393627"/>
      <w:r/>
      <w:bookmarkStart w:id="24" w:name="_Toc28359008"/>
      <w:r>
        <w:rPr>
          <w:rFonts w:hint="eastAsia" w:ascii="宋体" w:hAnsi="宋体" w:eastAsia="宋体" w:cs="宋体"/>
          <w:bCs/>
          <w:color w:val="auto"/>
          <w:sz w:val="24"/>
          <w:szCs w:val="24"/>
          <w:highlight w:val="none"/>
        </w:rPr>
        <w:t xml:space="preserve">三、获取招标文件</w:t>
      </w:r>
      <w:r/>
    </w:p>
    <w:p>
      <w:pPr>
        <w:ind w:firstLine="480"/>
        <w:keepLines w:val="0"/>
        <w:pageBreakBefore w:val="0"/>
        <w:spacing w:line="500" w:lineRule="exact"/>
        <w:tabs>
          <w:tab w:val="left" w:pos="6529"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时间：自招标文件公告发布之日起5个工作日 </w:t>
      </w:r>
      <w:r>
        <w:rPr>
          <w:rFonts w:hint="eastAsia" w:ascii="宋体" w:hAnsi="宋体" w:eastAsia="宋体" w:cs="宋体"/>
          <w:color w:val="auto"/>
          <w:sz w:val="24"/>
          <w:highlight w:val="none"/>
          <w:lang w:eastAsia="zh-CN"/>
        </w:rPr>
        <w:tab/>
      </w:r>
      <w:r/>
    </w:p>
    <w:p>
      <w:p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地点：“苏采云”系统内免费下载（投标人必须在苏采云系统中获取招标文件，方能参与政府采购项目）</w:t>
      </w:r>
      <w:r/>
    </w:p>
    <w:p>
      <w:p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方式：本项目采用网上注册登记方式。 </w:t>
      </w:r>
      <w:r/>
    </w:p>
    <w:p>
      <w:pPr>
        <w:numPr>
          <w:ilvl w:val="0"/>
          <w:numId w:val="0"/>
        </w:num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售价：0元</w:t>
      </w:r>
      <w:r/>
    </w:p>
    <w:p>
      <w:pPr>
        <w:numPr>
          <w:ilvl w:val="0"/>
          <w:numId w:val="0"/>
        </w:numPr>
        <w:ind w:firstLine="482"/>
        <w:keepLines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四、提交投标文件截止时间、开标时间和地点</w:t>
      </w:r>
      <w:r/>
    </w:p>
    <w:p>
      <w:pPr>
        <w:ind w:firstLine="482"/>
        <w:jc w:val="left"/>
        <w:keepLines w:val="0"/>
        <w:keepNext w:val="0"/>
        <w:pageBreakBefore w:val="0"/>
        <w:spacing w:line="500" w:lineRule="exact"/>
        <w:widowControl/>
        <w:rPr>
          <w:rFonts w:hint="eastAsia" w:ascii="宋体" w:hAnsi="宋体" w:eastAsia="宋体" w:cs="宋体"/>
          <w:color w:val="auto"/>
          <w:sz w:val="24"/>
          <w:szCs w:val="20"/>
          <w:highlight w:val="yellow"/>
        </w:rPr>
      </w:pPr>
      <w:r>
        <w:rPr>
          <w:rFonts w:hint="eastAsia" w:ascii="宋体" w:hAnsi="宋体" w:eastAsia="宋体" w:cs="宋体"/>
          <w:color w:val="auto"/>
          <w:sz w:val="24"/>
          <w:szCs w:val="20"/>
        </w:rPr>
        <w:t xml:space="preserve">1.时间</w:t>
      </w:r>
      <w:r>
        <w:rPr>
          <w:rFonts w:hint="eastAsia" w:ascii="宋体" w:hAnsi="宋体" w:eastAsia="宋体" w:cs="宋体"/>
          <w:color w:val="auto"/>
          <w:sz w:val="24"/>
          <w:szCs w:val="20"/>
          <w:highlight w:val="white"/>
        </w:rPr>
        <w:t xml:space="preserve">：2026年</w:t>
      </w:r>
      <w:r>
        <w:rPr>
          <w:rFonts w:hint="eastAsia" w:ascii="宋体" w:hAnsi="宋体" w:cs="宋体"/>
          <w:color w:val="auto"/>
          <w:sz w:val="24"/>
          <w:szCs w:val="20"/>
          <w:highlight w:val="white"/>
          <w:lang w:val="en-US" w:eastAsia="zh-CN"/>
        </w:rPr>
        <w:t xml:space="preserve">6</w:t>
      </w:r>
      <w:r>
        <w:rPr>
          <w:rFonts w:hint="eastAsia" w:ascii="宋体" w:hAnsi="宋体" w:eastAsia="宋体" w:cs="宋体"/>
          <w:color w:val="auto"/>
          <w:sz w:val="24"/>
          <w:szCs w:val="20"/>
          <w:highlight w:val="white"/>
        </w:rPr>
        <w:t xml:space="preserve">月</w:t>
      </w:r>
      <w:r>
        <w:rPr>
          <w:rFonts w:hint="eastAsia" w:ascii="宋体" w:hAnsi="宋体" w:eastAsia="宋体" w:cs="宋体"/>
          <w:color w:val="auto"/>
          <w:sz w:val="24"/>
          <w:szCs w:val="20"/>
          <w:highlight w:val="white"/>
        </w:rPr>
        <w:t xml:space="preserve">10日9点</w:t>
      </w:r>
      <w:r>
        <w:rPr>
          <w:rFonts w:hint="eastAsia" w:ascii="宋体" w:hAnsi="宋体" w:eastAsia="宋体" w:cs="宋体"/>
          <w:color w:val="auto"/>
          <w:sz w:val="24"/>
          <w:szCs w:val="20"/>
          <w:highlight w:val="white"/>
          <w:lang w:val="en-US" w:eastAsia="zh-CN"/>
        </w:rPr>
        <w:t xml:space="preserve">00</w:t>
      </w:r>
      <w:r>
        <w:rPr>
          <w:rFonts w:hint="eastAsia" w:ascii="宋体" w:hAnsi="宋体" w:eastAsia="宋体" w:cs="宋体"/>
          <w:color w:val="auto"/>
          <w:sz w:val="24"/>
          <w:szCs w:val="20"/>
          <w:highlight w:val="white"/>
        </w:rPr>
        <w:t xml:space="preserve">分（北京时间）</w:t>
      </w:r>
      <w:r/>
    </w:p>
    <w:p>
      <w:p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0"/>
        </w:rPr>
        <w:t xml:space="preserve">2.地点：苏采云“不见面”开标大厅。</w:t>
      </w:r>
      <w:r/>
    </w:p>
    <w:p>
      <w:pPr>
        <w:ind w:firstLine="482"/>
        <w:keepLines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五、公告期限</w:t>
      </w:r>
      <w:r/>
    </w:p>
    <w:p>
      <w:pPr>
        <w:ind w:firstLine="480"/>
        <w:keepLines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个工作日。</w:t>
      </w:r>
      <w:r/>
    </w:p>
    <w:p>
      <w:pPr>
        <w:numPr>
          <w:ilvl w:val="0"/>
          <w:numId w:val="3"/>
        </w:numPr>
        <w:ind w:firstLine="482"/>
        <w:keepLines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其他补充事宜</w:t>
      </w:r>
      <w:bookmarkEnd w:id="17"/>
      <w:r/>
      <w:bookmarkEnd w:id="18"/>
      <w:r/>
      <w:bookmarkEnd w:id="19"/>
      <w:r/>
      <w:bookmarkEnd w:id="20"/>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1.根据省财政厅《关于更换全省政府采购交易系统CA数字证书和电子签章的通知》（苏财购〔2023〕101号），“苏采云”政府采购交易系</w:t>
      </w:r>
      <w:r>
        <w:rPr>
          <w:rFonts w:hint="eastAsia" w:ascii="宋体" w:hAnsi="宋体" w:eastAsia="宋体" w:cs="宋体"/>
          <w:sz w:val="24"/>
        </w:rPr>
        <w:t xml:space="preserve">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领取CA和办理电子签章（请至</w:t>
      </w:r>
      <w:r>
        <w:rPr>
          <w:rFonts w:hint="eastAsia" w:ascii="宋体" w:hAnsi="宋体" w:eastAsia="宋体" w:cs="宋体"/>
          <w:color w:val="ff0000"/>
          <w:sz w:val="24"/>
        </w:rPr>
        <w:t xml:space="preserve">盐城市盐都区府西路1号盐城市政务服务中心4楼盐城市公共资源交易中心10号、11号窗口办理</w:t>
      </w:r>
      <w:r>
        <w:rPr>
          <w:rFonts w:hint="eastAsia" w:ascii="宋体" w:hAnsi="宋体" w:eastAsia="宋体" w:cs="宋体"/>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 潜在供应商访问电子招标响应交易平台的网络地址和方法：</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 潜在投标人访问“苏采云”系统方法：江苏省政府采购网首页-“苏采云”链接。</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 采购文件（后缀名为“.kedt”）、供应商操作手册及政府采购客户端 工具可通过“苏采云”系统相应链接进行下载。</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 采购代理机构将数据电文形式的采购文件加载至“苏采云”系统，供潜在供应商下载或者查阅。</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如潜在投标人未按上述要求操作，将自行承担所产生的风险。</w:t>
      </w:r>
      <w:r/>
    </w:p>
    <w:p>
      <w:pPr>
        <w:ind w:firstLine="480"/>
        <w:keepLines w:val="0"/>
        <w:keepNext w:val="0"/>
        <w:pageBreakBefore w:val="0"/>
        <w:spacing w:line="500" w:lineRule="exact"/>
        <w:widowControl w:val="off"/>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3.有关本次招标的事项若存在变动或修改，敬请及时关注采购代理机构在“中国政府采购网”“江苏政府采购网”“盐城市政府采购网”发布的更正公告。</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rPr>
        <w:t xml:space="preserve">4.本次招标不收取投标保证金。</w:t>
      </w:r>
      <w:r/>
    </w:p>
    <w:p>
      <w:pPr>
        <w:ind w:firstLine="482"/>
        <w:keepLines w:val="0"/>
        <w:keepNext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七、对本次招标提出询问，请按以下方式联系。</w:t>
      </w:r>
      <w:bookmarkEnd w:id="21"/>
      <w:r/>
      <w:bookmarkEnd w:id="22"/>
      <w:r/>
      <w:bookmarkEnd w:id="23"/>
      <w:r/>
      <w:bookmarkEnd w:id="24"/>
      <w:r/>
      <w:r/>
    </w:p>
    <w:p>
      <w:pPr>
        <w:ind w:firstLine="480"/>
        <w:keepLines w:val="0"/>
        <w:pageBreakBefore w:val="0"/>
        <w:spacing w:line="500" w:lineRule="exact"/>
        <w:widowControl w:val="off"/>
        <w:rPr>
          <w:rFonts w:hint="eastAsia" w:ascii="宋体" w:hAnsi="宋体" w:eastAsia="宋体" w:cs="宋体"/>
          <w:sz w:val="24"/>
          <w:lang w:val="en-US" w:eastAsia="zh-CN"/>
        </w:rPr>
      </w:pPr>
      <w:r/>
      <w:bookmarkStart w:id="25" w:name="_Toc120614211"/>
      <w:r>
        <w:rPr>
          <w:rFonts w:hint="eastAsia" w:ascii="宋体" w:hAnsi="宋体" w:eastAsia="宋体" w:cs="宋体"/>
          <w:sz w:val="24"/>
          <w:lang w:val="en-US" w:eastAsia="zh-CN"/>
        </w:rPr>
        <w:t xml:space="preserve">1.采购人信息</w:t>
      </w:r>
      <w:r/>
    </w:p>
    <w:p>
      <w:pPr>
        <w:ind w:firstLine="480"/>
        <w:keepLines w:val="0"/>
        <w:pageBreakBefore w:val="0"/>
        <w:spacing w:line="500" w:lineRule="exact"/>
        <w:widowControl w:val="off"/>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eastAsia="宋体" w:cs="宋体"/>
          <w:sz w:val="24"/>
          <w:lang w:eastAsia="zh-CN"/>
        </w:rPr>
        <w:t xml:space="preserve">盐城市文化广电和旅游局</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地    址：盐城市亭湖区盐马路246号</w:t>
      </w:r>
      <w:r/>
    </w:p>
    <w:p>
      <w:pPr>
        <w:ind w:firstLine="480"/>
        <w:keepLines w:val="0"/>
        <w:pageBreakBefore w:val="0"/>
        <w:spacing w:line="500" w:lineRule="exact"/>
        <w:widowControl w:val="off"/>
        <w:rPr>
          <w:rFonts w:hint="eastAsia" w:ascii="宋体" w:hAnsi="宋体" w:eastAsia="宋体" w:cs="宋体"/>
          <w:sz w:val="24"/>
          <w:highlight w:val="yellow"/>
          <w:lang w:val="en-US" w:eastAsia="zh-CN"/>
        </w:rPr>
      </w:pPr>
      <w:r/>
      <w:bookmarkStart w:id="26" w:name="OLE_LINK23"/>
      <w:r/>
      <w:bookmarkStart w:id="27" w:name="OLE_LINK31"/>
      <w:r>
        <w:rPr>
          <w:rFonts w:hint="eastAsia" w:ascii="宋体" w:hAnsi="宋体" w:eastAsia="宋体" w:cs="宋体"/>
          <w:sz w:val="24"/>
        </w:rPr>
        <w:t xml:space="preserve">联 系 人：郭</w:t>
      </w:r>
      <w:r>
        <w:rPr>
          <w:rFonts w:hint="eastAsia" w:ascii="宋体" w:hAnsi="宋体" w:cs="宋体"/>
          <w:sz w:val="24"/>
          <w:lang w:eastAsia="zh-CN"/>
        </w:rPr>
        <w:t xml:space="preserve">先生</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cs="宋体"/>
          <w:sz w:val="24"/>
          <w:highlight w:val="none"/>
          <w:lang w:val="en-US" w:eastAsia="zh-CN"/>
        </w:rPr>
        <w:t xml:space="preserve">0515-86664415</w:t>
      </w:r>
      <w:r>
        <w:rPr>
          <w:rFonts w:hint="eastAsia" w:ascii="宋体" w:hAnsi="宋体" w:eastAsia="宋体" w:cs="宋体"/>
          <w:sz w:val="24"/>
          <w:highlight w:val="none"/>
        </w:rPr>
        <w:t xml:space="preserve"> </w:t>
      </w:r>
      <w:bookmarkEnd w:id="26"/>
      <w:r/>
      <w:bookmarkEnd w:id="27"/>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2.采购代理机构信息（如有）</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名    称：</w:t>
      </w:r>
      <w:bookmarkStart w:id="28" w:name="OLE_LINK186"/>
      <w:r/>
      <w:bookmarkStart w:id="29" w:name="OLE_LINK187"/>
      <w:r/>
      <w:bookmarkStart w:id="30" w:name="OLE_LINK205"/>
      <w:r>
        <w:rPr>
          <w:rFonts w:hint="eastAsia" w:ascii="宋体" w:hAnsi="宋体" w:eastAsia="宋体" w:cs="宋体"/>
          <w:sz w:val="24"/>
          <w:lang w:eastAsia="zh-CN"/>
        </w:rPr>
        <w:t xml:space="preserve">盐城立信造价工程师事务所有限公司</w:t>
      </w:r>
      <w:r>
        <w:rPr>
          <w:rFonts w:hint="eastAsia" w:ascii="宋体" w:hAnsi="宋体" w:eastAsia="宋体" w:cs="宋体"/>
          <w:sz w:val="24"/>
        </w:rPr>
        <w:t xml:space="preserve">　</w:t>
      </w:r>
      <w:bookmarkEnd w:id="28"/>
      <w:r/>
      <w:bookmarkEnd w:id="29"/>
      <w:r/>
      <w:bookmarkEnd w:id="30"/>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地　　址：盐城市金座广场B座11楼</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联</w:t>
      </w:r>
      <w:r>
        <w:rPr>
          <w:rFonts w:hint="eastAsia" w:ascii="宋体" w:hAnsi="宋体" w:cs="宋体"/>
          <w:sz w:val="24"/>
          <w:lang w:val="en-US" w:eastAsia="zh-CN"/>
        </w:rPr>
        <w:t xml:space="preserve"> </w:t>
      </w:r>
      <w:r>
        <w:rPr>
          <w:rFonts w:hint="eastAsia" w:ascii="宋体" w:hAnsi="宋体" w:eastAsia="宋体" w:cs="宋体"/>
          <w:sz w:val="24"/>
        </w:rPr>
        <w:t xml:space="preserve">系</w:t>
      </w:r>
      <w:r>
        <w:rPr>
          <w:rFonts w:hint="eastAsia" w:ascii="宋体" w:hAnsi="宋体" w:cs="宋体"/>
          <w:sz w:val="24"/>
          <w:lang w:val="en-US" w:eastAsia="zh-CN"/>
        </w:rPr>
        <w:t xml:space="preserve"> </w:t>
      </w:r>
      <w:r>
        <w:rPr>
          <w:rFonts w:hint="eastAsia" w:ascii="宋体" w:hAnsi="宋体" w:eastAsia="宋体" w:cs="宋体"/>
          <w:sz w:val="24"/>
        </w:rPr>
        <w:t xml:space="preserve">人：杨工</w:t>
      </w:r>
      <w:r/>
    </w:p>
    <w:p>
      <w:pPr>
        <w:ind w:firstLine="480"/>
        <w:jc w:val="left"/>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联系电话：</w:t>
      </w:r>
      <w:bookmarkStart w:id="31" w:name="OLE_LINK41"/>
      <w:r/>
      <w:bookmarkStart w:id="32" w:name="OLE_LINK190"/>
      <w:r>
        <w:rPr>
          <w:rFonts w:hint="eastAsia" w:ascii="宋体" w:hAnsi="宋体" w:eastAsia="宋体" w:cs="宋体"/>
          <w:sz w:val="24"/>
          <w:lang w:val="en-US" w:eastAsia="zh-CN"/>
        </w:rPr>
        <w:t xml:space="preserve">15358266233</w:t>
      </w:r>
      <w:bookmarkEnd w:id="31"/>
      <w:r/>
      <w:bookmarkEnd w:id="32"/>
      <w:r/>
      <w:r/>
    </w:p>
    <w:p>
      <w:pPr>
        <w:ind w:firstLine="480"/>
        <w:jc w:val="left"/>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3.项目联系方式</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联 系 人：杨工</w:t>
      </w:r>
      <w:r/>
    </w:p>
    <w:p>
      <w:pPr>
        <w:ind w:firstLine="480"/>
        <w:keepLines w:val="0"/>
        <w:pageBreakBefore w:val="0"/>
        <w:spacing w:line="500" w:lineRule="exact"/>
        <w:widowControl w:val="off"/>
        <w:rPr>
          <w:rFonts w:hint="eastAsia" w:ascii="宋体" w:hAnsi="宋体" w:eastAsia="宋体" w:cs="宋体"/>
          <w:sz w:val="24"/>
        </w:rPr>
      </w:pPr>
      <w:r>
        <w:rPr>
          <w:rFonts w:hint="eastAsia" w:ascii="宋体" w:hAnsi="宋体" w:eastAsia="宋体" w:cs="宋体"/>
          <w:sz w:val="24"/>
        </w:rPr>
        <w:t xml:space="preserve">联系电话：</w:t>
      </w:r>
      <w:bookmarkStart w:id="33" w:name="OLE_LINK32"/>
      <w:r>
        <w:rPr>
          <w:rFonts w:hint="eastAsia" w:ascii="宋体" w:hAnsi="宋体" w:eastAsia="宋体" w:cs="宋体"/>
          <w:sz w:val="24"/>
          <w:lang w:val="en-US" w:eastAsia="zh-CN"/>
        </w:rPr>
        <w:t xml:space="preserve">15358266233</w:t>
      </w:r>
      <w:r>
        <w:rPr>
          <w:rFonts w:hint="eastAsia" w:ascii="宋体" w:hAnsi="宋体" w:eastAsia="宋体" w:cs="宋体"/>
          <w:sz w:val="24"/>
        </w:rPr>
        <w:t xml:space="preserve">  </w:t>
      </w:r>
      <w:bookmarkEnd w:id="33"/>
      <w:r/>
      <w:r/>
    </w:p>
    <w:p>
      <w:pPr>
        <w:jc w:val="left"/>
        <w:spacing w:line="4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95"/>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9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1"/>
        <w:numPr>
          <w:ilvl w:val="0"/>
          <w:numId w:val="0"/>
        </w:numPr>
        <w:ind w:left="2660" w:firstLine="0"/>
        <w:rPr>
          <w:rFonts w:hint="eastAsia" w:ascii="宋体" w:hAnsi="宋体" w:eastAsia="宋体" w:cs="宋体"/>
          <w:b/>
          <w:bCs/>
          <w:color w:val="auto"/>
          <w:sz w:val="44"/>
          <w:szCs w:val="44"/>
          <w:highlight w:val="none"/>
        </w:rPr>
      </w:pPr>
      <w:r/>
      <w:bookmarkStart w:id="34" w:name="_Toc20823274"/>
      <w:r/>
      <w:bookmarkStart w:id="35" w:name="_Toc513029202"/>
      <w:r/>
      <w:bookmarkStart w:id="36" w:name="_Toc120614213"/>
      <w:r/>
      <w:bookmarkStart w:id="37" w:name="_Toc2588"/>
      <w:r/>
      <w:bookmarkStart w:id="38" w:name="_Toc16938518"/>
      <w:r>
        <w:rPr>
          <w:rFonts w:hint="eastAsia" w:ascii="宋体" w:hAnsi="宋体" w:eastAsia="宋体" w:cs="宋体"/>
          <w:b/>
          <w:bCs/>
          <w:color w:val="auto"/>
          <w:sz w:val="44"/>
          <w:szCs w:val="44"/>
          <w:lang w:val="en-US" w:eastAsia="zh-CN" w:bidi="ar-SA"/>
        </w:rPr>
        <w:t xml:space="preserve">第二章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投标人须知</w:t>
      </w:r>
      <w:bookmarkEnd w:id="34"/>
      <w:r/>
      <w:bookmarkEnd w:id="35"/>
      <w:r/>
      <w:bookmarkEnd w:id="36"/>
      <w:r/>
      <w:bookmarkEnd w:id="37"/>
      <w:r/>
      <w:bookmarkEnd w:id="38"/>
      <w:r/>
      <w:r/>
    </w:p>
    <w:p>
      <w:pPr>
        <w:ind w:firstLine="482"/>
        <w:pageBreakBefore w:val="0"/>
        <w:spacing w:line="500" w:lineRule="exact"/>
        <w:widowControl w:val="off"/>
        <w:rPr>
          <w:rFonts w:hint="eastAsia" w:ascii="宋体" w:hAnsi="宋体" w:eastAsia="宋体" w:cs="宋体"/>
          <w:color w:val="auto"/>
          <w:sz w:val="24"/>
          <w:highlight w:val="none"/>
        </w:rPr>
      </w:pPr>
      <w:r/>
      <w:bookmarkStart w:id="39" w:name="_Toc16938519"/>
      <w:r/>
      <w:bookmarkStart w:id="40" w:name="_Toc20823275"/>
      <w:r/>
      <w:bookmarkStart w:id="41" w:name="_Toc513029203"/>
      <w:r/>
      <w:bookmarkStart w:id="42" w:name="_Toc120614214"/>
      <w:r>
        <w:rPr>
          <w:rFonts w:hint="eastAsia" w:ascii="宋体" w:hAnsi="宋体" w:eastAsia="宋体" w:cs="宋体"/>
          <w:b/>
          <w:color w:val="auto"/>
          <w:sz w:val="24"/>
          <w:highlight w:val="none"/>
        </w:rPr>
        <w:t xml:space="preserve">一、总则</w:t>
      </w:r>
      <w:bookmarkEnd w:id="39"/>
      <w:r/>
      <w:bookmarkEnd w:id="40"/>
      <w:r/>
      <w:bookmarkEnd w:id="41"/>
      <w:r/>
      <w:bookmarkEnd w:id="42"/>
      <w:r/>
      <w:r/>
    </w:p>
    <w:p>
      <w:pPr>
        <w:pStyle w:val="816"/>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auto"/>
          <w:sz w:val="24"/>
          <w:szCs w:val="24"/>
          <w:highlight w:val="none"/>
        </w:rPr>
      </w:pPr>
      <w:r/>
      <w:bookmarkStart w:id="43" w:name="_Toc20823276"/>
      <w:r/>
      <w:bookmarkStart w:id="44" w:name="_Toc513029204"/>
      <w:r/>
      <w:bookmarkStart w:id="45" w:name="_Toc16938520"/>
      <w:r/>
      <w:bookmarkStart w:id="46" w:name="_Toc458694821"/>
      <w:r>
        <w:rPr>
          <w:rFonts w:hint="eastAsia" w:ascii="宋体" w:hAnsi="宋体" w:eastAsia="宋体" w:cs="宋体"/>
          <w:b/>
          <w:bCs/>
          <w:color w:val="auto"/>
          <w:sz w:val="24"/>
          <w:szCs w:val="24"/>
          <w:highlight w:val="none"/>
        </w:rPr>
        <w:t xml:space="preserve">1</w:t>
      </w:r>
      <w:bookmarkEnd w:id="43"/>
      <w:r>
        <w:rPr>
          <w:rFonts w:hint="eastAsia" w:ascii="宋体" w:hAnsi="宋体" w:eastAsia="宋体" w:cs="宋体"/>
          <w:b/>
          <w:bCs/>
          <w:color w:val="auto"/>
          <w:sz w:val="24"/>
          <w:szCs w:val="24"/>
          <w:highlight w:val="none"/>
        </w:rPr>
        <w:t xml:space="preserve">、招标方式</w:t>
      </w:r>
      <w:bookmarkEnd w:id="44"/>
      <w:r/>
      <w:bookmarkEnd w:id="45"/>
      <w:r/>
      <w:bookmarkEnd w:id="46"/>
      <w:r/>
      <w:r/>
    </w:p>
    <w:p>
      <w:pPr>
        <w:pStyle w:val="816"/>
        <w:ind w:firstLine="480"/>
        <w:jc w:val="both"/>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16"/>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auto"/>
          <w:sz w:val="24"/>
          <w:szCs w:val="24"/>
          <w:highlight w:val="none"/>
        </w:rPr>
      </w:pPr>
      <w:r/>
      <w:bookmarkStart w:id="47" w:name="_Toc513029205"/>
      <w:r/>
      <w:bookmarkStart w:id="48" w:name="_Toc20823277"/>
      <w:r/>
      <w:bookmarkStart w:id="49" w:name="_Toc16938521"/>
      <w:r>
        <w:rPr>
          <w:rFonts w:hint="eastAsia" w:ascii="宋体" w:hAnsi="宋体" w:eastAsia="宋体" w:cs="宋体"/>
          <w:b/>
          <w:bCs/>
          <w:color w:val="auto"/>
          <w:sz w:val="24"/>
          <w:szCs w:val="24"/>
          <w:highlight w:val="none"/>
        </w:rPr>
        <w:t xml:space="preserve">2、合格的投标人</w:t>
      </w:r>
      <w:bookmarkEnd w:id="47"/>
      <w:r/>
      <w:bookmarkEnd w:id="48"/>
      <w:r/>
      <w:bookmarkEnd w:id="49"/>
      <w:r/>
      <w:r/>
    </w:p>
    <w:p>
      <w:pPr>
        <w:pStyle w:val="816"/>
        <w:ind w:firstLine="480"/>
        <w:jc w:val="both"/>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16"/>
        <w:ind w:firstLine="480"/>
        <w:jc w:val="both"/>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16"/>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auto"/>
          <w:sz w:val="24"/>
          <w:szCs w:val="24"/>
          <w:highlight w:val="none"/>
        </w:rPr>
      </w:pPr>
      <w:r/>
      <w:bookmarkStart w:id="50" w:name="_Toc20823278"/>
      <w:r/>
      <w:bookmarkStart w:id="51" w:name="_Toc16938522"/>
      <w:r/>
      <w:bookmarkStart w:id="52" w:name="_Toc513029206"/>
      <w:r>
        <w:rPr>
          <w:rFonts w:hint="eastAsia" w:ascii="宋体" w:hAnsi="宋体" w:eastAsia="宋体" w:cs="宋体"/>
          <w:b/>
          <w:bCs/>
          <w:color w:val="auto"/>
          <w:sz w:val="24"/>
          <w:szCs w:val="24"/>
          <w:highlight w:val="none"/>
        </w:rPr>
        <w:t xml:space="preserve">3、适用法律</w:t>
      </w:r>
      <w:bookmarkEnd w:id="50"/>
      <w:r/>
      <w:bookmarkEnd w:id="51"/>
      <w:r/>
      <w:bookmarkEnd w:id="52"/>
      <w:r/>
      <w:r/>
    </w:p>
    <w:p>
      <w:pPr>
        <w:pStyle w:val="816"/>
        <w:ind w:firstLine="480"/>
        <w:jc w:val="both"/>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16"/>
        <w:ind w:firstLine="480"/>
        <w:jc w:val="both"/>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bookmarkStart w:id="53" w:name="_Toc16938523"/>
      <w:r/>
      <w:bookmarkStart w:id="54" w:name="_Toc462564067"/>
      <w:r/>
      <w:bookmarkStart w:id="55" w:name="_Toc513029207"/>
      <w:r/>
      <w:bookmarkStart w:id="56" w:name="_Toc20823279"/>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816"/>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4、投标费用</w:t>
      </w:r>
      <w:bookmarkEnd w:id="53"/>
      <w:r/>
      <w:bookmarkEnd w:id="54"/>
      <w:r/>
      <w:bookmarkEnd w:id="55"/>
      <w:r/>
      <w:bookmarkEnd w:id="56"/>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4.1投标人应自行承担所有与参加投标有关的费用，无论投标过程中的做法和结果如何，采购人和代理机构在任何情况下均无义务和责任承担这些费用。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4.2招标代理服务费（中标/成交服务费）：本项目的每个分包招标代理服务费由各分包中标人承担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根据代理合同约定各分包</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苏政采协[2024]20号文收费标准的</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0%收取代理服务费，由中标人向代理公司支付。</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投标时综合考虑招标代理服务费报价中，此项费用不得单列，凡漏项或少计均视为优惠采购人，不另行增加费用。中标后由中标人在领取中标（成交）通知书前直接向</w:t>
      </w:r>
      <w:r>
        <w:rPr>
          <w:rFonts w:hint="eastAsia" w:ascii="宋体" w:hAnsi="宋体" w:eastAsia="宋体" w:cs="宋体"/>
          <w:color w:val="auto"/>
          <w:sz w:val="24"/>
          <w:highlight w:val="none"/>
          <w:lang w:val="en-US" w:eastAsia="zh-CN"/>
        </w:rPr>
        <w:t xml:space="preserve">采购代理机构</w:t>
      </w:r>
      <w:r>
        <w:rPr>
          <w:rFonts w:hint="eastAsia" w:ascii="宋体" w:hAnsi="宋体" w:eastAsia="宋体" w:cs="宋体"/>
          <w:color w:val="auto"/>
          <w:sz w:val="24"/>
          <w:highlight w:val="none"/>
        </w:rPr>
        <w:t xml:space="preserve">一次性付清。</w:t>
      </w:r>
      <w:r/>
    </w:p>
    <w:p>
      <w:pPr>
        <w:pStyle w:val="816"/>
        <w:ind w:firstLine="482"/>
        <w:jc w:val="both"/>
        <w:keepLines/>
        <w:keepNext/>
        <w:pageBreakBefore w:val="0"/>
        <w:spacing w:before="0" w:beforeAutospacing="0" w:after="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5、招标文件的约束力</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482"/>
        <w:pageBreakBefore w:val="0"/>
        <w:spacing w:line="500" w:lineRule="exact"/>
        <w:widowControl w:val="off"/>
        <w:rPr>
          <w:rFonts w:hint="eastAsia" w:ascii="宋体" w:hAnsi="宋体" w:eastAsia="宋体" w:cs="宋体"/>
          <w:color w:val="auto"/>
          <w:sz w:val="24"/>
          <w:highlight w:val="none"/>
        </w:rPr>
      </w:pPr>
      <w:r/>
      <w:bookmarkStart w:id="57" w:name="_Toc120614215"/>
      <w:r/>
      <w:bookmarkStart w:id="58" w:name="_Toc513029209"/>
      <w:r/>
      <w:bookmarkStart w:id="59" w:name="_Toc20823281"/>
      <w:r/>
      <w:bookmarkStart w:id="60" w:name="_Toc16938525"/>
      <w:r>
        <w:rPr>
          <w:rFonts w:hint="eastAsia" w:ascii="宋体" w:hAnsi="宋体" w:eastAsia="宋体" w:cs="宋体"/>
          <w:b/>
          <w:color w:val="auto"/>
          <w:sz w:val="24"/>
          <w:highlight w:val="none"/>
        </w:rPr>
        <w:t xml:space="preserve">二、招标文件</w:t>
      </w:r>
      <w:bookmarkEnd w:id="57"/>
      <w:r/>
      <w:bookmarkEnd w:id="58"/>
      <w:r/>
      <w:bookmarkEnd w:id="59"/>
      <w:r/>
      <w:bookmarkEnd w:id="60"/>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61" w:name="_Toc20823282"/>
      <w:r/>
      <w:bookmarkStart w:id="62" w:name="_Toc16938526"/>
      <w:r/>
      <w:bookmarkStart w:id="63" w:name="_Toc513029210"/>
      <w:r>
        <w:rPr>
          <w:rFonts w:hint="eastAsia" w:ascii="宋体" w:hAnsi="宋体" w:eastAsia="宋体" w:cs="宋体"/>
          <w:b/>
          <w:bCs/>
          <w:color w:val="auto"/>
          <w:sz w:val="24"/>
          <w:highlight w:val="none"/>
        </w:rPr>
        <w:t xml:space="preserve">6、招标文件构成</w:t>
      </w:r>
      <w:bookmarkEnd w:id="61"/>
      <w:r/>
      <w:bookmarkEnd w:id="62"/>
      <w:r/>
      <w:bookmarkEnd w:id="63"/>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6.1招标文件由以下部分组成：</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招标公告</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（3）合同</w:t>
      </w:r>
      <w:r>
        <w:rPr>
          <w:rFonts w:hint="eastAsia" w:ascii="宋体" w:hAnsi="宋体" w:eastAsia="宋体" w:cs="宋体"/>
          <w:color w:val="auto"/>
          <w:sz w:val="24"/>
          <w:highlight w:val="none"/>
          <w:lang w:val="en-US" w:eastAsia="zh-CN"/>
        </w:rPr>
        <w:t xml:space="preserve">条款</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（5）评标方法与评标标准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请仔细检查招标文件是否齐全，如有缺漏请立即与招标代理机构联系解决。</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64" w:name="_Toc16938527"/>
      <w:r/>
      <w:bookmarkStart w:id="65" w:name="_Toc20823283"/>
      <w:r/>
      <w:bookmarkStart w:id="66" w:name="_Toc462564070"/>
      <w:r/>
      <w:bookmarkStart w:id="67" w:name="_Toc513029211"/>
      <w:r>
        <w:rPr>
          <w:rFonts w:hint="eastAsia" w:ascii="宋体" w:hAnsi="宋体" w:eastAsia="宋体" w:cs="宋体"/>
          <w:b/>
          <w:bCs/>
          <w:color w:val="auto"/>
          <w:sz w:val="24"/>
          <w:highlight w:val="none"/>
        </w:rPr>
        <w:t xml:space="preserve">7、招标文件的澄清</w:t>
      </w:r>
      <w:bookmarkEnd w:id="64"/>
      <w:r/>
      <w:bookmarkEnd w:id="65"/>
      <w:r/>
      <w:bookmarkEnd w:id="66"/>
      <w:r/>
      <w:bookmarkEnd w:id="67"/>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7.1任何要求对招标文件进行澄清的投标人，应在投标截止期十日前按招标公告中的通讯地址，以书面形式通知</w:t>
      </w:r>
      <w:r>
        <w:rPr>
          <w:rFonts w:hint="eastAsia" w:ascii="宋体" w:hAnsi="宋体" w:eastAsia="宋体" w:cs="宋体"/>
          <w:color w:val="auto"/>
          <w:sz w:val="24"/>
          <w:highlight w:val="none"/>
          <w:lang w:eastAsia="zh-CN"/>
        </w:rPr>
        <w:t xml:space="preserve">招标代理机构</w:t>
      </w:r>
      <w:r>
        <w:rPr>
          <w:rFonts w:hint="eastAsia" w:ascii="宋体" w:hAnsi="宋体" w:eastAsia="宋体" w:cs="宋体"/>
          <w:color w:val="auto"/>
          <w:sz w:val="24"/>
          <w:highlight w:val="none"/>
        </w:rPr>
        <w:t xml:space="preserve">。</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68" w:name="_Toc20823284"/>
      <w:r/>
      <w:bookmarkStart w:id="69" w:name="_Toc16938528"/>
      <w:r/>
      <w:bookmarkStart w:id="70" w:name="_Toc513029212"/>
      <w:r/>
      <w:bookmarkStart w:id="71" w:name="_Toc462564071"/>
      <w:r>
        <w:rPr>
          <w:rFonts w:hint="eastAsia" w:ascii="宋体" w:hAnsi="宋体" w:eastAsia="宋体" w:cs="宋体"/>
          <w:b/>
          <w:bCs/>
          <w:color w:val="auto"/>
          <w:sz w:val="24"/>
          <w:highlight w:val="none"/>
        </w:rPr>
        <w:t xml:space="preserve">8、招标文件的修改</w:t>
      </w:r>
      <w:bookmarkEnd w:id="68"/>
      <w:r/>
      <w:bookmarkEnd w:id="69"/>
      <w:r/>
      <w:bookmarkEnd w:id="70"/>
      <w:r/>
      <w:bookmarkEnd w:id="71"/>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8.1在投标截止时间前，招标代理机构可以对招标文件进行修改。</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8.2招标代理机构有权按照法定的要求推迟投标截止日期和开标日期。</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w:t>
      </w:r>
      <w:r>
        <w:rPr>
          <w:rFonts w:hint="eastAsia" w:ascii="宋体" w:hAnsi="宋体" w:eastAsia="宋体" w:cs="宋体"/>
          <w:color w:val="auto"/>
          <w:sz w:val="24"/>
          <w:highlight w:val="none"/>
          <w:lang w:val="en-US" w:eastAsia="zh-CN"/>
        </w:rPr>
        <w:t xml:space="preserve">中国政府采购网、</w:t>
      </w:r>
      <w:r>
        <w:rPr>
          <w:rFonts w:hint="eastAsia" w:ascii="宋体" w:hAnsi="宋体" w:eastAsia="宋体" w:cs="宋体"/>
          <w:color w:val="auto"/>
          <w:sz w:val="24"/>
          <w:highlight w:val="none"/>
        </w:rPr>
        <w:t xml:space="preserve">江苏政府采购网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盐城市政府采购网</w:t>
      </w:r>
      <w:r>
        <w:rPr>
          <w:rFonts w:hint="eastAsia" w:ascii="宋体" w:hAnsi="宋体" w:eastAsia="宋体" w:cs="宋体"/>
          <w:color w:val="auto"/>
          <w:sz w:val="24"/>
          <w:highlight w:val="none"/>
        </w:rPr>
        <w:t xml:space="preserve">公布，补充文件将作为招标文件的组成部分，并对投标人具有约束力。</w:t>
      </w:r>
      <w:r/>
    </w:p>
    <w:p>
      <w:pPr>
        <w:ind w:firstLine="482"/>
        <w:pageBreakBefore w:val="0"/>
        <w:spacing w:line="500" w:lineRule="exact"/>
        <w:widowControl w:val="off"/>
        <w:rPr>
          <w:rFonts w:hint="eastAsia" w:ascii="宋体" w:hAnsi="宋体" w:eastAsia="宋体" w:cs="宋体"/>
          <w:b/>
          <w:color w:val="auto"/>
          <w:sz w:val="24"/>
          <w:highlight w:val="none"/>
        </w:rPr>
      </w:pPr>
      <w:r/>
      <w:bookmarkStart w:id="72" w:name="_Toc513029213"/>
      <w:r/>
      <w:bookmarkStart w:id="73" w:name="_Toc20823285"/>
      <w:r/>
      <w:bookmarkStart w:id="74" w:name="_Toc16938529"/>
      <w:r/>
      <w:bookmarkStart w:id="75" w:name="_Toc120614216"/>
      <w:r/>
      <w:bookmarkStart w:id="76" w:name="_Toc462564072"/>
      <w:r>
        <w:rPr>
          <w:rFonts w:hint="eastAsia" w:ascii="宋体" w:hAnsi="宋体" w:eastAsia="宋体" w:cs="宋体"/>
          <w:b/>
          <w:color w:val="auto"/>
          <w:sz w:val="24"/>
          <w:highlight w:val="none"/>
        </w:rPr>
        <w:t xml:space="preserve">三、投标文件的编制</w:t>
      </w:r>
      <w:bookmarkEnd w:id="72"/>
      <w:r/>
      <w:bookmarkEnd w:id="73"/>
      <w:r/>
      <w:bookmarkEnd w:id="74"/>
      <w:r/>
      <w:bookmarkEnd w:id="75"/>
      <w:r/>
      <w:bookmarkEnd w:id="76"/>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77" w:name="_Toc20823286"/>
      <w:r/>
      <w:bookmarkStart w:id="78" w:name="_Toc462564073"/>
      <w:r/>
      <w:bookmarkStart w:id="79" w:name="_Toc16938530"/>
      <w:r/>
      <w:bookmarkStart w:id="80" w:name="_Toc513029214"/>
      <w:r>
        <w:rPr>
          <w:rFonts w:hint="eastAsia" w:ascii="宋体" w:hAnsi="宋体" w:eastAsia="宋体" w:cs="宋体"/>
          <w:b/>
          <w:bCs/>
          <w:color w:val="auto"/>
          <w:sz w:val="24"/>
          <w:highlight w:val="none"/>
        </w:rPr>
        <w:t xml:space="preserve">9、投标文件的语言及度量衡单位</w:t>
      </w:r>
      <w:bookmarkEnd w:id="77"/>
      <w:r/>
      <w:bookmarkEnd w:id="78"/>
      <w:r/>
      <w:bookmarkEnd w:id="79"/>
      <w:r/>
      <w:bookmarkEnd w:id="80"/>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9.1投标人提交的投标文件以及投标人与采购代理机构就有关投标的所有来往通知、函件和文件均应使用简体中文。</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9.2除技术性能另有规定外，投标文件所使用的度量衡单位，均须采用国家法定计量单位。</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81" w:name="_Toc20823287"/>
      <w:r/>
      <w:bookmarkStart w:id="82" w:name="_Toc462564074"/>
      <w:r/>
      <w:bookmarkStart w:id="83" w:name="_Toc16938531"/>
      <w:r/>
      <w:bookmarkStart w:id="84" w:name="_Toc513029215"/>
      <w:r>
        <w:rPr>
          <w:rFonts w:hint="eastAsia" w:ascii="宋体" w:hAnsi="宋体" w:eastAsia="宋体" w:cs="宋体"/>
          <w:b/>
          <w:bCs/>
          <w:color w:val="auto"/>
          <w:sz w:val="24"/>
          <w:highlight w:val="none"/>
        </w:rPr>
        <w:t xml:space="preserve">10、投标文件构成</w:t>
      </w:r>
      <w:bookmarkEnd w:id="81"/>
      <w:r/>
      <w:bookmarkEnd w:id="82"/>
      <w:r/>
      <w:bookmarkEnd w:id="83"/>
      <w:r/>
      <w:bookmarkEnd w:id="84"/>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85" w:name="_Toc513029219"/>
      <w:r/>
      <w:bookmarkStart w:id="86" w:name="_Toc14577357"/>
      <w:r/>
      <w:bookmarkStart w:id="87" w:name="_Toc49090507"/>
      <w:r/>
      <w:bookmarkStart w:id="88" w:name="_Toc49090509"/>
      <w:r/>
      <w:bookmarkStart w:id="89" w:name="_Toc14577354"/>
      <w:r/>
      <w:bookmarkStart w:id="90" w:name="_Toc513029216"/>
      <w:r>
        <w:rPr>
          <w:rFonts w:hint="eastAsia" w:ascii="宋体" w:hAnsi="宋体" w:eastAsia="宋体" w:cs="宋体"/>
          <w:b/>
          <w:bCs/>
          <w:color w:val="auto"/>
          <w:sz w:val="24"/>
          <w:highlight w:val="none"/>
        </w:rPr>
        <w:t xml:space="preserve">11、证明投标人及投标标的符合招标文件规定的文件</w:t>
      </w:r>
      <w:bookmarkEnd w:id="85"/>
      <w:r/>
      <w:bookmarkEnd w:id="86"/>
      <w:r/>
      <w:bookmarkEnd w:id="87"/>
      <w:r/>
      <w:bookmarkEnd w:id="88"/>
      <w:r/>
      <w:bookmarkEnd w:id="89"/>
      <w:r/>
      <w:bookmarkEnd w:id="90"/>
      <w:r/>
      <w:r/>
    </w:p>
    <w:p>
      <w:pPr>
        <w:ind w:firstLine="480"/>
        <w:pageBreakBefore w:val="0"/>
        <w:spacing w:line="500" w:lineRule="exact"/>
        <w:widowControl w:val="off"/>
        <w:rPr>
          <w:rFonts w:hint="eastAsia" w:ascii="宋体" w:hAnsi="宋体" w:eastAsia="宋体" w:cs="宋体"/>
          <w:color w:val="auto"/>
          <w:sz w:val="24"/>
          <w:highlight w:val="none"/>
        </w:rPr>
      </w:pPr>
      <w:r/>
      <w:bookmarkStart w:id="91" w:name="_Toc14577355"/>
      <w:r/>
      <w:bookmarkStart w:id="92" w:name="_Toc49090508"/>
      <w:r>
        <w:rPr>
          <w:rFonts w:hint="eastAsia" w:ascii="宋体" w:hAnsi="宋体" w:eastAsia="宋体" w:cs="宋体"/>
          <w:color w:val="auto"/>
          <w:sz w:val="24"/>
          <w:highlight w:val="none"/>
        </w:rPr>
        <w:t xml:space="preserve">11.1投标人应按照法律、法规、规章和规范性文件以及招标文件要求提交证明文件，证明其及投标标的符合招标文件规定。</w:t>
      </w:r>
      <w:bookmarkEnd w:id="91"/>
      <w:r/>
      <w:bookmarkEnd w:id="92"/>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12、投标分项报价表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12.1投标人应按照招标文件规定格式填报投标分项报价表。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12.2投标货币。投标文件中的单价和总价无特殊规定的采用人民币报价，以元为单位标注。招标文件中另有规定的按规定执行。</w:t>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13、技术要求响应及偏离表、商务要求响应及偏离表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13.1投标人需对招标文件中的技术要求与商务要求逐项作出响应或偏离，并说明原因。</w:t>
      </w:r>
      <w:r/>
    </w:p>
    <w:p>
      <w:pPr>
        <w:ind w:firstLine="480"/>
        <w:pageBreakBefore w:val="0"/>
        <w:spacing w:line="500" w:lineRule="exact"/>
        <w:widowControl w:val="off"/>
        <w:tabs>
          <w:tab w:val="left" w:pos="103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13.2投标人可在投标文件中提供认为需要的其他技术文件或说明。</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93" w:name="_Toc14577359"/>
      <w:r/>
      <w:bookmarkStart w:id="94" w:name="_Toc49090510"/>
      <w:r>
        <w:rPr>
          <w:rFonts w:hint="eastAsia" w:ascii="宋体" w:hAnsi="宋体" w:eastAsia="宋体" w:cs="宋体"/>
          <w:b/>
          <w:bCs/>
          <w:color w:val="auto"/>
          <w:sz w:val="24"/>
          <w:highlight w:val="none"/>
        </w:rPr>
        <w:t xml:space="preserve">14、投标函和开标一览表</w:t>
      </w:r>
      <w:bookmarkEnd w:id="93"/>
      <w:r/>
      <w:bookmarkEnd w:id="94"/>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14.1投标人应按照招标文件中提供的格式完整、正确填写投标函、开标一览表。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highlight w:val="none"/>
        </w:rPr>
        <w:t xml:space="preserve">。</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95" w:name="_Toc14577360"/>
      <w:r/>
      <w:bookmarkStart w:id="96" w:name="_Toc49090511"/>
      <w:r>
        <w:rPr>
          <w:rFonts w:hint="eastAsia" w:ascii="宋体" w:hAnsi="宋体" w:eastAsia="宋体" w:cs="宋体"/>
          <w:b/>
          <w:bCs/>
          <w:color w:val="auto"/>
          <w:sz w:val="24"/>
          <w:highlight w:val="none"/>
        </w:rPr>
        <w:t xml:space="preserve">15、投标有效期</w:t>
      </w:r>
      <w:bookmarkEnd w:id="95"/>
      <w:r/>
      <w:bookmarkEnd w:id="96"/>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15.1投标有效期为采购代理机构规定的开标之日后</w:t>
      </w:r>
      <w:r>
        <w:rPr>
          <w:rFonts w:hint="eastAsia" w:ascii="宋体" w:hAnsi="宋体" w:eastAsia="宋体" w:cs="宋体"/>
          <w:b/>
          <w:color w:val="auto"/>
          <w:sz w:val="24"/>
          <w:highlight w:val="none"/>
          <w:u w:val="single"/>
        </w:rPr>
        <w:t xml:space="preserve">九十（90）天</w:t>
      </w:r>
      <w:r>
        <w:rPr>
          <w:rFonts w:hint="eastAsia" w:ascii="宋体" w:hAnsi="宋体" w:eastAsia="宋体" w:cs="宋体"/>
          <w:color w:val="auto"/>
          <w:sz w:val="24"/>
          <w:highlight w:val="none"/>
        </w:rPr>
        <w:t xml:space="preserve">。投标有效期比规定短的将被视为未实质性响应招标文件而予以拒绝。</w:t>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16、投标有效期的延长</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2"/>
        <w:pageBreakBefore w:val="0"/>
        <w:spacing w:line="500" w:lineRule="exact"/>
        <w:widowControl w:val="off"/>
        <w:rPr>
          <w:rFonts w:hint="eastAsia" w:ascii="宋体" w:hAnsi="宋体" w:eastAsia="宋体" w:cs="宋体"/>
          <w:color w:val="auto"/>
          <w:sz w:val="24"/>
          <w:highlight w:val="none"/>
        </w:rPr>
      </w:pPr>
      <w:r/>
      <w:bookmarkStart w:id="97" w:name="_Toc20823296"/>
      <w:r/>
      <w:bookmarkStart w:id="98" w:name="_Toc513029224"/>
      <w:r/>
      <w:bookmarkStart w:id="99" w:name="_Toc16938540"/>
      <w:r/>
      <w:bookmarkStart w:id="100" w:name="_Toc120614217"/>
      <w:r>
        <w:rPr>
          <w:rFonts w:hint="eastAsia" w:ascii="宋体" w:hAnsi="宋体" w:eastAsia="宋体" w:cs="宋体"/>
          <w:b/>
          <w:color w:val="auto"/>
          <w:sz w:val="24"/>
          <w:highlight w:val="none"/>
        </w:rPr>
        <w:t xml:space="preserve">四、投标文件的递交</w:t>
      </w:r>
      <w:bookmarkEnd w:id="97"/>
      <w:r/>
      <w:bookmarkEnd w:id="98"/>
      <w:r/>
      <w:bookmarkEnd w:id="99"/>
      <w:r/>
      <w:bookmarkEnd w:id="100"/>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01" w:name="_Toc20823297"/>
      <w:r/>
      <w:bookmarkStart w:id="102" w:name="_Toc462564084"/>
      <w:r/>
      <w:bookmarkStart w:id="103" w:name="_Toc513029225"/>
      <w:r/>
      <w:bookmarkStart w:id="104" w:name="_Toc16938541"/>
      <w:r>
        <w:rPr>
          <w:rFonts w:hint="eastAsia" w:ascii="宋体" w:hAnsi="宋体" w:eastAsia="宋体" w:cs="宋体"/>
          <w:b/>
          <w:bCs/>
          <w:color w:val="auto"/>
          <w:sz w:val="24"/>
          <w:highlight w:val="none"/>
        </w:rPr>
        <w:t xml:space="preserve">17、投标文件</w:t>
      </w:r>
      <w:bookmarkEnd w:id="101"/>
      <w:r/>
      <w:bookmarkEnd w:id="102"/>
      <w:r/>
      <w:bookmarkEnd w:id="103"/>
      <w:r/>
      <w:bookmarkEnd w:id="104"/>
      <w:r>
        <w:rPr>
          <w:rFonts w:hint="eastAsia" w:ascii="宋体" w:hAnsi="宋体" w:eastAsia="宋体" w:cs="宋体"/>
          <w:b/>
          <w:bCs/>
          <w:color w:val="auto"/>
          <w:sz w:val="24"/>
          <w:highlight w:val="none"/>
        </w:rPr>
        <w:t xml:space="preserve">的递交</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17.1电子投标文件的递交</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投标人应当按照《操作手册》规定，在投标截止时间前制作并上传电子投标文件。</w:t>
      </w:r>
      <w:bookmarkStart w:id="105" w:name="_Toc16938542"/>
      <w:r/>
      <w:bookmarkEnd w:id="105"/>
      <w:r/>
      <w:bookmarkStart w:id="106" w:name="_Toc20823298"/>
      <w:r/>
      <w:bookmarkEnd w:id="106"/>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18、投标截止时间</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color w:val="auto"/>
          <w:sz w:val="24"/>
          <w:highlight w:val="none"/>
          <w:u w:val="single"/>
        </w:rPr>
        <w:t xml:space="preserve">18.1投标人上传电子投标文件的时间不得迟于招标公告中规定的投标截止时间。</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18.2采购代理机构可以按照规定，通过修改招标文件酌情延长投标截止时间，在此情况下，投标人的所有权利和义务以及投标人受制的截止时间均应以延长后新的截止时间为准。</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07" w:name="_Toc16938543"/>
      <w:r/>
      <w:bookmarkStart w:id="108" w:name="_Toc20823299"/>
      <w:r/>
      <w:bookmarkStart w:id="109" w:name="_Toc513029227"/>
      <w:r>
        <w:rPr>
          <w:rFonts w:hint="eastAsia" w:ascii="宋体" w:hAnsi="宋体" w:eastAsia="宋体" w:cs="宋体"/>
          <w:b/>
          <w:bCs/>
          <w:color w:val="auto"/>
          <w:sz w:val="24"/>
          <w:highlight w:val="none"/>
        </w:rPr>
        <w:t xml:space="preserve">19、投标文件</w:t>
      </w:r>
      <w:bookmarkEnd w:id="107"/>
      <w:r/>
      <w:bookmarkEnd w:id="108"/>
      <w:r/>
      <w:bookmarkEnd w:id="109"/>
      <w:r>
        <w:rPr>
          <w:rFonts w:hint="eastAsia" w:ascii="宋体" w:hAnsi="宋体" w:eastAsia="宋体" w:cs="宋体"/>
          <w:b/>
          <w:bCs/>
          <w:color w:val="auto"/>
          <w:sz w:val="24"/>
          <w:highlight w:val="none"/>
        </w:rPr>
        <w:t xml:space="preserve">的拒收</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拒绝接收在其规定的投标截止时间后上传的任何投标文件。</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10" w:name="_Toc20823300"/>
      <w:r/>
      <w:bookmarkStart w:id="111" w:name="_Toc513029228"/>
      <w:r/>
      <w:bookmarkStart w:id="112" w:name="_Toc16938544"/>
      <w:r>
        <w:rPr>
          <w:rFonts w:hint="eastAsia" w:ascii="宋体" w:hAnsi="宋体" w:eastAsia="宋体" w:cs="宋体"/>
          <w:b/>
          <w:bCs/>
          <w:color w:val="auto"/>
          <w:sz w:val="24"/>
          <w:highlight w:val="none"/>
        </w:rPr>
        <w:t xml:space="preserve">20、投标文件的撤回和修改</w:t>
      </w:r>
      <w:bookmarkEnd w:id="110"/>
      <w:r/>
      <w:bookmarkEnd w:id="111"/>
      <w:r/>
      <w:bookmarkEnd w:id="112"/>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20.1.2投标人撤回电子投标文件，则认为其不再参与本项目投标活动。</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20.2投标文件的修改</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20.2.2在投标截止时间之后，投标人不得对其电子投标文件作任何修改。</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20.3在投标截止时间至招标文件中规定的投标有效期满之间的这段时间内，投标人不得撤回其投标。</w:t>
      </w:r>
      <w:r/>
    </w:p>
    <w:p>
      <w:pPr>
        <w:ind w:firstLine="482"/>
        <w:pageBreakBefore w:val="0"/>
        <w:spacing w:line="500" w:lineRule="exact"/>
        <w:widowControl w:val="off"/>
        <w:rPr>
          <w:rFonts w:hint="eastAsia" w:ascii="宋体" w:hAnsi="宋体" w:eastAsia="宋体" w:cs="宋体"/>
          <w:color w:val="auto"/>
          <w:sz w:val="24"/>
          <w:highlight w:val="none"/>
        </w:rPr>
      </w:pPr>
      <w:r/>
      <w:bookmarkStart w:id="113" w:name="_Toc16938545"/>
      <w:r/>
      <w:bookmarkStart w:id="114" w:name="_Toc120614218"/>
      <w:r/>
      <w:bookmarkStart w:id="115" w:name="_Toc513029229"/>
      <w:r/>
      <w:bookmarkStart w:id="116" w:name="_Toc20823301"/>
      <w:r>
        <w:rPr>
          <w:rFonts w:hint="eastAsia" w:ascii="宋体" w:hAnsi="宋体" w:eastAsia="宋体" w:cs="宋体"/>
          <w:b/>
          <w:color w:val="auto"/>
          <w:sz w:val="24"/>
          <w:highlight w:val="none"/>
        </w:rPr>
        <w:t xml:space="preserve">五、开标与评标</w:t>
      </w:r>
      <w:bookmarkEnd w:id="113"/>
      <w:r/>
      <w:bookmarkEnd w:id="114"/>
      <w:r/>
      <w:bookmarkEnd w:id="115"/>
      <w:r/>
      <w:bookmarkEnd w:id="116"/>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17" w:name="_Toc16938546"/>
      <w:r/>
      <w:bookmarkStart w:id="118" w:name="_Toc20823302"/>
      <w:r/>
      <w:bookmarkStart w:id="119" w:name="_Toc513029230"/>
      <w:r>
        <w:rPr>
          <w:rFonts w:hint="eastAsia" w:ascii="宋体" w:hAnsi="宋体" w:eastAsia="宋体" w:cs="宋体"/>
          <w:b/>
          <w:bCs/>
          <w:color w:val="auto"/>
          <w:sz w:val="24"/>
          <w:highlight w:val="none"/>
        </w:rPr>
        <w:t xml:space="preserve">21、开标</w:t>
      </w:r>
      <w:bookmarkEnd w:id="117"/>
      <w:r/>
      <w:bookmarkEnd w:id="118"/>
      <w:r/>
      <w:bookmarkEnd w:id="119"/>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21.1采购代理机构将在招标公告中规定的时间和地点组织公开开标。投标人应当按照《操作手册》规定，参加开标活动和在苏采云系统规定的时间内对投标文件进行解密。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组织。苏采云系统将自动对项目进行开标，并宣布各投标人名称和投标价格。</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21.3投标人在开标过程中涉及到的投标文件解密、开标结果确认等工作，应按照《操作手册》规定执行。</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20" w:name="_Toc20823303"/>
      <w:r/>
      <w:bookmarkStart w:id="121" w:name="_Toc513029231"/>
      <w:r/>
      <w:bookmarkStart w:id="122" w:name="_Toc16938547"/>
      <w:r>
        <w:rPr>
          <w:rFonts w:hint="eastAsia" w:ascii="宋体" w:hAnsi="宋体" w:eastAsia="宋体" w:cs="宋体"/>
          <w:b/>
          <w:bCs/>
          <w:color w:val="auto"/>
          <w:sz w:val="24"/>
          <w:highlight w:val="none"/>
        </w:rPr>
        <w:t xml:space="preserve">22、评标委员会</w:t>
      </w:r>
      <w:bookmarkEnd w:id="120"/>
      <w:r/>
      <w:bookmarkEnd w:id="121"/>
      <w:r/>
      <w:bookmarkEnd w:id="122"/>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22.1开标后，采购代理机构将立即组织评标委员会（以下简称</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）进行评标。</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由采购人代表和有关技术、经济等方面的专家组成，且人员构成符合政府采购有关规定。</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独立工作，负责评审所有投标文件并确定中标</w:t>
      </w:r>
      <w:r>
        <w:rPr>
          <w:rFonts w:hint="eastAsia" w:ascii="宋体" w:hAnsi="宋体" w:eastAsia="宋体" w:cs="宋体"/>
          <w:color w:val="auto"/>
          <w:sz w:val="24"/>
          <w:szCs w:val="24"/>
          <w:highlight w:val="none"/>
        </w:rPr>
        <w:t xml:space="preserve">候</w:t>
      </w:r>
      <w:r>
        <w:rPr>
          <w:rFonts w:hint="eastAsia" w:ascii="宋体" w:hAnsi="宋体" w:eastAsia="宋体" w:cs="宋体"/>
          <w:color w:val="auto"/>
          <w:sz w:val="24"/>
          <w:highlight w:val="none"/>
        </w:rPr>
        <w:t xml:space="preserve">选人。</w:t>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23、评标过程的保密与公正</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23.2在评标过程中，投标人不得以任何行为影响评标过程，否则其投标文件将被作为无效投标文件。</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23.3采购代理机构和</w:t>
      </w:r>
      <w:r>
        <w:rPr>
          <w:rFonts w:hint="eastAsia" w:ascii="宋体" w:hAnsi="宋体" w:eastAsia="宋体" w:cs="宋体"/>
          <w:color w:val="auto"/>
          <w:sz w:val="24"/>
          <w:szCs w:val="24"/>
          <w:highlight w:val="none"/>
        </w:rPr>
        <w:t xml:space="preserve">评标委员会</w:t>
      </w:r>
      <w:r>
        <w:rPr>
          <w:rFonts w:hint="eastAsia" w:ascii="宋体" w:hAnsi="宋体" w:eastAsia="宋体" w:cs="宋体"/>
          <w:color w:val="auto"/>
          <w:sz w:val="24"/>
          <w:highlight w:val="none"/>
        </w:rPr>
        <w:t xml:space="preserve">不向未中标的投标人解释未中标原因，也不公布评标过程中的相关细节。</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23" w:name="_Toc20823304"/>
      <w:r/>
      <w:bookmarkStart w:id="124" w:name="_Toc16938548"/>
      <w:r/>
      <w:bookmarkStart w:id="125" w:name="_Toc513029232"/>
      <w:r>
        <w:rPr>
          <w:rFonts w:hint="eastAsia" w:ascii="宋体" w:hAnsi="宋体" w:eastAsia="宋体" w:cs="宋体"/>
          <w:b/>
          <w:bCs/>
          <w:color w:val="auto"/>
          <w:sz w:val="24"/>
          <w:highlight w:val="none"/>
        </w:rPr>
        <w:t xml:space="preserve">24、投标文件的澄清</w:t>
      </w:r>
      <w:bookmarkEnd w:id="123"/>
      <w:r/>
      <w:bookmarkEnd w:id="124"/>
      <w:r/>
      <w:bookmarkEnd w:id="125"/>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24.1评标期间，</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对投标文件中含义不明确、同类问题表述不一致或者有明显文字和计算错误的内容，有权要求投标人作出必要的澄清、说明或者补正。</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24.2需要投标人进行澄清、说明和补正的，</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24.3接到</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澄清、说明和补正要求的投标人如未按规定作出澄清、说明和补正，其风险由投标人自行承担。</w:t>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26" w:name="_Toc16938549"/>
      <w:r/>
      <w:bookmarkStart w:id="127" w:name="_Toc513029233"/>
      <w:r/>
      <w:bookmarkStart w:id="128" w:name="_Toc20823305"/>
      <w:r>
        <w:rPr>
          <w:rFonts w:hint="eastAsia" w:ascii="宋体" w:hAnsi="宋体" w:eastAsia="宋体" w:cs="宋体"/>
          <w:b/>
          <w:bCs/>
          <w:color w:val="auto"/>
          <w:sz w:val="24"/>
          <w:highlight w:val="none"/>
        </w:rPr>
        <w:t xml:space="preserve">25、对投标文件的初审</w:t>
      </w:r>
      <w:bookmarkEnd w:id="126"/>
      <w:r/>
      <w:bookmarkEnd w:id="127"/>
      <w:r/>
      <w:bookmarkEnd w:id="128"/>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25.1投标文件初审分为资格审查和符合性审查。</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25.1.1资格审查：依据法律法规和招标文件的规定，由采购人对投标文件中的资格证明文件进行审查。资格审查的结论，采购人以书面形式向</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进行反馈。</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eastAsia="宋体" w:cs="宋体"/>
          <w:color w:val="auto"/>
          <w:sz w:val="24"/>
          <w:highlight w:val="none"/>
          <w:lang w:val="en-US" w:eastAsia="zh-CN"/>
        </w:rPr>
        <w:t xml:space="preserve">信用</w:t>
      </w:r>
      <w:r>
        <w:rPr>
          <w:rFonts w:hint="eastAsia" w:ascii="宋体" w:hAnsi="宋体" w:eastAsia="宋体" w:cs="宋体"/>
          <w:color w:val="auto"/>
          <w:sz w:val="24"/>
          <w:highlight w:val="none"/>
        </w:rPr>
        <w:t xml:space="preserve">记录。</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25.1.2符合性审查：依据招标文件的规定，由</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从投标文件的有效性、完整性和对招标文件的响应程度进行审查，以确定是否对招标文件的实质性要求作出响应。</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以少数服从多数的原则作出结论。评委</w:t>
      </w:r>
      <w:r>
        <w:rPr>
          <w:rFonts w:hint="eastAsia" w:ascii="宋体" w:hAnsi="宋体" w:eastAsia="宋体" w:cs="宋体"/>
          <w:color w:val="auto"/>
          <w:sz w:val="24"/>
          <w:highlight w:val="none"/>
          <w:lang w:val="en-US" w:eastAsia="zh-CN"/>
        </w:rPr>
        <w:t xml:space="preserve">会</w:t>
      </w:r>
      <w:r>
        <w:rPr>
          <w:rFonts w:hint="eastAsia" w:ascii="宋体" w:hAnsi="宋体" w:eastAsia="宋体" w:cs="宋体"/>
          <w:color w:val="auto"/>
          <w:sz w:val="24"/>
          <w:highlight w:val="none"/>
        </w:rPr>
        <w:t xml:space="preserve">决定投标文件的响应性只根据投标文件本身的内容，而不寻求外部的证据。</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将予以拒绝，投标人不得通过修改或撤销不符合要求的偏离或保留而使其投标成为实质性响应的投标。</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将对确定为实质性响应的投标进行进一步审核，确定其是否有计算上或累加上的算术错误，修正错误的原则如下：</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同时出现两种以上错误的，按照前款规定的顺序修正。</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80"/>
        <w:pageBreakBefore w:val="0"/>
        <w:spacing w:line="500" w:lineRule="exact"/>
        <w:widowControl w:val="off"/>
        <w:rPr>
          <w:rFonts w:hint="eastAsia" w:ascii="宋体" w:hAnsi="宋体" w:eastAsia="宋体" w:cs="宋体"/>
          <w:color w:val="auto"/>
          <w:sz w:val="24"/>
          <w:highlight w:val="none"/>
        </w:rPr>
      </w:pPr>
      <w:r/>
      <w:bookmarkStart w:id="129" w:name="_Toc513029234"/>
      <w:r/>
      <w:bookmarkStart w:id="130" w:name="_Toc20823306"/>
      <w:r/>
      <w:bookmarkStart w:id="131" w:name="_Toc16938550"/>
      <w:r>
        <w:rPr>
          <w:rFonts w:hint="eastAsia" w:ascii="宋体" w:hAnsi="宋体" w:eastAsia="宋体" w:cs="宋体"/>
          <w:color w:val="auto"/>
          <w:sz w:val="24"/>
          <w:highlight w:val="none"/>
        </w:rPr>
        <w:t xml:space="preserve">25.6投标人在开、评标全过程中应保持通信畅通，及时登录苏采云系统查阅、答复相关信息，并安排专人与采购代理机构及</w:t>
      </w:r>
      <w:r>
        <w:rPr>
          <w:rFonts w:hint="eastAsia" w:ascii="宋体" w:hAnsi="宋体" w:eastAsia="宋体" w:cs="宋体"/>
          <w:color w:val="auto"/>
          <w:sz w:val="24"/>
          <w:szCs w:val="24"/>
          <w:highlight w:val="none"/>
        </w:rPr>
        <w:t xml:space="preserve">评标委员会</w:t>
      </w:r>
      <w:r>
        <w:rPr>
          <w:rFonts w:hint="eastAsia" w:ascii="宋体" w:hAnsi="宋体" w:eastAsia="宋体" w:cs="宋体"/>
          <w:color w:val="auto"/>
          <w:sz w:val="24"/>
          <w:highlight w:val="none"/>
        </w:rPr>
        <w:t xml:space="preserve">联系。</w:t>
      </w:r>
      <w:bookmarkEnd w:id="129"/>
      <w:r/>
      <w:bookmarkEnd w:id="130"/>
      <w:r/>
      <w:bookmarkEnd w:id="131"/>
      <w:r/>
      <w:r/>
    </w:p>
    <w:p>
      <w:pPr>
        <w:ind w:firstLine="482"/>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26、无效投标条款和废标条款</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26.1无效投标条款</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26.1.1投标人在苏采云系统规定的时间内未成功解密电子投标文件的。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26.1.2投标人未按照招标文件要求上传电子投标文件的。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26.1.3同一投标人提交两个（含两个）以上不同的投标报价的。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26.1.4投标人不具备招标文件中规定资格要求的。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26.1.5投标人的报价超过了采购预算或最高限价的。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26.1.6未通过符合性审查的。</w:t>
      </w:r>
      <w:r/>
    </w:p>
    <w:p>
      <w:pPr>
        <w:ind w:firstLine="480"/>
        <w:pageBreakBefore w:val="0"/>
        <w:spacing w:line="50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26.1.7不符合招标文件中规定的实质性要求和条件的</w:t>
      </w:r>
      <w:r>
        <w:rPr>
          <w:rFonts w:hint="eastAsia" w:ascii="宋体" w:hAnsi="宋体" w:eastAsia="宋体" w:cs="宋体"/>
          <w:i/>
          <w:iCs/>
          <w:color w:val="auto"/>
          <w:sz w:val="24"/>
          <w:highlight w:val="none"/>
          <w:u w:val="single"/>
        </w:rPr>
        <w:t xml:space="preserve">（本招标文件中斜体且有下划线部分为实质性要求和条件）。</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26.1.9投标文件含有采购人不能接受的附加条件的。</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26.1.10投标人不能证明其报价合理性的，评标委员会应当将其作为无效投标处理。</w:t>
      </w:r>
      <w:r/>
    </w:p>
    <w:p>
      <w:pPr>
        <w:pStyle w:val="816"/>
        <w:ind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16"/>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16"/>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16"/>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w:t>
      </w:r>
      <w:r>
        <w:rPr>
          <w:rFonts w:hint="eastAsia" w:cs="宋体"/>
          <w:b/>
          <w:bCs/>
          <w:color w:val="ff0000"/>
          <w:sz w:val="24"/>
          <w:szCs w:val="24"/>
          <w:highlight w:val="none"/>
          <w:lang w:val="en-US" w:eastAsia="zh-CN" w:bidi="ar-SA"/>
        </w:rPr>
        <w:t xml:space="preserve">50</w:t>
      </w:r>
      <w:r>
        <w:rPr>
          <w:rFonts w:hint="eastAsia" w:ascii="宋体" w:hAnsi="宋体" w:eastAsia="宋体" w:cs="宋体"/>
          <w:b/>
          <w:bCs/>
          <w:color w:val="ff0000"/>
          <w:sz w:val="24"/>
          <w:szCs w:val="24"/>
          <w:highlight w:val="none"/>
          <w:lang w:val="en-US" w:eastAsia="zh-CN" w:bidi="ar-SA"/>
        </w:rPr>
        <w:t xml:space="preserve">%的，即投标（响应）报价&lt;采购项目最高限价×</w:t>
      </w:r>
      <w:r>
        <w:rPr>
          <w:rFonts w:hint="eastAsia" w:cs="宋体"/>
          <w:b/>
          <w:bCs/>
          <w:color w:val="ff0000"/>
          <w:sz w:val="24"/>
          <w:szCs w:val="24"/>
          <w:highlight w:val="none"/>
          <w:lang w:val="en-US" w:eastAsia="zh-CN" w:bidi="ar-SA"/>
        </w:rPr>
        <w:t xml:space="preserve">50</w:t>
      </w:r>
      <w:r>
        <w:rPr>
          <w:rFonts w:hint="eastAsia" w:ascii="宋体" w:hAnsi="宋体" w:eastAsia="宋体" w:cs="宋体"/>
          <w:b/>
          <w:bCs/>
          <w:color w:val="ff0000"/>
          <w:sz w:val="24"/>
          <w:szCs w:val="24"/>
          <w:highlight w:val="none"/>
          <w:lang w:val="en-US" w:eastAsia="zh-CN" w:bidi="ar-SA"/>
        </w:rPr>
        <w:t xml:space="preserve">%；</w:t>
      </w:r>
      <w:r/>
    </w:p>
    <w:p>
      <w:pPr>
        <w:pStyle w:val="816"/>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16"/>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816"/>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16"/>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6"/>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6"/>
        <w:ind w:left="0" w:right="0" w:firstLine="482"/>
        <w:jc w:val="both"/>
        <w:keepLines w:val="0"/>
        <w:keepNext w:val="0"/>
        <w:pageBreakBefore w:val="0"/>
        <w:spacing w:before="0" w:beforeAutospacing="0" w:after="0" w:afterAutospacing="0"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6"/>
        <w:ind w:left="0" w:right="0" w:firstLine="482"/>
        <w:jc w:val="both"/>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ff0000"/>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26.1.11投标文件未按照招标文件要求加盖CA电子公章的。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26.1.12其他法律、法规及本招标文件规定的属无效投标的情形。</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26.2废标条款</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26.2.1符合专业条件的供应商或者对招标文件作实质响应的供应商不足三家的。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26.2.2出现影响采购公正的违法、违规行为的。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26.2.3因重大变故，采购任务取消的。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26.2.4评标委员会认定招标文件存在歧义、重大缺陷导致评审工作无法进行。</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26.2.5因苏采云系统系统故障原因造成开标不成功的。</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投标截止时间结束后参加投标的供应商不足三家的处理：</w:t>
      </w:r>
      <w:r/>
    </w:p>
    <w:p>
      <w:pPr>
        <w:ind w:firstLine="480"/>
        <w:pageBreakBefore w:val="0"/>
        <w:spacing w:line="5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auto"/>
          <w:sz w:val="24"/>
          <w:highlight w:val="none"/>
          <w:lang w:val="en-US" w:eastAsia="zh-CN"/>
        </w:rPr>
        <w:t xml:space="preserve">。</w:t>
      </w:r>
      <w:r/>
    </w:p>
    <w:p>
      <w:pPr>
        <w:ind w:firstLine="482"/>
        <w:pageBreakBefore w:val="0"/>
        <w:spacing w:line="500" w:lineRule="exact"/>
        <w:widowControl w:val="off"/>
        <w:rPr>
          <w:rFonts w:hint="eastAsia" w:ascii="宋体" w:hAnsi="宋体" w:eastAsia="宋体" w:cs="宋体"/>
          <w:color w:val="auto"/>
          <w:sz w:val="24"/>
          <w:highlight w:val="none"/>
        </w:rPr>
      </w:pPr>
      <w:r/>
      <w:bookmarkStart w:id="132" w:name="_Toc120614219"/>
      <w:r>
        <w:rPr>
          <w:rFonts w:hint="eastAsia" w:ascii="宋体" w:hAnsi="宋体" w:eastAsia="宋体" w:cs="宋体"/>
          <w:b/>
          <w:color w:val="auto"/>
          <w:sz w:val="24"/>
          <w:highlight w:val="none"/>
        </w:rPr>
        <w:t xml:space="preserve">六、定标</w:t>
      </w:r>
      <w:bookmarkEnd w:id="132"/>
      <w:r/>
      <w:r/>
    </w:p>
    <w:p>
      <w:pPr>
        <w:ind w:firstLine="482"/>
        <w:pageBreakBefore w:val="0"/>
        <w:spacing w:line="500" w:lineRule="exact"/>
        <w:widowControl w:val="off"/>
        <w:rPr>
          <w:rFonts w:hint="eastAsia" w:ascii="宋体" w:hAnsi="宋体" w:eastAsia="宋体" w:cs="宋体"/>
          <w:b/>
          <w:bCs/>
          <w:color w:val="auto"/>
          <w:sz w:val="24"/>
          <w:highlight w:val="none"/>
        </w:rPr>
      </w:pPr>
      <w:r/>
      <w:bookmarkStart w:id="133" w:name="_Toc20823310"/>
      <w:r/>
      <w:bookmarkStart w:id="134" w:name="_Toc16938554"/>
      <w:r/>
      <w:bookmarkStart w:id="135" w:name="_Toc513029238"/>
      <w:r>
        <w:rPr>
          <w:rFonts w:hint="eastAsia" w:ascii="宋体" w:hAnsi="宋体" w:eastAsia="宋体" w:cs="宋体"/>
          <w:b/>
          <w:bCs/>
          <w:color w:val="auto"/>
          <w:sz w:val="24"/>
          <w:highlight w:val="none"/>
        </w:rPr>
        <w:t xml:space="preserve">27、</w:t>
      </w:r>
      <w:bookmarkEnd w:id="133"/>
      <w:r>
        <w:rPr>
          <w:rFonts w:hint="eastAsia" w:ascii="宋体" w:hAnsi="宋体" w:eastAsia="宋体" w:cs="宋体"/>
          <w:b/>
          <w:bCs/>
          <w:color w:val="auto"/>
          <w:sz w:val="24"/>
          <w:highlight w:val="none"/>
        </w:rPr>
        <w:t xml:space="preserve">确定</w:t>
      </w:r>
      <w:bookmarkEnd w:id="134"/>
      <w:r/>
      <w:bookmarkEnd w:id="135"/>
      <w:r>
        <w:rPr>
          <w:rFonts w:hint="eastAsia" w:ascii="宋体" w:hAnsi="宋体" w:eastAsia="宋体" w:cs="宋体"/>
          <w:b/>
          <w:bCs/>
          <w:color w:val="auto"/>
          <w:sz w:val="24"/>
          <w:highlight w:val="none"/>
        </w:rPr>
        <w:t xml:space="preserve">中标单位</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bookmarkStart w:id="136" w:name="_Toc513029236"/>
      <w:r/>
      <w:bookmarkStart w:id="137" w:name="_Toc20823308"/>
      <w:r/>
      <w:bookmarkStart w:id="138" w:name="_Toc120614220"/>
      <w:r/>
      <w:bookmarkStart w:id="139" w:name="_Toc16938552"/>
      <w:r>
        <w:rPr>
          <w:rFonts w:hint="eastAsia" w:ascii="宋体" w:hAnsi="宋体" w:eastAsia="宋体" w:cs="宋体"/>
          <w:color w:val="000000"/>
          <w:sz w:val="24"/>
          <w:szCs w:val="24"/>
          <w:highlight w:val="none"/>
        </w:rPr>
        <w:t xml:space="preserve">27.1中标候选人的选取原则和数量见招标文件第五章规定。 </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bookmarkStart w:id="140" w:name="_Toc200451960"/>
      <w:r>
        <w:rPr>
          <w:rFonts w:hint="eastAsia" w:ascii="宋体" w:hAnsi="宋体" w:eastAsia="宋体" w:cs="宋体"/>
          <w:color w:val="000000"/>
          <w:sz w:val="24"/>
          <w:szCs w:val="24"/>
          <w:highlight w:val="none"/>
        </w:rPr>
        <w:t xml:space="preserve">27.5 有下列情形之一的，视为投标人串通投标，投标无效：</w:t>
      </w:r>
      <w:bookmarkEnd w:id="140"/>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16"/>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28、质疑处理</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816"/>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16"/>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16"/>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16"/>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816"/>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16"/>
        <w:ind w:firstLine="480"/>
        <w:jc w:val="both"/>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jc w:val="left"/>
        <w:pageBreakBefore w:val="0"/>
        <w:spacing w:line="500" w:lineRule="exac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color w:val="auto"/>
          <w:sz w:val="24"/>
          <w:szCs w:val="24"/>
          <w:highlight w:val="none"/>
        </w:rPr>
        <w:t xml:space="preserve">联系地址及联系方式同招标公告</w:t>
      </w:r>
      <w:r>
        <w:rPr>
          <w:rFonts w:hint="eastAsia" w:ascii="宋体" w:hAnsi="宋体" w:eastAsia="宋体" w:cs="宋体"/>
          <w:color w:val="000000"/>
          <w:sz w:val="24"/>
          <w:szCs w:val="24"/>
          <w:highlight w:val="none"/>
          <w:lang w:val="en-US" w:eastAsia="zh-CN" w:bidi="ar-SA"/>
        </w:rPr>
        <w:t xml:space="preserve">。</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16"/>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29、中标通知书</w:t>
      </w:r>
      <w:r/>
    </w:p>
    <w:p>
      <w:pPr>
        <w:pStyle w:val="816"/>
        <w:ind w:firstLine="480"/>
        <w:jc w:val="both"/>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ind w:firstLine="482"/>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七、授予合同</w:t>
      </w:r>
      <w:bookmarkEnd w:id="136"/>
      <w:r/>
      <w:bookmarkEnd w:id="137"/>
      <w:r/>
      <w:bookmarkEnd w:id="138"/>
      <w:r/>
      <w:bookmarkEnd w:id="139"/>
      <w:r/>
      <w:r/>
    </w:p>
    <w:p>
      <w:pPr>
        <w:pStyle w:val="816"/>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bookmarkStart w:id="141" w:name="_Toc16938553"/>
      <w:r/>
      <w:bookmarkStart w:id="142" w:name="_Toc20823309"/>
      <w:r/>
      <w:bookmarkStart w:id="143" w:name="_Toc513029237"/>
      <w:r>
        <w:rPr>
          <w:rFonts w:hint="eastAsia" w:ascii="宋体" w:hAnsi="宋体" w:eastAsia="宋体" w:cs="宋体"/>
          <w:b/>
          <w:bCs/>
          <w:color w:val="000000"/>
          <w:sz w:val="24"/>
          <w:szCs w:val="24"/>
          <w:highlight w:val="none"/>
        </w:rPr>
        <w:t xml:space="preserve">30</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签订合同</w:t>
      </w:r>
      <w:bookmarkEnd w:id="141"/>
      <w:r/>
      <w:bookmarkEnd w:id="142"/>
      <w:r/>
      <w:bookmarkEnd w:id="143"/>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16"/>
        <w:ind w:firstLine="482"/>
        <w:jc w:val="both"/>
        <w:keepLines/>
        <w:keepNext/>
        <w:pageBreakBefore w:val="0"/>
        <w:spacing w:before="0" w:beforeAutospacing="0" w:after="0" w:afterAutospacing="0" w:line="50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31、服务（包含与服务相关的货物）的追加</w:t>
      </w:r>
      <w:r/>
    </w:p>
    <w:p>
      <w:pPr>
        <w:pStyle w:val="816"/>
        <w:ind w:firstLine="480"/>
        <w:jc w:val="both"/>
        <w:pageBreakBefore w:val="0"/>
        <w:spacing w:before="0" w:beforeAutospacing="0" w:after="0" w:afterAutospacing="0" w:line="5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16"/>
        <w:ind w:firstLine="482"/>
        <w:jc w:val="both"/>
        <w:keepLines/>
        <w:keepNext/>
        <w:pageBreakBefore w:val="0"/>
        <w:spacing w:before="0" w:beforeAutospacing="0" w:after="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32、政府采购政策功能落实</w:t>
      </w:r>
      <w:r/>
    </w:p>
    <w:p>
      <w:pPr>
        <w:pStyle w:val="816"/>
        <w:ind w:firstLine="480"/>
        <w:jc w:val="both"/>
        <w:keepLines/>
        <w:keepNext/>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16"/>
        <w:ind w:firstLine="480"/>
        <w:jc w:val="both"/>
        <w:keepLines/>
        <w:keepNext/>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50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pageBreakBefore w:val="0"/>
        <w:spacing w:line="50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sz w:val="24"/>
          <w:szCs w:val="24"/>
          <w:highlight w:val="none"/>
        </w:rPr>
        <w:t xml:space="preserve">按一半金额缴纳</w:t>
      </w:r>
      <w:r>
        <w:rPr>
          <w:rFonts w:hint="eastAsia" w:ascii="宋体" w:hAnsi="宋体" w:eastAsia="宋体" w:cs="宋体"/>
          <w:color w:val="000000"/>
          <w:sz w:val="24"/>
          <w:szCs w:val="24"/>
          <w:highlight w:val="none"/>
          <w:lang w:val="en-US" w:eastAsia="zh-CN"/>
        </w:rPr>
        <w:t xml:space="preserve">。</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16"/>
        <w:ind w:firstLine="480"/>
        <w:jc w:val="both"/>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1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jc w:val="both"/>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9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25"/>
      <w:r/>
      <w:r/>
    </w:p>
    <w:p>
      <w:pPr>
        <w:pStyle w:val="771"/>
        <w:numPr>
          <w:ilvl w:val="0"/>
          <w:numId w:val="0"/>
        </w:numPr>
        <w:jc w:val="center"/>
        <w:rPr>
          <w:rFonts w:hint="eastAsia" w:ascii="宋体" w:hAnsi="宋体" w:eastAsia="宋体" w:cs="宋体"/>
          <w:b/>
          <w:bCs/>
          <w:color w:val="auto"/>
          <w:sz w:val="44"/>
          <w:szCs w:val="44"/>
          <w:highlight w:val="none"/>
          <w:lang w:val="en-US" w:eastAsia="zh-CN"/>
        </w:rPr>
      </w:pPr>
      <w:r/>
      <w:bookmarkStart w:id="144" w:name="_Toc16269"/>
      <w:r/>
      <w:bookmarkStart w:id="145" w:name="_Toc61149622"/>
      <w:r/>
      <w:bookmarkStart w:id="146" w:name="_Toc26554097"/>
      <w:r/>
      <w:bookmarkStart w:id="147" w:name="_Toc23828480"/>
      <w:r>
        <w:rPr>
          <w:rFonts w:hint="eastAsia" w:ascii="宋体" w:hAnsi="宋体" w:eastAsia="宋体" w:cs="宋体"/>
          <w:b/>
          <w:bCs/>
          <w:color w:val="auto"/>
          <w:sz w:val="44"/>
          <w:szCs w:val="44"/>
          <w:lang w:val="en-US" w:eastAsia="zh-CN" w:bidi="ar-SA"/>
        </w:rPr>
        <w:t xml:space="preserve">第三章</w:t>
      </w:r>
      <w:r>
        <w:rPr>
          <w:rFonts w:hint="eastAsia" w:ascii="宋体" w:hAnsi="宋体" w:eastAsia="宋体" w:cs="宋体"/>
          <w:b/>
          <w:bCs/>
          <w:color w:val="auto"/>
          <w:sz w:val="44"/>
          <w:szCs w:val="44"/>
          <w:highlight w:val="none"/>
          <w:lang w:val="en-US" w:eastAsia="zh-CN"/>
        </w:rPr>
        <w:t xml:space="preserve"> 合同条款及格式</w:t>
      </w:r>
      <w:bookmarkEnd w:id="144"/>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16"/>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Pr>
      <w:r/>
      <w:bookmarkStart w:id="148" w:name="_Toc20823315"/>
      <w:r/>
      <w:bookmarkStart w:id="149" w:name="_Toc16938559"/>
      <w:r/>
      <w:bookmarkStart w:id="150" w:name="_Toc513029243"/>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48"/>
      <w:r/>
      <w:bookmarkEnd w:id="149"/>
      <w:r/>
      <w:bookmarkEnd w:id="150"/>
      <w:r/>
      <w:r/>
    </w:p>
    <w:p>
      <w:pPr>
        <w:pStyle w:val="816"/>
        <w:ind w:left="0" w:firstLine="602"/>
        <w:jc w:val="center"/>
        <w:keepLines w:val="0"/>
        <w:keepNext w:val="0"/>
        <w:pageBreakBefore w:val="0"/>
        <w:spacing w:beforeAutospacing="0" w:afterAutospacing="0" w:line="500" w:lineRule="exact"/>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16"/>
        <w:ind w:left="0" w:firstLine="602"/>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盐城市政府采购合同（合同编号）</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项目名称：盐城市“茉莉花开·家门口赏好戏”—全省优秀舞台艺术作品和优秀群众文艺作品乡镇巡演项目</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cs="宋体"/>
          <w:color w:val="auto"/>
          <w:highlight w:val="none"/>
          <w:lang w:eastAsia="zh-CN"/>
        </w:rPr>
        <w:t xml:space="preserve">JSZC-320900-YCLX-G2026-0007</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甲方：（买方）</w:t>
      </w:r>
      <w:r>
        <w:rPr>
          <w:rFonts w:hint="eastAsia" w:ascii="宋体" w:hAnsi="宋体" w:eastAsia="宋体" w:cs="宋体"/>
          <w:color w:val="auto"/>
          <w:highlight w:val="none"/>
          <w:u w:val="single"/>
        </w:rPr>
        <w:t xml:space="preserve">盐城市文化广电和旅游局</w:t>
      </w:r>
      <w:r/>
    </w:p>
    <w:p>
      <w:pPr>
        <w:pStyle w:val="816"/>
        <w:ind w:left="0" w:firstLine="480"/>
        <w:jc w:val="both"/>
        <w:keepLines w:val="0"/>
        <w:keepNext w:val="0"/>
        <w:pageBreakBefore w:val="0"/>
        <w:spacing w:before="0" w:beforeAutospacing="0" w:after="0" w:afterAutospacing="0" w:line="5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乙方：（卖方）</w:t>
      </w:r>
      <w:r>
        <w:rPr>
          <w:rFonts w:hint="eastAsia" w:ascii="宋体" w:hAnsi="宋体" w:eastAsia="宋体" w:cs="宋体"/>
          <w:color w:val="auto"/>
          <w:highlight w:val="none"/>
          <w:u w:val="single"/>
          <w:lang w:val="en-US" w:eastAsia="zh-CN"/>
        </w:rPr>
        <w:t xml:space="preserve">                       </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盐城市“茉莉花开·家门口赏好戏”—全省优秀舞台艺术作品和优秀群众文艺作品乡镇巡演项目</w:t>
      </w:r>
      <w:r>
        <w:rPr>
          <w:rFonts w:hint="eastAsia" w:ascii="宋体" w:hAnsi="宋体" w:eastAsia="宋体" w:cs="宋体"/>
          <w:color w:val="auto"/>
          <w:highlight w:val="none"/>
          <w:lang w:eastAsia="zh-CN"/>
        </w:rPr>
        <w:t xml:space="preserve">公开招标</w:t>
      </w:r>
      <w:r>
        <w:rPr>
          <w:rFonts w:hint="eastAsia" w:ascii="宋体" w:hAnsi="宋体" w:eastAsia="宋体" w:cs="宋体"/>
          <w:color w:val="auto"/>
          <w:highlight w:val="none"/>
        </w:rPr>
        <w:t xml:space="preserve">的结果，签署本合同。</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标的名称：</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 标的质量：</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 标的数量（规模）：</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 履行时间（期限）：</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 履行地点：</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 履行方式：</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 本合同金额为（大写）：___________圆（________元）人民币或其他币种。</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3.1乙方应按</w:t>
      </w:r>
      <w:r>
        <w:rPr>
          <w:rFonts w:hint="eastAsia" w:ascii="宋体" w:hAnsi="宋体" w:eastAsia="宋体" w:cs="宋体"/>
          <w:color w:val="auto"/>
          <w:highlight w:val="none"/>
          <w:lang w:eastAsia="zh-CN"/>
        </w:rPr>
        <w:t xml:space="preserve">招标</w:t>
      </w:r>
      <w:r>
        <w:rPr>
          <w:rFonts w:hint="eastAsia" w:ascii="宋体" w:hAnsi="宋体" w:eastAsia="宋体" w:cs="宋体"/>
          <w:color w:val="auto"/>
          <w:highlight w:val="none"/>
        </w:rPr>
        <w:t xml:space="preserve">文件规定的时间向甲方提供与合同标的有关的技术资料。</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rPr>
        <w:t xml:space="preserve">四、知</w:t>
      </w:r>
      <w:r>
        <w:rPr>
          <w:rFonts w:hint="eastAsia" w:ascii="宋体" w:hAnsi="宋体" w:eastAsia="宋体" w:cs="宋体"/>
          <w:b/>
          <w:color w:val="auto"/>
          <w:highlight w:val="none"/>
          <w:shd w:val="clear" w:color="auto" w:fill="auto"/>
        </w:rPr>
        <w:t xml:space="preserve">识产权</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五、产权担保</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5.1 乙方保证所交付的合同标的的所有权完全属于乙方且无任何抵押、查封等产权瑕疵。</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六、履约保证金</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6.1 乙方交纳人民币（大写</w:t>
      </w:r>
      <w:r>
        <w:rPr>
          <w:rFonts w:hint="eastAsia" w:ascii="宋体" w:hAnsi="宋体" w:eastAsia="宋体" w:cs="宋体"/>
          <w:color w:val="auto"/>
          <w:highlight w:val="none"/>
          <w:u w:val="none"/>
          <w:shd w:val="clear" w:color="auto" w:fill="auto"/>
        </w:rPr>
        <w:t xml:space="preserve">）</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圆整（¥</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元）（合同金额的10%）作为本合同的履约保证金；于合同履行完毕后同合同款一起无息退还。引用盐城信用办推行的第三方信用报告，2A及以上的供应商按一半金额缴纳（需提供信用管理部门备案的第三方信用报告)。</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2确需收取履约保证金的，</w:t>
      </w:r>
      <w:r>
        <w:rPr>
          <w:rFonts w:hint="eastAsia" w:ascii="宋体" w:hAnsi="宋体" w:eastAsia="宋体" w:cs="宋体"/>
          <w:color w:val="auto"/>
          <w:highlight w:val="none"/>
          <w:shd w:val="clear" w:color="auto" w:fill="auto"/>
          <w:lang w:eastAsia="zh-CN"/>
        </w:rPr>
        <w:t xml:space="preserve">履约保证金的缴纳形式：</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6.2.1</w:t>
      </w:r>
      <w:r>
        <w:rPr>
          <w:rFonts w:hint="eastAsia" w:ascii="宋体" w:hAnsi="宋体" w:eastAsia="宋体" w:cs="宋体"/>
          <w:color w:val="auto"/>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highlight w:val="none"/>
          <w:shd w:val="clear" w:color="auto" w:fill="auto"/>
          <w:lang w:eastAsia="zh-CN"/>
        </w:rPr>
        <w:t xml:space="preserve">履约保证金</w:t>
      </w:r>
      <w:r>
        <w:rPr>
          <w:rFonts w:hint="eastAsia" w:ascii="宋体" w:hAnsi="宋体" w:eastAsia="宋体" w:cs="宋体"/>
          <w:color w:val="auto"/>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highlight w:val="none"/>
          <w:shd w:val="clear" w:color="auto" w:fill="auto"/>
          <w:lang w:eastAsia="zh-CN"/>
        </w:rPr>
        <w:t xml:space="preserve">电子</w:t>
      </w:r>
      <w:r>
        <w:rPr>
          <w:rFonts w:hint="eastAsia" w:ascii="宋体" w:hAnsi="宋体" w:eastAsia="宋体" w:cs="宋体"/>
          <w:color w:val="auto"/>
          <w:highlight w:val="none"/>
          <w:shd w:val="clear" w:color="auto" w:fill="auto"/>
        </w:rPr>
        <w:t xml:space="preserve">履约保函（保险）代替缴纳履约保证金</w:t>
      </w:r>
      <w:r>
        <w:rPr>
          <w:rFonts w:hint="eastAsia" w:ascii="宋体" w:hAnsi="宋体" w:eastAsia="宋体" w:cs="宋体"/>
          <w:color w:val="auto"/>
          <w:highlight w:val="none"/>
          <w:shd w:val="clear" w:color="auto" w:fill="auto"/>
          <w:lang w:eastAsia="zh-CN"/>
        </w:rPr>
        <w:t xml:space="preserve">。</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合同履行结束后，甲方应及时退还交纳的履约保证金。</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履约保证金的退还：</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.1方式：退还至投标人缴纳履约保证金的账户。如为保函，在到期时自行失效。</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.2时间：验收合格且采购人收到发票后30日内。</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.3条件：按合同要求全部履约完成并经采购人验收合格，且采购人收到中标人出具的发票。</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.4不予退还情形：</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除不可抗力情况外，投标人出现下列情形之一的，其履约保证金，招标人将视情节决定不予退还或部分不予退还。</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（1）中标人无正当理由拒绝签订合同的，或者在签订合同时向采购人提出附加条件或者更改合同实质性内容要求的；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（2）中标人不履行与采购人订立的合同的；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（3）中标人所供货物或服务不符合</w:t>
      </w:r>
      <w:r>
        <w:rPr>
          <w:rFonts w:hint="eastAsia" w:ascii="宋体" w:hAnsi="宋体" w:eastAsia="宋体" w:cs="宋体"/>
          <w:color w:val="auto"/>
          <w:sz w:val="24"/>
          <w:highlight w:val="none"/>
          <w:shd w:val="clear" w:color="auto" w:fill="auto"/>
          <w:lang w:val="en-US" w:eastAsia="zh-CN"/>
        </w:rPr>
        <w:t xml:space="preserve">招标</w:t>
      </w:r>
      <w:r>
        <w:rPr>
          <w:rFonts w:hint="eastAsia" w:ascii="宋体" w:hAnsi="宋体" w:eastAsia="宋体" w:cs="宋体"/>
          <w:color w:val="auto"/>
          <w:sz w:val="24"/>
          <w:highlight w:val="none"/>
          <w:shd w:val="clear" w:color="auto" w:fill="auto"/>
        </w:rPr>
        <w:t xml:space="preserve">文件规定要求的；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（4）中标人采取欺骗、弄虚作假方式投标的或与</w:t>
      </w:r>
      <w:r>
        <w:rPr>
          <w:rFonts w:hint="eastAsia" w:ascii="宋体" w:hAnsi="宋体" w:eastAsia="宋体" w:cs="宋体"/>
          <w:color w:val="auto"/>
          <w:sz w:val="24"/>
          <w:highlight w:val="none"/>
          <w:shd w:val="clear" w:color="auto" w:fill="auto"/>
          <w:lang w:eastAsia="zh-CN"/>
        </w:rPr>
        <w:t xml:space="preserve">其他</w:t>
      </w:r>
      <w:r>
        <w:rPr>
          <w:rFonts w:hint="eastAsia" w:ascii="宋体" w:hAnsi="宋体" w:eastAsia="宋体" w:cs="宋体"/>
          <w:color w:val="auto"/>
          <w:sz w:val="24"/>
          <w:highlight w:val="none"/>
          <w:shd w:val="clear" w:color="auto" w:fill="auto"/>
        </w:rPr>
        <w:t xml:space="preserve">投标人串通投标的；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（5）中标人将合同内容转包、违法分包的；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（6）中标人故意捏造事实或伪造证明材料，进行虚假恶意投诉或反映的。</w:t>
      </w:r>
      <w:r/>
    </w:p>
    <w:p>
      <w:pPr>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七、合同转包或分包</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7.2乙方不得将合同标的分包给他人履行。</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八、合同款项支付</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1、预付款：</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合同签订</w:t>
      </w:r>
      <w:r>
        <w:rPr>
          <w:rFonts w:hint="eastAsia" w:cs="宋体"/>
          <w:i w:val="0"/>
          <w:iCs w:val="0"/>
          <w:caps w:val="0"/>
          <w:color w:val="0f1115"/>
          <w:spacing w:val="0"/>
          <w:sz w:val="24"/>
          <w:szCs w:val="24"/>
          <w:highlight w:val="none"/>
          <w:shd w:val="clear" w:color="auto" w:fill="ffffff"/>
          <w:lang w:val="en-US" w:eastAsia="zh-CN"/>
        </w:rPr>
        <w:t xml:space="preserve">后</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rPr>
          <w:rFonts w:hint="eastAsia" w:cs="宋体"/>
          <w:i w:val="0"/>
          <w:iCs w:val="0"/>
          <w:caps w:val="0"/>
          <w:color w:val="0f1115"/>
          <w:spacing w:val="0"/>
          <w:sz w:val="24"/>
          <w:szCs w:val="24"/>
          <w:highlight w:val="none"/>
          <w:shd w:val="clear" w:color="auto" w:fill="ffffff"/>
          <w:lang w:val="en-US" w:eastAsia="zh-CN"/>
        </w:rPr>
        <w:t xml:space="preserve">在</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收到乙方发票</w:t>
      </w:r>
      <w:r>
        <w:rPr>
          <w:rFonts w:hint="eastAsia" w:cs="宋体"/>
          <w:i w:val="0"/>
          <w:iCs w:val="0"/>
          <w:caps w:val="0"/>
          <w:color w:val="0f1115"/>
          <w:spacing w:val="0"/>
          <w:sz w:val="24"/>
          <w:szCs w:val="24"/>
          <w:highlight w:val="none"/>
          <w:shd w:val="clear" w:color="auto" w:fill="ffffff"/>
          <w:lang w:val="en-US" w:eastAsia="zh-CN"/>
        </w:rPr>
        <w:t xml:space="preserve">的</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10个工作日内，甲方向乙方支付合同总价的30%作为预付款</w:t>
      </w:r>
      <w:r>
        <w:rPr>
          <w:rFonts w:hint="eastAsia" w:ascii="宋体" w:hAnsi="宋体" w:eastAsia="宋体" w:cs="宋体"/>
          <w:color w:val="auto"/>
          <w:highlight w:val="none"/>
          <w:shd w:val="clear" w:color="auto" w:fill="auto"/>
          <w:lang w:val="en-US" w:eastAsia="zh-CN"/>
        </w:rPr>
        <w:t xml:space="preserve">。在签订合同时，</w:t>
      </w:r>
      <w:r>
        <w:rPr>
          <w:rFonts w:hint="eastAsia" w:cs="宋体"/>
          <w:color w:val="auto"/>
          <w:highlight w:val="none"/>
          <w:shd w:val="clear" w:color="auto" w:fill="auto"/>
          <w:lang w:val="en-US" w:eastAsia="zh-CN"/>
        </w:rPr>
        <w:t xml:space="preserve">乙方</w:t>
      </w:r>
      <w:r>
        <w:rPr>
          <w:rFonts w:hint="eastAsia" w:ascii="宋体" w:hAnsi="宋体" w:eastAsia="宋体" w:cs="宋体"/>
          <w:color w:val="auto"/>
          <w:highlight w:val="none"/>
          <w:shd w:val="clear" w:color="auto" w:fill="auto"/>
          <w:lang w:val="en-US" w:eastAsia="zh-CN"/>
        </w:rPr>
        <w:t xml:space="preserve">明确书面表示无需预付款或者主动要求降低预付款比例的，</w:t>
      </w:r>
      <w:r>
        <w:rPr>
          <w:rFonts w:hint="eastAsia" w:cs="宋体"/>
          <w:color w:val="auto"/>
          <w:highlight w:val="none"/>
          <w:shd w:val="clear" w:color="auto" w:fill="auto"/>
          <w:lang w:val="en-US" w:eastAsia="zh-CN"/>
        </w:rPr>
        <w:t xml:space="preserve">甲方</w:t>
      </w:r>
      <w:r>
        <w:rPr>
          <w:rFonts w:hint="eastAsia" w:ascii="宋体" w:hAnsi="宋体" w:eastAsia="宋体" w:cs="宋体"/>
          <w:color w:val="auto"/>
          <w:highlight w:val="none"/>
          <w:shd w:val="clear" w:color="auto" w:fill="auto"/>
          <w:lang w:val="en-US" w:eastAsia="zh-CN"/>
        </w:rPr>
        <w:t xml:space="preserve">可就预付款比例作相应调整。</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全部演出服务履行完毕且经采购人验收确认后，采购人对供应商的服务质量进行综合考核评分（以下简称“综合得分”）。采购人根据综合得分情况，在收到供应商开具的合法有效发票后10个工作日内，按下表所列标准支付剩余合同款项：</w:t>
      </w:r>
      <w:r/>
    </w:p>
    <w:tbl>
      <w:tblPr>
        <w:tblStyle w:val="8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33"/>
        <w:gridCol w:w="4635"/>
      </w:tblGrid>
      <w:tr>
        <w:trPr>
          <w:trHeight w:val="624"/>
        </w:trPr>
        <w:tc>
          <w:tcPr>
            <w:tcW w:w="2499"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综合得分区间</w:t>
            </w:r>
            <w:r/>
          </w:p>
        </w:tc>
        <w:tc>
          <w:tcPr>
            <w:tcW w:w="2500"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剩余合同款项支付比例</w:t>
            </w:r>
            <w:r/>
          </w:p>
        </w:tc>
      </w:tr>
      <w:tr>
        <w:trPr>
          <w:trHeight w:val="624"/>
        </w:trPr>
        <w:tc>
          <w:tcPr>
            <w:tcW w:w="2499"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90分（含）以上</w:t>
            </w:r>
            <w:r/>
          </w:p>
        </w:tc>
        <w:tc>
          <w:tcPr>
            <w:tcW w:w="2500"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100%</w:t>
            </w:r>
            <w:r/>
          </w:p>
        </w:tc>
      </w:tr>
      <w:tr>
        <w:trPr>
          <w:trHeight w:val="624"/>
        </w:trPr>
        <w:tc>
          <w:tcPr>
            <w:tcW w:w="2499"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80分（含）至90分（不含）</w:t>
            </w:r>
            <w:r/>
          </w:p>
        </w:tc>
        <w:tc>
          <w:tcPr>
            <w:tcW w:w="2500"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90%</w:t>
            </w:r>
            <w:r/>
          </w:p>
        </w:tc>
      </w:tr>
      <w:tr>
        <w:trPr>
          <w:trHeight w:val="673"/>
        </w:trPr>
        <w:tc>
          <w:tcPr>
            <w:tcW w:w="2499"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70分（含）至80分（不含）</w:t>
            </w:r>
            <w:r/>
          </w:p>
        </w:tc>
        <w:tc>
          <w:tcPr>
            <w:tcW w:w="2500"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80%</w:t>
            </w:r>
            <w:r/>
          </w:p>
        </w:tc>
      </w:tr>
      <w:tr>
        <w:trPr>
          <w:trHeight w:val="624"/>
        </w:trPr>
        <w:tc>
          <w:tcPr>
            <w:tcW w:w="2499"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60分（含）至70分（不含）</w:t>
            </w:r>
            <w:r/>
          </w:p>
        </w:tc>
        <w:tc>
          <w:tcPr>
            <w:tcW w:w="2500"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70%</w:t>
            </w:r>
            <w:r/>
          </w:p>
        </w:tc>
      </w:tr>
      <w:tr>
        <w:trPr>
          <w:trHeight w:val="624"/>
        </w:trPr>
        <w:tc>
          <w:tcPr>
            <w:tcW w:w="2499"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60分（不含）以下</w:t>
            </w:r>
            <w:r/>
          </w:p>
        </w:tc>
        <w:tc>
          <w:tcPr>
            <w:tcW w:w="2500" w:type="pct"/>
            <w:vAlign w:val="center"/>
            <w:textDirection w:val="lrTb"/>
            <w:noWrap w:val="false"/>
          </w:tcPr>
          <w:p>
            <w:pPr>
              <w:pStyle w:val="816"/>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0%</w:t>
            </w:r>
            <w:r/>
          </w:p>
        </w:tc>
      </w:tr>
    </w:tbl>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3、前款所称“剩余合同款项”计算公式为：剩余合同款项 = 合同总价款 − 已支付预付款，综合得分低于60分时，视为服务质量考核不合格，采购人不再支付剩余全部合同款项，且有权依据合同约定追究供应商相应违约责任。</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如因财政资金未按时拨付导致甲方迟延付款的，甲方不承担违约责任。</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《考核标准》详见</w:t>
      </w:r>
      <w:r>
        <w:rPr>
          <w:rFonts w:hint="eastAsia" w:cs="宋体"/>
          <w:color w:val="auto"/>
          <w:highlight w:val="none"/>
          <w:shd w:val="clear" w:color="auto" w:fill="auto"/>
          <w:lang w:val="en-US" w:eastAsia="zh-CN"/>
        </w:rPr>
        <w:t xml:space="preserve">附件2</w:t>
      </w:r>
      <w:r>
        <w:rPr>
          <w:rFonts w:hint="eastAsia" w:ascii="宋体" w:hAnsi="宋体" w:eastAsia="宋体" w:cs="宋体"/>
          <w:color w:val="auto"/>
          <w:highlight w:val="none"/>
          <w:shd w:val="clear" w:color="auto" w:fill="auto"/>
          <w:lang w:val="en-US" w:eastAsia="zh-CN"/>
        </w:rPr>
        <w:t xml:space="preserve">。</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注：以上付款均不计任何利息和相关费用。本项目价款一律通过银行非现金结算，款项汇入乙方账户，实行专款专用。</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九、税费</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9.1本合同执行中相关的一切税费均由乙方负担。</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十、项目验收</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10.1 甲方依法组织履约验收工作。</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10.3 对于实际使用人和甲方分离的项目，甲方邀请实际使用人参与验收。</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10.4 如有必要，甲方邀请参加本项目的其他供应商或第三方专业机构及专家参与验收，相关意见将作为验收书的参考资料。</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shd w:val="clear" w:color="auto" w:fill="auto"/>
          <w:lang w:eastAsia="zh-CN"/>
        </w:rPr>
        <w:t xml:space="preserve">中华人民共和国民法典</w:t>
      </w:r>
      <w:r>
        <w:rPr>
          <w:rFonts w:hint="eastAsia" w:ascii="宋体" w:hAnsi="宋体" w:eastAsia="宋体" w:cs="宋体"/>
          <w:color w:val="auto"/>
          <w:highlight w:val="none"/>
          <w:shd w:val="clear" w:color="auto" w:fill="auto"/>
        </w:rPr>
        <w:t xml:space="preserve">》。乙方在履约过程中有政府采购法律法规规定的违法违规情形的,甲方将及时报告本级财政部门。</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十一、违约责任</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11.1甲方无正当理由拒绝接受乙方提供的合同标的的，甲方向乙方偿付拒绝接受合同价款总值</w:t>
      </w:r>
      <w:r>
        <w:rPr>
          <w:rFonts w:hint="eastAsia" w:cs="宋体"/>
          <w:color w:val="auto"/>
          <w:highlight w:val="none"/>
          <w:u w:val="single"/>
          <w:shd w:val="clear" w:color="auto" w:fill="auto"/>
          <w:lang w:val="en-US" w:eastAsia="zh-CN"/>
        </w:rPr>
        <w:t xml:space="preserve">3%</w:t>
      </w:r>
      <w:r>
        <w:rPr>
          <w:rFonts w:hint="eastAsia" w:ascii="宋体" w:hAnsi="宋体" w:eastAsia="宋体" w:cs="宋体"/>
          <w:color w:val="auto"/>
          <w:highlight w:val="none"/>
          <w:shd w:val="clear" w:color="auto" w:fill="auto"/>
        </w:rPr>
        <w:t xml:space="preserve">的违约金。</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11.2 甲方无故逾期验收和办理合同款项支付手续的,甲方应按逾期付款总额</w:t>
      </w:r>
      <w:r>
        <w:rPr>
          <w:rFonts w:hint="eastAsia" w:cs="宋体"/>
          <w:color w:val="auto"/>
          <w:highlight w:val="none"/>
          <w:u w:val="single"/>
          <w:shd w:val="clear" w:color="auto" w:fill="auto"/>
          <w:lang w:val="en-US" w:eastAsia="zh-CN"/>
        </w:rPr>
        <w:t xml:space="preserve">0.05%</w:t>
      </w:r>
      <w:r>
        <w:rPr>
          <w:rFonts w:hint="eastAsia" w:ascii="宋体" w:hAnsi="宋体" w:eastAsia="宋体" w:cs="宋体"/>
          <w:color w:val="auto"/>
          <w:highlight w:val="none"/>
          <w:shd w:val="clear" w:color="auto" w:fill="auto"/>
        </w:rPr>
        <w:t xml:space="preserve">每日向乙方支付违约金。</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cs="宋体"/>
          <w:color w:val="auto"/>
          <w:highlight w:val="none"/>
          <w:u w:val="single"/>
          <w:shd w:val="clear" w:color="auto" w:fill="auto"/>
          <w:lang w:val="en-US" w:eastAsia="zh-CN"/>
        </w:rPr>
        <w:t xml:space="preserve">10%</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11.4 乙方交付合同标的的标准不符合合同规定及</w:t>
      </w:r>
      <w:r>
        <w:rPr>
          <w:rFonts w:hint="eastAsia" w:ascii="宋体" w:hAnsi="宋体" w:eastAsia="宋体" w:cs="宋体"/>
          <w:color w:val="auto"/>
          <w:highlight w:val="none"/>
          <w:shd w:val="clear" w:color="auto" w:fill="auto"/>
          <w:lang w:eastAsia="zh-CN"/>
        </w:rPr>
        <w:t xml:space="preserve">招标</w:t>
      </w:r>
      <w:r>
        <w:rPr>
          <w:rFonts w:hint="eastAsia" w:ascii="宋体" w:hAnsi="宋体" w:eastAsia="宋体" w:cs="宋体"/>
          <w:color w:val="auto"/>
          <w:highlight w:val="none"/>
          <w:shd w:val="clear" w:color="auto" w:fill="auto"/>
        </w:rPr>
        <w:t xml:space="preserve">文件规定标准的，甲方有权拒绝接受合同标的，并可单方面解除合同。</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十二、不可抗力事件处理</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12.1 在合同有效期内，任何一方因不可抗力事件导致不能履行合同，则合同履行期可延长，其延长期与不可抗力影响 期相同。</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12.2 不可抗力事件发生后，应立即通知对方，并寄送有关权威机构出具的证明。</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12.3 不可抗力事件延续120天以上，双方应通过友好协商，确定是否继续履行合同。</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十三、解决争议的方法</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13.1双方在签订、履行合同中所发生的一切争议，应通过友好协商解决。如协商不成，由甲方住所地人民法院管辖。</w:t>
      </w:r>
      <w:r/>
    </w:p>
    <w:p>
      <w:pPr>
        <w:pStyle w:val="816"/>
        <w:ind w:lef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十四、合同生效及其</w:t>
      </w:r>
      <w:r>
        <w:rPr>
          <w:rFonts w:hint="eastAsia" w:ascii="宋体" w:hAnsi="宋体" w:eastAsia="宋体" w:cs="宋体"/>
          <w:b/>
          <w:color w:val="auto"/>
          <w:highlight w:val="none"/>
          <w:shd w:val="clear" w:color="auto" w:fill="auto"/>
          <w:lang w:eastAsia="zh-CN"/>
        </w:rPr>
        <w:t xml:space="preserve">他</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14.1 合同经双方法定代表人或授权委托代表人签字并加盖单位公章后生效。</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14.2本合同未尽事宜，遵照《</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政府采购法》有关条文执行。</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14.3 本合同正本一式</w:t>
      </w:r>
      <w:r>
        <w:rPr>
          <w:rFonts w:hint="eastAsia" w:ascii="宋体" w:hAnsi="宋体" w:eastAsia="宋体" w:cs="宋体"/>
          <w:color w:val="auto"/>
          <w:highlight w:val="none"/>
          <w:shd w:val="clear" w:color="auto" w:fill="auto"/>
          <w:lang w:val="en-US" w:eastAsia="zh-CN"/>
        </w:rPr>
        <w:t xml:space="preserve">肆</w:t>
      </w:r>
      <w:r>
        <w:rPr>
          <w:rFonts w:hint="eastAsia" w:ascii="宋体" w:hAnsi="宋体" w:eastAsia="宋体" w:cs="宋体"/>
          <w:color w:val="auto"/>
          <w:highlight w:val="none"/>
          <w:shd w:val="clear" w:color="auto" w:fill="auto"/>
        </w:rPr>
        <w:t xml:space="preserve">份，具有同等法律效力，</w:t>
      </w:r>
      <w:r>
        <w:rPr>
          <w:rFonts w:hint="eastAsia" w:ascii="宋体" w:hAnsi="宋体" w:eastAsia="宋体" w:cs="宋体"/>
          <w:color w:val="auto"/>
          <w:highlight w:val="none"/>
          <w:shd w:val="clear" w:color="auto" w:fill="auto"/>
          <w:lang w:val="en-US" w:eastAsia="zh-CN"/>
        </w:rPr>
        <w:t xml:space="preserve">甲乙双方</w:t>
      </w:r>
      <w:r>
        <w:rPr>
          <w:rFonts w:hint="eastAsia" w:ascii="宋体" w:hAnsi="宋体" w:eastAsia="宋体" w:cs="宋体"/>
          <w:color w:val="auto"/>
          <w:highlight w:val="none"/>
          <w:shd w:val="clear" w:color="auto" w:fill="auto"/>
        </w:rPr>
        <w:t xml:space="preserve">各执</w:t>
      </w:r>
      <w:r>
        <w:rPr>
          <w:rFonts w:hint="eastAsia" w:ascii="宋体" w:hAnsi="宋体" w:eastAsia="宋体" w:cs="宋体"/>
          <w:color w:val="auto"/>
          <w:highlight w:val="none"/>
          <w:shd w:val="clear" w:color="auto" w:fill="auto"/>
          <w:lang w:val="en-US" w:eastAsia="zh-CN"/>
        </w:rPr>
        <w:t xml:space="preserve">贰</w:t>
      </w:r>
      <w:r>
        <w:rPr>
          <w:rFonts w:hint="eastAsia" w:ascii="宋体" w:hAnsi="宋体" w:eastAsia="宋体" w:cs="宋体"/>
          <w:color w:val="auto"/>
          <w:highlight w:val="none"/>
          <w:shd w:val="clear" w:color="auto" w:fill="auto"/>
        </w:rPr>
        <w:t xml:space="preserve">份。</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甲方：               乙方： </w:t>
      </w:r>
      <w:r/>
    </w:p>
    <w:p>
      <w:pPr>
        <w:pStyle w:val="816"/>
        <w:ind w:left="0"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地址：               地址： </w:t>
      </w:r>
      <w:r/>
    </w:p>
    <w:p>
      <w:pPr>
        <w:pStyle w:val="816"/>
        <w:ind w:left="0" w:firstLine="72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法定代表人或授权代表：       法定代表人或授权代表：</w:t>
      </w:r>
      <w:r/>
    </w:p>
    <w:p>
      <w:pPr>
        <w:pStyle w:val="816"/>
        <w:ind w:firstLine="72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             联系电话：          </w:t>
      </w:r>
      <w:r/>
    </w:p>
    <w:p>
      <w:pPr>
        <w:pStyle w:val="816"/>
        <w:ind w:left="0" w:firstLine="42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highlight w:val="none"/>
          <w:shd w:val="clear" w:color="auto" w:fill="auto"/>
          <w:lang w:val="en-US" w:eastAsia="zh-CN"/>
        </w:rPr>
        <w:t xml:space="preserve">        </w:t>
      </w:r>
      <w:r/>
    </w:p>
    <w:p>
      <w:pPr>
        <w:pStyle w:val="816"/>
        <w:ind w:left="0" w:firstLine="480"/>
        <w:jc w:val="right"/>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签订日期：    年    月   日</w:t>
      </w:r>
      <w:r/>
    </w:p>
    <w:p>
      <w:pPr>
        <w:rPr>
          <w:rFonts w:hint="eastAsia" w:ascii="宋体" w:hAnsi="宋体" w:eastAsia="宋体" w:cs="宋体"/>
          <w:color w:val="auto"/>
          <w:sz w:val="44"/>
          <w:szCs w:val="44"/>
          <w:lang w:val="en-US" w:eastAsia="zh-CN" w:bidi="ar-SA"/>
        </w:rPr>
      </w:pPr>
      <w:r>
        <w:rPr>
          <w:rFonts w:hint="eastAsia" w:ascii="宋体" w:hAnsi="宋体" w:eastAsia="宋体" w:cs="宋体"/>
          <w:color w:val="auto"/>
          <w:sz w:val="44"/>
          <w:szCs w:val="44"/>
          <w:lang w:val="en-US" w:eastAsia="zh-CN" w:bidi="ar-SA"/>
        </w:rPr>
        <w:br w:type="page" w:clear="all"/>
      </w:r>
      <w:r/>
    </w:p>
    <w:p>
      <w:pPr>
        <w:jc w:val="center"/>
        <w:spacing w:beforeAutospacing="0" w:afterAutospacing="0" w:line="360" w:lineRule="auto"/>
        <w:widowControl w:val="off"/>
        <w:tabs>
          <w:tab w:val="left" w:pos="2100" w:leader="none"/>
        </w:tabs>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lang w:val="en-US" w:eastAsia="zh-CN" w:bidi="ar-SA"/>
        </w:rPr>
        <w:t xml:space="preserve">第四章</w:t>
      </w:r>
      <w:r>
        <w:rPr>
          <w:rFonts w:hint="eastAsia" w:ascii="宋体" w:hAnsi="宋体" w:eastAsia="宋体" w:cs="宋体"/>
          <w:b/>
          <w:bCs/>
          <w:color w:val="auto"/>
          <w:sz w:val="44"/>
          <w:szCs w:val="44"/>
          <w:highlight w:val="none"/>
          <w:lang w:val="en-US" w:eastAsia="zh-CN"/>
        </w:rPr>
        <w:t xml:space="preserve"> </w:t>
      </w:r>
      <w:bookmarkStart w:id="151" w:name="_Toc15384"/>
      <w:r>
        <w:rPr>
          <w:rFonts w:hint="eastAsia" w:ascii="宋体" w:hAnsi="宋体" w:eastAsia="宋体" w:cs="宋体"/>
          <w:b/>
          <w:bCs/>
          <w:color w:val="auto"/>
          <w:sz w:val="44"/>
          <w:szCs w:val="44"/>
          <w:highlight w:val="none"/>
        </w:rPr>
        <w:t xml:space="preserve">项目需求</w:t>
      </w:r>
      <w:bookmarkEnd w:id="151"/>
      <w:r/>
      <w:r/>
    </w:p>
    <w:p>
      <w:pPr>
        <w:ind w:firstLine="480"/>
        <w:keepLines w:val="0"/>
        <w:keepNext w:val="0"/>
        <w:pageBreakBefore w:val="0"/>
        <w:spacing w:line="500" w:lineRule="exact"/>
        <w:widowControl w:val="off"/>
        <w:rPr>
          <w:rFonts w:hint="eastAsia" w:ascii="宋体" w:hAnsi="宋体" w:eastAsia="宋体" w:cs="宋体"/>
          <w:b/>
          <w:bCs/>
          <w:sz w:val="24"/>
        </w:rPr>
        <w:outlineLvl w:val="1"/>
      </w:pPr>
      <w:r>
        <w:rPr>
          <w:rFonts w:hint="eastAsia" w:ascii="宋体" w:hAnsi="宋体" w:eastAsia="宋体" w:cs="宋体"/>
          <w:b/>
          <w:bCs/>
          <w:sz w:val="24"/>
        </w:rPr>
        <w:t xml:space="preserve">一、项目基本情况</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项目名称：</w:t>
      </w:r>
      <w:r>
        <w:rPr>
          <w:rFonts w:hint="eastAsia" w:ascii="宋体" w:hAnsi="宋体" w:eastAsia="宋体" w:cs="宋体"/>
          <w:bCs/>
          <w:color w:val="auto"/>
          <w:sz w:val="24"/>
          <w:highlight w:val="none"/>
          <w:lang w:eastAsia="zh-CN"/>
        </w:rPr>
        <w:t xml:space="preserve">盐城市“茉莉花开·家门口赏好戏”—全省优秀舞台艺术作品和优秀群众文艺作品乡镇巡演项目</w:t>
      </w:r>
      <w:r/>
    </w:p>
    <w:p>
      <w:pPr>
        <w:ind w:firstLine="480"/>
        <w:keepLines w:val="0"/>
        <w:keepNext w:val="0"/>
        <w:pageBreakBefore w:val="0"/>
        <w:spacing w:line="500" w:lineRule="exact"/>
        <w:widowControl w:val="off"/>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项目预算：</w:t>
      </w:r>
      <w:r>
        <w:rPr>
          <w:rFonts w:hint="eastAsia" w:ascii="宋体" w:hAnsi="宋体" w:cs="宋体"/>
          <w:bCs/>
          <w:color w:val="auto"/>
          <w:sz w:val="24"/>
          <w:highlight w:val="none"/>
          <w:lang w:val="en-US" w:eastAsia="zh-CN"/>
        </w:rPr>
        <w:t xml:space="preserve">188万元（采购包1：38万元；采购包2：38万元；采购包3：38万元；采购包4：38万元；采购包5：36万元）。</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3、最高限价：各分包最高限价均为20000元/场。</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供应商的报价应包括采购人需求的所有服务，包括但不限于为提供相关服务所付出的演职人员劳务费、食宿费、交通费、服化道、舞台相关设备以及供应商认为需要的其他费用等。</w:t>
      </w:r>
      <w:r/>
    </w:p>
    <w:p>
      <w:pPr>
        <w:ind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w:t>
      </w:r>
      <w:r>
        <w:rPr>
          <w:rFonts w:hint="eastAsia" w:cs="方正仿宋_GBK" w:asciiTheme="minorEastAsia" w:hAnsiTheme="minorEastAsia" w:eastAsiaTheme="minorEastAsia"/>
          <w:bCs/>
          <w:color w:val="auto"/>
          <w:sz w:val="24"/>
          <w:highlight w:val="none"/>
        </w:rPr>
        <w:t xml:space="preserve">项目内容：为深入贯彻党中央在二十届三中全会审议通过的《中共中央关于进一步全面深化改革、推进中国式现代化的决定》精神，完善公共文化服务体系，建立优质文化资源直达基层机制，健全社会力量参与公共文化服务机制，展现近年来群众文艺发展新成果，丰富群众精神文化生活，组织开展“茉莉花开·家门口赏好戏”</w:t>
      </w:r>
      <w:r>
        <w:rPr>
          <w:rFonts w:hint="eastAsia" w:eastAsia="宋体" w:cs="方正仿宋_GBK" w:asciiTheme="minorEastAsia" w:hAnsiTheme="minorEastAsia"/>
          <w:bCs/>
          <w:color w:val="auto"/>
          <w:sz w:val="24"/>
          <w:highlight w:val="none"/>
          <w:lang w:eastAsia="zh-CN"/>
        </w:rPr>
        <w:t xml:space="preserve">全省</w:t>
      </w:r>
      <w:r>
        <w:rPr>
          <w:rFonts w:hint="eastAsia" w:cs="方正仿宋_GBK" w:asciiTheme="minorEastAsia" w:hAnsiTheme="minorEastAsia" w:eastAsiaTheme="minorEastAsia"/>
          <w:bCs/>
          <w:color w:val="auto"/>
          <w:sz w:val="24"/>
          <w:highlight w:val="none"/>
        </w:rPr>
        <w:t xml:space="preserve">优秀</w:t>
      </w:r>
      <w:r>
        <w:rPr>
          <w:rFonts w:hint="eastAsia" w:eastAsia="宋体" w:cs="方正仿宋_GBK" w:asciiTheme="minorEastAsia" w:hAnsiTheme="minorEastAsia"/>
          <w:bCs/>
          <w:color w:val="auto"/>
          <w:sz w:val="24"/>
          <w:highlight w:val="none"/>
          <w:lang w:eastAsia="zh-CN"/>
        </w:rPr>
        <w:t xml:space="preserve">舞台艺术作品和优秀</w:t>
      </w:r>
      <w:r>
        <w:rPr>
          <w:rFonts w:hint="eastAsia" w:cs="方正仿宋_GBK" w:asciiTheme="minorEastAsia" w:hAnsiTheme="minorEastAsia" w:eastAsiaTheme="minorEastAsia"/>
          <w:bCs/>
          <w:color w:val="auto"/>
          <w:sz w:val="24"/>
          <w:highlight w:val="none"/>
        </w:rPr>
        <w:t xml:space="preserve">群众文艺作品</w:t>
      </w:r>
      <w:r>
        <w:rPr>
          <w:rFonts w:hint="eastAsia" w:eastAsia="宋体" w:cs="方正仿宋_GBK" w:asciiTheme="minorEastAsia" w:hAnsiTheme="minorEastAsia"/>
          <w:bCs/>
          <w:color w:val="auto"/>
          <w:sz w:val="24"/>
          <w:highlight w:val="none"/>
          <w:lang w:eastAsia="zh-CN"/>
        </w:rPr>
        <w:t xml:space="preserve">盐城市乡镇</w:t>
      </w:r>
      <w:r>
        <w:rPr>
          <w:rFonts w:hint="eastAsia" w:cs="方正仿宋_GBK" w:asciiTheme="minorEastAsia" w:hAnsiTheme="minorEastAsia" w:eastAsiaTheme="minorEastAsia"/>
          <w:bCs/>
          <w:color w:val="auto"/>
          <w:sz w:val="24"/>
          <w:highlight w:val="none"/>
        </w:rPr>
        <w:t xml:space="preserve">巡演。现招5家演出团队进行演出服务，以包含音乐、舞蹈、戏剧、曲艺等多个门类的综合表演形式为主，对盐城市指定乡镇进行巡演，演出节目应符合乡镇实际、体现当地特色、内容健康向上、形式丰富多样、群众喜闻乐见</w:t>
      </w:r>
      <w:r>
        <w:rPr>
          <w:rFonts w:hint="eastAsia" w:ascii="宋体" w:hAnsi="宋体" w:eastAsia="宋体" w:cs="宋体"/>
          <w:bCs/>
          <w:color w:val="auto"/>
          <w:sz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二、项目实施日程安排</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项目实施分阶段推进，各阶段累计完成场次应满足以下要求：</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2026年6月30日前，累计完成不少于50场；</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2026年9月30日前，累计完成不少于80场；</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2026年11月30日前，完成全部94场。</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（注：总场次94场，各</w:t>
      </w:r>
      <w:r>
        <w:rPr>
          <w:rFonts w:hint="eastAsia" w:ascii="宋体" w:hAnsi="宋体" w:cs="宋体"/>
          <w:bCs/>
          <w:color w:val="auto"/>
          <w:sz w:val="24"/>
          <w:highlight w:val="none"/>
          <w:lang w:val="en-US" w:eastAsia="zh-CN"/>
        </w:rPr>
        <w:t xml:space="preserve">分</w:t>
      </w:r>
      <w:r>
        <w:rPr>
          <w:rFonts w:hint="eastAsia" w:ascii="宋体" w:hAnsi="宋体" w:eastAsia="宋体" w:cs="宋体"/>
          <w:bCs/>
          <w:color w:val="auto"/>
          <w:sz w:val="24"/>
          <w:highlight w:val="none"/>
          <w:lang w:val="en-US" w:eastAsia="zh-CN"/>
        </w:rPr>
        <w:t xml:space="preserve">包具体场次见附件1，供应商须按所中包号对应场次执行。）</w:t>
      </w:r>
      <w:r/>
    </w:p>
    <w:p>
      <w:pPr>
        <w:ind w:firstLine="480"/>
        <w:keepLines w:val="0"/>
        <w:keepNext w:val="0"/>
        <w:pageBreakBefore w:val="0"/>
        <w:spacing w:line="500" w:lineRule="exact"/>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三、服务内容及要求</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★1.供应商须提供采购所需的演出完整节目单及主</w:t>
      </w:r>
      <w:r>
        <w:rPr>
          <w:rFonts w:hint="eastAsia" w:ascii="宋体" w:hAnsi="宋体" w:eastAsia="宋体" w:cs="宋体"/>
          <w:bCs/>
          <w:sz w:val="24"/>
        </w:rPr>
        <w:t xml:space="preserve">要演员简介，其中演出时长不少于90分钟，以综合专场的形式进行，节目以戏曲类为主，兼顾音乐、舞蹈、小品等表演形式</w:t>
      </w:r>
      <w:r>
        <w:rPr>
          <w:rFonts w:hint="eastAsia" w:ascii="宋体" w:hAnsi="宋体" w:eastAsia="宋体" w:cs="宋体"/>
          <w:bCs/>
          <w:color w:val="auto"/>
          <w:sz w:val="24"/>
          <w:highlight w:val="none"/>
        </w:rPr>
        <w:t xml:space="preserve">，每场节目数不少于12个，</w:t>
      </w:r>
      <w:bookmarkStart w:id="178" w:name="_GoBack"/>
      <w:r>
        <w:rPr>
          <w:rFonts w:hint="eastAsia" w:ascii="宋体" w:hAnsi="宋体" w:eastAsia="宋体" w:cs="宋体"/>
          <w:bCs/>
          <w:color w:val="auto"/>
          <w:sz w:val="24"/>
          <w:highlight w:val="none"/>
        </w:rPr>
        <w:t xml:space="preserve">其中</w:t>
      </w:r>
      <w:r>
        <w:rPr>
          <w:rFonts w:hint="eastAsia" w:ascii="宋体" w:hAnsi="宋体" w:cs="宋体"/>
          <w:bCs/>
          <w:color w:val="auto"/>
          <w:sz w:val="24"/>
          <w:highlight w:val="none"/>
          <w:lang w:val="en-US" w:eastAsia="zh-CN"/>
        </w:rPr>
        <w:t xml:space="preserve">2个须</w:t>
      </w:r>
      <w:r>
        <w:rPr>
          <w:rFonts w:hint="eastAsia" w:ascii="宋体" w:hAnsi="宋体" w:eastAsia="宋体" w:cs="宋体"/>
          <w:bCs/>
          <w:color w:val="auto"/>
          <w:sz w:val="24"/>
          <w:highlight w:val="none"/>
        </w:rPr>
        <w:t xml:space="preserve">从江苏省文化和旅游厅公布的“茉莉花开·家门口赏好戏”全省优秀舞台艺术作品和优秀群众文艺作品巡演</w:t>
      </w:r>
      <w:r>
        <w:rPr>
          <w:rFonts w:hint="eastAsia" w:ascii="宋体" w:hAnsi="宋体" w:eastAsia="宋体" w:cs="宋体"/>
          <w:b/>
          <w:bCs w:val="0"/>
          <w:color w:val="auto"/>
          <w:sz w:val="24"/>
          <w:highlight w:val="none"/>
        </w:rPr>
        <w:t xml:space="preserve">节目库目录</w:t>
      </w:r>
      <w:r>
        <w:rPr>
          <w:rFonts w:hint="eastAsia" w:ascii="宋体" w:hAnsi="宋体" w:eastAsia="宋体" w:cs="宋体"/>
          <w:bCs/>
          <w:color w:val="auto"/>
          <w:sz w:val="24"/>
          <w:highlight w:val="none"/>
        </w:rPr>
        <w:t xml:space="preserve">中选取</w:t>
      </w:r>
      <w:r>
        <w:rPr>
          <w:rFonts w:hint="eastAsia" w:ascii="宋体" w:hAnsi="宋体" w:cs="宋体"/>
          <w:b w:val="0"/>
          <w:bCs/>
          <w:color w:val="auto"/>
          <w:sz w:val="24"/>
          <w:highlight w:val="none"/>
          <w:lang w:eastAsia="zh-CN"/>
        </w:rPr>
        <w:t xml:space="preserve">。</w:t>
      </w:r>
      <w:r>
        <w:rPr>
          <w:rFonts w:hint="eastAsia" w:ascii="宋体" w:hAnsi="宋体" w:eastAsia="宋体" w:cs="宋体"/>
          <w:bCs/>
          <w:color w:val="auto"/>
          <w:sz w:val="24"/>
          <w:highlight w:val="none"/>
        </w:rPr>
        <w:t xml:space="preserve">每场演出中应至少包含1个宣传廉洁文化主题的作品</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鼓励选用名家名段、省级及以上专业艺术和群众文艺获奖作品、优秀新创剧（</w:t>
      </w:r>
      <w:bookmarkEnd w:id="178"/>
      <w:r>
        <w:rPr>
          <w:rFonts w:hint="eastAsia" w:ascii="宋体" w:hAnsi="宋体" w:eastAsia="宋体" w:cs="宋体"/>
          <w:bCs/>
          <w:color w:val="auto"/>
          <w:sz w:val="24"/>
          <w:highlight w:val="none"/>
        </w:rPr>
        <w:t xml:space="preserve">节）目，支持邀请名家名角、新文艺群体以及有影响力的民间艺人和文化能人等参演，有针对性地打造节目单。</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演出完整节目单内容需由以下方面组成：</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（1）表演形式</w:t>
      </w:r>
      <w:r/>
    </w:p>
    <w:p>
      <w:pPr>
        <w:pStyle w:val="789"/>
        <w:ind w:firstLine="482"/>
        <w:jc w:val="both"/>
        <w:keepLines w:val="0"/>
        <w:keepNext w:val="0"/>
        <w:pageBreakBefore w:val="0"/>
        <w:spacing w:line="500" w:lineRule="exact"/>
        <w:widowControl w:val="off"/>
        <w:rPr>
          <w:rFonts w:hint="eastAsia" w:ascii="宋体" w:hAnsi="宋体" w:eastAsia="宋体" w:cs="宋体"/>
          <w:i/>
          <w:iCs/>
          <w:caps w:val="0"/>
          <w:color w:val="auto"/>
          <w:spacing w:val="0"/>
          <w:sz w:val="24"/>
          <w:szCs w:val="24"/>
          <w:highlight w:val="none"/>
          <w:u w:val="single"/>
          <w:shd w:val="clear" w:color="auto" w:fill="ffffff"/>
        </w:rPr>
      </w:pPr>
      <w:r>
        <w:rPr>
          <w:rFonts w:hint="eastAsia" w:ascii="宋体" w:hAnsi="宋体" w:eastAsia="宋体" w:cs="宋体"/>
          <w:i w:val="0"/>
          <w:iCs w:val="0"/>
          <w:caps w:val="0"/>
          <w:color w:val="auto"/>
          <w:spacing w:val="0"/>
          <w:sz w:val="24"/>
          <w:szCs w:val="24"/>
          <w:highlight w:val="none"/>
          <w:u w:val="none"/>
          <w:shd w:val="clear" w:color="auto" w:fill="ffffff"/>
        </w:rPr>
        <w:t xml:space="preserve">（2）节目名称（标注是否为库内节目、市级及以上获奖节目或优秀经典传统剧目）</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（3）表演人员</w:t>
      </w:r>
      <w:r/>
    </w:p>
    <w:p>
      <w:pPr>
        <w:pStyle w:val="789"/>
        <w:ind w:firstLine="482"/>
        <w:jc w:val="both"/>
        <w:keepLines w:val="0"/>
        <w:keepNext w:val="0"/>
        <w:pageBreakBefore w:val="0"/>
        <w:spacing w:line="500" w:lineRule="exact"/>
        <w:widowControl w:val="off"/>
        <w:rPr>
          <w:rStyle w:val="823"/>
          <w:rFonts w:hint="eastAsia" w:ascii="宋体" w:hAnsi="宋体" w:eastAsia="宋体" w:cs="宋体"/>
          <w:b w:val="0"/>
          <w:bCs w:val="0"/>
          <w:i/>
          <w:iCs/>
          <w:caps w:val="0"/>
          <w:color w:val="auto"/>
          <w:spacing w:val="0"/>
          <w:sz w:val="24"/>
          <w:szCs w:val="24"/>
          <w:highlight w:val="none"/>
          <w:u w:val="single"/>
          <w:shd w:val="clear" w:color="auto" w:fill="ffffff"/>
        </w:rPr>
      </w:pPr>
      <w:r>
        <w:rPr>
          <w:rStyle w:val="823"/>
          <w:rFonts w:hint="eastAsia" w:ascii="宋体" w:hAnsi="宋体" w:eastAsia="宋体" w:cs="宋体"/>
          <w:b w:val="0"/>
          <w:bCs w:val="0"/>
          <w:i/>
          <w:iCs/>
          <w:caps w:val="0"/>
          <w:color w:val="auto"/>
          <w:spacing w:val="0"/>
          <w:sz w:val="24"/>
          <w:szCs w:val="24"/>
          <w:highlight w:val="none"/>
          <w:u w:val="single"/>
          <w:shd w:val="clear" w:color="auto" w:fill="ffffff"/>
          <w:lang w:val="en-US" w:eastAsia="zh-CN"/>
        </w:rPr>
        <w:t xml:space="preserve">3</w:t>
      </w:r>
      <w:r>
        <w:rPr>
          <w:rStyle w:val="823"/>
          <w:rFonts w:hint="eastAsia" w:ascii="宋体" w:hAnsi="宋体" w:eastAsia="宋体" w:cs="宋体"/>
          <w:b w:val="0"/>
          <w:bCs w:val="0"/>
          <w:i/>
          <w:iCs/>
          <w:caps w:val="0"/>
          <w:color w:val="auto"/>
          <w:spacing w:val="0"/>
          <w:sz w:val="24"/>
          <w:szCs w:val="24"/>
          <w:highlight w:val="none"/>
          <w:u w:val="single"/>
          <w:shd w:val="clear" w:color="auto" w:fill="ffffff"/>
        </w:rPr>
        <w:t xml:space="preserve">.供应商最终的演出节目单须经采购人审核并通过，如特殊情况需要调整演出节目单，调整后的演出节目单不得低于上述标准。同时，供应商承诺每场演出的节目中，至少安排1个宣传廉洁文化主题的作品（形式不限，可为戏曲、小品、相声等），并确保该作品内容积极向上、弘扬清风正气。（投标文件中须提供</w:t>
      </w:r>
      <w:r>
        <w:rPr>
          <w:rStyle w:val="823"/>
          <w:rFonts w:hint="eastAsia" w:ascii="宋体" w:hAnsi="宋体" w:cs="宋体"/>
          <w:b w:val="0"/>
          <w:bCs w:val="0"/>
          <w:i/>
          <w:iCs/>
          <w:caps w:val="0"/>
          <w:color w:val="auto"/>
          <w:spacing w:val="0"/>
          <w:sz w:val="24"/>
          <w:szCs w:val="24"/>
          <w:highlight w:val="none"/>
          <w:u w:val="single"/>
          <w:shd w:val="clear" w:color="auto" w:fill="ffffff"/>
          <w:lang w:eastAsia="zh-CN"/>
        </w:rPr>
        <w:t xml:space="preserve">以上内容</w:t>
      </w:r>
      <w:r>
        <w:rPr>
          <w:rStyle w:val="823"/>
          <w:rFonts w:hint="eastAsia" w:ascii="宋体" w:hAnsi="宋体" w:eastAsia="宋体" w:cs="宋体"/>
          <w:b w:val="0"/>
          <w:bCs w:val="0"/>
          <w:i/>
          <w:iCs/>
          <w:caps w:val="0"/>
          <w:color w:val="auto"/>
          <w:spacing w:val="0"/>
          <w:sz w:val="24"/>
          <w:szCs w:val="24"/>
          <w:highlight w:val="none"/>
          <w:u w:val="single"/>
          <w:shd w:val="clear" w:color="auto" w:fill="ffffff"/>
        </w:rPr>
        <w:t xml:space="preserve">承诺函并加盖公章）</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供应商须在采购人规定的演出内容、时间、地点内，提前与当地文旅部门负责该项目的联系人协调对接,确认演出的具体内容、时间、地点，并在每个演出阶段前5天向采购人上报本阶段的演出计划表（具体演出内容、时间、地点），经采购人同意后方可开展演出。</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因供应商原因调整演出计划表（具体演出内容、时间、地点）的，须提前7天报当地文旅部门负责该项目的联系人和采购人，调整后的演出计划表（具体演出内容、时间、地点）以当地文旅部门负责该项目的联系人出具的签字证明材料为准，并及时报给采购人，经采购人同意后方可开展演出。</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.因非供应商原因调整演出计划表（具体演出内容、时间、地点）的，供应商须及时将当地文旅部门负责该项目的联系人出具的签字证明材料及时报给采购人，经采购人同意后方可开展演出。</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shd w:val="clear" w:color="auto" w:fill="ffffff"/>
        </w:rPr>
      </w:pPr>
      <w:r>
        <w:rPr>
          <w:rStyle w:val="823"/>
          <w:rFonts w:hint="eastAsia" w:ascii="宋体" w:hAnsi="宋体" w:eastAsia="宋体" w:cs="宋体"/>
          <w:b/>
          <w:bCs/>
          <w:i w:val="0"/>
          <w:iCs w:val="0"/>
          <w:caps w:val="0"/>
          <w:color w:val="0f1115"/>
          <w:spacing w:val="0"/>
          <w:sz w:val="24"/>
          <w:szCs w:val="24"/>
          <w:shd w:val="clear" w:color="auto" w:fill="ffffff"/>
        </w:rPr>
        <w:t xml:space="preserve">★</w:t>
      </w:r>
      <w:r>
        <w:rPr>
          <w:rStyle w:val="823"/>
          <w:rFonts w:hint="eastAsia" w:ascii="宋体" w:hAnsi="宋体" w:eastAsia="宋体" w:cs="宋体"/>
          <w:b/>
          <w:bCs/>
          <w:i w:val="0"/>
          <w:iCs w:val="0"/>
          <w:caps w:val="0"/>
          <w:color w:val="0f1115"/>
          <w:spacing w:val="0"/>
          <w:sz w:val="24"/>
          <w:szCs w:val="24"/>
          <w:shd w:val="clear" w:color="auto" w:fill="ffffff"/>
          <w:lang w:val="en-US" w:eastAsia="zh-CN"/>
        </w:rPr>
        <w:t xml:space="preserve">7</w:t>
      </w:r>
      <w:r>
        <w:rPr>
          <w:rStyle w:val="823"/>
          <w:rFonts w:hint="eastAsia" w:ascii="宋体" w:hAnsi="宋体" w:eastAsia="宋体" w:cs="宋体"/>
          <w:b/>
          <w:bCs/>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每场演出的内容必须与采购人审核并通过的节目单一致，且登台表演的演员（含演奏员）人数</w:t>
      </w:r>
      <w:r>
        <w:rPr>
          <w:rFonts w:hint="eastAsia" w:ascii="宋体" w:hAnsi="宋体" w:eastAsia="宋体" w:cs="宋体"/>
          <w:b/>
          <w:bCs/>
          <w:i w:val="0"/>
          <w:iCs w:val="0"/>
          <w:caps w:val="0"/>
          <w:color w:val="0f1115"/>
          <w:spacing w:val="0"/>
          <w:sz w:val="24"/>
          <w:szCs w:val="24"/>
          <w:shd w:val="clear" w:color="auto" w:fill="ffffff"/>
        </w:rPr>
        <w:t xml:space="preserve">不少于20人</w:t>
      </w:r>
      <w:r>
        <w:rPr>
          <w:rFonts w:hint="eastAsia" w:ascii="宋体" w:hAnsi="宋体" w:eastAsia="宋体" w:cs="宋体"/>
          <w:i w:val="0"/>
          <w:iCs w:val="0"/>
          <w:caps w:val="0"/>
          <w:color w:val="0f1115"/>
          <w:spacing w:val="0"/>
          <w:sz w:val="24"/>
          <w:szCs w:val="24"/>
          <w:shd w:val="clear" w:color="auto" w:fill="ffffff"/>
        </w:rPr>
        <w:t xml:space="preserve">。</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shd w:val="clear" w:color="auto" w:fill="ffffff"/>
        </w:rPr>
      </w:pPr>
      <w:r>
        <w:rPr>
          <w:rStyle w:val="823"/>
          <w:rFonts w:hint="eastAsia" w:ascii="宋体" w:hAnsi="宋体" w:eastAsia="宋体" w:cs="宋体"/>
          <w:b/>
          <w:bCs/>
          <w:i w:val="0"/>
          <w:iCs w:val="0"/>
          <w:caps w:val="0"/>
          <w:color w:val="0f1115"/>
          <w:spacing w:val="0"/>
          <w:sz w:val="24"/>
          <w:szCs w:val="24"/>
          <w:shd w:val="clear" w:color="auto" w:fill="ffffff"/>
        </w:rPr>
        <w:t xml:space="preserve">★</w:t>
      </w:r>
      <w:r>
        <w:rPr>
          <w:rStyle w:val="823"/>
          <w:rFonts w:hint="eastAsia" w:ascii="宋体" w:hAnsi="宋体" w:eastAsia="宋体" w:cs="宋体"/>
          <w:b/>
          <w:bCs/>
          <w:i w:val="0"/>
          <w:iCs w:val="0"/>
          <w:caps w:val="0"/>
          <w:color w:val="0f1115"/>
          <w:spacing w:val="0"/>
          <w:sz w:val="24"/>
          <w:szCs w:val="24"/>
          <w:shd w:val="clear" w:color="auto" w:fill="ffffff"/>
          <w:lang w:val="en-US" w:eastAsia="zh-CN"/>
        </w:rPr>
        <w:t xml:space="preserve">8</w:t>
      </w:r>
      <w:r>
        <w:rPr>
          <w:rStyle w:val="823"/>
          <w:rFonts w:hint="eastAsia" w:ascii="宋体" w:hAnsi="宋体" w:eastAsia="宋体" w:cs="宋体"/>
          <w:b/>
          <w:bCs/>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每场演出须提供基本的舞台保障，如不具备舞台条件的，供应商应搭建</w:t>
      </w:r>
      <w:r>
        <w:rPr>
          <w:rFonts w:hint="eastAsia" w:ascii="宋体" w:hAnsi="宋体" w:eastAsia="宋体" w:cs="宋体"/>
          <w:b/>
          <w:bCs/>
          <w:i w:val="0"/>
          <w:iCs w:val="0"/>
          <w:caps w:val="0"/>
          <w:color w:val="0f1115"/>
          <w:spacing w:val="0"/>
          <w:sz w:val="24"/>
          <w:szCs w:val="24"/>
          <w:shd w:val="clear" w:color="auto" w:fill="ffffff"/>
        </w:rPr>
        <w:t xml:space="preserve">不少于8米宽，6米深，0.8米高的舞台</w:t>
      </w:r>
      <w:r>
        <w:rPr>
          <w:rFonts w:hint="eastAsia" w:ascii="宋体" w:hAnsi="宋体" w:eastAsia="宋体" w:cs="宋体"/>
          <w:i w:val="0"/>
          <w:iCs w:val="0"/>
          <w:caps w:val="0"/>
          <w:color w:val="0f1115"/>
          <w:spacing w:val="0"/>
          <w:sz w:val="24"/>
          <w:szCs w:val="24"/>
          <w:shd w:val="clear" w:color="auto" w:fill="ffffff"/>
        </w:rPr>
        <w:t xml:space="preserve">；除常规的舞台设备保障（音响扩声系统、灯具器材等）外，还需增加电脑光束灯、LED染色灯、电脑切割灯等特效灯具器材；每场演出需提供</w:t>
      </w:r>
      <w:r>
        <w:rPr>
          <w:rFonts w:hint="eastAsia" w:ascii="宋体" w:hAnsi="宋体" w:eastAsia="宋体" w:cs="宋体"/>
          <w:b/>
          <w:bCs/>
          <w:i w:val="0"/>
          <w:iCs w:val="0"/>
          <w:caps w:val="0"/>
          <w:color w:val="0f1115"/>
          <w:spacing w:val="0"/>
          <w:sz w:val="24"/>
          <w:szCs w:val="24"/>
          <w:shd w:val="clear" w:color="auto" w:fill="ffffff"/>
        </w:rPr>
        <w:t xml:space="preserve">2台字幕机</w:t>
      </w:r>
      <w:r>
        <w:rPr>
          <w:rFonts w:hint="eastAsia" w:ascii="宋体" w:hAnsi="宋体" w:eastAsia="宋体" w:cs="宋体"/>
          <w:i w:val="0"/>
          <w:iCs w:val="0"/>
          <w:caps w:val="0"/>
          <w:color w:val="0f1115"/>
          <w:spacing w:val="0"/>
          <w:sz w:val="24"/>
          <w:szCs w:val="24"/>
          <w:shd w:val="clear" w:color="auto" w:fill="ffffff"/>
        </w:rPr>
        <w:t xml:space="preserve">，如是演出车自带大屏可根据演出车尺寸大小配备。</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lang w:val="en-US" w:eastAsia="zh-CN"/>
        </w:rPr>
        <w:t xml:space="preserve">9</w:t>
      </w:r>
      <w:r>
        <w:rPr>
          <w:rFonts w:hint="eastAsia" w:ascii="宋体" w:hAnsi="宋体" w:eastAsia="宋体" w:cs="宋体"/>
          <w:i w:val="0"/>
          <w:iCs w:val="0"/>
          <w:caps w:val="0"/>
          <w:color w:val="0f1115"/>
          <w:spacing w:val="0"/>
          <w:sz w:val="24"/>
          <w:szCs w:val="24"/>
          <w:shd w:val="clear" w:color="auto" w:fill="ffffff"/>
        </w:rPr>
        <w:t xml:space="preserve">.供应商需提供演出现场节目单及相关宣传材料（主要样式由采购人审定，具体包括但不限于海报、横幅、喷绘、易拉宝），并做好演出前期宣传推广工作。</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shd w:val="clear" w:color="auto" w:fill="ffffff"/>
        </w:rPr>
      </w:pPr>
      <w:r>
        <w:rPr>
          <w:rStyle w:val="823"/>
          <w:rFonts w:hint="eastAsia" w:ascii="宋体" w:hAnsi="宋体" w:eastAsia="宋体" w:cs="宋体"/>
          <w:b/>
          <w:bCs/>
          <w:i w:val="0"/>
          <w:iCs w:val="0"/>
          <w:caps w:val="0"/>
          <w:color w:val="0f1115"/>
          <w:spacing w:val="0"/>
          <w:sz w:val="24"/>
          <w:szCs w:val="24"/>
          <w:shd w:val="clear" w:color="auto" w:fill="ffffff"/>
        </w:rPr>
        <w:t xml:space="preserve">★</w:t>
      </w:r>
      <w:r>
        <w:rPr>
          <w:rStyle w:val="823"/>
          <w:rFonts w:hint="eastAsia" w:ascii="宋体" w:hAnsi="宋体" w:eastAsia="宋体" w:cs="宋体"/>
          <w:b/>
          <w:bCs/>
          <w:i w:val="0"/>
          <w:iCs w:val="0"/>
          <w:caps w:val="0"/>
          <w:color w:val="0f1115"/>
          <w:spacing w:val="0"/>
          <w:sz w:val="24"/>
          <w:szCs w:val="24"/>
          <w:shd w:val="clear" w:color="auto" w:fill="ffffff"/>
          <w:lang w:val="en-US" w:eastAsia="zh-CN"/>
        </w:rPr>
        <w:t xml:space="preserve">10</w:t>
      </w:r>
      <w:r>
        <w:rPr>
          <w:rStyle w:val="823"/>
          <w:rFonts w:hint="eastAsia" w:ascii="宋体" w:hAnsi="宋体" w:eastAsia="宋体" w:cs="宋体"/>
          <w:b/>
          <w:bCs/>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室外演出现场由供应商提供观众座椅</w:t>
      </w:r>
      <w:r>
        <w:rPr>
          <w:rFonts w:hint="eastAsia" w:ascii="宋体" w:hAnsi="宋体" w:eastAsia="宋体" w:cs="宋体"/>
          <w:b/>
          <w:bCs/>
          <w:i w:val="0"/>
          <w:iCs w:val="0"/>
          <w:caps w:val="0"/>
          <w:color w:val="0f1115"/>
          <w:spacing w:val="0"/>
          <w:sz w:val="24"/>
          <w:szCs w:val="24"/>
          <w:shd w:val="clear" w:color="auto" w:fill="ffffff"/>
        </w:rPr>
        <w:t xml:space="preserve">（不少于100个）</w:t>
      </w:r>
      <w:r>
        <w:rPr>
          <w:rFonts w:hint="eastAsia" w:ascii="宋体" w:hAnsi="宋体" w:eastAsia="宋体" w:cs="宋体"/>
          <w:i w:val="0"/>
          <w:iCs w:val="0"/>
          <w:caps w:val="0"/>
          <w:color w:val="0f1115"/>
          <w:spacing w:val="0"/>
          <w:sz w:val="24"/>
          <w:szCs w:val="24"/>
          <w:shd w:val="clear" w:color="auto" w:fill="ffffff"/>
        </w:rPr>
        <w:t xml:space="preserve">、与座椅数量配套的遮阳棚等便民设施，负责演出设备设施的安装调试和拆卸，演出现场椅子、遮阳棚摆放，并负责演出设备设施的运输，自行承担费用。供应商保证遵守相关法律法规规定，做好相关设备设施的安全措施及消防措施。</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rPr>
      </w:pPr>
      <w:r>
        <w:rPr>
          <w:rStyle w:val="823"/>
          <w:rFonts w:hint="eastAsia" w:ascii="宋体" w:hAnsi="宋体" w:eastAsia="宋体" w:cs="宋体"/>
          <w:b/>
          <w:bCs/>
          <w:i w:val="0"/>
          <w:iCs w:val="0"/>
          <w:caps w:val="0"/>
          <w:color w:val="0f1115"/>
          <w:spacing w:val="0"/>
          <w:sz w:val="24"/>
          <w:szCs w:val="24"/>
          <w:shd w:val="clear" w:color="auto" w:fill="ffffff"/>
        </w:rPr>
        <w:t xml:space="preserve">★1</w:t>
      </w:r>
      <w:r>
        <w:rPr>
          <w:rStyle w:val="823"/>
          <w:rFonts w:hint="eastAsia" w:ascii="宋体" w:hAnsi="宋体" w:eastAsia="宋体" w:cs="宋体"/>
          <w:b/>
          <w:bCs/>
          <w:i w:val="0"/>
          <w:iCs w:val="0"/>
          <w:caps w:val="0"/>
          <w:color w:val="0f1115"/>
          <w:spacing w:val="0"/>
          <w:sz w:val="24"/>
          <w:szCs w:val="24"/>
          <w:shd w:val="clear" w:color="auto" w:fill="ffffff"/>
          <w:lang w:val="en-US" w:eastAsia="zh-CN"/>
        </w:rPr>
        <w:t xml:space="preserve">1</w:t>
      </w:r>
      <w:r>
        <w:rPr>
          <w:rStyle w:val="823"/>
          <w:rFonts w:hint="eastAsia" w:ascii="宋体" w:hAnsi="宋体" w:eastAsia="宋体" w:cs="宋体"/>
          <w:b/>
          <w:bCs/>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供应商须创建自己团队的微博、抖音账号，演出内容、时间、地点确定后，供应商须制作电子节目单，在演出前3日</w:t>
      </w:r>
      <w:r>
        <w:rPr>
          <w:rFonts w:hint="eastAsia" w:ascii="宋体" w:hAnsi="宋体" w:eastAsia="宋体" w:cs="宋体"/>
          <w:b w:val="0"/>
          <w:bCs w:val="0"/>
          <w:i w:val="0"/>
          <w:iCs w:val="0"/>
          <w:caps w:val="0"/>
          <w:color w:val="0f1115"/>
          <w:spacing w:val="0"/>
          <w:sz w:val="24"/>
          <w:szCs w:val="24"/>
          <w:shd w:val="clear" w:color="auto" w:fill="ffffff"/>
        </w:rPr>
        <w:t xml:space="preserve">将电子节目单在新媒体上发布出去，并发给当地文旅部门负责该项目的联系人，做好演出宣传推广工作。每场演出后在指定话题内（话题由采购人提供）制作并推送微博及抖音话题</w:t>
      </w:r>
      <w:r>
        <w:rPr>
          <w:rFonts w:hint="eastAsia" w:ascii="宋体" w:hAnsi="宋体" w:eastAsia="宋体" w:cs="宋体"/>
          <w:b/>
          <w:bCs/>
          <w:i w:val="0"/>
          <w:iCs w:val="0"/>
          <w:caps w:val="0"/>
          <w:color w:val="0f1115"/>
          <w:spacing w:val="0"/>
          <w:sz w:val="24"/>
          <w:szCs w:val="24"/>
          <w:shd w:val="clear" w:color="auto" w:fill="ffffff"/>
        </w:rPr>
        <w:t xml:space="preserve">不少于3条</w:t>
      </w:r>
      <w:r>
        <w:rPr>
          <w:rFonts w:hint="eastAsia" w:ascii="宋体" w:hAnsi="宋体" w:eastAsia="宋体" w:cs="宋体"/>
          <w:b w:val="0"/>
          <w:bCs w:val="0"/>
          <w:i w:val="0"/>
          <w:iCs w:val="0"/>
          <w:caps w:val="0"/>
          <w:color w:val="0f1115"/>
          <w:spacing w:val="0"/>
          <w:sz w:val="24"/>
          <w:szCs w:val="24"/>
          <w:shd w:val="clear" w:color="auto" w:fill="ffffff"/>
        </w:rPr>
        <w:t xml:space="preserve">；相关演出剧照</w:t>
      </w:r>
      <w:r>
        <w:rPr>
          <w:rFonts w:hint="eastAsia" w:ascii="宋体" w:hAnsi="宋体" w:eastAsia="宋体" w:cs="宋体"/>
          <w:b/>
          <w:bCs/>
          <w:i w:val="0"/>
          <w:iCs w:val="0"/>
          <w:caps w:val="0"/>
          <w:color w:val="0f1115"/>
          <w:spacing w:val="0"/>
          <w:sz w:val="24"/>
          <w:szCs w:val="24"/>
          <w:shd w:val="clear" w:color="auto" w:fill="ffffff"/>
        </w:rPr>
        <w:t xml:space="preserve">10张</w:t>
      </w:r>
      <w:r>
        <w:rPr>
          <w:rFonts w:hint="eastAsia" w:ascii="宋体" w:hAnsi="宋体" w:eastAsia="宋体" w:cs="宋体"/>
          <w:b w:val="0"/>
          <w:bCs w:val="0"/>
          <w:i w:val="0"/>
          <w:iCs w:val="0"/>
          <w:caps w:val="0"/>
          <w:color w:val="0f1115"/>
          <w:spacing w:val="0"/>
          <w:sz w:val="24"/>
          <w:szCs w:val="24"/>
          <w:shd w:val="clear" w:color="auto" w:fill="ffffff"/>
        </w:rPr>
        <w:t xml:space="preserve">：不少于以下4个规定角度：①观众席最后一排正位拍摄，包括所有观众、演员、主背景；②舞</w:t>
      </w:r>
      <w:r>
        <w:rPr>
          <w:rFonts w:hint="eastAsia" w:ascii="宋体" w:hAnsi="宋体" w:eastAsia="宋体" w:cs="宋体"/>
          <w:b w:val="0"/>
          <w:bCs w:val="0"/>
          <w:i w:val="0"/>
          <w:iCs w:val="0"/>
          <w:caps w:val="0"/>
          <w:color w:val="auto"/>
          <w:spacing w:val="0"/>
          <w:sz w:val="24"/>
          <w:szCs w:val="24"/>
          <w:highlight w:val="none"/>
          <w:shd w:val="clear" w:color="auto" w:fill="ffffff"/>
        </w:rPr>
        <w:t xml:space="preserve">台上场门45°角拍摄，包括演员、所有观众；③舞台下场门45°角拍摄，包括演员、所有观众；④观众席第一排向后方拍摄，包括所有观众；以及每场演出</w:t>
      </w:r>
      <w:r>
        <w:rPr>
          <w:rFonts w:hint="eastAsia" w:ascii="宋体" w:hAnsi="宋体" w:eastAsia="宋体" w:cs="宋体"/>
          <w:b/>
          <w:bCs/>
          <w:i w:val="0"/>
          <w:iCs w:val="0"/>
          <w:caps w:val="0"/>
          <w:color w:val="auto"/>
          <w:spacing w:val="0"/>
          <w:sz w:val="24"/>
          <w:szCs w:val="24"/>
          <w:highlight w:val="none"/>
          <w:shd w:val="clear" w:color="auto" w:fill="ffffff"/>
        </w:rPr>
        <w:t xml:space="preserve">完整视频的录像</w:t>
      </w:r>
      <w:r>
        <w:rPr>
          <w:rFonts w:hint="eastAsia" w:ascii="宋体" w:hAnsi="宋体" w:eastAsia="宋体" w:cs="宋体"/>
          <w:b w:val="0"/>
          <w:bCs w:val="0"/>
          <w:i w:val="0"/>
          <w:iCs w:val="0"/>
          <w:caps w:val="0"/>
          <w:color w:val="auto"/>
          <w:spacing w:val="0"/>
          <w:sz w:val="24"/>
          <w:szCs w:val="24"/>
          <w:highlight w:val="none"/>
          <w:shd w:val="clear" w:color="auto" w:fill="ffffff"/>
        </w:rPr>
        <w:t xml:space="preserve">（观众席最后一排，单机位，一镜到底、不可剪辑），且必</w:t>
      </w:r>
      <w:r>
        <w:rPr>
          <w:rFonts w:hint="eastAsia" w:ascii="宋体" w:hAnsi="宋体" w:eastAsia="宋体" w:cs="宋体"/>
          <w:i w:val="0"/>
          <w:iCs w:val="0"/>
          <w:caps w:val="0"/>
          <w:color w:val="auto"/>
          <w:spacing w:val="0"/>
          <w:sz w:val="24"/>
          <w:szCs w:val="24"/>
          <w:highlight w:val="none"/>
          <w:shd w:val="clear" w:color="auto" w:fill="ffffff"/>
        </w:rPr>
        <w:t xml:space="preserve">须在录像中明确体现具体时间地点，并留存现场观众满意度调查相关材料。</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shd w:val="clear" w:color="auto" w:fill="ffffff"/>
        </w:rPr>
      </w:pPr>
      <w:r>
        <w:rPr>
          <w:rStyle w:val="823"/>
          <w:rFonts w:hint="eastAsia" w:ascii="宋体" w:hAnsi="宋体" w:eastAsia="宋体" w:cs="宋体"/>
          <w:b/>
          <w:bCs/>
          <w:i w:val="0"/>
          <w:iCs w:val="0"/>
          <w:caps w:val="0"/>
          <w:color w:val="0f1115"/>
          <w:spacing w:val="0"/>
          <w:sz w:val="24"/>
          <w:szCs w:val="24"/>
          <w:shd w:val="clear" w:color="auto" w:fill="ffffff"/>
        </w:rPr>
        <w:t xml:space="preserve">1</w:t>
      </w:r>
      <w:r>
        <w:rPr>
          <w:rStyle w:val="823"/>
          <w:rFonts w:hint="eastAsia" w:ascii="宋体" w:hAnsi="宋体" w:eastAsia="宋体" w:cs="宋体"/>
          <w:b/>
          <w:bCs/>
          <w:i w:val="0"/>
          <w:iCs w:val="0"/>
          <w:caps w:val="0"/>
          <w:color w:val="0f1115"/>
          <w:spacing w:val="0"/>
          <w:sz w:val="24"/>
          <w:szCs w:val="24"/>
          <w:shd w:val="clear" w:color="auto" w:fill="ffffff"/>
          <w:lang w:val="en-US" w:eastAsia="zh-CN"/>
        </w:rPr>
        <w:t xml:space="preserve">2</w:t>
      </w:r>
      <w:r>
        <w:rPr>
          <w:rStyle w:val="823"/>
          <w:rFonts w:hint="eastAsia" w:ascii="宋体" w:hAnsi="宋体" w:eastAsia="宋体" w:cs="宋体"/>
          <w:b/>
          <w:bCs/>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供应商中标后，采购人会组织专家对供应商即将演出的节目进行现场指导，如专家对节目的形式、内容、表演等方面提出修改意见，供应商需按专家的意见对节目进行修改加工，方可进行正式巡演。</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shd w:val="clear" w:color="auto" w:fill="ffffff"/>
        </w:rPr>
      </w:pPr>
      <w:r>
        <w:rPr>
          <w:rStyle w:val="823"/>
          <w:rFonts w:hint="eastAsia" w:ascii="宋体" w:hAnsi="宋体" w:eastAsia="宋体" w:cs="宋体"/>
          <w:b/>
          <w:bCs/>
          <w:i w:val="0"/>
          <w:iCs w:val="0"/>
          <w:caps w:val="0"/>
          <w:color w:val="0f1115"/>
          <w:spacing w:val="0"/>
          <w:sz w:val="24"/>
          <w:szCs w:val="24"/>
          <w:shd w:val="clear" w:color="auto" w:fill="ffffff"/>
        </w:rPr>
        <w:t xml:space="preserve">★1</w:t>
      </w:r>
      <w:r>
        <w:rPr>
          <w:rStyle w:val="823"/>
          <w:rFonts w:hint="eastAsia" w:ascii="宋体" w:hAnsi="宋体" w:eastAsia="宋体" w:cs="宋体"/>
          <w:b/>
          <w:bCs/>
          <w:i w:val="0"/>
          <w:iCs w:val="0"/>
          <w:caps w:val="0"/>
          <w:color w:val="0f1115"/>
          <w:spacing w:val="0"/>
          <w:sz w:val="24"/>
          <w:szCs w:val="24"/>
          <w:shd w:val="clear" w:color="auto" w:fill="ffffff"/>
          <w:lang w:val="en-US" w:eastAsia="zh-CN"/>
        </w:rPr>
        <w:t xml:space="preserve">3</w:t>
      </w:r>
      <w:r>
        <w:rPr>
          <w:rStyle w:val="823"/>
          <w:rFonts w:hint="eastAsia" w:ascii="宋体" w:hAnsi="宋体" w:eastAsia="宋体" w:cs="宋体"/>
          <w:b/>
          <w:bCs/>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供应商需在中标后入驻</w:t>
      </w:r>
      <w:r>
        <w:rPr>
          <w:rFonts w:hint="eastAsia" w:ascii="宋体" w:hAnsi="宋体" w:eastAsia="宋体" w:cs="宋体"/>
          <w:b/>
          <w:bCs/>
          <w:i w:val="0"/>
          <w:iCs w:val="0"/>
          <w:caps w:val="0"/>
          <w:color w:val="0f1115"/>
          <w:spacing w:val="0"/>
          <w:sz w:val="24"/>
          <w:szCs w:val="24"/>
          <w:shd w:val="clear" w:color="auto" w:fill="ffffff"/>
        </w:rPr>
        <w:t xml:space="preserve">江苏公共文化云平台</w:t>
      </w:r>
      <w:r>
        <w:rPr>
          <w:rFonts w:hint="eastAsia" w:ascii="宋体" w:hAnsi="宋体" w:eastAsia="宋体" w:cs="宋体"/>
          <w:i w:val="0"/>
          <w:iCs w:val="0"/>
          <w:caps w:val="0"/>
          <w:color w:val="0f1115"/>
          <w:spacing w:val="0"/>
          <w:sz w:val="24"/>
          <w:szCs w:val="24"/>
          <w:shd w:val="clear" w:color="auto" w:fill="ffffff"/>
        </w:rPr>
        <w:t xml:space="preserve">，将相关演出信息（演员、节目介绍，演出时间、地点发布，演出照片、视频等材料）上传平台。</w:t>
      </w:r>
      <w:r/>
    </w:p>
    <w:p>
      <w:pPr>
        <w:pStyle w:val="789"/>
        <w:ind w:firstLine="482"/>
        <w:jc w:val="both"/>
        <w:keepLines w:val="0"/>
        <w:keepNext w:val="0"/>
        <w:pageBreakBefore w:val="0"/>
        <w:spacing w:line="500" w:lineRule="exact"/>
        <w:widowControl w:val="off"/>
        <w:rPr>
          <w:rStyle w:val="823"/>
          <w:rFonts w:hint="eastAsia" w:ascii="宋体" w:hAnsi="宋体" w:eastAsia="宋体" w:cs="宋体"/>
          <w:b/>
          <w:bCs/>
          <w:i/>
          <w:iCs/>
          <w:caps w:val="0"/>
          <w:color w:val="0f1115"/>
          <w:spacing w:val="0"/>
          <w:sz w:val="24"/>
          <w:szCs w:val="24"/>
          <w:u w:val="single"/>
          <w:shd w:val="clear" w:color="auto" w:fill="ffffff"/>
        </w:rPr>
      </w:pPr>
      <w:r>
        <w:rPr>
          <w:rStyle w:val="823"/>
          <w:rFonts w:hint="eastAsia" w:ascii="宋体" w:hAnsi="宋体" w:eastAsia="宋体" w:cs="宋体"/>
          <w:b/>
          <w:bCs/>
          <w:i/>
          <w:iCs/>
          <w:caps w:val="0"/>
          <w:color w:val="0f1115"/>
          <w:spacing w:val="0"/>
          <w:sz w:val="24"/>
          <w:szCs w:val="24"/>
          <w:u w:val="single"/>
          <w:shd w:val="clear" w:color="auto" w:fill="ffffff"/>
        </w:rPr>
        <w:t xml:space="preserve">1</w:t>
      </w:r>
      <w:r>
        <w:rPr>
          <w:rStyle w:val="823"/>
          <w:rFonts w:hint="eastAsia" w:ascii="宋体" w:hAnsi="宋体" w:eastAsia="宋体" w:cs="宋体"/>
          <w:b/>
          <w:bCs/>
          <w:i/>
          <w:iCs/>
          <w:caps w:val="0"/>
          <w:color w:val="0f1115"/>
          <w:spacing w:val="0"/>
          <w:sz w:val="24"/>
          <w:szCs w:val="24"/>
          <w:u w:val="single"/>
          <w:shd w:val="clear" w:color="auto" w:fill="ffffff"/>
          <w:lang w:val="en-US" w:eastAsia="zh-CN"/>
        </w:rPr>
        <w:t xml:space="preserve">4</w:t>
      </w:r>
      <w:r>
        <w:rPr>
          <w:rStyle w:val="823"/>
          <w:rFonts w:hint="eastAsia" w:ascii="宋体" w:hAnsi="宋体" w:eastAsia="宋体" w:cs="宋体"/>
          <w:b/>
          <w:bCs/>
          <w:i/>
          <w:iCs/>
          <w:caps w:val="0"/>
          <w:color w:val="0f1115"/>
          <w:spacing w:val="0"/>
          <w:sz w:val="24"/>
          <w:szCs w:val="24"/>
          <w:u w:val="single"/>
          <w:shd w:val="clear" w:color="auto" w:fill="ffffff"/>
        </w:rPr>
        <w:t xml:space="preserve">.</w:t>
      </w:r>
      <w:r>
        <w:rPr>
          <w:rFonts w:hint="eastAsia" w:ascii="宋体" w:hAnsi="宋体" w:eastAsia="宋体" w:cs="宋体"/>
          <w:i/>
          <w:iCs/>
          <w:caps w:val="0"/>
          <w:color w:val="0f1115"/>
          <w:spacing w:val="0"/>
          <w:sz w:val="24"/>
          <w:szCs w:val="24"/>
          <w:u w:val="single"/>
          <w:shd w:val="clear" w:color="auto" w:fill="ffffff"/>
        </w:rPr>
        <w:t xml:space="preserve">供应商承诺其策划和实施的演出内容、主持词、背景视频、宣传物料等演出相关方面，无意识形态问题，不侵犯他人的权益；供应商对演出过程中所采用的图片、音像制品、数据、文字等所有资料的出处及准确度、合法性负责，上述资料所引起的法律纠纷由供应商负责解决，并承担全部责任和费用。若因此给采购人造成损失（包括但不限于第三方索赔损失等）的，由供应商承担赔偿责任。（投标文件中须提供</w:t>
      </w:r>
      <w:r>
        <w:rPr>
          <w:rFonts w:hint="eastAsia" w:ascii="宋体" w:hAnsi="宋体" w:eastAsia="宋体" w:cs="宋体"/>
          <w:i/>
          <w:iCs/>
          <w:caps w:val="0"/>
          <w:color w:val="0f1115"/>
          <w:spacing w:val="0"/>
          <w:sz w:val="24"/>
          <w:szCs w:val="24"/>
          <w:u w:val="single"/>
          <w:shd w:val="clear" w:color="auto" w:fill="ffffff"/>
          <w:lang w:eastAsia="zh-CN"/>
        </w:rPr>
        <w:t xml:space="preserve">以上内容</w:t>
      </w:r>
      <w:r>
        <w:rPr>
          <w:rFonts w:hint="eastAsia" w:ascii="宋体" w:hAnsi="宋体" w:eastAsia="宋体" w:cs="宋体"/>
          <w:i/>
          <w:iCs/>
          <w:caps w:val="0"/>
          <w:color w:val="0f1115"/>
          <w:spacing w:val="0"/>
          <w:sz w:val="24"/>
          <w:szCs w:val="24"/>
          <w:u w:val="single"/>
          <w:shd w:val="clear" w:color="auto" w:fill="ffffff"/>
        </w:rPr>
        <w:t xml:space="preserve">承诺函并加盖公章）</w:t>
      </w:r>
      <w:r/>
    </w:p>
    <w:p>
      <w:pPr>
        <w:pStyle w:val="789"/>
        <w:ind w:firstLine="482"/>
        <w:jc w:val="both"/>
        <w:keepLines w:val="0"/>
        <w:keepNext w:val="0"/>
        <w:pageBreakBefore w:val="0"/>
        <w:spacing w:line="500" w:lineRule="exact"/>
        <w:widowControl w:val="off"/>
        <w:rPr>
          <w:rStyle w:val="823"/>
          <w:rFonts w:hint="eastAsia" w:ascii="宋体" w:hAnsi="宋体" w:eastAsia="宋体" w:cs="宋体"/>
          <w:b/>
          <w:bCs/>
          <w:i/>
          <w:iCs/>
          <w:caps w:val="0"/>
          <w:color w:val="auto"/>
          <w:spacing w:val="0"/>
          <w:sz w:val="24"/>
          <w:szCs w:val="24"/>
          <w:highlight w:val="none"/>
          <w:u w:val="single"/>
          <w:shd w:val="clear" w:color="auto" w:fill="ffffff"/>
        </w:rPr>
      </w:pPr>
      <w:r>
        <w:rPr>
          <w:rStyle w:val="823"/>
          <w:rFonts w:hint="eastAsia" w:ascii="宋体" w:hAnsi="宋体" w:eastAsia="宋体" w:cs="宋体"/>
          <w:b/>
          <w:bCs/>
          <w:i/>
          <w:iCs/>
          <w:caps w:val="0"/>
          <w:color w:val="0f1115"/>
          <w:spacing w:val="0"/>
          <w:sz w:val="24"/>
          <w:szCs w:val="24"/>
          <w:u w:val="single"/>
          <w:shd w:val="clear" w:color="auto" w:fill="ffffff"/>
        </w:rPr>
        <w:t xml:space="preserve">1</w:t>
      </w:r>
      <w:r>
        <w:rPr>
          <w:rStyle w:val="823"/>
          <w:rFonts w:hint="eastAsia" w:ascii="宋体" w:hAnsi="宋体" w:eastAsia="宋体" w:cs="宋体"/>
          <w:b/>
          <w:bCs/>
          <w:i/>
          <w:iCs/>
          <w:caps w:val="0"/>
          <w:color w:val="0f1115"/>
          <w:spacing w:val="0"/>
          <w:sz w:val="24"/>
          <w:szCs w:val="24"/>
          <w:u w:val="single"/>
          <w:shd w:val="clear" w:color="auto" w:fill="ffffff"/>
          <w:lang w:val="en-US" w:eastAsia="zh-CN"/>
        </w:rPr>
        <w:t xml:space="preserve">5</w:t>
      </w:r>
      <w:r>
        <w:rPr>
          <w:rStyle w:val="823"/>
          <w:rFonts w:hint="eastAsia" w:ascii="宋体" w:hAnsi="宋体" w:eastAsia="宋体" w:cs="宋体"/>
          <w:b/>
          <w:bCs/>
          <w:i/>
          <w:iCs/>
          <w:caps w:val="0"/>
          <w:color w:val="0f1115"/>
          <w:spacing w:val="0"/>
          <w:sz w:val="24"/>
          <w:szCs w:val="24"/>
          <w:u w:val="single"/>
          <w:shd w:val="clear" w:color="auto" w:fill="ffffff"/>
        </w:rPr>
        <w:t xml:space="preserve">.</w:t>
      </w:r>
      <w:r>
        <w:rPr>
          <w:rFonts w:hint="eastAsia" w:ascii="宋体" w:hAnsi="宋体" w:eastAsia="宋体" w:cs="宋体"/>
          <w:i/>
          <w:iCs/>
          <w:caps w:val="0"/>
          <w:color w:val="0f1115"/>
          <w:spacing w:val="0"/>
          <w:sz w:val="24"/>
          <w:szCs w:val="24"/>
          <w:u w:val="single"/>
          <w:shd w:val="clear" w:color="auto" w:fill="ffffff"/>
        </w:rPr>
        <w:t xml:space="preserve">供应商应取得本次演出涉及的所有人员关于摄像、录音、录像及制作、使用相应制品的同意授权。如需支付费用，供应商自行承担，且该费用均已包含在本合同的演出费用中，采购人无需支付任何费用。如因供应商未取得相关权利人的授权或支付费用，致使采购人无法行使摄像、录音、录像制品相关权利或行使权利受到阻碍，或</w:t>
      </w:r>
      <w:r>
        <w:rPr>
          <w:rFonts w:hint="eastAsia" w:ascii="宋体" w:hAnsi="宋体" w:eastAsia="宋体" w:cs="宋体"/>
          <w:i/>
          <w:iCs/>
          <w:caps w:val="0"/>
          <w:color w:val="auto"/>
          <w:spacing w:val="0"/>
          <w:sz w:val="24"/>
          <w:szCs w:val="24"/>
          <w:highlight w:val="none"/>
          <w:u w:val="single"/>
          <w:shd w:val="clear" w:color="auto" w:fill="ffffff"/>
        </w:rPr>
        <w:t xml:space="preserve">因上述行为遭受侵权追究或因此遭受损失时，供应商应承担全部赔偿责任。（投标文件中须提供</w:t>
      </w:r>
      <w:r>
        <w:rPr>
          <w:rFonts w:hint="eastAsia" w:ascii="宋体" w:hAnsi="宋体" w:eastAsia="宋体" w:cs="宋体"/>
          <w:i/>
          <w:iCs/>
          <w:caps w:val="0"/>
          <w:color w:val="auto"/>
          <w:spacing w:val="0"/>
          <w:sz w:val="24"/>
          <w:szCs w:val="24"/>
          <w:highlight w:val="none"/>
          <w:u w:val="single"/>
          <w:shd w:val="clear" w:color="auto" w:fill="ffffff"/>
          <w:lang w:eastAsia="zh-CN"/>
        </w:rPr>
        <w:t xml:space="preserve">以上内容</w:t>
      </w:r>
      <w:r>
        <w:rPr>
          <w:rFonts w:hint="eastAsia" w:ascii="宋体" w:hAnsi="宋体" w:eastAsia="宋体" w:cs="宋体"/>
          <w:i/>
          <w:iCs/>
          <w:caps w:val="0"/>
          <w:color w:val="auto"/>
          <w:spacing w:val="0"/>
          <w:sz w:val="24"/>
          <w:szCs w:val="24"/>
          <w:highlight w:val="none"/>
          <w:u w:val="single"/>
          <w:shd w:val="clear" w:color="auto" w:fill="ffffff"/>
        </w:rPr>
        <w:t xml:space="preserve">承诺函并加盖公章）</w:t>
      </w:r>
      <w:r/>
    </w:p>
    <w:p>
      <w:pPr>
        <w:ind w:firstLine="480"/>
        <w:keepLines w:val="0"/>
        <w:keepNext w:val="0"/>
        <w:pageBreakBefore w:val="0"/>
        <w:spacing w:line="500" w:lineRule="exact"/>
        <w:widowControl w:val="off"/>
        <w:rPr>
          <w:rFonts w:hint="default" w:ascii="宋体" w:hAnsi="宋体" w:eastAsia="宋体" w:cs="宋体"/>
          <w:b w:val="0"/>
          <w:bCs w:val="0"/>
          <w:i w:val="0"/>
          <w:iCs w:val="0"/>
          <w:color w:val="auto"/>
          <w:sz w:val="24"/>
          <w:highlight w:val="none"/>
          <w:u w:val="none"/>
          <w:lang w:val="en-US" w:eastAsia="zh-CN"/>
        </w:rPr>
        <w:outlineLvl w:val="1"/>
      </w:pPr>
      <w:r>
        <w:rPr>
          <w:rFonts w:hint="eastAsia" w:ascii="宋体" w:hAnsi="宋体" w:cs="宋体"/>
          <w:b w:val="0"/>
          <w:bCs w:val="0"/>
          <w:i w:val="0"/>
          <w:iCs w:val="0"/>
          <w:color w:val="auto"/>
          <w:sz w:val="24"/>
          <w:highlight w:val="none"/>
          <w:u w:val="none"/>
          <w:lang w:val="en-US" w:eastAsia="zh-CN"/>
        </w:rPr>
        <w:t xml:space="preserve">★16.供应商应主动与各乡镇所属文旅部门对接，落实演出所涉及的场地、电源、观众组织、现场秩序维护、场地清理等事宜。如需乡镇协助提供上述服务的，供应商应给予乡镇适当补助，补助费用由双方自行协商，但供应商须将可能发生的补助费用纳入投标报价中。采购人除按合同约定支付服务费用外，不再承担任何与乡镇补助相关的费用。</w:t>
      </w:r>
      <w:r/>
    </w:p>
    <w:p>
      <w:pPr>
        <w:ind w:firstLine="480"/>
        <w:keepLines w:val="0"/>
        <w:keepNext w:val="0"/>
        <w:pageBreakBefore w:val="0"/>
        <w:spacing w:line="500" w:lineRule="exact"/>
        <w:widowControl w:val="off"/>
        <w:rPr>
          <w:rFonts w:hint="eastAsia" w:ascii="宋体" w:hAnsi="宋体" w:eastAsia="宋体" w:cs="宋体"/>
          <w:b w:val="0"/>
          <w:bCs w:val="0"/>
          <w:i/>
          <w:iCs/>
          <w:sz w:val="24"/>
          <w:u w:val="single"/>
        </w:rPr>
        <w:outlineLvl w:val="1"/>
      </w:pPr>
      <w:r>
        <w:rPr>
          <w:rFonts w:hint="eastAsia" w:ascii="宋体" w:hAnsi="宋体" w:eastAsia="宋体" w:cs="宋体"/>
          <w:b w:val="0"/>
          <w:bCs w:val="0"/>
          <w:i/>
          <w:iCs/>
          <w:sz w:val="24"/>
          <w:u w:val="single"/>
        </w:rPr>
        <w:t xml:space="preserve">本招标文件中斜体且有下划线部分及标记★的条款均为实质性要求和条件，其中斜体且有下划线部分须按条款要求提供承诺函或证明材料，仅标记★的条款在技术偏离表中响应即可。</w:t>
      </w:r>
      <w:r/>
    </w:p>
    <w:p>
      <w:pPr>
        <w:ind w:firstLine="480"/>
        <w:keepLines w:val="0"/>
        <w:keepNext w:val="0"/>
        <w:pageBreakBefore w:val="0"/>
        <w:spacing w:line="500" w:lineRule="exact"/>
        <w:widowControl w:val="off"/>
        <w:rPr>
          <w:rFonts w:hint="eastAsia" w:ascii="宋体" w:hAnsi="宋体" w:eastAsia="宋体" w:cs="宋体"/>
          <w:b/>
          <w:bCs/>
          <w:sz w:val="24"/>
        </w:rPr>
        <w:outlineLvl w:val="1"/>
      </w:pPr>
      <w:r>
        <w:rPr>
          <w:rFonts w:hint="eastAsia" w:ascii="宋体" w:hAnsi="宋体" w:eastAsia="宋体" w:cs="宋体"/>
          <w:b/>
          <w:bCs/>
          <w:sz w:val="24"/>
        </w:rPr>
        <w:t xml:space="preserve">四、付款方式</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highlight w:val="yellow"/>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1、预付款</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：合同签订</w:t>
      </w:r>
      <w:r>
        <w:rPr>
          <w:rFonts w:hint="eastAsia" w:cs="宋体"/>
          <w:i w:val="0"/>
          <w:iCs w:val="0"/>
          <w:caps w:val="0"/>
          <w:color w:val="0f1115"/>
          <w:spacing w:val="0"/>
          <w:sz w:val="24"/>
          <w:szCs w:val="24"/>
          <w:highlight w:val="none"/>
          <w:shd w:val="clear" w:color="auto" w:fill="ffffff"/>
          <w:lang w:val="en-US" w:eastAsia="zh-CN"/>
        </w:rPr>
        <w:t xml:space="preserve">后</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w:t>
      </w:r>
      <w:r>
        <w:rPr>
          <w:rFonts w:hint="eastAsia" w:cs="宋体"/>
          <w:i w:val="0"/>
          <w:iCs w:val="0"/>
          <w:caps w:val="0"/>
          <w:color w:val="0f1115"/>
          <w:spacing w:val="0"/>
          <w:sz w:val="24"/>
          <w:szCs w:val="24"/>
          <w:highlight w:val="none"/>
          <w:shd w:val="clear" w:color="auto" w:fill="ffffff"/>
          <w:lang w:val="en-US" w:eastAsia="zh-CN"/>
        </w:rPr>
        <w:t xml:space="preserve">在</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收到</w:t>
      </w:r>
      <w:r>
        <w:rPr>
          <w:rFonts w:hint="eastAsia" w:ascii="宋体" w:hAnsi="宋体" w:cs="宋体"/>
          <w:i w:val="0"/>
          <w:iCs w:val="0"/>
          <w:caps w:val="0"/>
          <w:color w:val="0f1115"/>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发票</w:t>
      </w:r>
      <w:r>
        <w:rPr>
          <w:rFonts w:hint="eastAsia" w:cs="宋体"/>
          <w:i w:val="0"/>
          <w:iCs w:val="0"/>
          <w:caps w:val="0"/>
          <w:color w:val="0f1115"/>
          <w:spacing w:val="0"/>
          <w:sz w:val="24"/>
          <w:szCs w:val="24"/>
          <w:highlight w:val="none"/>
          <w:shd w:val="clear" w:color="auto" w:fill="ffffff"/>
          <w:lang w:val="en-US" w:eastAsia="zh-CN"/>
        </w:rPr>
        <w:t xml:space="preserve">的</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10个工作日内，</w:t>
      </w:r>
      <w:r>
        <w:rPr>
          <w:rFonts w:hint="eastAsia" w:ascii="宋体" w:hAnsi="宋体" w:cs="宋体"/>
          <w:i w:val="0"/>
          <w:iCs w:val="0"/>
          <w:caps w:val="0"/>
          <w:color w:val="0f1115"/>
          <w:spacing w:val="0"/>
          <w:sz w:val="24"/>
          <w:szCs w:val="24"/>
          <w:highlight w:val="none"/>
          <w:shd w:val="clear" w:color="auto" w:fill="ffffff"/>
          <w:lang w:val="en-US" w:eastAsia="zh-CN"/>
        </w:rPr>
        <w:t xml:space="preserve">采购人</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向</w:t>
      </w:r>
      <w:r>
        <w:rPr>
          <w:rFonts w:hint="eastAsia" w:ascii="宋体" w:hAnsi="宋体" w:cs="宋体"/>
          <w:i w:val="0"/>
          <w:iCs w:val="0"/>
          <w:caps w:val="0"/>
          <w:color w:val="0f1115"/>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支付合同总价的30%作为预付款。在签订合同时，供应商明确书面表示无需预付款或者主动要求降低预付款比例的，采购人可就预付款比例作相应调整。</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2、全部演出服务履行完毕且经采购人验收确认后，采购人对供应商的服务质量进行综合考核评分（以下简称“综合得分”）。采购人根据综合得分情况，在收到供应商开具的合法有效发票后10个工作日内，按下表所列标准支付剩余合同款项：</w:t>
      </w:r>
      <w:r/>
    </w:p>
    <w:tbl>
      <w:tblPr>
        <w:tblStyle w:val="8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33"/>
        <w:gridCol w:w="4635"/>
      </w:tblGrid>
      <w:tr>
        <w:trPr>
          <w:trHeight w:val="624"/>
        </w:trPr>
        <w:tc>
          <w:tcPr>
            <w:tcW w:w="2499"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Fonts w:hint="eastAsia" w:ascii="宋体" w:hAnsi="宋体" w:eastAsia="宋体" w:cs="宋体"/>
                <w:b w:val="0"/>
                <w:bCs w:val="0"/>
                <w:i w:val="0"/>
                <w:iCs w:val="0"/>
                <w:caps w:val="0"/>
                <w:color w:val="0f1115"/>
                <w:spacing w:val="0"/>
                <w:sz w:val="24"/>
                <w:szCs w:val="24"/>
                <w:lang w:val="en-US" w:eastAsia="zh-CN" w:bidi="ar"/>
              </w:rPr>
              <w:t xml:space="preserve">综合得分区间</w:t>
            </w:r>
            <w:r/>
          </w:p>
        </w:tc>
        <w:tc>
          <w:tcPr>
            <w:tcW w:w="2500"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Fonts w:hint="eastAsia" w:ascii="宋体" w:hAnsi="宋体" w:eastAsia="宋体" w:cs="宋体"/>
                <w:b w:val="0"/>
                <w:bCs w:val="0"/>
                <w:i w:val="0"/>
                <w:iCs w:val="0"/>
                <w:caps w:val="0"/>
                <w:color w:val="0f1115"/>
                <w:spacing w:val="0"/>
                <w:sz w:val="24"/>
                <w:szCs w:val="24"/>
                <w:lang w:val="en-US" w:eastAsia="zh-CN" w:bidi="ar"/>
              </w:rPr>
              <w:t xml:space="preserve">剩余合同款项支付比例</w:t>
            </w:r>
            <w:r/>
          </w:p>
        </w:tc>
      </w:tr>
      <w:tr>
        <w:trPr>
          <w:trHeight w:val="624"/>
        </w:trPr>
        <w:tc>
          <w:tcPr>
            <w:tcW w:w="2499"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Fonts w:hint="eastAsia" w:ascii="宋体" w:hAnsi="宋体" w:eastAsia="宋体" w:cs="宋体"/>
                <w:b w:val="0"/>
                <w:bCs w:val="0"/>
                <w:i w:val="0"/>
                <w:iCs w:val="0"/>
                <w:caps w:val="0"/>
                <w:color w:val="0f1115"/>
                <w:spacing w:val="0"/>
                <w:sz w:val="24"/>
                <w:szCs w:val="24"/>
                <w:lang w:val="en-US" w:eastAsia="zh-CN" w:bidi="ar"/>
              </w:rPr>
              <w:t xml:space="preserve">90分（含）以上</w:t>
            </w:r>
            <w:r/>
          </w:p>
        </w:tc>
        <w:tc>
          <w:tcPr>
            <w:tcW w:w="2500"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Style w:val="823"/>
                <w:rFonts w:hint="eastAsia" w:ascii="宋体" w:hAnsi="宋体" w:eastAsia="宋体" w:cs="宋体"/>
                <w:b w:val="0"/>
                <w:bCs w:val="0"/>
                <w:i w:val="0"/>
                <w:iCs w:val="0"/>
                <w:caps w:val="0"/>
                <w:color w:val="0f1115"/>
                <w:spacing w:val="0"/>
                <w:sz w:val="24"/>
                <w:szCs w:val="24"/>
                <w:lang w:val="en-US" w:eastAsia="zh-CN" w:bidi="ar"/>
              </w:rPr>
              <w:t xml:space="preserve">100%</w:t>
            </w:r>
            <w:r/>
          </w:p>
        </w:tc>
      </w:tr>
      <w:tr>
        <w:trPr>
          <w:trHeight w:val="624"/>
        </w:trPr>
        <w:tc>
          <w:tcPr>
            <w:tcW w:w="2499"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Fonts w:hint="eastAsia" w:ascii="宋体" w:hAnsi="宋体" w:eastAsia="宋体" w:cs="宋体"/>
                <w:b w:val="0"/>
                <w:bCs w:val="0"/>
                <w:i w:val="0"/>
                <w:iCs w:val="0"/>
                <w:caps w:val="0"/>
                <w:color w:val="0f1115"/>
                <w:spacing w:val="0"/>
                <w:sz w:val="24"/>
                <w:szCs w:val="24"/>
                <w:lang w:val="en-US" w:eastAsia="zh-CN" w:bidi="ar"/>
              </w:rPr>
              <w:t xml:space="preserve">80分（含）至90分（不含）</w:t>
            </w:r>
            <w:r/>
          </w:p>
        </w:tc>
        <w:tc>
          <w:tcPr>
            <w:tcW w:w="2500"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Style w:val="823"/>
                <w:rFonts w:hint="eastAsia" w:ascii="宋体" w:hAnsi="宋体" w:eastAsia="宋体" w:cs="宋体"/>
                <w:b w:val="0"/>
                <w:bCs w:val="0"/>
                <w:i w:val="0"/>
                <w:iCs w:val="0"/>
                <w:caps w:val="0"/>
                <w:color w:val="0f1115"/>
                <w:spacing w:val="0"/>
                <w:sz w:val="24"/>
                <w:szCs w:val="24"/>
                <w:lang w:val="en-US" w:eastAsia="zh-CN" w:bidi="ar"/>
              </w:rPr>
              <w:t xml:space="preserve">90%</w:t>
            </w:r>
            <w:r/>
          </w:p>
        </w:tc>
      </w:tr>
      <w:tr>
        <w:trPr>
          <w:trHeight w:val="624"/>
        </w:trPr>
        <w:tc>
          <w:tcPr>
            <w:tcW w:w="2499"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Fonts w:hint="eastAsia" w:ascii="宋体" w:hAnsi="宋体" w:eastAsia="宋体" w:cs="宋体"/>
                <w:b w:val="0"/>
                <w:bCs w:val="0"/>
                <w:i w:val="0"/>
                <w:iCs w:val="0"/>
                <w:caps w:val="0"/>
                <w:color w:val="0f1115"/>
                <w:spacing w:val="0"/>
                <w:sz w:val="24"/>
                <w:szCs w:val="24"/>
                <w:lang w:val="en-US" w:eastAsia="zh-CN" w:bidi="ar"/>
              </w:rPr>
              <w:t xml:space="preserve">70分（含）至80分（不含）</w:t>
            </w:r>
            <w:r/>
          </w:p>
        </w:tc>
        <w:tc>
          <w:tcPr>
            <w:tcW w:w="2500"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Style w:val="823"/>
                <w:rFonts w:hint="eastAsia" w:ascii="宋体" w:hAnsi="宋体" w:eastAsia="宋体" w:cs="宋体"/>
                <w:b w:val="0"/>
                <w:bCs w:val="0"/>
                <w:i w:val="0"/>
                <w:iCs w:val="0"/>
                <w:caps w:val="0"/>
                <w:color w:val="0f1115"/>
                <w:spacing w:val="0"/>
                <w:sz w:val="24"/>
                <w:szCs w:val="24"/>
                <w:lang w:val="en-US" w:eastAsia="zh-CN" w:bidi="ar"/>
              </w:rPr>
              <w:t xml:space="preserve">80%</w:t>
            </w:r>
            <w:r/>
          </w:p>
        </w:tc>
      </w:tr>
      <w:tr>
        <w:trPr>
          <w:trHeight w:val="624"/>
        </w:trPr>
        <w:tc>
          <w:tcPr>
            <w:tcW w:w="2499"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Fonts w:hint="eastAsia" w:ascii="宋体" w:hAnsi="宋体" w:eastAsia="宋体" w:cs="宋体"/>
                <w:b w:val="0"/>
                <w:bCs w:val="0"/>
                <w:i w:val="0"/>
                <w:iCs w:val="0"/>
                <w:caps w:val="0"/>
                <w:color w:val="0f1115"/>
                <w:spacing w:val="0"/>
                <w:sz w:val="24"/>
                <w:szCs w:val="24"/>
                <w:lang w:val="en-US" w:eastAsia="zh-CN" w:bidi="ar"/>
              </w:rPr>
              <w:t xml:space="preserve">60分（含）至70分（不含）</w:t>
            </w:r>
            <w:r/>
          </w:p>
        </w:tc>
        <w:tc>
          <w:tcPr>
            <w:tcW w:w="2500"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Style w:val="823"/>
                <w:rFonts w:hint="eastAsia" w:ascii="宋体" w:hAnsi="宋体" w:eastAsia="宋体" w:cs="宋体"/>
                <w:b w:val="0"/>
                <w:bCs w:val="0"/>
                <w:i w:val="0"/>
                <w:iCs w:val="0"/>
                <w:caps w:val="0"/>
                <w:color w:val="0f1115"/>
                <w:spacing w:val="0"/>
                <w:sz w:val="24"/>
                <w:szCs w:val="24"/>
                <w:lang w:val="en-US" w:eastAsia="zh-CN" w:bidi="ar"/>
              </w:rPr>
              <w:t xml:space="preserve">70%</w:t>
            </w:r>
            <w:r/>
          </w:p>
        </w:tc>
      </w:tr>
      <w:tr>
        <w:trPr>
          <w:trHeight w:val="624"/>
        </w:trPr>
        <w:tc>
          <w:tcPr>
            <w:tcW w:w="2499"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Fonts w:hint="eastAsia" w:ascii="宋体" w:hAnsi="宋体" w:eastAsia="宋体" w:cs="宋体"/>
                <w:b w:val="0"/>
                <w:bCs w:val="0"/>
                <w:i w:val="0"/>
                <w:iCs w:val="0"/>
                <w:caps w:val="0"/>
                <w:color w:val="0f1115"/>
                <w:spacing w:val="0"/>
                <w:sz w:val="24"/>
                <w:szCs w:val="24"/>
                <w:lang w:val="en-US" w:eastAsia="zh-CN" w:bidi="ar"/>
              </w:rPr>
              <w:t xml:space="preserve">60分（不含）以下</w:t>
            </w:r>
            <w:r/>
          </w:p>
        </w:tc>
        <w:tc>
          <w:tcPr>
            <w:tcW w:w="2500" w:type="pct"/>
            <w:vAlign w:val="center"/>
            <w:textDirection w:val="lrTb"/>
            <w:noWrap w:val="false"/>
          </w:tcPr>
          <w:p>
            <w:pPr>
              <w:jc w:val="center"/>
              <w:keepLines w:val="0"/>
              <w:keepNext w:val="0"/>
              <w:widowControl/>
              <w:rPr>
                <w:rFonts w:hint="eastAsia" w:ascii="宋体" w:hAnsi="宋体" w:eastAsia="宋体" w:cs="宋体"/>
                <w:b w:val="0"/>
                <w:bCs w:val="0"/>
                <w:i w:val="0"/>
                <w:iCs w:val="0"/>
                <w:caps w:val="0"/>
                <w:color w:val="0f1115"/>
                <w:spacing w:val="0"/>
                <w:sz w:val="24"/>
                <w:szCs w:val="24"/>
                <w:shd w:val="clear" w:color="auto" w:fill="ffffff"/>
                <w:vertAlign w:val="baseline"/>
                <w:lang w:val="en-US" w:eastAsia="zh-CN"/>
              </w:rPr>
              <w:suppressLineNumbers w:val="0"/>
            </w:pPr>
            <w:r>
              <w:rPr>
                <w:rStyle w:val="823"/>
                <w:rFonts w:hint="eastAsia" w:ascii="宋体" w:hAnsi="宋体" w:eastAsia="宋体" w:cs="宋体"/>
                <w:b w:val="0"/>
                <w:bCs w:val="0"/>
                <w:i w:val="0"/>
                <w:iCs w:val="0"/>
                <w:caps w:val="0"/>
                <w:color w:val="0f1115"/>
                <w:spacing w:val="0"/>
                <w:sz w:val="24"/>
                <w:szCs w:val="24"/>
                <w:lang w:val="en-US" w:eastAsia="zh-CN" w:bidi="ar"/>
              </w:rPr>
              <w:t xml:space="preserve">0%</w:t>
            </w:r>
            <w:r/>
          </w:p>
        </w:tc>
      </w:tr>
    </w:tbl>
    <w:p>
      <w:pPr>
        <w:pStyle w:val="789"/>
        <w:ind w:firstLine="482"/>
        <w:jc w:val="both"/>
        <w:keepLines w:val="0"/>
        <w:keepNext w:val="0"/>
        <w:pageBreakBefore w:val="0"/>
        <w:spacing w:line="500" w:lineRule="exact"/>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3、前款所称“剩余合同款项”计算公式为：剩余合同款项 = 合同总价款 − 已支付预付款，综合得分低于60分时，视为服务质量考核不合格，采购人不再支付剩余全部合同款项，且有权依据合同约定追究供应商相应违约责任。</w:t>
      </w:r>
      <w:r/>
    </w:p>
    <w:p>
      <w:pPr>
        <w:pStyle w:val="789"/>
        <w:ind w:firstLine="482"/>
        <w:jc w:val="both"/>
        <w:keepLines w:val="0"/>
        <w:keepNext w:val="0"/>
        <w:pageBreakBefore w:val="0"/>
        <w:spacing w:line="500" w:lineRule="exact"/>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如因财政资金未按时拨付导致采购人迟延付款的，采购人不承担违约责任。</w:t>
      </w:r>
      <w:r/>
    </w:p>
    <w:p>
      <w:pPr>
        <w:pStyle w:val="789"/>
        <w:ind w:firstLine="482"/>
        <w:jc w:val="both"/>
        <w:keepLines w:val="0"/>
        <w:keepNext w:val="0"/>
        <w:pageBreakBefore w:val="0"/>
        <w:spacing w:line="500" w:lineRule="exact"/>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《考核标准》详见</w:t>
      </w:r>
      <w:r>
        <w:rPr>
          <w:rFonts w:hint="eastAsia" w:ascii="宋体" w:hAnsi="宋体" w:cs="宋体"/>
          <w:i w:val="0"/>
          <w:iCs w:val="0"/>
          <w:caps w:val="0"/>
          <w:color w:val="0f1115"/>
          <w:spacing w:val="0"/>
          <w:sz w:val="24"/>
          <w:szCs w:val="24"/>
          <w:shd w:val="clear" w:color="auto" w:fill="ffffff"/>
          <w:lang w:val="en-US" w:eastAsia="zh-CN"/>
        </w:rPr>
        <w:t xml:space="preserve">附件2</w:t>
      </w:r>
      <w:r>
        <w:rPr>
          <w:rFonts w:hint="eastAsia" w:ascii="宋体" w:hAnsi="宋体" w:eastAsia="宋体" w:cs="宋体"/>
          <w:i w:val="0"/>
          <w:iCs w:val="0"/>
          <w:caps w:val="0"/>
          <w:color w:val="0f1115"/>
          <w:spacing w:val="0"/>
          <w:sz w:val="24"/>
          <w:szCs w:val="24"/>
          <w:shd w:val="clear" w:color="auto" w:fill="ffffff"/>
          <w:lang w:val="en-US" w:eastAsia="zh-CN"/>
        </w:rPr>
        <w:t xml:space="preserve">。</w:t>
      </w:r>
      <w:r/>
    </w:p>
    <w:p>
      <w:pPr>
        <w:pStyle w:val="789"/>
        <w:ind w:firstLine="482"/>
        <w:jc w:val="both"/>
        <w:keepLines w:val="0"/>
        <w:keepNext w:val="0"/>
        <w:pageBreakBefore w:val="0"/>
        <w:spacing w:line="500" w:lineRule="exact"/>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lang w:val="en-US" w:eastAsia="zh-CN"/>
        </w:rPr>
        <w:t xml:space="preserve">注：以上付款均不计任何利息和相关费用。本项目价款一律通过银行非现金结算，款项汇入供应商账户，实行专款专用。</w:t>
      </w:r>
      <w:r/>
    </w:p>
    <w:p>
      <w:pPr>
        <w:ind w:firstLine="480"/>
        <w:keepLines w:val="0"/>
        <w:keepNext w:val="0"/>
        <w:pageBreakBefore w:val="0"/>
        <w:spacing w:line="500" w:lineRule="exact"/>
        <w:widowControl w:val="off"/>
        <w:rPr>
          <w:rFonts w:hint="eastAsia" w:ascii="宋体" w:hAnsi="宋体" w:eastAsia="宋体" w:cs="宋体"/>
          <w:b/>
          <w:bCs/>
          <w:sz w:val="24"/>
          <w:lang w:val="en-US" w:eastAsia="zh-CN"/>
        </w:rPr>
        <w:outlineLvl w:val="1"/>
      </w:pPr>
      <w:r>
        <w:rPr>
          <w:rFonts w:hint="eastAsia" w:ascii="宋体" w:hAnsi="宋体" w:eastAsia="宋体" w:cs="宋体"/>
          <w:b/>
          <w:bCs/>
          <w:sz w:val="24"/>
          <w:lang w:val="en-US" w:eastAsia="zh-CN"/>
        </w:rPr>
        <w:t xml:space="preserve">五、项目整体实施方案</w:t>
      </w:r>
      <w:r/>
    </w:p>
    <w:p>
      <w:pPr>
        <w:pStyle w:val="789"/>
        <w:ind w:firstLine="482"/>
        <w:jc w:val="both"/>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rPr>
        <w:t xml:space="preserve">投标人须依据自身实际状况与对本项目全方位的理解，精心编制项目整体实施方案。该实施方案至少涵盖演出方案、宣传方案、设备及舞台技术保障方案、保障方案、安全管理方案五大核心内容。方案内容应清晰、全面、合理、可靠且结构完整，能够切实贴合盐城市各乡镇巡演实际需求，确保演出质量、宣传效果、设备保障、应急响应</w:t>
      </w:r>
      <w:r>
        <w:rPr>
          <w:rFonts w:hint="eastAsia" w:ascii="宋体" w:hAnsi="宋体" w:eastAsia="宋体" w:cs="宋体"/>
          <w:i w:val="0"/>
          <w:iCs w:val="0"/>
          <w:caps w:val="0"/>
          <w:color w:val="auto"/>
          <w:spacing w:val="0"/>
          <w:sz w:val="24"/>
          <w:szCs w:val="24"/>
          <w:highlight w:val="none"/>
          <w:shd w:val="clear" w:color="auto" w:fill="ffffff"/>
        </w:rPr>
        <w:t xml:space="preserve">及安全管理等各环节落实到位。</w:t>
      </w:r>
      <w:r/>
    </w:p>
    <w:p>
      <w:pPr>
        <w:ind w:firstLine="480"/>
        <w:keepLines w:val="0"/>
        <w:keepNext w:val="0"/>
        <w:pageBreakBefore w:val="0"/>
        <w:spacing w:line="500" w:lineRule="exact"/>
        <w:widowControl w:val="off"/>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1、演出方案</w:t>
      </w:r>
      <w:r/>
    </w:p>
    <w:p>
      <w:pPr>
        <w:ind w:firstLine="480"/>
        <w:keepLines w:val="0"/>
        <w:keepNext w:val="0"/>
        <w:pageBreakBefore w:val="0"/>
        <w:spacing w:line="500" w:lineRule="exact"/>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供应商应提供详细的演出方案，至少包含以下内容：</w:t>
      </w:r>
      <w:r/>
    </w:p>
    <w:p>
      <w:pPr>
        <w:ind w:firstLine="480"/>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（1）演出目标：明确巡演活动拟达成的社会效益目标、文化传播效果及服务质量目标。</w:t>
      </w:r>
      <w:r/>
    </w:p>
    <w:p>
      <w:pPr>
        <w:ind w:firstLine="480"/>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节目编排思路：说明节目编排的逻辑（如开场、高潮、结尾的设计思路）。每场演出节目总数不少于12个，总时长不少于90分钟，节目形式不少于4种（以戏曲为主，兼顾音乐、舞蹈、小品等），其中每场至少包含1个宣传廉洁文化主题的作品。节目之间的衔接（含串场、换景）总时间控制在8分钟以内。</w:t>
      </w:r>
      <w:r/>
    </w:p>
    <w:p>
      <w:pPr>
        <w:ind w:firstLine="480"/>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演出特色与创新点：结合盐城地方文化（如淮剧、建湖杂技、东台发绣、湿地生态文化等）及各乡镇群众审美偏好，说明节目如何体现地域性、亲民性和时代感。说明在节目编排（如跨界融合、经典新编）、互动形式（如观众参与、有奖问答）、舞美呈现等方面的创新举措。每场演出至少设计1个互动环节；每场演出中具有盐城地方文化元素的节目不少于2个。</w:t>
      </w:r>
      <w:r/>
    </w:p>
    <w:p>
      <w:pPr>
        <w:ind w:firstLine="480"/>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演出时长与节奏安排：提供节目时间分配计划表（含各节目时长、串场时间、中场休息等），说明如何控制整体节奏，确保节目衔接流畅。每场演出实际总时长误差不超过±5分钟；中场休息（如有）不超过15分钟。</w:t>
      </w:r>
      <w:r/>
    </w:p>
    <w:p>
      <w:pPr>
        <w:ind w:firstLine="480"/>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拟演出服务区域分析：以区县域为单位，列出所投包号覆盖的全部县（市、区）及乡镇名称，并对不同区域的民俗特点、群众文艺需求进行简要分析，提出差异化节目调整计划（如某区域偏好戏曲，可适当增加戏曲类节目比例）。针对所投包号内每个区县至少提出1条差异化节目调整建议，并在演出计划中标注落实。</w:t>
      </w:r>
      <w:r/>
    </w:p>
    <w:p>
      <w:pPr>
        <w:ind w:firstLine="480"/>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节目质量保障措施：说明如何确保每场演出的节目质量稳定一致，至少包含节目排练制度、演出前彩排机制、节目单审核流程、演出中质量监控及演出后复盘改进等。每场演出前组织不少于2小时的全流程彩排；演出结束后提交演出质量自评报告（含节目效果、观众反馈、改进措施）。</w:t>
      </w:r>
      <w:r/>
    </w:p>
    <w:p>
      <w:pPr>
        <w:ind w:firstLine="480"/>
        <w:keepLines w:val="0"/>
        <w:keepNext w:val="0"/>
        <w:pageBreakBefore w:val="0"/>
        <w:spacing w:line="500" w:lineRule="exact"/>
        <w:widowControl w:val="off"/>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2、宣传方案</w:t>
      </w:r>
      <w:r/>
    </w:p>
    <w:p>
      <w:pPr>
        <w:ind w:firstLine="482"/>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供应商应提供覆盖“演前、演中、演后”全周期的宣传方案，至少包含以下内容：</w:t>
      </w:r>
      <w:r/>
    </w:p>
    <w:p>
      <w:pPr>
        <w:ind w:firstLine="482"/>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（1）宣传总体策略：说明宣传的核心目标（如提升群众知晓率、参与率，扩大活动影响力）及整体宣传思路（线上与线下联动、新媒体与传统媒体结合）。</w:t>
      </w:r>
      <w:r/>
    </w:p>
    <w:p>
      <w:pPr>
        <w:ind w:firstLine="482"/>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线上宣传方式：说明如何利用微博、抖音、微信公众号、江苏公共文化云平台等新媒体开展宣传，包括账号运营计划、内容发布频次、粉丝互动策略等。每场演出前3日发布电子节目单；演出后在采购人指定话题内制作并推送微博及抖音话题不少于3条（含短视频、剧照、精彩片段）；每场演出短视频（15-30秒）不少于2条。</w:t>
      </w:r>
      <w:r/>
    </w:p>
    <w:p>
      <w:pPr>
        <w:ind w:firstLine="482"/>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线下宣传方式：说明每场演出拟制作的宣传物料种类（如海报、横幅、喷绘、易拉宝等）、数量、张贴或摆放位置（乡镇文化站、村社区公告栏、集市等人员密集区域）。每场演出制作并张贴/悬挂宣传物料不少于5种（其中海报不少于10张，横幅不少于2条），并在演出前3日完成布置。</w:t>
      </w:r>
      <w:r/>
    </w:p>
    <w:p>
      <w:pPr>
        <w:ind w:firstLine="482"/>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宣传内容规划：说明拟制作的主要内容类型，至少包含电子节目单、演出预告短视频（15-30秒）、现场剧照（每场至少10张，覆盖4个规定角度：观众席最后一排正位、舞台上场门45°、舞台下场门45°、观众席第一排向后拍摄）、精彩片段剪辑、主持人串词摘录、演员专访、观众采访等。每场演出提供高清剧照不少于10张（其中4个规定角度各不少于1张）；提供精彩片段剪辑视频不少于1条（时长30-60秒）。所有宣传内容须经采购人审核，确保无意识形态问题及版权纠纷。</w:t>
      </w:r>
      <w:r/>
    </w:p>
    <w:p>
      <w:pPr>
        <w:ind w:firstLine="482"/>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（5）宣传时间节点安排：明确每场宣传的关键时间节点及完成时限。提供每场演出的宣传时间表，分阶段列出具体宣传动作及完成时限。</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宣传效果评估：说明如何评估宣传效果（如线上浏览量、点赞数、转发数、线下参与人数等），以及根据评估结果优化后续宣传工作的机制。每场演出结束后3日内提交宣传效果评估报告，包含线上数据（浏览量、互动量）和线下数据（观众人数、物料覆盖人次）。</w:t>
      </w:r>
      <w:r/>
    </w:p>
    <w:p>
      <w:pPr>
        <w:ind w:firstLine="480"/>
        <w:keepLines w:val="0"/>
        <w:keepNext w:val="0"/>
        <w:pageBreakBefore w:val="0"/>
        <w:spacing w:line="500" w:lineRule="exact"/>
        <w:widowControl w:val="off"/>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3、设备及舞台技术保障方案</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供应商应提供详细的设备及舞台技术保障方案，至少包含以下内容：</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（1）设备配置计划：列明每场演出拟投入的主要设备清单，确保设备完好状态，并满足采购需求中规定的最低配置标准。提供设备清单（含品牌、型号、数量），设备完好率100%（每场演出前逐台测试并记录）。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舞台搭建方案：说明舞台搭建的具体方案，包括结构设计、材料选用、承重计算、安全检测等。如使用流动舞台车，须说明车辆型号、舞台展开面积，确保舞台安全。如演出场地无固定舞台，搭建的临时舞台尺寸不低于8米（宽）×6米（深）×0.8米（高）；临时舞台搭建完成后进行承重测试（不低于500kg/㎡），并留存测试记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（3）设备运输与安装保障：制定设备运输、装卸、现场安装调试的时间流程，明确安全操作规范，确保安装过程符合安全生产要求。每场演出从设备进场到全部调试完成不超过4小时，并填写安装调试确认单。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（4）设备运行保障措施：</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①日常检查：每场演出前对全部设备进行功能测试，填写检查记录，确保设备正常运行。每场演出前完成设备检查表（不少于15项检查内容），签字存档。</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②运行监控：演出过程中安排专人值守，实时监控设备运行状态，及时调整参数。每场演出至少安排2名专职技术人员全程值守。</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③备用设备：关键设备（音响、灯光、字幕机等）须配备备用机，确保主设备故障时能够及时切换。关键设备备用机配置率100%，故障切换时间≤5分钟。</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④环境适应：针对户外演出可能的高温、潮湿、灰尘、大风等环境，说明采取的防雨、防尘、散热、加固等保护措施。户外演出时，所有用电设备防护等级不低于IP54，舞台结构抗风能力不低于6级。</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（5）故障应急保障措施：</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①制定常见故障（音响无声、灯光失控、字幕机故障、断电等）的应急处置流程，明确责任人及操作步骤。每场演出前组织应急演练（至少覆盖3类常见故障），留存演练记录。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②配备必要的维修工具和易损备件（如保险丝、信号线、灯泡、电源线等）。备件清单不少于10类易损件，每类备件数量不低于2件。</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③与设备供应商或租赁方建立24小时技术支持热线，确保远程或现场支持及时到位。提供24小时技术支持联系人及电话，故障后30分钟内获得远程指导，2小时内现场支援到位。</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（6）设备维护保养计划：说明设备的日常维护、定期保养、故障维修等管理制度，确保设备在整个项目周期内保持良好状态。每完成20场演出进行一次全面保养，填写保养记录。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（7）设备安全保障：</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①所有用电设备须可靠接地，配置漏电保护器，确保用电安全。每场演出前检测接地电阻（≤4Ω）和漏电保护器动作可靠性，并记录。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②舞台结构及吊挂设备须经承重核算，确保安全稳固。提供舞台结构承重计算书，每场演出前检查紧固件状态并记录。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③演出结束后按规定流程拆卸、清点、入库，防止丢失损坏，并填写设备使用记录。每场演出结束后2小时内完成拆卸清点，填写设备使用登记表。</w:t>
      </w:r>
      <w:r/>
    </w:p>
    <w:p>
      <w:pPr>
        <w:ind w:firstLine="480"/>
        <w:keepLines w:val="0"/>
        <w:keepNext w:val="0"/>
        <w:pageBreakBefore w:val="0"/>
        <w:spacing w:line="500" w:lineRule="exact"/>
        <w:widowControl w:val="off"/>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4、保障方案</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供应商应提供全方位的保障方案，至少包含以下内容：</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（1）演出运行保障：</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①制定《现场执行流程手册》，明确演出前、中、后各环节责任人及时间节点。提供《现场执行流程手册》，明确</w:t>
      </w:r>
      <w:r>
        <w:rPr>
          <w:rFonts w:hint="eastAsia" w:ascii="宋体" w:hAnsi="宋体" w:cs="宋体"/>
          <w:b w:val="0"/>
          <w:bCs w:val="0"/>
          <w:color w:val="auto"/>
          <w:sz w:val="24"/>
          <w:highlight w:val="none"/>
          <w:lang w:val="en-US" w:eastAsia="zh-CN"/>
        </w:rPr>
        <w:t xml:space="preserve">至少</w:t>
      </w:r>
      <w:r>
        <w:rPr>
          <w:rFonts w:hint="eastAsia" w:ascii="宋体" w:hAnsi="宋体" w:eastAsia="宋体" w:cs="宋体"/>
          <w:b w:val="0"/>
          <w:bCs w:val="0"/>
          <w:color w:val="auto"/>
          <w:sz w:val="24"/>
          <w:highlight w:val="none"/>
          <w:lang w:val="en-US" w:eastAsia="zh-CN"/>
        </w:rPr>
        <w:t xml:space="preserve">15个关键节点的责任人及完成时限。</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②建立舞台调度机制，配备至少2名舞台监督，负责统筹舞台调度及节目衔接。每场演出至少配备2名舞台监督，每场演出前召开协调会并形成会议纪要。</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建立节目临时调整预案：如遇演员突发伤病、设备故障、天气突变等特殊情况，可在不降低节目总数、时长及质量标准的前提下，启动备用节目或调整节目顺序，须提前报采购人备案。备用节目储备不少于3个，可在10分钟内完成替换。</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（2）群众意见反馈与处置机制：</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①在每场演出结束后，通过现场问卷、扫码调查或意见箱等方式，主动收集观众的意见和建议。每场演出收集有效反馈</w:t>
      </w:r>
      <w:r>
        <w:rPr>
          <w:rFonts w:hint="eastAsia" w:ascii="宋体" w:hAnsi="宋体" w:cs="宋体"/>
          <w:b w:val="0"/>
          <w:bCs w:val="0"/>
          <w:color w:val="auto"/>
          <w:sz w:val="24"/>
          <w:highlight w:val="none"/>
          <w:lang w:val="en-US" w:eastAsia="zh-CN"/>
        </w:rPr>
        <w:t xml:space="preserve">需</w:t>
      </w:r>
      <w:r>
        <w:rPr>
          <w:rFonts w:hint="eastAsia" w:ascii="宋体" w:hAnsi="宋体" w:eastAsia="宋体" w:cs="宋体"/>
          <w:b w:val="0"/>
          <w:bCs w:val="0"/>
          <w:color w:val="auto"/>
          <w:sz w:val="24"/>
          <w:highlight w:val="none"/>
          <w:lang w:val="en-US" w:eastAsia="zh-CN"/>
        </w:rPr>
        <w:t xml:space="preserve">涵盖不同年龄、性别观众。</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②指定1名负责人，在演出结束后及时对收集到的意见进行分类汇总，并形成简要报告。演出结束后48小时内提交《群众意见汇总表》（含意见建议分类、数量统计、典型意见摘录）。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③对涉及节目内容、服务质量、设备效果等方面的合理建议，应在后续演出中及时改进，并将改进措施向采购人报备。对同一乡镇的重复意见，在下一场演出前完成整改，并书面反馈采购人。</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④因供应商原因引发的负面意见或投诉，供应商应主动联系相关观众解释说明，并消除影响。负面意见处理率100%，处理结果存档备查。</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（3）应急响应保障：</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编制应急响应预案及应急措施，至少覆盖恶劣天气（暴雨、大风、高温、雷电）、设备故障（音响、灯光、供电）、演员突发疾病、观众冲突或受伤、火灾、停电等常见紧急情况。提供《应急响应预案》，涵盖不少于8类紧急情况，每类情况明确处置流程及责任人。</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②每场演出前进行安全交底，每季度组织至少1次全流程应急演练，并留存演练记录。每场演出前15分钟进行安全交底并签字确认</w:t>
      </w:r>
      <w:r>
        <w:rPr>
          <w:rFonts w:hint="eastAsia" w:ascii="宋体" w:hAnsi="宋体" w:cs="宋体"/>
          <w:b w:val="0"/>
          <w:bCs w:val="0"/>
          <w:color w:val="auto"/>
          <w:sz w:val="24"/>
          <w:highlight w:val="none"/>
          <w:lang w:val="en-US" w:eastAsia="zh-CN"/>
        </w:rPr>
        <w:t xml:space="preserve">。</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（4）与当地部门的协调保障：</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①说明如何与当地文旅部门、乡镇文化站、公安、消防、供电等部门建立沟通协调机制，确保演出顺利进行。每场演出前3天主动联系当地至少3个相关部门（文旅、公安、供电），确认保障事项。</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②明确演出计划上报、变更、确认的流程及责任人，确保采购人及当地部门能够及时获取信息。演出计划上报后24小时内获得确认；计划变更在4小时内通知所有相关方。</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（5）后勤保障：</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①说明演职人员的交通、食宿、休息等后勤安排，确保演职人员保持良好的演出状态。演职人员交通、食宿安排提前3天确认并通知到人；演出当天提供不少于2处休息区（含饮水、避暑/保暖设施）。</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②说明现场便民服务措施（如提供一次性纸杯、饮用水、休息区等）。每场演出提供</w:t>
      </w:r>
      <w:r>
        <w:rPr>
          <w:rFonts w:hint="eastAsia" w:ascii="宋体" w:hAnsi="宋体" w:cs="宋体"/>
          <w:b w:val="0"/>
          <w:bCs w:val="0"/>
          <w:color w:val="auto"/>
          <w:sz w:val="24"/>
          <w:highlight w:val="none"/>
          <w:lang w:val="en-US" w:eastAsia="zh-CN"/>
        </w:rPr>
        <w:t xml:space="preserve">至少</w:t>
      </w:r>
      <w:r>
        <w:rPr>
          <w:rFonts w:hint="eastAsia" w:ascii="宋体" w:hAnsi="宋体" w:eastAsia="宋体" w:cs="宋体"/>
          <w:b w:val="0"/>
          <w:bCs w:val="0"/>
          <w:color w:val="auto"/>
          <w:sz w:val="24"/>
          <w:highlight w:val="none"/>
          <w:lang w:val="en-US" w:eastAsia="zh-CN"/>
        </w:rPr>
        <w:t xml:space="preserve">2处便民服务点，配备饮用水、急救包、休息座椅；室外演出现场提供观众座椅</w:t>
      </w:r>
      <w:r>
        <w:rPr>
          <w:rFonts w:hint="eastAsia" w:ascii="宋体" w:hAnsi="宋体" w:cs="宋体"/>
          <w:b w:val="0"/>
          <w:bCs w:val="0"/>
          <w:color w:val="auto"/>
          <w:sz w:val="24"/>
          <w:highlight w:val="none"/>
          <w:lang w:val="en-US" w:eastAsia="zh-CN"/>
        </w:rPr>
        <w:t xml:space="preserve">至少</w:t>
      </w:r>
      <w:r>
        <w:rPr>
          <w:rFonts w:hint="eastAsia" w:ascii="宋体" w:hAnsi="宋体" w:eastAsia="宋体" w:cs="宋体"/>
          <w:b w:val="0"/>
          <w:bCs w:val="0"/>
          <w:color w:val="auto"/>
          <w:sz w:val="24"/>
          <w:highlight w:val="none"/>
          <w:lang w:val="en-US" w:eastAsia="zh-CN"/>
        </w:rPr>
        <w:t xml:space="preserve">100个及配套遮阳棚，并负责摆放和回收。</w:t>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5、安全管理方案</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供应商应建立严格的安全管理责任体系，提供安全管理方案，至少包含以下内容：</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（1）安全管理组织架构：</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①明确项目负责人为现场安全直接责任人。提供安全管理组织架构图，明确各岗位安全职责。</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②成立安全管理小组，明确各岗位安全职责（如舞台安全、用电安全、消防安全、观众安全等）。安全管理小组成员</w:t>
      </w:r>
      <w:r>
        <w:rPr>
          <w:rFonts w:hint="eastAsia" w:ascii="宋体" w:hAnsi="宋体" w:cs="宋体"/>
          <w:b w:val="0"/>
          <w:bCs w:val="0"/>
          <w:color w:val="auto"/>
          <w:sz w:val="24"/>
          <w:highlight w:val="none"/>
          <w:lang w:val="en-US" w:eastAsia="zh-CN"/>
        </w:rPr>
        <w:t xml:space="preserve">至少</w:t>
      </w:r>
      <w:r>
        <w:rPr>
          <w:rFonts w:hint="eastAsia" w:ascii="宋体" w:hAnsi="宋体" w:eastAsia="宋体" w:cs="宋体"/>
          <w:b w:val="0"/>
          <w:bCs w:val="0"/>
          <w:color w:val="auto"/>
          <w:sz w:val="24"/>
          <w:highlight w:val="none"/>
          <w:lang w:val="en-US" w:eastAsia="zh-CN"/>
        </w:rPr>
        <w:t xml:space="preserve">3人，每场演出佩戴安全标识上岗。</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（2）人身安全保障：</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①为所有演职及工作人员（含临时聘用人员）购买人身意外伤害保险，每人保额不低于50万元。</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②制定舞台搭建及设备操作安全规程，明确高处作业（超过2米）必须佩戴安全绳、安全帽；用电设备必须接地，严禁私拉乱接。每场演出前检查高处作业人员防护用品佩戴情况。</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③配备专职安全员，负责现场安全巡查、隐患排查、人员安全行为监督。每场演出至少1名专职安全员，填写安全巡查记录表（不少于10项检查内容）。</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④定期组织安全培训，确保所有人员掌握基本安全知识和应急技能。每季度组织不少于2小时安全培训，全员参训率不低于95%，留存培训记录。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（3）财产安全保障：</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①建立设备、服装、道具、乐器等贵重物品的出入库登记制度，专人保管，每日清点。提供出入库登记台账，每日清点记录。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②夜间如需存放设备，安排专人值守或租用安全库房；运输途中采取防震、防雨、防盗措施。夜间值守人员</w:t>
      </w:r>
      <w:r>
        <w:rPr>
          <w:rFonts w:hint="eastAsia" w:ascii="宋体" w:hAnsi="宋体" w:cs="宋体"/>
          <w:b w:val="0"/>
          <w:bCs w:val="0"/>
          <w:color w:val="auto"/>
          <w:sz w:val="24"/>
          <w:highlight w:val="none"/>
          <w:lang w:val="en-US" w:eastAsia="zh-CN"/>
        </w:rPr>
        <w:t xml:space="preserve">至少</w:t>
      </w:r>
      <w:r>
        <w:rPr>
          <w:rFonts w:hint="eastAsia" w:ascii="宋体" w:hAnsi="宋体" w:eastAsia="宋体" w:cs="宋体"/>
          <w:b w:val="0"/>
          <w:bCs w:val="0"/>
          <w:color w:val="auto"/>
          <w:sz w:val="24"/>
          <w:highlight w:val="none"/>
          <w:lang w:val="en-US" w:eastAsia="zh-CN"/>
        </w:rPr>
        <w:t xml:space="preserve">1人/每存放点；运输车辆配备防雨篷布、固定绑带。</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（4）第三方人员（观众）安全保障：</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①在舞台周边设置安全隔离带或警戒线，确保观众与舞台边缘距离≥1.5米，与灯光架、音箱等设备距离≥2米。每场演出前测量并记录安全距离，拍照存档。</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②提供至少100个观众座椅，并检查座椅稳固性，严禁使用破损座椅；座椅摆放应留出至少1.2米宽的疏散通道。每场演出前逐椅检查并记录；测量疏散通道宽度并记录。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③对老、弱、病、残、孕等特殊观众，安排志愿者提供协助及优先就座。每场演出配备至少2名志愿者，协助特殊观众就座。</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④制定人员疏散预案，明确疏散路线、集合点、责任人，并在演出前口头告知观众安全须知不少于1分钟。</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⑤演出期间安排安全巡视员，及时发现并制止观众的不安全行为（如攀爬、拥挤等）。每场演出至少安排2名安全巡视员，巡视间隔不超过15分钟。</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（5）消防安全保障：</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①每场演出配备至少2具灭火器，摆放在舞台两侧及观众区附近明显位置，且在有效期内，摆放位置拍照存档。</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②确保所有用电设备符合消防安全要求，严禁超负荷用电。每场演出前测算总用电负荷，不超过接入电源额定功率的80%。</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③演出前检查</w:t>
      </w:r>
      <w:r>
        <w:rPr>
          <w:rFonts w:hint="eastAsia" w:ascii="宋体" w:hAnsi="宋体" w:cs="宋体"/>
          <w:b w:val="0"/>
          <w:bCs w:val="0"/>
          <w:color w:val="auto"/>
          <w:sz w:val="24"/>
          <w:highlight w:val="none"/>
          <w:lang w:val="en-US" w:eastAsia="zh-CN"/>
        </w:rPr>
        <w:t xml:space="preserve">疏散</w:t>
      </w:r>
      <w:r>
        <w:rPr>
          <w:rFonts w:hint="eastAsia" w:ascii="宋体" w:hAnsi="宋体" w:eastAsia="宋体" w:cs="宋体"/>
          <w:b w:val="0"/>
          <w:bCs w:val="0"/>
          <w:color w:val="auto"/>
          <w:sz w:val="24"/>
          <w:highlight w:val="none"/>
          <w:lang w:val="en-US" w:eastAsia="zh-CN"/>
        </w:rPr>
        <w:t xml:space="preserve">通道是否畅通，疏散指示标志是否清晰可见，疏散指示标志不少于2处。</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④对演职人员进行消防培训，确保人人会使用灭火器、会报火警、会引导疏散。每季度组织消防培训及演练，全员灭火器</w:t>
      </w:r>
      <w:r>
        <w:rPr>
          <w:rFonts w:hint="eastAsia" w:ascii="宋体" w:hAnsi="宋体" w:cs="宋体"/>
          <w:b w:val="0"/>
          <w:bCs w:val="0"/>
          <w:color w:val="auto"/>
          <w:sz w:val="24"/>
          <w:highlight w:val="none"/>
          <w:lang w:val="en-US" w:eastAsia="zh-CN"/>
        </w:rPr>
        <w:t xml:space="preserve">会</w:t>
      </w:r>
      <w:r>
        <w:rPr>
          <w:rFonts w:hint="eastAsia" w:ascii="宋体" w:hAnsi="宋体" w:eastAsia="宋体" w:cs="宋体"/>
          <w:b w:val="0"/>
          <w:bCs w:val="0"/>
          <w:color w:val="auto"/>
          <w:sz w:val="24"/>
          <w:highlight w:val="none"/>
          <w:lang w:val="en-US" w:eastAsia="zh-CN"/>
        </w:rPr>
        <w:t xml:space="preserve">使用率100%。</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（6）安全责任承担：明确因供应商管理不善、违规操作、设备缺陷等导致的安全事故（包括但不限于人员伤亡、财产损失、第三方损害），供应商承担全部法律责任及经济赔偿责任，采购人不承担连带责任</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安全证明文件（保险单、培训记录、检查记录等）</w:t>
      </w:r>
      <w:r>
        <w:rPr>
          <w:rFonts w:hint="eastAsia" w:ascii="宋体" w:hAnsi="宋体" w:cs="宋体"/>
          <w:b w:val="0"/>
          <w:bCs w:val="0"/>
          <w:color w:val="auto"/>
          <w:sz w:val="24"/>
          <w:highlight w:val="none"/>
          <w:lang w:val="en-US" w:eastAsia="zh-CN"/>
        </w:rPr>
        <w:t xml:space="preserve">在项目实施中</w:t>
      </w:r>
      <w:r>
        <w:rPr>
          <w:rFonts w:hint="eastAsia" w:ascii="宋体" w:hAnsi="宋体" w:eastAsia="宋体" w:cs="宋体"/>
          <w:b w:val="0"/>
          <w:bCs w:val="0"/>
          <w:color w:val="auto"/>
          <w:sz w:val="24"/>
          <w:highlight w:val="none"/>
          <w:lang w:val="en-US" w:eastAsia="zh-CN"/>
        </w:rPr>
        <w:t xml:space="preserve">按要求提供。</w:t>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6、业绩</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本项目为盐城市“茉莉花开·家门口赏好戏”—全省优秀舞台艺术作品和优秀群众文艺作品乡镇巡演，覆盖</w:t>
      </w:r>
      <w:r>
        <w:rPr>
          <w:rFonts w:hint="eastAsia" w:ascii="宋体" w:hAnsi="宋体" w:cs="宋体"/>
          <w:b w:val="0"/>
          <w:bCs w:val="0"/>
          <w:color w:val="auto"/>
          <w:sz w:val="24"/>
          <w:highlight w:val="none"/>
          <w:lang w:val="en-US" w:eastAsia="zh-CN"/>
        </w:rPr>
        <w:t xml:space="preserve">我市</w:t>
      </w:r>
      <w:r>
        <w:rPr>
          <w:rFonts w:hint="eastAsia" w:ascii="宋体" w:hAnsi="宋体" w:eastAsia="宋体" w:cs="宋体"/>
          <w:b w:val="0"/>
          <w:bCs w:val="0"/>
          <w:color w:val="auto"/>
          <w:sz w:val="24"/>
          <w:highlight w:val="none"/>
          <w:lang w:val="en-US" w:eastAsia="zh-CN"/>
        </w:rPr>
        <w:t xml:space="preserve">9</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val="en-US" w:eastAsia="zh-CN"/>
        </w:rPr>
        <w:t xml:space="preserve">个乡镇</w:t>
      </w:r>
      <w:r>
        <w:rPr>
          <w:rFonts w:hint="eastAsia" w:ascii="宋体" w:hAnsi="宋体" w:cs="宋体"/>
          <w:b w:val="0"/>
          <w:bCs w:val="0"/>
          <w:color w:val="auto"/>
          <w:sz w:val="24"/>
          <w:highlight w:val="none"/>
          <w:lang w:val="en-US" w:eastAsia="zh-CN"/>
        </w:rPr>
        <w:t xml:space="preserve">及淮安市</w:t>
      </w:r>
      <w:r>
        <w:rPr>
          <w:rFonts w:hint="eastAsia" w:ascii="宋体" w:hAnsi="宋体" w:cs="宋体"/>
          <w:color w:val="auto"/>
          <w:sz w:val="24"/>
          <w:szCs w:val="20"/>
          <w:highlight w:val="none"/>
        </w:rPr>
        <w:t xml:space="preserve">淮安区苏嘴镇</w:t>
      </w:r>
      <w:r>
        <w:rPr>
          <w:rFonts w:hint="eastAsia" w:ascii="宋体" w:hAnsi="宋体" w:eastAsia="宋体" w:cs="宋体"/>
          <w:b w:val="0"/>
          <w:bCs w:val="0"/>
          <w:color w:val="auto"/>
          <w:sz w:val="24"/>
          <w:highlight w:val="none"/>
          <w:lang w:val="en-US" w:eastAsia="zh-CN"/>
        </w:rPr>
        <w:t xml:space="preserve">，涉及不同地域文化特色和群众审美偏好，对演出团队的组织协调能力、节目质量把控能力、基层服务经验要求较高。投标人需具备丰富的群众文艺巡演等相关项目经验，以确保本项目顺利实施。因此，投标人自202</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val="en-US" w:eastAsia="zh-CN"/>
        </w:rPr>
        <w:t xml:space="preserve">年1月1日以来（以合同签订时间为准）承接过类似项目业绩的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7、人员</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本项目为乡镇巡演</w:t>
      </w:r>
      <w:r>
        <w:rPr>
          <w:rFonts w:hint="eastAsia" w:ascii="宋体" w:hAnsi="宋体" w:eastAsia="宋体" w:cs="宋体"/>
          <w:b w:val="0"/>
          <w:bCs w:val="0"/>
          <w:color w:val="auto"/>
          <w:sz w:val="24"/>
          <w:highlight w:val="none"/>
          <w:lang w:val="en-US" w:eastAsia="zh-CN"/>
        </w:rPr>
        <w:t xml:space="preserve">，演出地点多为基层文化广场、乡村大舞台等户外或半户外场地，观众群体以乡镇居民为主，对节目的地域性、亲民性、互动性要求较高。演出团队需具备较强的节目编排能力、现场调度能力及与基层群众的沟通能力。其中：团队规模越大、专业人才比例越高，越能保障巡演的高质量实施。因此，团队总人数在30人以上且70%以上具有专业艺术院校毕业背景或艺术类专业技术职称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val="0"/>
          <w:bCs w:val="0"/>
          <w:color w:val="auto"/>
          <w:sz w:val="24"/>
          <w:highlight w:val="none"/>
          <w:lang w:val="en-US" w:eastAsia="zh-CN"/>
        </w:rPr>
        <w:t xml:space="preserve">；团队中具有二级及以上演员职称的人员数量越多，越能显著提升演出的艺术水准和观赏性。因此，团队成员中具有二级及以上演员职称的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8、演出完整节目单</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本项目每场演出须从江苏省文化和旅游厅公布的</w:t>
      </w:r>
      <w:r>
        <w:rPr>
          <w:rFonts w:hint="eastAsia" w:ascii="宋体" w:hAnsi="宋体" w:cs="宋体"/>
          <w:b w:val="0"/>
          <w:bCs w:val="0"/>
          <w:color w:val="auto"/>
          <w:sz w:val="24"/>
          <w:highlight w:val="none"/>
          <w:lang w:val="en-US" w:eastAsia="zh-CN"/>
        </w:rPr>
        <w:t xml:space="preserve">“茉莉花开·家门口赏好戏”—全省优秀舞台艺术作品和优秀群众文艺作品巡演优秀节目库</w:t>
      </w:r>
      <w:r>
        <w:rPr>
          <w:rFonts w:hint="eastAsia" w:ascii="宋体" w:hAnsi="宋体" w:eastAsia="宋体" w:cs="宋体"/>
          <w:b w:val="0"/>
          <w:bCs w:val="0"/>
          <w:color w:val="auto"/>
          <w:sz w:val="24"/>
          <w:highlight w:val="none"/>
          <w:lang w:val="en-US" w:eastAsia="zh-CN"/>
        </w:rPr>
        <w:t xml:space="preserve">中选取2个节目。节目库中的节目具有较高的艺术水准和群众认可度，节目库节目数量越多，越能体现演出与省级优质资源的对接深度。因此，供应商提供的演出完整节目单中，从上述节目库中选取的节目数量超出基本要求（2个）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500" w:lineRule="exact"/>
        <w:widowControl/>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采购标的对应的中小企业划分标准所属行业一览表</w:t>
      </w:r>
      <w:r/>
    </w:p>
    <w:tbl>
      <w:tblPr>
        <w:tblStyle w:val="781"/>
        <w:tblW w:w="4998" w:type="pct"/>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
        <w:gridCol w:w="6451"/>
        <w:gridCol w:w="2298"/>
      </w:tblGrid>
      <w:tr>
        <w:trPr>
          <w:jc w:val="center"/>
          <w:tblCellSpacing w:w="0" w:type="dxa"/>
        </w:trPr>
        <w:tc>
          <w:tcPr>
            <w:tcW w:w="715" w:type="pct"/>
            <w:vAlign w:val="center"/>
            <w:textDirection w:val="lrTb"/>
            <w:noWrap/>
          </w:tcPr>
          <w:p>
            <w:pPr>
              <w:pStyle w:val="104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209" w:type="pct"/>
            <w:vAlign w:val="center"/>
            <w:textDirection w:val="lrTb"/>
            <w:noWrap/>
          </w:tcPr>
          <w:p>
            <w:pPr>
              <w:pStyle w:val="104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tcW w:w="2075" w:type="pct"/>
            <w:vAlign w:val="center"/>
            <w:textDirection w:val="lrTb"/>
            <w:noWrap/>
          </w:tcPr>
          <w:p>
            <w:pPr>
              <w:pStyle w:val="104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tcW w:w="715" w:type="pct"/>
            <w:vAlign w:val="center"/>
            <w:textDirection w:val="lrTb"/>
            <w:noWrap/>
          </w:tcPr>
          <w:p>
            <w:pPr>
              <w:pStyle w:val="104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2209" w:type="pct"/>
            <w:vAlign w:val="center"/>
            <w:textDirection w:val="lrTb"/>
            <w:noWrap/>
          </w:tcPr>
          <w:p>
            <w:pPr>
              <w:pStyle w:val="1044"/>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Cs/>
                <w:sz w:val="24"/>
                <w:lang w:eastAsia="zh-CN"/>
              </w:rPr>
              <w:t xml:space="preserve">盐城市“茉莉花开·家门口赏好戏”—全省优秀舞台艺术作品和优秀群众文艺作品乡镇巡演项目</w:t>
            </w:r>
            <w:r/>
          </w:p>
        </w:tc>
        <w:tc>
          <w:tcPr>
            <w:tcW w:w="2075" w:type="pct"/>
            <w:vAlign w:val="center"/>
            <w:textDirection w:val="lrTb"/>
            <w:noWrap/>
          </w:tcPr>
          <w:p>
            <w:pPr>
              <w:pStyle w:val="104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Cs/>
                <w:color w:val="auto"/>
                <w:highlight w:val="none"/>
              </w:rPr>
              <w:t xml:space="preserve">其他未列明行业</w:t>
            </w:r>
            <w:r/>
          </w:p>
        </w:tc>
      </w:tr>
    </w:tbl>
    <w:p>
      <w:pPr>
        <w:ind w:firstLine="480"/>
        <w:spacing w:line="440" w:lineRule="exact"/>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br w:type="page" w:clear="all"/>
      </w:r>
      <w:r/>
    </w:p>
    <w:p>
      <w:pPr>
        <w:pStyle w:val="1043"/>
        <w:jc w:val="both"/>
        <w:spacing w:beforeAutospacing="0" w:afterAutospacing="0"/>
        <w:rPr>
          <w:rFonts w:hint="eastAsia" w:ascii="宋体" w:hAnsi="宋体" w:eastAsia="宋体" w:cs="宋体"/>
          <w:sz w:val="44"/>
          <w:szCs w:val="44"/>
        </w:rPr>
        <w:outlineLvl w:val="9"/>
      </w:pPr>
      <w:r>
        <w:rPr>
          <w:rFonts w:hint="eastAsia" w:ascii="宋体" w:hAnsi="宋体" w:eastAsia="宋体" w:cs="宋体"/>
          <w:color w:val="000000" w:themeColor="text1"/>
          <w:szCs w:val="21"/>
          <w14:textFill>
            <w14:solidFill>
              <w14:schemeClr w14:val="tx1"/>
            </w14:solidFill>
          </w14:textFill>
        </w:rPr>
        <w:t xml:space="preserve">附件</w:t>
      </w:r>
      <w:r>
        <w:rPr>
          <w:rFonts w:hint="eastAsia" w:ascii="宋体" w:hAnsi="宋体" w:eastAsia="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、分包项目信息</w:t>
      </w:r>
      <w:r/>
    </w:p>
    <w:p>
      <w:pPr>
        <w:pStyle w:val="1043"/>
        <w:jc w:val="both"/>
        <w:spacing w:beforeAutospacing="0" w:afterAutospacing="0"/>
        <w:rPr>
          <w:rFonts w:hint="eastAsia" w:ascii="宋体" w:hAnsi="宋体" w:eastAsia="宋体" w:cs="宋体"/>
          <w:sz w:val="24"/>
          <w:szCs w:val="24"/>
        </w:rPr>
        <w:outlineLvl w:val="9"/>
      </w:pPr>
      <w:r>
        <w:rPr>
          <w:rFonts w:hint="eastAsia" w:ascii="宋体" w:hAnsi="宋体" w:eastAsia="宋体" w:cs="宋体"/>
          <w:sz w:val="24"/>
          <w:szCs w:val="24"/>
        </w:rPr>
      </w:r>
      <w:r/>
    </w:p>
    <w:tbl>
      <w:tblPr>
        <w:tblStyle w:val="822"/>
        <w:tblW w:w="5046" w:type="pct"/>
        <w:tblInd w:w="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0"/>
        <w:gridCol w:w="1252"/>
        <w:gridCol w:w="1138"/>
        <w:gridCol w:w="1585"/>
      </w:tblGrid>
      <w:tr>
        <w:trPr>
          <w:trHeight w:val="90"/>
        </w:trPr>
        <w:tc>
          <w:tcPr>
            <w:tcW w:w="287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包号</w:t>
            </w:r>
            <w:r/>
          </w:p>
        </w:tc>
        <w:tc>
          <w:tcPr>
            <w:tcW w:w="66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服务期内巡演场次</w:t>
            </w:r>
            <w:r/>
          </w:p>
        </w:tc>
        <w:tc>
          <w:tcPr>
            <w:tcW w:w="60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分包总价</w:t>
            </w:r>
            <w:r/>
          </w:p>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（万元）</w:t>
            </w:r>
            <w:r/>
          </w:p>
        </w:tc>
        <w:tc>
          <w:tcPr>
            <w:tcW w:w="847"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单价最高限价</w:t>
            </w:r>
            <w:r/>
          </w:p>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（元/场次）</w:t>
            </w:r>
            <w:r/>
          </w:p>
        </w:tc>
      </w:tr>
      <w:tr>
        <w:trPr>
          <w:trHeight w:val="467"/>
        </w:trPr>
        <w:tc>
          <w:tcPr>
            <w:tcW w:w="2874" w:type="pct"/>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包1：</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东台市（14个）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溱东镇、时堰镇、五烈镇、梁垛镇、安丰镇、南沈灶镇、富安镇、唐洋镇、新街镇、许河镇、三仓镇、头灶镇、弶港镇、东台镇</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大丰区（5个）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草堰镇、小海镇、万盈镇、大桥镇、草庙镇</w:t>
            </w:r>
            <w:r/>
          </w:p>
        </w:tc>
        <w:tc>
          <w:tcPr>
            <w:tcW w:w="66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19</w:t>
            </w:r>
            <w:r/>
          </w:p>
        </w:tc>
        <w:tc>
          <w:tcPr>
            <w:tcW w:w="608" w:type="pct"/>
            <w:vAlign w:val="center"/>
            <w:textDirection w:val="lrTb"/>
            <w:noWrap w:val="false"/>
          </w:tcPr>
          <w:p>
            <w:pPr>
              <w:jc w:val="center"/>
              <w:keepLines w:val="0"/>
              <w:keepNext w:val="0"/>
              <w:pageBreakBefore w:val="0"/>
              <w:spacing w:line="400" w:lineRule="exact"/>
              <w:widowControl w:val="off"/>
              <w:tabs>
                <w:tab w:val="left" w:pos="514" w:leader="none"/>
              </w:tabs>
              <w:rPr>
                <w:rFonts w:hint="default" w:ascii="宋体" w:hAnsi="宋体" w:eastAsia="宋体" w:cs="宋体"/>
                <w:sz w:val="22"/>
                <w:szCs w:val="22"/>
                <w:highlight w:val="none"/>
                <w:vertAlign w:val="baseline"/>
                <w:lang w:val="en-US" w:eastAsia="zh-CN"/>
              </w:rPr>
            </w:pPr>
            <w:r>
              <w:rPr>
                <w:rFonts w:hint="eastAsia" w:ascii="宋体" w:hAnsi="宋体" w:cs="宋体"/>
                <w:sz w:val="22"/>
                <w:szCs w:val="22"/>
                <w:highlight w:val="none"/>
                <w:vertAlign w:val="baseline"/>
                <w:lang w:val="en-US" w:eastAsia="zh-CN"/>
              </w:rPr>
              <w:t xml:space="preserve">38</w:t>
            </w:r>
            <w:r/>
          </w:p>
        </w:tc>
        <w:tc>
          <w:tcPr>
            <w:tcW w:w="847"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cs="宋体"/>
                <w:sz w:val="22"/>
                <w:szCs w:val="22"/>
                <w:highlight w:val="none"/>
                <w:lang w:eastAsia="zh-CN"/>
              </w:rPr>
              <w:t xml:space="preserve">20000</w:t>
            </w:r>
            <w:r/>
          </w:p>
        </w:tc>
      </w:tr>
      <w:tr>
        <w:trPr>
          <w:trHeight w:val="1227"/>
        </w:trPr>
        <w:tc>
          <w:tcPr>
            <w:tcW w:w="2874" w:type="pct"/>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包2：</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大丰区（6个）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新丰镇、南阳镇、三龙镇、刘庄镇、白驹镇、西团镇</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盐都区（7个）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学富镇、龙冈镇、郭猛镇、大冈镇、楼王镇、尚庄镇、秦南镇</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亭湖区（6个）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新兴镇、南洋镇、便仓镇、步凤镇、黄尖镇、盐东镇</w:t>
            </w:r>
            <w:r/>
          </w:p>
        </w:tc>
        <w:tc>
          <w:tcPr>
            <w:tcW w:w="66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19</w:t>
            </w:r>
            <w:r/>
          </w:p>
        </w:tc>
        <w:tc>
          <w:tcPr>
            <w:tcW w:w="60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3</w:t>
            </w:r>
            <w:r>
              <w:rPr>
                <w:rFonts w:hint="eastAsia" w:ascii="宋体" w:hAnsi="宋体" w:cs="宋体"/>
                <w:sz w:val="22"/>
                <w:szCs w:val="22"/>
                <w:highlight w:val="none"/>
                <w:vertAlign w:val="baseline"/>
                <w:lang w:val="en-US" w:eastAsia="zh-CN"/>
              </w:rPr>
              <w:t xml:space="preserve">8</w:t>
            </w:r>
            <w:r/>
          </w:p>
        </w:tc>
        <w:tc>
          <w:tcPr>
            <w:tcW w:w="847"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cs="宋体"/>
                <w:sz w:val="22"/>
                <w:szCs w:val="22"/>
                <w:highlight w:val="none"/>
                <w:lang w:eastAsia="zh-CN"/>
              </w:rPr>
              <w:t xml:space="preserve">20000</w:t>
            </w:r>
            <w:r/>
          </w:p>
        </w:tc>
      </w:tr>
      <w:tr>
        <w:trPr>
          <w:trHeight w:val="623"/>
        </w:trPr>
        <w:tc>
          <w:tcPr>
            <w:tcW w:w="2874" w:type="pct"/>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包3：</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建湖县（11个）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建阳镇、九龙口镇、恒济镇、颜单镇、沿河镇、芦沟镇、庆丰镇、上冈镇、冈西镇、宝塔镇、高作镇</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射阳县（8个）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新坍镇、长荡镇、盘湾镇、特庸镇、洋马镇、兴桥镇、黄沙港镇、合德镇</w:t>
            </w:r>
            <w:r/>
          </w:p>
        </w:tc>
        <w:tc>
          <w:tcPr>
            <w:tcW w:w="66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19</w:t>
            </w:r>
            <w:r/>
          </w:p>
        </w:tc>
        <w:tc>
          <w:tcPr>
            <w:tcW w:w="60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3</w:t>
            </w:r>
            <w:r>
              <w:rPr>
                <w:rFonts w:hint="eastAsia" w:ascii="宋体" w:hAnsi="宋体" w:cs="宋体"/>
                <w:sz w:val="22"/>
                <w:szCs w:val="22"/>
                <w:highlight w:val="none"/>
                <w:vertAlign w:val="baseline"/>
                <w:lang w:val="en-US" w:eastAsia="zh-CN"/>
              </w:rPr>
              <w:t xml:space="preserve">8</w:t>
            </w:r>
            <w:r/>
          </w:p>
        </w:tc>
        <w:tc>
          <w:tcPr>
            <w:tcW w:w="847"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cs="宋体"/>
                <w:sz w:val="22"/>
                <w:szCs w:val="22"/>
                <w:highlight w:val="none"/>
                <w:lang w:eastAsia="zh-CN"/>
              </w:rPr>
              <w:t xml:space="preserve">20000</w:t>
            </w:r>
            <w:r/>
          </w:p>
        </w:tc>
      </w:tr>
      <w:tr>
        <w:trPr>
          <w:trHeight w:val="1090"/>
        </w:trPr>
        <w:tc>
          <w:tcPr>
            <w:tcW w:w="2874" w:type="pct"/>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包4：</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滨海县（11个）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五汛镇、蔡桥镇、正红镇、通榆镇、界牌镇、八巨镇、八滩镇、滨海港镇、滨淮镇、天场镇、陈涛镇</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响水县（8个）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响水镇、陈家港镇、小尖镇、黄圩镇、大有镇、双港镇、南河镇、运河镇</w:t>
            </w:r>
            <w:r/>
          </w:p>
        </w:tc>
        <w:tc>
          <w:tcPr>
            <w:tcW w:w="66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19</w:t>
            </w:r>
            <w:r/>
          </w:p>
        </w:tc>
        <w:tc>
          <w:tcPr>
            <w:tcW w:w="60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3</w:t>
            </w:r>
            <w:r>
              <w:rPr>
                <w:rFonts w:hint="eastAsia" w:ascii="宋体" w:hAnsi="宋体" w:cs="宋体"/>
                <w:sz w:val="22"/>
                <w:szCs w:val="22"/>
                <w:highlight w:val="none"/>
                <w:vertAlign w:val="baseline"/>
                <w:lang w:val="en-US" w:eastAsia="zh-CN"/>
              </w:rPr>
              <w:t xml:space="preserve">8</w:t>
            </w:r>
            <w:r/>
          </w:p>
        </w:tc>
        <w:tc>
          <w:tcPr>
            <w:tcW w:w="847"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cs="宋体"/>
                <w:sz w:val="22"/>
                <w:szCs w:val="22"/>
                <w:highlight w:val="none"/>
                <w:lang w:eastAsia="zh-CN"/>
              </w:rPr>
              <w:t xml:space="preserve">20000</w:t>
            </w:r>
            <w:r/>
          </w:p>
        </w:tc>
      </w:tr>
      <w:tr>
        <w:trPr>
          <w:trHeight w:val="1227"/>
        </w:trPr>
        <w:tc>
          <w:tcPr>
            <w:tcW w:w="2874" w:type="pct"/>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包5：</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射阳县（5个）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临海镇、千秋镇、四明镇、海河镇、海通镇</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阜宁县（12个）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沟墩镇、陈良镇、三灶镇、郭墅镇、新沟镇、陈集镇、羊寨镇、芦蒲镇、板湖镇、东沟镇、益林镇、罗桥镇</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淮安市（1个）</w:t>
            </w:r>
            <w:r/>
          </w:p>
          <w:p>
            <w:pPr>
              <w:jc w:val="both"/>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苏嘴镇</w:t>
            </w:r>
            <w:r/>
          </w:p>
        </w:tc>
        <w:tc>
          <w:tcPr>
            <w:tcW w:w="66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18</w:t>
            </w:r>
            <w:r/>
          </w:p>
        </w:tc>
        <w:tc>
          <w:tcPr>
            <w:tcW w:w="60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3</w:t>
            </w:r>
            <w:r>
              <w:rPr>
                <w:rFonts w:hint="eastAsia" w:ascii="宋体" w:hAnsi="宋体" w:cs="宋体"/>
                <w:sz w:val="22"/>
                <w:szCs w:val="22"/>
                <w:highlight w:val="none"/>
                <w:vertAlign w:val="baseline"/>
                <w:lang w:val="en-US" w:eastAsia="zh-CN"/>
              </w:rPr>
              <w:t xml:space="preserve">6</w:t>
            </w:r>
            <w:r/>
          </w:p>
        </w:tc>
        <w:tc>
          <w:tcPr>
            <w:tcW w:w="847"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cs="宋体"/>
                <w:sz w:val="22"/>
                <w:szCs w:val="22"/>
                <w:highlight w:val="none"/>
                <w:lang w:eastAsia="zh-CN"/>
              </w:rPr>
              <w:t xml:space="preserve">20000</w:t>
            </w:r>
            <w:r/>
          </w:p>
        </w:tc>
      </w:tr>
    </w:tbl>
    <w:p>
      <w:pPr>
        <w:rPr>
          <w:rFonts w:hint="eastAsia" w:ascii="宋体" w:hAnsi="宋体" w:eastAsia="宋体" w:cs="宋体"/>
          <w:sz w:val="44"/>
          <w:szCs w:val="44"/>
        </w:rPr>
      </w:pPr>
      <w:r>
        <w:rPr>
          <w:rFonts w:hint="eastAsia" w:ascii="宋体" w:hAnsi="宋体" w:eastAsia="宋体" w:cs="宋体"/>
          <w:sz w:val="44"/>
          <w:szCs w:val="44"/>
          <w:highlight w:val="none"/>
        </w:rPr>
        <w:br w:type="page" w:clear="all"/>
      </w:r>
      <w:r/>
    </w:p>
    <w:p>
      <w:pPr>
        <w:pStyle w:val="771"/>
        <w:ind w:left="210" w:right="210"/>
        <w:spacing w:line="360" w:lineRule="auto"/>
        <w:rPr>
          <w:rFonts w:hint="eastAsia" w:ascii="宋体" w:hAnsi="宋体" w:eastAsia="宋体" w:cs="宋体"/>
          <w:color w:val="000000" w:themeColor="text1"/>
          <w:sz w:val="24"/>
          <w:szCs w:val="20"/>
          <w:lang w:val="en-US" w:eastAsia="zh-CN"/>
          <w14:textFill>
            <w14:solidFill>
              <w14:schemeClr w14:val="tx1"/>
            </w14:solidFill>
          </w14:textFill>
        </w:rPr>
      </w:pPr>
      <w:r>
        <w:rPr>
          <w:rFonts w:hint="eastAsia" w:ascii="宋体" w:hAnsi="宋体" w:eastAsia="宋体" w:cs="宋体"/>
          <w:color w:val="000000" w:themeColor="text1"/>
          <w:sz w:val="24"/>
          <w:szCs w:val="20"/>
          <w:lang w:eastAsia="zh-CN"/>
          <w14:textFill>
            <w14:solidFill>
              <w14:schemeClr w14:val="tx1"/>
            </w14:solidFill>
          </w14:textFill>
        </w:rPr>
        <w:t xml:space="preserve">附件2</w:t>
      </w:r>
      <w:r>
        <w:rPr>
          <w:rFonts w:hint="eastAsia" w:ascii="宋体" w:hAnsi="宋体" w:eastAsia="宋体" w:cs="宋体"/>
          <w:color w:val="000000" w:themeColor="text1"/>
          <w:sz w:val="24"/>
          <w:szCs w:val="20"/>
          <w14:textFill>
            <w14:solidFill>
              <w14:schemeClr w14:val="tx1"/>
            </w14:solidFill>
          </w14:textFill>
        </w:rPr>
        <w:t xml:space="preserve">、</w:t>
      </w:r>
      <w:r>
        <w:rPr>
          <w:rFonts w:hint="eastAsia" w:ascii="宋体" w:hAnsi="宋体" w:eastAsia="宋体" w:cs="宋体"/>
          <w:color w:val="000000" w:themeColor="text1"/>
          <w:sz w:val="24"/>
          <w:szCs w:val="20"/>
          <w:lang w:val="en-US" w:eastAsia="zh-CN"/>
          <w14:textFill>
            <w14:solidFill>
              <w14:schemeClr w14:val="tx1"/>
            </w14:solidFill>
          </w14:textFill>
        </w:rPr>
        <w:t xml:space="preserve">考核标准</w:t>
      </w:r>
      <w:r/>
    </w:p>
    <w:tbl>
      <w:tblPr>
        <w:tblStyle w:val="78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287"/>
        <w:gridCol w:w="1817"/>
        <w:gridCol w:w="2064"/>
        <w:gridCol w:w="2269"/>
        <w:gridCol w:w="1833"/>
      </w:tblGrid>
      <w:tr>
        <w:trPr>
          <w:trHeight w:val="1359"/>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hint="eastAsia" w:ascii="宋体" w:hAnsi="宋体" w:eastAsia="宋体" w:cs="宋体"/>
                <w:color w:val="auto"/>
                <w:sz w:val="21"/>
                <w:szCs w:val="21"/>
                <w:lang w:eastAsia="zh-CN"/>
              </w:rPr>
            </w:pPr>
            <w:r>
              <w:rPr>
                <w:rFonts w:hint="eastAsia" w:ascii="宋体" w:hAnsi="宋体" w:eastAsia="宋体" w:cs="宋体"/>
                <w:bCs/>
                <w:sz w:val="24"/>
                <w:szCs w:val="24"/>
                <w:lang w:eastAsia="zh-CN"/>
              </w:rPr>
              <w:t xml:space="preserve">盐城市“茉莉花开·家门口赏好戏”—全省优秀舞台艺术作品和优秀群众文艺作品乡镇巡演</w:t>
            </w:r>
            <w:r>
              <w:rPr>
                <w:rFonts w:hint="eastAsia" w:ascii="宋体" w:hAnsi="宋体" w:eastAsia="宋体" w:cs="宋体"/>
                <w:color w:val="auto"/>
                <w:sz w:val="24"/>
                <w:szCs w:val="24"/>
                <w:lang w:eastAsia="zh-CN"/>
              </w:rPr>
              <w:t xml:space="preserve">演出单位</w:t>
            </w:r>
            <w:r>
              <w:rPr>
                <w:rFonts w:hint="eastAsia" w:ascii="宋体" w:hAnsi="宋体" w:eastAsia="宋体" w:cs="宋体"/>
                <w:color w:val="auto"/>
                <w:sz w:val="24"/>
                <w:szCs w:val="24"/>
                <w:lang w:val="en-US" w:eastAsia="zh-CN"/>
              </w:rPr>
              <w:t xml:space="preserve">考核</w:t>
            </w:r>
            <w:r>
              <w:rPr>
                <w:rFonts w:hint="eastAsia" w:ascii="宋体" w:hAnsi="宋体" w:eastAsia="宋体" w:cs="宋体"/>
                <w:color w:val="auto"/>
                <w:sz w:val="24"/>
                <w:szCs w:val="24"/>
                <w:lang w:eastAsia="zh-CN"/>
              </w:rPr>
              <w:t xml:space="preserve">表</w:t>
            </w:r>
            <w:r/>
          </w:p>
        </w:tc>
      </w:tr>
      <w:tr>
        <w:trPr>
          <w:trHeight w:val="609"/>
        </w:trPr>
        <w:tc>
          <w:tcPr>
            <w:shd w:val="clear" w:color="auto" w:fill="auto"/>
            <w:tcBorders>
              <w:top w:val="single" w:color="auto" w:sz="8" w:space="0"/>
              <w:left w:val="single" w:color="auto" w:sz="8" w:space="0"/>
              <w:bottom w:val="single" w:color="auto" w:sz="4" w:space="0"/>
              <w:right w:val="single" w:color="auto" w:sz="4" w:space="0"/>
            </w:tcBorders>
            <w:tcW w:w="694" w:type="pct"/>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基本信息</w:t>
            </w:r>
            <w:r/>
          </w:p>
        </w:tc>
        <w:tc>
          <w:tcPr>
            <w:shd w:val="clear" w:color="auto" w:fill="auto"/>
            <w:tcBorders>
              <w:top w:val="single" w:color="auto" w:sz="8"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抽检</w:t>
            </w:r>
            <w:r>
              <w:rPr>
                <w:rFonts w:hint="eastAsia" w:ascii="宋体" w:hAnsi="宋体" w:eastAsia="宋体" w:cs="宋体"/>
                <w:color w:val="auto"/>
                <w:sz w:val="21"/>
                <w:szCs w:val="21"/>
              </w:rPr>
              <w:t xml:space="preserve">主体</w:t>
            </w:r>
            <w:r/>
          </w:p>
        </w:tc>
        <w:tc>
          <w:tcPr>
            <w:shd w:val="clear" w:color="auto" w:fill="auto"/>
            <w:tcBorders>
              <w:top w:val="single" w:color="auto" w:sz="8" w:space="0"/>
              <w:left w:val="none" w:color="000000" w:sz="4" w:space="0"/>
              <w:bottom w:val="single" w:color="auto" w:sz="4" w:space="0"/>
              <w:right w:val="single" w:color="auto" w:sz="4" w:space="0"/>
            </w:tcBorders>
            <w:tcW w:w="111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auto" w:sz="8" w:space="0"/>
              <w:left w:val="none" w:color="000000" w:sz="4" w:space="0"/>
              <w:bottom w:val="single" w:color="auto" w:sz="4" w:space="0"/>
              <w:right w:val="single" w:color="auto" w:sz="4" w:space="0"/>
            </w:tcBorders>
            <w:tcW w:w="12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抽检</w:t>
            </w:r>
            <w:r>
              <w:rPr>
                <w:rFonts w:hint="eastAsia" w:ascii="宋体" w:hAnsi="宋体" w:eastAsia="宋体" w:cs="宋体"/>
                <w:color w:val="auto"/>
                <w:sz w:val="21"/>
                <w:szCs w:val="21"/>
              </w:rPr>
              <w:t xml:space="preserve">时间</w:t>
            </w:r>
            <w:r/>
          </w:p>
        </w:tc>
        <w:tc>
          <w:tcPr>
            <w:shd w:val="clear" w:color="auto" w:fill="auto"/>
            <w:tcBorders>
              <w:top w:val="single" w:color="auto" w:sz="8" w:space="0"/>
              <w:left w:val="none" w:color="000000" w:sz="4" w:space="0"/>
              <w:bottom w:val="single" w:color="auto" w:sz="4" w:space="0"/>
              <w:right w:val="single" w:color="auto" w:sz="8" w:space="0"/>
            </w:tcBorders>
            <w:tcW w:w="988"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4"/>
        </w:trPr>
        <w:tc>
          <w:tcPr>
            <w:tcBorders>
              <w:top w:val="single" w:color="auto" w:sz="8" w:space="0"/>
              <w:left w:val="single" w:color="auto" w:sz="8" w:space="0"/>
              <w:bottom w:val="single" w:color="auto" w:sz="4" w:space="0"/>
              <w:right w:val="single" w:color="auto" w:sz="4" w:space="0"/>
            </w:tcBorders>
            <w:tcW w:w="694" w:type="pct"/>
            <w:vAlign w:val="center"/>
            <w:vMerge w:val="continue"/>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抽检</w:t>
            </w:r>
            <w:r>
              <w:rPr>
                <w:rFonts w:hint="eastAsia" w:ascii="宋体" w:hAnsi="宋体" w:eastAsia="宋体" w:cs="宋体"/>
                <w:color w:val="auto"/>
                <w:sz w:val="21"/>
                <w:szCs w:val="21"/>
              </w:rPr>
              <w:t xml:space="preserve">地点</w:t>
            </w:r>
            <w:r/>
          </w:p>
        </w:tc>
        <w:tc>
          <w:tcPr>
            <w:gridSpan w:val="3"/>
            <w:shd w:val="clear" w:color="auto" w:fill="auto"/>
            <w:tcBorders>
              <w:top w:val="single" w:color="auto" w:sz="4" w:space="0"/>
              <w:left w:val="none" w:color="000000" w:sz="4" w:space="0"/>
              <w:bottom w:val="single" w:color="auto" w:sz="4" w:space="0"/>
              <w:right w:val="single" w:color="000000" w:sz="8" w:space="0"/>
            </w:tcBorders>
            <w:tcW w:w="332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85"/>
        </w:trPr>
        <w:tc>
          <w:tcPr>
            <w:shd w:val="clear" w:color="auto" w:fill="auto"/>
            <w:tcBorders>
              <w:top w:val="none" w:color="000000" w:sz="4" w:space="0"/>
              <w:left w:val="single" w:color="auto" w:sz="8" w:space="0"/>
              <w:bottom w:val="single" w:color="auto" w:sz="4" w:space="0"/>
              <w:right w:val="single" w:color="auto" w:sz="4" w:space="0"/>
            </w:tcBorders>
            <w:tcW w:w="694" w:type="pct"/>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演出团队</w:t>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（20分）</w:t>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演职人员数量（满分5分）</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服装道具配备情况（满分5分）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9"/>
        </w:trPr>
        <w:tc>
          <w:tcPr>
            <w:tcBorders>
              <w:top w:val="none" w:color="000000" w:sz="4" w:space="0"/>
              <w:left w:val="single" w:color="auto" w:sz="8" w:space="0"/>
              <w:bottom w:val="single" w:color="auto" w:sz="4" w:space="0"/>
              <w:right w:val="single" w:color="auto" w:sz="4" w:space="0"/>
            </w:tcBorders>
            <w:tcW w:w="694" w:type="pct"/>
            <w:vAlign w:val="center"/>
            <w:vMerge w:val="continue"/>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演出</w:t>
            </w:r>
            <w:r>
              <w:rPr>
                <w:rFonts w:hint="eastAsia" w:ascii="宋体" w:hAnsi="宋体" w:eastAsia="宋体" w:cs="宋体"/>
                <w:color w:val="auto"/>
                <w:sz w:val="21"/>
                <w:szCs w:val="21"/>
                <w:lang w:eastAsia="zh-CN"/>
              </w:rPr>
              <w:t xml:space="preserve">人员专业素质</w:t>
            </w:r>
            <w:r>
              <w:rPr>
                <w:rFonts w:hint="eastAsia" w:ascii="宋体" w:hAnsi="宋体" w:eastAsia="宋体" w:cs="宋体"/>
                <w:color w:val="auto"/>
                <w:sz w:val="21"/>
                <w:szCs w:val="21"/>
              </w:rPr>
              <w:t xml:space="preserve">（满分5分）</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是否准时开演</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92"/>
        </w:trPr>
        <w:tc>
          <w:tcPr>
            <w:shd w:val="clear" w:color="auto" w:fill="auto"/>
            <w:tcBorders>
              <w:top w:val="none" w:color="000000" w:sz="4" w:space="0"/>
              <w:left w:val="single" w:color="auto" w:sz="8" w:space="0"/>
              <w:bottom w:val="single" w:color="auto" w:sz="4" w:space="0"/>
              <w:right w:val="single" w:color="auto" w:sz="4" w:space="0"/>
            </w:tcBorders>
            <w:tcW w:w="694" w:type="pct"/>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演出配套（</w:t>
            </w:r>
            <w:r>
              <w:rPr>
                <w:rFonts w:hint="eastAsia" w:ascii="宋体" w:hAnsi="宋体" w:eastAsia="宋体" w:cs="宋体"/>
                <w:b/>
                <w:bCs/>
                <w:color w:val="auto"/>
                <w:sz w:val="21"/>
                <w:szCs w:val="21"/>
                <w:lang w:val="en-US" w:eastAsia="zh-CN"/>
              </w:rPr>
              <w:t xml:space="preserve">20</w:t>
            </w:r>
            <w:r>
              <w:rPr>
                <w:rFonts w:hint="eastAsia" w:ascii="宋体" w:hAnsi="宋体" w:eastAsia="宋体" w:cs="宋体"/>
                <w:b/>
                <w:bCs/>
                <w:color w:val="auto"/>
                <w:sz w:val="21"/>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单机位录像（满分5分）</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演出</w:t>
            </w:r>
            <w:r>
              <w:rPr>
                <w:rFonts w:hint="eastAsia" w:ascii="宋体" w:hAnsi="宋体" w:eastAsia="宋体" w:cs="宋体"/>
                <w:color w:val="auto"/>
                <w:sz w:val="21"/>
                <w:szCs w:val="21"/>
                <w:lang w:eastAsia="zh-CN"/>
              </w:rPr>
              <w:t xml:space="preserve">现场周边</w:t>
            </w:r>
            <w:r>
              <w:rPr>
                <w:rFonts w:hint="eastAsia" w:ascii="宋体" w:hAnsi="宋体" w:eastAsia="宋体" w:cs="宋体"/>
                <w:color w:val="auto"/>
                <w:sz w:val="21"/>
                <w:szCs w:val="21"/>
              </w:rPr>
              <w:t xml:space="preserve">宣传情况（满分5分）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14"/>
        </w:trPr>
        <w:tc>
          <w:tcPr>
            <w:tcBorders>
              <w:top w:val="none" w:color="000000" w:sz="4" w:space="0"/>
              <w:left w:val="single" w:color="auto" w:sz="8" w:space="0"/>
              <w:bottom w:val="single" w:color="auto" w:sz="4" w:space="0"/>
              <w:right w:val="single" w:color="auto" w:sz="4" w:space="0"/>
            </w:tcBorders>
            <w:tcW w:w="694" w:type="pct"/>
            <w:vAlign w:val="center"/>
            <w:vMerge w:val="continue"/>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多角度演出现场拍照</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（满分5分）</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val="false"/>
          </w:tcPr>
          <w:p>
            <w:pPr>
              <w:jc w:val="center"/>
              <w:spacing w:line="2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字幕机</w:t>
            </w:r>
            <w:r>
              <w:rPr>
                <w:rFonts w:hint="eastAsia" w:ascii="宋体" w:hAnsi="宋体" w:eastAsia="宋体" w:cs="宋体"/>
                <w:color w:val="auto"/>
                <w:sz w:val="21"/>
                <w:szCs w:val="21"/>
                <w:lang w:eastAsia="zh-CN"/>
              </w:rPr>
              <w:t xml:space="preserve">的配套使用</w:t>
            </w:r>
            <w:r>
              <w:rPr>
                <w:rFonts w:hint="eastAsia" w:ascii="宋体" w:hAnsi="宋体" w:eastAsia="宋体" w:cs="宋体"/>
                <w:color w:val="auto"/>
                <w:sz w:val="21"/>
                <w:szCs w:val="21"/>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01"/>
        </w:trPr>
        <w:tc>
          <w:tcPr>
            <w:shd w:val="clear" w:color="auto" w:fill="auto"/>
            <w:tcBorders>
              <w:top w:val="none" w:color="000000" w:sz="4" w:space="0"/>
              <w:left w:val="single" w:color="auto" w:sz="8" w:space="0"/>
              <w:right w:val="single" w:color="auto" w:sz="4" w:space="0"/>
            </w:tcBorders>
            <w:tcW w:w="694" w:type="pct"/>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演出效果（</w:t>
            </w:r>
            <w:r>
              <w:rPr>
                <w:rFonts w:hint="eastAsia" w:ascii="宋体" w:hAnsi="宋体" w:eastAsia="宋体" w:cs="宋体"/>
                <w:b/>
                <w:bCs/>
                <w:color w:val="auto"/>
                <w:sz w:val="21"/>
                <w:szCs w:val="21"/>
                <w:lang w:val="en-US" w:eastAsia="zh-CN"/>
              </w:rPr>
              <w:t xml:space="preserve">40</w:t>
            </w:r>
            <w:r>
              <w:rPr>
                <w:rFonts w:hint="eastAsia" w:ascii="宋体" w:hAnsi="宋体" w:eastAsia="宋体" w:cs="宋体"/>
                <w:b/>
                <w:bCs/>
                <w:color w:val="auto"/>
                <w:sz w:val="21"/>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是否有</w:t>
            </w:r>
            <w:r>
              <w:rPr>
                <w:rFonts w:hint="eastAsia" w:ascii="宋体" w:hAnsi="宋体" w:eastAsia="宋体" w:cs="宋体"/>
                <w:color w:val="auto"/>
                <w:sz w:val="21"/>
                <w:szCs w:val="21"/>
                <w:lang w:eastAsia="zh-CN"/>
              </w:rPr>
              <w:t xml:space="preserve">规定</w:t>
            </w:r>
            <w:r>
              <w:rPr>
                <w:rFonts w:hint="eastAsia" w:ascii="宋体" w:hAnsi="宋体" w:eastAsia="宋体" w:cs="宋体"/>
                <w:color w:val="auto"/>
                <w:sz w:val="21"/>
                <w:szCs w:val="21"/>
              </w:rPr>
              <w:t xml:space="preserve">主持词（满分5分）</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音响效果</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59"/>
        </w:trPr>
        <w:tc>
          <w:tcPr>
            <w:tcBorders>
              <w:left w:val="single" w:color="auto" w:sz="8" w:space="0"/>
              <w:right w:val="single" w:color="auto" w:sz="4" w:space="0"/>
            </w:tcBorders>
            <w:tcW w:w="694" w:type="pct"/>
            <w:vAlign w:val="center"/>
            <w:vMerge w:val="continue"/>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与节目单一致性（满分5分）</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是否存在“假唱”</w:t>
            </w:r>
            <w:r>
              <w:rPr>
                <w:rFonts w:hint="eastAsia" w:ascii="宋体" w:hAnsi="宋体" w:eastAsia="宋体" w:cs="宋体"/>
                <w:color w:val="auto"/>
                <w:sz w:val="21"/>
                <w:szCs w:val="21"/>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83"/>
        </w:trPr>
        <w:tc>
          <w:tcPr>
            <w:tcBorders>
              <w:left w:val="single" w:color="auto" w:sz="8" w:space="0"/>
              <w:right w:val="single" w:color="auto" w:sz="4" w:space="0"/>
            </w:tcBorders>
            <w:tcW w:w="694" w:type="pct"/>
            <w:vAlign w:val="center"/>
            <w:vMerge w:val="continue"/>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演出时长</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（满分5分）</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节目类型是否齐全</w:t>
            </w:r>
            <w:r>
              <w:rPr>
                <w:rFonts w:hint="eastAsia" w:ascii="宋体" w:hAnsi="宋体" w:eastAsia="宋体" w:cs="宋体"/>
                <w:color w:val="auto"/>
                <w:sz w:val="21"/>
                <w:szCs w:val="21"/>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83"/>
        </w:trPr>
        <w:tc>
          <w:tcPr>
            <w:tcBorders>
              <w:left w:val="single" w:color="auto" w:sz="8" w:space="0"/>
              <w:bottom w:val="single" w:color="auto" w:sz="4" w:space="0"/>
              <w:right w:val="single" w:color="auto" w:sz="4" w:space="0"/>
            </w:tcBorders>
            <w:tcW w:w="694" w:type="pct"/>
            <w:vAlign w:val="center"/>
            <w:vMerge w:val="continue"/>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演出设备配备</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（满分5分）</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电脑灯的配置与应用</w:t>
            </w:r>
            <w:r>
              <w:rPr>
                <w:rFonts w:hint="eastAsia" w:ascii="宋体" w:hAnsi="宋体" w:eastAsia="宋体" w:cs="宋体"/>
                <w:color w:val="auto"/>
                <w:sz w:val="21"/>
                <w:szCs w:val="21"/>
                <w:highlight w:val="none"/>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99"/>
        </w:trPr>
        <w:tc>
          <w:tcPr>
            <w:shd w:val="clear" w:color="auto" w:fill="auto"/>
            <w:tcBorders>
              <w:top w:val="none" w:color="000000" w:sz="4" w:space="0"/>
              <w:left w:val="single" w:color="auto" w:sz="8" w:space="0"/>
              <w:bottom w:val="single" w:color="auto" w:sz="4" w:space="0"/>
              <w:right w:val="single" w:color="auto" w:sz="4" w:space="0"/>
            </w:tcBorders>
            <w:tcW w:w="694" w:type="pct"/>
            <w:vAlign w:val="center"/>
            <w:vMerge w:val="restart"/>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社会评价（2</w:t>
            </w:r>
            <w:r>
              <w:rPr>
                <w:rFonts w:hint="eastAsia" w:ascii="宋体" w:hAnsi="宋体" w:eastAsia="宋体" w:cs="宋体"/>
                <w:b/>
                <w:bCs/>
                <w:color w:val="auto"/>
                <w:sz w:val="21"/>
                <w:szCs w:val="21"/>
                <w:lang w:val="en-US" w:eastAsia="zh-CN"/>
              </w:rPr>
              <w:t xml:space="preserve">0</w:t>
            </w:r>
            <w:r>
              <w:rPr>
                <w:rFonts w:hint="eastAsia" w:ascii="宋体" w:hAnsi="宋体" w:eastAsia="宋体" w:cs="宋体"/>
                <w:b/>
                <w:bCs/>
                <w:color w:val="auto"/>
                <w:sz w:val="21"/>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资料完整性（满分5分）</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演出</w:t>
            </w:r>
            <w:r>
              <w:rPr>
                <w:rFonts w:hint="eastAsia" w:ascii="宋体" w:hAnsi="宋体" w:eastAsia="宋体" w:cs="宋体"/>
                <w:color w:val="auto"/>
                <w:sz w:val="21"/>
                <w:szCs w:val="21"/>
              </w:rPr>
              <w:t xml:space="preserve">现场气氛</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21"/>
        </w:trPr>
        <w:tc>
          <w:tcPr>
            <w:tcBorders>
              <w:top w:val="none" w:color="000000" w:sz="4" w:space="0"/>
              <w:left w:val="single" w:color="auto" w:sz="8" w:space="0"/>
              <w:bottom w:val="single" w:color="auto" w:sz="4" w:space="0"/>
              <w:right w:val="single" w:color="auto" w:sz="4" w:space="0"/>
            </w:tcBorders>
            <w:tcW w:w="694" w:type="pct"/>
            <w:vAlign w:val="center"/>
            <w:vMerge w:val="continue"/>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观众驻留时长（满分5分）</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观众</w:t>
            </w:r>
            <w:r>
              <w:rPr>
                <w:rFonts w:hint="eastAsia" w:ascii="宋体" w:hAnsi="宋体" w:eastAsia="宋体" w:cs="宋体"/>
                <w:color w:val="auto"/>
                <w:sz w:val="21"/>
                <w:szCs w:val="21"/>
                <w:lang w:eastAsia="zh-CN"/>
              </w:rPr>
              <w:t xml:space="preserve">满意</w:t>
            </w:r>
            <w:r>
              <w:rPr>
                <w:rFonts w:hint="eastAsia" w:ascii="宋体" w:hAnsi="宋体" w:eastAsia="宋体" w:cs="宋体"/>
                <w:color w:val="auto"/>
                <w:sz w:val="21"/>
                <w:szCs w:val="21"/>
              </w:rPr>
              <w:t xml:space="preserve">度</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921"/>
        </w:trPr>
        <w:tc>
          <w:tcPr>
            <w:tcBorders>
              <w:top w:val="none" w:color="000000" w:sz="4" w:space="0"/>
              <w:left w:val="single" w:color="auto" w:sz="8" w:space="0"/>
              <w:bottom w:val="single" w:color="auto" w:sz="4" w:space="0"/>
              <w:right w:val="single" w:color="auto" w:sz="4" w:space="0"/>
            </w:tcBorders>
            <w:tcW w:w="694" w:type="pct"/>
            <w:vAlign w:val="center"/>
            <w:textDirection w:val="lrTb"/>
            <w:noWrap w:val="false"/>
          </w:tcPr>
          <w:p>
            <w:pPr>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附加分</w:t>
            </w:r>
            <w:r/>
          </w:p>
          <w:p>
            <w:pPr>
              <w:jc w:val="center"/>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10分</w:t>
            </w:r>
            <w:r>
              <w:rPr>
                <w:rFonts w:hint="eastAsia" w:ascii="宋体" w:hAnsi="宋体" w:eastAsia="宋体" w:cs="宋体"/>
                <w:b/>
                <w:bCs/>
                <w:color w:val="auto"/>
                <w:sz w:val="21"/>
                <w:szCs w:val="21"/>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80"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演出中有梅花奖（或同等级别奖项）获得者参与演出</w:t>
            </w:r>
            <w:r/>
          </w:p>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（满分</w:t>
            </w:r>
            <w:r>
              <w:rPr>
                <w:rFonts w:hint="eastAsia" w:ascii="宋体" w:hAnsi="宋体" w:eastAsia="宋体" w:cs="宋体"/>
                <w:color w:val="auto"/>
                <w:sz w:val="21"/>
                <w:szCs w:val="21"/>
                <w:lang w:val="en-US" w:eastAsia="zh-CN"/>
              </w:rPr>
              <w:t xml:space="preserve">5分</w:t>
            </w:r>
            <w:r>
              <w:rPr>
                <w:rFonts w:hint="eastAsia" w:ascii="宋体" w:hAnsi="宋体" w:eastAsia="宋体" w:cs="宋体"/>
                <w:color w:val="auto"/>
                <w:sz w:val="21"/>
                <w:szCs w:val="21"/>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13"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2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演出现场互动情况（满分5分）</w:t>
            </w:r>
            <w:r/>
          </w:p>
        </w:tc>
        <w:tc>
          <w:tcPr>
            <w:shd w:val="clear" w:color="auto" w:fill="auto"/>
            <w:tcBorders>
              <w:top w:val="none" w:color="000000" w:sz="4" w:space="0"/>
              <w:left w:val="none" w:color="000000" w:sz="4" w:space="0"/>
              <w:bottom w:val="single" w:color="auto" w:sz="4" w:space="0"/>
              <w:right w:val="single" w:color="auto" w:sz="8" w:space="0"/>
            </w:tcBorders>
            <w:tcW w:w="98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14"/>
        </w:trPr>
        <w:tc>
          <w:tcPr>
            <w:gridSpan w:val="2"/>
            <w:shd w:val="clear" w:color="auto" w:fill="auto"/>
            <w:tcBorders>
              <w:top w:val="single" w:color="auto" w:sz="4" w:space="0"/>
              <w:left w:val="single" w:color="auto" w:sz="8" w:space="0"/>
              <w:bottom w:val="single" w:color="auto" w:sz="8" w:space="0"/>
              <w:right w:val="single" w:color="auto" w:sz="4" w:space="0"/>
            </w:tcBorders>
            <w:tcW w:w="1674"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总分（满分1</w:t>
            </w:r>
            <w:r>
              <w:rPr>
                <w:rFonts w:hint="eastAsia" w:ascii="宋体" w:hAnsi="宋体" w:eastAsia="宋体" w:cs="宋体"/>
                <w:b/>
                <w:bCs/>
                <w:color w:val="auto"/>
                <w:sz w:val="21"/>
                <w:szCs w:val="21"/>
                <w:lang w:val="en-US" w:eastAsia="zh-CN"/>
              </w:rPr>
              <w:t xml:space="preserve">10</w:t>
            </w:r>
            <w:r>
              <w:rPr>
                <w:rFonts w:hint="eastAsia" w:ascii="宋体" w:hAnsi="宋体" w:eastAsia="宋体" w:cs="宋体"/>
                <w:b/>
                <w:bCs/>
                <w:color w:val="auto"/>
                <w:sz w:val="21"/>
                <w:szCs w:val="21"/>
              </w:rPr>
              <w:t xml:space="preserve">分）</w:t>
            </w:r>
            <w:r/>
          </w:p>
        </w:tc>
        <w:tc>
          <w:tcPr>
            <w:gridSpan w:val="3"/>
            <w:shd w:val="clear" w:color="auto" w:fill="auto"/>
            <w:tcBorders>
              <w:top w:val="none" w:color="000000" w:sz="4" w:space="0"/>
              <w:left w:val="none" w:color="000000" w:sz="4" w:space="0"/>
              <w:bottom w:val="single" w:color="auto" w:sz="8" w:space="0"/>
              <w:right w:val="single" w:color="auto" w:sz="8" w:space="0"/>
            </w:tcBorders>
            <w:tcW w:w="3325" w:type="pct"/>
            <w:vAlign w:val="center"/>
            <w:textDirection w:val="lrTb"/>
            <w:noWrap w:val="false"/>
          </w:tcPr>
          <w:p>
            <w:pPr>
              <w:jc w:val="lef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r>
    </w:tbl>
    <w:p>
      <w:pPr>
        <w:pStyle w:val="1043"/>
        <w:jc w:val="center"/>
        <w:spacing w:beforeAutospacing="0" w:afterAutospacing="0"/>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r>
      <w:r/>
    </w:p>
    <w:p>
      <w:pPr>
        <w:rPr>
          <w:rFonts w:hint="eastAsia" w:ascii="宋体" w:hAnsi="宋体" w:eastAsia="宋体" w:cs="宋体"/>
          <w:color w:val="auto"/>
          <w:sz w:val="44"/>
          <w:szCs w:val="44"/>
          <w:lang w:val="en-US" w:eastAsia="zh-CN" w:bidi="ar-SA"/>
        </w:rPr>
      </w:pPr>
      <w:r>
        <w:rPr>
          <w:rFonts w:hint="eastAsia" w:ascii="宋体" w:hAnsi="宋体" w:eastAsia="宋体" w:cs="宋体"/>
          <w:color w:val="auto"/>
          <w:sz w:val="44"/>
          <w:szCs w:val="44"/>
          <w:lang w:val="en-US" w:eastAsia="zh-CN" w:bidi="ar-SA"/>
        </w:rPr>
      </w:r>
      <w:r/>
    </w:p>
    <w:p>
      <w:pPr>
        <w:jc w:val="center"/>
        <w:rPr>
          <w:rFonts w:hint="eastAsia" w:ascii="宋体" w:hAnsi="宋体" w:eastAsia="宋体" w:cs="宋体"/>
          <w:b/>
          <w:bCs/>
          <w:color w:val="auto"/>
          <w:sz w:val="44"/>
          <w:szCs w:val="44"/>
          <w:highlight w:val="none"/>
        </w:rPr>
        <w:outlineLvl w:val="0"/>
      </w:pPr>
      <w:r>
        <w:rPr>
          <w:rFonts w:hint="eastAsia" w:ascii="宋体" w:hAnsi="宋体" w:eastAsia="宋体" w:cs="宋体"/>
          <w:color w:val="auto"/>
          <w:sz w:val="44"/>
          <w:szCs w:val="44"/>
          <w:lang w:val="en-US" w:eastAsia="zh-CN" w:bidi="ar-SA"/>
        </w:rPr>
        <w:br w:type="page" w:clear="all"/>
      </w:r>
      <w:r>
        <w:rPr>
          <w:rFonts w:hint="eastAsia" w:ascii="宋体" w:hAnsi="宋体" w:eastAsia="宋体" w:cs="宋体"/>
          <w:b/>
          <w:bCs/>
          <w:color w:val="auto"/>
          <w:sz w:val="44"/>
          <w:szCs w:val="44"/>
          <w:lang w:val="en-US" w:eastAsia="zh-CN" w:bidi="ar-SA"/>
        </w:rPr>
        <w:t xml:space="preserve">第五章</w:t>
      </w:r>
      <w:r>
        <w:rPr>
          <w:rFonts w:hint="eastAsia" w:ascii="宋体" w:hAnsi="宋体" w:eastAsia="宋体" w:cs="宋体"/>
          <w:b/>
          <w:bCs/>
          <w:color w:val="auto"/>
          <w:sz w:val="44"/>
          <w:szCs w:val="44"/>
          <w:highlight w:val="none"/>
          <w:lang w:val="en-US" w:eastAsia="zh-CN"/>
        </w:rPr>
        <w:t xml:space="preserve"> </w:t>
      </w:r>
      <w:bookmarkStart w:id="152" w:name="_Toc1167"/>
      <w:r>
        <w:rPr>
          <w:rFonts w:hint="eastAsia" w:ascii="宋体" w:hAnsi="宋体" w:eastAsia="宋体" w:cs="宋体"/>
          <w:b/>
          <w:bCs/>
          <w:color w:val="auto"/>
          <w:sz w:val="44"/>
          <w:szCs w:val="44"/>
          <w:highlight w:val="none"/>
        </w:rPr>
        <w:t xml:space="preserve">评审方法和评审标准</w:t>
      </w:r>
      <w:bookmarkEnd w:id="152"/>
      <w:r/>
      <w:r/>
    </w:p>
    <w:p>
      <w:pPr>
        <w:ind w:left="0" w:firstLine="482"/>
        <w:keepLines w:val="0"/>
        <w:keepNext w:val="0"/>
        <w:pageBreakBefore w:val="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多个分包评审办法</w:t>
      </w:r>
      <w:r/>
    </w:p>
    <w:p>
      <w:pPr>
        <w:ind w:firstLine="477"/>
        <w:spacing w:line="50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1、供应商可同时参与多个</w:t>
      </w:r>
      <w:r>
        <w:rPr>
          <w:rFonts w:hint="eastAsia" w:ascii="宋体" w:hAnsi="宋体" w:eastAsia="宋体" w:cs="宋体"/>
          <w:color w:val="auto"/>
          <w:sz w:val="24"/>
          <w:highlight w:val="none"/>
          <w:lang w:val="en-US" w:eastAsia="zh-CN"/>
        </w:rPr>
        <w:t xml:space="preserve">分包</w:t>
      </w:r>
      <w:r>
        <w:rPr>
          <w:rFonts w:hint="eastAsia" w:ascii="宋体" w:hAnsi="宋体" w:eastAsia="宋体" w:cs="宋体"/>
          <w:color w:val="auto"/>
          <w:sz w:val="24"/>
          <w:highlight w:val="none"/>
        </w:rPr>
        <w:t xml:space="preserve">的投标，但最多中标</w:t>
      </w:r>
      <w:r>
        <w:rPr>
          <w:rFonts w:hint="eastAsia" w:ascii="宋体" w:hAnsi="宋体" w:eastAsia="宋体" w:cs="宋体"/>
          <w:color w:val="auto"/>
          <w:sz w:val="24"/>
          <w:highlight w:val="none"/>
          <w:lang w:val="en-US" w:eastAsia="zh-CN"/>
        </w:rPr>
        <w:t xml:space="preserve">其中一</w:t>
      </w:r>
      <w:r>
        <w:rPr>
          <w:rFonts w:hint="eastAsia" w:ascii="宋体" w:hAnsi="宋体" w:eastAsia="宋体" w:cs="宋体"/>
          <w:color w:val="auto"/>
          <w:sz w:val="24"/>
          <w:highlight w:val="none"/>
        </w:rPr>
        <w:t xml:space="preserve">个</w:t>
      </w:r>
      <w:r>
        <w:rPr>
          <w:rFonts w:hint="eastAsia" w:ascii="宋体" w:hAnsi="宋体" w:eastAsia="宋体" w:cs="宋体"/>
          <w:color w:val="auto"/>
          <w:sz w:val="24"/>
          <w:highlight w:val="none"/>
          <w:lang w:val="en-US" w:eastAsia="zh-CN"/>
        </w:rPr>
        <w:t xml:space="preserve">分包</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已</w:t>
      </w:r>
      <w:r>
        <w:rPr>
          <w:rFonts w:hint="eastAsia" w:ascii="宋体" w:hAnsi="宋体" w:eastAsia="宋体" w:cs="宋体"/>
          <w:color w:val="auto"/>
          <w:sz w:val="24"/>
          <w:highlight w:val="none"/>
        </w:rPr>
        <w:t xml:space="preserve">中</w:t>
      </w:r>
      <w:r>
        <w:rPr>
          <w:rFonts w:hint="eastAsia" w:ascii="宋体" w:hAnsi="宋体" w:eastAsia="宋体" w:cs="宋体"/>
          <w:color w:val="auto"/>
          <w:sz w:val="24"/>
          <w:highlight w:val="none"/>
          <w:lang w:val="en-US" w:eastAsia="zh-CN"/>
        </w:rPr>
        <w:t xml:space="preserve">标</w:t>
      </w:r>
      <w:r>
        <w:rPr>
          <w:rFonts w:hint="eastAsia" w:ascii="宋体" w:hAnsi="宋体" w:eastAsia="宋体" w:cs="宋体"/>
          <w:color w:val="auto"/>
          <w:sz w:val="24"/>
          <w:highlight w:val="none"/>
        </w:rPr>
        <w:t xml:space="preserve">的供应商仍</w:t>
      </w:r>
      <w:r>
        <w:rPr>
          <w:rFonts w:hint="eastAsia" w:ascii="宋体" w:hAnsi="宋体" w:eastAsia="宋体" w:cs="宋体"/>
          <w:color w:val="auto"/>
          <w:sz w:val="24"/>
          <w:highlight w:val="none"/>
          <w:lang w:val="en-US" w:eastAsia="zh-CN"/>
        </w:rPr>
        <w:t xml:space="preserve">可</w:t>
      </w:r>
      <w:r>
        <w:rPr>
          <w:rFonts w:hint="eastAsia" w:ascii="宋体" w:hAnsi="宋体" w:eastAsia="宋体" w:cs="宋体"/>
          <w:color w:val="auto"/>
          <w:sz w:val="24"/>
          <w:highlight w:val="none"/>
        </w:rPr>
        <w:t xml:space="preserve">参与其他</w:t>
      </w:r>
      <w:r>
        <w:rPr>
          <w:rFonts w:hint="eastAsia" w:ascii="宋体" w:hAnsi="宋体" w:eastAsia="宋体" w:cs="宋体"/>
          <w:color w:val="auto"/>
          <w:sz w:val="24"/>
          <w:highlight w:val="none"/>
          <w:lang w:val="en-US" w:eastAsia="zh-CN"/>
        </w:rPr>
        <w:t xml:space="preserve">分包</w:t>
      </w:r>
      <w:r>
        <w:rPr>
          <w:rFonts w:hint="eastAsia" w:ascii="宋体" w:hAnsi="宋体" w:eastAsia="宋体" w:cs="宋体"/>
          <w:color w:val="auto"/>
          <w:sz w:val="24"/>
          <w:highlight w:val="none"/>
        </w:rPr>
        <w:t xml:space="preserve">的评审</w:t>
      </w:r>
      <w:r>
        <w:rPr>
          <w:rFonts w:hint="eastAsia" w:ascii="宋体" w:hAnsi="宋体" w:eastAsia="宋体" w:cs="宋体"/>
          <w:color w:val="auto"/>
          <w:sz w:val="24"/>
          <w:highlight w:val="none"/>
          <w:lang w:val="en-US" w:eastAsia="zh-CN"/>
        </w:rPr>
        <w:t xml:space="preserve">，但不作为其他分包的中标候选人</w:t>
      </w:r>
      <w:r>
        <w:rPr>
          <w:rFonts w:hint="eastAsia" w:ascii="宋体" w:hAnsi="宋体" w:eastAsia="宋体" w:cs="宋体"/>
          <w:color w:val="auto"/>
          <w:sz w:val="24"/>
          <w:highlight w:val="none"/>
        </w:rPr>
        <w:t xml:space="preserve">。</w:t>
      </w:r>
      <w:r/>
    </w:p>
    <w:p>
      <w:pPr>
        <w:ind w:firstLine="477"/>
        <w:spacing w:line="500" w:lineRule="exact"/>
        <w:tabs>
          <w:tab w:val="left" w:pos="900" w:leader="none"/>
        </w:tabs>
        <w:rPr>
          <w:rFonts w:hint="eastAsia" w:ascii="宋体" w:hAnsi="宋体" w:eastAsia="宋体" w:cs="宋体"/>
          <w:b/>
          <w:color w:val="auto"/>
          <w:highlight w:val="none"/>
        </w:rPr>
      </w:pPr>
      <w:r>
        <w:rPr>
          <w:rFonts w:hint="eastAsia" w:ascii="宋体" w:hAnsi="宋体" w:eastAsia="宋体" w:cs="宋体"/>
          <w:color w:val="auto"/>
          <w:sz w:val="24"/>
          <w:highlight w:val="none"/>
        </w:rPr>
        <w:t xml:space="preserve">2、评审、定标顺序：分包1→分包</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，即分包1、分包2、分包3、分包4、分包5。</w:t>
      </w:r>
      <w:r/>
    </w:p>
    <w:p>
      <w:pPr>
        <w:pStyle w:val="816"/>
        <w:ind w:left="0" w:firstLine="482"/>
        <w:keepLines w:val="0"/>
        <w:keepNext w:val="0"/>
        <w:pageBreakBefore w:val="0"/>
        <w:spacing w:before="0" w:beforeAutospacing="0" w:after="0" w:afterAutospacing="0" w:line="500" w:lineRule="exact"/>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998"/>
        <w:ind w:left="0" w:firstLine="480"/>
        <w:keepLines w:val="0"/>
        <w:keepNext w:val="0"/>
        <w:pageBreakBefore w:val="0"/>
        <w:spacing w:before="0" w:after="0" w:line="500" w:lineRule="exact"/>
        <w:rPr>
          <w:rFonts w:hint="eastAsia" w:ascii="宋体" w:hAnsi="宋体" w:eastAsia="宋体" w:cs="宋体"/>
          <w:sz w:val="28"/>
          <w:szCs w:val="28"/>
          <w:highlight w:val="none"/>
          <w:u w:val="none"/>
          <w:lang w:val="en-US" w:eastAsia="zh-CN"/>
        </w:rPr>
      </w:pPr>
      <w:r>
        <w:rPr>
          <w:rFonts w:hint="eastAsia" w:ascii="宋体" w:hAnsi="宋体" w:eastAsia="宋体" w:cs="宋体"/>
          <w:highlight w:val="none"/>
        </w:rPr>
        <w:t xml:space="preserve">（1）本项目不专门面向中小企业采购，对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w:t>
      </w:r>
      <w:r>
        <w:rPr>
          <w:rFonts w:hint="eastAsia" w:ascii="宋体" w:hAnsi="宋体" w:eastAsia="宋体" w:cs="宋体"/>
          <w:highlight w:val="none"/>
          <w:u w:val="none"/>
        </w:rPr>
        <w:t xml:space="preserve">价格，用扣除后的价格参与评审</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highlight w:val="none"/>
          <w:u w:val="none"/>
        </w:rPr>
      </w:pPr>
      <w:r>
        <w:rPr>
          <w:rFonts w:hint="eastAsia" w:ascii="宋体" w:hAnsi="宋体" w:eastAsia="宋体" w:cs="宋体"/>
          <w:color w:val="000000"/>
          <w:highlight w:val="none"/>
          <w:u w:val="none"/>
        </w:rPr>
        <w:t xml:space="preserve">（2）供应商需按照采购文件的要求提供相应的《</w:t>
      </w:r>
      <w:r>
        <w:rPr>
          <w:rFonts w:hint="eastAsia" w:ascii="宋体" w:hAnsi="宋体" w:eastAsia="宋体" w:cs="宋体"/>
          <w:color w:val="auto"/>
          <w:highlight w:val="none"/>
          <w:u w:val="none"/>
          <w:lang w:val="en-US" w:eastAsia="zh-CN"/>
        </w:rPr>
        <w:t xml:space="preserve">中小</w:t>
      </w:r>
      <w:r>
        <w:rPr>
          <w:rFonts w:hint="eastAsia" w:ascii="宋体" w:hAnsi="宋体" w:eastAsia="宋体" w:cs="宋体"/>
          <w:color w:val="auto"/>
          <w:highlight w:val="none"/>
          <w:u w:val="none"/>
        </w:rPr>
        <w:t xml:space="preserve">企业声明函</w:t>
      </w:r>
      <w:r>
        <w:rPr>
          <w:rFonts w:hint="eastAsia" w:ascii="宋体" w:hAnsi="宋体" w:eastAsia="宋体" w:cs="宋体"/>
          <w:color w:val="000000"/>
          <w:highlight w:val="none"/>
          <w:u w:val="none"/>
        </w:rPr>
        <w:t xml:space="preserve">》。</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highlight w:val="none"/>
          <w:u w:val="none"/>
        </w:rPr>
      </w:pPr>
      <w:r>
        <w:rPr>
          <w:rFonts w:hint="eastAsia" w:ascii="宋体" w:hAnsi="宋体" w:eastAsia="宋体" w:cs="宋体"/>
          <w:color w:val="000000"/>
          <w:highlight w:val="none"/>
          <w:u w:val="none"/>
        </w:rPr>
        <w:t xml:space="preserve">（3）企业标准请参照《关于印发中小企业划型标准规定的通知》（工信部联企业</w:t>
      </w:r>
      <w:r>
        <w:rPr>
          <w:rFonts w:hint="eastAsia" w:ascii="宋体" w:hAnsi="宋体" w:eastAsia="宋体" w:cs="宋体"/>
          <w:color w:val="000000"/>
          <w:highlight w:val="none"/>
          <w:u w:val="none"/>
          <w:lang w:eastAsia="zh-CN"/>
        </w:rPr>
        <w:t xml:space="preserve">〔2011〕300号</w:t>
      </w:r>
      <w:r>
        <w:rPr>
          <w:rFonts w:hint="eastAsia" w:ascii="宋体" w:hAnsi="宋体" w:eastAsia="宋体" w:cs="宋体"/>
          <w:color w:val="000000"/>
          <w:highlight w:val="none"/>
          <w:u w:val="none"/>
        </w:rPr>
        <w:t xml:space="preserve">）文件规定自行填写。</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highlight w:val="none"/>
          <w:u w:val="none"/>
        </w:rPr>
      </w:pPr>
      <w:r>
        <w:rPr>
          <w:rFonts w:hint="eastAsia" w:ascii="宋体" w:hAnsi="宋体" w:eastAsia="宋体" w:cs="宋体"/>
          <w:color w:val="000000"/>
          <w:highlight w:val="none"/>
          <w:u w:val="none"/>
        </w:rPr>
        <w:t xml:space="preserve">2、残疾人福利单位价格扣除</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000000"/>
          <w:highlight w:val="none"/>
          <w:u w:val="none"/>
          <w:lang w:eastAsia="zh-CN"/>
        </w:rPr>
      </w:pPr>
      <w:r>
        <w:rPr>
          <w:rFonts w:hint="eastAsia" w:ascii="宋体" w:hAnsi="宋体" w:eastAsia="宋体" w:cs="宋体"/>
          <w:color w:val="000000"/>
          <w:highlight w:val="none"/>
          <w:u w:val="none"/>
        </w:rPr>
        <w:t xml:space="preserve">（1）本项目对残疾人福利性单位视同小型、微型企业，给予20%</w:t>
      </w:r>
      <w:r>
        <w:rPr>
          <w:rFonts w:hint="eastAsia" w:ascii="宋体" w:hAnsi="宋体" w:eastAsia="宋体" w:cs="宋体"/>
          <w:color w:val="000000"/>
          <w:highlight w:val="none"/>
          <w:u w:val="none"/>
          <w:lang w:eastAsia="zh-CN"/>
        </w:rPr>
        <w:t xml:space="preserve">的价格扣除。</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highlight w:val="none"/>
          <w:u w:val="none"/>
        </w:rPr>
      </w:pPr>
      <w:r>
        <w:rPr>
          <w:rFonts w:hint="eastAsia" w:ascii="宋体" w:hAnsi="宋体" w:eastAsia="宋体" w:cs="宋体"/>
          <w:color w:val="000000"/>
          <w:highlight w:val="none"/>
          <w:u w:val="none"/>
        </w:rPr>
        <w:t xml:space="preserve">（2）残疾人福利单位需按照采购文件的要求提供《残疾人福利性单位声明函》。</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highlight w:val="none"/>
          <w:u w:val="none"/>
        </w:rPr>
      </w:pPr>
      <w:r>
        <w:rPr>
          <w:rFonts w:hint="eastAsia" w:ascii="宋体" w:hAnsi="宋体" w:eastAsia="宋体" w:cs="宋体"/>
          <w:color w:val="000000"/>
          <w:highlight w:val="none"/>
          <w:u w:val="none"/>
        </w:rPr>
        <w:t xml:space="preserve">（3）残疾人福利单位标准请参照《关于促进残疾人就业政府采购政策的通知》（财库〔2017〕141号）。</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highlight w:val="none"/>
          <w:u w:val="none"/>
        </w:rPr>
      </w:pPr>
      <w:r>
        <w:rPr>
          <w:rFonts w:hint="eastAsia" w:ascii="宋体" w:hAnsi="宋体" w:eastAsia="宋体" w:cs="宋体"/>
          <w:color w:val="000000"/>
          <w:highlight w:val="none"/>
          <w:u w:val="none"/>
        </w:rPr>
        <w:t xml:space="preserve">3、监狱和戒毒企业价格扣除</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000000"/>
          <w:highlight w:val="none"/>
          <w:u w:val="none"/>
        </w:rPr>
      </w:pPr>
      <w:r>
        <w:rPr>
          <w:rFonts w:hint="eastAsia" w:ascii="宋体" w:hAnsi="宋体" w:eastAsia="宋体" w:cs="宋体"/>
          <w:color w:val="000000"/>
          <w:highlight w:val="none"/>
          <w:u w:val="none"/>
        </w:rPr>
        <w:t xml:space="preserve">（1）本项目对监狱和戒毒企业（简称监狱企业）视同小型、微型企业，给予20%</w:t>
      </w:r>
      <w:r>
        <w:rPr>
          <w:rFonts w:hint="eastAsia" w:ascii="宋体" w:hAnsi="宋体" w:eastAsia="宋体" w:cs="宋体"/>
          <w:color w:val="000000"/>
          <w:highlight w:val="none"/>
          <w:u w:val="none"/>
          <w:lang w:eastAsia="zh-CN"/>
        </w:rPr>
        <w:t xml:space="preserve">的价格扣除。</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highlight w:val="none"/>
          <w:u w:val="none"/>
        </w:rPr>
      </w:pPr>
      <w:r>
        <w:rPr>
          <w:rFonts w:hint="eastAsia" w:ascii="宋体" w:hAnsi="宋体" w:eastAsia="宋体" w:cs="宋体"/>
          <w:color w:val="000000"/>
          <w:highlight w:val="none"/>
          <w:u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highlight w:val="none"/>
          <w:u w:val="none"/>
        </w:rPr>
      </w:pPr>
      <w:r>
        <w:rPr>
          <w:rFonts w:hint="eastAsia" w:ascii="宋体" w:hAnsi="宋体" w:eastAsia="宋体" w:cs="宋体"/>
          <w:color w:val="000000"/>
          <w:highlight w:val="none"/>
          <w:u w:val="none"/>
        </w:rPr>
        <w:t xml:space="preserve">（3）监狱企业标准请参照《关于政府采购支持监狱企业发展有关问题的通知》（财库</w:t>
      </w:r>
      <w:r>
        <w:rPr>
          <w:rFonts w:hint="eastAsia" w:ascii="宋体" w:hAnsi="宋体" w:eastAsia="宋体" w:cs="宋体"/>
          <w:color w:val="000000"/>
          <w:highlight w:val="none"/>
          <w:u w:val="none"/>
          <w:lang w:eastAsia="zh-CN"/>
        </w:rPr>
        <w:t xml:space="preserve">〔2014〕68号</w:t>
      </w:r>
      <w:r>
        <w:rPr>
          <w:rFonts w:hint="eastAsia" w:ascii="宋体" w:hAnsi="宋体" w:eastAsia="宋体" w:cs="宋体"/>
          <w:color w:val="000000"/>
          <w:highlight w:val="none"/>
          <w:u w:val="none"/>
        </w:rPr>
        <w:t xml:space="preserve">）。</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highlight w:val="none"/>
          <w:u w:val="none"/>
        </w:rPr>
      </w:pPr>
      <w:r>
        <w:rPr>
          <w:rFonts w:hint="eastAsia" w:ascii="宋体" w:hAnsi="宋体" w:eastAsia="宋体" w:cs="宋体"/>
          <w:color w:val="000000"/>
          <w:highlight w:val="none"/>
          <w:u w:val="none"/>
        </w:rPr>
        <w:t xml:space="preserve">4、残疾人福利单位、监狱企业属于小型、微型企业的，不重复享受政策。</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000000"/>
          <w:highlight w:val="none"/>
          <w:u w:val="none"/>
        </w:rPr>
      </w:pPr>
      <w:r>
        <w:rPr>
          <w:rFonts w:hint="eastAsia" w:ascii="宋体" w:hAnsi="宋体" w:eastAsia="宋体" w:cs="宋体"/>
          <w:color w:val="000000"/>
          <w:highlight w:val="none"/>
          <w:u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b/>
          <w:bCs/>
          <w:color w:val="000000"/>
          <w:highlight w:val="none"/>
          <w:u w:val="single"/>
          <w:lang w:eastAsia="zh-CN"/>
        </w:rPr>
      </w:pPr>
      <w:r>
        <w:rPr>
          <w:rFonts w:hint="eastAsia" w:ascii="宋体" w:hAnsi="宋体" w:eastAsia="宋体" w:cs="宋体"/>
          <w:color w:val="000000"/>
          <w:highlight w:val="none"/>
          <w:u w:val="none"/>
        </w:rPr>
        <w:t xml:space="preserve">6、联合体各方均为小型、微型企业（残疾人福利单位、监狱企业）的，联合体享受20%</w:t>
      </w:r>
      <w:r>
        <w:rPr>
          <w:rFonts w:hint="eastAsia" w:ascii="宋体" w:hAnsi="宋体" w:eastAsia="宋体" w:cs="宋体"/>
          <w:color w:val="000000"/>
          <w:highlight w:val="none"/>
          <w:u w:val="none"/>
          <w:lang w:eastAsia="zh-CN"/>
        </w:rPr>
        <w:t xml:space="preserve">的价格扣除。</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2"/>
        <w:pageBreakBefore w:val="0"/>
        <w:spacing w:line="5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评分标准</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评标时，</w:t>
      </w:r>
      <w:r>
        <w:rPr>
          <w:rFonts w:hint="eastAsia" w:ascii="宋体" w:hAnsi="宋体" w:eastAsia="宋体" w:cs="宋体"/>
          <w:color w:val="auto"/>
          <w:sz w:val="24"/>
          <w:highlight w:val="none"/>
          <w:lang w:eastAsia="zh-CN"/>
        </w:rPr>
        <w:t xml:space="preserve">评委会</w:t>
      </w:r>
      <w:r>
        <w:rPr>
          <w:rFonts w:hint="eastAsia" w:ascii="宋体" w:hAnsi="宋体" w:eastAsia="宋体" w:cs="宋体"/>
          <w:color w:val="auto"/>
          <w:sz w:val="24"/>
          <w:highlight w:val="none"/>
        </w:rPr>
        <w:t xml:space="preserve">各成员独立对每个投标人的投标文件进行评价，并汇总每个投标人的得分。</w:t>
      </w:r>
      <w:r>
        <w:rPr>
          <w:rFonts w:hint="eastAsia" w:ascii="宋体" w:hAnsi="宋体" w:eastAsia="宋体" w:cs="宋体"/>
          <w:bCs/>
          <w:color w:val="auto"/>
          <w:sz w:val="24"/>
          <w:highlight w:val="none"/>
        </w:rPr>
        <w:t xml:space="preserve">本项目评分总分值为100分。</w:t>
      </w:r>
      <w:r/>
    </w:p>
    <w:tbl>
      <w:tblPr>
        <w:tblStyle w:val="781"/>
        <w:tblW w:w="995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819"/>
        <w:gridCol w:w="7832"/>
      </w:tblGrid>
      <w:tr>
        <w:trPr>
          <w:jc w:val="center"/>
          <w:trHeight w:val="687"/>
          <w:tblHeader/>
        </w:trPr>
        <w:tc>
          <w:tcPr>
            <w:tcW w:w="1307"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bCs/>
                <w:color w:val="000000"/>
                <w:sz w:val="24"/>
                <w:szCs w:val="24"/>
              </w:rPr>
            </w:pPr>
            <w:r/>
            <w:bookmarkStart w:id="153" w:name="OLE_LINK1"/>
            <w:r>
              <w:rPr>
                <w:rFonts w:hint="eastAsia" w:ascii="宋体" w:hAnsi="宋体" w:eastAsia="宋体" w:cs="宋体"/>
                <w:bCs/>
                <w:color w:val="000000"/>
                <w:sz w:val="24"/>
                <w:szCs w:val="24"/>
              </w:rPr>
              <w:t xml:space="preserve">评分项目</w:t>
            </w:r>
            <w:r/>
          </w:p>
        </w:tc>
        <w:tc>
          <w:tcPr>
            <w:tcW w:w="819"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分值</w:t>
            </w:r>
            <w:r/>
          </w:p>
        </w:tc>
        <w:tc>
          <w:tcPr>
            <w:tcW w:w="7832"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评分标准</w:t>
            </w:r>
            <w:r/>
          </w:p>
        </w:tc>
      </w:tr>
      <w:tr>
        <w:trPr>
          <w:jc w:val="center"/>
          <w:trHeight w:val="1471"/>
        </w:trPr>
        <w:tc>
          <w:tcPr>
            <w:tcW w:w="1307"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报价</w:t>
            </w:r>
            <w:r/>
          </w:p>
        </w:tc>
        <w:tc>
          <w:tcPr>
            <w:tcW w:w="819"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c>
          <w:tcPr>
            <w:tcW w:w="7832" w:type="dxa"/>
            <w:vAlign w:val="center"/>
            <w:textDirection w:val="lrTb"/>
            <w:noWrap/>
          </w:tcPr>
          <w:p>
            <w:pPr>
              <w:ind w:firstLine="36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价格分采用低价优先法计算，即满足招标文件要求且投标</w:t>
            </w:r>
            <w:r>
              <w:rPr>
                <w:rFonts w:hint="eastAsia" w:ascii="宋体" w:hAnsi="宋体" w:eastAsia="宋体" w:cs="宋体"/>
                <w:color w:val="auto"/>
                <w:sz w:val="24"/>
                <w:lang w:eastAsia="zh-CN"/>
              </w:rPr>
              <w:t xml:space="preserve">单价</w:t>
            </w:r>
            <w:r>
              <w:rPr>
                <w:rFonts w:hint="eastAsia" w:ascii="宋体" w:hAnsi="宋体" w:eastAsia="宋体" w:cs="宋体"/>
                <w:color w:val="auto"/>
                <w:sz w:val="24"/>
              </w:rPr>
              <w:t xml:space="preserve">最低的投标人报价为评标基准价，其价格分为满分</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0分，其它</w:t>
            </w:r>
            <w:r>
              <w:rPr>
                <w:rFonts w:hint="eastAsia" w:ascii="宋体" w:hAnsi="宋体" w:eastAsia="宋体" w:cs="宋体"/>
                <w:color w:val="auto"/>
                <w:sz w:val="24"/>
                <w:lang w:val="en-US" w:eastAsia="zh-CN"/>
              </w:rPr>
              <w:t xml:space="preserve">供应商</w:t>
            </w:r>
            <w:r>
              <w:rPr>
                <w:rFonts w:hint="eastAsia" w:ascii="宋体" w:hAnsi="宋体" w:eastAsia="宋体" w:cs="宋体"/>
                <w:color w:val="auto"/>
                <w:sz w:val="24"/>
              </w:rPr>
              <w:t xml:space="preserve">的价格分统一按照以下公式计算：投标报价得分=（评标基准价/投标报价）×</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0分。（小数点后保留两位，第三位四舍五入）。</w:t>
            </w:r>
            <w:r/>
          </w:p>
        </w:tc>
      </w:tr>
      <w:tr>
        <w:trPr>
          <w:jc w:val="center"/>
          <w:trHeight w:val="1787"/>
        </w:trPr>
        <w:tc>
          <w:tcPr>
            <w:tcW w:w="1307"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szCs w:val="24"/>
                <w:lang w:val="en-US" w:eastAsia="zh-CN"/>
              </w:rPr>
              <w:t xml:space="preserve">业绩</w:t>
            </w:r>
            <w:r/>
          </w:p>
        </w:tc>
        <w:tc>
          <w:tcPr>
            <w:tcW w:w="819"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lang w:val="en-US" w:eastAsia="zh-CN"/>
              </w:rPr>
            </w:pPr>
            <w:r>
              <w:rPr>
                <w:rFonts w:hint="eastAsia" w:ascii="宋体" w:hAnsi="宋体" w:eastAsia="宋体" w:cs="宋体"/>
                <w:sz w:val="24"/>
                <w:szCs w:val="24"/>
                <w:lang w:val="en-US" w:eastAsia="zh-CN"/>
              </w:rPr>
              <w:t xml:space="preserve">10</w:t>
            </w:r>
            <w:r/>
          </w:p>
        </w:tc>
        <w:tc>
          <w:tcPr>
            <w:tcW w:w="7832" w:type="dxa"/>
            <w:vAlign w:val="center"/>
            <w:textDirection w:val="lrTb"/>
            <w:noWrap/>
          </w:tcPr>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rPr>
              <w:t xml:space="preserve">自202</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月1日以来（以合同签订日期为准）承担过类似项目业绩，每1个得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分。本项</w:t>
            </w:r>
            <w:r>
              <w:rPr>
                <w:rFonts w:hint="eastAsia" w:ascii="宋体" w:hAnsi="宋体" w:eastAsia="宋体" w:cs="宋体"/>
                <w:color w:val="auto"/>
                <w:sz w:val="24"/>
                <w:szCs w:val="24"/>
                <w:lang w:val="en-US" w:eastAsia="zh-CN"/>
              </w:rPr>
              <w:t xml:space="preserve">最高</w:t>
            </w:r>
            <w:r>
              <w:rPr>
                <w:rFonts w:hint="eastAsia" w:ascii="宋体" w:hAnsi="宋体" w:eastAsia="宋体" w:cs="宋体"/>
                <w:color w:val="auto"/>
                <w:sz w:val="24"/>
              </w:rPr>
              <w:t xml:space="preserve">得1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分。</w:t>
            </w:r>
            <w:r/>
          </w:p>
          <w:p>
            <w:pPr>
              <w:pStyle w:val="1045"/>
              <w:ind w:firstLine="3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注：需提供合同原件扫描件并加盖</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公章，</w:t>
            </w:r>
            <w:r>
              <w:rPr>
                <w:rFonts w:hint="eastAsia" w:ascii="宋体" w:hAnsi="宋体" w:eastAsia="宋体" w:cs="宋体"/>
                <w:color w:val="auto"/>
                <w:sz w:val="24"/>
              </w:rPr>
              <w:t xml:space="preserve">合同中必须体现服务内容、合同签订时间等信息，若不能体现的，需提供该合同委托单位出具的证明材料，否则不予计分。</w:t>
            </w:r>
            <w:r>
              <w:rPr>
                <w:rFonts w:hint="eastAsia" w:ascii="宋体" w:hAnsi="宋体" w:eastAsia="宋体" w:cs="宋体"/>
                <w:color w:val="auto"/>
                <w:sz w:val="24"/>
                <w:szCs w:val="24"/>
              </w:rPr>
              <w:t xml:space="preserve">每个项目仅计一次，不重复加分。</w:t>
            </w:r>
            <w:r/>
          </w:p>
        </w:tc>
      </w:tr>
      <w:tr>
        <w:trPr>
          <w:jc w:val="center"/>
          <w:trHeight w:val="1262"/>
        </w:trPr>
        <w:tc>
          <w:tcPr>
            <w:tcW w:w="1307"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rPr>
            </w:pPr>
            <w:r/>
            <w:bookmarkStart w:id="154" w:name="OLE_LINK58"/>
            <w:r/>
            <w:bookmarkStart w:id="155" w:name="OLE_LINK57"/>
            <w:r>
              <w:rPr>
                <w:rFonts w:hint="eastAsia" w:ascii="宋体" w:hAnsi="宋体" w:eastAsia="宋体" w:cs="宋体"/>
                <w:sz w:val="24"/>
                <w:szCs w:val="24"/>
              </w:rPr>
              <w:t xml:space="preserve">人员配备</w:t>
            </w:r>
            <w:bookmarkEnd w:id="154"/>
            <w:r/>
            <w:bookmarkEnd w:id="155"/>
            <w:r/>
            <w:r/>
          </w:p>
        </w:tc>
        <w:tc>
          <w:tcPr>
            <w:tcW w:w="819" w:type="dxa"/>
            <w:vAlign w:val="center"/>
            <w:textDirection w:val="lrTb"/>
            <w:noWrap/>
          </w:tcPr>
          <w:p>
            <w:pPr>
              <w:pStyle w:val="1045"/>
              <w:jc w:val="center"/>
              <w:keepLines w:val="0"/>
              <w:keepNext w:val="0"/>
              <w:pageBreakBefore w:val="0"/>
              <w:spacing w:line="44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18</w:t>
            </w:r>
            <w:r/>
          </w:p>
        </w:tc>
        <w:tc>
          <w:tcPr>
            <w:tcW w:w="7832" w:type="dxa"/>
            <w:vAlign w:val="center"/>
            <w:textDirection w:val="lrTb"/>
            <w:noWrap/>
          </w:tcPr>
          <w:p>
            <w:pPr>
              <w:pStyle w:val="1046"/>
              <w:ind w:firstLine="480"/>
              <w:keepLines w:val="0"/>
              <w:keepNext w:val="0"/>
              <w:pageBreakBefore w:val="0"/>
              <w:spacing w:line="440" w:lineRule="exact"/>
              <w:widowControl w:val="off"/>
              <w:rPr>
                <w:rFonts w:hint="eastAsia" w:ascii="宋体" w:hAnsi="宋体" w:eastAsia="宋体" w:cs="宋体"/>
                <w:sz w:val="24"/>
                <w:szCs w:val="24"/>
                <w:highlight w:val="none"/>
              </w:rPr>
            </w:pPr>
            <w:r/>
            <w:bookmarkStart w:id="156" w:name="OLE_LINK59"/>
            <w:r/>
            <w:bookmarkStart w:id="157" w:name="OLE_LINK113"/>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根据供应商项目团队演员（含演奏员）配置进行评分：</w:t>
            </w:r>
            <w:r/>
          </w:p>
          <w:p>
            <w:pPr>
              <w:pStyle w:val="1046"/>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30人（不含）以上，且70%以上具有专业艺术院校毕业的或具有的艺术类专业技术职称，得10分；</w:t>
            </w:r>
            <w:r/>
          </w:p>
          <w:p>
            <w:pPr>
              <w:pStyle w:val="1046"/>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25（不含）-30人（含），且70%以上具有专业艺术院校毕业的或具有的艺术类专业技术职称，得7分；</w:t>
            </w:r>
            <w:r/>
          </w:p>
          <w:p>
            <w:pPr>
              <w:pStyle w:val="1046"/>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20（不含）-25人（含），且70%以上具有专业艺术院校毕业的或具有的艺术类专业技术职称，得4分。</w:t>
            </w:r>
            <w:r/>
          </w:p>
          <w:p>
            <w:pPr>
              <w:pStyle w:val="1046"/>
              <w:ind w:firstLine="48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须提供人员清单、上述人员的学历证书或</w:t>
            </w:r>
            <w:r>
              <w:rPr>
                <w:rFonts w:hint="eastAsia" w:ascii="宋体" w:hAnsi="宋体" w:eastAsia="宋体" w:cs="宋体"/>
                <w:sz w:val="24"/>
                <w:szCs w:val="24"/>
                <w:highlight w:val="none"/>
                <w:lang w:val="en-US" w:eastAsia="zh-CN"/>
              </w:rPr>
              <w:t xml:space="preserve">职称</w:t>
            </w:r>
            <w:r>
              <w:rPr>
                <w:rFonts w:hint="eastAsia" w:ascii="宋体" w:hAnsi="宋体" w:eastAsia="宋体" w:cs="宋体"/>
                <w:sz w:val="24"/>
                <w:szCs w:val="24"/>
                <w:highlight w:val="none"/>
              </w:rPr>
              <w:t xml:space="preserve">证书扫描件并加盖</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lang w:eastAsia="zh-CN"/>
              </w:rPr>
              <w:t xml:space="preserve">。</w:t>
            </w:r>
            <w:r/>
          </w:p>
          <w:p>
            <w:pPr>
              <w:pStyle w:val="1046"/>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须提供供应商与上述人员签订的目前仍在有效期内的劳动合同</w:t>
            </w:r>
            <w:r>
              <w:rPr>
                <w:rFonts w:hint="eastAsia" w:ascii="宋体" w:hAnsi="宋体" w:eastAsia="宋体" w:cs="宋体"/>
                <w:sz w:val="24"/>
                <w:szCs w:val="24"/>
                <w:highlight w:val="none"/>
                <w:lang w:val="en-US" w:eastAsia="zh-CN"/>
              </w:rPr>
              <w:t xml:space="preserve">扫描件</w:t>
            </w:r>
            <w:r>
              <w:rPr>
                <w:rFonts w:hint="eastAsia" w:ascii="宋体" w:hAnsi="宋体" w:eastAsia="宋体" w:cs="宋体"/>
                <w:sz w:val="24"/>
                <w:szCs w:val="24"/>
                <w:highlight w:val="none"/>
              </w:rPr>
              <w:t xml:space="preserve">或近三个月中任意一个月的人员社保证明文件原件扫描件并加盖公章，如劳动合同有效期不能覆盖合同履行期限的，还须提供劳动合同有效期能覆盖合同履行期限的承诺函并加盖公章。不提供或者专家无法认定的不得分。</w:t>
            </w:r>
            <w:bookmarkEnd w:id="156"/>
            <w:r/>
            <w:bookmarkEnd w:id="157"/>
            <w:r/>
            <w:r/>
          </w:p>
          <w:p>
            <w:pPr>
              <w:pStyle w:val="1046"/>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2、项目组成员中具有二级演员职称的，每提供1名得1分；具有一级演员职称的，每提供1名得2分。本条最高得</w:t>
            </w:r>
            <w:r>
              <w:rPr>
                <w:rFonts w:hint="eastAsia"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p>
          <w:p>
            <w:pPr>
              <w:pStyle w:val="1046"/>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投标时须提供相关证书扫描件并加盖供应商公章，不提供或提供不全的不得分；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同一人员仅按最高级别职称计分一次，不得重复得分。</w:t>
            </w:r>
            <w:r/>
          </w:p>
        </w:tc>
      </w:tr>
      <w:tr>
        <w:trPr>
          <w:jc w:val="center"/>
          <w:trHeight w:val="1262"/>
        </w:trPr>
        <w:tc>
          <w:tcPr>
            <w:tcW w:w="1307"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演出完整节目单</w:t>
            </w:r>
            <w:r/>
          </w:p>
        </w:tc>
        <w:tc>
          <w:tcPr>
            <w:tcW w:w="819"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7832" w:type="dxa"/>
            <w:vAlign w:val="center"/>
            <w:textDirection w:val="lrTb"/>
            <w:noWrap/>
          </w:tcPr>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供应商提供的演出完整节目在满足招标文件要求</w:t>
            </w:r>
            <w:r>
              <w:rPr>
                <w:rFonts w:hint="eastAsia" w:cs="宋体"/>
                <w:sz w:val="24"/>
                <w:szCs w:val="24"/>
                <w:lang w:val="en-US" w:eastAsia="zh-CN"/>
              </w:rPr>
              <w:t xml:space="preserve">，</w:t>
            </w:r>
            <w:r>
              <w:rPr>
                <w:rFonts w:hint="eastAsia" w:ascii="宋体" w:hAnsi="宋体" w:eastAsia="宋体" w:cs="宋体"/>
                <w:sz w:val="24"/>
                <w:szCs w:val="24"/>
                <w:lang w:val="en-US" w:eastAsia="zh-CN"/>
              </w:rPr>
              <w:t xml:space="preserve">从江苏省文化和旅游厅公布的</w:t>
            </w:r>
            <w:r>
              <w:rPr>
                <w:rFonts w:hint="eastAsia" w:ascii="宋体" w:hAnsi="宋体" w:eastAsia="宋体" w:cs="宋体"/>
                <w:color w:val="auto"/>
                <w:sz w:val="24"/>
                <w:szCs w:val="20"/>
                <w:highlight w:val="none"/>
                <w:lang w:eastAsia="zh-CN"/>
              </w:rPr>
              <w:t xml:space="preserve">“茉莉花开·家门口赏好戏”—全省优秀舞台艺术作品和优秀群众文艺作品巡演优秀节目库</w:t>
            </w:r>
            <w:r>
              <w:rPr>
                <w:rFonts w:hint="eastAsia" w:ascii="宋体" w:hAnsi="宋体" w:eastAsia="宋体" w:cs="宋体"/>
                <w:sz w:val="24"/>
                <w:szCs w:val="24"/>
                <w:lang w:val="en-US" w:eastAsia="zh-CN"/>
              </w:rPr>
              <w:t xml:space="preserve">中选取</w:t>
            </w:r>
            <w:r>
              <w:rPr>
                <w:rFonts w:hint="eastAsia" w:cs="宋体"/>
                <w:sz w:val="24"/>
                <w:szCs w:val="24"/>
                <w:lang w:val="en-US" w:eastAsia="zh-CN"/>
              </w:rPr>
              <w:t xml:space="preserve">2个</w:t>
            </w:r>
            <w:r>
              <w:rPr>
                <w:rFonts w:hint="eastAsia" w:ascii="宋体" w:hAnsi="宋体" w:eastAsia="宋体" w:cs="宋体"/>
                <w:sz w:val="24"/>
                <w:szCs w:val="24"/>
                <w:lang w:val="en-US" w:eastAsia="zh-CN"/>
              </w:rPr>
              <w:t xml:space="preserve">节目的基础上，每增加1个得2分，本项最高得10分。</w:t>
            </w:r>
            <w:r/>
          </w:p>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注：投标时须提供完整演出完整节目单并加盖供应商公章。</w:t>
            </w:r>
            <w:r/>
          </w:p>
        </w:tc>
      </w:tr>
      <w:tr>
        <w:trPr>
          <w:jc w:val="center"/>
          <w:trHeight w:val="383"/>
        </w:trPr>
        <w:tc>
          <w:tcPr>
            <w:tcW w:w="1307"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演出方案</w:t>
            </w:r>
            <w:r/>
          </w:p>
        </w:tc>
        <w:tc>
          <w:tcPr>
            <w:tcW w:w="819"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2</w:t>
            </w:r>
            <w:bookmarkEnd w:id="153"/>
            <w:r/>
            <w:r/>
          </w:p>
        </w:tc>
        <w:tc>
          <w:tcPr>
            <w:tcW w:w="7832" w:type="dxa"/>
            <w:vAlign w:val="center"/>
            <w:textDirection w:val="lrTb"/>
            <w:noWrap/>
          </w:tcPr>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供应商根据本项目第四章中“演出方案”要求，方案至少包含：①演出目标；②节目编排思路；③演出特色与创新点；④演出时长与节奏安排</w:t>
            </w:r>
            <w:r>
              <w:rPr>
                <w:rFonts w:hint="eastAsia" w:ascii="宋体" w:hAnsi="宋体" w:eastAsia="宋体" w:cs="宋体"/>
                <w:color w:val="auto"/>
                <w:sz w:val="24"/>
                <w:szCs w:val="24"/>
                <w:lang w:val="en-US" w:eastAsia="zh-CN"/>
              </w:rPr>
              <w:t xml:space="preserve">；⑤拟演出服务区域分析；⑥节目质量保障措施等内容；优于项目需求</w:t>
            </w:r>
            <w:r>
              <w:rPr>
                <w:rFonts w:hint="eastAsia" w:ascii="宋体" w:hAnsi="宋体" w:eastAsia="宋体" w:cs="宋体"/>
                <w:sz w:val="24"/>
                <w:szCs w:val="24"/>
                <w:lang w:val="en-US" w:eastAsia="zh-CN"/>
              </w:rPr>
              <w:t xml:space="preserve">得</w:t>
            </w:r>
            <w:r>
              <w:rPr>
                <w:rFonts w:hint="eastAsia" w:cs="宋体"/>
                <w:sz w:val="24"/>
                <w:szCs w:val="24"/>
                <w:lang w:val="en-US" w:eastAsia="zh-CN"/>
              </w:rPr>
              <w:t xml:space="preserve">12</w:t>
            </w:r>
            <w:r>
              <w:rPr>
                <w:rFonts w:hint="eastAsia" w:ascii="宋体" w:hAnsi="宋体" w:eastAsia="宋体" w:cs="宋体"/>
                <w:sz w:val="24"/>
                <w:szCs w:val="24"/>
                <w:lang w:val="en-US" w:eastAsia="zh-CN"/>
              </w:rPr>
              <w:t xml:space="preserve">分，满足项目需求得</w:t>
            </w:r>
            <w:r>
              <w:rPr>
                <w:rFonts w:hint="eastAsia" w:cs="宋体"/>
                <w:sz w:val="24"/>
                <w:szCs w:val="24"/>
                <w:lang w:val="en-US" w:eastAsia="zh-CN"/>
              </w:rPr>
              <w:t xml:space="preserve">10</w:t>
            </w:r>
            <w:r>
              <w:rPr>
                <w:rFonts w:hint="eastAsia" w:ascii="宋体" w:hAnsi="宋体" w:eastAsia="宋体" w:cs="宋体"/>
                <w:sz w:val="24"/>
                <w:szCs w:val="24"/>
                <w:lang w:val="en-US" w:eastAsia="zh-CN"/>
              </w:rPr>
              <w:t xml:space="preserve">分，不满足或不提供得0分。</w:t>
            </w:r>
            <w:r/>
          </w:p>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383"/>
        </w:trPr>
        <w:tc>
          <w:tcPr>
            <w:tcW w:w="1307"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宣传方案</w:t>
            </w:r>
            <w:r/>
          </w:p>
        </w:tc>
        <w:tc>
          <w:tcPr>
            <w:tcW w:w="819" w:type="dxa"/>
            <w:vAlign w:val="center"/>
            <w:textDirection w:val="lrTb"/>
            <w:noWrap/>
          </w:tcPr>
          <w:p>
            <w:pPr>
              <w:pStyle w:val="1045"/>
              <w:jc w:val="center"/>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7832" w:type="dxa"/>
            <w:vAlign w:val="center"/>
            <w:textDirection w:val="lrTb"/>
            <w:noWrap/>
          </w:tcPr>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供应商根据本项目第四章中“</w:t>
            </w:r>
            <w:r>
              <w:rPr>
                <w:rFonts w:hint="eastAsia" w:ascii="宋体" w:hAnsi="宋体" w:eastAsia="宋体" w:cs="宋体"/>
                <w:sz w:val="24"/>
                <w:szCs w:val="24"/>
              </w:rPr>
              <w:t xml:space="preserve">宣传方</w:t>
            </w:r>
            <w:r>
              <w:rPr>
                <w:rFonts w:hint="eastAsia" w:ascii="宋体" w:hAnsi="宋体" w:eastAsia="宋体" w:cs="宋体"/>
                <w:sz w:val="24"/>
                <w:szCs w:val="24"/>
                <w:lang w:val="en-US" w:eastAsia="zh-CN"/>
              </w:rPr>
              <w:t xml:space="preserve">案”要求，方案至少包含：①宣传总体策略；②线上宣传方式；③线下宣传方式；④宣传内容规划；⑤宣传时间节点安排；⑥宣传效果评估等内容；优于项目需求得</w:t>
            </w:r>
            <w:r>
              <w:rPr>
                <w:rFonts w:hint="eastAsia" w:cs="宋体"/>
                <w:sz w:val="24"/>
                <w:szCs w:val="24"/>
                <w:lang w:val="en-US" w:eastAsia="zh-CN"/>
              </w:rPr>
              <w:t xml:space="preserve">10</w:t>
            </w:r>
            <w:r>
              <w:rPr>
                <w:rFonts w:hint="eastAsia" w:ascii="宋体" w:hAnsi="宋体" w:eastAsia="宋体" w:cs="宋体"/>
                <w:sz w:val="24"/>
                <w:szCs w:val="24"/>
                <w:lang w:val="en-US" w:eastAsia="zh-CN"/>
              </w:rPr>
              <w:t xml:space="preserve">分，满足项目需求得</w:t>
            </w:r>
            <w:r>
              <w:rPr>
                <w:rFonts w:hint="eastAsia" w:cs="宋体"/>
                <w:sz w:val="24"/>
                <w:szCs w:val="24"/>
                <w:lang w:val="en-US" w:eastAsia="zh-CN"/>
              </w:rPr>
              <w:t xml:space="preserve">8</w:t>
            </w:r>
            <w:r>
              <w:rPr>
                <w:rFonts w:hint="eastAsia" w:ascii="宋体" w:hAnsi="宋体" w:eastAsia="宋体" w:cs="宋体"/>
                <w:sz w:val="24"/>
                <w:szCs w:val="24"/>
                <w:lang w:val="en-US" w:eastAsia="zh-CN"/>
              </w:rPr>
              <w:t xml:space="preserve">分，不满足或不提供得0分。</w:t>
            </w:r>
            <w:r/>
          </w:p>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383"/>
        </w:trPr>
        <w:tc>
          <w:tcPr>
            <w:tcW w:w="1307"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设备及舞台技术保障方案</w:t>
            </w:r>
            <w:r/>
          </w:p>
        </w:tc>
        <w:tc>
          <w:tcPr>
            <w:tcW w:w="819"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7832" w:type="dxa"/>
            <w:vAlign w:val="center"/>
            <w:textDirection w:val="lrTb"/>
            <w:noWrap/>
          </w:tcPr>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本项目第四章中“设备及舞台技术保障方案”要求，方案至少包含：①设备配置计划；②舞台搭建方案；③设备运输与安装保障；④设备运行保障措施；⑤故障应急保障措施；⑥设备维护保养计划；⑦设备安全保障等内容；优于项目需求得10分，满足项目需求得8分，不满足或不提供得0分。</w:t>
            </w:r>
            <w:r/>
          </w:p>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383"/>
        </w:trPr>
        <w:tc>
          <w:tcPr>
            <w:tcW w:w="1307"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保障方案</w:t>
            </w:r>
            <w:r/>
          </w:p>
        </w:tc>
        <w:tc>
          <w:tcPr>
            <w:tcW w:w="819"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7832" w:type="dxa"/>
            <w:vAlign w:val="center"/>
            <w:textDirection w:val="lrTb"/>
            <w:noWrap/>
          </w:tcPr>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供应商根据本项目第四章中“</w:t>
            </w:r>
            <w:r>
              <w:rPr>
                <w:rFonts w:hint="eastAsia" w:ascii="宋体" w:hAnsi="宋体" w:eastAsia="宋体" w:cs="宋体"/>
                <w:sz w:val="24"/>
                <w:szCs w:val="24"/>
              </w:rPr>
              <w:t xml:space="preserve">保障方案</w:t>
            </w:r>
            <w:r>
              <w:rPr>
                <w:rFonts w:hint="eastAsia" w:ascii="宋体" w:hAnsi="宋体" w:eastAsia="宋体" w:cs="宋体"/>
                <w:sz w:val="24"/>
                <w:szCs w:val="24"/>
                <w:lang w:val="en-US" w:eastAsia="zh-CN"/>
              </w:rPr>
              <w:t xml:space="preserve">”要求，方案至少包含：①演出运行</w:t>
            </w:r>
            <w:r>
              <w:rPr>
                <w:rFonts w:hint="eastAsia" w:ascii="宋体" w:hAnsi="宋体" w:eastAsia="宋体" w:cs="宋体"/>
                <w:sz w:val="24"/>
                <w:szCs w:val="24"/>
                <w:highlight w:val="none"/>
                <w:lang w:val="en-US" w:eastAsia="zh-CN"/>
              </w:rPr>
              <w:t xml:space="preserve">保障；②</w:t>
            </w:r>
            <w:r>
              <w:rPr>
                <w:rFonts w:hint="eastAsia" w:ascii="宋体" w:hAnsi="宋体" w:eastAsia="宋体" w:cs="宋体"/>
                <w:b w:val="0"/>
                <w:bCs w:val="0"/>
                <w:color w:val="auto"/>
                <w:sz w:val="24"/>
                <w:highlight w:val="none"/>
                <w:lang w:val="en-US" w:eastAsia="zh-CN"/>
              </w:rPr>
              <w:t xml:space="preserve">群众意见反馈与处置机制</w:t>
            </w:r>
            <w:r>
              <w:rPr>
                <w:rFonts w:hint="eastAsia" w:ascii="宋体" w:hAnsi="宋体" w:eastAsia="宋体" w:cs="宋体"/>
                <w:sz w:val="24"/>
                <w:szCs w:val="24"/>
                <w:highlight w:val="none"/>
                <w:lang w:val="en-US" w:eastAsia="zh-CN"/>
              </w:rPr>
              <w:t xml:space="preserve">；③应急响应保</w:t>
            </w:r>
            <w:r>
              <w:rPr>
                <w:rFonts w:hint="eastAsia" w:ascii="宋体" w:hAnsi="宋体" w:eastAsia="宋体" w:cs="宋体"/>
                <w:sz w:val="24"/>
                <w:szCs w:val="24"/>
                <w:lang w:val="en-US" w:eastAsia="zh-CN"/>
              </w:rPr>
              <w:t xml:space="preserve">障；④与当地部门的协调保障；⑤后勤保障等内容；优于项目需求得10分，满足项目需求得8分，不满足或不提供得0分。</w:t>
            </w:r>
            <w:r/>
          </w:p>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383"/>
        </w:trPr>
        <w:tc>
          <w:tcPr>
            <w:tcW w:w="1307"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安全管理方案</w:t>
            </w:r>
            <w:r/>
          </w:p>
        </w:tc>
        <w:tc>
          <w:tcPr>
            <w:tcW w:w="819" w:type="dxa"/>
            <w:vAlign w:val="center"/>
            <w:textDirection w:val="lrTb"/>
            <w:noWrap/>
          </w:tcPr>
          <w:p>
            <w:pPr>
              <w:pStyle w:val="1045"/>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7832" w:type="dxa"/>
            <w:vAlign w:val="center"/>
            <w:textDirection w:val="lrTb"/>
            <w:noWrap/>
          </w:tcPr>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供应商根据本项目第四章中“</w:t>
            </w:r>
            <w:r>
              <w:rPr>
                <w:rFonts w:hint="eastAsia" w:ascii="宋体" w:hAnsi="宋体" w:eastAsia="宋体" w:cs="宋体"/>
                <w:sz w:val="24"/>
                <w:szCs w:val="24"/>
              </w:rPr>
              <w:t xml:space="preserve">安全管理方案</w:t>
            </w:r>
            <w:r>
              <w:rPr>
                <w:rFonts w:hint="eastAsia" w:ascii="宋体" w:hAnsi="宋体" w:eastAsia="宋体" w:cs="宋体"/>
                <w:sz w:val="24"/>
                <w:szCs w:val="24"/>
                <w:lang w:val="en-US" w:eastAsia="zh-CN"/>
              </w:rPr>
              <w:t xml:space="preserve">”要求，方案至少包含：①安全管理组</w:t>
            </w:r>
            <w:r>
              <w:rPr>
                <w:rFonts w:hint="eastAsia" w:ascii="宋体" w:hAnsi="宋体" w:eastAsia="宋体" w:cs="宋体"/>
                <w:sz w:val="24"/>
                <w:szCs w:val="24"/>
                <w:highlight w:val="none"/>
                <w:lang w:val="en-US" w:eastAsia="zh-CN"/>
              </w:rPr>
              <w:t xml:space="preserve">织架构；②人身安全保障；③财产安全保障；④第三方人员（观众）安全保障；⑤消防安全保障；⑥安全责任</w:t>
            </w:r>
            <w:r>
              <w:rPr>
                <w:rFonts w:hint="eastAsia" w:cs="宋体"/>
                <w:sz w:val="24"/>
                <w:szCs w:val="24"/>
                <w:highlight w:val="none"/>
                <w:lang w:val="en-US" w:eastAsia="zh-CN"/>
              </w:rPr>
              <w:t xml:space="preserve">承担</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lang w:val="en-US" w:eastAsia="zh-CN"/>
              </w:rPr>
              <w:t xml:space="preserve">内容；优于项目需求得10分，满足项目需求得8分，不满足或不提供得0分。</w:t>
            </w:r>
            <w:r/>
          </w:p>
          <w:p>
            <w:pPr>
              <w:pStyle w:val="1046"/>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44"/>
          <w:szCs w:val="44"/>
          <w:lang w:val="en-US" w:eastAsia="zh-CN" w:bidi="ar-SA"/>
        </w:rPr>
      </w:pPr>
      <w:r>
        <w:rPr>
          <w:rFonts w:hint="eastAsia" w:ascii="宋体" w:hAnsi="宋体" w:eastAsia="宋体" w:cs="宋体"/>
          <w:color w:val="auto"/>
          <w:sz w:val="44"/>
          <w:szCs w:val="44"/>
          <w:lang w:val="en-US" w:eastAsia="zh-CN" w:bidi="ar-SA"/>
        </w:rPr>
        <w:br w:type="page" w:clear="all"/>
      </w:r>
      <w:r/>
    </w:p>
    <w:p>
      <w:pPr>
        <w:jc w:val="center"/>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lang w:val="en-US" w:eastAsia="zh-CN" w:bidi="ar-SA"/>
        </w:rPr>
        <w:t xml:space="preserve">第六章</w:t>
      </w:r>
      <w:r>
        <w:rPr>
          <w:rFonts w:hint="eastAsia" w:ascii="宋体" w:hAnsi="宋体" w:eastAsia="宋体" w:cs="宋体"/>
          <w:b/>
          <w:bCs/>
          <w:color w:val="auto"/>
          <w:sz w:val="44"/>
          <w:szCs w:val="44"/>
          <w:highlight w:val="none"/>
          <w:lang w:val="en-US" w:eastAsia="zh-CN"/>
        </w:rPr>
        <w:t xml:space="preserve"> </w:t>
      </w:r>
      <w:bookmarkStart w:id="158" w:name="_Toc29394"/>
      <w:r>
        <w:rPr>
          <w:rFonts w:hint="eastAsia" w:ascii="宋体" w:hAnsi="宋体" w:eastAsia="宋体" w:cs="宋体"/>
          <w:b/>
          <w:bCs/>
          <w:color w:val="auto"/>
          <w:sz w:val="44"/>
          <w:szCs w:val="44"/>
          <w:highlight w:val="none"/>
        </w:rPr>
        <w:t xml:space="preserve">投标文件格式</w:t>
      </w:r>
      <w:bookmarkEnd w:id="158"/>
      <w:r/>
      <w:r/>
    </w:p>
    <w:p>
      <w:pPr>
        <w:jc w:val="center"/>
        <w:rPr>
          <w:rFonts w:hint="eastAsia" w:ascii="宋体" w:hAnsi="宋体" w:eastAsia="宋体" w:cs="宋体"/>
          <w:b/>
          <w:bCs/>
          <w:color w:val="auto"/>
          <w:sz w:val="72"/>
          <w:szCs w:val="21"/>
          <w:highlight w:val="none"/>
        </w:rPr>
      </w:pPr>
      <w:r>
        <w:rPr>
          <w:rFonts w:hint="eastAsia" w:ascii="宋体" w:hAnsi="宋体" w:eastAsia="宋体" w:cs="宋体"/>
          <w:b/>
          <w:bCs/>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 </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pStyle w:val="998"/>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           </w:t>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816"/>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16"/>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16"/>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998"/>
        <w:ind w:firstLine="0"/>
        <w:spacing w:before="0" w:after="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97"/>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0"/>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16"/>
        <w:jc w:val="center"/>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816"/>
        <w:ind w:firstLine="480"/>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bookmarkStart w:id="159" w:name="_Toc120614284"/>
      <w:r/>
      <w:bookmarkStart w:id="160" w:name="_Toc513029281"/>
      <w:r/>
      <w:bookmarkStart w:id="161" w:name="_Toc23828483"/>
      <w:r/>
      <w:bookmarkStart w:id="162" w:name="_Toc49090582"/>
      <w:r/>
      <w:bookmarkStart w:id="163" w:name="_Toc120614291"/>
      <w:r/>
      <w:bookmarkStart w:id="164" w:name="_Toc24878535"/>
      <w:r/>
      <w:bookmarkStart w:id="165" w:name="_Toc26554103"/>
      <w:r/>
      <w:bookmarkStart w:id="166" w:name="_Toc22356583"/>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rPr>
        <w:t xml:space="preserve">二、上一年度的财务状况报表（上一年度的财务状况报表2025年度报表未出的，可使用2024年度报表，财务状况报表至少包含利润表、资产负债表、现金流量表，成立不满一年无需提供）</w:t>
      </w:r>
      <w:r/>
    </w:p>
    <w:p>
      <w:pPr>
        <w:pStyle w:val="816"/>
        <w:ind w:firstLine="480"/>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三、具备履行合同所必需的设备和专业技术能力的书面声明</w:t>
      </w:r>
      <w:r/>
    </w:p>
    <w:p>
      <w:pPr>
        <w:pStyle w:val="816"/>
        <w:ind w:firstLine="480"/>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6"/>
        <w:ind w:firstLine="480"/>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九、中小企业声明函</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十一、投标分项报价表</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十二、技术要求响应及偏离表</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十三、商务要求响应及偏离表</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十四、开标一览表</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十五、项目团队人员一览表</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十六、</w:t>
      </w:r>
      <w:r>
        <w:rPr>
          <w:rFonts w:hint="eastAsia" w:cs="宋体"/>
          <w:i w:val="0"/>
          <w:iCs/>
          <w:color w:val="auto"/>
          <w:highlight w:val="none"/>
          <w:u w:val="none"/>
          <w:lang w:eastAsia="zh-CN"/>
        </w:rPr>
        <w:t xml:space="preserve">服务方案</w:t>
      </w:r>
      <w:r>
        <w:rPr>
          <w:rFonts w:hint="eastAsia" w:ascii="宋体" w:hAnsi="宋体" w:eastAsia="宋体" w:cs="宋体"/>
          <w:i w:val="0"/>
          <w:iCs/>
          <w:color w:val="auto"/>
          <w:highlight w:val="none"/>
          <w:u w:val="none"/>
        </w:rPr>
        <w:t xml:space="preserve">等</w:t>
      </w:r>
      <w:r/>
    </w:p>
    <w:p>
      <w:pPr>
        <w:pStyle w:val="816"/>
        <w:ind w:firstLine="482"/>
        <w:keepLines w:val="0"/>
        <w:keepNext w:val="0"/>
        <w:pageBreakBefore w:val="0"/>
        <w:spacing w:before="0" w:beforeAutospacing="0" w:after="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十七、盐城市政府采购事前信用承诺书</w:t>
      </w:r>
      <w:r/>
    </w:p>
    <w:p>
      <w:pPr>
        <w:pStyle w:val="816"/>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816"/>
        <w:jc w:val="both"/>
        <w:spacing w:beforeAutospacing="0" w:afterAutospacing="0"/>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81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both"/>
        <w:spacing w:beforeAutospacing="0" w:afterAutospacing="0"/>
        <w:rPr>
          <w:rFonts w:hint="eastAsia" w:ascii="宋体" w:hAnsi="宋体" w:eastAsia="宋体" w:cs="宋体"/>
          <w:b/>
          <w:bCs/>
          <w:i/>
          <w:color w:val="auto"/>
          <w:sz w:val="32"/>
          <w:szCs w:val="32"/>
          <w:highlight w:val="none"/>
          <w:u w:val="single"/>
          <w:lang w:val="en-US" w:eastAsia="zh-CN"/>
        </w:rPr>
        <w:outlineLvl w:val="1"/>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b/>
          <w:bCs/>
          <w:i/>
          <w:color w:val="auto"/>
          <w:sz w:val="32"/>
          <w:szCs w:val="32"/>
          <w:highlight w:val="none"/>
          <w:u w:val="single"/>
          <w:lang w:val="en-US" w:eastAsia="zh-CN"/>
        </w:rPr>
        <w:t xml:space="preserve">表</w:t>
      </w:r>
      <w:r/>
    </w:p>
    <w:p>
      <w:pPr>
        <w:pStyle w:val="816"/>
        <w:ind w:firstLine="492"/>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（上一年度的财务状况报表2025年度报表未出的，可使用2024年度报表，财务状况报表至少包含利润表、资产负债表、现金流量表，成立不满一年无需提供</w:t>
      </w:r>
      <w:r>
        <w:rPr>
          <w:rFonts w:hint="eastAsia" w:ascii="宋体" w:hAnsi="宋体" w:eastAsia="宋体" w:cs="宋体"/>
          <w:color w:val="auto"/>
          <w:highlight w:val="none"/>
          <w:lang w:val="en-US" w:eastAsia="zh-CN"/>
        </w:rPr>
        <w:t xml:space="preserve">）</w:t>
      </w:r>
      <w:r/>
    </w:p>
    <w:p>
      <w:pPr>
        <w:pStyle w:val="816"/>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both"/>
        <w:spacing w:beforeAutospacing="0" w:afterAutospacing="0"/>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816"/>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16"/>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1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16"/>
        <w:jc w:val="both"/>
        <w:spacing w:beforeAutospacing="0" w:afterAutospacing="0"/>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r>
      <w:r/>
    </w:p>
    <w:p>
      <w:pPr>
        <w:pStyle w:val="816"/>
        <w:jc w:val="both"/>
        <w:spacing w:beforeAutospacing="0" w:afterAutospacing="0"/>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81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both"/>
        <w:spacing w:beforeAutospacing="0" w:afterAutospacing="0"/>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1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both"/>
        <w:spacing w:beforeAutospacing="0" w:afterAutospacing="0"/>
        <w:rPr>
          <w:rFonts w:hint="eastAsia"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六、特定资格要求的证明文件</w:t>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center"/>
        <w:keepLines w:val="0"/>
        <w:keepNext w:val="0"/>
        <w:pageBreakBefore w:val="0"/>
        <w:spacing w:before="0" w:beforeAutospacing="0" w:after="0" w:afterAutospacing="0" w:line="500" w:lineRule="exact"/>
        <w:widowControl/>
        <w:rPr>
          <w:rFonts w:hint="eastAsia" w:ascii="宋体" w:hAnsi="宋体" w:eastAsia="宋体" w:cs="宋体"/>
          <w:b/>
          <w:bCs/>
          <w:i/>
          <w:iCs w:val="0"/>
          <w:color w:val="auto"/>
          <w:highlight w:val="none"/>
          <w:u w:val="single"/>
        </w:rPr>
        <w:outlineLvl w:val="1"/>
      </w:pPr>
      <w:r>
        <w:rPr>
          <w:rFonts w:hint="eastAsia" w:ascii="宋体" w:hAnsi="宋体" w:eastAsia="宋体" w:cs="宋体"/>
          <w:b/>
          <w:bCs/>
          <w:i/>
          <w:iCs w:val="0"/>
          <w:color w:val="auto"/>
          <w:sz w:val="32"/>
          <w:szCs w:val="32"/>
          <w:highlight w:val="none"/>
          <w:u w:val="single"/>
        </w:rPr>
        <w:t xml:space="preserve">七、法人授权书</w:t>
      </w:r>
      <w:r/>
    </w:p>
    <w:p>
      <w:pPr>
        <w:pStyle w:val="816"/>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cs="宋体"/>
          <w:color w:val="auto"/>
          <w:sz w:val="24"/>
          <w:highlight w:val="none"/>
          <w:u w:val="single"/>
          <w:lang w:val="en-US" w:eastAsia="zh-CN"/>
        </w:rPr>
        <w:t xml:space="preserve">JSZC-320900-YCLX-G2026-0007</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816"/>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16"/>
        <w:ind w:firstLine="480"/>
        <w:jc w:val="left"/>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16"/>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816"/>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816"/>
        <w:ind w:firstLine="480"/>
        <w:jc w:val="left"/>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rPr>
          <w:rFonts w:hint="eastAsia" w:ascii="宋体" w:hAnsi="宋体" w:eastAsia="宋体" w:cs="宋体"/>
          <w:color w:val="auto"/>
          <w:highlight w:val="none"/>
          <w:lang w:val="en-US" w:eastAsia="zh-CN"/>
        </w:rPr>
        <w:t xml:space="preserve">地址</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p>
    <w:p>
      <w:pPr>
        <w:pStyle w:val="816"/>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日期</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keepLines w:val="0"/>
        <w:keepNext w:val="0"/>
        <w:pageBreakBefore w:val="0"/>
        <w:spacing w:beforeAutospacing="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法定代表人及被授权人身份证</w:t>
      </w:r>
      <w:r>
        <w:rPr>
          <w:rFonts w:hint="eastAsia" w:ascii="宋体" w:hAnsi="宋体" w:eastAsia="宋体" w:cs="宋体"/>
          <w:color w:val="auto"/>
          <w:highlight w:val="none"/>
          <w:lang w:val="en-US" w:eastAsia="zh-CN"/>
        </w:rPr>
        <w:t xml:space="preserve">复印件</w:t>
      </w:r>
      <w:r>
        <w:rPr>
          <w:rFonts w:hint="eastAsia" w:ascii="宋体" w:hAnsi="宋体" w:eastAsia="宋体" w:cs="宋体"/>
          <w:color w:val="auto"/>
          <w:highlight w:val="none"/>
        </w:rPr>
        <w:t xml:space="preserve">：</w:t>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
          <w:iCs w:val="0"/>
          <w:color w:val="auto"/>
          <w:sz w:val="32"/>
          <w:szCs w:val="32"/>
          <w:highlight w:val="none"/>
          <w:u w:val="single"/>
        </w:rPr>
      </w:pPr>
      <w:r>
        <w:rPr>
          <w:rFonts w:hint="eastAsia" w:ascii="宋体" w:hAnsi="宋体" w:eastAsia="宋体" w:cs="宋体"/>
          <w:b/>
          <w:i/>
          <w:iCs w:val="0"/>
          <w:color w:val="auto"/>
          <w:sz w:val="32"/>
          <w:szCs w:val="32"/>
          <w:highlight w:val="none"/>
          <w:u w:val="single"/>
        </w:rPr>
        <w:br w:type="page" w:clear="all"/>
      </w:r>
      <w:r/>
    </w:p>
    <w:p>
      <w:pPr>
        <w:pStyle w:val="816"/>
        <w:jc w:val="center"/>
        <w:keepLines/>
        <w:keepNext/>
        <w:spacing w:before="260" w:beforeAutospacing="0" w:after="260" w:afterAutospacing="0" w:line="415" w:lineRule="auto"/>
        <w:rPr>
          <w:rFonts w:hint="eastAsia" w:ascii="宋体" w:hAnsi="宋体" w:eastAsia="宋体" w:cs="宋体"/>
          <w:i/>
          <w:iCs w:val="0"/>
          <w:color w:val="auto"/>
          <w:highlight w:val="none"/>
          <w:u w:val="single"/>
        </w:rPr>
        <w:outlineLvl w:val="1"/>
      </w:pPr>
      <w:r>
        <w:rPr>
          <w:rFonts w:hint="eastAsia" w:ascii="宋体" w:hAnsi="宋体" w:eastAsia="宋体" w:cs="宋体"/>
          <w:b/>
          <w:i/>
          <w:iCs w:val="0"/>
          <w:color w:val="auto"/>
          <w:sz w:val="32"/>
          <w:szCs w:val="32"/>
          <w:highlight w:val="none"/>
          <w:u w:val="single"/>
        </w:rPr>
        <w:t xml:space="preserve">八、投标函</w:t>
      </w:r>
      <w:r/>
    </w:p>
    <w:p>
      <w:pPr>
        <w:pStyle w:val="816"/>
        <w:keepLines w:val="0"/>
        <w:keepNext w:val="0"/>
        <w:pageBreakBefore w:val="0"/>
        <w:spacing w:before="0" w:beforeAutospacing="0" w:after="0" w:afterAutospacing="0"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盐城市文化广电和旅游局</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cs="宋体"/>
          <w:color w:val="auto"/>
          <w:sz w:val="24"/>
          <w:highlight w:val="none"/>
          <w:u w:val="single"/>
          <w:lang w:val="en-US" w:eastAsia="zh-CN"/>
        </w:rPr>
        <w:t xml:space="preserve">JSZC-320900-YCLX-G2026-0007</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编：</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话：</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 </w:t>
      </w:r>
      <w:r/>
    </w:p>
    <w:p>
      <w:pPr>
        <w:pStyle w:val="816"/>
        <w:ind w:left="0" w:firstLine="480"/>
        <w:keepLines w:val="0"/>
        <w:keepNext w:val="0"/>
        <w:pageBreakBefore w:val="0"/>
        <w:spacing w:before="0" w:beforeAutospacing="0" w:after="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808"/>
        <w:ind w:left="0" w:firstLine="422"/>
        <w:keepLines w:val="0"/>
        <w:keepNext w:val="0"/>
        <w:pageBreakBefore w:val="0"/>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08"/>
        <w:ind w:left="0" w:firstLine="422"/>
        <w:keepLines w:val="0"/>
        <w:keepNext w:val="0"/>
        <w:pageBreakBefore w:val="0"/>
        <w:spacing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br w:type="page" w:clear="all"/>
      </w:r>
      <w:r/>
    </w:p>
    <w:p>
      <w:pPr>
        <w:numPr>
          <w:ilvl w:val="0"/>
          <w:numId w:val="0"/>
        </w:numPr>
        <w:jc w:val="center"/>
        <w:spacing w:line="560" w:lineRule="exact"/>
        <w:rPr>
          <w:rFonts w:hint="eastAsia" w:ascii="宋体" w:hAnsi="宋体" w:eastAsia="宋体" w:cs="宋体"/>
          <w:b/>
          <w:bCs/>
          <w:color w:val="auto"/>
          <w:sz w:val="32"/>
          <w:szCs w:val="32"/>
          <w:highlight w:val="none"/>
          <w:lang w:val="en-US" w:eastAsia="zh-CN"/>
        </w:rPr>
        <w:outlineLvl w:val="1"/>
      </w:pPr>
      <w:r>
        <w:rPr>
          <w:rFonts w:hint="eastAsia" w:ascii="宋体" w:hAnsi="宋体" w:eastAsia="宋体" w:cs="宋体"/>
          <w:b/>
          <w:bCs/>
          <w:color w:val="auto"/>
          <w:sz w:val="32"/>
          <w:szCs w:val="32"/>
          <w:lang w:val="en-US" w:eastAsia="zh-CN" w:bidi="ar-SA"/>
        </w:rPr>
        <w:t xml:space="preserve">九、</w:t>
      </w:r>
      <w:r>
        <w:rPr>
          <w:rFonts w:hint="eastAsia" w:ascii="宋体" w:hAnsi="宋体" w:eastAsia="宋体" w:cs="宋体"/>
          <w:b/>
          <w:bCs/>
          <w:color w:val="auto"/>
          <w:sz w:val="32"/>
          <w:szCs w:val="32"/>
          <w:highlight w:val="none"/>
          <w:lang w:eastAsia="zh-CN"/>
        </w:rPr>
        <w:t xml:space="preserve">中小企业声明函（服务）（分包号：**）</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lang w:eastAsia="zh-CN"/>
        </w:rPr>
        <w:t xml:space="preserve">盐城市文化广电和旅游局</w:t>
      </w:r>
      <w:r>
        <w:rPr>
          <w:rFonts w:hint="eastAsia" w:ascii="宋体" w:hAnsi="宋体" w:eastAsia="宋体" w:cs="宋体"/>
          <w:color w:val="auto"/>
          <w:sz w:val="24"/>
          <w:highlight w:val="none"/>
        </w:rPr>
        <w:t xml:space="preserve">组织的采购编号为</w:t>
      </w:r>
      <w:r>
        <w:rPr>
          <w:rFonts w:hint="eastAsia" w:ascii="宋体" w:hAnsi="宋体" w:cs="宋体"/>
          <w:color w:val="auto"/>
          <w:sz w:val="24"/>
          <w:highlight w:val="none"/>
          <w:u w:val="single"/>
          <w:lang w:val="en-US" w:eastAsia="zh-CN"/>
        </w:rPr>
        <w:t xml:space="preserve">JSZC-320900-YCLX-G2026-0007</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val="0"/>
          <w:iCs w:val="0"/>
          <w:color w:val="auto"/>
          <w:sz w:val="24"/>
          <w:highlight w:val="none"/>
          <w:u w:val="single"/>
          <w:lang w:eastAsia="zh-CN"/>
        </w:rPr>
        <w:t xml:space="preserve">盐城市“茉莉花开·家门口赏好戏”—全省优秀舞台艺术作品和优秀群众文艺作品乡镇巡演项目</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4"/>
        </w:numPr>
        <w:ind w:lef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816"/>
        <w:ind w:right="72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ind w:right="180" w:firstLine="360"/>
        <w:jc w:val="right"/>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16"/>
        <w:ind w:right="480" w:firstLine="540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16"/>
        <w:ind w:firstLine="24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1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0"/>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numPr>
          <w:ilvl w:val="0"/>
          <w:numId w:val="0"/>
        </w:numPr>
        <w:jc w:val="center"/>
        <w:spacing w:line="56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残疾人福利性单位声明函（分包号：**）</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16"/>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816"/>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16"/>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16"/>
        <w:ind w:firstLine="480"/>
        <w:jc w:val="both"/>
        <w:keepLines w:val="0"/>
        <w:keepNext w:val="0"/>
        <w:pageBreakBefore w:val="0"/>
        <w:spacing w:beforeAutospacing="0" w:afterAutospacing="0" w:line="50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16"/>
        <w:ind w:firstLine="480"/>
        <w:jc w:val="both"/>
        <w:keepLines w:val="0"/>
        <w:keepNext w:val="0"/>
        <w:pageBreakBefore w:val="0"/>
        <w:spacing w:beforeAutospacing="0" w:afterAutospacing="0" w:line="50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816"/>
        <w:ind w:firstLine="624"/>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16"/>
        <w:ind w:right="0" w:firstLine="624"/>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供应商全称（加盖CA电子公章）：</w:t>
      </w:r>
      <w:r/>
    </w:p>
    <w:p>
      <w:pPr>
        <w:pStyle w:val="816"/>
        <w:ind w:right="0" w:firstLine="480"/>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  期：</w:t>
      </w:r>
      <w:bookmarkEnd w:id="145"/>
      <w:r/>
      <w:bookmarkEnd w:id="146"/>
      <w:r/>
      <w:bookmarkEnd w:id="147"/>
      <w:r/>
      <w:bookmarkEnd w:id="159"/>
      <w:r/>
      <w:bookmarkEnd w:id="160"/>
      <w:r/>
      <w:bookmarkEnd w:id="161"/>
      <w:r/>
      <w:bookmarkEnd w:id="162"/>
      <w:r/>
      <w:bookmarkEnd w:id="163"/>
      <w:r/>
      <w:bookmarkEnd w:id="164"/>
      <w:r/>
      <w:bookmarkEnd w:id="165"/>
      <w:r/>
      <w:bookmarkEnd w:id="166"/>
      <w:r/>
      <w:r/>
    </w:p>
    <w:p>
      <w:pP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br w:type="page" w:clear="all"/>
      </w:r>
      <w:r/>
    </w:p>
    <w:p>
      <w:pPr>
        <w:jc w:val="center"/>
        <w:rPr>
          <w:rFonts w:hint="eastAsia" w:ascii="宋体" w:hAnsi="宋体" w:eastAsia="宋体" w:cs="宋体"/>
          <w:color w:val="auto"/>
          <w:sz w:val="24"/>
          <w:szCs w:val="24"/>
          <w:highlight w:val="none"/>
        </w:rPr>
        <w:outlineLvl w:val="1"/>
      </w:pPr>
      <w:r>
        <w:rPr>
          <w:rFonts w:hint="eastAsia" w:ascii="宋体" w:hAnsi="宋体" w:eastAsia="宋体" w:cs="宋体"/>
          <w:b/>
          <w:color w:val="auto"/>
          <w:sz w:val="36"/>
          <w:szCs w:val="36"/>
          <w:highlight w:val="none"/>
          <w:lang w:val="en-US" w:eastAsia="zh-CN"/>
        </w:rPr>
        <w:t xml:space="preserve">十</w:t>
      </w:r>
      <w:r>
        <w:rPr>
          <w:rFonts w:hint="eastAsia" w:ascii="宋体" w:hAnsi="宋体" w:cs="宋体"/>
          <w:b/>
          <w:color w:val="auto"/>
          <w:sz w:val="36"/>
          <w:szCs w:val="36"/>
          <w:highlight w:val="none"/>
          <w:lang w:val="en-US" w:eastAsia="zh-CN"/>
        </w:rPr>
        <w:t xml:space="preserve">一</w:t>
      </w:r>
      <w:r>
        <w:rPr>
          <w:rFonts w:hint="eastAsia" w:ascii="宋体" w:hAnsi="宋体" w:eastAsia="宋体" w:cs="宋体"/>
          <w:b/>
          <w:color w:val="auto"/>
          <w:sz w:val="36"/>
          <w:szCs w:val="36"/>
          <w:highlight w:val="none"/>
        </w:rPr>
        <w:t xml:space="preserve">、投标分项报价表（分包号：**）</w:t>
      </w:r>
      <w:r/>
    </w:p>
    <w:p>
      <w:pPr>
        <w:ind w:firstLine="12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2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3"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color w:val="auto"/>
          <w:sz w:val="24"/>
          <w:highlight w:val="none"/>
        </w:rPr>
        <w:t xml:space="preserve">投标人全称：                     （加盖公章）</w:t>
      </w:r>
      <w:r/>
    </w:p>
    <w:tbl>
      <w:tblPr>
        <w:tblStyle w:val="781"/>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904"/>
        <w:gridCol w:w="1300"/>
        <w:gridCol w:w="1767"/>
        <w:gridCol w:w="1600"/>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default" w:ascii="宋体" w:hAnsi="宋体" w:eastAsia="宋体" w:cs="宋体"/>
                <w:color w:val="auto"/>
                <w:highlight w:val="none"/>
                <w:lang w:val="en-US" w:eastAsia="zh-CN"/>
              </w:rPr>
              <w:t xml:space="preserve">服务内容</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default" w:ascii="宋体" w:hAnsi="宋体" w:eastAsia="宋体" w:cs="宋体"/>
                <w:color w:val="auto"/>
                <w:highlight w:val="none"/>
                <w:lang w:val="en-US" w:eastAsia="zh-CN"/>
              </w:rPr>
              <w:t xml:space="preserve">场次</w:t>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16"/>
              <w:jc w:val="center"/>
              <w:spacing w:beforeAutospacing="0" w:afterAutospacing="0" w:line="0" w:lineRule="atLeas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单价</w:t>
            </w:r>
            <w:r/>
          </w:p>
          <w:p>
            <w:pPr>
              <w:pStyle w:val="816"/>
              <w:jc w:val="center"/>
              <w:spacing w:beforeAutospacing="0" w:afterAutospacing="0" w:line="0" w:lineRule="atLeast"/>
              <w:rPr>
                <w:rFonts w:hint="eastAsia" w:ascii="宋体" w:hAnsi="宋体" w:eastAsia="宋体" w:cs="宋体"/>
                <w:color w:val="auto"/>
                <w:highlight w:val="none"/>
              </w:rPr>
            </w:pPr>
            <w:r>
              <w:rPr>
                <w:rFonts w:hint="default" w:ascii="宋体" w:hAnsi="宋体" w:eastAsia="宋体" w:cs="宋体"/>
                <w:color w:val="auto"/>
                <w:highlight w:val="none"/>
                <w:lang w:val="en-US" w:eastAsia="zh-CN"/>
              </w:rPr>
              <w:t xml:space="preserve">（元</w:t>
            </w:r>
            <w:r>
              <w:rPr>
                <w:rFonts w:hint="eastAsia" w:cs="宋体"/>
                <w:color w:val="auto"/>
                <w:highlight w:val="none"/>
                <w:lang w:val="en-US" w:eastAsia="zh-CN"/>
              </w:rPr>
              <w:t xml:space="preserve">/</w:t>
            </w:r>
            <w:r>
              <w:rPr>
                <w:rFonts w:hint="default" w:ascii="宋体" w:hAnsi="宋体" w:eastAsia="宋体" w:cs="宋体"/>
                <w:color w:val="auto"/>
                <w:highlight w:val="none"/>
                <w:lang w:val="en-US" w:eastAsia="zh-CN"/>
              </w:rPr>
              <w:t xml:space="preserve">场）</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16"/>
              <w:jc w:val="center"/>
              <w:spacing w:beforeAutospacing="0" w:afterAutospacing="0" w:line="0" w:lineRule="atLeas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合价</w:t>
            </w:r>
            <w:r/>
          </w:p>
          <w:p>
            <w:pPr>
              <w:pStyle w:val="816"/>
              <w:jc w:val="center"/>
              <w:spacing w:beforeAutospacing="0" w:afterAutospacing="0" w:line="0" w:lineRule="atLeast"/>
              <w:rPr>
                <w:rFonts w:hint="eastAsia" w:ascii="宋体" w:hAnsi="宋体" w:eastAsia="宋体" w:cs="宋体"/>
                <w:color w:val="auto"/>
                <w:highlight w:val="none"/>
              </w:rPr>
            </w:pPr>
            <w:r>
              <w:rPr>
                <w:rFonts w:hint="default" w:ascii="宋体" w:hAnsi="宋体" w:eastAsia="宋体" w:cs="宋体"/>
                <w:color w:val="auto"/>
                <w:highlight w:val="none"/>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default" w:ascii="宋体" w:hAnsi="宋体" w:eastAsia="宋体" w:cs="宋体"/>
                <w:color w:val="auto"/>
                <w:highlight w:val="none"/>
                <w:lang w:val="en-US" w:eastAsia="zh-CN"/>
              </w:rPr>
              <w:t xml:space="preserve">备注</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巡演服务</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其他费用</w:t>
            </w:r>
            <w:r/>
          </w:p>
          <w:p>
            <w:pPr>
              <w:pStyle w:val="816"/>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（如有） </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991"/>
        </w:trPr>
        <w:tc>
          <w:tcPr>
            <w:gridSpan w:val="5"/>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1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6"/>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spacing w:line="8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法定代表人或授权代表签字：</w:t>
      </w:r>
      <w:r/>
    </w:p>
    <w:p>
      <w:pPr>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注：</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投标单价不得超过本项目最高限价（</w:t>
      </w:r>
      <w:r>
        <w:rPr>
          <w:rFonts w:hint="eastAsia" w:ascii="宋体" w:hAnsi="宋体" w:cs="宋体"/>
          <w:color w:val="auto"/>
          <w:sz w:val="24"/>
          <w:highlight w:val="none"/>
          <w:lang w:val="en-US" w:eastAsia="zh-CN"/>
        </w:rPr>
        <w:t xml:space="preserve">20000</w:t>
      </w:r>
      <w:r>
        <w:rPr>
          <w:rFonts w:hint="eastAsia" w:ascii="宋体" w:hAnsi="宋体" w:eastAsia="宋体" w:cs="宋体"/>
          <w:color w:val="auto"/>
          <w:sz w:val="24"/>
          <w:highlight w:val="none"/>
        </w:rPr>
        <w:t xml:space="preserve">元/场），否则视为无效投标</w:t>
      </w:r>
      <w:r>
        <w:rPr>
          <w:rFonts w:hint="eastAsia" w:ascii="宋体" w:hAnsi="宋体" w:cs="宋体"/>
          <w:color w:val="auto"/>
          <w:sz w:val="24"/>
          <w:highlight w:val="none"/>
          <w:lang w:eastAsia="zh-CN"/>
        </w:rPr>
        <w:t xml:space="preserve">。</w:t>
      </w:r>
      <w:r/>
    </w:p>
    <w:p>
      <w:pPr>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投标总报价 = Σ（单价 × 场次）。各分包场次详见第四章附件1。</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投标报价应包括为完成本项目所发生的一切费用，包括但不限于演职人员劳务费、食宿费、交通费、服化道、舞台搭建、设备租赁、宣传物料、税费等。</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如无其他费用，可只填写第1行，合价即为投标总报价。</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lang w:val="en-US" w:eastAsia="zh-CN"/>
        </w:rPr>
      </w:pPr>
      <w:r/>
      <w:bookmarkStart w:id="167" w:name="_Toc462564146"/>
      <w:r/>
      <w:r/>
    </w:p>
    <w:p>
      <w:pPr>
        <w:jc w:val="center"/>
        <w:spacing w:before="50" w:after="50"/>
        <w:rPr>
          <w:rFonts w:hint="eastAsia" w:ascii="宋体" w:hAnsi="宋体" w:eastAsia="宋体" w:cs="宋体"/>
          <w:color w:val="auto"/>
          <w:sz w:val="32"/>
          <w:szCs w:val="32"/>
          <w:highlight w:val="none"/>
        </w:rPr>
        <w:outlineLvl w:val="1"/>
      </w:pPr>
      <w:r>
        <w:rPr>
          <w:rFonts w:hint="eastAsia" w:ascii="宋体" w:hAnsi="宋体" w:eastAsia="宋体" w:cs="宋体"/>
          <w:b/>
          <w:color w:val="auto"/>
          <w:sz w:val="36"/>
          <w:szCs w:val="36"/>
          <w:highlight w:val="none"/>
          <w:lang w:val="en-US" w:eastAsia="zh-CN"/>
        </w:rPr>
        <w:t xml:space="preserve">十</w:t>
      </w:r>
      <w:r>
        <w:rPr>
          <w:rFonts w:hint="eastAsia" w:ascii="宋体" w:hAnsi="宋体" w:cs="宋体"/>
          <w:b/>
          <w:color w:val="auto"/>
          <w:sz w:val="36"/>
          <w:szCs w:val="36"/>
          <w:highlight w:val="none"/>
          <w:lang w:val="en-US" w:eastAsia="zh-CN"/>
        </w:rPr>
        <w:t xml:space="preserve">二</w:t>
      </w:r>
      <w:r>
        <w:rPr>
          <w:rFonts w:hint="eastAsia" w:ascii="宋体" w:hAnsi="宋体" w:eastAsia="宋体" w:cs="宋体"/>
          <w:b/>
          <w:color w:val="auto"/>
          <w:sz w:val="36"/>
          <w:szCs w:val="36"/>
          <w:highlight w:val="none"/>
          <w:lang w:val="en-US" w:eastAsia="zh-CN"/>
        </w:rPr>
        <w:t xml:space="preserve">、技术参数响应及偏离表（分包号：**）</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81"/>
        <w:tblW w:w="89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64"/>
        <w:gridCol w:w="3175"/>
        <w:gridCol w:w="2736"/>
        <w:gridCol w:w="1308"/>
        <w:gridCol w:w="1155"/>
      </w:tblGrid>
      <w:tr>
        <w:trPr>
          <w:tblCellSpacing w:w="0" w:type="dxa"/>
          <w:trHeight w:val="957"/>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71"/>
        </w:trPr>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36"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1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ind w:left="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0" w:after="5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0"/>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0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br w:type="page" w:clear="all"/>
      </w:r>
      <w:r/>
    </w:p>
    <w:p>
      <w:pPr>
        <w:jc w:val="center"/>
        <w:spacing w:before="50" w:after="50"/>
        <w:rPr>
          <w:rFonts w:hint="eastAsia" w:ascii="宋体" w:hAnsi="宋体" w:eastAsia="宋体" w:cs="宋体"/>
          <w:b/>
          <w:color w:val="auto"/>
          <w:sz w:val="36"/>
          <w:szCs w:val="36"/>
          <w:highlight w:val="none"/>
          <w:lang w:val="en-US" w:eastAsia="zh-CN"/>
        </w:rPr>
        <w:outlineLvl w:val="1"/>
      </w:pPr>
      <w:r>
        <w:rPr>
          <w:rFonts w:hint="eastAsia" w:ascii="宋体" w:hAnsi="宋体" w:eastAsia="宋体" w:cs="宋体"/>
          <w:b/>
          <w:color w:val="auto"/>
          <w:sz w:val="36"/>
          <w:szCs w:val="36"/>
          <w:highlight w:val="none"/>
          <w:lang w:val="en-US" w:eastAsia="zh-CN"/>
        </w:rPr>
        <w:t xml:space="preserve">十</w:t>
      </w:r>
      <w:r>
        <w:rPr>
          <w:rFonts w:hint="eastAsia" w:ascii="宋体" w:hAnsi="宋体" w:cs="宋体"/>
          <w:b/>
          <w:color w:val="auto"/>
          <w:sz w:val="36"/>
          <w:szCs w:val="36"/>
          <w:highlight w:val="none"/>
          <w:lang w:val="en-US" w:eastAsia="zh-CN"/>
        </w:rPr>
        <w:t xml:space="preserve">三</w:t>
      </w:r>
      <w:r>
        <w:rPr>
          <w:rFonts w:hint="eastAsia" w:ascii="宋体" w:hAnsi="宋体" w:eastAsia="宋体" w:cs="宋体"/>
          <w:b/>
          <w:color w:val="auto"/>
          <w:sz w:val="36"/>
          <w:szCs w:val="36"/>
          <w:highlight w:val="none"/>
          <w:lang w:val="en-US" w:eastAsia="zh-CN"/>
        </w:rPr>
        <w:t xml:space="preserve">、商务要求响应及偏离表（分包号：**）   </w:t>
      </w:r>
      <w:r/>
    </w:p>
    <w:tbl>
      <w:tblPr>
        <w:tblStyle w:val="781"/>
        <w:tblW w:w="907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04"/>
        <w:gridCol w:w="2631"/>
        <w:gridCol w:w="2818"/>
        <w:gridCol w:w="1325"/>
        <w:gridCol w:w="1599"/>
      </w:tblGrid>
      <w:tr>
        <w:trPr>
          <w:tblCellSpacing w:w="0" w:type="dxa"/>
          <w:trHeight w:val="978"/>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31"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1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20"/>
        <w:ind w:firstLine="72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0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20"/>
        <w:ind w:firstLine="72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08"/>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bookmarkEnd w:id="167"/>
      <w:r/>
      <w:r/>
    </w:p>
    <w:p>
      <w:pPr>
        <w:rPr>
          <w:rFonts w:hint="eastAsia" w:ascii="宋体" w:hAnsi="宋体" w:eastAsia="宋体" w:cs="宋体"/>
          <w:b/>
          <w:color w:val="auto"/>
          <w:sz w:val="36"/>
          <w:szCs w:val="36"/>
          <w:highlight w:val="none"/>
          <w:lang w:val="en-US" w:eastAsia="zh-CN"/>
        </w:rPr>
      </w:pPr>
      <w:r/>
      <w:bookmarkStart w:id="168" w:name="_Toc2880"/>
      <w:r>
        <w:rPr>
          <w:rFonts w:hint="eastAsia" w:ascii="宋体" w:hAnsi="宋体" w:eastAsia="宋体" w:cs="宋体"/>
          <w:b/>
          <w:color w:val="auto"/>
          <w:sz w:val="36"/>
          <w:szCs w:val="36"/>
          <w:highlight w:val="none"/>
          <w:lang w:val="en-US" w:eastAsia="zh-CN"/>
        </w:rPr>
        <w:br w:type="page" w:clear="all"/>
      </w:r>
      <w:r/>
    </w:p>
    <w:p>
      <w:pPr>
        <w:jc w:val="center"/>
        <w:spacing w:before="50" w:after="50"/>
        <w:rPr>
          <w:rFonts w:hint="eastAsia" w:ascii="宋体" w:hAnsi="宋体" w:eastAsia="宋体" w:cs="宋体"/>
          <w:b/>
          <w:color w:val="auto"/>
          <w:sz w:val="36"/>
          <w:szCs w:val="36"/>
          <w:highlight w:val="none"/>
          <w:lang w:val="en-US" w:eastAsia="zh-CN"/>
        </w:rPr>
        <w:outlineLvl w:val="1"/>
      </w:pPr>
      <w:r>
        <w:rPr>
          <w:rFonts w:hint="eastAsia" w:ascii="宋体" w:hAnsi="宋体" w:eastAsia="宋体" w:cs="宋体"/>
          <w:b/>
          <w:color w:val="auto"/>
          <w:sz w:val="36"/>
          <w:szCs w:val="36"/>
          <w:highlight w:val="none"/>
          <w:lang w:val="en-US" w:eastAsia="zh-CN"/>
        </w:rPr>
        <w:t xml:space="preserve">十</w:t>
      </w:r>
      <w:r>
        <w:rPr>
          <w:rFonts w:hint="eastAsia" w:ascii="宋体" w:hAnsi="宋体" w:cs="宋体"/>
          <w:b/>
          <w:color w:val="auto"/>
          <w:sz w:val="36"/>
          <w:szCs w:val="36"/>
          <w:highlight w:val="none"/>
          <w:lang w:val="en-US" w:eastAsia="zh-CN"/>
        </w:rPr>
        <w:t xml:space="preserve">四</w:t>
      </w:r>
      <w:r>
        <w:rPr>
          <w:rFonts w:hint="eastAsia" w:ascii="宋体" w:hAnsi="宋体" w:eastAsia="宋体" w:cs="宋体"/>
          <w:b/>
          <w:color w:val="auto"/>
          <w:sz w:val="36"/>
          <w:szCs w:val="36"/>
          <w:highlight w:val="none"/>
          <w:lang w:val="en-US" w:eastAsia="zh-CN"/>
        </w:rPr>
        <w:t xml:space="preserve">、开标一览表</w:t>
      </w:r>
      <w:bookmarkEnd w:id="168"/>
      <w:r/>
      <w:r/>
    </w:p>
    <w:p>
      <w:pPr>
        <w:pStyle w:val="81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ind w:firstLine="480"/>
        <w:jc w:val="both"/>
        <w:spacing w:beforeAutospacing="0" w:afterAutospacing="0"/>
        <w:rPr>
          <w:rFonts w:hint="eastAsia" w:ascii="宋体" w:hAnsi="宋体" w:eastAsia="宋体" w:cs="宋体"/>
          <w:color w:val="auto"/>
          <w:highlight w:val="none"/>
          <w:lang w:eastAsia="zh-CN"/>
        </w:rPr>
      </w:pPr>
      <w:r>
        <w:rPr>
          <w:rFonts w:hint="eastAsia" w:cs="宋体"/>
          <w:color w:val="auto"/>
          <w:highlight w:val="none"/>
          <w:lang w:val="en-US" w:eastAsia="zh-CN"/>
        </w:rPr>
        <w:t xml:space="preserve">项目</w:t>
      </w:r>
      <w:r>
        <w:rPr>
          <w:rFonts w:hint="eastAsia" w:ascii="宋体" w:hAnsi="宋体" w:eastAsia="宋体" w:cs="宋体"/>
          <w:color w:val="auto"/>
          <w:highlight w:val="none"/>
        </w:rPr>
        <w:t xml:space="preserve">编号：</w:t>
      </w:r>
      <w:r>
        <w:rPr>
          <w:rFonts w:hint="eastAsia" w:cs="宋体"/>
          <w:color w:val="auto"/>
          <w:highlight w:val="none"/>
          <w:lang w:eastAsia="zh-CN"/>
        </w:rPr>
        <w:t xml:space="preserve">JSZC-320900-YCLX-G2026-0007</w:t>
      </w:r>
      <w:r/>
    </w:p>
    <w:p>
      <w:pPr>
        <w:pStyle w:val="81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tbl>
      <w:tblPr>
        <w:tblStyle w:val="8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90"/>
        <w:gridCol w:w="3090"/>
        <w:gridCol w:w="3090"/>
      </w:tblGrid>
      <w:tr>
        <w:trPr/>
        <w:tc>
          <w:tcPr>
            <w:tcW w:w="3090" w:type="dxa"/>
            <w:textDirection w:val="lrTb"/>
            <w:noWrap w:val="false"/>
          </w:tcPr>
          <w:p>
            <w:pPr>
              <w:pStyle w:val="816"/>
              <w:jc w:val="both"/>
              <w:keepLines w:val="0"/>
              <w:keepNext w:val="0"/>
              <w:spacing w:beforeAutospacing="0" w:afterAutospacing="0"/>
              <w:widowControl/>
              <w:rPr>
                <w:rFonts w:hint="eastAsia" w:ascii="宋体" w:hAnsi="宋体" w:eastAsia="宋体" w:cs="宋体"/>
                <w:color w:val="auto"/>
                <w:highlight w:val="none"/>
                <w:vertAlign w:val="baseline"/>
              </w:rPr>
              <w:suppressLineNumbers w:val="0"/>
            </w:pPr>
            <w:r>
              <w:t xml:space="preserve">项目名称</w:t>
            </w:r>
            <w:r/>
          </w:p>
        </w:tc>
        <w:tc>
          <w:tcPr>
            <w:tcW w:w="3090" w:type="dxa"/>
            <w:textDirection w:val="lrTb"/>
            <w:noWrap w:val="false"/>
          </w:tcPr>
          <w:p>
            <w:pPr>
              <w:pStyle w:val="816"/>
              <w:jc w:val="both"/>
              <w:keepLines w:val="0"/>
              <w:keepNext w:val="0"/>
              <w:spacing w:beforeAutospacing="0" w:afterAutospacing="0"/>
              <w:widowControl/>
              <w:rPr>
                <w:rFonts w:hint="eastAsia" w:ascii="宋体" w:hAnsi="宋体" w:eastAsia="宋体" w:cs="宋体"/>
                <w:color w:val="auto"/>
                <w:highlight w:val="none"/>
                <w:vertAlign w:val="baseline"/>
                <w:lang w:val="en-US" w:eastAsia="zh-CN"/>
              </w:rPr>
              <w:suppressLineNumbers w:val="0"/>
            </w:pPr>
            <w:r>
              <w:t xml:space="preserve">项目</w:t>
            </w:r>
            <w:r>
              <w:rPr>
                <w:rFonts w:hint="eastAsia"/>
                <w:lang w:val="en-US" w:eastAsia="zh-CN"/>
              </w:rPr>
              <w:t xml:space="preserve">内容</w:t>
            </w:r>
            <w:r/>
          </w:p>
        </w:tc>
        <w:tc>
          <w:tcPr>
            <w:tcW w:w="3090" w:type="dxa"/>
            <w:textDirection w:val="lrTb"/>
            <w:noWrap w:val="false"/>
          </w:tcPr>
          <w:p>
            <w:pPr>
              <w:pStyle w:val="816"/>
              <w:jc w:val="both"/>
              <w:keepLines w:val="0"/>
              <w:keepNext w:val="0"/>
              <w:spacing w:beforeAutospacing="0" w:afterAutospacing="0"/>
              <w:widowControl/>
              <w:rPr>
                <w:rFonts w:hint="eastAsia" w:ascii="宋体" w:hAnsi="宋体" w:eastAsia="宋体" w:cs="宋体"/>
                <w:color w:val="auto"/>
                <w:highlight w:val="none"/>
                <w:vertAlign w:val="baseline"/>
                <w:lang w:val="en-US" w:eastAsia="zh-CN"/>
              </w:rPr>
              <w:suppressLineNumbers w:val="0"/>
            </w:pPr>
            <w:r>
              <w:rPr>
                <w:rFonts w:hint="eastAsia" w:cs="宋体"/>
                <w:color w:val="auto"/>
                <w:highlight w:val="none"/>
                <w:vertAlign w:val="baseline"/>
                <w:lang w:val="en-US" w:eastAsia="zh-CN"/>
              </w:rPr>
              <w:t xml:space="preserve">单价（小写）</w:t>
            </w:r>
            <w:r/>
          </w:p>
        </w:tc>
      </w:tr>
      <w:tr>
        <w:trPr/>
        <w:tc>
          <w:tcPr>
            <w:tcW w:w="3090" w:type="dxa"/>
            <w:textDirection w:val="lrTb"/>
            <w:noWrap w:val="false"/>
          </w:tcPr>
          <w:p>
            <w:pPr>
              <w:pStyle w:val="816"/>
              <w:jc w:val="both"/>
              <w:spacing w:beforeAutospacing="0" w:afterAutospacing="0"/>
              <w:rPr>
                <w:rFonts w:hint="eastAsia" w:ascii="宋体" w:hAnsi="宋体" w:eastAsia="宋体" w:cs="宋体"/>
                <w:color w:val="auto"/>
                <w:highlight w:val="none"/>
                <w:vertAlign w:val="baseline"/>
              </w:rPr>
            </w:pPr>
            <w:r>
              <w:rPr>
                <w:rFonts w:hint="eastAsia" w:ascii="宋体" w:hAnsi="宋体" w:eastAsia="宋体" w:cs="宋体"/>
                <w:color w:val="auto"/>
                <w:sz w:val="24"/>
                <w:highlight w:val="none"/>
                <w:lang w:eastAsia="zh-CN"/>
              </w:rPr>
              <w:t xml:space="preserve">盐城市“茉莉花开·家门口赏好戏”—全省优秀舞台艺术作品和优秀群众文艺作品乡镇巡演项目</w:t>
            </w:r>
            <w:r/>
          </w:p>
        </w:tc>
        <w:tc>
          <w:tcPr>
            <w:tcW w:w="3090" w:type="dxa"/>
            <w:textDirection w:val="lrTb"/>
            <w:noWrap w:val="false"/>
          </w:tcPr>
          <w:p>
            <w:pPr>
              <w:pStyle w:val="816"/>
              <w:jc w:val="both"/>
              <w:spacing w:beforeAutospacing="0" w:afterAutospacing="0"/>
              <w:rPr>
                <w:rFonts w:hint="eastAsia" w:ascii="宋体" w:hAnsi="宋体" w:eastAsia="宋体" w:cs="宋体"/>
                <w:color w:val="auto"/>
                <w:highlight w:val="none"/>
                <w:vertAlign w:val="baseline"/>
              </w:rPr>
            </w:pPr>
            <w:r>
              <w:rPr>
                <w:rFonts w:ascii="宋体" w:hAnsi="宋体" w:eastAsia="宋体" w:cs="宋体"/>
                <w:sz w:val="24"/>
                <w:szCs w:val="24"/>
              </w:rPr>
              <w:t xml:space="preserve">详见投标文件</w:t>
            </w:r>
            <w:r/>
          </w:p>
        </w:tc>
        <w:tc>
          <w:tcPr>
            <w:tcW w:w="3090" w:type="dxa"/>
            <w:textDirection w:val="lrTb"/>
            <w:noWrap w:val="false"/>
          </w:tcPr>
          <w:p>
            <w:pPr>
              <w:pStyle w:val="816"/>
              <w:jc w:val="both"/>
              <w:spacing w:beforeAutospacing="0" w:afterAutospacing="0"/>
              <w:rPr>
                <w:rFonts w:hint="default" w:ascii="宋体" w:hAnsi="宋体" w:eastAsia="宋体" w:cs="宋体"/>
                <w:color w:val="auto"/>
                <w:highlight w:val="none"/>
                <w:vertAlign w:val="baseline"/>
                <w:lang w:val="en-US" w:eastAsia="zh-CN"/>
              </w:rPr>
            </w:pPr>
            <w:r>
              <w:rPr>
                <w:rFonts w:hint="eastAsia" w:cs="宋体"/>
                <w:color w:val="auto"/>
                <w:highlight w:val="none"/>
                <w:vertAlign w:val="baseline"/>
                <w:lang w:val="en-US" w:eastAsia="zh-CN"/>
              </w:rPr>
              <w:t xml:space="preserve">         元</w:t>
            </w:r>
            <w:r/>
          </w:p>
        </w:tc>
      </w:tr>
      <w:tr>
        <w:trPr/>
        <w:tc>
          <w:tcPr>
            <w:tcW w:w="3090" w:type="dxa"/>
            <w:textDirection w:val="lrTb"/>
            <w:noWrap w:val="false"/>
          </w:tcPr>
          <w:p>
            <w:pPr>
              <w:pStyle w:val="816"/>
              <w:jc w:val="both"/>
              <w:spacing w:beforeAutospacing="0" w:afterAutospacing="0"/>
              <w:rPr>
                <w:rFonts w:hint="eastAsia" w:ascii="宋体" w:hAnsi="宋体" w:eastAsia="宋体" w:cs="宋体"/>
                <w:color w:val="auto"/>
                <w:highlight w:val="none"/>
                <w:vertAlign w:val="baseline"/>
              </w:rPr>
            </w:pPr>
            <w:r>
              <w:rPr>
                <w:rFonts w:ascii="宋体" w:hAnsi="宋体" w:eastAsia="宋体" w:cs="宋体"/>
                <w:sz w:val="24"/>
                <w:szCs w:val="24"/>
              </w:rPr>
              <w:t xml:space="preserve">单价（大写）：</w:t>
            </w:r>
            <w:r/>
          </w:p>
        </w:tc>
        <w:tc>
          <w:tcPr>
            <w:gridSpan w:val="2"/>
            <w:tcW w:w="6180" w:type="dxa"/>
            <w:textDirection w:val="lrTb"/>
            <w:noWrap w:val="false"/>
          </w:tcPr>
          <w:p>
            <w:pPr>
              <w:pStyle w:val="816"/>
              <w:jc w:val="both"/>
              <w:spacing w:beforeAutospacing="0" w:afterAutospacing="0"/>
              <w:rPr>
                <w:rFonts w:hint="eastAsia" w:ascii="宋体" w:hAnsi="宋体" w:eastAsia="宋体" w:cs="宋体"/>
                <w:color w:val="auto"/>
                <w:highlight w:val="none"/>
                <w:vertAlign w:val="baseline"/>
              </w:rPr>
            </w:pPr>
            <w:r>
              <w:rPr>
                <w:rFonts w:ascii="宋体" w:hAnsi="宋体" w:eastAsia="宋体" w:cs="宋体"/>
                <w:sz w:val="24"/>
                <w:szCs w:val="24"/>
              </w:rPr>
              <w:t xml:space="preserve">金额大写 </w:t>
            </w:r>
            <w:r/>
          </w:p>
        </w:tc>
      </w:tr>
    </w:tbl>
    <w:p>
      <w:pPr>
        <w:pStyle w:val="816"/>
        <w:ind w:firstLine="240"/>
        <w:jc w:val="left"/>
        <w:keepLines w:val="0"/>
        <w:keepNext w:val="0"/>
        <w:widowControl/>
        <w:rPr>
          <w:rFonts w:hint="eastAsia" w:ascii="宋体" w:hAnsi="宋体" w:eastAsia="宋体" w:cs="宋体"/>
          <w:color w:val="auto"/>
          <w:highlight w:val="none"/>
        </w:rPr>
        <w:suppressLineNumbers w:val="0"/>
      </w:pPr>
      <w:r>
        <w:rPr>
          <w:rFonts w:ascii="宋体" w:hAnsi="宋体" w:eastAsia="宋体" w:cs="宋体"/>
          <w:sz w:val="24"/>
          <w:szCs w:val="24"/>
        </w:rPr>
        <w:t xml:space="preserve">投标人公章：               （电子签章）</w:t>
      </w:r>
      <w:r>
        <w:rPr>
          <w:rFonts w:hint="eastAsia" w:ascii="宋体" w:hAnsi="宋体" w:eastAsia="宋体" w:cs="宋体"/>
          <w:color w:val="auto"/>
          <w:highlight w:val="none"/>
        </w:rPr>
        <w:t xml:space="preserve"> </w:t>
      </w:r>
      <w:r/>
    </w:p>
    <w:p>
      <w:pPr>
        <w:ind w:firstLine="60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日期：</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年</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月</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br w:type="page" w:clear="all"/>
      </w:r>
      <w:r/>
    </w:p>
    <w:p>
      <w:pPr>
        <w:pStyle w:val="821"/>
        <w:ind w:left="0" w:firstLine="0"/>
        <w:jc w:val="cente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十</w:t>
      </w:r>
      <w:r>
        <w:rPr>
          <w:rFonts w:hint="eastAsia"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、项目团队人员一览表</w:t>
      </w:r>
      <w:r/>
    </w:p>
    <w:p>
      <w:pPr>
        <w:pStyle w:val="821"/>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21"/>
        <w:ind w:left="0" w:firstLine="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项目名称：盐城市“茉莉花开·家门口赏好戏”—全省优秀舞台艺术作品和优秀群众文艺作品乡镇巡演项目</w:t>
      </w:r>
      <w:r/>
    </w:p>
    <w:tbl>
      <w:tblPr>
        <w:tblStyle w:val="7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2149"/>
        <w:gridCol w:w="3327"/>
        <w:gridCol w:w="2380"/>
      </w:tblGrid>
      <w:tr>
        <w:trPr>
          <w:cantSplit/>
          <w:jc w:val="center"/>
        </w:trPr>
        <w:tc>
          <w:tcPr>
            <w:tcW w:w="1300"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1976"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本项目拟担任职务</w:t>
            </w:r>
            <w:r/>
          </w:p>
        </w:tc>
        <w:tc>
          <w:tcPr>
            <w:tcW w:w="305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技术职称</w:t>
            </w:r>
            <w:r/>
          </w:p>
        </w:tc>
        <w:tc>
          <w:tcPr>
            <w:tcW w:w="218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主要资历及担任过的职务</w:t>
            </w:r>
            <w:r/>
          </w:p>
        </w:tc>
      </w:tr>
      <w:tr>
        <w:trPr>
          <w:cantSplit/>
          <w:jc w:val="center"/>
          <w:trHeight w:val="640"/>
        </w:trPr>
        <w:tc>
          <w:tcPr>
            <w:tcW w:w="1300"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97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3059"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8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40"/>
        </w:trPr>
        <w:tc>
          <w:tcPr>
            <w:tcW w:w="1300"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97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3059"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8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40"/>
        </w:trPr>
        <w:tc>
          <w:tcPr>
            <w:tcW w:w="1300"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976"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3059"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87"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jc w:val="center"/>
          <w:trHeight w:val="640"/>
        </w:trPr>
        <w:tc>
          <w:tcPr>
            <w:tcW w:w="1300"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1976"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3059"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c>
          <w:tcPr>
            <w:tcW w:w="2187"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p>
        </w:tc>
      </w:tr>
    </w:tbl>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供应商（加盖CA电子公章）：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16"/>
        <w:jc w:val="righ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81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6"/>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rPr>
          <w:rFonts w:hint="eastAsia" w:ascii="宋体" w:hAnsi="宋体" w:eastAsia="宋体" w:cs="宋体"/>
          <w:b/>
          <w:color w:val="auto"/>
          <w:sz w:val="36"/>
          <w:szCs w:val="36"/>
          <w:highlight w:val="none"/>
          <w:lang w:val="en-US" w:eastAsia="zh-CN"/>
        </w:rPr>
        <w:outlineLvl w:val="1"/>
      </w:pPr>
      <w:r>
        <w:rPr>
          <w:rFonts w:hint="eastAsia" w:ascii="宋体" w:hAnsi="宋体" w:eastAsia="宋体" w:cs="宋体"/>
          <w:b/>
          <w:color w:val="auto"/>
          <w:sz w:val="36"/>
          <w:szCs w:val="36"/>
          <w:highlight w:val="none"/>
          <w:lang w:val="en-US" w:eastAsia="zh-CN"/>
        </w:rPr>
        <w:t xml:space="preserve">十</w:t>
      </w:r>
      <w:r>
        <w:rPr>
          <w:rFonts w:hint="eastAsia" w:ascii="宋体" w:hAnsi="宋体" w:cs="宋体"/>
          <w:b/>
          <w:color w:val="auto"/>
          <w:sz w:val="36"/>
          <w:szCs w:val="36"/>
          <w:highlight w:val="none"/>
          <w:lang w:val="en-US" w:eastAsia="zh-CN"/>
        </w:rPr>
        <w:t xml:space="preserve">六</w:t>
      </w:r>
      <w:r>
        <w:rPr>
          <w:rFonts w:hint="eastAsia" w:ascii="宋体" w:hAnsi="宋体" w:eastAsia="宋体" w:cs="宋体"/>
          <w:b/>
          <w:color w:val="auto"/>
          <w:sz w:val="36"/>
          <w:szCs w:val="36"/>
          <w:highlight w:val="none"/>
          <w:lang w:val="en-US" w:eastAsia="zh-CN"/>
        </w:rPr>
        <w:t xml:space="preserve">、</w:t>
      </w:r>
      <w:r>
        <w:rPr>
          <w:rFonts w:hint="eastAsia" w:ascii="宋体" w:hAnsi="宋体" w:cs="宋体"/>
          <w:b/>
          <w:color w:val="auto"/>
          <w:sz w:val="36"/>
          <w:szCs w:val="36"/>
          <w:highlight w:val="none"/>
          <w:lang w:val="en-US" w:eastAsia="zh-CN"/>
        </w:rPr>
        <w:t xml:space="preserve">服务方案</w:t>
      </w:r>
      <w:r>
        <w:rPr>
          <w:rFonts w:hint="eastAsia" w:ascii="宋体" w:hAnsi="宋体" w:eastAsia="宋体" w:cs="宋体"/>
          <w:b/>
          <w:color w:val="auto"/>
          <w:sz w:val="36"/>
          <w:szCs w:val="36"/>
          <w:highlight w:val="none"/>
          <w:lang w:val="en-US" w:eastAsia="zh-CN"/>
        </w:rPr>
        <w:t xml:space="preserve">等</w:t>
      </w:r>
      <w:r/>
    </w:p>
    <w:p>
      <w:pPr>
        <w:pStyle w:val="816"/>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（详见</w:t>
      </w:r>
      <w:r>
        <w:rPr>
          <w:rFonts w:hint="eastAsia" w:cs="宋体"/>
          <w:b/>
          <w:color w:val="auto"/>
          <w:sz w:val="32"/>
          <w:szCs w:val="32"/>
          <w:highlight w:val="none"/>
          <w:lang w:eastAsia="zh-CN"/>
        </w:rPr>
        <w:t xml:space="preserve">评分标准部分内容</w:t>
      </w:r>
      <w:r>
        <w:rPr>
          <w:rFonts w:hint="eastAsia" w:ascii="宋体" w:hAnsi="宋体" w:eastAsia="宋体" w:cs="宋体"/>
          <w:b/>
          <w:color w:val="auto"/>
          <w:sz w:val="32"/>
          <w:szCs w:val="32"/>
          <w:highlight w:val="none"/>
        </w:rPr>
        <w:t xml:space="preserve">）</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16"/>
        <w:jc w:val="center"/>
        <w:spacing w:beforeAutospacing="0" w:afterAutospacing="0"/>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十</w:t>
      </w:r>
      <w:r>
        <w:rPr>
          <w:rFonts w:hint="eastAsia"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、盐城市政府采购事前信用承诺书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（八）本人已认真阅读了上述承诺，并向本单位员工作了宣传教育。</w:t>
      </w:r>
      <w:r/>
    </w:p>
    <w:p>
      <w:p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6"/>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jc w:val="left"/>
        <w:widowControl/>
        <w:rPr>
          <w:rFonts w:hint="eastAsia" w:ascii="宋体" w:hAnsi="宋体" w:eastAsia="宋体" w:cs="宋体"/>
          <w:b/>
          <w:color w:val="auto"/>
          <w:sz w:val="32"/>
          <w:szCs w:val="32"/>
          <w:highlight w:val="none"/>
        </w:rPr>
      </w:pPr>
      <w:r/>
      <w:bookmarkStart w:id="169" w:name="_Hlk132197618"/>
      <w:r>
        <w:rPr>
          <w:rFonts w:hint="eastAsia" w:ascii="宋体" w:hAnsi="宋体" w:eastAsia="宋体" w:cs="宋体"/>
          <w:b/>
          <w:color w:val="auto"/>
          <w:sz w:val="32"/>
          <w:szCs w:val="32"/>
          <w:highlight w:val="none"/>
        </w:rPr>
        <w:br w:type="page" w:clear="all"/>
      </w:r>
      <w:bookmarkEnd w:id="169"/>
      <w:r/>
      <w:r/>
    </w:p>
    <w:p>
      <w:pPr>
        <w:pStyle w:val="81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基本信息</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获取日期：</w:t>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16"/>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16"/>
        <w:jc w:val="both"/>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16"/>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提出质疑时，应提交质疑函和必要的证明材料。</w:t>
      </w:r>
      <w:r/>
    </w:p>
    <w:p>
      <w:pPr>
        <w:pStyle w:val="816"/>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若委托代理人进行质疑的，质疑函应按要求列明“授权代表”的有关内容，并在附件中提交由质疑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签署的授权委托书。授权委托书应载明代理人的姓名或者名称、代理事项、具体权限、期限和相关事项。</w:t>
      </w:r>
      <w:r/>
    </w:p>
    <w:p>
      <w:pPr>
        <w:pStyle w:val="816"/>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若对项目的某一分包进行质疑，质疑函中应列明具体分包号。</w:t>
      </w:r>
      <w:r/>
    </w:p>
    <w:p>
      <w:pPr>
        <w:pStyle w:val="816"/>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16"/>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16"/>
        <w:ind w:firstLine="480"/>
        <w:keepLines w:val="0"/>
        <w:keepNext w:val="0"/>
        <w:pageBreakBefore w:val="0"/>
        <w:spacing w:before="0" w:beforeAutospacing="0" w:after="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为自然人的，质疑函应由本人签字；质疑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为法人或者其他组织的，质疑函应由法定代表人、主要负责人，或者其授权代表签字或者盖章，并加盖公章。</w:t>
      </w:r>
      <w:r/>
    </w:p>
    <w:p>
      <w:pPr>
        <w:pStyle w:val="816"/>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highlight w:val="none"/>
        </w:rPr>
      </w:pPr>
      <w:r/>
      <w:bookmarkStart w:id="170" w:name="_Hlt26955064"/>
      <w:r/>
      <w:bookmarkEnd w:id="170"/>
      <w:r/>
      <w:bookmarkStart w:id="171" w:name="_Hlt24879081"/>
      <w:r/>
      <w:bookmarkEnd w:id="171"/>
      <w:r/>
      <w:bookmarkStart w:id="172" w:name="_Hlt26955056"/>
      <w:r/>
      <w:bookmarkEnd w:id="172"/>
      <w:r/>
      <w:bookmarkStart w:id="173" w:name="_Hlt26782999"/>
      <w:r/>
      <w:bookmarkEnd w:id="173"/>
      <w:r/>
      <w:bookmarkStart w:id="174" w:name="_Hlt26580838"/>
      <w:r/>
      <w:bookmarkEnd w:id="174"/>
      <w:r/>
      <w:bookmarkStart w:id="175" w:name="_Hlt26609391"/>
      <w:r/>
      <w:bookmarkEnd w:id="175"/>
      <w:r/>
      <w:bookmarkStart w:id="176" w:name="_Hlt26671343"/>
      <w:r/>
      <w:bookmarkEnd w:id="176"/>
      <w:r/>
      <w:bookmarkStart w:id="177" w:name="_Hlt26671372"/>
      <w:r/>
      <w:bookmarkEnd w:id="177"/>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sectPr>
      <w:footerReference w:type="default" r:id="rId14"/>
      <w:footerReference w:type="first" r:id="rId15"/>
      <w:footnotePr/>
      <w:endnotePr/>
      <w:type w:val="nextPage"/>
      <w:pgSz w:w="11906" w:h="16838" w:orient="portrait"/>
      <w:pgMar w:top="1015" w:right="1423" w:bottom="868" w:left="142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楷体">
    <w:panose1 w:val="02010609060101010101"/>
  </w:font>
  <w:font w:name="Arial Unicode MS">
    <w:panose1 w:val="020B0604020202020204"/>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p>
  <w:p>
    <w:pPr>
      <w:pStyle w:val="8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link w:val="1009"/>
    <w:uiPriority w:val="0"/>
    <w:qFormat/>
    <w:pPr>
      <w:jc w:val="both"/>
      <w:widowControl w:val="off"/>
    </w:pPr>
    <w:rPr>
      <w:rFonts w:hint="default" w:ascii="Calibri" w:hAnsi="Calibri" w:eastAsia="宋体" w:cs="Times New Roman"/>
      <w:sz w:val="21"/>
      <w:szCs w:val="24"/>
      <w:lang w:val="en-US" w:eastAsia="zh-CN" w:bidi="ar-SA"/>
    </w:rPr>
  </w:style>
  <w:style w:type="paragraph" w:styleId="771">
    <w:name w:val="Heading 1"/>
    <w:basedOn w:val="770"/>
    <w:next w:val="770"/>
    <w:link w:val="1019"/>
    <w:uiPriority w:val="0"/>
    <w:qFormat/>
    <w:pPr>
      <w:keepNext/>
      <w:outlineLvl w:val="0"/>
    </w:pPr>
    <w:rPr>
      <w:rFonts w:ascii="楷体_GB2312" w:eastAsia="楷体_GB2312"/>
      <w:sz w:val="28"/>
      <w:szCs w:val="20"/>
    </w:rPr>
  </w:style>
  <w:style w:type="paragraph" w:styleId="772">
    <w:name w:val="Heading 2"/>
    <w:basedOn w:val="770"/>
    <w:next w:val="770"/>
    <w:link w:val="1020"/>
    <w:uiPriority w:val="0"/>
    <w:qFormat/>
    <w:pPr>
      <w:jc w:val="center"/>
      <w:keepLines/>
      <w:keepNext/>
      <w:spacing w:line="416" w:lineRule="auto"/>
      <w:outlineLvl w:val="1"/>
    </w:pPr>
    <w:rPr>
      <w:rFonts w:ascii="Arial" w:hAnsi="Arial" w:eastAsia="幼圆"/>
      <w:b/>
      <w:sz w:val="44"/>
      <w:szCs w:val="20"/>
    </w:rPr>
  </w:style>
  <w:style w:type="paragraph" w:styleId="773">
    <w:name w:val="Heading 3"/>
    <w:basedOn w:val="770"/>
    <w:next w:val="770"/>
    <w:uiPriority w:val="0"/>
    <w:qFormat/>
    <w:pPr>
      <w:keepLines/>
      <w:keepNext/>
      <w:spacing w:before="260" w:after="260" w:line="416" w:lineRule="auto"/>
      <w:outlineLvl w:val="2"/>
    </w:pPr>
    <w:rPr>
      <w:b/>
      <w:sz w:val="32"/>
      <w:szCs w:val="20"/>
    </w:rPr>
  </w:style>
  <w:style w:type="paragraph" w:styleId="774">
    <w:name w:val="Heading 4"/>
    <w:basedOn w:val="770"/>
    <w:next w:val="770"/>
    <w:uiPriority w:val="0"/>
    <w:qFormat/>
    <w:pPr>
      <w:keepLines/>
      <w:keepNext/>
      <w:spacing w:before="280" w:after="290" w:line="376" w:lineRule="auto"/>
      <w:outlineLvl w:val="3"/>
    </w:pPr>
    <w:rPr>
      <w:rFonts w:ascii="Arial" w:hAnsi="Arial" w:eastAsia="黑体"/>
      <w:b/>
      <w:bCs/>
      <w:sz w:val="28"/>
      <w:szCs w:val="28"/>
    </w:rPr>
  </w:style>
  <w:style w:type="paragraph" w:styleId="775">
    <w:name w:val="Heading 5"/>
    <w:basedOn w:val="770"/>
    <w:next w:val="770"/>
    <w:uiPriority w:val="0"/>
    <w:qFormat/>
    <w:pPr>
      <w:keepNext/>
      <w:outlineLvl w:val="4"/>
    </w:pPr>
    <w:rPr>
      <w:rFonts w:ascii="宋体" w:hAnsi="宋体"/>
      <w:b/>
      <w:bCs/>
    </w:rPr>
  </w:style>
  <w:style w:type="paragraph" w:styleId="776">
    <w:name w:val="Heading 6"/>
    <w:basedOn w:val="770"/>
    <w:next w:val="770"/>
    <w:link w:val="836"/>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uiPriority w:val="1"/>
    <w:unhideWhenUsed/>
    <w:qFormat/>
    <w:pPr>
      <w:ind w:left="582"/>
      <w:spacing w:before="26"/>
      <w:outlineLvl w:val="7"/>
    </w:pPr>
    <w:rPr>
      <w:rFonts w:hint="eastAsia" w:ascii="宋体" w:hAnsi="宋体"/>
      <w:b/>
      <w:sz w:val="24"/>
    </w:rPr>
  </w:style>
  <w:style w:type="paragraph" w:styleId="779">
    <w:name w:val="Heading 9"/>
    <w:basedOn w:val="770"/>
    <w:next w:val="770"/>
    <w:link w:val="839"/>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0"/>
    <w:semiHidden/>
    <w:qFormat/>
    <w:pPr>
      <w:ind w:left="2520"/>
    </w:pPr>
  </w:style>
  <w:style w:type="paragraph" w:styleId="783">
    <w:name w:val="Normal Indent"/>
    <w:basedOn w:val="770"/>
    <w:link w:val="1021"/>
    <w:uiPriority w:val="0"/>
    <w:qFormat/>
    <w:pPr>
      <w:ind w:firstLine="420"/>
    </w:pPr>
    <w:rPr>
      <w:szCs w:val="20"/>
    </w:rPr>
  </w:style>
  <w:style w:type="paragraph" w:styleId="784">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5">
    <w:name w:val="Document Map"/>
    <w:basedOn w:val="770"/>
    <w:uiPriority w:val="0"/>
    <w:semiHidden/>
    <w:qFormat/>
    <w:pPr>
      <w:shd w:val="clear" w:color="auto" w:fill="000080"/>
    </w:pPr>
  </w:style>
  <w:style w:type="paragraph" w:styleId="786">
    <w:name w:val="annotation text"/>
    <w:basedOn w:val="770"/>
    <w:link w:val="1022"/>
    <w:uiPriority w:val="99"/>
    <w:qFormat/>
    <w:pPr>
      <w:jc w:val="left"/>
    </w:pPr>
  </w:style>
  <w:style w:type="paragraph" w:styleId="787">
    <w:name w:val="Body Text 3"/>
    <w:basedOn w:val="770"/>
    <w:uiPriority w:val="0"/>
    <w:qFormat/>
    <w:rPr>
      <w:rFonts w:ascii="仿宋_GB2312" w:hAnsi="Arial" w:eastAsia="仿宋_GB2312"/>
      <w:sz w:val="32"/>
      <w:szCs w:val="20"/>
    </w:rPr>
  </w:style>
  <w:style w:type="paragraph" w:styleId="788">
    <w:name w:val="Body Text"/>
    <w:basedOn w:val="770"/>
    <w:next w:val="789"/>
    <w:link w:val="1023"/>
    <w:uiPriority w:val="0"/>
    <w:qFormat/>
    <w:rPr>
      <w:rFonts w:ascii="楷体_GB2312" w:hAnsi="Arial" w:eastAsia="楷体_GB2312"/>
      <w:sz w:val="28"/>
      <w:szCs w:val="20"/>
    </w:rPr>
  </w:style>
  <w:style w:type="paragraph" w:styleId="789"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790">
    <w:name w:val="Body Text Indent"/>
    <w:basedOn w:val="770"/>
    <w:next w:val="770"/>
    <w:uiPriority w:val="0"/>
    <w:qFormat/>
    <w:pPr>
      <w:ind w:firstLine="645"/>
    </w:pPr>
    <w:rPr>
      <w:rFonts w:ascii="楷体_GB2312" w:eastAsia="楷体_GB2312"/>
      <w:sz w:val="32"/>
      <w:szCs w:val="20"/>
    </w:rPr>
  </w:style>
  <w:style w:type="paragraph" w:styleId="791">
    <w:name w:val="Block Text"/>
    <w:basedOn w:val="770"/>
    <w:uiPriority w:val="99"/>
    <w:unhideWhenUsed/>
    <w:qFormat/>
    <w:pPr>
      <w:ind w:left="1440" w:right="1440"/>
      <w:spacing w:after="120"/>
    </w:pPr>
  </w:style>
  <w:style w:type="paragraph" w:styleId="792">
    <w:name w:val="index 4"/>
    <w:basedOn w:val="770"/>
    <w:next w:val="770"/>
    <w:uiPriority w:val="99"/>
    <w:qFormat/>
    <w:pPr>
      <w:ind w:left="600"/>
    </w:pPr>
    <w:rPr>
      <w:rFonts w:ascii="Calibri" w:hAnsi="Calibri"/>
    </w:rPr>
  </w:style>
  <w:style w:type="paragraph" w:styleId="793">
    <w:name w:val="toc 5"/>
    <w:basedOn w:val="770"/>
    <w:next w:val="770"/>
    <w:uiPriority w:val="0"/>
    <w:semiHidden/>
    <w:qFormat/>
    <w:pPr>
      <w:ind w:left="1680"/>
    </w:pPr>
  </w:style>
  <w:style w:type="paragraph" w:styleId="794">
    <w:name w:val="toc 3"/>
    <w:basedOn w:val="770"/>
    <w:next w:val="77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95">
    <w:name w:val="Plain Text"/>
    <w:basedOn w:val="770"/>
    <w:link w:val="1013"/>
    <w:uiPriority w:val="0"/>
    <w:qFormat/>
    <w:rPr>
      <w:rFonts w:ascii="宋体" w:hAnsi="Courier New"/>
      <w:szCs w:val="20"/>
    </w:rPr>
  </w:style>
  <w:style w:type="paragraph" w:styleId="796">
    <w:name w:val="toc 8"/>
    <w:basedOn w:val="770"/>
    <w:next w:val="770"/>
    <w:uiPriority w:val="0"/>
    <w:semiHidden/>
    <w:qFormat/>
    <w:pPr>
      <w:ind w:left="2940"/>
    </w:pPr>
  </w:style>
  <w:style w:type="paragraph" w:styleId="797">
    <w:name w:val="Date"/>
    <w:basedOn w:val="770"/>
    <w:next w:val="770"/>
    <w:link w:val="1024"/>
    <w:uiPriority w:val="0"/>
    <w:qFormat/>
    <w:rPr>
      <w:sz w:val="24"/>
      <w:szCs w:val="20"/>
    </w:rPr>
  </w:style>
  <w:style w:type="paragraph" w:styleId="798">
    <w:name w:val="Body Text Indent 2"/>
    <w:basedOn w:val="770"/>
    <w:uiPriority w:val="0"/>
    <w:qFormat/>
    <w:pPr>
      <w:ind w:firstLine="560"/>
    </w:pPr>
    <w:rPr>
      <w:rFonts w:ascii="宋体" w:hAnsi="宋体"/>
      <w:sz w:val="28"/>
    </w:rPr>
  </w:style>
  <w:style w:type="paragraph" w:styleId="799">
    <w:name w:val="endnote text"/>
    <w:basedOn w:val="770"/>
    <w:link w:val="976"/>
    <w:uiPriority w:val="99"/>
    <w:semiHidden/>
    <w:unhideWhenUsed/>
    <w:qFormat/>
    <w:pPr>
      <w:spacing w:after="0" w:line="240" w:lineRule="auto"/>
    </w:pPr>
    <w:rPr>
      <w:sz w:val="20"/>
    </w:rPr>
  </w:style>
  <w:style w:type="paragraph" w:styleId="800">
    <w:name w:val="Balloon Text"/>
    <w:basedOn w:val="770"/>
    <w:uiPriority w:val="0"/>
    <w:semiHidden/>
    <w:qFormat/>
    <w:rPr>
      <w:sz w:val="18"/>
      <w:szCs w:val="18"/>
    </w:rPr>
  </w:style>
  <w:style w:type="paragraph" w:styleId="801">
    <w:name w:val="Footer"/>
    <w:basedOn w:val="770"/>
    <w:uiPriority w:val="0"/>
    <w:qFormat/>
    <w:pPr>
      <w:jc w:val="left"/>
      <w:tabs>
        <w:tab w:val="center" w:pos="4153" w:leader="none"/>
        <w:tab w:val="right" w:pos="8306" w:leader="none"/>
      </w:tabs>
    </w:pPr>
    <w:rPr>
      <w:sz w:val="18"/>
      <w:szCs w:val="20"/>
    </w:rPr>
  </w:style>
  <w:style w:type="paragraph" w:styleId="802">
    <w:name w:val="envelope return"/>
    <w:basedOn w:val="770"/>
    <w:uiPriority w:val="0"/>
    <w:qFormat/>
    <w:rPr>
      <w:rFonts w:ascii="Arial" w:hAnsi="Arial"/>
    </w:rPr>
  </w:style>
  <w:style w:type="paragraph" w:styleId="803">
    <w:name w:val="Header"/>
    <w:basedOn w:val="770"/>
    <w:link w:val="1025"/>
    <w:uiPriority w:val="99"/>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70"/>
    <w:next w:val="77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05">
    <w:name w:val="toc 4"/>
    <w:basedOn w:val="770"/>
    <w:next w:val="770"/>
    <w:uiPriority w:val="0"/>
    <w:semiHidden/>
    <w:qFormat/>
    <w:pPr>
      <w:ind w:left="1260"/>
    </w:pPr>
  </w:style>
  <w:style w:type="paragraph" w:styleId="806">
    <w:name w:val="Subtitle"/>
    <w:basedOn w:val="770"/>
    <w:next w:val="770"/>
    <w:link w:val="842"/>
    <w:uiPriority w:val="11"/>
    <w:qFormat/>
    <w:pPr>
      <w:spacing w:before="200" w:after="200"/>
    </w:pPr>
    <w:rPr>
      <w:sz w:val="24"/>
      <w:szCs w:val="24"/>
    </w:rPr>
  </w:style>
  <w:style w:type="paragraph" w:styleId="807">
    <w:name w:val="footnote text"/>
    <w:basedOn w:val="770"/>
    <w:link w:val="975"/>
    <w:uiPriority w:val="99"/>
    <w:semiHidden/>
    <w:unhideWhenUsed/>
    <w:qFormat/>
    <w:pPr>
      <w:spacing w:after="40" w:line="240" w:lineRule="auto"/>
    </w:pPr>
    <w:rPr>
      <w:sz w:val="18"/>
    </w:rPr>
  </w:style>
  <w:style w:type="paragraph" w:styleId="808">
    <w:name w:val="toc 6"/>
    <w:basedOn w:val="770"/>
    <w:next w:val="770"/>
    <w:uiPriority w:val="0"/>
    <w:semiHidden/>
    <w:qFormat/>
    <w:pPr>
      <w:ind w:left="2100"/>
    </w:pPr>
  </w:style>
  <w:style w:type="paragraph" w:styleId="809">
    <w:name w:val="Body Text Indent 3"/>
    <w:basedOn w:val="770"/>
    <w:uiPriority w:val="0"/>
    <w:qFormat/>
    <w:pPr>
      <w:ind w:firstLine="523"/>
    </w:pPr>
    <w:rPr>
      <w:rFonts w:ascii="仿宋_GB2312" w:hAnsi="宋体" w:eastAsia="仿宋_GB2312"/>
      <w:sz w:val="24"/>
    </w:rPr>
  </w:style>
  <w:style w:type="paragraph" w:styleId="810">
    <w:name w:val="table of figures"/>
    <w:basedOn w:val="770"/>
    <w:next w:val="770"/>
    <w:uiPriority w:val="99"/>
    <w:unhideWhenUsed/>
    <w:qFormat/>
    <w:pPr>
      <w:spacing w:after="0" w:afterAutospacing="0"/>
    </w:pPr>
  </w:style>
  <w:style w:type="paragraph" w:styleId="811">
    <w:name w:val="toc 2"/>
    <w:basedOn w:val="770"/>
    <w:next w:val="770"/>
    <w:uiPriority w:val="0"/>
    <w:semiHidden/>
    <w:qFormat/>
    <w:pPr>
      <w:jc w:val="left"/>
      <w:spacing w:line="260" w:lineRule="exact"/>
      <w:tabs>
        <w:tab w:val="right" w:pos="9440" w:leader="dot"/>
      </w:tabs>
    </w:pPr>
    <w:rPr>
      <w:rFonts w:ascii="黑体" w:eastAsia="黑体"/>
      <w:b/>
      <w:bCs/>
      <w:smallCaps/>
      <w:sz w:val="18"/>
      <w:szCs w:val="44"/>
    </w:rPr>
  </w:style>
  <w:style w:type="paragraph" w:styleId="812">
    <w:name w:val="toc 9"/>
    <w:basedOn w:val="770"/>
    <w:next w:val="770"/>
    <w:uiPriority w:val="0"/>
    <w:semiHidden/>
    <w:qFormat/>
    <w:pPr>
      <w:ind w:left="3360"/>
    </w:pPr>
  </w:style>
  <w:style w:type="paragraph" w:styleId="813">
    <w:name w:val="Body Text 2"/>
    <w:basedOn w:val="770"/>
    <w:uiPriority w:val="0"/>
    <w:qFormat/>
    <w:pPr>
      <w:jc w:val="center"/>
    </w:pPr>
    <w:rPr>
      <w:rFonts w:ascii="仿宋_GB2312" w:eastAsia="仿宋_GB2312"/>
      <w:sz w:val="44"/>
    </w:rPr>
  </w:style>
  <w:style w:type="paragraph" w:styleId="814">
    <w:name w:val="List Continue 2"/>
    <w:next w:val="770"/>
    <w:uiPriority w:val="0"/>
    <w:qFormat/>
    <w:pPr>
      <w:ind w:left="840"/>
      <w:jc w:val="both"/>
      <w:spacing w:after="120"/>
      <w:widowControl w:val="off"/>
    </w:pPr>
    <w:rPr>
      <w:rFonts w:hint="default" w:ascii="Times New Roman" w:hAnsi="Times New Roman" w:eastAsia="宋体" w:cs="Times New Roman"/>
      <w:sz w:val="24"/>
      <w:lang w:val="en-US" w:eastAsia="zh-CN" w:bidi="ar-SA"/>
    </w:rPr>
  </w:style>
  <w:style w:type="paragraph" w:styleId="815">
    <w:name w:val="HTML Preformatted"/>
    <w:basedOn w:val="770"/>
    <w:link w:val="10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6">
    <w:name w:val="Normal (Web)"/>
    <w:basedOn w:val="770"/>
    <w:link w:val="1010"/>
    <w:uiPriority w:val="99"/>
    <w:unhideWhenUsed/>
    <w:qFormat/>
    <w:pPr>
      <w:jc w:val="left"/>
      <w:spacing w:before="100" w:beforeAutospacing="1" w:after="100" w:afterAutospacing="1"/>
      <w:widowControl/>
    </w:pPr>
    <w:rPr>
      <w:rFonts w:ascii="宋体" w:hAnsi="宋体"/>
      <w:sz w:val="24"/>
    </w:rPr>
  </w:style>
  <w:style w:type="paragraph" w:styleId="817">
    <w:name w:val="index 1"/>
    <w:basedOn w:val="770"/>
    <w:next w:val="770"/>
    <w:uiPriority w:val="0"/>
    <w:semiHidden/>
    <w:qFormat/>
    <w:rPr>
      <w:rFonts w:ascii="宋体" w:hAnsi="宋体"/>
      <w:szCs w:val="18"/>
    </w:rPr>
  </w:style>
  <w:style w:type="paragraph" w:styleId="818">
    <w:name w:val="Title"/>
    <w:basedOn w:val="770"/>
    <w:next w:val="770"/>
    <w:link w:val="1027"/>
    <w:uiPriority w:val="0"/>
    <w:qFormat/>
    <w:pPr>
      <w:jc w:val="center"/>
      <w:spacing w:before="240" w:after="60"/>
      <w:outlineLvl w:val="0"/>
    </w:pPr>
    <w:rPr>
      <w:rFonts w:ascii="Cambria" w:hAnsi="Cambria"/>
      <w:b/>
      <w:bCs/>
      <w:sz w:val="32"/>
      <w:szCs w:val="32"/>
    </w:rPr>
  </w:style>
  <w:style w:type="paragraph" w:styleId="819">
    <w:name w:val="annotation subject"/>
    <w:basedOn w:val="786"/>
    <w:next w:val="786"/>
    <w:link w:val="1011"/>
    <w:uiPriority w:val="0"/>
    <w:qFormat/>
    <w:rPr>
      <w:b/>
      <w:bCs/>
    </w:rPr>
  </w:style>
  <w:style w:type="paragraph" w:styleId="820">
    <w:name w:val="Body Text First Indent"/>
    <w:basedOn w:val="788"/>
    <w:next w:val="808"/>
    <w:uiPriority w:val="99"/>
    <w:qFormat/>
    <w:pPr>
      <w:ind w:firstLine="200"/>
      <w:spacing w:line="360" w:lineRule="auto"/>
    </w:pPr>
    <w:rPr>
      <w:rFonts w:ascii="仿宋_GB2312" w:eastAsia="仿宋_GB2312"/>
      <w:sz w:val="30"/>
      <w:szCs w:val="30"/>
    </w:rPr>
  </w:style>
  <w:style w:type="paragraph" w:styleId="821">
    <w:name w:val="Body Text First Indent 2"/>
    <w:basedOn w:val="790"/>
    <w:uiPriority w:val="0"/>
    <w:qFormat/>
    <w:pPr>
      <w:ind w:firstLine="420"/>
      <w:spacing w:line="360" w:lineRule="auto"/>
    </w:pPr>
    <w:rPr>
      <w:rFonts w:ascii="宋体" w:hAnsi="宋体" w:eastAsia="宋体"/>
      <w:sz w:val="21"/>
    </w:rPr>
  </w:style>
  <w:style w:type="table" w:styleId="822">
    <w:name w:val="Table Grid"/>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Strong"/>
    <w:basedOn w:val="780"/>
    <w:uiPriority w:val="0"/>
    <w:qFormat/>
    <w:rPr>
      <w:b/>
      <w:bCs/>
    </w:rPr>
  </w:style>
  <w:style w:type="character" w:styleId="824">
    <w:name w:val="endnote reference"/>
    <w:basedOn w:val="780"/>
    <w:uiPriority w:val="99"/>
    <w:semiHidden/>
    <w:unhideWhenUsed/>
    <w:qFormat/>
    <w:rPr>
      <w:vertAlign w:val="superscript"/>
    </w:rPr>
  </w:style>
  <w:style w:type="character" w:styleId="825">
    <w:name w:val="page number"/>
    <w:uiPriority w:val="0"/>
    <w:qFormat/>
  </w:style>
  <w:style w:type="character" w:styleId="826">
    <w:name w:val="FollowedHyperlink"/>
    <w:uiPriority w:val="0"/>
    <w:qFormat/>
    <w:rPr>
      <w:color w:val="800080"/>
      <w:u w:val="single"/>
    </w:rPr>
  </w:style>
  <w:style w:type="character" w:styleId="827">
    <w:name w:val="Emphasis"/>
    <w:uiPriority w:val="0"/>
    <w:qFormat/>
    <w:rPr>
      <w:i/>
    </w:rPr>
  </w:style>
  <w:style w:type="character" w:styleId="828">
    <w:name w:val="Hyperlink"/>
    <w:basedOn w:val="780"/>
    <w:uiPriority w:val="0"/>
    <w:qFormat/>
    <w:rPr>
      <w:color w:val="0000ff"/>
      <w:u w:val="single"/>
    </w:rPr>
  </w:style>
  <w:style w:type="character" w:styleId="829">
    <w:name w:val="annotation reference"/>
    <w:uiPriority w:val="99"/>
    <w:qFormat/>
    <w:rPr>
      <w:sz w:val="21"/>
      <w:szCs w:val="21"/>
    </w:rPr>
  </w:style>
  <w:style w:type="character" w:styleId="830">
    <w:name w:val="footnote reference"/>
    <w:basedOn w:val="780"/>
    <w:uiPriority w:val="99"/>
    <w:unhideWhenUsed/>
    <w:qFormat/>
    <w:rPr>
      <w:vertAlign w:val="superscript"/>
    </w:rPr>
  </w:style>
  <w:style w:type="character" w:styleId="831" w:customStyle="1">
    <w:name w:val="Heading 1 Char"/>
    <w:basedOn w:val="780"/>
    <w:uiPriority w:val="9"/>
    <w:qFormat/>
    <w:rPr>
      <w:rFonts w:ascii="Arial" w:hAnsi="Arial" w:eastAsia="Arial" w:cs="Arial"/>
      <w:sz w:val="40"/>
      <w:szCs w:val="40"/>
    </w:rPr>
  </w:style>
  <w:style w:type="character" w:styleId="832" w:customStyle="1">
    <w:name w:val="Heading 2 Char"/>
    <w:basedOn w:val="780"/>
    <w:uiPriority w:val="9"/>
    <w:qFormat/>
    <w:rPr>
      <w:rFonts w:ascii="Arial" w:hAnsi="Arial" w:eastAsia="Arial" w:cs="Arial"/>
      <w:sz w:val="34"/>
    </w:rPr>
  </w:style>
  <w:style w:type="character" w:styleId="833" w:customStyle="1">
    <w:name w:val="Heading 3 Char"/>
    <w:basedOn w:val="780"/>
    <w:uiPriority w:val="9"/>
    <w:qFormat/>
    <w:rPr>
      <w:rFonts w:ascii="Arial" w:hAnsi="Arial" w:eastAsia="Arial" w:cs="Arial"/>
      <w:sz w:val="30"/>
      <w:szCs w:val="30"/>
    </w:rPr>
  </w:style>
  <w:style w:type="character" w:styleId="834" w:customStyle="1">
    <w:name w:val="Heading 4 Char"/>
    <w:basedOn w:val="780"/>
    <w:uiPriority w:val="9"/>
    <w:qFormat/>
    <w:rPr>
      <w:rFonts w:ascii="Arial" w:hAnsi="Arial" w:eastAsia="Arial" w:cs="Arial"/>
      <w:b/>
      <w:bCs/>
      <w:sz w:val="26"/>
      <w:szCs w:val="26"/>
    </w:rPr>
  </w:style>
  <w:style w:type="character" w:styleId="835" w:customStyle="1">
    <w:name w:val="Heading 5 Char"/>
    <w:basedOn w:val="780"/>
    <w:uiPriority w:val="9"/>
    <w:qFormat/>
    <w:rPr>
      <w:rFonts w:ascii="Arial" w:hAnsi="Arial" w:eastAsia="Arial" w:cs="Arial"/>
      <w:b/>
      <w:bCs/>
      <w:sz w:val="24"/>
      <w:szCs w:val="24"/>
    </w:rPr>
  </w:style>
  <w:style w:type="character" w:styleId="836" w:customStyle="1">
    <w:name w:val="Heading 6 Char"/>
    <w:basedOn w:val="780"/>
    <w:link w:val="776"/>
    <w:uiPriority w:val="9"/>
    <w:qFormat/>
    <w:rPr>
      <w:rFonts w:ascii="Arial" w:hAnsi="Arial" w:eastAsia="Arial" w:cs="Arial"/>
      <w:b/>
      <w:bCs/>
      <w:sz w:val="22"/>
      <w:szCs w:val="22"/>
    </w:rPr>
  </w:style>
  <w:style w:type="character" w:styleId="837" w:customStyle="1">
    <w:name w:val="Heading 7 Char"/>
    <w:basedOn w:val="780"/>
    <w:link w:val="777"/>
    <w:uiPriority w:val="9"/>
    <w:qFormat/>
    <w:rPr>
      <w:rFonts w:ascii="Arial" w:hAnsi="Arial" w:eastAsia="Arial" w:cs="Arial"/>
      <w:b/>
      <w:bCs/>
      <w:i/>
      <w:iCs/>
      <w:sz w:val="22"/>
      <w:szCs w:val="22"/>
    </w:rPr>
  </w:style>
  <w:style w:type="character" w:styleId="838" w:customStyle="1">
    <w:name w:val="Heading 8 Char"/>
    <w:basedOn w:val="780"/>
    <w:uiPriority w:val="9"/>
    <w:qFormat/>
    <w:rPr>
      <w:rFonts w:ascii="Arial" w:hAnsi="Arial" w:eastAsia="Arial" w:cs="Arial"/>
      <w:i/>
      <w:iCs/>
      <w:sz w:val="22"/>
      <w:szCs w:val="22"/>
    </w:rPr>
  </w:style>
  <w:style w:type="character" w:styleId="839" w:customStyle="1">
    <w:name w:val="Heading 9 Char"/>
    <w:basedOn w:val="780"/>
    <w:link w:val="779"/>
    <w:uiPriority w:val="9"/>
    <w:qFormat/>
    <w:rPr>
      <w:rFonts w:ascii="Arial" w:hAnsi="Arial" w:eastAsia="Arial" w:cs="Arial"/>
      <w:i/>
      <w:iCs/>
      <w:sz w:val="21"/>
      <w:szCs w:val="21"/>
    </w:r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character" w:styleId="841" w:customStyle="1">
    <w:name w:val="Title Char"/>
    <w:basedOn w:val="780"/>
    <w:uiPriority w:val="10"/>
    <w:qFormat/>
    <w:rPr>
      <w:sz w:val="48"/>
      <w:szCs w:val="48"/>
    </w:rPr>
  </w:style>
  <w:style w:type="character" w:styleId="842" w:customStyle="1">
    <w:name w:val="Subtitle Char"/>
    <w:basedOn w:val="780"/>
    <w:link w:val="806"/>
    <w:uiPriority w:val="11"/>
    <w:qFormat/>
    <w:rPr>
      <w:sz w:val="24"/>
      <w:szCs w:val="24"/>
    </w:rPr>
  </w:style>
  <w:style w:type="paragraph" w:styleId="843">
    <w:name w:val="Quote"/>
    <w:basedOn w:val="770"/>
    <w:next w:val="770"/>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70"/>
    <w:next w:val="770"/>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basedOn w:val="780"/>
    <w:uiPriority w:val="99"/>
    <w:qFormat/>
  </w:style>
  <w:style w:type="character" w:styleId="848" w:customStyle="1">
    <w:name w:val="Footer Char"/>
    <w:basedOn w:val="780"/>
    <w:uiPriority w:val="99"/>
    <w:qFormat/>
  </w:style>
  <w:style w:type="character" w:styleId="849" w:customStyle="1">
    <w:name w:val="Caption Char"/>
    <w:uiPriority w:val="99"/>
    <w:qFormat/>
  </w:style>
  <w:style w:type="table" w:styleId="850" w:customStyle="1">
    <w:name w:val="Table Grid Light"/>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7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78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basedOn w:val="78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basedOn w:val="78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basedOn w:val="78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basedOn w:val="78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basedOn w:val="78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basedOn w:val="78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basedOn w:val="7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basedOn w:val="78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basedOn w:val="7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basedOn w:val="78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basedOn w:val="78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78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8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8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8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8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8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78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8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8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8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8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8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basedOn w:val="78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basedOn w:val="78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basedOn w:val="78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basedOn w:val="78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basedOn w:val="78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basedOn w:val="78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78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basedOn w:val="7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8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8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8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78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basedOn w:val="78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basedOn w:val="78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basedOn w:val="78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basedOn w:val="78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basedOn w:val="78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basedOn w:val="78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8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8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8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8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8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basedOn w:val="78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basedOn w:val="78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basedOn w:val="78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basedOn w:val="78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basedOn w:val="78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basedOn w:val="78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78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8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8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8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8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8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basedOn w:val="7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basedOn w:val="78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basedOn w:val="78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basedOn w:val="78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basedOn w:val="78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basedOn w:val="78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basedOn w:val="78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basedOn w:val="7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basedOn w:val="7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basedOn w:val="7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basedOn w:val="7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basedOn w:val="7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basedOn w:val="7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basedOn w:val="7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Footnote Text Char"/>
    <w:link w:val="807"/>
    <w:uiPriority w:val="99"/>
    <w:qFormat/>
    <w:rPr>
      <w:sz w:val="18"/>
    </w:rPr>
  </w:style>
  <w:style w:type="character" w:styleId="976" w:customStyle="1">
    <w:name w:val="Endnote Text Char"/>
    <w:link w:val="799"/>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Coms Alinea"/>
    <w:uiPriority w:val="0"/>
    <w:qFormat/>
    <w:pPr>
      <w:widowControl w:val="off"/>
    </w:pPr>
    <w:rPr>
      <w:rFonts w:hint="default" w:ascii="Arial" w:hAnsi="Arial" w:eastAsia="宋体" w:cs="Arial"/>
      <w:lang w:val="en-US" w:eastAsia="zh-CN" w:bidi="ar-SA"/>
    </w:rPr>
  </w:style>
  <w:style w:type="paragraph" w:styleId="979" w:customStyle="1">
    <w:name w:val="表格"/>
    <w:basedOn w:val="770"/>
    <w:uiPriority w:val="0"/>
    <w:qFormat/>
    <w:rPr>
      <w:rFonts w:ascii="华文细黑" w:hAnsi="华文细黑" w:eastAsia="华文细黑"/>
    </w:rPr>
  </w:style>
  <w:style w:type="paragraph" w:styleId="98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81" w:customStyle="1">
    <w:name w:val="正文 1.1.1"/>
    <w:basedOn w:val="770"/>
    <w:next w:val="770"/>
    <w:uiPriority w:val="0"/>
    <w:qFormat/>
    <w:pPr>
      <w:spacing w:line="360" w:lineRule="auto"/>
      <w:tabs>
        <w:tab w:val="left" w:pos="851" w:leader="none"/>
      </w:tabs>
      <w:outlineLvl w:val="2"/>
    </w:pPr>
    <w:rPr>
      <w:rFonts w:ascii="宋体" w:hAnsi="宋体"/>
      <w:color w:val="000000"/>
      <w:sz w:val="28"/>
      <w:szCs w:val="21"/>
    </w:rPr>
  </w:style>
  <w:style w:type="paragraph" w:styleId="982" w:customStyle="1">
    <w:name w:val="列出段落1"/>
    <w:basedOn w:val="770"/>
    <w:link w:val="1028"/>
    <w:uiPriority w:val="0"/>
    <w:qFormat/>
    <w:pPr>
      <w:contextualSpacing/>
      <w:ind w:left="720"/>
      <w:jc w:val="left"/>
      <w:widowControl/>
    </w:pPr>
    <w:rPr>
      <w:sz w:val="24"/>
      <w:lang w:eastAsia="en-US" w:bidi="en-US"/>
    </w:rPr>
  </w:style>
  <w:style w:type="paragraph" w:styleId="983" w:customStyle="1">
    <w:name w:val="HTML 预先格式化"/>
    <w:basedOn w:val="7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4" w:customStyle="1">
    <w:name w:val="_Style 57"/>
    <w:uiPriority w:val="99"/>
    <w:semiHidden/>
    <w:qFormat/>
    <w:rPr>
      <w:rFonts w:hint="default" w:ascii="Calibri" w:hAnsi="Calibri" w:eastAsia="宋体" w:cs="Times New Roman"/>
      <w:sz w:val="21"/>
      <w:szCs w:val="24"/>
      <w:lang w:val="en-US" w:eastAsia="zh-CN" w:bidi="ar-SA"/>
    </w:rPr>
  </w:style>
  <w:style w:type="paragraph" w:styleId="985" w:customStyle="1">
    <w:name w:val="标题3"/>
    <w:basedOn w:val="770"/>
    <w:next w:val="770"/>
    <w:uiPriority w:val="0"/>
    <w:qFormat/>
    <w:rPr>
      <w:rFonts w:eastAsia="方正黑体_GBK"/>
    </w:rPr>
  </w:style>
  <w:style w:type="paragraph" w:styleId="986" w:customStyle="1">
    <w:name w:val="列出段落_0"/>
    <w:basedOn w:val="980"/>
    <w:uiPriority w:val="0"/>
    <w:qFormat/>
    <w:pPr>
      <w:ind w:firstLine="420"/>
    </w:pPr>
  </w:style>
  <w:style w:type="paragraph" w:styleId="987"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88" w:customStyle="1">
    <w:name w:val="正文空2格  1."/>
    <w:basedOn w:val="770"/>
    <w:uiPriority w:val="0"/>
    <w:qFormat/>
    <w:pPr>
      <w:ind w:firstLine="480"/>
      <w:spacing w:line="360" w:lineRule="auto"/>
    </w:pPr>
    <w:rPr>
      <w:rFonts w:ascii="宋体" w:eastAsia="仿宋" w:cs="宋体"/>
      <w:sz w:val="28"/>
      <w:szCs w:val="20"/>
    </w:rPr>
  </w:style>
  <w:style w:type="paragraph" w:styleId="989" w:customStyle="1">
    <w:name w:val="标题2"/>
    <w:basedOn w:val="770"/>
    <w:next w:val="770"/>
    <w:uiPriority w:val="0"/>
    <w:qFormat/>
    <w:pPr>
      <w:jc w:val="center"/>
    </w:pPr>
    <w:rPr>
      <w:rFonts w:eastAsia="方正楷体_GBK"/>
    </w:rPr>
  </w:style>
  <w:style w:type="paragraph" w:styleId="990"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91"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992" w:customStyle="1">
    <w:name w:val="正文 第一章"/>
    <w:basedOn w:val="770"/>
    <w:next w:val="993"/>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3" w:customStyle="1">
    <w:name w:val="正文 1.1"/>
    <w:basedOn w:val="770"/>
    <w:next w:val="981"/>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94" w:customStyle="1">
    <w:name w:val="_Style 64"/>
    <w:uiPriority w:val="99"/>
    <w:unhideWhenUsed/>
    <w:qFormat/>
    <w:rPr>
      <w:rFonts w:hint="default" w:ascii="Calibri" w:hAnsi="Calibri" w:eastAsia="宋体" w:cs="Times New Roman"/>
      <w:sz w:val="21"/>
      <w:szCs w:val="24"/>
      <w:lang w:val="en-US" w:eastAsia="zh-CN" w:bidi="ar-SA"/>
    </w:rPr>
  </w:style>
  <w:style w:type="paragraph" w:styleId="995" w:customStyle="1">
    <w:name w:val="Char Char Char Char1 Char Char"/>
    <w:basedOn w:val="770"/>
    <w:uiPriority w:val="0"/>
    <w:qFormat/>
    <w:pPr>
      <w:tabs>
        <w:tab w:val="left" w:pos="360" w:leader="none"/>
      </w:tabs>
    </w:pPr>
    <w:rPr>
      <w:sz w:val="24"/>
    </w:rPr>
  </w:style>
  <w:style w:type="paragraph" w:styleId="996" w:customStyle="1">
    <w:name w:val="BioQuote Tekst"/>
    <w:basedOn w:val="770"/>
    <w:uiPriority w:val="0"/>
    <w:qFormat/>
    <w:pPr>
      <w:ind w:right="-1"/>
    </w:pPr>
    <w:rPr>
      <w:rFonts w:ascii="Arial" w:hAnsi="Arial"/>
      <w:sz w:val="22"/>
      <w:szCs w:val="20"/>
      <w:lang w:eastAsia="en-US"/>
    </w:rPr>
  </w:style>
  <w:style w:type="paragraph" w:styleId="997" w:customStyle="1">
    <w:name w:val="Char Char Char Char1 Char Char Char"/>
    <w:basedOn w:val="785"/>
    <w:uiPriority w:val="0"/>
    <w:qFormat/>
    <w:pPr>
      <w:spacing w:line="360" w:lineRule="auto"/>
    </w:pPr>
    <w:rPr>
      <w:rFonts w:ascii="Tahoma" w:hAnsi="Tahoma"/>
      <w:sz w:val="24"/>
    </w:rPr>
  </w:style>
  <w:style w:type="paragraph" w:styleId="998" w:customStyle="1">
    <w:name w:val="普通正文"/>
    <w:basedOn w:val="770"/>
    <w:uiPriority w:val="0"/>
    <w:qFormat/>
    <w:pPr>
      <w:ind w:firstLine="480"/>
      <w:jc w:val="left"/>
      <w:spacing w:before="120" w:after="120" w:line="360" w:lineRule="auto"/>
    </w:pPr>
    <w:rPr>
      <w:rFonts w:ascii="Arial" w:hAnsi="Arial"/>
      <w:sz w:val="24"/>
    </w:rPr>
  </w:style>
  <w:style w:type="paragraph" w:styleId="999" w:customStyle="1">
    <w:name w:val="Char"/>
    <w:basedOn w:val="770"/>
    <w:uiPriority w:val="0"/>
    <w:qFormat/>
    <w:rPr>
      <w:rFonts w:ascii="Tahoma" w:hAnsi="Tahoma"/>
      <w:sz w:val="24"/>
      <w:szCs w:val="20"/>
    </w:rPr>
  </w:style>
  <w:style w:type="paragraph" w:styleId="1000" w:customStyle="1">
    <w:name w:val="标题1"/>
    <w:basedOn w:val="770"/>
    <w:next w:val="770"/>
    <w:uiPriority w:val="0"/>
    <w:qFormat/>
    <w:pPr>
      <w:jc w:val="center"/>
      <w:spacing w:line="700" w:lineRule="atLeast"/>
      <w:tabs>
        <w:tab w:val="left" w:pos="9193" w:leader="none"/>
        <w:tab w:val="left" w:pos="9827" w:leader="none"/>
      </w:tabs>
    </w:pPr>
    <w:rPr>
      <w:rFonts w:eastAsia="方正小标宋_GBK"/>
      <w:sz w:val="44"/>
    </w:rPr>
  </w:style>
  <w:style w:type="paragraph" w:styleId="1001" w:customStyle="1">
    <w:name w:val="Body text|1"/>
    <w:basedOn w:val="770"/>
    <w:uiPriority w:val="0"/>
    <w:qFormat/>
    <w:pPr>
      <w:spacing w:line="346" w:lineRule="auto"/>
    </w:pPr>
    <w:rPr>
      <w:rFonts w:ascii="MingLiU" w:hAnsi="MingLiU" w:eastAsia="MingLiU" w:cs="MingLiU"/>
      <w:sz w:val="15"/>
      <w:szCs w:val="15"/>
      <w:lang w:val="zh-TW" w:eastAsia="zh-TW" w:bidi="zh-TW"/>
    </w:rPr>
  </w:style>
  <w:style w:type="paragraph" w:styleId="1002" w:customStyle="1">
    <w:name w:val="xl47"/>
    <w:basedOn w:val="7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03" w:customStyle="1">
    <w:name w:val="列出段落2"/>
    <w:basedOn w:val="770"/>
    <w:uiPriority w:val="0"/>
    <w:qFormat/>
    <w:pPr>
      <w:ind w:firstLine="420"/>
    </w:pPr>
    <w:rPr>
      <w:szCs w:val="22"/>
    </w:rPr>
  </w:style>
  <w:style w:type="paragraph" w:styleId="1004" w:customStyle="1">
    <w:name w:val="Char Char Char Char"/>
    <w:basedOn w:val="785"/>
    <w:uiPriority w:val="0"/>
    <w:qFormat/>
    <w:pPr>
      <w:spacing w:line="360" w:lineRule="auto"/>
    </w:pPr>
    <w:rPr>
      <w:rFonts w:ascii="Tahoma" w:hAnsi="Tahoma"/>
      <w:sz w:val="24"/>
    </w:rPr>
  </w:style>
  <w:style w:type="paragraph" w:styleId="1005" w:customStyle="1">
    <w:name w:val="默认段落字体 Para Char Char Char Char Char Char Char Char Char1 Char Char Char Char Char Char Char"/>
    <w:basedOn w:val="785"/>
    <w:uiPriority w:val="0"/>
    <w:qFormat/>
    <w:rPr>
      <w:rFonts w:ascii="Tahoma" w:hAnsi="Tahoma"/>
      <w:sz w:val="24"/>
    </w:rPr>
  </w:style>
  <w:style w:type="paragraph" w:styleId="1006" w:customStyle="1">
    <w:name w:val="Char1"/>
    <w:basedOn w:val="770"/>
    <w:uiPriority w:val="0"/>
    <w:qFormat/>
    <w:pPr>
      <w:tabs>
        <w:tab w:val="left" w:pos="360" w:leader="none"/>
      </w:tabs>
    </w:pPr>
    <w:rPr>
      <w:sz w:val="24"/>
    </w:rPr>
  </w:style>
  <w:style w:type="paragraph" w:styleId="1007">
    <w:name w:val="List Paragraph"/>
    <w:basedOn w:val="770"/>
    <w:uiPriority w:val="34"/>
    <w:qFormat/>
    <w:pPr>
      <w:ind w:firstLine="420"/>
    </w:pPr>
    <w:rPr>
      <w:szCs w:val="22"/>
    </w:rPr>
  </w:style>
  <w:style w:type="paragraph" w:styleId="1008" w:customStyle="1">
    <w:name w:val="第四级"/>
    <w:basedOn w:val="770"/>
    <w:next w:val="770"/>
    <w:uiPriority w:val="0"/>
    <w:qFormat/>
    <w:pPr>
      <w:spacing w:line="360" w:lineRule="auto"/>
      <w:tabs>
        <w:tab w:val="left" w:pos="1134" w:leader="none"/>
      </w:tabs>
    </w:pPr>
    <w:rPr>
      <w:rFonts w:ascii="宋体" w:hAnsi="宋体" w:eastAsia="仿宋"/>
      <w:sz w:val="28"/>
      <w:szCs w:val="21"/>
    </w:rPr>
  </w:style>
  <w:style w:type="character" w:styleId="1009" w:customStyle="1">
    <w:name w:val="NormalCharacter"/>
    <w:link w:val="770"/>
    <w:uiPriority w:val="0"/>
    <w:qFormat/>
    <w:rPr>
      <w:rFonts w:ascii="Calibri" w:hAnsi="Calibri" w:eastAsia="宋体" w:cs="Times New Roman"/>
      <w:sz w:val="21"/>
      <w:szCs w:val="24"/>
      <w:lang w:val="en-US" w:eastAsia="zh-CN" w:bidi="ar-SA"/>
    </w:rPr>
  </w:style>
  <w:style w:type="character" w:styleId="1010" w:customStyle="1">
    <w:name w:val="普通(网站) 字符"/>
    <w:link w:val="816"/>
    <w:uiPriority w:val="0"/>
    <w:qFormat/>
    <w:rPr>
      <w:rFonts w:ascii="宋体" w:hAnsi="宋体" w:cs="宋体"/>
      <w:sz w:val="24"/>
      <w:szCs w:val="24"/>
    </w:rPr>
  </w:style>
  <w:style w:type="character" w:styleId="1011" w:customStyle="1">
    <w:name w:val="批注主题 字符"/>
    <w:link w:val="819"/>
    <w:uiPriority w:val="0"/>
    <w:qFormat/>
    <w:rPr>
      <w:b/>
      <w:bCs/>
      <w:sz w:val="21"/>
      <w:szCs w:val="24"/>
    </w:rPr>
  </w:style>
  <w:style w:type="character" w:styleId="1012" w:customStyle="1">
    <w:name w:val="apple-converted-space"/>
    <w:basedOn w:val="780"/>
    <w:uiPriority w:val="0"/>
    <w:qFormat/>
  </w:style>
  <w:style w:type="character" w:styleId="1013" w:customStyle="1">
    <w:name w:val="纯文本 字符"/>
    <w:link w:val="795"/>
    <w:uiPriority w:val="99"/>
    <w:qFormat/>
    <w:rPr>
      <w:rFonts w:ascii="宋体" w:hAnsi="Courier New"/>
      <w:sz w:val="21"/>
    </w:rPr>
  </w:style>
  <w:style w:type="character" w:styleId="1014" w:customStyle="1">
    <w:name w:val="标题2 Char"/>
    <w:uiPriority w:val="0"/>
    <w:qFormat/>
    <w:rPr>
      <w:rFonts w:ascii="方正楷体_GBK" w:hAnsi="Book Antiqua" w:eastAsia="方正楷体_GBK"/>
      <w:sz w:val="32"/>
      <w:lang w:val="en-US" w:eastAsia="zh-CN" w:bidi="ar-SA"/>
    </w:rPr>
  </w:style>
  <w:style w:type="character" w:styleId="1015" w:customStyle="1">
    <w:name w:val="font01"/>
    <w:uiPriority w:val="0"/>
    <w:qFormat/>
    <w:rPr>
      <w:rFonts w:hint="default" w:ascii="Times New Roman" w:hAnsi="Times New Roman" w:eastAsia="宋体" w:cs="Times New Roman"/>
      <w:color w:val="000000"/>
      <w:sz w:val="22"/>
      <w:szCs w:val="22"/>
      <w:u w:val="none"/>
    </w:rPr>
  </w:style>
  <w:style w:type="character" w:styleId="1016" w:customStyle="1">
    <w:name w:val="fc01294d3e-4153-482a-aea1-4b54892b7913-0"/>
    <w:uiPriority w:val="0"/>
    <w:qFormat/>
    <w:rPr>
      <w:rFonts w:ascii="Tahoma" w:hAnsi="Tahoma" w:eastAsia="Tahoma"/>
      <w:sz w:val="24"/>
      <w:szCs w:val="24"/>
      <w:shd w:val="clear" w:color="auto" w:fill="auto"/>
    </w:rPr>
  </w:style>
  <w:style w:type="character" w:styleId="1017" w:customStyle="1">
    <w:name w:val="font81"/>
    <w:uiPriority w:val="0"/>
    <w:qFormat/>
    <w:rPr>
      <w:rFonts w:hint="default" w:ascii="方正仿宋_GBK" w:hAnsi="方正仿宋_GBK" w:eastAsia="方正仿宋_GBK" w:cs="方正仿宋_GBK"/>
      <w:color w:val="000000"/>
      <w:sz w:val="16"/>
      <w:szCs w:val="16"/>
      <w:u w:val="none"/>
    </w:rPr>
  </w:style>
  <w:style w:type="character" w:styleId="1018" w:customStyle="1">
    <w:name w:val="font31"/>
    <w:uiPriority w:val="0"/>
    <w:qFormat/>
    <w:rPr>
      <w:rFonts w:ascii="方正仿宋_GBK" w:hAnsi="方正仿宋_GBK" w:eastAsia="方正仿宋_GBK" w:cs="方正仿宋_GBK"/>
      <w:color w:val="000000"/>
      <w:sz w:val="22"/>
      <w:szCs w:val="22"/>
      <w:u w:val="none"/>
    </w:rPr>
  </w:style>
  <w:style w:type="character" w:styleId="1019" w:customStyle="1">
    <w:name w:val="标题 1 字符"/>
    <w:link w:val="771"/>
    <w:uiPriority w:val="0"/>
    <w:qFormat/>
    <w:rPr>
      <w:rFonts w:ascii="楷体_GB2312" w:eastAsia="楷体_GB2312"/>
      <w:sz w:val="28"/>
      <w:lang w:val="en-US" w:eastAsia="zh-CN" w:bidi="ar-SA"/>
    </w:rPr>
  </w:style>
  <w:style w:type="character" w:styleId="1020" w:customStyle="1">
    <w:name w:val="标题 2 字符"/>
    <w:link w:val="772"/>
    <w:uiPriority w:val="0"/>
    <w:qFormat/>
    <w:rPr>
      <w:rFonts w:ascii="Arial" w:hAnsi="Arial" w:eastAsia="幼圆"/>
      <w:b/>
      <w:sz w:val="44"/>
    </w:rPr>
  </w:style>
  <w:style w:type="character" w:styleId="1021" w:customStyle="1">
    <w:name w:val="正文缩进 字符"/>
    <w:link w:val="783"/>
    <w:uiPriority w:val="0"/>
    <w:qFormat/>
    <w:rPr>
      <w:rFonts w:eastAsia="宋体"/>
      <w:sz w:val="21"/>
      <w:lang w:val="en-US" w:eastAsia="zh-CN" w:bidi="ar-SA"/>
    </w:rPr>
  </w:style>
  <w:style w:type="character" w:styleId="1022" w:customStyle="1">
    <w:name w:val="批注文字 字符"/>
    <w:link w:val="786"/>
    <w:uiPriority w:val="99"/>
    <w:qFormat/>
    <w:rPr>
      <w:sz w:val="21"/>
      <w:szCs w:val="24"/>
    </w:rPr>
  </w:style>
  <w:style w:type="character" w:styleId="1023" w:customStyle="1">
    <w:name w:val="正文文本 字符"/>
    <w:link w:val="788"/>
    <w:uiPriority w:val="0"/>
    <w:qFormat/>
    <w:rPr>
      <w:rFonts w:ascii="楷体_GB2312" w:hAnsi="Arial" w:eastAsia="楷体_GB2312"/>
      <w:sz w:val="28"/>
    </w:rPr>
  </w:style>
  <w:style w:type="character" w:styleId="1024" w:customStyle="1">
    <w:name w:val="日期 字符"/>
    <w:link w:val="797"/>
    <w:uiPriority w:val="0"/>
    <w:qFormat/>
    <w:rPr>
      <w:sz w:val="24"/>
    </w:rPr>
  </w:style>
  <w:style w:type="character" w:styleId="1025" w:customStyle="1">
    <w:name w:val="页眉 字符"/>
    <w:link w:val="803"/>
    <w:uiPriority w:val="99"/>
    <w:qFormat/>
    <w:rPr>
      <w:sz w:val="18"/>
      <w:szCs w:val="18"/>
    </w:rPr>
  </w:style>
  <w:style w:type="character" w:styleId="1026" w:customStyle="1">
    <w:name w:val="HTML 预设格式 字符"/>
    <w:link w:val="815"/>
    <w:uiPriority w:val="0"/>
    <w:qFormat/>
    <w:rPr>
      <w:rFonts w:ascii="黑体" w:hAnsi="Courier New" w:eastAsia="黑体" w:cs="Courier New"/>
    </w:rPr>
  </w:style>
  <w:style w:type="character" w:styleId="1027" w:customStyle="1">
    <w:name w:val="标题 字符"/>
    <w:link w:val="818"/>
    <w:uiPriority w:val="0"/>
    <w:qFormat/>
    <w:rPr>
      <w:rFonts w:ascii="Cambria" w:hAnsi="Cambria" w:cs="Times New Roman"/>
      <w:b/>
      <w:bCs/>
      <w:sz w:val="32"/>
      <w:szCs w:val="32"/>
    </w:rPr>
  </w:style>
  <w:style w:type="character" w:styleId="1028" w:customStyle="1">
    <w:name w:val="列出段落 Char"/>
    <w:link w:val="982"/>
    <w:uiPriority w:val="0"/>
    <w:qFormat/>
    <w:rPr>
      <w:rFonts w:ascii="Calibri" w:hAnsi="Calibri"/>
      <w:sz w:val="24"/>
      <w:szCs w:val="24"/>
      <w:lang w:eastAsia="en-US" w:bidi="en-US"/>
    </w:rPr>
  </w:style>
  <w:style w:type="character" w:styleId="1029" w:customStyle="1">
    <w:name w:val="font71"/>
    <w:uiPriority w:val="0"/>
    <w:qFormat/>
    <w:rPr>
      <w:rFonts w:hint="eastAsia" w:ascii="宋体" w:hAnsi="宋体" w:eastAsia="宋体" w:cs="宋体"/>
      <w:color w:val="000000"/>
      <w:sz w:val="21"/>
      <w:szCs w:val="21"/>
      <w:u w:val="none"/>
    </w:rPr>
  </w:style>
  <w:style w:type="character" w:styleId="1030" w:customStyle="1">
    <w:name w:val="jj1"/>
    <w:uiPriority w:val="0"/>
    <w:qFormat/>
    <w:rPr>
      <w:sz w:val="20"/>
      <w:szCs w:val="20"/>
      <w:u w:val="none"/>
    </w:rPr>
  </w:style>
  <w:style w:type="paragraph" w:styleId="1031" w:customStyle="1">
    <w:name w:val="首行缩进"/>
    <w:basedOn w:val="770"/>
    <w:uiPriority w:val="0"/>
    <w:qFormat/>
    <w:pPr>
      <w:ind w:firstLine="480"/>
      <w:spacing w:line="360" w:lineRule="auto"/>
    </w:pPr>
    <w:rPr>
      <w:rFonts w:ascii="宋体" w:hAnsi="宋体" w:cs="宋体"/>
      <w:sz w:val="24"/>
    </w:rPr>
  </w:style>
  <w:style w:type="paragraph" w:styleId="1032" w:customStyle="1">
    <w:name w:val="正文1"/>
    <w:basedOn w:val="770"/>
    <w:uiPriority w:val="0"/>
    <w:qFormat/>
    <w:pPr>
      <w:ind w:right="-167"/>
      <w:spacing w:line="440" w:lineRule="exact"/>
      <w:widowControl/>
    </w:pPr>
    <w:rPr>
      <w:rFonts w:ascii="Times New Roman" w:hAnsi="Times New Roman"/>
      <w:b/>
    </w:rPr>
  </w:style>
  <w:style w:type="paragraph" w:styleId="1033"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lang w:val="en-US" w:eastAsia="zh-CN" w:bidi="ar-SA"/>
    </w:rPr>
  </w:style>
  <w:style w:type="paragraph" w:styleId="1034" w:customStyle="1">
    <w:name w:val="修订1"/>
    <w:hidden/>
    <w:uiPriority w:val="99"/>
    <w:semiHidden/>
    <w:qFormat/>
    <w:rPr>
      <w:rFonts w:hint="default" w:ascii="Calibri" w:hAnsi="Calibri" w:eastAsia="宋体" w:cs="Times New Roman"/>
      <w:sz w:val="21"/>
      <w:szCs w:val="24"/>
      <w:lang w:val="en-US" w:eastAsia="zh-CN" w:bidi="ar-SA"/>
    </w:rPr>
  </w:style>
  <w:style w:type="character" w:styleId="1035" w:customStyle="1">
    <w:name w:val="font11"/>
    <w:basedOn w:val="780"/>
    <w:uiPriority w:val="0"/>
    <w:qFormat/>
    <w:rPr>
      <w:rFonts w:hint="eastAsia" w:ascii="宋体" w:hAnsi="宋体" w:eastAsia="宋体" w:cs="宋体"/>
      <w:b/>
      <w:bCs/>
      <w:color w:val="000000"/>
      <w:sz w:val="22"/>
      <w:szCs w:val="22"/>
      <w:u w:val="none"/>
    </w:rPr>
  </w:style>
  <w:style w:type="paragraph" w:styleId="1036" w:customStyle="1">
    <w:name w:val="段"/>
    <w:next w:val="1037"/>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1037" w:customStyle="1">
    <w:name w:val="正文 A"/>
    <w:next w:val="1036"/>
    <w:uiPriority w:val="0"/>
    <w:qFormat/>
    <w:pPr>
      <w:jc w:val="both"/>
      <w:widowControl w:val="off"/>
    </w:pPr>
    <w:rPr>
      <w:rFonts w:hint="default" w:ascii="Arial Unicode MS" w:hAnsi="Arial Unicode MS" w:eastAsia="Arial Unicode MS" w:cs="Arial Unicode MS"/>
      <w:color w:val="000000"/>
      <w:sz w:val="21"/>
      <w:szCs w:val="21"/>
      <w:u w:val="none"/>
      <w:lang w:val="en-US" w:eastAsia="zh-CN" w:bidi="ar-SA"/>
    </w:rPr>
  </w:style>
  <w:style w:type="paragraph" w:styleId="1038" w:customStyle="1">
    <w:name w:val="_Style 7"/>
    <w:basedOn w:val="770"/>
    <w:next w:val="1007"/>
    <w:uiPriority w:val="34"/>
    <w:qFormat/>
    <w:pPr>
      <w:ind w:firstLine="420"/>
    </w:pPr>
  </w:style>
  <w:style w:type="paragraph" w:styleId="1039" w:customStyle="1">
    <w:name w:val="Table Paragraph"/>
    <w:basedOn w:val="770"/>
    <w:uiPriority w:val="1"/>
    <w:qFormat/>
    <w:rPr>
      <w:rFonts w:ascii="宋体" w:hAnsi="宋体" w:eastAsia="宋体" w:cs="宋体"/>
      <w:lang w:val="zh-CN" w:eastAsia="zh-CN" w:bidi="zh-CN"/>
    </w:rPr>
  </w:style>
  <w:style w:type="paragraph" w:styleId="1040" w:customStyle="1">
    <w:name w:val="正文首行缩进1"/>
    <w:basedOn w:val="770"/>
    <w:next w:val="1041"/>
    <w:uiPriority w:val="99"/>
    <w:qFormat/>
    <w:pPr>
      <w:ind w:firstLine="200"/>
      <w:spacing w:line="360" w:lineRule="auto"/>
    </w:pPr>
    <w:rPr>
      <w:rFonts w:ascii="仿宋_GB2312" w:eastAsia="仿宋_GB2312"/>
      <w:sz w:val="30"/>
      <w:szCs w:val="30"/>
    </w:rPr>
  </w:style>
  <w:style w:type="paragraph" w:styleId="1041" w:customStyle="1">
    <w:name w:val="目录 61"/>
    <w:basedOn w:val="770"/>
    <w:next w:val="770"/>
    <w:uiPriority w:val="0"/>
    <w:semiHidden/>
    <w:qFormat/>
    <w:pPr>
      <w:ind w:left="2100"/>
    </w:pPr>
  </w:style>
  <w:style w:type="paragraph" w:styleId="1042" w:customStyle="1">
    <w:name w:val="正文2"/>
    <w:uiPriority w:val="0"/>
    <w:qFormat/>
    <w:rPr>
      <w:rFonts w:hint="default" w:ascii="Times New Roman" w:hAnsi="Times New Roman" w:eastAsia="微软雅黑" w:cs="Times New Roman"/>
      <w:sz w:val="24"/>
      <w:szCs w:val="24"/>
      <w:lang w:val="en-US" w:eastAsia="zh-CN" w:bidi="ar-SA"/>
    </w:rPr>
  </w:style>
  <w:style w:type="paragraph" w:styleId="1043" w:customStyle="1">
    <w:name w:val="普通(网站)11"/>
    <w:basedOn w:val="770"/>
    <w:uiPriority w:val="0"/>
    <w:qFormat/>
    <w:pPr>
      <w:jc w:val="left"/>
      <w:spacing w:before="100" w:beforeAutospacing="1" w:after="100" w:afterAutospacing="1"/>
      <w:widowControl/>
    </w:pPr>
    <w:rPr>
      <w:rFonts w:ascii="宋体" w:hAnsi="宋体" w:cs="宋体"/>
      <w:sz w:val="24"/>
    </w:rPr>
  </w:style>
  <w:style w:type="paragraph" w:styleId="1044" w:customStyle="1">
    <w:name w:val="普通(网站)1"/>
    <w:basedOn w:val="770"/>
    <w:uiPriority w:val="99"/>
    <w:qFormat/>
    <w:pPr>
      <w:jc w:val="left"/>
      <w:spacing w:before="100" w:beforeAutospacing="1" w:after="100" w:afterAutospacing="1"/>
      <w:widowControl/>
    </w:pPr>
    <w:rPr>
      <w:rFonts w:ascii="宋体" w:hAnsi="宋体" w:cs="宋体"/>
      <w:sz w:val="24"/>
    </w:rPr>
  </w:style>
  <w:style w:type="paragraph" w:styleId="1045" w:customStyle="1">
    <w:name w:val="正文 New New"/>
    <w:next w:val="1046"/>
    <w:uiPriority w:val="0"/>
    <w:qFormat/>
    <w:pPr>
      <w:jc w:val="both"/>
      <w:widowControl w:val="off"/>
    </w:pPr>
    <w:rPr>
      <w:rFonts w:hint="default" w:ascii="Calibri" w:hAnsi="Calibri" w:eastAsia="宋体" w:cs="Times New Roman"/>
      <w:sz w:val="21"/>
      <w:szCs w:val="22"/>
    </w:rPr>
  </w:style>
  <w:style w:type="paragraph" w:styleId="1046" w:customStyle="1">
    <w:name w:val="正文首行缩进 21"/>
    <w:basedOn w:val="1047"/>
    <w:uiPriority w:val="0"/>
    <w:qFormat/>
    <w:pPr>
      <w:ind w:firstLine="420"/>
      <w:spacing w:line="360" w:lineRule="auto"/>
    </w:pPr>
    <w:rPr>
      <w:rFonts w:ascii="宋体" w:hAnsi="宋体" w:eastAsia="宋体"/>
      <w:sz w:val="21"/>
      <w:szCs w:val="20"/>
    </w:rPr>
  </w:style>
  <w:style w:type="paragraph" w:styleId="1047" w:customStyle="1">
    <w:name w:val="正文文本缩进1"/>
    <w:basedOn w:val="770"/>
    <w:uiPriority w:val="0"/>
    <w:qFormat/>
    <w:pPr>
      <w:ind w:firstLine="645"/>
    </w:pPr>
    <w:rPr>
      <w:rFonts w:ascii="楷体" w:eastAsia="楷体"/>
      <w:sz w:val="32"/>
      <w:szCs w:val="32"/>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杨秀</cp:lastModifiedBy>
  <cp:revision>13</cp:revision>
  <dcterms:created xsi:type="dcterms:W3CDTF">2023-05-26T02:42:00Z</dcterms:created>
  <dcterms:modified xsi:type="dcterms:W3CDTF">2026-05-19T09:43:40Z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3EB5AFD1139C4DD2842C2C21D26CC0BD_13</vt:lpwstr>
  </property>
  <property fmtid="{D5CDD505-2E9C-101B-9397-08002B2CF9AE}" pid="4" name="KSOTemplateDocerSaveRecord">
    <vt:lpwstr>eyJoZGlkIjoiNmUyMGI5M2JhYzYyYTk2OTFjNzZhNmUyMDIwZjkyOGYiLCJ1c2VySWQiOiI1MDc3NTIxMjUifQ==</vt:lpwstr>
  </property>
</Properties>
</file>