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center"/>
        <w:spacing w:before="120" w:beforeAutospacing="0" w:after="120" w:afterAutospacing="0" w:line="360" w:lineRule="auto"/>
        <w:rPr>
          <w:rFonts w:ascii="宋体" w:hAnsi="宋体" w:eastAsia="宋体" w:cs="宋体"/>
          <w:bCs/>
          <w:color w:val="auto"/>
          <w:sz w:val="84"/>
          <w:szCs w:val="84"/>
          <w:highlight w:val="none"/>
        </w:rPr>
      </w:pPr>
      <w:r>
        <w:rPr>
          <w:rFonts w:ascii="宋体" w:hAnsi="宋体" w:eastAsia="宋体" w:cs="宋体"/>
          <w:bCs/>
          <w:color w:val="auto"/>
          <w:sz w:val="84"/>
          <w:szCs w:val="84"/>
          <w:highlight w:val="none"/>
        </w:rPr>
      </w:r>
      <w:r/>
    </w:p>
    <w:p>
      <w:pPr>
        <w:pStyle w:val="831"/>
        <w:jc w:val="center"/>
        <w:spacing w:before="120" w:beforeAutospacing="0" w:after="120" w:afterAutospacing="0" w:line="360" w:lineRule="auto"/>
        <w:rPr>
          <w:rFonts w:ascii="宋体" w:hAnsi="宋体" w:eastAsia="宋体" w:cs="宋体"/>
          <w:bCs/>
          <w:color w:val="auto"/>
          <w:sz w:val="84"/>
          <w:szCs w:val="84"/>
          <w:highlight w:val="none"/>
        </w:rPr>
      </w:pPr>
      <w:r>
        <w:rPr>
          <w:rFonts w:ascii="宋体" w:hAnsi="宋体" w:eastAsia="宋体" w:cs="宋体"/>
          <w:bCs/>
          <w:color w:val="auto"/>
          <w:sz w:val="84"/>
          <w:szCs w:val="84"/>
          <w:highlight w:val="none"/>
        </w:rPr>
      </w:r>
      <w:r/>
    </w:p>
    <w:p>
      <w:pPr>
        <w:pStyle w:val="1011"/>
        <w:ind w:firstLine="0"/>
        <w:jc w:val="center"/>
        <w:rPr>
          <w:rFonts w:ascii="Times New Roman" w:hAnsi="方正小标宋_GBK" w:eastAsia="方正小标宋_GBK" w:cs="方正小标宋_GBK"/>
          <w:color w:val="auto"/>
          <w:sz w:val="84"/>
          <w:highlight w:val="none"/>
        </w:rPr>
      </w:pPr>
      <w:r>
        <w:rPr>
          <w:rFonts w:hint="eastAsia" w:ascii="Times New Roman" w:hAnsi="方正小标宋_GBK" w:eastAsia="方正小标宋_GBK" w:cs="方正小标宋_GBK"/>
          <w:color w:val="auto"/>
          <w:sz w:val="84"/>
          <w:highlight w:val="none"/>
        </w:rPr>
        <w:t xml:space="preserve">竞争性磋商文件</w:t>
      </w:r>
      <w:r/>
    </w:p>
    <w:p>
      <w:pPr>
        <w:pStyle w:val="831"/>
        <w:spacing w:before="120" w:beforeAutospacing="0" w:after="120" w:afterAutospacing="0"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ind w:firstLine="1920"/>
        <w:spacing w:before="120" w:beforeAutospacing="0" w:after="120" w:afterAutospacing="0" w:line="360" w:lineRule="auto"/>
        <w:rPr>
          <w:rFonts w:ascii="宋体" w:hAnsi="宋体" w:eastAsia="宋体" w:cs="宋体"/>
          <w:bCs/>
          <w:color w:val="auto"/>
          <w:sz w:val="32"/>
          <w:szCs w:val="32"/>
          <w:highlight w:val="none"/>
        </w:rPr>
      </w:pPr>
      <w:r>
        <w:rPr>
          <w:rFonts w:hint="eastAsia" w:ascii="宋体" w:hAnsi="宋体" w:eastAsia="宋体" w:cs="宋体"/>
          <w:color w:val="auto"/>
          <w:sz w:val="32"/>
          <w:highlight w:val="none"/>
        </w:rPr>
        <w:t xml:space="preserve">项目编号：JSZC-320900-JSGX-C2026-001</w:t>
      </w:r>
      <w:r>
        <w:rPr>
          <w:rFonts w:hint="eastAsia" w:ascii="宋体" w:hAnsi="宋体" w:eastAsia="宋体" w:cs="宋体"/>
          <w:color w:val="auto"/>
          <w:sz w:val="32"/>
          <w:highlight w:val="none"/>
          <w:lang w:val="en-US" w:eastAsia="zh-CN"/>
        </w:rPr>
        <w:t xml:space="preserve">9</w:t>
      </w:r>
      <w:r>
        <w:rPr>
          <w:rFonts w:hint="eastAsia" w:ascii="宋体" w:hAnsi="宋体" w:eastAsia="宋体" w:cs="宋体"/>
          <w:color w:val="auto"/>
          <w:sz w:val="32"/>
          <w:highlight w:val="none"/>
        </w:rPr>
        <w:t xml:space="preserve"> </w:t>
      </w:r>
      <w:r/>
    </w:p>
    <w:p>
      <w:pPr>
        <w:pStyle w:val="1011"/>
        <w:ind w:left="3835" w:hanging="1920"/>
        <w:spacing w:before="0" w:after="0"/>
        <w:rPr>
          <w:rFonts w:ascii="宋体" w:hAnsi="宋体" w:eastAsia="宋体" w:cs="宋体"/>
          <w:color w:val="auto"/>
          <w:sz w:val="32"/>
          <w:highlight w:val="none"/>
        </w:rPr>
      </w:pPr>
      <w:r>
        <w:rPr>
          <w:rFonts w:hint="eastAsia" w:ascii="宋体" w:hAnsi="宋体" w:eastAsia="宋体" w:cs="宋体"/>
          <w:color w:val="auto"/>
          <w:sz w:val="32"/>
          <w:highlight w:val="none"/>
        </w:rPr>
        <w:t xml:space="preserve">项目名称：《盐城市低空起降场（点）布局方案和</w:t>
      </w:r>
      <w:r/>
    </w:p>
    <w:p>
      <w:pPr>
        <w:pStyle w:val="1011"/>
        <w:ind w:firstLine="2880"/>
        <w:spacing w:before="0" w:after="0"/>
        <w:rPr>
          <w:rFonts w:ascii="宋体" w:hAnsi="宋体" w:eastAsia="宋体" w:cs="宋体"/>
          <w:color w:val="auto"/>
          <w:sz w:val="32"/>
          <w:highlight w:val="none"/>
        </w:rPr>
      </w:pPr>
      <w:r>
        <w:rPr>
          <w:rFonts w:hint="eastAsia" w:ascii="宋体" w:hAnsi="宋体" w:eastAsia="宋体" w:cs="宋体"/>
          <w:color w:val="auto"/>
          <w:sz w:val="32"/>
          <w:highlight w:val="none"/>
        </w:rPr>
        <w:t xml:space="preserve">低空航路航线划设方案研究》项目 （二次）</w:t>
      </w:r>
      <w:r/>
    </w:p>
    <w:p>
      <w:pPr>
        <w:pStyle w:val="831"/>
        <w:spacing w:beforeAutospacing="0" w:afterAutospacing="0"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spacing w:beforeAutospacing="0" w:afterAutospacing="0" w:line="360" w:lineRule="auto"/>
        <w:rPr>
          <w:rFonts w:ascii="宋体" w:hAnsi="宋体" w:eastAsia="宋体" w:cs="宋体"/>
          <w:bCs/>
          <w:color w:val="auto"/>
          <w:highlight w:val="none"/>
        </w:rPr>
      </w:pPr>
      <w:r>
        <w:rPr>
          <w:rFonts w:ascii="宋体" w:hAnsi="宋体" w:eastAsia="宋体" w:cs="宋体"/>
          <w:bCs/>
          <w:color w:val="auto"/>
          <w:highlight w:val="none"/>
        </w:rPr>
      </w:r>
      <w:r/>
    </w:p>
    <w:p>
      <w:pPr>
        <w:pStyle w:val="831"/>
        <w:spacing w:beforeAutospacing="0" w:afterAutospacing="0"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spacing w:beforeAutospacing="0" w:afterAutospacing="0"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spacing w:beforeAutospacing="0" w:afterAutospacing="0" w:line="360" w:lineRule="auto"/>
        <w:rPr>
          <w:rFonts w:ascii="宋体" w:hAnsi="宋体" w:eastAsia="宋体" w:cs="宋体"/>
          <w:bCs/>
          <w:color w:val="auto"/>
          <w:highlight w:val="none"/>
        </w:rPr>
      </w:pPr>
      <w:r>
        <w:rPr>
          <w:rFonts w:ascii="宋体" w:hAnsi="宋体" w:eastAsia="宋体" w:cs="宋体"/>
          <w:bCs/>
          <w:color w:val="auto"/>
          <w:highlight w:val="none"/>
        </w:rPr>
      </w:r>
      <w:r/>
    </w:p>
    <w:p>
      <w:pPr>
        <w:pStyle w:val="831"/>
        <w:spacing w:beforeAutospacing="0" w:afterAutospacing="0" w:line="360" w:lineRule="auto"/>
        <w:rPr>
          <w:rFonts w:ascii="宋体" w:hAnsi="宋体" w:eastAsia="宋体" w:cs="宋体"/>
          <w:bCs/>
          <w:color w:val="auto"/>
          <w:highlight w:val="none"/>
        </w:rPr>
      </w:pPr>
      <w:r>
        <w:rPr>
          <w:rFonts w:ascii="宋体" w:hAnsi="宋体" w:eastAsia="宋体" w:cs="宋体"/>
          <w:bCs/>
          <w:color w:val="auto"/>
          <w:highlight w:val="none"/>
        </w:rPr>
      </w:r>
      <w:r/>
    </w:p>
    <w:p>
      <w:pPr>
        <w:pStyle w:val="831"/>
        <w:spacing w:beforeAutospacing="0" w:afterAutospacing="0" w:line="360" w:lineRule="auto"/>
        <w:rPr>
          <w:rFonts w:ascii="宋体" w:hAnsi="宋体" w:eastAsia="宋体" w:cs="宋体"/>
          <w:bCs/>
          <w:color w:val="auto"/>
          <w:highlight w:val="none"/>
        </w:rPr>
      </w:pPr>
      <w:r>
        <w:rPr>
          <w:rFonts w:ascii="宋体" w:hAnsi="宋体" w:eastAsia="宋体" w:cs="宋体"/>
          <w:bCs/>
          <w:color w:val="auto"/>
          <w:highlight w:val="none"/>
        </w:rPr>
      </w:r>
      <w:r/>
    </w:p>
    <w:p>
      <w:pPr>
        <w:pStyle w:val="831"/>
        <w:spacing w:beforeAutospacing="0" w:afterAutospacing="0" w:line="360" w:lineRule="auto"/>
        <w:rPr>
          <w:rFonts w:ascii="宋体" w:hAnsi="宋体" w:eastAsia="宋体" w:cs="宋体"/>
          <w:bCs/>
          <w:color w:val="auto"/>
          <w:spacing w:val="60"/>
          <w:sz w:val="32"/>
          <w:szCs w:val="40"/>
          <w:highlight w:val="none"/>
        </w:rPr>
      </w:pPr>
      <w:r>
        <w:rPr>
          <w:rFonts w:hint="eastAsia" w:ascii="宋体" w:hAnsi="宋体" w:eastAsia="宋体" w:cs="宋体"/>
          <w:bCs/>
          <w:color w:val="auto"/>
          <w:highlight w:val="none"/>
        </w:rPr>
        <w:t xml:space="preserve"> </w:t>
      </w:r>
      <w:r/>
    </w:p>
    <w:p>
      <w:pPr>
        <w:pStyle w:val="831"/>
        <w:ind w:firstLine="3840"/>
        <w:jc w:val="both"/>
        <w:spacing w:before="120" w:beforeAutospacing="0" w:after="120" w:afterAutospacing="0"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盐城市交通运输局</w:t>
      </w:r>
      <w:r/>
    </w:p>
    <w:p>
      <w:pPr>
        <w:pStyle w:val="831"/>
        <w:ind w:firstLine="4160"/>
        <w:jc w:val="both"/>
        <w:spacing w:before="120" w:beforeAutospacing="0" w:after="120" w:afterAutospacing="0" w:line="360" w:lineRule="auto"/>
        <w:rPr>
          <w:rFonts w:ascii="宋体" w:hAnsi="宋体" w:eastAsia="宋体" w:cs="宋体"/>
          <w:bCs/>
          <w:color w:val="auto"/>
          <w:sz w:val="21"/>
          <w:szCs w:val="21"/>
          <w:highlight w:val="none"/>
        </w:rPr>
      </w:pPr>
      <w:r>
        <w:rPr>
          <w:rFonts w:hint="eastAsia" w:ascii="宋体" w:hAnsi="宋体" w:eastAsia="宋体" w:cs="宋体"/>
          <w:color w:val="auto"/>
          <w:sz w:val="32"/>
          <w:highlight w:val="none"/>
        </w:rPr>
        <w:t xml:space="preserve">2026年8月</w:t>
      </w:r>
      <w:r>
        <w:rPr>
          <w:rFonts w:hint="eastAsia" w:ascii="宋体" w:hAnsi="宋体" w:eastAsia="宋体" w:cs="宋体"/>
          <w:bCs/>
          <w:color w:val="auto"/>
          <w:highlight w:val="none"/>
        </w:rPr>
        <w:br w:type="page" w:clear="all"/>
      </w:r>
      <w:r/>
    </w:p>
    <w:p>
      <w:pPr>
        <w:pStyle w:val="831"/>
        <w:jc w:val="center"/>
        <w:spacing w:beforeAutospacing="0" w:afterAutospacing="0" w:line="480" w:lineRule="auto"/>
        <w:rPr>
          <w:rFonts w:ascii="宋体" w:hAnsi="宋体" w:eastAsia="宋体" w:cs="宋体"/>
          <w:bCs/>
          <w:color w:val="auto"/>
          <w:highlight w:val="none"/>
        </w:rPr>
      </w:pPr>
      <w:r/>
      <w:bookmarkStart w:id="0" w:name="_Toc20823272"/>
      <w:r/>
      <w:bookmarkStart w:id="1" w:name="_Toc523127445"/>
      <w:r/>
      <w:bookmarkStart w:id="2" w:name="_Toc479757206"/>
      <w:r/>
      <w:bookmarkStart w:id="3" w:name="_Toc120614210"/>
      <w:r/>
      <w:bookmarkStart w:id="4" w:name="_Toc513029200"/>
      <w:r/>
      <w:bookmarkStart w:id="5" w:name="_Toc16938516"/>
      <w:r>
        <w:rPr>
          <w:rFonts w:hint="eastAsia" w:ascii="宋体" w:hAnsi="宋体" w:eastAsia="宋体" w:cs="宋体"/>
          <w:bCs/>
          <w:color w:val="auto"/>
          <w:sz w:val="44"/>
          <w:szCs w:val="44"/>
          <w:highlight w:val="none"/>
        </w:rPr>
        <w:t xml:space="preserve">总　目　录</w:t>
      </w:r>
      <w:bookmarkEnd w:id="0"/>
      <w:r/>
      <w:bookmarkEnd w:id="1"/>
      <w:r/>
      <w:bookmarkEnd w:id="2"/>
      <w:r/>
      <w:bookmarkEnd w:id="3"/>
      <w:r/>
      <w:bookmarkEnd w:id="4"/>
      <w:r/>
      <w:bookmarkEnd w:id="5"/>
      <w:r/>
      <w:r/>
    </w:p>
    <w:p>
      <w:pPr>
        <w:pStyle w:val="831"/>
        <w:jc w:val="both"/>
        <w:spacing w:beforeAutospacing="0" w:afterAutospacing="0" w:line="480" w:lineRule="auto"/>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23"/>
        <w:spacing w:line="480" w:lineRule="auto"/>
        <w:tabs>
          <w:tab w:val="right" w:pos="8847" w:leader="dot"/>
        </w:tabs>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TOC \o "1-1" \h \z \u </w:instrText>
      </w:r>
      <w:r>
        <w:rPr>
          <w:rFonts w:hint="eastAsia" w:ascii="宋体" w:hAnsi="宋体" w:eastAsia="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"_Toc222837038" </w:instrText>
      </w:r>
      <w:r>
        <w:rPr>
          <w:color w:val="auto"/>
          <w:highlight w:val="none"/>
        </w:rPr>
        <w:fldChar w:fldCharType="separate"/>
      </w:r>
      <w:r>
        <w:rPr>
          <w:rStyle w:val="838"/>
          <w:rFonts w:hint="eastAsia" w:ascii="宋体" w:hAnsi="宋体" w:eastAsia="宋体" w:cs="宋体"/>
          <w:bCs/>
          <w:color w:val="auto"/>
          <w:sz w:val="28"/>
          <w:szCs w:val="28"/>
          <w:highlight w:val="none"/>
        </w:rPr>
        <w:t xml:space="preserve">第一章　竞争性磋商公告</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rPr>
        <w:fldChar w:fldCharType="end"/>
      </w:r>
      <w:r/>
    </w:p>
    <w:p>
      <w:pPr>
        <w:pStyle w:val="823"/>
        <w:spacing w:line="480" w:lineRule="auto"/>
        <w:tabs>
          <w:tab w:val="right" w:pos="8847" w:leader="dot"/>
        </w:tabs>
        <w:rPr>
          <w:rFonts w:ascii="宋体" w:hAnsi="宋体" w:eastAsia="宋体" w:cs="宋体"/>
          <w:bCs/>
          <w:color w:val="auto"/>
          <w:sz w:val="28"/>
          <w:szCs w:val="28"/>
          <w:highlight w:val="none"/>
        </w:rPr>
      </w:pPr>
      <w:r>
        <w:rPr>
          <w:color w:val="auto"/>
          <w:highlight w:val="none"/>
        </w:rPr>
        <w:fldChar w:fldCharType="begin"/>
      </w:r>
      <w:r>
        <w:rPr>
          <w:color w:val="auto"/>
          <w:highlight w:val="none"/>
        </w:rPr>
        <w:instrText xml:space="preserve"> HYPERLINK \l "_Toc222837039" </w:instrText>
      </w:r>
      <w:r>
        <w:rPr>
          <w:color w:val="auto"/>
          <w:highlight w:val="none"/>
        </w:rPr>
        <w:fldChar w:fldCharType="separate"/>
      </w:r>
      <w:r>
        <w:rPr>
          <w:rStyle w:val="838"/>
          <w:rFonts w:hint="eastAsia" w:ascii="宋体" w:hAnsi="宋体" w:eastAsia="宋体" w:cs="宋体"/>
          <w:bCs/>
          <w:color w:val="auto"/>
          <w:sz w:val="28"/>
          <w:szCs w:val="28"/>
          <w:highlight w:val="none"/>
          <w:u w:val="none"/>
        </w:rPr>
        <w:t xml:space="preserve">第二章　供应商须知</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t xml:space="preserve">5</w:t>
      </w:r>
      <w:r>
        <w:rPr>
          <w:rFonts w:hint="eastAsia" w:ascii="宋体" w:hAnsi="宋体" w:eastAsia="宋体" w:cs="宋体"/>
          <w:bCs/>
          <w:color w:val="auto"/>
          <w:sz w:val="28"/>
          <w:szCs w:val="28"/>
          <w:highlight w:val="none"/>
        </w:rPr>
        <w:fldChar w:fldCharType="end"/>
      </w:r>
      <w:r/>
    </w:p>
    <w:p>
      <w:pPr>
        <w:pStyle w:val="823"/>
        <w:spacing w:line="480" w:lineRule="auto"/>
        <w:tabs>
          <w:tab w:val="right" w:pos="8847" w:leader="dot"/>
        </w:tabs>
        <w:rPr>
          <w:rFonts w:ascii="宋体" w:hAnsi="宋体" w:eastAsia="宋体" w:cs="宋体"/>
          <w:bCs/>
          <w:color w:val="auto"/>
          <w:sz w:val="28"/>
          <w:szCs w:val="28"/>
          <w:highlight w:val="none"/>
        </w:rPr>
      </w:pPr>
      <w:r>
        <w:rPr>
          <w:color w:val="auto"/>
          <w:highlight w:val="none"/>
        </w:rPr>
        <w:fldChar w:fldCharType="begin"/>
      </w:r>
      <w:r>
        <w:rPr>
          <w:color w:val="auto"/>
          <w:highlight w:val="none"/>
        </w:rPr>
        <w:instrText xml:space="preserve"> HYPERLINK \l "_Toc222837040" </w:instrText>
      </w:r>
      <w:r>
        <w:rPr>
          <w:color w:val="auto"/>
          <w:highlight w:val="none"/>
        </w:rPr>
        <w:fldChar w:fldCharType="separate"/>
      </w:r>
      <w:r>
        <w:rPr>
          <w:rStyle w:val="838"/>
          <w:rFonts w:hint="eastAsia" w:ascii="宋体" w:hAnsi="宋体" w:eastAsia="宋体" w:cs="宋体"/>
          <w:bCs/>
          <w:color w:val="auto"/>
          <w:sz w:val="28"/>
          <w:szCs w:val="28"/>
          <w:highlight w:val="none"/>
          <w:u w:val="none"/>
        </w:rPr>
        <w:t xml:space="preserve">第三章　合同条款及格式</w:t>
      </w:r>
      <w:r>
        <w:rPr>
          <w:rFonts w:hint="eastAsia" w:ascii="宋体" w:hAnsi="宋体" w:eastAsia="宋体" w:cs="宋体"/>
          <w:bCs/>
          <w:color w:val="auto"/>
          <w:sz w:val="28"/>
          <w:szCs w:val="28"/>
          <w:highlight w:val="none"/>
        </w:rPr>
        <w:tab/>
      </w:r>
      <w:r>
        <w:rPr>
          <w:rFonts w:ascii="宋体" w:hAnsi="宋体" w:eastAsia="宋体" w:cs="宋体"/>
          <w:bCs/>
          <w:color w:val="auto"/>
          <w:sz w:val="28"/>
          <w:szCs w:val="28"/>
          <w:highlight w:val="none"/>
        </w:rPr>
        <w:t xml:space="preserve">21</w:t>
      </w:r>
      <w:r>
        <w:rPr>
          <w:rFonts w:ascii="宋体" w:hAnsi="宋体" w:eastAsia="宋体" w:cs="宋体"/>
          <w:bCs/>
          <w:color w:val="auto"/>
          <w:sz w:val="28"/>
          <w:szCs w:val="28"/>
          <w:highlight w:val="none"/>
        </w:rPr>
        <w:fldChar w:fldCharType="end"/>
      </w:r>
      <w:r/>
    </w:p>
    <w:p>
      <w:pPr>
        <w:pStyle w:val="823"/>
        <w:spacing w:line="480" w:lineRule="auto"/>
        <w:tabs>
          <w:tab w:val="right" w:pos="8847" w:leader="dot"/>
        </w:tabs>
        <w:rPr>
          <w:rFonts w:ascii="宋体" w:hAnsi="宋体" w:eastAsia="宋体" w:cs="宋体"/>
          <w:bCs/>
          <w:color w:val="auto"/>
          <w:sz w:val="28"/>
          <w:szCs w:val="28"/>
          <w:highlight w:val="none"/>
        </w:rPr>
      </w:pPr>
      <w:r>
        <w:rPr>
          <w:color w:val="auto"/>
          <w:highlight w:val="none"/>
        </w:rPr>
        <w:fldChar w:fldCharType="begin"/>
      </w:r>
      <w:r>
        <w:rPr>
          <w:color w:val="auto"/>
          <w:highlight w:val="none"/>
        </w:rPr>
        <w:instrText xml:space="preserve"> HYPERLINK \l "_Toc222837041" </w:instrText>
      </w:r>
      <w:r>
        <w:rPr>
          <w:color w:val="auto"/>
          <w:highlight w:val="none"/>
        </w:rPr>
        <w:fldChar w:fldCharType="separate"/>
      </w:r>
      <w:r>
        <w:rPr>
          <w:rStyle w:val="838"/>
          <w:rFonts w:hint="eastAsia" w:ascii="宋体" w:hAnsi="宋体" w:eastAsia="宋体" w:cs="宋体"/>
          <w:bCs/>
          <w:color w:val="auto"/>
          <w:sz w:val="28"/>
          <w:szCs w:val="28"/>
          <w:highlight w:val="none"/>
          <w:u w:val="none"/>
        </w:rPr>
        <w:t xml:space="preserve">第四章　采购需求</w:t>
      </w:r>
      <w:r>
        <w:rPr>
          <w:rFonts w:hint="eastAsia" w:ascii="宋体" w:hAnsi="宋体" w:eastAsia="宋体" w:cs="宋体"/>
          <w:bCs/>
          <w:color w:val="auto"/>
          <w:sz w:val="28"/>
          <w:szCs w:val="28"/>
          <w:highlight w:val="none"/>
        </w:rPr>
        <w:tab/>
      </w:r>
      <w:r>
        <w:rPr>
          <w:rFonts w:ascii="宋体" w:hAnsi="宋体" w:eastAsia="宋体" w:cs="宋体"/>
          <w:bCs/>
          <w:color w:val="auto"/>
          <w:sz w:val="28"/>
          <w:szCs w:val="28"/>
          <w:highlight w:val="none"/>
        </w:rPr>
        <w:t xml:space="preserve">29</w:t>
      </w:r>
      <w:r>
        <w:rPr>
          <w:rFonts w:ascii="宋体" w:hAnsi="宋体" w:eastAsia="宋体" w:cs="宋体"/>
          <w:bCs/>
          <w:color w:val="auto"/>
          <w:sz w:val="28"/>
          <w:szCs w:val="28"/>
          <w:highlight w:val="none"/>
        </w:rPr>
        <w:fldChar w:fldCharType="end"/>
      </w:r>
      <w:r/>
    </w:p>
    <w:p>
      <w:pPr>
        <w:pStyle w:val="823"/>
        <w:spacing w:line="480" w:lineRule="auto"/>
        <w:tabs>
          <w:tab w:val="right" w:pos="8847" w:leader="dot"/>
        </w:tabs>
        <w:rPr>
          <w:rFonts w:ascii="宋体" w:hAnsi="宋体" w:eastAsia="宋体" w:cs="宋体"/>
          <w:bCs/>
          <w:color w:val="auto"/>
          <w:sz w:val="28"/>
          <w:szCs w:val="28"/>
          <w:highlight w:val="none"/>
        </w:rPr>
      </w:pPr>
      <w:r>
        <w:rPr>
          <w:color w:val="auto"/>
          <w:highlight w:val="none"/>
        </w:rPr>
        <w:fldChar w:fldCharType="begin"/>
      </w:r>
      <w:r>
        <w:rPr>
          <w:color w:val="auto"/>
          <w:highlight w:val="none"/>
        </w:rPr>
        <w:instrText xml:space="preserve"> HYPERLINK \l "_Toc222837042" </w:instrText>
      </w:r>
      <w:r>
        <w:rPr>
          <w:color w:val="auto"/>
          <w:highlight w:val="none"/>
        </w:rPr>
        <w:fldChar w:fldCharType="separate"/>
      </w:r>
      <w:r>
        <w:rPr>
          <w:rStyle w:val="838"/>
          <w:rFonts w:hint="eastAsia" w:ascii="宋体" w:hAnsi="宋体" w:eastAsia="宋体" w:cs="宋体"/>
          <w:bCs/>
          <w:color w:val="auto"/>
          <w:sz w:val="28"/>
          <w:szCs w:val="28"/>
          <w:highlight w:val="none"/>
          <w:u w:val="none"/>
        </w:rPr>
        <w:t xml:space="preserve">第五章　评审方法与评审标准</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rPr>
        <w:fldChar w:fldCharType="end"/>
      </w:r>
      <w:r>
        <w:rPr>
          <w:rFonts w:ascii="宋体" w:hAnsi="宋体" w:eastAsia="宋体" w:cs="宋体"/>
          <w:bCs/>
          <w:color w:val="auto"/>
          <w:sz w:val="28"/>
          <w:szCs w:val="28"/>
          <w:highlight w:val="none"/>
        </w:rPr>
        <w:t xml:space="preserve">7</w:t>
      </w:r>
      <w:r/>
    </w:p>
    <w:p>
      <w:pPr>
        <w:pStyle w:val="823"/>
        <w:spacing w:line="480" w:lineRule="auto"/>
        <w:tabs>
          <w:tab w:val="right" w:pos="8847" w:leader="dot"/>
        </w:tabs>
        <w:rPr>
          <w:rFonts w:ascii="宋体" w:hAnsi="宋体" w:eastAsia="宋体" w:cs="宋体"/>
          <w:bCs/>
          <w:color w:val="auto"/>
          <w:sz w:val="28"/>
          <w:szCs w:val="28"/>
          <w:highlight w:val="none"/>
        </w:rPr>
      </w:pPr>
      <w:r>
        <w:rPr>
          <w:color w:val="auto"/>
          <w:highlight w:val="none"/>
        </w:rPr>
        <w:fldChar w:fldCharType="begin"/>
      </w:r>
      <w:r>
        <w:rPr>
          <w:color w:val="auto"/>
          <w:highlight w:val="none"/>
        </w:rPr>
        <w:instrText xml:space="preserve"> HYPERLINK \l "_Toc222837043" </w:instrText>
      </w:r>
      <w:r>
        <w:rPr>
          <w:color w:val="auto"/>
          <w:highlight w:val="none"/>
        </w:rPr>
        <w:fldChar w:fldCharType="separate"/>
      </w:r>
      <w:r>
        <w:rPr>
          <w:rStyle w:val="838"/>
          <w:rFonts w:hint="eastAsia" w:ascii="宋体" w:hAnsi="宋体" w:eastAsia="宋体" w:cs="宋体"/>
          <w:bCs/>
          <w:color w:val="auto"/>
          <w:sz w:val="28"/>
          <w:szCs w:val="28"/>
          <w:highlight w:val="none"/>
          <w:u w:val="none"/>
        </w:rPr>
        <w:t xml:space="preserve">第六章　响应文件格式</w:t>
      </w:r>
      <w:r>
        <w:rPr>
          <w:rFonts w:hint="eastAsia" w:ascii="宋体" w:hAnsi="宋体" w:eastAsia="宋体" w:cs="宋体"/>
          <w:bCs/>
          <w:color w:val="auto"/>
          <w:sz w:val="28"/>
          <w:szCs w:val="28"/>
          <w:highlight w:val="none"/>
        </w:rPr>
        <w:tab/>
      </w:r>
      <w:r>
        <w:rPr>
          <w:rFonts w:hint="eastAsia" w:ascii="宋体"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fldChar w:fldCharType="end"/>
      </w:r>
      <w:r>
        <w:rPr>
          <w:rFonts w:ascii="宋体" w:hAnsi="宋体" w:eastAsia="宋体" w:cs="宋体"/>
          <w:bCs/>
          <w:color w:val="auto"/>
          <w:sz w:val="28"/>
          <w:szCs w:val="28"/>
          <w:highlight w:val="none"/>
        </w:rPr>
        <w:t xml:space="preserve">2</w:t>
      </w:r>
      <w:r/>
    </w:p>
    <w:p>
      <w:pPr>
        <w:pStyle w:val="831"/>
        <w:jc w:val="both"/>
        <w:spacing w:beforeAutospacing="0" w:afterAutospacing="0" w:line="480" w:lineRule="auto"/>
        <w:rPr>
          <w:rFonts w:ascii="宋体" w:hAnsi="宋体" w:eastAsia="宋体" w:cs="宋体"/>
          <w:bCs/>
          <w:color w:val="auto"/>
          <w:highlight w:val="none"/>
        </w:rPr>
      </w:pPr>
      <w:r>
        <w:rPr>
          <w:rFonts w:hint="eastAsia" w:ascii="宋体" w:hAnsi="宋体" w:eastAsia="宋体" w:cs="宋体"/>
          <w:bCs/>
          <w:color w:val="auto"/>
          <w:sz w:val="28"/>
          <w:szCs w:val="28"/>
          <w:highlight w:val="none"/>
        </w:rPr>
        <w:fldChar w:fldCharType="end"/>
      </w: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line="508" w:lineRule="exact"/>
        <w:rPr>
          <w:rFonts w:ascii="Times New Roman" w:hAnsi="方正小标宋_GBK" w:eastAsia="方正小标宋_GBK" w:cs="方正小标宋_GBK"/>
          <w:color w:val="auto"/>
          <w:sz w:val="44"/>
          <w:szCs w:val="44"/>
          <w:highlight w:val="none"/>
        </w:rPr>
        <w:sectPr>
          <w:headerReference w:type="default" r:id="rId8"/>
          <w:headerReference w:type="first" r:id="rId9"/>
          <w:footnotePr/>
          <w:endnotePr/>
          <w:type w:val="nextPage"/>
          <w:pgSz w:w="11906" w:h="16838" w:orient="portrait"/>
          <w:pgMar w:top="1134" w:right="1134" w:bottom="1134" w:left="1134" w:header="794" w:footer="907" w:gutter="0"/>
          <w:cols w:num="1" w:sep="0" w:space="720" w:equalWidth="1"/>
          <w:docGrid w:linePitch="360"/>
        </w:sectPr>
        <w:outlineLvl w:val="0"/>
      </w:pPr>
      <w:r/>
      <w:bookmarkStart w:id="6" w:name="_Toc222837038"/>
      <w:r/>
      <w:bookmarkStart w:id="7" w:name="_Toc28359086"/>
      <w:r/>
      <w:r/>
    </w:p>
    <w:p>
      <w:pPr>
        <w:pStyle w:val="831"/>
        <w:jc w:val="center"/>
        <w:spacing w:beforeAutospacing="0" w:afterAutospacing="0" w:line="508" w:lineRule="exact"/>
        <w:rPr>
          <w:rFonts w:ascii="Times New Roman" w:hAnsi="方正小标宋_GBK" w:eastAsia="方正小标宋_GBK" w:cs="方正小标宋_GBK"/>
          <w:color w:val="auto"/>
          <w:sz w:val="44"/>
          <w:szCs w:val="44"/>
          <w:highlight w:val="none"/>
        </w:rPr>
        <w:outlineLvl w:val="0"/>
      </w:pPr>
      <w:r>
        <w:rPr>
          <w:rFonts w:hint="eastAsia" w:ascii="Times New Roman" w:hAnsi="方正小标宋_GBK" w:eastAsia="方正小标宋_GBK" w:cs="方正小标宋_GBK"/>
          <w:color w:val="auto"/>
          <w:sz w:val="44"/>
          <w:szCs w:val="44"/>
          <w:highlight w:val="none"/>
        </w:rPr>
        <w:t xml:space="preserve">第一章　竞争性磋商公告</w:t>
      </w:r>
      <w:bookmarkEnd w:id="6"/>
      <w:r/>
      <w:r/>
    </w:p>
    <w:p>
      <w:pPr>
        <w:pStyle w:val="831"/>
        <w:ind w:firstLine="560"/>
        <w:jc w:val="both"/>
        <w:spacing w:beforeAutospacing="0" w:afterAutospacing="0" w:line="508" w:lineRule="exact"/>
        <w:rPr>
          <w:rFonts w:ascii="宋体" w:hAnsi="宋体" w:eastAsia="宋体" w:cs="宋体"/>
          <w:b/>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color w:val="auto"/>
          <w:highlight w:val="none"/>
        </w:rPr>
        <w:t xml:space="preserve">项目概况</w:t>
      </w:r>
      <w:r/>
    </w:p>
    <w:p>
      <w:pPr>
        <w:pStyle w:val="831"/>
        <w:ind w:firstLine="560"/>
        <w:jc w:val="both"/>
        <w:spacing w:beforeAutospacing="0" w:afterAutospacing="0" w:line="508" w:lineRule="exact"/>
        <w:rPr>
          <w:rFonts w:ascii="宋体" w:hAnsi="宋体" w:eastAsia="宋体" w:cs="宋体"/>
          <w:bCs/>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Cs/>
          <w:color w:val="auto"/>
          <w:highlight w:val="none"/>
          <w:u w:val="single"/>
        </w:rPr>
        <w:t xml:space="preserve">《盐城市低空起降场（点）布局方案和低空航路航线划设方案研究》项目（二次）JSZC-320900-JSGX-C2026-001</w:t>
      </w:r>
      <w:r>
        <w:rPr>
          <w:rFonts w:hint="eastAsia" w:ascii="宋体" w:hAnsi="宋体" w:eastAsia="宋体" w:cs="宋体"/>
          <w:bCs/>
          <w:color w:val="auto"/>
          <w:highlight w:val="none"/>
          <w:u w:val="single"/>
          <w:lang w:val="en-US" w:eastAsia="zh-CN"/>
        </w:rPr>
        <w:t xml:space="preserve">9</w:t>
      </w:r>
      <w:r>
        <w:rPr>
          <w:rFonts w:hint="eastAsia" w:ascii="宋体" w:hAnsi="宋体" w:eastAsia="宋体" w:cs="宋体"/>
          <w:bCs/>
          <w:color w:val="auto"/>
          <w:highlight w:val="none"/>
        </w:rPr>
        <w:t xml:space="preserve">的潜在供应商应在</w:t>
      </w:r>
      <w:r>
        <w:rPr>
          <w:rFonts w:hint="eastAsia" w:ascii="宋体" w:hAnsi="宋体" w:eastAsia="宋体" w:cs="宋体"/>
          <w:bCs/>
          <w:color w:val="auto"/>
          <w:highlight w:val="none"/>
          <w:shd w:val="clear" w:color="auto" w:fill="ffffff"/>
        </w:rPr>
        <w:t xml:space="preserve">“苏采云”系统内免费下载（投标人必须在苏采云系统中获</w:t>
      </w:r>
      <w:r>
        <w:rPr>
          <w:rFonts w:hint="eastAsia" w:ascii="宋体" w:hAnsi="宋体" w:eastAsia="宋体" w:cs="宋体"/>
          <w:bCs/>
          <w:color w:val="auto"/>
          <w:highlight w:val="none"/>
        </w:rPr>
        <w:t xml:space="preserve">取磋商文件，方</w:t>
      </w:r>
      <w:r>
        <w:rPr>
          <w:rFonts w:hint="eastAsia" w:ascii="宋体" w:hAnsi="宋体" w:eastAsia="宋体" w:cs="宋体"/>
          <w:bCs/>
          <w:color w:val="auto"/>
          <w:highlight w:val="none"/>
          <w:shd w:val="clear" w:color="auto" w:fill="ffffff"/>
        </w:rPr>
        <w:t xml:space="preserve">能参与政府采购项目）；</w:t>
      </w:r>
      <w:r>
        <w:rPr>
          <w:rFonts w:hint="eastAsia" w:ascii="宋体" w:hAnsi="宋体" w:eastAsia="宋体" w:cs="宋体"/>
          <w:bCs/>
          <w:color w:val="auto"/>
          <w:highlight w:val="none"/>
        </w:rPr>
        <w:t xml:space="preserve">并于</w:t>
      </w:r>
      <w:r>
        <w:rPr>
          <w:rFonts w:hint="eastAsia" w:ascii="宋体" w:hAnsi="宋体" w:eastAsia="宋体" w:cs="宋体"/>
          <w:bCs/>
          <w:color w:val="auto"/>
          <w:highlight w:val="none"/>
          <w:u w:val="single"/>
        </w:rPr>
        <w:t xml:space="preserve">2026</w:t>
      </w:r>
      <w:r>
        <w:rPr>
          <w:rFonts w:hint="eastAsia" w:ascii="宋体" w:hAnsi="宋体" w:eastAsia="宋体" w:cs="宋体"/>
          <w:bCs/>
          <w:color w:val="auto"/>
          <w:highlight w:val="none"/>
        </w:rPr>
        <w:t xml:space="preserve">年</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9</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8</w:t>
      </w:r>
      <w:r>
        <w:rPr>
          <w:rFonts w:ascii="宋体" w:hAnsi="宋体" w:eastAsia="宋体" w:cs="宋体"/>
          <w:bCs/>
          <w:color w:val="auto"/>
          <w:highlight w:val="none"/>
          <w:u w:val="single"/>
        </w:rPr>
        <w:t xml:space="preserve"> </w:t>
      </w:r>
      <w:bookmarkStart w:id="227" w:name="_GoBack"/>
      <w:r/>
      <w:bookmarkEnd w:id="227"/>
      <w:r>
        <w:rPr>
          <w:rFonts w:hint="eastAsia" w:ascii="宋体" w:hAnsi="宋体" w:eastAsia="宋体" w:cs="宋体"/>
          <w:bCs/>
          <w:color w:val="auto"/>
          <w:highlight w:val="none"/>
        </w:rPr>
        <w:t xml:space="preserve">日15:00（北京时间）前递交响应文件。</w:t>
      </w:r>
      <w:r/>
    </w:p>
    <w:p>
      <w:pPr>
        <w:pStyle w:val="831"/>
        <w:ind w:firstLine="560"/>
        <w:jc w:val="both"/>
        <w:spacing w:beforeAutospacing="0" w:afterAutospacing="0" w:line="508" w:lineRule="exact"/>
        <w:rPr>
          <w:rFonts w:ascii="宋体" w:hAnsi="宋体" w:eastAsia="宋体" w:cs="宋体"/>
          <w:b/>
          <w:color w:val="auto"/>
          <w:highlight w:val="none"/>
        </w:rPr>
      </w:pPr>
      <w:r/>
      <w:bookmarkStart w:id="8" w:name="_Toc28359002"/>
      <w:r/>
      <w:bookmarkStart w:id="9" w:name="_Hlk24379207"/>
      <w:r/>
      <w:bookmarkStart w:id="10" w:name="_Toc35393790"/>
      <w:r/>
      <w:bookmarkStart w:id="11" w:name="_Toc28359079"/>
      <w:r/>
      <w:bookmarkStart w:id="12" w:name="_Toc38985263"/>
      <w:r/>
      <w:bookmarkStart w:id="13" w:name="_Toc35393621"/>
      <w:r>
        <w:rPr>
          <w:rFonts w:hint="eastAsia" w:ascii="宋体" w:hAnsi="宋体" w:eastAsia="宋体" w:cs="宋体"/>
          <w:b/>
          <w:color w:val="auto"/>
          <w:highlight w:val="none"/>
        </w:rPr>
        <w:t xml:space="preserve">一、项目基本情况</w:t>
      </w:r>
      <w:bookmarkEnd w:id="8"/>
      <w:r/>
      <w:bookmarkEnd w:id="9"/>
      <w:r/>
      <w:bookmarkEnd w:id="10"/>
      <w:r/>
      <w:bookmarkEnd w:id="11"/>
      <w:r/>
      <w:bookmarkEnd w:id="12"/>
      <w:r/>
      <w:bookmarkEnd w:id="13"/>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1.项目编号：</w:t>
      </w:r>
      <w:bookmarkStart w:id="14" w:name="_Toc35393622"/>
      <w:r/>
      <w:bookmarkStart w:id="15" w:name="_Toc35393791"/>
      <w:r/>
      <w:bookmarkStart w:id="16" w:name="_Toc28359080"/>
      <w:r/>
      <w:bookmarkStart w:id="17" w:name="_Toc38985264"/>
      <w:r/>
      <w:bookmarkStart w:id="18" w:name="_Toc28359003"/>
      <w:r>
        <w:rPr>
          <w:rFonts w:hint="eastAsia" w:ascii="宋体" w:hAnsi="宋体" w:eastAsia="宋体" w:cs="宋体"/>
          <w:bCs/>
          <w:color w:val="auto"/>
          <w:highlight w:val="none"/>
        </w:rPr>
        <w:t xml:space="preserve">JSZC-320900-JSGX-C2026-001</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 </w:t>
      </w:r>
      <w:r/>
    </w:p>
    <w:p>
      <w:pPr>
        <w:pStyle w:val="831"/>
        <w:ind w:left="959" w:hanging="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2.项目名称：《盐城市低空起降场（点）布局方案和低空航路航线划设方案研究》</w:t>
      </w:r>
      <w:r/>
    </w:p>
    <w:p>
      <w:pPr>
        <w:pStyle w:val="831"/>
        <w:ind w:left="899" w:firstLine="9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项目（二次）</w:t>
      </w:r>
      <w:r/>
    </w:p>
    <w:p>
      <w:pPr>
        <w:pStyle w:val="831"/>
        <w:ind w:left="959" w:hanging="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3.采购方式：竞争性磋商</w:t>
      </w:r>
      <w:r/>
    </w:p>
    <w:p>
      <w:pPr>
        <w:pStyle w:val="831"/>
        <w:ind w:firstLine="560"/>
        <w:jc w:val="both"/>
        <w:spacing w:beforeAutospacing="0" w:afterAutospacing="0" w:line="508" w:lineRule="exact"/>
        <w:rPr>
          <w:rFonts w:ascii="宋体" w:hAnsi="宋体" w:eastAsia="宋体" w:cs="宋体"/>
          <w:bCs/>
          <w:color w:val="auto"/>
          <w:highlight w:val="none"/>
        </w:rPr>
      </w:pPr>
      <w:r/>
      <w:bookmarkStart w:id="19" w:name="OLE_LINK25"/>
      <w:r/>
      <w:bookmarkStart w:id="20" w:name="OLE_LINK26"/>
      <w:r>
        <w:rPr>
          <w:rFonts w:hint="eastAsia" w:ascii="宋体" w:hAnsi="宋体" w:eastAsia="宋体" w:cs="宋体"/>
          <w:bCs/>
          <w:color w:val="auto"/>
          <w:highlight w:val="none"/>
        </w:rPr>
        <w:t xml:space="preserve">4.预算金额：</w:t>
      </w:r>
      <w:bookmarkStart w:id="21" w:name="OLE_LINK19"/>
      <w:r/>
      <w:bookmarkStart w:id="22" w:name="OLE_LINK20"/>
      <w:r>
        <w:rPr>
          <w:rFonts w:ascii="宋体" w:hAnsi="宋体" w:eastAsia="宋体" w:cs="宋体"/>
          <w:bCs/>
          <w:color w:val="auto"/>
          <w:highlight w:val="none"/>
        </w:rPr>
        <w:t xml:space="preserve">120</w:t>
      </w:r>
      <w:r>
        <w:rPr>
          <w:rFonts w:hint="eastAsia" w:ascii="宋体" w:hAnsi="宋体" w:eastAsia="宋体" w:cs="宋体"/>
          <w:bCs/>
          <w:color w:val="auto"/>
          <w:highlight w:val="none"/>
        </w:rPr>
        <w:t xml:space="preserve">万元</w:t>
      </w:r>
      <w:bookmarkEnd w:id="21"/>
      <w:r/>
      <w:bookmarkEnd w:id="22"/>
      <w:r>
        <w:rPr>
          <w:rFonts w:hint="eastAsia" w:ascii="宋体" w:hAnsi="宋体" w:eastAsia="宋体" w:cs="宋体"/>
          <w:bCs/>
          <w:color w:val="auto"/>
          <w:highlight w:val="none"/>
        </w:rPr>
        <w:t xml:space="preserve">。</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bookmarkStart w:id="23" w:name="OLE_LINK28"/>
      <w:r/>
      <w:bookmarkStart w:id="24" w:name="OLE_LINK13"/>
      <w:r/>
      <w:bookmarkStart w:id="25" w:name="OLE_LINK29"/>
      <w:r>
        <w:rPr>
          <w:rFonts w:hint="eastAsia" w:ascii="宋体" w:hAnsi="宋体" w:eastAsia="宋体" w:cs="宋体"/>
          <w:bCs/>
          <w:color w:val="auto"/>
          <w:highlight w:val="none"/>
        </w:rPr>
        <w:t xml:space="preserve">最高限价：</w:t>
      </w:r>
      <w:bookmarkEnd w:id="23"/>
      <w:r/>
      <w:bookmarkEnd w:id="24"/>
      <w:r/>
      <w:bookmarkEnd w:id="25"/>
      <w:r>
        <w:rPr>
          <w:rFonts w:ascii="宋体" w:hAnsi="宋体" w:eastAsia="宋体" w:cs="宋体"/>
          <w:bCs/>
          <w:color w:val="auto"/>
          <w:highlight w:val="none"/>
        </w:rPr>
        <w:t xml:space="preserve">120</w:t>
      </w:r>
      <w:r>
        <w:rPr>
          <w:rFonts w:hint="eastAsia" w:ascii="宋体" w:hAnsi="宋体" w:eastAsia="宋体" w:cs="宋体"/>
          <w:bCs/>
          <w:color w:val="auto"/>
          <w:highlight w:val="none"/>
        </w:rPr>
        <w:t xml:space="preserve">万元。</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6.采购需求：</w:t>
      </w:r>
      <w:bookmarkStart w:id="26" w:name="OLE_LINK14"/>
      <w:r>
        <w:rPr>
          <w:rFonts w:hint="eastAsia" w:ascii="宋体" w:hAnsi="宋体" w:eastAsia="宋体" w:cs="宋体"/>
          <w:bCs/>
          <w:color w:val="auto"/>
          <w:highlight w:val="none"/>
        </w:rPr>
        <w:t xml:space="preserve">《盐城市低空起降场（点）布局方案和低空航路航线划设方案研究》项目（二次），</w:t>
      </w:r>
      <w:r>
        <w:rPr>
          <w:rFonts w:hint="eastAsia" w:ascii="宋体" w:hAnsi="宋体" w:eastAsia="宋体" w:cs="宋体"/>
          <w:bCs/>
          <w:color w:val="auto"/>
          <w:highlight w:val="none"/>
          <w:lang w:val="zh-CN"/>
        </w:rPr>
        <w:t xml:space="preserve">详细</w:t>
      </w:r>
      <w:r>
        <w:rPr>
          <w:rFonts w:hint="eastAsia" w:ascii="宋体" w:hAnsi="宋体" w:eastAsia="宋体" w:cs="宋体"/>
          <w:bCs/>
          <w:color w:val="auto"/>
          <w:highlight w:val="none"/>
        </w:rPr>
        <w:t xml:space="preserve">内容见采购文件第四章</w:t>
      </w:r>
      <w:r>
        <w:rPr>
          <w:rFonts w:hint="eastAsia" w:ascii="宋体" w:hAnsi="宋体" w:eastAsia="宋体" w:cs="宋体"/>
          <w:bCs/>
          <w:color w:val="auto"/>
          <w:highlight w:val="none"/>
          <w:lang w:val="zh-CN"/>
        </w:rPr>
        <w:t xml:space="preserve">。</w:t>
      </w:r>
      <w:bookmarkEnd w:id="2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7.合同履行期限：</w:t>
      </w:r>
      <w:bookmarkEnd w:id="19"/>
      <w:r/>
      <w:bookmarkEnd w:id="20"/>
      <w:r/>
      <w:bookmarkStart w:id="27" w:name="OLE_LINK6"/>
      <w:r/>
      <w:bookmarkStart w:id="28" w:name="OLE_LINK3"/>
      <w:r>
        <w:rPr>
          <w:rFonts w:hint="eastAsia" w:ascii="宋体" w:hAnsi="宋体" w:eastAsia="宋体" w:cs="宋体"/>
          <w:bCs/>
          <w:color w:val="auto"/>
          <w:highlight w:val="none"/>
        </w:rPr>
        <w:t xml:space="preserve">合同签订后12个月内，形成最终成果并通过评审。</w:t>
      </w:r>
      <w:bookmarkEnd w:id="27"/>
      <w:r/>
      <w:bookmarkEnd w:id="28"/>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8.本项目（是/否）接受联合体投标：</w:t>
      </w:r>
      <w:r>
        <w:rPr>
          <w:rFonts w:hint="eastAsia" w:ascii="宋体" w:hAnsi="宋体" w:eastAsia="宋体"/>
          <w:b/>
          <w:color w:val="auto"/>
          <w:spacing w:val="2"/>
          <w:highlight w:val="none"/>
        </w:rPr>
        <w:t xml:space="preserve">接受联合体</w:t>
      </w:r>
      <w:r>
        <w:rPr>
          <w:rFonts w:hint="eastAsia" w:ascii="宋体" w:hAnsi="宋体" w:eastAsia="宋体" w:cs="宋体"/>
          <w:bCs/>
          <w:color w:val="auto"/>
          <w:highlight w:val="none"/>
        </w:rPr>
        <w:t xml:space="preserve">。</w:t>
      </w:r>
      <w:r/>
    </w:p>
    <w:p>
      <w:pPr>
        <w:pStyle w:val="831"/>
        <w:ind w:firstLine="560"/>
        <w:jc w:val="both"/>
        <w:spacing w:beforeAutospacing="0" w:afterAutospacing="0" w:line="508" w:lineRule="exact"/>
        <w:rPr>
          <w:rFonts w:ascii="宋体" w:hAnsi="宋体" w:eastAsia="宋体" w:cs="宋体"/>
          <w:b/>
          <w:color w:val="auto"/>
          <w:highlight w:val="none"/>
        </w:rPr>
      </w:pPr>
      <w:r>
        <w:rPr>
          <w:rFonts w:hint="eastAsia" w:ascii="宋体" w:hAnsi="宋体" w:eastAsia="宋体" w:cs="宋体"/>
          <w:b/>
          <w:color w:val="auto"/>
          <w:highlight w:val="none"/>
        </w:rPr>
        <w:t xml:space="preserve">二、申请人的资格要求：</w:t>
      </w:r>
      <w:bookmarkEnd w:id="14"/>
      <w:r/>
      <w:bookmarkEnd w:id="15"/>
      <w:r/>
      <w:bookmarkEnd w:id="16"/>
      <w:r/>
      <w:bookmarkEnd w:id="17"/>
      <w:r/>
      <w:bookmarkEnd w:id="18"/>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1.满足《中华人民共和国政府采购法》第二十二条规定，并提供下列材料：</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1.1 法人或者其他组织的营业执照等证明文件，自然人的身份证明；</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1.2上一年度的财务状况报表（</w:t>
      </w:r>
      <w:r>
        <w:rPr>
          <w:rFonts w:hint="eastAsia" w:ascii="宋体" w:hAnsi="宋体" w:eastAsia="宋体" w:cs="Times New Roman"/>
          <w:bCs/>
          <w:color w:val="auto"/>
          <w:sz w:val="24"/>
          <w:szCs w:val="21"/>
          <w:highlight w:val="none"/>
        </w:rPr>
        <w:t xml:space="preserve">至少提供资产负债表、利润表、现金流量表，投标人成立不满一年无需提供</w:t>
      </w:r>
      <w:r>
        <w:rPr>
          <w:rFonts w:hint="eastAsia" w:ascii="宋体" w:hAnsi="宋体" w:eastAsia="宋体" w:cs="宋体"/>
          <w:bCs/>
          <w:color w:val="auto"/>
          <w:sz w:val="24"/>
          <w:highlight w:val="none"/>
        </w:rPr>
        <w:t xml:space="preserve">）；</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1.4具备履行合同所必需的设备和专业技术能力的书面声明；</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1.5参加政府采购活动前3年内在经营活动中没有重大违法记录的书面声明。</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1.6法律、行政法规规定的其他条件。</w:t>
      </w:r>
      <w:r/>
    </w:p>
    <w:p>
      <w:pPr>
        <w:ind w:firstLine="560"/>
        <w:spacing w:line="508" w:lineRule="exact"/>
        <w:rPr>
          <w:rFonts w:ascii="宋体" w:hAnsi="宋体" w:eastAsia="宋体" w:cs="宋体"/>
          <w:b/>
          <w:color w:val="auto"/>
          <w:sz w:val="24"/>
          <w:highlight w:val="none"/>
        </w:rPr>
      </w:pPr>
      <w:r>
        <w:rPr>
          <w:rFonts w:hint="eastAsia" w:ascii="宋体" w:hAnsi="宋体" w:eastAsia="宋体" w:cs="宋体"/>
          <w:bCs/>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color w:val="auto"/>
          <w:sz w:val="24"/>
          <w:highlight w:val="none"/>
        </w:rPr>
        <w:t xml:space="preserve">（响应文件中无需提供证明材料）</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1.8单位负责人为同一人或者存在直接控股、管理关系的不同供应商，不得参加同一合同项下的政府采购活动</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自行承诺</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eastAsia="宋体" w:cs="宋体"/>
          <w:b w:val="0"/>
          <w:bCs/>
          <w:color w:val="auto"/>
          <w:sz w:val="24"/>
          <w:highlight w:val="none"/>
        </w:rPr>
        <w:t xml:space="preserve">无</w:t>
      </w:r>
      <w:r>
        <w:rPr>
          <w:rFonts w:hint="eastAsia" w:ascii="宋体" w:hAnsi="宋体" w:eastAsia="宋体" w:cs="宋体"/>
          <w:bCs/>
          <w:color w:val="auto"/>
          <w:sz w:val="24"/>
          <w:highlight w:val="none"/>
        </w:rPr>
        <w:t xml:space="preserve">。</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3.本项目的特定资格要求：</w:t>
      </w:r>
      <w:r/>
    </w:p>
    <w:p>
      <w:pPr>
        <w:ind w:firstLine="480"/>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本项目接受联合体投标</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若以联合体</w:t>
      </w:r>
      <w:r>
        <w:rPr>
          <w:rFonts w:hint="eastAsia" w:ascii="宋体" w:hAnsi="宋体" w:eastAsia="宋体" w:cs="宋体"/>
          <w:color w:val="auto"/>
          <w:sz w:val="24"/>
          <w:highlight w:val="none"/>
        </w:rPr>
        <w:t xml:space="preserve">形式</w:t>
      </w:r>
      <w:r>
        <w:rPr>
          <w:rFonts w:hint="eastAsia" w:ascii="宋体" w:hAnsi="宋体" w:eastAsia="宋体" w:cs="宋体"/>
          <w:color w:val="auto"/>
          <w:sz w:val="24"/>
          <w:highlight w:val="none"/>
          <w:lang w:val="zh-CN"/>
        </w:rPr>
        <w:t xml:space="preserve">投标时，联合体各</w:t>
      </w:r>
      <w:r>
        <w:rPr>
          <w:rFonts w:hint="eastAsia" w:ascii="宋体" w:hAnsi="宋体" w:eastAsia="宋体" w:cs="宋体"/>
          <w:color w:val="auto"/>
          <w:sz w:val="24"/>
          <w:highlight w:val="none"/>
        </w:rPr>
        <w:t xml:space="preserve">成员</w:t>
      </w:r>
      <w:r>
        <w:rPr>
          <w:rFonts w:hint="eastAsia" w:ascii="宋体" w:hAnsi="宋体" w:eastAsia="宋体" w:cs="宋体"/>
          <w:color w:val="auto"/>
          <w:sz w:val="24"/>
          <w:highlight w:val="none"/>
          <w:lang w:val="zh-CN"/>
        </w:rPr>
        <w:t xml:space="preserve">必须完全满足合格投标人的所有条件。</w:t>
      </w:r>
      <w:r>
        <w:rPr>
          <w:rFonts w:hint="eastAsia" w:ascii="宋体" w:hAnsi="宋体" w:eastAsia="宋体" w:cs="宋体"/>
          <w:color w:val="auto"/>
          <w:sz w:val="24"/>
          <w:highlight w:val="none"/>
        </w:rPr>
        <w:t xml:space="preserve">应</w:t>
      </w:r>
      <w:r>
        <w:rPr>
          <w:rFonts w:hint="eastAsia" w:ascii="宋体" w:hAnsi="宋体" w:eastAsia="宋体" w:cs="宋体"/>
          <w:color w:val="auto"/>
          <w:sz w:val="24"/>
          <w:highlight w:val="none"/>
          <w:lang w:val="zh-CN"/>
        </w:rPr>
        <w:t xml:space="preserve">符合以下规定要求：</w:t>
      </w:r>
      <w:r/>
    </w:p>
    <w:p>
      <w:pPr>
        <w:ind w:firstLine="480"/>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①联合体各成员之间应签订《联合体协议书》，明确联合体各成员的权利、义务以及份额比例、工作人员分配和成本分担方案，</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的投标</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val="zh-CN"/>
        </w:rPr>
        <w:t xml:space="preserve">文件及中标后签署的合同书，对联合体的每一成员均有法律约束力。</w:t>
      </w:r>
      <w:r/>
    </w:p>
    <w:p>
      <w:pPr>
        <w:ind w:firstLine="480"/>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val="zh-CN"/>
        </w:rPr>
        <w:t xml:space="preserve">联合体投标人代表应被授权作为联合体各方的代表（该代表须为联合体成员之一），承担责任和接受指令，并负责整个合同的全面履行。</w:t>
      </w:r>
      <w:r/>
    </w:p>
    <w:p>
      <w:pPr>
        <w:ind w:firstLine="480"/>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lang w:val="zh-CN"/>
        </w:rPr>
        <w:t xml:space="preserve">所有联合体成员应按合同条件的规定，为实施合同共同和分别承担责任。在联合体协议书和授权委托书中，以及在投标文件和中标后签署的合同书中应对此作出相应的声明。</w:t>
      </w:r>
      <w:r/>
    </w:p>
    <w:p>
      <w:pPr>
        <w:ind w:firstLine="480"/>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lang w:val="zh-CN"/>
        </w:rPr>
        <w:t xml:space="preserve">联合体各成员之间签订的联合体协议书应与投标文件一起递交。</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⑤</w:t>
      </w:r>
      <w:r>
        <w:rPr>
          <w:rFonts w:hint="eastAsia" w:ascii="宋体" w:hAnsi="宋体" w:eastAsia="宋体" w:cs="宋体"/>
          <w:color w:val="auto"/>
          <w:sz w:val="24"/>
          <w:highlight w:val="none"/>
          <w:lang w:val="zh-CN"/>
        </w:rPr>
        <w:t xml:space="preserve">参加联合体的各成员不得再以自己名义单独投标，也不得同时参加两个或两个以上的联合体投标。如有违反将取消该联合体及联合体各成员的投标资格。</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⑥若联合体中任一成员单位中途退出，则该联合体的响应无效。</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⑦联合体成员数量最多不超过2家。</w:t>
      </w:r>
      <w:r/>
    </w:p>
    <w:p>
      <w:pPr>
        <w:ind w:firstLine="560"/>
        <w:spacing w:line="508" w:lineRule="exact"/>
        <w:rPr>
          <w:rFonts w:ascii="宋体" w:hAnsi="宋体" w:eastAsia="宋体" w:cs="宋体"/>
          <w:b/>
          <w:color w:val="auto"/>
          <w:highlight w:val="none"/>
        </w:rPr>
      </w:pPr>
      <w:r>
        <w:rPr>
          <w:rFonts w:hint="eastAsia" w:ascii="宋体" w:hAnsi="宋体" w:eastAsia="宋体" w:cs="宋体"/>
          <w:b/>
          <w:color w:val="auto"/>
          <w:sz w:val="24"/>
          <w:highlight w:val="none"/>
        </w:rPr>
        <w:t xml:space="preserve">三、获取磋商文件</w:t>
      </w:r>
      <w:r/>
    </w:p>
    <w:p>
      <w:pPr>
        <w:ind w:firstLine="560"/>
        <w:spacing w:line="508"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bookmarkStart w:id="29" w:name="_Toc38985266"/>
      <w:r/>
      <w:bookmarkStart w:id="30" w:name="_Toc28359082"/>
      <w:r/>
      <w:bookmarkStart w:id="31" w:name="_Toc35393624"/>
      <w:r/>
      <w:bookmarkStart w:id="32" w:name="_Toc35393793"/>
      <w:r/>
      <w:bookmarkStart w:id="33" w:name="_Toc28359005"/>
      <w:r>
        <w:rPr>
          <w:rFonts w:hint="eastAsia" w:ascii="宋体" w:hAnsi="宋体" w:eastAsia="宋体" w:cs="宋体"/>
          <w:bCs/>
          <w:color w:val="auto"/>
          <w:sz w:val="24"/>
          <w:highlight w:val="none"/>
        </w:rPr>
        <w:t xml:space="preserve">1.时间：自磋商文件公告发布之日起5个工作日。</w:t>
      </w:r>
      <w:bookmarkEnd w:id="29"/>
      <w:r/>
      <w:bookmarkEnd w:id="30"/>
      <w:r/>
      <w:bookmarkEnd w:id="31"/>
      <w:r/>
      <w:bookmarkEnd w:id="32"/>
      <w:r/>
      <w:bookmarkEnd w:id="33"/>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2.地点：“苏采云”系统内免费下载（投标人必须在苏采云系统中获取磋商文件，方能参与政府采购项目）；</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3.方式：本项目采用网上注册登记方式。</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4.售价：0元</w:t>
      </w:r>
      <w:r/>
    </w:p>
    <w:p>
      <w:pPr>
        <w:pStyle w:val="831"/>
        <w:ind w:firstLine="560"/>
        <w:jc w:val="both"/>
        <w:spacing w:beforeAutospacing="0" w:afterAutospacing="0" w:line="508" w:lineRule="exact"/>
        <w:rPr>
          <w:rFonts w:ascii="宋体" w:hAnsi="宋体" w:eastAsia="宋体" w:cs="宋体"/>
          <w:b/>
          <w:color w:val="auto"/>
          <w:highlight w:val="none"/>
        </w:rPr>
      </w:pPr>
      <w:r>
        <w:rPr>
          <w:rFonts w:hint="eastAsia" w:ascii="宋体" w:hAnsi="宋体" w:eastAsia="宋体" w:cs="宋体"/>
          <w:b/>
          <w:color w:val="auto"/>
          <w:highlight w:val="none"/>
        </w:rPr>
        <w:t xml:space="preserve">四、响应文件提交</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1.截止时间：</w:t>
      </w:r>
      <w:r>
        <w:rPr>
          <w:rFonts w:hint="eastAsia" w:ascii="宋体" w:hAnsi="宋体" w:eastAsia="宋体" w:cs="宋体"/>
          <w:bCs/>
          <w:color w:val="auto"/>
          <w:highlight w:val="none"/>
          <w:u w:val="single"/>
        </w:rPr>
        <w:t xml:space="preserve">2026</w:t>
      </w:r>
      <w:r>
        <w:rPr>
          <w:rFonts w:hint="eastAsia" w:ascii="宋体" w:hAnsi="宋体" w:eastAsia="宋体" w:cs="宋体"/>
          <w:bCs/>
          <w:color w:val="auto"/>
          <w:highlight w:val="none"/>
        </w:rPr>
        <w:t xml:space="preserve">年</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9</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8</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日15:00（北京时间）。</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2.地点：苏采云“不见面”开标大厅。</w:t>
      </w:r>
      <w:r/>
    </w:p>
    <w:p>
      <w:pPr>
        <w:pStyle w:val="831"/>
        <w:ind w:firstLine="560"/>
        <w:jc w:val="both"/>
        <w:spacing w:beforeAutospacing="0" w:afterAutospacing="0" w:line="508" w:lineRule="exact"/>
        <w:rPr>
          <w:rFonts w:ascii="宋体" w:hAnsi="宋体" w:eastAsia="宋体" w:cs="宋体"/>
          <w:b/>
          <w:color w:val="auto"/>
          <w:highlight w:val="none"/>
        </w:rPr>
      </w:pPr>
      <w:r/>
      <w:bookmarkStart w:id="34" w:name="_Toc35393795"/>
      <w:r/>
      <w:bookmarkStart w:id="35" w:name="_Toc38985268"/>
      <w:r/>
      <w:bookmarkStart w:id="36" w:name="_Toc35393626"/>
      <w:r>
        <w:rPr>
          <w:rFonts w:hint="eastAsia" w:ascii="宋体" w:hAnsi="宋体" w:eastAsia="宋体" w:cs="宋体"/>
          <w:b/>
          <w:color w:val="auto"/>
          <w:highlight w:val="none"/>
        </w:rPr>
        <w:t xml:space="preserve">五、开启</w:t>
      </w:r>
      <w:r/>
    </w:p>
    <w:p>
      <w:pPr>
        <w:pStyle w:val="831"/>
        <w:ind w:firstLine="560"/>
        <w:jc w:val="both"/>
        <w:spacing w:beforeAutospacing="0" w:afterAutospacing="0" w:line="508" w:lineRule="exact"/>
        <w:shd w:val="clear" w:color="auto" w:fill="ffffff"/>
        <w:rPr>
          <w:rFonts w:ascii="宋体" w:hAnsi="宋体" w:eastAsia="宋体" w:cs="宋体"/>
          <w:bCs/>
          <w:color w:val="auto"/>
          <w:highlight w:val="none"/>
        </w:rPr>
      </w:pPr>
      <w:r>
        <w:rPr>
          <w:rFonts w:hint="eastAsia" w:ascii="宋体" w:hAnsi="宋体" w:eastAsia="宋体" w:cs="宋体"/>
          <w:bCs/>
          <w:color w:val="auto"/>
          <w:highlight w:val="none"/>
        </w:rPr>
        <w:t xml:space="preserve">1.时间：</w:t>
      </w:r>
      <w:r>
        <w:rPr>
          <w:rFonts w:hint="eastAsia" w:ascii="宋体" w:hAnsi="宋体" w:eastAsia="宋体" w:cs="宋体"/>
          <w:bCs/>
          <w:color w:val="auto"/>
          <w:highlight w:val="none"/>
          <w:u w:val="single"/>
        </w:rPr>
        <w:t xml:space="preserve">2026</w:t>
      </w:r>
      <w:r>
        <w:rPr>
          <w:rFonts w:hint="eastAsia" w:ascii="宋体" w:hAnsi="宋体" w:eastAsia="宋体" w:cs="宋体"/>
          <w:bCs/>
          <w:color w:val="auto"/>
          <w:highlight w:val="none"/>
        </w:rPr>
        <w:t xml:space="preserve">年</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9</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8</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日15:00（北京时间）。</w:t>
      </w:r>
      <w:bookmarkEnd w:id="34"/>
      <w:r/>
      <w:bookmarkEnd w:id="35"/>
      <w:r/>
      <w:bookmarkEnd w:id="36"/>
      <w:r/>
      <w:r/>
    </w:p>
    <w:p>
      <w:pPr>
        <w:pStyle w:val="831"/>
        <w:ind w:firstLine="560"/>
        <w:jc w:val="both"/>
        <w:spacing w:beforeAutospacing="0" w:afterAutospacing="0" w:line="508" w:lineRule="exact"/>
        <w:shd w:val="clear" w:color="auto" w:fill="ffffff"/>
        <w:rPr>
          <w:rFonts w:ascii="宋体" w:hAnsi="宋体" w:eastAsia="宋体" w:cs="宋体"/>
          <w:bCs/>
          <w:color w:val="auto"/>
          <w:highlight w:val="none"/>
        </w:rPr>
      </w:pPr>
      <w:r>
        <w:rPr>
          <w:rFonts w:hint="eastAsia" w:ascii="宋体" w:hAnsi="宋体" w:eastAsia="宋体" w:cs="宋体"/>
          <w:bCs/>
          <w:color w:val="auto"/>
          <w:highlight w:val="none"/>
        </w:rPr>
        <w:t xml:space="preserve">2.地点：苏采云“不见面”开标大厅。</w:t>
      </w:r>
      <w:r/>
    </w:p>
    <w:p>
      <w:pPr>
        <w:pStyle w:val="831"/>
        <w:ind w:firstLine="560"/>
        <w:jc w:val="both"/>
        <w:spacing w:beforeAutospacing="0" w:afterAutospacing="0" w:line="508" w:lineRule="exact"/>
        <w:rPr>
          <w:rFonts w:ascii="宋体" w:hAnsi="宋体" w:eastAsia="宋体" w:cs="宋体"/>
          <w:b/>
          <w:color w:val="auto"/>
          <w:highlight w:val="none"/>
        </w:rPr>
      </w:pPr>
      <w:r/>
      <w:bookmarkStart w:id="37" w:name="_Toc28359094"/>
      <w:r>
        <w:rPr>
          <w:rFonts w:hint="eastAsia" w:ascii="宋体" w:hAnsi="宋体" w:eastAsia="宋体" w:cs="宋体"/>
          <w:b/>
          <w:color w:val="auto"/>
          <w:highlight w:val="none"/>
        </w:rPr>
        <w:t xml:space="preserve">六、公告期限</w:t>
      </w:r>
      <w:bookmarkEnd w:id="37"/>
      <w:r/>
      <w:r/>
    </w:p>
    <w:p>
      <w:pPr>
        <w:pStyle w:val="831"/>
        <w:ind w:firstLine="560"/>
        <w:jc w:val="both"/>
        <w:spacing w:beforeAutospacing="0" w:afterAutospacing="0" w:line="508" w:lineRule="exact"/>
        <w:shd w:val="clear" w:color="auto" w:fill="ffffff"/>
        <w:rPr>
          <w:rFonts w:ascii="宋体" w:hAnsi="宋体" w:eastAsia="宋体" w:cs="宋体"/>
          <w:bCs/>
          <w:color w:val="auto"/>
          <w:highlight w:val="none"/>
        </w:rPr>
      </w:pPr>
      <w:r>
        <w:rPr>
          <w:rFonts w:hint="eastAsia" w:ascii="宋体" w:hAnsi="宋体" w:eastAsia="宋体" w:cs="宋体"/>
          <w:bCs/>
          <w:color w:val="auto"/>
          <w:highlight w:val="none"/>
        </w:rPr>
        <w:t xml:space="preserve">自本公告发布之日起3个工作日。</w:t>
      </w:r>
      <w:r/>
    </w:p>
    <w:p>
      <w:pPr>
        <w:pStyle w:val="831"/>
        <w:ind w:firstLine="560"/>
        <w:jc w:val="both"/>
        <w:spacing w:beforeAutospacing="0" w:afterAutospacing="0" w:line="508" w:lineRule="exact"/>
        <w:rPr>
          <w:rFonts w:ascii="宋体" w:hAnsi="宋体" w:eastAsia="宋体" w:cs="宋体"/>
          <w:b/>
          <w:color w:val="auto"/>
          <w:highlight w:val="none"/>
        </w:rPr>
      </w:pPr>
      <w:r>
        <w:rPr>
          <w:rFonts w:hint="eastAsia" w:ascii="宋体" w:hAnsi="宋体" w:eastAsia="宋体" w:cs="宋体"/>
          <w:b/>
          <w:color w:val="auto"/>
          <w:highlight w:val="none"/>
        </w:rPr>
        <w:t xml:space="preserve">七、其他补充事宜</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 潜在供应商访问电子招标响应交易平台的网络地址和方法：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2.2潜在投标人访问“苏采云”系统方法：江苏省政府采购网首页-“苏采云”链接。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2.3采购文件（后缀名为“.kedt”）、供应商操作手册及政府采购客户端 工具可通过“苏采云”系统相应链接进行下载。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2.4采购代理机构将数据电文形式的采购文件加载至“苏采云”系统，供潜在供应商下载或者查阅。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2.5请潜在投标单位提前安装相应的控件（详见《“苏采云”系统供应商操作手册》）并使用谷歌浏览器登录“苏采云”系统参与不见面开评标。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如潜在投标人未按上述要求操作，将自行承担所产生的风险。</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3.有关本次磋商的事项若存在变动或修改，敬请及时关注采购代理机构在“中国政府采购网”“江苏政府采购网”“盐城市政府采购网”发布的更正公告。</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4. 本次磋商不收取磋商保证金，不收取质量保证金。</w:t>
      </w:r>
      <w:r/>
    </w:p>
    <w:p>
      <w:pPr>
        <w:pStyle w:val="831"/>
        <w:ind w:firstLine="560"/>
        <w:jc w:val="both"/>
        <w:spacing w:beforeAutospacing="0" w:afterAutospacing="0" w:line="508" w:lineRule="exact"/>
        <w:rPr>
          <w:rFonts w:ascii="宋体" w:hAnsi="宋体" w:eastAsia="宋体" w:cs="宋体"/>
          <w:b/>
          <w:color w:val="auto"/>
          <w:highlight w:val="none"/>
        </w:rPr>
      </w:pPr>
      <w:r>
        <w:rPr>
          <w:rFonts w:hint="eastAsia" w:ascii="宋体" w:hAnsi="宋体" w:eastAsia="宋体" w:cs="宋体"/>
          <w:b/>
          <w:color w:val="auto"/>
          <w:highlight w:val="none"/>
        </w:rPr>
        <w:t xml:space="preserve">八、凡对本次采购提出询问，请按以下方式联系。</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bookmarkStart w:id="38" w:name="_Toc35393637"/>
      <w:r/>
      <w:bookmarkStart w:id="39" w:name="_Toc28359096"/>
      <w:r/>
      <w:bookmarkStart w:id="40" w:name="_Toc28359019"/>
      <w:r/>
      <w:bookmarkStart w:id="41" w:name="_Toc35393806"/>
      <w:r>
        <w:rPr>
          <w:rFonts w:hint="eastAsia" w:ascii="宋体" w:hAnsi="宋体" w:eastAsia="宋体" w:cs="宋体"/>
          <w:bCs/>
          <w:color w:val="auto"/>
          <w:sz w:val="24"/>
          <w:highlight w:val="none"/>
        </w:rPr>
        <w:t xml:space="preserve">1.采购人信息</w:t>
      </w:r>
      <w:bookmarkEnd w:id="38"/>
      <w:r/>
      <w:bookmarkEnd w:id="39"/>
      <w:r/>
      <w:bookmarkEnd w:id="40"/>
      <w:r/>
      <w:bookmarkEnd w:id="41"/>
      <w:r/>
      <w:bookmarkStart w:id="42" w:name="_Toc35393638"/>
      <w:r/>
      <w:bookmarkEnd w:id="42"/>
      <w:r/>
      <w:bookmarkStart w:id="43" w:name="_Toc28359097"/>
      <w:r/>
      <w:bookmarkEnd w:id="43"/>
      <w:r/>
      <w:bookmarkStart w:id="44" w:name="_Toc35393807"/>
      <w:r/>
      <w:bookmarkEnd w:id="44"/>
      <w:r/>
      <w:bookmarkStart w:id="45" w:name="_Toc28359020"/>
      <w:r/>
      <w:bookmarkEnd w:id="45"/>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bookmarkStart w:id="46" w:name="_Toc35393808"/>
      <w:r/>
      <w:bookmarkStart w:id="47" w:name="_Toc35393639"/>
      <w:r/>
      <w:bookmarkStart w:id="48" w:name="_Toc28359021"/>
      <w:r/>
      <w:bookmarkStart w:id="49" w:name="_Toc28359098"/>
      <w:r>
        <w:rPr>
          <w:rFonts w:hint="eastAsia" w:ascii="宋体" w:hAnsi="宋体" w:eastAsia="宋体" w:cs="宋体"/>
          <w:bCs/>
          <w:color w:val="auto"/>
          <w:sz w:val="24"/>
          <w:highlight w:val="none"/>
        </w:rPr>
        <w:t xml:space="preserve">名    称：盐城市交通运输局</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地    址：盐城市青年中路8号</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联 系 人：胡女士</w:t>
      </w:r>
      <w:r>
        <w:rPr>
          <w:rFonts w:ascii="宋体" w:hAnsi="宋体" w:eastAsia="宋体" w:cs="宋体"/>
          <w:bCs/>
          <w:color w:val="auto"/>
          <w:sz w:val="24"/>
          <w:highlight w:val="none"/>
        </w:rPr>
        <w:t xml:space="preserve">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联系电话：0</w:t>
      </w:r>
      <w:r>
        <w:rPr>
          <w:rFonts w:ascii="宋体" w:hAnsi="宋体" w:eastAsia="宋体" w:cs="宋体"/>
          <w:bCs/>
          <w:color w:val="auto"/>
          <w:sz w:val="24"/>
          <w:highlight w:val="none"/>
        </w:rPr>
        <w:t xml:space="preserve">515-88886509</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2.采购代理机构信息</w:t>
      </w:r>
      <w:bookmarkEnd w:id="46"/>
      <w:r/>
      <w:bookmarkEnd w:id="47"/>
      <w:r/>
      <w:bookmarkEnd w:id="48"/>
      <w:r/>
      <w:bookmarkEnd w:id="49"/>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名    称：江苏国信政府采购服务中心有限公司</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地    址：盐城市人民南路38号新龙广场4-11F</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联 系 人：王工</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联系电话：19962391798</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3.项目联系方式</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项目联系人：胡女士</w:t>
      </w:r>
      <w:r>
        <w:rPr>
          <w:rFonts w:ascii="宋体" w:hAnsi="宋体" w:eastAsia="宋体" w:cs="宋体"/>
          <w:bCs/>
          <w:color w:val="auto"/>
          <w:sz w:val="24"/>
          <w:highlight w:val="none"/>
        </w:rPr>
        <w:t xml:space="preserve"> </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电话：0</w:t>
      </w:r>
      <w:r>
        <w:rPr>
          <w:rFonts w:ascii="宋体" w:hAnsi="宋体" w:eastAsia="宋体" w:cs="宋体"/>
          <w:bCs/>
          <w:color w:val="auto"/>
          <w:sz w:val="24"/>
          <w:highlight w:val="none"/>
        </w:rPr>
        <w:t xml:space="preserve">515-88886509</w:t>
      </w:r>
      <w:r/>
    </w:p>
    <w:p>
      <w:pPr>
        <w:ind w:firstLine="560"/>
        <w:spacing w:line="507"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r>
      <w:r/>
    </w:p>
    <w:p>
      <w:pPr>
        <w:ind w:firstLine="560"/>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31"/>
        <w:jc w:val="center"/>
        <w:spacing w:beforeAutospacing="0" w:afterAutospacing="0" w:line="508" w:lineRule="exact"/>
        <w:rPr>
          <w:rFonts w:ascii="Times New Roman" w:hAnsi="方正小标宋_GBK" w:eastAsia="方正小标宋_GBK" w:cs="方正小标宋_GBK"/>
          <w:color w:val="auto"/>
          <w:sz w:val="44"/>
          <w:szCs w:val="44"/>
          <w:highlight w:val="none"/>
        </w:rPr>
        <w:outlineLvl w:val="0"/>
      </w:pPr>
      <w:r/>
      <w:bookmarkStart w:id="50" w:name="_Toc120614211"/>
      <w:r/>
      <w:bookmarkStart w:id="51" w:name="_Toc222837039"/>
      <w:r>
        <w:rPr>
          <w:rFonts w:hint="eastAsia" w:ascii="Times New Roman" w:hAnsi="方正小标宋_GBK" w:eastAsia="方正小标宋_GBK" w:cs="方正小标宋_GBK"/>
          <w:color w:val="auto"/>
          <w:sz w:val="44"/>
          <w:szCs w:val="44"/>
          <w:highlight w:val="none"/>
        </w:rPr>
        <w:t xml:space="preserve">第二章</w:t>
      </w:r>
      <w:bookmarkEnd w:id="50"/>
      <w:r>
        <w:rPr>
          <w:rFonts w:hint="eastAsia" w:ascii="Times New Roman" w:hAnsi="方正小标宋_GBK" w:eastAsia="方正小标宋_GBK" w:cs="方正小标宋_GBK"/>
          <w:color w:val="auto"/>
          <w:sz w:val="44"/>
          <w:szCs w:val="44"/>
          <w:highlight w:val="none"/>
        </w:rPr>
        <w:t xml:space="preserve">  供应商须知</w:t>
      </w:r>
      <w:bookmarkEnd w:id="51"/>
      <w:r/>
      <w:r/>
    </w:p>
    <w:p>
      <w:pPr>
        <w:pStyle w:val="831"/>
        <w:ind w:firstLine="560"/>
        <w:jc w:val="both"/>
        <w:spacing w:beforeAutospacing="0" w:afterAutospacing="0" w:line="508" w:lineRule="exact"/>
        <w:rPr>
          <w:rFonts w:ascii="宋体" w:hAnsi="宋体" w:eastAsia="宋体" w:cs="宋体"/>
          <w:b/>
          <w:color w:val="auto"/>
          <w:highlight w:val="none"/>
        </w:rPr>
      </w:pPr>
      <w:r/>
      <w:bookmarkStart w:id="52" w:name="_Toc16938519"/>
      <w:r/>
      <w:bookmarkStart w:id="53" w:name="_Toc20823275"/>
      <w:r/>
      <w:bookmarkStart w:id="54" w:name="_Toc120614214"/>
      <w:r/>
      <w:bookmarkStart w:id="55" w:name="_Toc513029203"/>
      <w:r>
        <w:rPr>
          <w:rFonts w:hint="eastAsia" w:ascii="宋体" w:hAnsi="宋体" w:eastAsia="宋体" w:cs="宋体"/>
          <w:b/>
          <w:color w:val="auto"/>
          <w:highlight w:val="none"/>
        </w:rPr>
        <w:t xml:space="preserve">一、总则</w:t>
      </w:r>
      <w:bookmarkEnd w:id="52"/>
      <w:r/>
      <w:bookmarkEnd w:id="53"/>
      <w:r/>
      <w:bookmarkEnd w:id="54"/>
      <w:r/>
      <w:bookmarkEnd w:id="55"/>
      <w:r/>
      <w:r/>
    </w:p>
    <w:p>
      <w:pPr>
        <w:pStyle w:val="831"/>
        <w:ind w:firstLine="560"/>
        <w:jc w:val="both"/>
        <w:spacing w:beforeAutospacing="0" w:afterAutospacing="0" w:line="508" w:lineRule="exact"/>
        <w:rPr>
          <w:rFonts w:ascii="宋体" w:hAnsi="宋体" w:eastAsia="宋体" w:cs="宋体"/>
          <w:bCs/>
          <w:color w:val="auto"/>
          <w:highlight w:val="none"/>
        </w:rPr>
      </w:pPr>
      <w:r/>
      <w:bookmarkStart w:id="56" w:name="_Toc20823276"/>
      <w:r/>
      <w:bookmarkStart w:id="57" w:name="_Toc513029204"/>
      <w:r/>
      <w:bookmarkStart w:id="58" w:name="_Toc458694821"/>
      <w:r/>
      <w:bookmarkStart w:id="59" w:name="_Toc16938520"/>
      <w:r/>
      <w:bookmarkStart w:id="60" w:name="_Hlt16619475"/>
      <w:r>
        <w:rPr>
          <w:rFonts w:hint="eastAsia" w:ascii="宋体" w:hAnsi="宋体" w:eastAsia="宋体" w:cs="宋体"/>
          <w:bCs/>
          <w:color w:val="auto"/>
          <w:highlight w:val="none"/>
        </w:rPr>
        <w:t xml:space="preserve">1</w:t>
      </w:r>
      <w:bookmarkEnd w:id="56"/>
      <w:r>
        <w:rPr>
          <w:rFonts w:hint="eastAsia" w:ascii="宋体" w:hAnsi="宋体" w:eastAsia="宋体" w:cs="宋体"/>
          <w:bCs/>
          <w:color w:val="auto"/>
          <w:highlight w:val="none"/>
        </w:rPr>
        <w:t xml:space="preserve">.采购方式</w:t>
      </w:r>
      <w:bookmarkEnd w:id="57"/>
      <w:r/>
      <w:bookmarkEnd w:id="58"/>
      <w:r/>
      <w:bookmarkEnd w:id="59"/>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1.1本次政府采购活动采取竞争性磋商(以下简称磋商)方式，本磋商文件仅适用于磋商公告中所述项目。</w:t>
      </w:r>
      <w:r/>
    </w:p>
    <w:p>
      <w:pPr>
        <w:pStyle w:val="831"/>
        <w:ind w:firstLine="560"/>
        <w:jc w:val="both"/>
        <w:spacing w:beforeAutospacing="0" w:afterAutospacing="0" w:line="508" w:lineRule="exact"/>
        <w:rPr>
          <w:rFonts w:ascii="宋体" w:hAnsi="宋体" w:eastAsia="宋体" w:cs="宋体"/>
          <w:bCs/>
          <w:color w:val="auto"/>
          <w:highlight w:val="none"/>
        </w:rPr>
      </w:pPr>
      <w:r/>
      <w:bookmarkStart w:id="61" w:name="_Toc513029205"/>
      <w:r/>
      <w:bookmarkStart w:id="62" w:name="_Toc16938521"/>
      <w:r/>
      <w:bookmarkStart w:id="63" w:name="_Toc20823277"/>
      <w:r>
        <w:rPr>
          <w:rFonts w:hint="eastAsia" w:ascii="宋体" w:hAnsi="宋体" w:eastAsia="宋体" w:cs="宋体"/>
          <w:bCs/>
          <w:color w:val="auto"/>
          <w:highlight w:val="none"/>
        </w:rPr>
        <w:t xml:space="preserve">2.合格的</w:t>
      </w:r>
      <w:bookmarkEnd w:id="61"/>
      <w:r/>
      <w:bookmarkEnd w:id="62"/>
      <w:r/>
      <w:bookmarkEnd w:id="63"/>
      <w:r>
        <w:rPr>
          <w:rFonts w:hint="eastAsia" w:ascii="宋体" w:hAnsi="宋体" w:eastAsia="宋体" w:cs="宋体"/>
          <w:bCs/>
          <w:color w:val="auto"/>
          <w:highlight w:val="none"/>
        </w:rPr>
        <w:t xml:space="preserve">供应商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2.1满足磋商公告中供应商资格要求的规定。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2.2满足本磋商文件实质性要求和条件的规定。</w:t>
      </w:r>
      <w:r/>
    </w:p>
    <w:p>
      <w:pPr>
        <w:ind w:firstLine="560"/>
        <w:spacing w:line="508" w:lineRule="exact"/>
        <w:rPr>
          <w:rFonts w:ascii="宋体" w:hAnsi="宋体" w:eastAsia="宋体" w:cs="宋体"/>
          <w:bCs/>
          <w:color w:val="auto"/>
          <w:sz w:val="24"/>
          <w:highlight w:val="none"/>
        </w:rPr>
      </w:pPr>
      <w:r/>
      <w:bookmarkStart w:id="64" w:name="_Toc16938522"/>
      <w:r/>
      <w:bookmarkStart w:id="65" w:name="_Toc20823278"/>
      <w:r/>
      <w:bookmarkStart w:id="66" w:name="_Toc513029206"/>
      <w:r/>
      <w:bookmarkStart w:id="67" w:name="_Toc16938523"/>
      <w:r/>
      <w:bookmarkStart w:id="68" w:name="_Toc20823279"/>
      <w:r/>
      <w:bookmarkStart w:id="69" w:name="_Toc513029207"/>
      <w:r/>
      <w:bookmarkStart w:id="70" w:name="_Toc462564067"/>
      <w:r>
        <w:rPr>
          <w:rFonts w:hint="eastAsia" w:ascii="宋体" w:hAnsi="宋体" w:eastAsia="宋体" w:cs="宋体"/>
          <w:bCs/>
          <w:color w:val="auto"/>
          <w:sz w:val="24"/>
          <w:highlight w:val="none"/>
        </w:rPr>
        <w:t xml:space="preserve">3.适用法律</w:t>
      </w:r>
      <w:bookmarkEnd w:id="64"/>
      <w:r/>
      <w:bookmarkEnd w:id="65"/>
      <w:r/>
      <w:bookmarkEnd w:id="66"/>
      <w:r>
        <w:rPr>
          <w:rFonts w:hint="eastAsia" w:ascii="宋体" w:hAnsi="宋体" w:eastAsia="宋体" w:cs="宋体"/>
          <w:bCs/>
          <w:color w:val="auto"/>
          <w:sz w:val="24"/>
          <w:highlight w:val="none"/>
        </w:rPr>
        <w:t xml:space="preserve">和标准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3.1本次招标及由此产生的合同受中华人民共和国有关的法律法规制约和保护。</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3.2在本项目政府采购活动过程中，如果所执行的标准有更新的，按照最新标准执行。</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4.磋商费用</w:t>
      </w:r>
      <w:bookmarkEnd w:id="67"/>
      <w:r/>
      <w:bookmarkEnd w:id="68"/>
      <w:r/>
      <w:bookmarkEnd w:id="69"/>
      <w:r/>
      <w:bookmarkEnd w:id="70"/>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4.1供应商应自行承担所有与参加本次磋商有关的费用，无论磋商过程中的做法和结果如何，采购人和采购代理机构在任何情况下均无义务和责任承担这些费用。</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4.2本次磋商采购代理机构和采购人不收取标书工本费。</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4.3本项目按苏招协〔2022〕002号收费标准的46%收取代理服务费，即50万元以内按1万元的46%计取，50-400万元按1.5%的46%计取中标后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5.磋商文件的约束力</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5.1供应商一旦参加本项目采购活动，即被认为接受了本磋商文件的规定和约束。</w:t>
      </w:r>
      <w:r/>
    </w:p>
    <w:p>
      <w:pPr>
        <w:pStyle w:val="831"/>
        <w:ind w:firstLine="560"/>
        <w:jc w:val="both"/>
        <w:spacing w:beforeAutospacing="0" w:afterAutospacing="0" w:line="508" w:lineRule="exact"/>
        <w:rPr>
          <w:rFonts w:ascii="宋体" w:hAnsi="宋体" w:eastAsia="宋体" w:cs="宋体"/>
          <w:b/>
          <w:color w:val="auto"/>
          <w:highlight w:val="none"/>
        </w:rPr>
      </w:pPr>
      <w:r/>
      <w:bookmarkStart w:id="71" w:name="_Toc16938525"/>
      <w:r/>
      <w:bookmarkStart w:id="72" w:name="_Toc513029209"/>
      <w:r/>
      <w:bookmarkStart w:id="73" w:name="_Toc120614215"/>
      <w:r/>
      <w:bookmarkStart w:id="74" w:name="_Toc20823281"/>
      <w:r>
        <w:rPr>
          <w:rFonts w:hint="eastAsia" w:ascii="宋体" w:hAnsi="宋体" w:eastAsia="宋体" w:cs="宋体"/>
          <w:b/>
          <w:color w:val="auto"/>
          <w:highlight w:val="none"/>
        </w:rPr>
        <w:t xml:space="preserve">二、</w:t>
      </w:r>
      <w:bookmarkEnd w:id="71"/>
      <w:r/>
      <w:bookmarkEnd w:id="72"/>
      <w:r/>
      <w:bookmarkEnd w:id="73"/>
      <w:r/>
      <w:bookmarkEnd w:id="74"/>
      <w:r>
        <w:rPr>
          <w:rFonts w:hint="eastAsia" w:ascii="宋体" w:hAnsi="宋体" w:eastAsia="宋体" w:cs="宋体"/>
          <w:b/>
          <w:color w:val="auto"/>
          <w:highlight w:val="none"/>
        </w:rPr>
        <w:t xml:space="preserve">磋商文件</w:t>
      </w:r>
      <w:r/>
    </w:p>
    <w:p>
      <w:pPr>
        <w:pStyle w:val="831"/>
        <w:ind w:firstLine="560"/>
        <w:jc w:val="both"/>
        <w:spacing w:beforeAutospacing="0" w:afterAutospacing="0" w:line="508" w:lineRule="exact"/>
        <w:rPr>
          <w:rFonts w:ascii="宋体" w:hAnsi="宋体" w:eastAsia="宋体" w:cs="宋体"/>
          <w:bCs/>
          <w:color w:val="auto"/>
          <w:highlight w:val="none"/>
        </w:rPr>
      </w:pPr>
      <w:r/>
      <w:bookmarkStart w:id="75" w:name="_Toc20823282"/>
      <w:r/>
      <w:bookmarkStart w:id="76" w:name="_Toc513029210"/>
      <w:r/>
      <w:bookmarkStart w:id="77" w:name="_Toc16938526"/>
      <w:r>
        <w:rPr>
          <w:rFonts w:hint="eastAsia" w:ascii="宋体" w:hAnsi="宋体" w:eastAsia="宋体" w:cs="宋体"/>
          <w:bCs/>
          <w:color w:val="auto"/>
          <w:highlight w:val="none"/>
        </w:rPr>
        <w:t xml:space="preserve">6.磋商文件构成</w:t>
      </w:r>
      <w:bookmarkEnd w:id="75"/>
      <w:r/>
      <w:bookmarkEnd w:id="76"/>
      <w:r/>
      <w:bookmarkEnd w:id="77"/>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6.1磋商文件由以下部分组成：</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（1）磋商公告</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（2）供应商须知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（3）合同文本</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（4）采购需求</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（5）评审方法与评审标准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（6）响应文件格式</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请仔细检查磋商文件是否齐全，如有缺漏请立即与采购代理机构联系解决。</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31"/>
        <w:ind w:firstLine="560"/>
        <w:jc w:val="both"/>
        <w:spacing w:beforeAutospacing="0" w:afterAutospacing="0" w:line="508" w:lineRule="exact"/>
        <w:rPr>
          <w:rFonts w:ascii="宋体" w:hAnsi="宋体" w:eastAsia="宋体" w:cs="宋体"/>
          <w:bCs/>
          <w:color w:val="auto"/>
          <w:highlight w:val="none"/>
        </w:rPr>
      </w:pPr>
      <w:r/>
      <w:bookmarkStart w:id="78" w:name="_Toc16938527"/>
      <w:r/>
      <w:bookmarkStart w:id="79" w:name="_Toc462564070"/>
      <w:r/>
      <w:bookmarkStart w:id="80" w:name="_Toc20823283"/>
      <w:r/>
      <w:bookmarkStart w:id="81" w:name="_Toc513029211"/>
      <w:r>
        <w:rPr>
          <w:rFonts w:hint="eastAsia" w:ascii="宋体" w:hAnsi="宋体" w:eastAsia="宋体" w:cs="宋体"/>
          <w:bCs/>
          <w:color w:val="auto"/>
          <w:highlight w:val="none"/>
        </w:rPr>
        <w:t xml:space="preserve">7.磋商文件的澄清</w:t>
      </w:r>
      <w:bookmarkEnd w:id="78"/>
      <w:r/>
      <w:bookmarkEnd w:id="79"/>
      <w:r/>
      <w:bookmarkEnd w:id="80"/>
      <w:r/>
      <w:bookmarkEnd w:id="81"/>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7.1任何要求对磋商文件进行澄清的供应商，应在磋商截止期5日前按磋商公告中的通讯地址，以书面形式通知采购代理机构。</w:t>
      </w:r>
      <w:r/>
    </w:p>
    <w:p>
      <w:pPr>
        <w:pStyle w:val="831"/>
        <w:ind w:firstLine="560"/>
        <w:jc w:val="both"/>
        <w:spacing w:beforeAutospacing="0" w:afterAutospacing="0" w:line="508" w:lineRule="exact"/>
        <w:rPr>
          <w:rFonts w:ascii="宋体" w:hAnsi="宋体" w:eastAsia="宋体" w:cs="宋体"/>
          <w:bCs/>
          <w:color w:val="auto"/>
          <w:highlight w:val="none"/>
        </w:rPr>
      </w:pPr>
      <w:r/>
      <w:bookmarkStart w:id="82" w:name="_Toc16938528"/>
      <w:r/>
      <w:bookmarkStart w:id="83" w:name="_Toc462564071"/>
      <w:r/>
      <w:bookmarkStart w:id="84" w:name="_Toc513029212"/>
      <w:r/>
      <w:bookmarkStart w:id="85" w:name="_Toc20823284"/>
      <w:r>
        <w:rPr>
          <w:rFonts w:hint="eastAsia" w:ascii="宋体" w:hAnsi="宋体" w:eastAsia="宋体" w:cs="宋体"/>
          <w:bCs/>
          <w:color w:val="auto"/>
          <w:highlight w:val="none"/>
        </w:rPr>
        <w:t xml:space="preserve">8.磋商文件的澄清和修改</w:t>
      </w:r>
      <w:bookmarkEnd w:id="82"/>
      <w:r/>
      <w:bookmarkEnd w:id="83"/>
      <w:r/>
      <w:bookmarkEnd w:id="84"/>
      <w:r/>
      <w:bookmarkEnd w:id="85"/>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w:t>
      </w:r>
      <w:r>
        <w:rPr>
          <w:rFonts w:hint="eastAsia" w:ascii="宋体" w:hAnsi="宋体" w:eastAsia="宋体" w:cs="宋体"/>
          <w:b/>
          <w:color w:val="auto"/>
          <w:highlight w:val="none"/>
        </w:rPr>
        <w:t xml:space="preserve">“中国政府采购网”“江苏政府采购网”“盐城市政府采购网”</w:t>
      </w:r>
      <w:r>
        <w:rPr>
          <w:rFonts w:hint="eastAsia" w:ascii="宋体" w:hAnsi="宋体" w:eastAsia="宋体" w:cs="宋体"/>
          <w:bCs/>
          <w:color w:val="auto"/>
          <w:highlight w:val="none"/>
        </w:rPr>
        <w:t xml:space="preserve">上发布书面更正公告形式通知所有获取磋商文件的供应商，更正公告内容将作为磋商文件的组成部分，并对供应商具有约束力。不足5日的，采购代理机构将顺延提交首次响应文件截止时间。</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8.2采购代理机构可以视采购项目的具体情况，组织供应商进行现场考察或召开磋商前答疑会，但不单独或分别组织只有一个供应商参加的现场考察和答疑会。</w:t>
      </w:r>
      <w:r/>
    </w:p>
    <w:p>
      <w:pPr>
        <w:pStyle w:val="831"/>
        <w:ind w:firstLine="560"/>
        <w:jc w:val="both"/>
        <w:spacing w:beforeAutospacing="0" w:afterAutospacing="0" w:line="508" w:lineRule="exact"/>
        <w:rPr>
          <w:rFonts w:ascii="宋体" w:hAnsi="宋体" w:eastAsia="宋体" w:cs="宋体"/>
          <w:b/>
          <w:color w:val="auto"/>
          <w:highlight w:val="none"/>
        </w:rPr>
      </w:pPr>
      <w:r/>
      <w:bookmarkStart w:id="86" w:name="_Toc16938529"/>
      <w:r/>
      <w:bookmarkStart w:id="87" w:name="_Toc20823285"/>
      <w:r/>
      <w:bookmarkStart w:id="88" w:name="_Toc120614216"/>
      <w:r/>
      <w:bookmarkStart w:id="89" w:name="_Toc513029213"/>
      <w:r/>
      <w:bookmarkStart w:id="90" w:name="_Toc462564072"/>
      <w:r>
        <w:rPr>
          <w:rFonts w:hint="eastAsia" w:ascii="宋体" w:hAnsi="宋体" w:eastAsia="宋体" w:cs="宋体"/>
          <w:b/>
          <w:color w:val="auto"/>
          <w:highlight w:val="none"/>
        </w:rPr>
        <w:t xml:space="preserve">三、响应文件的编制</w:t>
      </w:r>
      <w:bookmarkEnd w:id="86"/>
      <w:r/>
      <w:bookmarkEnd w:id="87"/>
      <w:r/>
      <w:bookmarkEnd w:id="88"/>
      <w:r/>
      <w:bookmarkEnd w:id="89"/>
      <w:r/>
      <w:bookmarkEnd w:id="90"/>
      <w:r/>
      <w:r/>
    </w:p>
    <w:p>
      <w:pPr>
        <w:pStyle w:val="831"/>
        <w:ind w:firstLine="560"/>
        <w:jc w:val="both"/>
        <w:spacing w:beforeAutospacing="0" w:afterAutospacing="0" w:line="508" w:lineRule="exact"/>
        <w:rPr>
          <w:rFonts w:ascii="宋体" w:hAnsi="宋体" w:eastAsia="宋体" w:cs="宋体"/>
          <w:bCs/>
          <w:color w:val="auto"/>
          <w:highlight w:val="none"/>
        </w:rPr>
      </w:pPr>
      <w:r/>
      <w:bookmarkStart w:id="91" w:name="_Toc513029214"/>
      <w:r/>
      <w:bookmarkStart w:id="92" w:name="_Toc16938530"/>
      <w:r/>
      <w:bookmarkStart w:id="93" w:name="_Toc462564073"/>
      <w:r/>
      <w:bookmarkStart w:id="94" w:name="_Toc20823286"/>
      <w:r>
        <w:rPr>
          <w:rFonts w:hint="eastAsia" w:ascii="宋体" w:hAnsi="宋体" w:eastAsia="宋体" w:cs="宋体"/>
          <w:bCs/>
          <w:color w:val="auto"/>
          <w:highlight w:val="none"/>
        </w:rPr>
        <w:t xml:space="preserve">9.响应文件的语言及度量衡单位</w:t>
      </w:r>
      <w:bookmarkEnd w:id="91"/>
      <w:r/>
      <w:bookmarkEnd w:id="92"/>
      <w:r/>
      <w:bookmarkEnd w:id="93"/>
      <w:r/>
      <w:bookmarkEnd w:id="94"/>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9.1供应商提交的响应文件以及供应商与采购代理机构就有关磋商的所有来往通知、函件和文件均应使用简体中文。</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9.2 除技术性能另有规定外，响应文件所使用的度量衡单位，均须采用国家法定计量单位。</w:t>
      </w:r>
      <w:r/>
    </w:p>
    <w:p>
      <w:pPr>
        <w:pStyle w:val="831"/>
        <w:ind w:firstLine="560"/>
        <w:jc w:val="both"/>
        <w:spacing w:beforeAutospacing="0" w:afterAutospacing="0" w:line="508" w:lineRule="exact"/>
        <w:rPr>
          <w:rFonts w:ascii="宋体" w:hAnsi="宋体" w:eastAsia="宋体" w:cs="宋体"/>
          <w:bCs/>
          <w:color w:val="auto"/>
          <w:highlight w:val="none"/>
        </w:rPr>
      </w:pPr>
      <w:r/>
      <w:bookmarkStart w:id="95" w:name="_Toc462564074"/>
      <w:r/>
      <w:bookmarkStart w:id="96" w:name="_Toc513029215"/>
      <w:r/>
      <w:bookmarkStart w:id="97" w:name="_Toc16938531"/>
      <w:r/>
      <w:bookmarkStart w:id="98" w:name="_Toc20823287"/>
      <w:r>
        <w:rPr>
          <w:rFonts w:hint="eastAsia" w:ascii="宋体" w:hAnsi="宋体" w:eastAsia="宋体" w:cs="宋体"/>
          <w:bCs/>
          <w:color w:val="auto"/>
          <w:highlight w:val="none"/>
        </w:rPr>
        <w:t xml:space="preserve">10.响应文件构成</w:t>
      </w:r>
      <w:bookmarkEnd w:id="95"/>
      <w:r/>
      <w:bookmarkEnd w:id="96"/>
      <w:r/>
      <w:bookmarkEnd w:id="97"/>
      <w:r/>
      <w:bookmarkEnd w:id="98"/>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10.2如标书制作工具中格式和内容与</w:t>
      </w:r>
      <w:r>
        <w:rPr>
          <w:rFonts w:hint="eastAsia" w:ascii="宋体" w:hAnsi="宋体" w:eastAsia="宋体" w:cs="宋体"/>
          <w:b/>
          <w:color w:val="auto"/>
          <w:highlight w:val="none"/>
        </w:rPr>
        <w:t xml:space="preserve">“中国政府采购网”、“江苏政府采购网”“盐城市政府采购网”</w:t>
      </w:r>
      <w:r>
        <w:rPr>
          <w:rFonts w:hint="eastAsia" w:ascii="宋体" w:hAnsi="宋体" w:eastAsia="宋体" w:cs="宋体"/>
          <w:bCs/>
          <w:color w:val="auto"/>
          <w:highlight w:val="none"/>
        </w:rPr>
        <w:t xml:space="preserve">发布的磋商文件不一致，请以</w:t>
      </w:r>
      <w:r>
        <w:rPr>
          <w:rFonts w:hint="eastAsia" w:ascii="宋体" w:hAnsi="宋体" w:eastAsia="宋体" w:cs="宋体"/>
          <w:b/>
          <w:color w:val="auto"/>
          <w:highlight w:val="none"/>
        </w:rPr>
        <w:t xml:space="preserve">“中国政府采购网”“江苏政府采购网”“盐城市政府采购网”</w:t>
      </w:r>
      <w:r>
        <w:rPr>
          <w:rFonts w:hint="eastAsia" w:ascii="宋体" w:hAnsi="宋体" w:eastAsia="宋体" w:cs="宋体"/>
          <w:bCs/>
          <w:color w:val="auto"/>
          <w:highlight w:val="none"/>
        </w:rPr>
        <w:t xml:space="preserve">发布的磋商文件为准。</w:t>
      </w:r>
      <w:r/>
    </w:p>
    <w:p>
      <w:pPr>
        <w:pStyle w:val="831"/>
        <w:ind w:firstLine="560"/>
        <w:jc w:val="both"/>
        <w:spacing w:beforeAutospacing="0" w:afterAutospacing="0" w:line="508" w:lineRule="exact"/>
        <w:rPr>
          <w:rFonts w:ascii="宋体" w:hAnsi="宋体" w:eastAsia="宋体" w:cs="宋体"/>
          <w:bCs/>
          <w:color w:val="auto"/>
          <w:highlight w:val="none"/>
        </w:rPr>
      </w:pPr>
      <w:r/>
      <w:bookmarkStart w:id="99" w:name="_Toc14577354"/>
      <w:r/>
      <w:bookmarkStart w:id="100" w:name="_Toc49090509"/>
      <w:r/>
      <w:bookmarkStart w:id="101" w:name="_Toc513029219"/>
      <w:r/>
      <w:bookmarkStart w:id="102" w:name="_Toc49090507"/>
      <w:r/>
      <w:bookmarkStart w:id="103" w:name="_Toc14577357"/>
      <w:r/>
      <w:bookmarkStart w:id="104" w:name="_Toc14577355"/>
      <w:r/>
      <w:bookmarkStart w:id="105" w:name="_Toc49090508"/>
      <w:r/>
      <w:bookmarkStart w:id="106" w:name="_Toc513029216"/>
      <w:r/>
      <w:bookmarkStart w:id="107" w:name="_Hlt26670360"/>
      <w:r/>
      <w:bookmarkStart w:id="108" w:name="_Hlt26954838"/>
      <w:r/>
      <w:bookmarkStart w:id="109" w:name="_Hlt26668975"/>
      <w:r>
        <w:rPr>
          <w:rFonts w:hint="eastAsia" w:ascii="宋体" w:hAnsi="宋体" w:eastAsia="宋体" w:cs="宋体"/>
          <w:bCs/>
          <w:color w:val="auto"/>
          <w:highlight w:val="none"/>
        </w:rPr>
        <w:t xml:space="preserve">11.证明磋商响应标的符合磋商文件规定的文件</w:t>
      </w:r>
      <w:bookmarkEnd w:id="99"/>
      <w:r/>
      <w:bookmarkEnd w:id="100"/>
      <w:r/>
      <w:bookmarkEnd w:id="101"/>
      <w:r/>
      <w:bookmarkEnd w:id="102"/>
      <w:r/>
      <w:bookmarkEnd w:id="103"/>
      <w:r/>
      <w:bookmarkEnd w:id="104"/>
      <w:r/>
      <w:bookmarkEnd w:id="105"/>
      <w:r/>
      <w:bookmarkEnd w:id="10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11.1供应商应按照磋商文件要求提交证明文件，证明其及磋商响应标的符合磋商文件规定。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11.2磋商文件对证明文件无明确形式要求的，证明文件可以以文字资料、图纸和数据等形式提交。</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12.分项报价表</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12.1供应商应按照磋商文件规定格式填报分项报价表。</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12.2磋商货币。响应文件中的单价和总价无特殊规定的采用人民币报价，以元为单位标注。磋商文件中另有规定的按规定执行。</w:t>
      </w:r>
      <w:r/>
    </w:p>
    <w:p>
      <w:pPr>
        <w:pStyle w:val="831"/>
        <w:ind w:firstLine="560"/>
        <w:jc w:val="both"/>
        <w:spacing w:beforeAutospacing="0" w:afterAutospacing="0" w:line="508" w:lineRule="exact"/>
        <w:rPr>
          <w:rFonts w:ascii="宋体" w:hAnsi="宋体" w:eastAsia="宋体" w:cs="宋体"/>
          <w:bCs/>
          <w:color w:val="auto"/>
          <w:highlight w:val="none"/>
        </w:rPr>
      </w:pPr>
      <w:r/>
      <w:bookmarkStart w:id="110" w:name="_Hlt26954846"/>
      <w:r/>
      <w:bookmarkStart w:id="111" w:name="_Hlt26954848"/>
      <w:r/>
      <w:bookmarkStart w:id="112" w:name="_Hlt26670482"/>
      <w:r/>
      <w:bookmarkStart w:id="113" w:name="_Hlt26670486"/>
      <w:r/>
      <w:bookmarkStart w:id="114" w:name="_Hlt26954731"/>
      <w:r>
        <w:rPr>
          <w:rFonts w:hint="eastAsia" w:ascii="宋体" w:hAnsi="宋体" w:eastAsia="宋体" w:cs="宋体"/>
          <w:bCs/>
          <w:color w:val="auto"/>
          <w:highlight w:val="none"/>
        </w:rPr>
        <w:t xml:space="preserve">13.技术要求响应及偏离表、商务要求响应及偏离表</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13.1供应商需对磋商文件中的技术要求与商务要求逐项作出响应或偏离，并说明原因。</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13.2供应商可在响应文件中提供认为需要的其他技术文件或说明。</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14.服务承诺、培训计划、人员安排及其他</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14.2供应商需根据磋商文件要求提供培训计划。</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14.3供应商需根据磋商文件要求提供磋商响应标的的主要组成部分、功能设计、实现思路及关键技术等。</w:t>
      </w:r>
      <w:r/>
    </w:p>
    <w:p>
      <w:pPr>
        <w:pStyle w:val="831"/>
        <w:ind w:firstLine="560"/>
        <w:jc w:val="both"/>
        <w:spacing w:beforeAutospacing="0" w:afterAutospacing="0" w:line="508" w:lineRule="exact"/>
        <w:rPr>
          <w:rFonts w:ascii="宋体" w:hAnsi="宋体" w:eastAsia="宋体" w:cs="宋体"/>
          <w:bCs/>
          <w:color w:val="auto"/>
          <w:highlight w:val="none"/>
        </w:rPr>
      </w:pPr>
      <w:r/>
      <w:bookmarkStart w:id="115" w:name="_Toc49090510"/>
      <w:r/>
      <w:bookmarkStart w:id="116" w:name="_Toc14577359"/>
      <w:r>
        <w:rPr>
          <w:rFonts w:hint="eastAsia" w:ascii="宋体" w:hAnsi="宋体" w:eastAsia="宋体" w:cs="宋体"/>
          <w:bCs/>
          <w:color w:val="auto"/>
          <w:highlight w:val="none"/>
        </w:rPr>
        <w:t xml:space="preserve">15.磋商响应函</w:t>
      </w:r>
      <w:bookmarkEnd w:id="115"/>
      <w:r/>
      <w:bookmarkEnd w:id="11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15.1供应商应按照磋商文件中提供的格式完整、正确填写磋商响应函。</w:t>
      </w:r>
      <w:r/>
    </w:p>
    <w:p>
      <w:pPr>
        <w:pStyle w:val="831"/>
        <w:ind w:firstLine="560"/>
        <w:jc w:val="both"/>
        <w:spacing w:beforeAutospacing="0" w:afterAutospacing="0" w:line="508" w:lineRule="exact"/>
        <w:rPr>
          <w:rFonts w:ascii="宋体" w:hAnsi="宋体" w:eastAsia="宋体" w:cs="宋体"/>
          <w:bCs/>
          <w:color w:val="auto"/>
          <w:highlight w:val="none"/>
        </w:rPr>
      </w:pPr>
      <w:r/>
      <w:bookmarkStart w:id="117" w:name="_Toc14577360"/>
      <w:r/>
      <w:bookmarkStart w:id="118" w:name="_Toc49090511"/>
      <w:r>
        <w:rPr>
          <w:rFonts w:hint="eastAsia" w:ascii="宋体" w:hAnsi="宋体" w:eastAsia="宋体" w:cs="宋体"/>
          <w:bCs/>
          <w:color w:val="auto"/>
          <w:highlight w:val="none"/>
        </w:rPr>
        <w:t xml:space="preserve">16.磋商有效期</w:t>
      </w:r>
      <w:bookmarkEnd w:id="117"/>
      <w:r/>
      <w:bookmarkEnd w:id="118"/>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16.1磋商有效期为采购代理机构规定的提交响应文件截止之日后</w:t>
      </w:r>
      <w:r>
        <w:rPr>
          <w:rFonts w:hint="eastAsia" w:ascii="宋体" w:hAnsi="宋体" w:eastAsia="宋体" w:cs="宋体"/>
          <w:bCs/>
          <w:color w:val="auto"/>
          <w:highlight w:val="none"/>
          <w:u w:val="single"/>
        </w:rPr>
        <w:t xml:space="preserve">九十（90）天</w:t>
      </w:r>
      <w:r>
        <w:rPr>
          <w:rFonts w:hint="eastAsia" w:ascii="宋体" w:hAnsi="宋体" w:eastAsia="宋体" w:cs="宋体"/>
          <w:bCs/>
          <w:color w:val="auto"/>
          <w:highlight w:val="none"/>
        </w:rPr>
        <w:t xml:space="preserve">。磋商有效期比规定短的将被视为非实质性响应磋商文件而予以拒绝。</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17.磋商有效期的延长</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31"/>
        <w:ind w:firstLine="560"/>
        <w:jc w:val="both"/>
        <w:spacing w:beforeAutospacing="0" w:afterAutospacing="0" w:line="508" w:lineRule="exact"/>
        <w:rPr>
          <w:rFonts w:ascii="宋体" w:hAnsi="宋体" w:eastAsia="宋体" w:cs="宋体"/>
          <w:b/>
          <w:color w:val="auto"/>
          <w:highlight w:val="none"/>
        </w:rPr>
      </w:pPr>
      <w:r/>
      <w:bookmarkStart w:id="119" w:name="_Toc513029224"/>
      <w:r/>
      <w:bookmarkStart w:id="120" w:name="_Toc20823296"/>
      <w:r/>
      <w:bookmarkStart w:id="121" w:name="_Toc120614217"/>
      <w:r/>
      <w:bookmarkStart w:id="122" w:name="_Toc16938540"/>
      <w:r/>
      <w:bookmarkStart w:id="123" w:name="_Hlt26954852"/>
      <w:r/>
      <w:bookmarkStart w:id="124" w:name="_Hlt26954739"/>
      <w:r>
        <w:rPr>
          <w:rFonts w:hint="eastAsia" w:ascii="宋体" w:hAnsi="宋体" w:eastAsia="宋体" w:cs="宋体"/>
          <w:b/>
          <w:color w:val="auto"/>
          <w:highlight w:val="none"/>
        </w:rPr>
        <w:t xml:space="preserve">四、响应文件的递交</w:t>
      </w:r>
      <w:bookmarkEnd w:id="119"/>
      <w:r/>
      <w:bookmarkEnd w:id="120"/>
      <w:r/>
      <w:bookmarkEnd w:id="121"/>
      <w:r/>
      <w:bookmarkEnd w:id="122"/>
      <w:r/>
      <w:r/>
    </w:p>
    <w:p>
      <w:pPr>
        <w:pStyle w:val="831"/>
        <w:ind w:firstLine="560"/>
        <w:jc w:val="both"/>
        <w:spacing w:beforeAutospacing="0" w:afterAutospacing="0" w:line="508" w:lineRule="exact"/>
        <w:rPr>
          <w:rFonts w:ascii="宋体" w:hAnsi="宋体" w:eastAsia="宋体" w:cs="宋体"/>
          <w:bCs/>
          <w:color w:val="auto"/>
          <w:highlight w:val="none"/>
        </w:rPr>
      </w:pPr>
      <w:r/>
      <w:bookmarkStart w:id="125" w:name="_Toc20823297"/>
      <w:r/>
      <w:bookmarkStart w:id="126" w:name="_Toc513029225"/>
      <w:r/>
      <w:bookmarkStart w:id="127" w:name="_Toc16938541"/>
      <w:r/>
      <w:bookmarkStart w:id="128" w:name="_Toc462564084"/>
      <w:r>
        <w:rPr>
          <w:rFonts w:hint="eastAsia" w:ascii="宋体" w:hAnsi="宋体" w:eastAsia="宋体" w:cs="宋体"/>
          <w:bCs/>
          <w:color w:val="auto"/>
          <w:highlight w:val="none"/>
        </w:rPr>
        <w:t xml:space="preserve">18.电子磋商</w:t>
      </w:r>
      <w:bookmarkEnd w:id="125"/>
      <w:r/>
      <w:bookmarkEnd w:id="126"/>
      <w:r/>
      <w:bookmarkEnd w:id="127"/>
      <w:r/>
      <w:bookmarkEnd w:id="128"/>
      <w:r>
        <w:rPr>
          <w:rFonts w:hint="eastAsia" w:ascii="宋体" w:hAnsi="宋体" w:eastAsia="宋体" w:cs="宋体"/>
          <w:bCs/>
          <w:color w:val="auto"/>
          <w:highlight w:val="none"/>
        </w:rPr>
        <w:t xml:space="preserve">响应文件的递交</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18.1供应商应当按照《操作手册》规定，在提交响应文件截止时间前制作并上传电子响应文件。</w:t>
      </w:r>
      <w:bookmarkStart w:id="129" w:name="_Toc16938542"/>
      <w:r/>
      <w:bookmarkEnd w:id="129"/>
      <w:r/>
      <w:bookmarkStart w:id="130" w:name="_Toc20823298"/>
      <w:r/>
      <w:bookmarkEnd w:id="130"/>
      <w:r/>
      <w:bookmarkStart w:id="131" w:name="_Toc51302922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19.提交响应文件截止时间</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i/>
          <w:color w:val="auto"/>
          <w:highlight w:val="none"/>
          <w:u w:val="single"/>
        </w:rPr>
        <w:t xml:space="preserve">19.1供应商上传电子响应文件的时间不得迟于磋商公告中规定的提交响应文件截止时间。</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pStyle w:val="831"/>
        <w:ind w:firstLine="560"/>
        <w:jc w:val="both"/>
        <w:spacing w:beforeAutospacing="0" w:afterAutospacing="0" w:line="508" w:lineRule="exact"/>
        <w:rPr>
          <w:rFonts w:ascii="宋体" w:hAnsi="宋体" w:eastAsia="宋体" w:cs="宋体"/>
          <w:bCs/>
          <w:color w:val="auto"/>
          <w:highlight w:val="none"/>
        </w:rPr>
      </w:pPr>
      <w:r/>
      <w:bookmarkStart w:id="132" w:name="_Toc16938543"/>
      <w:r/>
      <w:bookmarkStart w:id="133" w:name="_Toc513029227"/>
      <w:r/>
      <w:bookmarkStart w:id="134" w:name="_Toc20823299"/>
      <w:r>
        <w:rPr>
          <w:rFonts w:hint="eastAsia" w:ascii="宋体" w:hAnsi="宋体" w:eastAsia="宋体" w:cs="宋体"/>
          <w:bCs/>
          <w:color w:val="auto"/>
          <w:highlight w:val="none"/>
        </w:rPr>
        <w:t xml:space="preserve">20.响应文件</w:t>
      </w:r>
      <w:bookmarkEnd w:id="132"/>
      <w:r/>
      <w:bookmarkEnd w:id="133"/>
      <w:r/>
      <w:bookmarkEnd w:id="134"/>
      <w:r>
        <w:rPr>
          <w:rFonts w:hint="eastAsia" w:ascii="宋体" w:hAnsi="宋体" w:eastAsia="宋体" w:cs="宋体"/>
          <w:bCs/>
          <w:color w:val="auto"/>
          <w:highlight w:val="none"/>
        </w:rPr>
        <w:t xml:space="preserve">的拒收</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20.1采购代理机构拒绝接收在其规定的提交响应文件截止时间后上传的任何电子响应文件。</w:t>
      </w:r>
      <w:r/>
    </w:p>
    <w:p>
      <w:pPr>
        <w:pStyle w:val="831"/>
        <w:ind w:firstLine="560"/>
        <w:jc w:val="both"/>
        <w:spacing w:beforeAutospacing="0" w:afterAutospacing="0" w:line="508" w:lineRule="exact"/>
        <w:rPr>
          <w:rFonts w:ascii="宋体" w:hAnsi="宋体" w:eastAsia="宋体" w:cs="宋体"/>
          <w:bCs/>
          <w:color w:val="auto"/>
          <w:highlight w:val="none"/>
        </w:rPr>
      </w:pPr>
      <w:r/>
      <w:bookmarkStart w:id="135" w:name="_Toc513029228"/>
      <w:r/>
      <w:bookmarkStart w:id="136" w:name="_Toc20823300"/>
      <w:r/>
      <w:bookmarkStart w:id="137" w:name="_Toc16938544"/>
      <w:r>
        <w:rPr>
          <w:rFonts w:hint="eastAsia" w:ascii="宋体" w:hAnsi="宋体" w:eastAsia="宋体" w:cs="宋体"/>
          <w:bCs/>
          <w:color w:val="auto"/>
          <w:highlight w:val="none"/>
        </w:rPr>
        <w:t xml:space="preserve">21.响应文件的撤回和修改</w:t>
      </w:r>
      <w:bookmarkEnd w:id="135"/>
      <w:r/>
      <w:bookmarkEnd w:id="136"/>
      <w:r/>
      <w:bookmarkEnd w:id="137"/>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21.1响应文件的撤回</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21.1.1电子响应文件的撤回</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供应商可在提交响应文件截止时间前，撤回其电子响应文件，具体操作方法见《操作手册》。</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21.1.2供应商撤回电子响应文件，则认为其不再参与本项目磋商活动。</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21.2响应文件的修改</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供应商可在提交响应文件截止时间前，对其电子响应文件进行修改，具体操作方法见《操作手册》。</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21.3在提交响应文件截止时间之后，供应商不得对其电子响应文件作任何修改。</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21.4在提交响应文件截止时间至磋商文件中规定的磋商有效期满之间的这段时间内，供应商不得撤回其响应文件。</w:t>
      </w:r>
      <w:r/>
    </w:p>
    <w:p>
      <w:pPr>
        <w:pStyle w:val="831"/>
        <w:ind w:firstLine="560"/>
        <w:jc w:val="both"/>
        <w:spacing w:beforeAutospacing="0" w:afterAutospacing="0" w:line="508" w:lineRule="exact"/>
        <w:rPr>
          <w:rFonts w:ascii="宋体" w:hAnsi="宋体" w:eastAsia="宋体" w:cs="宋体"/>
          <w:bCs/>
          <w:color w:val="auto"/>
          <w:highlight w:val="none"/>
        </w:rPr>
      </w:pPr>
      <w:r/>
      <w:bookmarkStart w:id="138" w:name="_Toc20823301"/>
      <w:r/>
      <w:bookmarkStart w:id="139" w:name="_Toc120614218"/>
      <w:r/>
      <w:bookmarkStart w:id="140" w:name="_Toc16938545"/>
      <w:r/>
      <w:bookmarkStart w:id="141" w:name="_Toc513029229"/>
      <w:r>
        <w:rPr>
          <w:rFonts w:hint="eastAsia" w:ascii="宋体" w:hAnsi="宋体" w:eastAsia="宋体" w:cs="宋体"/>
          <w:bCs/>
          <w:color w:val="auto"/>
          <w:highlight w:val="none"/>
        </w:rPr>
        <w:t xml:space="preserve">五、响应文件的解密与评审</w:t>
      </w:r>
      <w:bookmarkEnd w:id="138"/>
      <w:r/>
      <w:bookmarkEnd w:id="139"/>
      <w:r/>
      <w:bookmarkEnd w:id="140"/>
      <w:r/>
      <w:bookmarkEnd w:id="141"/>
      <w:r/>
      <w:r/>
    </w:p>
    <w:p>
      <w:pPr>
        <w:pStyle w:val="831"/>
        <w:ind w:firstLine="560"/>
        <w:jc w:val="both"/>
        <w:spacing w:beforeAutospacing="0" w:afterAutospacing="0" w:line="508" w:lineRule="exact"/>
        <w:rPr>
          <w:rFonts w:ascii="宋体" w:hAnsi="宋体" w:eastAsia="宋体" w:cs="宋体"/>
          <w:bCs/>
          <w:color w:val="auto"/>
          <w:highlight w:val="none"/>
        </w:rPr>
      </w:pPr>
      <w:r/>
      <w:bookmarkStart w:id="142" w:name="_Toc16938546"/>
      <w:r/>
      <w:bookmarkStart w:id="143" w:name="_Toc513029230"/>
      <w:r/>
      <w:bookmarkStart w:id="144" w:name="_Toc20823302"/>
      <w:r>
        <w:rPr>
          <w:rFonts w:hint="eastAsia" w:ascii="宋体" w:hAnsi="宋体" w:eastAsia="宋体" w:cs="宋体"/>
          <w:bCs/>
          <w:color w:val="auto"/>
          <w:highlight w:val="none"/>
        </w:rPr>
        <w:t xml:space="preserve">22</w:t>
      </w:r>
      <w:bookmarkEnd w:id="142"/>
      <w:r/>
      <w:bookmarkEnd w:id="143"/>
      <w:r/>
      <w:bookmarkEnd w:id="144"/>
      <w:r>
        <w:rPr>
          <w:rFonts w:hint="eastAsia" w:ascii="宋体" w:hAnsi="宋体" w:eastAsia="宋体" w:cs="宋体"/>
          <w:bCs/>
          <w:color w:val="auto"/>
          <w:highlight w:val="none"/>
        </w:rPr>
        <w:t xml:space="preserve">.响应文件解密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22.1供应商应当按照《操作手册》规定，在苏采云系统规定的时间内对磋商响应文件进行解密。</w:t>
      </w:r>
      <w:r/>
    </w:p>
    <w:p>
      <w:pPr>
        <w:pStyle w:val="831"/>
        <w:ind w:firstLine="560"/>
        <w:jc w:val="both"/>
        <w:spacing w:beforeAutospacing="0" w:afterAutospacing="0" w:line="508" w:lineRule="exact"/>
        <w:rPr>
          <w:rFonts w:ascii="宋体" w:hAnsi="宋体" w:eastAsia="宋体" w:cs="宋体"/>
          <w:bCs/>
          <w:color w:val="auto"/>
          <w:highlight w:val="none"/>
        </w:rPr>
      </w:pPr>
      <w:r/>
      <w:bookmarkStart w:id="145" w:name="_Toc20823303"/>
      <w:r/>
      <w:bookmarkStart w:id="146" w:name="_Toc16938547"/>
      <w:r/>
      <w:bookmarkStart w:id="147" w:name="_Toc513029231"/>
      <w:r>
        <w:rPr>
          <w:rFonts w:hint="eastAsia" w:ascii="宋体" w:hAnsi="宋体" w:eastAsia="宋体" w:cs="宋体"/>
          <w:bCs/>
          <w:color w:val="auto"/>
          <w:highlight w:val="none"/>
        </w:rPr>
        <w:t xml:space="preserve">23.磋商小组</w:t>
      </w:r>
      <w:bookmarkEnd w:id="145"/>
      <w:r/>
      <w:bookmarkEnd w:id="146"/>
      <w:r/>
      <w:bookmarkEnd w:id="147"/>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23.1采购代理机构将组织磋商小组对响应文件进行评审。磋商小组由采购人代表和有关技术、经济等方面的专家组成，且人员构成符合政府采购有关规定。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23.2磋商小组独立工作，负责评审所有响应文件并确定成交候选人。</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24.评审过程的保密与公正</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24.1磋商小组、采购人和采购代理机构工作人员、相关监督人员等与评审工作有关的人员，对评审情况以及在评审过程中获悉的国家秘密、商业秘密负有保密责任。</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24.2在评审过程中，供应商不得以任何行为影响磋商评审过程，否则其响应文件将被视为无效响应文件。</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24.3在项目评审期间，采购代理机构将设专门人员与供应商联系。</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24.4采购代理机构和磋商小组不向未成交的供应商解释未成交原因，也不公布评审过程中的相关细节。</w:t>
      </w:r>
      <w:r/>
    </w:p>
    <w:p>
      <w:pPr>
        <w:pStyle w:val="831"/>
        <w:ind w:firstLine="560"/>
        <w:jc w:val="both"/>
        <w:spacing w:beforeAutospacing="0" w:afterAutospacing="0" w:line="508" w:lineRule="exact"/>
        <w:rPr>
          <w:rFonts w:ascii="宋体" w:hAnsi="宋体" w:eastAsia="宋体" w:cs="宋体"/>
          <w:bCs/>
          <w:color w:val="auto"/>
          <w:highlight w:val="none"/>
        </w:rPr>
      </w:pPr>
      <w:r/>
      <w:bookmarkStart w:id="148" w:name="_Toc513029232"/>
      <w:r/>
      <w:bookmarkStart w:id="149" w:name="_Toc16938548"/>
      <w:r/>
      <w:bookmarkStart w:id="150" w:name="_Toc20823304"/>
      <w:r>
        <w:rPr>
          <w:rFonts w:hint="eastAsia" w:ascii="宋体" w:hAnsi="宋体" w:eastAsia="宋体" w:cs="宋体"/>
          <w:bCs/>
          <w:color w:val="auto"/>
          <w:highlight w:val="none"/>
        </w:rPr>
        <w:t xml:space="preserve">25.评审过程中的澄清</w:t>
      </w:r>
      <w:bookmarkEnd w:id="148"/>
      <w:r/>
      <w:bookmarkEnd w:id="149"/>
      <w:r/>
      <w:bookmarkEnd w:id="150"/>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磋商小组并非对每个供应商都作澄清要求。</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25.3接到磋商小组澄清、说明和更正要求的供应商如未按规定作出澄清、说明和更正，其风险由供应商自行承担。</w:t>
      </w:r>
      <w:r/>
    </w:p>
    <w:p>
      <w:pPr>
        <w:pStyle w:val="831"/>
        <w:ind w:firstLine="560"/>
        <w:jc w:val="both"/>
        <w:spacing w:beforeAutospacing="0" w:afterAutospacing="0" w:line="508" w:lineRule="exact"/>
        <w:rPr>
          <w:rFonts w:ascii="宋体" w:hAnsi="宋体" w:eastAsia="宋体" w:cs="宋体"/>
          <w:bCs/>
          <w:color w:val="auto"/>
          <w:highlight w:val="none"/>
        </w:rPr>
      </w:pPr>
      <w:r/>
      <w:bookmarkStart w:id="151" w:name="_Toc20823305"/>
      <w:r/>
      <w:bookmarkStart w:id="152" w:name="_Toc16938549"/>
      <w:r/>
      <w:bookmarkStart w:id="153" w:name="_Toc513029233"/>
      <w:r>
        <w:rPr>
          <w:rFonts w:hint="eastAsia" w:ascii="宋体" w:hAnsi="宋体" w:eastAsia="宋体" w:cs="宋体"/>
          <w:bCs/>
          <w:color w:val="auto"/>
          <w:highlight w:val="none"/>
        </w:rPr>
        <w:t xml:space="preserve">26.对响应文件的审</w:t>
      </w:r>
      <w:bookmarkEnd w:id="151"/>
      <w:r/>
      <w:bookmarkEnd w:id="152"/>
      <w:r/>
      <w:bookmarkEnd w:id="153"/>
      <w:r>
        <w:rPr>
          <w:rFonts w:hint="eastAsia" w:ascii="宋体" w:hAnsi="宋体" w:eastAsia="宋体" w:cs="宋体"/>
          <w:bCs/>
          <w:color w:val="auto"/>
          <w:highlight w:val="none"/>
        </w:rPr>
        <w:t xml:space="preserve">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26.1响应文件审查分为资格审查和符合性审查。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26.1.1资格审查：由磋商小组依据法律法规和磋商文件的规定，对响应文件中的资格证明文件进行审查，以确定供应商是否具备参加磋商的资格。</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磋商小组在进行资格审查的同时，将在“信用中国”网站（www.creditchina.gov.cn）查询供应商的信用记录，以确定供应商是否具备磋商资格，查询结果留存并归档。</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26.1.2符合性审查：依据磋商文件的规定，由磋商小组从响应文件的有效性、完整性和对磋商文件的响应程度进行审查，以确定是否对磋商文件的实质性要求作出响应。</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26.3未实质性响应磋商文件的情形</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26.3.1供应商在苏采云系统规定的时间内未成功解密电子响应文件的。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26.3.2供应商未按照磋商文件要求上传电子响应文件的。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26.3.3同一供应商提交两个（含两个）以上不同的响应文件或者最后报价的。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26.3.4供应商不具备磋商文件中规定资格要求的。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26.3.5供应商的最后报价超过了采购预算。</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26.3.6不符合磋商文件中规定的实质性要求和条件的</w:t>
      </w:r>
      <w:r>
        <w:rPr>
          <w:rFonts w:hint="eastAsia" w:ascii="宋体" w:hAnsi="宋体" w:eastAsia="宋体" w:cs="宋体"/>
          <w:bCs/>
          <w:i/>
          <w:color w:val="auto"/>
          <w:highlight w:val="none"/>
          <w:u w:val="single"/>
        </w:rPr>
        <w:t xml:space="preserve">（本磋商文件中斜体且有下划线部分为实质性要求和条件）。</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26.3.8响应文件含有采购人不能接受的附加条件的。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26.3.10供应商不能证明其报价合理性的，磋商小组应当将其作为无效响应处理。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（一）评审过程中出现下列情形之一的，磋商小组应当启动异常低价响应审查程序：</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1.投标（响应）报价低于全部通过符合性审查供应商投标（响应）报价平均值50%的，即投标（响应）报价&lt;全部通过符合性审查供应商投标（响应）报价平均值×50%；</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2.投标（响应）报价低于通过符合性审查的次低报价供应商投标（响应）报价50%的，即投标（响应）报价&lt;通过符合性审查的次低报价供应商投标（响应）报价×50%；</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3.投标（响应）报价低于采购项目最高限价45%的，即投标（响应）报价&lt;采购项目最高限价×45%；</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4.评审委员会基于专业判断，认为供应商报价过低，有可能影响产品质量或者不能诚信履约的其他情形。</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相关法律法规对供应商报价有规定的，从其规定。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26.3.11响应文件未按照磋商文件要求加盖CA电子公章的。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26.4未实质性响应磋商文件的响应文件按无效响应处理。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26.5如果响应文件实质上没有响应磋商文件的要求，磋商小组将予以拒绝，供应商不得通过修改或撤销不符合要求的偏离或保留而使其成为实质性响应的文件。</w:t>
      </w:r>
      <w:r/>
    </w:p>
    <w:p>
      <w:pPr>
        <w:pStyle w:val="831"/>
        <w:ind w:firstLine="560"/>
        <w:jc w:val="both"/>
        <w:spacing w:beforeAutospacing="0" w:afterAutospacing="0" w:line="508" w:lineRule="exact"/>
        <w:rPr>
          <w:rFonts w:ascii="宋体" w:hAnsi="宋体" w:eastAsia="宋体" w:cs="宋体"/>
          <w:bCs/>
          <w:color w:val="auto"/>
          <w:highlight w:val="none"/>
        </w:rPr>
      </w:pPr>
      <w:r/>
      <w:bookmarkStart w:id="154" w:name="_Toc16938550"/>
      <w:r/>
      <w:bookmarkStart w:id="155" w:name="_Toc20823306"/>
      <w:r/>
      <w:bookmarkStart w:id="156" w:name="_Toc513029234"/>
      <w:r>
        <w:rPr>
          <w:rFonts w:hint="eastAsia" w:ascii="宋体" w:hAnsi="宋体" w:eastAsia="宋体" w:cs="宋体"/>
          <w:bCs/>
          <w:color w:val="auto"/>
          <w:highlight w:val="none"/>
        </w:rPr>
        <w:t xml:space="preserve">26.6供应商在项目评审全过程中应保持通信畅通，并安排专人与采购代理机构及磋商小组联系。</w:t>
      </w:r>
      <w:bookmarkEnd w:id="154"/>
      <w:r/>
      <w:bookmarkEnd w:id="155"/>
      <w:r/>
      <w:bookmarkEnd w:id="15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27.磋商程序及评审方法和评审标准</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27.1磋商程序</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27.2评审方法和评审标准</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27.2.2评审标准</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见本磋商文件第五章规定。</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27.3采购活动终止的情况</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出现下列情形之一的，本次竞争性磋商采购活动将被终止：</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27.3.1因情况变化，不再符合规定的竞争性磋商采购方式适用情形的。</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27.3.2出现影响采购公正的违法、违规行为的。</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27.3.3除本磋商文件第二章第27.1.2条第三款规定的情形外，在磋商过程中符合要求的供应商或者最后报价未超过采购预算的供应商不足3家的。</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27.3.4在苏采云系统规定时间内成功解密电子响应文件的供应商不足3家的。</w:t>
      </w:r>
      <w:r/>
    </w:p>
    <w:p>
      <w:pPr>
        <w:pStyle w:val="831"/>
        <w:ind w:firstLine="560"/>
        <w:jc w:val="both"/>
        <w:spacing w:beforeAutospacing="0" w:afterAutospacing="0" w:line="508" w:lineRule="exact"/>
        <w:rPr>
          <w:rFonts w:ascii="宋体" w:hAnsi="宋体" w:eastAsia="宋体" w:cs="宋体"/>
          <w:b/>
          <w:color w:val="auto"/>
          <w:highlight w:val="none"/>
        </w:rPr>
      </w:pPr>
      <w:r/>
      <w:bookmarkStart w:id="157" w:name="_Toc16938551"/>
      <w:r/>
      <w:bookmarkStart w:id="158" w:name="_Toc20823307"/>
      <w:r/>
      <w:bookmarkStart w:id="159" w:name="_Toc120614219"/>
      <w:r/>
      <w:bookmarkStart w:id="160" w:name="_Toc513029235"/>
      <w:r>
        <w:rPr>
          <w:rFonts w:hint="eastAsia" w:ascii="宋体" w:hAnsi="宋体" w:eastAsia="宋体" w:cs="宋体"/>
          <w:b/>
          <w:color w:val="auto"/>
          <w:highlight w:val="none"/>
        </w:rPr>
        <w:t xml:space="preserve">六、</w:t>
      </w:r>
      <w:bookmarkEnd w:id="157"/>
      <w:r/>
      <w:bookmarkEnd w:id="158"/>
      <w:r/>
      <w:bookmarkEnd w:id="159"/>
      <w:r/>
      <w:bookmarkEnd w:id="160"/>
      <w:r>
        <w:rPr>
          <w:rFonts w:hint="eastAsia" w:ascii="宋体" w:hAnsi="宋体" w:eastAsia="宋体" w:cs="宋体"/>
          <w:b/>
          <w:color w:val="auto"/>
          <w:highlight w:val="none"/>
        </w:rPr>
        <w:t xml:space="preserve">成交</w:t>
      </w:r>
      <w:r/>
    </w:p>
    <w:p>
      <w:pPr>
        <w:pStyle w:val="831"/>
        <w:ind w:firstLine="560"/>
        <w:jc w:val="both"/>
        <w:spacing w:beforeAutospacing="0" w:afterAutospacing="0" w:line="508" w:lineRule="exact"/>
        <w:rPr>
          <w:rFonts w:ascii="宋体" w:hAnsi="宋体" w:eastAsia="宋体" w:cs="宋体"/>
          <w:bCs/>
          <w:color w:val="auto"/>
          <w:highlight w:val="none"/>
        </w:rPr>
      </w:pPr>
      <w:r/>
      <w:bookmarkStart w:id="161" w:name="_Toc20823310"/>
      <w:r/>
      <w:bookmarkStart w:id="162" w:name="_Toc513029238"/>
      <w:r/>
      <w:bookmarkStart w:id="163" w:name="_Toc16938554"/>
      <w:r>
        <w:rPr>
          <w:rFonts w:hint="eastAsia" w:ascii="宋体" w:hAnsi="宋体" w:eastAsia="宋体" w:cs="宋体"/>
          <w:bCs/>
          <w:color w:val="auto"/>
          <w:highlight w:val="none"/>
        </w:rPr>
        <w:t xml:space="preserve">28</w:t>
      </w:r>
      <w:bookmarkEnd w:id="161"/>
      <w:r>
        <w:rPr>
          <w:rFonts w:hint="eastAsia" w:ascii="宋体" w:hAnsi="宋体" w:eastAsia="宋体" w:cs="宋体"/>
          <w:bCs/>
          <w:color w:val="auto"/>
          <w:highlight w:val="none"/>
        </w:rPr>
        <w:t xml:space="preserve">.确定</w:t>
      </w:r>
      <w:bookmarkEnd w:id="162"/>
      <w:r/>
      <w:bookmarkEnd w:id="163"/>
      <w:r>
        <w:rPr>
          <w:rFonts w:hint="eastAsia" w:ascii="宋体" w:hAnsi="宋体" w:eastAsia="宋体" w:cs="宋体"/>
          <w:bCs/>
          <w:color w:val="auto"/>
          <w:highlight w:val="none"/>
        </w:rPr>
        <w:t xml:space="preserve">成交单位</w:t>
      </w:r>
      <w:r/>
    </w:p>
    <w:p>
      <w:pPr>
        <w:pStyle w:val="831"/>
        <w:ind w:firstLine="560"/>
        <w:jc w:val="both"/>
        <w:spacing w:beforeAutospacing="0" w:afterAutospacing="0" w:line="508" w:lineRule="exact"/>
        <w:tabs>
          <w:tab w:val="left" w:pos="90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28.3若有充分证据证明，成交供应商出现下列情况之一的，一经查实，将被取消成交资格：</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28.3.1提供虚假材料谋取成交的。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28.3.2与评审专家、采购人、其他供应商或者采购代理机构工作人员恶意串通的。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28.3.3向评审专家、采购人或采购代理机构工作人员行贿或者提供其他不正当利益的。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28.3.4恶意竞争，最后报价明显低于其自身合理成本且又无法提供证明的。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28.3.5不满足本磋商文件规定的实质性要求，但在评审过程中又未被磋商小组发现的。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28.3.6成交后无正当理由拒不与采购人签订政府采购合同或者未按照磋商文件确定的事项签订政府采购合同的。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28.3.7将政府采购合同转包的。</w:t>
      </w:r>
      <w:r/>
    </w:p>
    <w:p>
      <w:pPr>
        <w:pStyle w:val="831"/>
        <w:ind w:firstLine="560"/>
        <w:jc w:val="both"/>
        <w:spacing w:beforeAutospacing="0" w:afterAutospacing="0" w:line="508" w:lineRule="exact"/>
        <w:rPr>
          <w:rFonts w:ascii="宋体" w:hAnsi="宋体" w:eastAsia="宋体" w:cs="宋体"/>
          <w:bCs/>
          <w:color w:val="auto"/>
          <w:highlight w:val="none"/>
        </w:rPr>
      </w:pPr>
      <w:r/>
      <w:bookmarkStart w:id="164" w:name="_Toc200451960"/>
      <w:r>
        <w:rPr>
          <w:rFonts w:hint="eastAsia" w:ascii="宋体" w:hAnsi="宋体" w:eastAsia="宋体" w:cs="宋体"/>
          <w:bCs/>
          <w:color w:val="auto"/>
          <w:highlight w:val="none"/>
        </w:rPr>
        <w:t xml:space="preserve">29.质疑处理</w:t>
      </w:r>
      <w:bookmarkEnd w:id="164"/>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29.1提出质疑的供应商应当是参与所质疑项目采购活动的供应商。潜在供应商依法获取其可质疑的磋商文件的，可以对磋商文件提出质疑。</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29.2.1对可以质疑的磋商文件提出质疑的，为收到磋商文件之日或者磋商文件公告期限届满之日。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29.2.2对磋商过程提出质疑的，为各采购程序环节结束之日。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29.2.3对成交结果提出质疑的，为成交结果公告期限届满之日。</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采购人及采购代理机构只接收以纸质原件形式送达的质疑，采购人和采购代理机构不接受未填写快递运单的快件。联系地址及联系方式同磋商公告。</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29.5以下情形的质疑不予受理</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29.5.1内容不符合《政府采购质疑和投诉办法》第十二条规定的质疑。</w:t>
      </w:r>
      <w:r/>
    </w:p>
    <w:p>
      <w:pPr>
        <w:pStyle w:val="831"/>
        <w:ind w:firstLine="560"/>
        <w:jc w:val="both"/>
        <w:spacing w:beforeAutospacing="0" w:afterAutospacing="0" w:line="508" w:lineRule="exact"/>
        <w:rPr>
          <w:rFonts w:ascii="宋体" w:hAnsi="宋体" w:eastAsia="宋体" w:cs="宋体"/>
          <w:bCs/>
          <w:color w:val="auto"/>
          <w:highlight w:val="none"/>
        </w:rPr>
      </w:pPr>
      <w:r/>
      <w:bookmarkStart w:id="165" w:name="OLE_LINK22"/>
      <w:r/>
      <w:bookmarkStart w:id="166" w:name="OLE_LINK21"/>
      <w:r>
        <w:rPr>
          <w:rFonts w:hint="eastAsia" w:ascii="宋体" w:hAnsi="宋体" w:eastAsia="宋体" w:cs="宋体"/>
          <w:bCs/>
          <w:color w:val="auto"/>
          <w:highlight w:val="none"/>
        </w:rPr>
        <w:t xml:space="preserve">29.5.2 超出政府采购法定期限的质疑。</w:t>
      </w:r>
      <w:bookmarkEnd w:id="165"/>
      <w:r/>
      <w:bookmarkEnd w:id="166"/>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29.5.3以传真、电子邮件等方式递交的非原件形式的质疑。</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29.5.4未参加磋商活动的供应商或在磋商活动中自身权益未受到损害的供应商所提出的质疑。</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29.5.5供应商组成联合体参加磋商，联合体中任何一方或多方未按要求签字、盖章、加盖公章的质疑。</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30.成交通知书</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31"/>
        <w:ind w:firstLine="560"/>
        <w:jc w:val="both"/>
        <w:spacing w:beforeAutospacing="0" w:afterAutospacing="0" w:line="508" w:lineRule="exact"/>
        <w:rPr>
          <w:rFonts w:ascii="宋体" w:hAnsi="宋体" w:eastAsia="宋体" w:cs="宋体"/>
          <w:b/>
          <w:color w:val="auto"/>
          <w:highlight w:val="none"/>
        </w:rPr>
      </w:pPr>
      <w:r/>
      <w:bookmarkStart w:id="167" w:name="_Toc20823308"/>
      <w:r/>
      <w:bookmarkStart w:id="168" w:name="_Toc513029236"/>
      <w:r/>
      <w:bookmarkStart w:id="169" w:name="_Toc120614220"/>
      <w:r/>
      <w:bookmarkStart w:id="170" w:name="_Toc16938552"/>
      <w:r>
        <w:rPr>
          <w:rFonts w:hint="eastAsia" w:ascii="宋体" w:hAnsi="宋体" w:eastAsia="宋体" w:cs="宋体"/>
          <w:b/>
          <w:color w:val="auto"/>
          <w:highlight w:val="none"/>
        </w:rPr>
        <w:t xml:space="preserve">七、授予合同</w:t>
      </w:r>
      <w:bookmarkEnd w:id="167"/>
      <w:r/>
      <w:bookmarkEnd w:id="168"/>
      <w:r/>
      <w:bookmarkEnd w:id="169"/>
      <w:r/>
      <w:bookmarkEnd w:id="170"/>
      <w:r/>
      <w:r/>
    </w:p>
    <w:p>
      <w:pPr>
        <w:pStyle w:val="831"/>
        <w:ind w:firstLine="560"/>
        <w:jc w:val="both"/>
        <w:spacing w:beforeAutospacing="0" w:afterAutospacing="0" w:line="508" w:lineRule="exact"/>
        <w:rPr>
          <w:rFonts w:ascii="宋体" w:hAnsi="宋体" w:eastAsia="宋体" w:cs="宋体"/>
          <w:bCs/>
          <w:color w:val="auto"/>
          <w:highlight w:val="none"/>
        </w:rPr>
      </w:pPr>
      <w:r/>
      <w:bookmarkStart w:id="171" w:name="_Toc16938553"/>
      <w:r/>
      <w:bookmarkStart w:id="172" w:name="_Toc513029237"/>
      <w:r/>
      <w:bookmarkStart w:id="173" w:name="_Toc20823309"/>
      <w:r>
        <w:rPr>
          <w:rFonts w:hint="eastAsia" w:ascii="宋体" w:hAnsi="宋体" w:eastAsia="宋体" w:cs="宋体"/>
          <w:bCs/>
          <w:color w:val="auto"/>
          <w:highlight w:val="none"/>
        </w:rPr>
        <w:t xml:space="preserve">31.签订合同</w:t>
      </w:r>
      <w:bookmarkEnd w:id="171"/>
      <w:r/>
      <w:bookmarkEnd w:id="172"/>
      <w:r/>
      <w:bookmarkEnd w:id="173"/>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31.l成交供应商应当在成交通知书发出之日起三十日内，按照磋商文件确定的事项与采购人签订政府采购合同。</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31.2磋商文件、成交供应商的响应文件及磋商过程中有关澄清、承诺文件均应作为合同附件。</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31.3签订合同后，</w:t>
      </w:r>
      <w:r>
        <w:rPr>
          <w:rFonts w:hint="eastAsia" w:ascii="宋体" w:hAnsi="宋体" w:eastAsia="宋体" w:cs="宋体"/>
          <w:bCs/>
          <w:i/>
          <w:color w:val="auto"/>
          <w:highlight w:val="none"/>
          <w:u w:val="single"/>
        </w:rPr>
        <w:t xml:space="preserve">成交供应商不得将合同标的进行转包</w:t>
      </w:r>
      <w:r>
        <w:rPr>
          <w:rFonts w:hint="eastAsia" w:ascii="宋体" w:hAnsi="宋体" w:eastAsia="宋体" w:cs="宋体"/>
          <w:bCs/>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（备注：项目经办人在发标前应与采购人商定是否允许成交供应商分包履行合同，确定后该备注删除）</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32.标的物的追加</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33.政府采购政策功能落实</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33.1政府采购线上合同信用融资政策</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33.2进口产品</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33.3中小企业、监狱企业及残疾人福利性单位</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33.3.1中小企业定义：</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中小企业</w:t>
      </w:r>
      <w:r>
        <w:rPr>
          <w:rFonts w:hint="eastAsia" w:ascii="宋体" w:hAnsi="宋体" w:eastAsia="宋体" w:cs="宋体"/>
          <w:bCs/>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33.3.2供应商提供的货物、工程或者服务符合下列情形的，享受中小企业扶持政策：</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33.3.2.1在货物采购项目中，货物由中小企业制造，即货物由中小企业生产且使用该中小企业商号或者注册商标；</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33.3.2.2在工程采购项目中，工程由中小企业承建，即工程施工单位为中小企业；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33.3.2.3在服务采购项目中，服务由中小企业承接，即提供服务的人员为中小企业依照《中华人民共和国劳动合同法》订立劳动合同的从业人员。</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33.3.3在货物采购项目中，供应商提供的货物既有中小企业制造货物，也有大型企业制造货物的，不享受中小企业扶持政策。</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33.3.4以联合体形式参加政府采购活动，联合体各方均为中小企业的，联合体视同中小企业。其中，联合体各方均为小微企业的，联合体视同小微企业。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33.3.6残疾人福利单位定义：享受政府采购支持政策的残疾人福利性单位应当同时满足以下条件：</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33.3.6.1安置的残疾人占本单位在职职工人数的比例不低于25%（含25%），并且安置的残疾人人数不少于10 人（含10 人）；</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33.3.6.2依法与安置的每位残疾人签订了一年以上（含一年）的劳动合同或服务协议；</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33.3.6.3为安置的每位残疾人按月足额缴纳了基本养老保险、基本医疗保险、失业保险、工伤保险和生育保险等社会保险费；</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33.3.6.4通过银行等金融机构向安置的每位残疾人，按月支付了不低于单位所在区县适用的经省级人民政府批准的月最低工资标准的工资；</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33.3.7本项目是否专门面向中小企业预留采购份额见第一章《竞争性磋商公告》。</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33.3.8采购标的对应的中小企业划分标准所属行业见第四章《采购需求》。</w:t>
      </w:r>
      <w:r/>
    </w:p>
    <w:p>
      <w:pPr>
        <w:pStyle w:val="831"/>
        <w:ind w:firstLine="56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33.3.9小微企业价格评审优惠的政策：见第五章《评标方法和评标标准》。</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33.4政府采购节能产品、环境标志产品</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bCs/>
          <w:color w:val="auto"/>
          <w:sz w:val="24"/>
          <w:highlight w:val="none"/>
        </w:rPr>
        <w:t xml:space="preserve">其他条件相同情况下，应当优先采购节能产品、环境标志产品。</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33.5绿色包装</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33.6政府采购创新产品</w:t>
      </w:r>
      <w:r/>
    </w:p>
    <w:p>
      <w:pPr>
        <w:ind w:firstLine="560"/>
        <w:spacing w:line="508"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采购人优先采购各级政府部门公开发布的有效期内的创新产品、创新服务、首台套、首购首用等《目录》的创新产品。</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33.7绿色数据中心政策</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bCs/>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33.8实施本国产品标准及相关政策</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1.本项目对采购本国产品给予政策支持，具体内容见招标文件“第五章 评标方法与评标标准”。</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8"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33.9履约保证金政策</w:t>
      </w:r>
      <w:r/>
    </w:p>
    <w:p>
      <w:pPr>
        <w:pStyle w:val="1012"/>
        <w:ind w:left="0" w:firstLine="560"/>
        <w:spacing w:after="0"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确需收取履约保证金的，履约保证金的缴纳形式：</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如以履约保函（保险）形式缴纳履约保证金，供应商可通过政府采购电子履约保函（保险）平台（www.jsdzbh.com）在线申请履约保函（保险）。</w:t>
      </w:r>
      <w:r/>
    </w:p>
    <w:p>
      <w:pPr>
        <w:ind w:firstLine="56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履约保证金金额不得超过合同金额的</w:t>
      </w:r>
      <w:r>
        <w:rPr>
          <w:rFonts w:ascii="宋体" w:hAnsi="宋体" w:eastAsia="宋体" w:cs="宋体"/>
          <w:bCs/>
          <w:color w:val="auto"/>
          <w:sz w:val="24"/>
          <w:highlight w:val="none"/>
        </w:rPr>
        <w:t xml:space="preserve">10</w:t>
      </w:r>
      <w:r>
        <w:rPr>
          <w:rFonts w:hint="eastAsia" w:ascii="宋体" w:hAnsi="宋体" w:eastAsia="宋体" w:cs="宋体"/>
          <w:bCs/>
          <w:color w:val="auto"/>
          <w:sz w:val="24"/>
          <w:highlight w:val="none"/>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560"/>
        <w:spacing w:line="508" w:lineRule="exact"/>
        <w:tabs>
          <w:tab w:val="left" w:pos="1381"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34.预付款制度</w:t>
      </w:r>
      <w:r/>
    </w:p>
    <w:p>
      <w:pPr>
        <w:ind w:firstLine="560"/>
        <w:spacing w:line="508" w:lineRule="exact"/>
        <w:rPr>
          <w:rFonts w:ascii="宋体" w:hAnsi="宋体" w:eastAsia="宋体" w:cs="宋体"/>
          <w:color w:val="auto"/>
          <w:sz w:val="44"/>
          <w:szCs w:val="44"/>
          <w:highlight w:val="none"/>
        </w:rPr>
      </w:pPr>
      <w:r>
        <w:rPr>
          <w:rFonts w:hint="eastAsia" w:ascii="宋体" w:hAnsi="宋体" w:eastAsia="宋体" w:cs="宋体"/>
          <w:color w:val="auto"/>
          <w:sz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560"/>
        <w:spacing w:line="508" w:lineRule="exact"/>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831"/>
        <w:jc w:val="center"/>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center"/>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center"/>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center"/>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center"/>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both"/>
        <w:spacing w:beforeAutospacing="0" w:afterAutospacing="0" w:line="508" w:lineRule="exact"/>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pStyle w:val="831"/>
        <w:jc w:val="center"/>
        <w:spacing w:beforeAutospacing="0" w:afterAutospacing="0" w:line="508" w:lineRule="exact"/>
        <w:rPr>
          <w:rFonts w:ascii="Times New Roman" w:hAnsi="方正小标宋_GBK" w:eastAsia="方正小标宋_GBK" w:cs="方正小标宋_GBK"/>
          <w:color w:val="auto"/>
          <w:sz w:val="44"/>
          <w:szCs w:val="44"/>
          <w:highlight w:val="none"/>
        </w:rPr>
        <w:outlineLvl w:val="0"/>
      </w:pPr>
      <w:r>
        <w:rPr>
          <w:rFonts w:hint="eastAsia" w:ascii="Times New Roman" w:hAnsi="方正小标宋_GBK" w:eastAsia="方正小标宋_GBK" w:cs="方正小标宋_GBK"/>
          <w:color w:val="auto"/>
          <w:sz w:val="44"/>
          <w:szCs w:val="44"/>
          <w:highlight w:val="none"/>
        </w:rPr>
        <w:t xml:space="preserve">第三章  合同条款及格式</w:t>
      </w:r>
      <w:r/>
    </w:p>
    <w:p>
      <w:pPr>
        <w:ind w:firstLine="480"/>
        <w:spacing w:line="500" w:lineRule="exact"/>
        <w:rPr>
          <w:rFonts w:ascii="宋体" w:hAnsi="Times New Roman" w:eastAsia="宋体" w:cs="Times New Roman"/>
          <w:bCs/>
          <w:color w:val="auto"/>
          <w:sz w:val="24"/>
          <w:highlight w:val="none"/>
        </w:rPr>
      </w:pPr>
      <w:r/>
      <w:bookmarkStart w:id="174" w:name="_Hlt16619369"/>
      <w:r/>
      <w:bookmarkEnd w:id="174"/>
      <w:r>
        <w:rPr>
          <w:rFonts w:hint="eastAsia" w:ascii="宋体" w:hAnsi="宋体" w:eastAsia="宋体" w:cs="Times New Roman"/>
          <w:bCs/>
          <w:color w:val="auto"/>
          <w:sz w:val="24"/>
          <w:highlight w:val="none"/>
        </w:rPr>
        <w:t xml:space="preserve">以下为成交后签订本项目合同的通用条款，成交供应商不得提出实质性的修改，关于专用条款将由采购人与成交供应商结合本项目具体情况协商后签订。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color w:val="auto"/>
          <w:sz w:val="30"/>
          <w:szCs w:val="20"/>
          <w:highlight w:val="none"/>
        </w:rPr>
        <w:outlineLvl w:val="0"/>
      </w:pPr>
      <w:r>
        <w:rPr>
          <w:rFonts w:hint="eastAsia" w:ascii="宋体" w:hAnsi="宋体" w:eastAsia="宋体" w:cs="Times New Roman"/>
          <w:b/>
          <w:color w:val="auto"/>
          <w:sz w:val="30"/>
          <w:highlight w:val="none"/>
        </w:rPr>
        <w:t xml:space="preserve">政府采购合同</w:t>
      </w:r>
      <w:r/>
    </w:p>
    <w:p>
      <w:pPr>
        <w:ind w:firstLine="480"/>
        <w:spacing w:line="500" w:lineRule="exact"/>
        <w:rPr>
          <w:rFonts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项目编号：</w:t>
      </w:r>
      <w:r>
        <w:rPr>
          <w:rFonts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rPr>
        <w:t xml:space="preserve">JSZC-320900-JSGX-C2026-0019</w:t>
      </w:r>
      <w:r>
        <w:rPr>
          <w:rFonts w:ascii="宋体" w:hAnsi="宋体" w:eastAsia="宋体" w:cs="Times New Roman"/>
          <w:bCs/>
          <w:color w:val="auto"/>
          <w:sz w:val="24"/>
          <w:highlight w:val="none"/>
          <w:u w:val="single"/>
        </w:rPr>
        <w:t xml:space="preserve">   </w:t>
      </w:r>
      <w:r/>
    </w:p>
    <w:p>
      <w:pPr>
        <w:ind w:firstLine="480"/>
        <w:spacing w:line="500" w:lineRule="exact"/>
        <w:rPr>
          <w:rFonts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项目名称：</w:t>
      </w:r>
      <w:r>
        <w:rPr>
          <w:rFonts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rPr>
        <w:t xml:space="preserve">《盐城市低空起降场（点）布局方案和低空航路航线划设方案研究》项目（二次）</w:t>
      </w:r>
      <w:r/>
    </w:p>
    <w:p>
      <w:pPr>
        <w:ind w:firstLine="480"/>
        <w:spacing w:line="500" w:lineRule="exact"/>
        <w:rPr>
          <w:rFonts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甲方：（</w:t>
      </w:r>
      <w:r>
        <w:rPr>
          <w:rFonts w:hint="eastAsia" w:ascii="宋体" w:hAnsi="宋体" w:eastAsia="宋体" w:cs="宋体"/>
          <w:bCs/>
          <w:color w:val="auto"/>
          <w:sz w:val="24"/>
          <w:highlight w:val="none"/>
        </w:rPr>
        <w:t xml:space="preserve">委托方</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盐城市交通运输局  </w:t>
      </w:r>
      <w:r/>
    </w:p>
    <w:p>
      <w:pPr>
        <w:ind w:firstLine="480"/>
        <w:spacing w:line="500" w:lineRule="exact"/>
        <w:rPr>
          <w:rFonts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w:t>
      </w:r>
      <w:r>
        <w:rPr>
          <w:rFonts w:hint="eastAsia" w:ascii="宋体" w:hAnsi="宋体" w:eastAsia="宋体" w:cs="宋体"/>
          <w:bCs/>
          <w:color w:val="auto"/>
          <w:sz w:val="24"/>
          <w:highlight w:val="none"/>
        </w:rPr>
        <w:t xml:space="preserve">承接方</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rPr>
        <w:t xml:space="preserve">   </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甲乙双方根据</w:t>
      </w:r>
      <w:r>
        <w:rPr>
          <w:rFonts w:hint="eastAsia" w:ascii="宋体" w:hAnsi="宋体" w:eastAsia="宋体" w:cs="Times New Roman"/>
          <w:bCs/>
          <w:color w:val="auto"/>
          <w:sz w:val="24"/>
          <w:highlight w:val="none"/>
          <w:u w:val="single"/>
        </w:rPr>
        <w:t xml:space="preserve">《盐城市低空起降场（点）布局方案和低空航路航线划设方案研究》项目（二次）</w:t>
      </w:r>
      <w:r>
        <w:rPr>
          <w:rFonts w:hint="eastAsia" w:ascii="宋体" w:hAnsi="宋体" w:eastAsia="宋体" w:cs="Times New Roman"/>
          <w:bCs/>
          <w:color w:val="auto"/>
          <w:sz w:val="24"/>
          <w:highlight w:val="none"/>
        </w:rPr>
        <w:t xml:space="preserve">公开招标的结果，签署本合同。</w:t>
      </w:r>
      <w:r/>
    </w:p>
    <w:p>
      <w:pPr>
        <w:ind w:firstLine="482"/>
        <w:spacing w:line="50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一、采购标的</w:t>
      </w:r>
      <w:r/>
    </w:p>
    <w:p>
      <w:pPr>
        <w:ind w:firstLine="480"/>
        <w:spacing w:line="500" w:lineRule="exact"/>
        <w:rPr>
          <w:rFonts w:ascii="宋体" w:hAnsi="宋体" w:eastAsia="宋体" w:cs="Times New Roman"/>
          <w:color w:val="auto"/>
          <w:sz w:val="24"/>
          <w:highlight w:val="none"/>
        </w:rPr>
      </w:pPr>
      <w:r>
        <w:rPr>
          <w:rFonts w:ascii="宋体" w:hAnsi="宋体" w:eastAsia="宋体" w:cs="Times New Roman"/>
          <w:bCs/>
          <w:color w:val="auto"/>
          <w:sz w:val="24"/>
          <w:szCs w:val="20"/>
          <w:highlight w:val="none"/>
        </w:rPr>
        <w:t xml:space="preserve">1</w:t>
      </w:r>
      <w:r>
        <w:rPr>
          <w:rFonts w:ascii="宋体" w:hAnsi="宋体" w:eastAsia="宋体" w:cs="Times New Roman"/>
          <w:color w:val="auto"/>
          <w:sz w:val="24"/>
          <w:szCs w:val="20"/>
          <w:highlight w:val="none"/>
        </w:rPr>
        <w:t xml:space="preserve">.1服务名称和内容</w:t>
      </w:r>
      <w:r>
        <w:rPr>
          <w:rFonts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rPr>
        <w:t xml:space="preserve">《盐城市低空起降场（点）布局方案和低空航路航线划设方案研究》项目（二次）</w:t>
      </w:r>
      <w:r>
        <w:rPr>
          <w:rFonts w:ascii="宋体" w:hAnsi="宋体" w:eastAsia="宋体" w:cs="Times New Roman"/>
          <w:color w:val="auto"/>
          <w:sz w:val="24"/>
          <w:highlight w:val="none"/>
        </w:rPr>
        <w:t xml:space="preserve">；具体服务内容包含（不限于）招标文件的各项要求、项目需求中的全部内容。</w:t>
      </w:r>
      <w:r/>
    </w:p>
    <w:p>
      <w:pPr>
        <w:ind w:firstLine="480"/>
        <w:spacing w:line="500" w:lineRule="exact"/>
        <w:tabs>
          <w:tab w:val="left" w:pos="567" w:leader="none"/>
        </w:tabs>
        <w:rPr>
          <w:rFonts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1.2服务期限</w:t>
      </w:r>
      <w:r>
        <w:rPr>
          <w:rFonts w:hint="eastAsia" w:ascii="宋体" w:hAnsi="宋体" w:eastAsia="宋体" w:cs="Times New Roman"/>
          <w:color w:val="auto"/>
          <w:sz w:val="24"/>
          <w:highlight w:val="none"/>
        </w:rPr>
        <w:t xml:space="preserve">：合同签订后12个月内，形成最终成果并通过评审。</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1.3提交方式：到甲方指定地点并通过甲方审查。</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1.4提交地点：甲方指定的具体地点。</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二、合同金额</w:t>
      </w:r>
      <w:r/>
    </w:p>
    <w:p>
      <w:pPr>
        <w:ind w:firstLine="480"/>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本合同金额为（大写）：</w:t>
      </w:r>
      <w:r>
        <w:rPr>
          <w:rFonts w:hint="eastAsia" w:ascii="宋体" w:hAnsi="宋体" w:eastAsia="宋体" w:cs="Times New Roman"/>
          <w:bCs/>
          <w:color w:val="auto"/>
          <w:sz w:val="24"/>
          <w:highlight w:val="none"/>
          <w:u w:val="single"/>
        </w:rPr>
        <w:t xml:space="preserve">   </w:t>
      </w:r>
      <w:r>
        <w:rPr>
          <w:rFonts w:ascii="宋体" w:hAnsi="宋体" w:eastAsia="宋体" w:cs="Times New Roman"/>
          <w:bCs/>
          <w:color w:val="auto"/>
          <w:sz w:val="24"/>
          <w:highlight w:val="none"/>
          <w:u w:val="single"/>
        </w:rPr>
        <w:t xml:space="preserve">              </w:t>
      </w:r>
      <w:r>
        <w:rPr>
          <w:rFonts w:ascii="宋体" w:hAnsi="宋体" w:eastAsia="宋体" w:cs="Times New Roman"/>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ascii="宋体" w:hAnsi="宋体" w:eastAsia="宋体" w:cs="Times New Roman"/>
          <w:bCs/>
          <w:color w:val="auto"/>
          <w:sz w:val="24"/>
          <w:highlight w:val="none"/>
          <w:u w:val="single"/>
        </w:rPr>
        <w:t xml:space="preserve">           </w:t>
      </w:r>
      <w:r>
        <w:rPr>
          <w:rFonts w:hint="eastAsia" w:ascii="宋体" w:hAnsi="宋体" w:eastAsia="宋体" w:cs="Times New Roman"/>
          <w:color w:val="auto"/>
          <w:sz w:val="24"/>
          <w:highlight w:val="none"/>
        </w:rPr>
        <w:t xml:space="preserve">元</w:t>
      </w:r>
      <w:r>
        <w:rPr>
          <w:rFonts w:ascii="宋体" w:hAnsi="宋体" w:eastAsia="宋体" w:cs="Times New Roman"/>
          <w:color w:val="auto"/>
          <w:sz w:val="24"/>
          <w:highlight w:val="none"/>
        </w:rPr>
        <w:t xml:space="preserve">）。</w:t>
      </w:r>
      <w:r/>
    </w:p>
    <w:p>
      <w:pPr>
        <w:contextualSpacing/>
        <w:ind w:firstLine="480"/>
        <w:spacing w:line="500" w:lineRule="exact"/>
        <w:rPr>
          <w:rFonts w:ascii="Times New Roman" w:hAnsi="宋体" w:eastAsia="宋体" w:cs="Times New Roman"/>
          <w:bCs/>
          <w:color w:val="auto"/>
          <w:sz w:val="24"/>
          <w:highlight w:val="none"/>
        </w:rPr>
      </w:pPr>
      <w:r/>
      <w:bookmarkStart w:id="175" w:name="_Hlk201673205"/>
      <w:r>
        <w:rPr>
          <w:rFonts w:ascii="Times New Roman" w:hAnsi="宋体" w:eastAsia="宋体" w:cs="Times New Roman"/>
          <w:color w:val="auto"/>
          <w:sz w:val="24"/>
          <w:highlight w:val="none"/>
        </w:rPr>
        <w:t xml:space="preserve">本合同价款包括为完成本项目，但不仅限于</w:t>
      </w:r>
      <w:r>
        <w:rPr>
          <w:rFonts w:hint="eastAsia" w:ascii="宋体" w:hAnsi="宋体" w:eastAsia="宋体" w:cs="宋体"/>
          <w:color w:val="auto"/>
          <w:sz w:val="24"/>
          <w:highlight w:val="none"/>
        </w:rPr>
        <w:t xml:space="preserve">投标报价应包括完成本项目所需全部费用，包括但不限于：调研、资料收集、编制报告和方案、汇报、评审（咨询专家而发生的会务费、咨询费以及其他相关费用）等全部工作所需的人员费用、出版费、交通工具及使用费、报告评审会、会务费以及公司取费、法定税金、利润等与履行合同有关的一切费用以及合同明示或暗示的所有一般风险责任和义务费用</w:t>
      </w:r>
      <w:r>
        <w:rPr>
          <w:rFonts w:ascii="Times New Roman" w:hAnsi="宋体" w:eastAsia="宋体" w:cs="Times New Roman"/>
          <w:color w:val="auto"/>
          <w:sz w:val="24"/>
          <w:highlight w:val="none"/>
        </w:rPr>
        <w:t xml:space="preserve">等所有费用。</w:t>
      </w:r>
      <w:bookmarkEnd w:id="175"/>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三、技术资料</w:t>
      </w:r>
      <w:r/>
    </w:p>
    <w:p>
      <w:pPr>
        <w:ind w:firstLine="480"/>
        <w:spacing w:line="500" w:lineRule="exact"/>
        <w:tabs>
          <w:tab w:val="left" w:pos="454" w:leader="none"/>
        </w:tabs>
        <w:rPr>
          <w:rFonts w:ascii="宋体" w:hAnsi="宋体" w:eastAsia="宋体" w:cs="Times New Roman"/>
          <w:b/>
          <w:color w:val="auto"/>
          <w:sz w:val="24"/>
          <w:highlight w:val="none"/>
        </w:rPr>
      </w:pPr>
      <w:r>
        <w:rPr>
          <w:rFonts w:ascii="宋体" w:hAnsi="宋体" w:eastAsia="宋体" w:cs="Times New Roman"/>
          <w:bCs/>
          <w:color w:val="auto"/>
          <w:sz w:val="24"/>
          <w:highlight w:val="none"/>
        </w:rPr>
        <w:t xml:space="preserve">3.1</w:t>
      </w:r>
      <w:r>
        <w:rPr>
          <w:rFonts w:ascii="宋体" w:hAnsi="宋体" w:eastAsia="宋体" w:cs="Times New Roman"/>
          <w:color w:val="auto"/>
          <w:sz w:val="24"/>
          <w:highlight w:val="none"/>
        </w:rPr>
        <w:t xml:space="preserve">乙方应按招标文件规定的时间向甲方提供使用服务的有关技术资料。</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bCs/>
          <w:color w:val="auto"/>
          <w:sz w:val="24"/>
          <w:highlight w:val="none"/>
        </w:rPr>
        <w:t xml:space="preserve">3.2</w:t>
      </w:r>
      <w:r>
        <w:rPr>
          <w:rFonts w:ascii="宋体" w:hAnsi="宋体" w:eastAsia="宋体" w:cs="Times New Roman"/>
          <w:color w:val="auto"/>
          <w:sz w:val="24"/>
          <w:highlight w:val="none"/>
        </w:rPr>
        <w:t xml:space="preserve">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四、知识产权</w:t>
      </w:r>
      <w:r/>
    </w:p>
    <w:p>
      <w:pPr>
        <w:ind w:firstLine="480"/>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4.1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ind w:firstLine="480"/>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4.2乙方保证所交付标的的所有权完全属于甲方。</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五、安全与保密</w:t>
      </w:r>
      <w:r/>
    </w:p>
    <w:p>
      <w:pPr>
        <w:ind w:firstLine="480"/>
        <w:spacing w:line="500" w:lineRule="exact"/>
        <w:rPr>
          <w:rFonts w:ascii="宋体" w:hAnsi="宋体" w:eastAsia="宋体" w:cs="Times New Roman"/>
          <w:color w:val="auto"/>
          <w:sz w:val="24"/>
          <w:highlight w:val="none"/>
          <w:u w:val="single"/>
        </w:rPr>
      </w:pPr>
      <w:r>
        <w:rPr>
          <w:rFonts w:ascii="宋体" w:hAnsi="宋体" w:eastAsia="宋体" w:cs="Times New Roman"/>
          <w:color w:val="auto"/>
          <w:sz w:val="24"/>
          <w:highlight w:val="none"/>
        </w:rPr>
        <w:t xml:space="preserve">项目服务过程中涉及的涉密和敏感图文资料、电子数据，编制单位应严格执行保密的相关规定，不得以任何方式向任何第三人披露、泄露或许可第三人使用。</w:t>
      </w:r>
      <w:r/>
    </w:p>
    <w:p>
      <w:pPr>
        <w:ind w:firstLine="482"/>
        <w:spacing w:line="50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六、履约保证金 </w:t>
      </w:r>
      <w:r/>
    </w:p>
    <w:p>
      <w:pPr>
        <w:ind w:firstLine="480"/>
        <w:spacing w:line="500" w:lineRule="exact"/>
        <w:rPr>
          <w:rFonts w:ascii="宋体" w:hAnsi="宋体" w:eastAsia="宋体" w:cs="Times New Roman"/>
          <w:b/>
          <w:bCs/>
          <w:color w:val="auto"/>
          <w:sz w:val="24"/>
          <w:highlight w:val="none"/>
        </w:rPr>
      </w:pPr>
      <w:r>
        <w:rPr>
          <w:rFonts w:ascii="宋体" w:hAnsi="宋体" w:eastAsia="宋体" w:cs="Times New Roman"/>
          <w:color w:val="auto"/>
          <w:sz w:val="24"/>
          <w:highlight w:val="none"/>
        </w:rPr>
        <w:t xml:space="preserve">6.1乙方交纳人民币（大写）</w:t>
      </w:r>
      <w:r>
        <w:rPr>
          <w:rFonts w:ascii="宋体" w:hAnsi="宋体" w:eastAsia="宋体" w:cs="Times New Roman"/>
          <w:bCs/>
          <w:color w:val="auto"/>
          <w:sz w:val="24"/>
          <w:highlight w:val="none"/>
          <w:u w:val="single"/>
        </w:rPr>
        <w:t xml:space="preserve">             </w:t>
      </w:r>
      <w:r>
        <w:rPr>
          <w:rFonts w:ascii="新宋体" w:hAnsi="新宋体" w:eastAsia="新宋体" w:cs="Times New Roman"/>
          <w:color w:val="auto"/>
          <w:sz w:val="24"/>
          <w:szCs w:val="20"/>
          <w:highlight w:val="none"/>
        </w:rPr>
        <w:t xml:space="preserve">（¥</w:t>
      </w:r>
      <w:r>
        <w:rPr>
          <w:rFonts w:ascii="宋体" w:hAnsi="宋体" w:eastAsia="宋体" w:cs="Times New Roman"/>
          <w:bCs/>
          <w:color w:val="auto"/>
          <w:sz w:val="24"/>
          <w:highlight w:val="none"/>
          <w:u w:val="single"/>
        </w:rPr>
        <w:t xml:space="preserve">           </w:t>
      </w:r>
      <w:r>
        <w:rPr>
          <w:rFonts w:hint="eastAsia" w:ascii="新宋体" w:hAnsi="新宋体" w:eastAsia="新宋体" w:cs="Times New Roman"/>
          <w:color w:val="auto"/>
          <w:sz w:val="24"/>
          <w:szCs w:val="20"/>
          <w:highlight w:val="none"/>
          <w:u w:val="single"/>
        </w:rPr>
        <w:t xml:space="preserve">元</w:t>
      </w:r>
      <w:r>
        <w:rPr>
          <w:rFonts w:ascii="新宋体" w:hAnsi="新宋体" w:eastAsia="新宋体" w:cs="Times New Roman"/>
          <w:color w:val="auto"/>
          <w:sz w:val="24"/>
          <w:szCs w:val="20"/>
          <w:highlight w:val="none"/>
          <w:u w:val="single"/>
        </w:rPr>
        <w:t xml:space="preserve"> </w:t>
      </w:r>
      <w:r>
        <w:rPr>
          <w:rFonts w:ascii="新宋体" w:hAnsi="新宋体" w:eastAsia="新宋体" w:cs="Times New Roman"/>
          <w:color w:val="auto"/>
          <w:sz w:val="24"/>
          <w:szCs w:val="20"/>
          <w:highlight w:val="none"/>
        </w:rPr>
        <w:t xml:space="preserve">）</w:t>
      </w:r>
      <w:r>
        <w:rPr>
          <w:rFonts w:ascii="宋体" w:hAnsi="宋体" w:eastAsia="宋体" w:cs="Times New Roman"/>
          <w:color w:val="auto"/>
          <w:sz w:val="24"/>
          <w:highlight w:val="none"/>
        </w:rPr>
        <w:t xml:space="preserve">作为本合同的履约保证金（</w:t>
      </w:r>
      <w:r>
        <w:rPr>
          <w:rFonts w:ascii="宋体" w:hAnsi="宋体" w:eastAsia="宋体" w:cs="宋体"/>
          <w:color w:val="auto"/>
          <w:sz w:val="24"/>
          <w:highlight w:val="none"/>
        </w:rPr>
        <w:t xml:space="preserve">合同金额的10%</w:t>
      </w:r>
      <w:r>
        <w:rPr>
          <w:rFonts w:ascii="宋体" w:hAnsi="宋体" w:eastAsia="宋体" w:cs="Times New Roman"/>
          <w:color w:val="auto"/>
          <w:sz w:val="24"/>
          <w:highlight w:val="none"/>
        </w:rPr>
        <w:t xml:space="preserve">）；</w:t>
      </w:r>
      <w:r>
        <w:rPr>
          <w:rFonts w:ascii="宋体" w:hAnsi="宋体" w:eastAsia="宋体" w:cs="Times New Roman"/>
          <w:b/>
          <w:color w:val="auto"/>
          <w:sz w:val="24"/>
          <w:szCs w:val="20"/>
          <w:highlight w:val="none"/>
        </w:rPr>
        <w:t xml:space="preserve">于合同履行完毕后同合同款一起无息退还</w:t>
      </w:r>
      <w:r>
        <w:rPr>
          <w:rFonts w:ascii="宋体" w:hAnsi="宋体" w:eastAsia="宋体" w:cs="Times New Roman"/>
          <w:color w:val="auto"/>
          <w:sz w:val="24"/>
          <w:highlight w:val="none"/>
        </w:rPr>
        <w:t xml:space="preserve">。</w:t>
      </w:r>
      <w:r>
        <w:rPr>
          <w:rFonts w:ascii="宋体" w:hAnsi="宋体" w:eastAsia="宋体" w:cs="Times New Roman"/>
          <w:b/>
          <w:bCs/>
          <w:color w:val="auto"/>
          <w:sz w:val="24"/>
          <w:highlight w:val="none"/>
        </w:rPr>
        <w:t xml:space="preserve">引用盐城信用办推行的第三方信用报告，AA及以上的供应商免交履约保证金， (需提供信用管理部门备案的第三方信用报告，且信用报告通过“信用盐城网”可查实)。</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6.2履约保证金的缴纳形式：</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6.2.2如以履约保函（保险）形式缴纳履约保证金，供应商可通过政府采购电子履约保函（保险）平台（www.jsdzbh.com）在线申请履约保函（保险）。</w:t>
      </w:r>
      <w:r/>
    </w:p>
    <w:p>
      <w:pPr>
        <w:ind w:firstLine="480"/>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6.3合同履行结束后，甲方应及时退还交纳的履约保证金。</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6.4.1方式：无息退还至投标人缴纳履约保证金的账户。如为保函，在到期时自行失效。</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6.4.2时间：验收合格且采购人收到发票后30日内。</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6.4.3条件：按合同要求全部履约完成并经采购人验收合格，且采购人收到中标人出具的发票。</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（4）中标人采取欺骗、弄虚作假方式投标的或与其他投标人串通投标的；</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spacing w:line="500" w:lineRule="exact"/>
        <w:rPr>
          <w:rFonts w:ascii="宋体" w:hAnsi="宋体" w:eastAsia="宋体" w:cs="Times New Roman"/>
          <w:color w:val="auto"/>
          <w:sz w:val="24"/>
          <w:highlight w:val="none"/>
        </w:rPr>
      </w:pPr>
      <w:r>
        <w:rPr>
          <w:rFonts w:ascii="宋体" w:hAnsi="宋体" w:eastAsia="宋体" w:cs="宋体"/>
          <w:color w:val="auto"/>
          <w:sz w:val="24"/>
          <w:szCs w:val="20"/>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七、转包或分包</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7.1乙方不得将合同标的转包给他人履行。</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7.2乙方不得将合同标的分包给他人履行。</w:t>
      </w:r>
      <w:r/>
    </w:p>
    <w:p>
      <w:pPr>
        <w:ind w:firstLine="482"/>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八、付款方式</w:t>
      </w:r>
      <w:r/>
    </w:p>
    <w:p>
      <w:pPr>
        <w:contextualSpacing/>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8.1合</w:t>
      </w:r>
      <w:r>
        <w:rPr>
          <w:rFonts w:hint="eastAsia" w:ascii="宋体" w:hAnsi="宋体" w:eastAsia="宋体" w:cs="宋体"/>
          <w:bCs/>
          <w:color w:val="auto"/>
          <w:sz w:val="24"/>
          <w:highlight w:val="none"/>
        </w:rPr>
        <w:t xml:space="preserve">同签订后，甲方收到乙方发票后10个工作日内支付合同总价的30%作为预付款，研究成果经采购人组织专家评审后，验收通过后，支付剩余款项。（在签订合同时，中标、成交供应商明确书面表示无需预付款或者主动要求降低预付款比例的，采购人可就预付款比例作相应调整）。</w:t>
      </w:r>
      <w:r/>
    </w:p>
    <w:p>
      <w:pPr>
        <w:contextualSpacing/>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注：以上付款均不计任何利息和相关费用，付款一律通过银行结转。每次付款前提是乙方已提供合法票据。</w:t>
      </w:r>
      <w:r/>
    </w:p>
    <w:p>
      <w:pPr>
        <w:ind w:firstLine="480"/>
        <w:spacing w:line="500" w:lineRule="exact"/>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zh-CN"/>
        </w:rPr>
        <w:t xml:space="preserve">8.2</w:t>
      </w:r>
      <w:r>
        <w:rPr>
          <w:rFonts w:hint="eastAsia" w:ascii="宋体" w:hAnsi="宋体" w:eastAsia="宋体" w:cs="宋体"/>
          <w:bCs/>
          <w:color w:val="auto"/>
          <w:sz w:val="24"/>
          <w:szCs w:val="20"/>
          <w:highlight w:val="none"/>
        </w:rPr>
        <w:t xml:space="preserve">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r/>
    </w:p>
    <w:p>
      <w:pPr>
        <w:ind w:firstLine="482"/>
        <w:spacing w:line="500" w:lineRule="exact"/>
        <w:rPr>
          <w:rFonts w:ascii="宋体" w:hAnsi="宋体" w:eastAsia="宋体" w:cs="宋体"/>
          <w:b/>
          <w:color w:val="auto"/>
          <w:sz w:val="24"/>
          <w:highlight w:val="none"/>
        </w:rPr>
      </w:pPr>
      <w:r>
        <w:rPr>
          <w:rFonts w:ascii="宋体" w:hAnsi="宋体" w:eastAsia="宋体" w:cs="宋体"/>
          <w:b/>
          <w:color w:val="auto"/>
          <w:sz w:val="24"/>
          <w:highlight w:val="none"/>
        </w:rPr>
        <w:t xml:space="preserve">九、履约验收</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9.1甲方依法组织履约验收工作。验收的依据包括采购文件的各项要求、乙方的投标文件以及甲方上级部门要求、国家相关法规政策规定。</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9.3对于实际使用人和甲方分离的项目，甲方邀请实际使用人参与验收。</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9.4如有必要，甲方邀请参加本项目的其他供应商或第三方专业机构及专家参与验收，相关意见将作为验收书的参考资料。</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tabs>
          <w:tab w:val="left" w:pos="454" w:leader="none"/>
        </w:tabs>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十、双方的权利及义务</w:t>
      </w:r>
      <w:r/>
    </w:p>
    <w:p>
      <w:pPr>
        <w:ind w:firstLine="480"/>
        <w:spacing w:line="500" w:lineRule="exact"/>
        <w:tabs>
          <w:tab w:val="left" w:pos="454"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10.1甲方应承担项目主体责任，主动参与项目相关研讨、调研等活动；乙方负责拟定调研等活动实施方案，并提供专业技术支撑与科学指导。</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10.2甲方对乙方的工作进度和阶段性成果进行监督、检查。</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10.3甲方应在合同签订后三日内，提供项目各项背景材料及政策性文件。</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10.4乙方按照合同规定及甲方要求，按时按量完成工作，按甲方需要提交书面及电子文件。</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10.5乙方须按照本项目所涉要求制定项目实施方案并报甲方同意后实施项目，履行承诺，保证质量。</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10.6甲方对乙方在项目实施中发生的违法、违规、违约行为，按法律规定、协议约定进行处理。</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10.7甲方须为乙方提供政策咨询及必要支持，在政策允许范围内协助乙方做好项目实施工作。</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10.8在项目实施过程中，乙方不得向甲方提供虚假资料或信息。</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10.9乙方应主动接受并配合甲方及相关财政、审计等部门对本项目的检查、指导和监督。</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line="500" w:lineRule="exact"/>
        <w:tabs>
          <w:tab w:val="left" w:pos="454" w:leader="none"/>
        </w:tabs>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10.11双方应对在合同签订、履行过程中知悉的对方不公开信息予以保密，且该保密义务不因合同解除或履行完毕而终止。</w:t>
      </w:r>
      <w:r/>
    </w:p>
    <w:p>
      <w:pPr>
        <w:ind w:firstLine="482"/>
        <w:spacing w:line="500" w:lineRule="exact"/>
        <w:rPr>
          <w:rFonts w:ascii="Times New Roman" w:hAnsi="宋体" w:eastAsia="宋体" w:cs="Times New Roman"/>
          <w:b/>
          <w:color w:val="auto"/>
          <w:sz w:val="24"/>
          <w:highlight w:val="none"/>
        </w:rPr>
      </w:pPr>
      <w:r>
        <w:rPr>
          <w:rFonts w:hint="eastAsia" w:ascii="Times New Roman" w:hAnsi="宋体" w:eastAsia="宋体" w:cs="Times New Roman"/>
          <w:b/>
          <w:color w:val="auto"/>
          <w:sz w:val="24"/>
          <w:highlight w:val="none"/>
        </w:rPr>
        <w:t xml:space="preserve">十一、违约责任</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00" w:lineRule="exact"/>
        <w:rPr>
          <w:rFonts w:ascii="宋体" w:hAnsi="宋体" w:eastAsia="宋体" w:cs="宋体"/>
          <w:color w:val="auto"/>
          <w:sz w:val="24"/>
          <w:szCs w:val="20"/>
          <w:highlight w:val="none"/>
        </w:rPr>
      </w:pPr>
      <w:r>
        <w:rPr>
          <w:rFonts w:hint="eastAsia" w:ascii="宋体" w:hAnsi="宋体" w:eastAsia="宋体" w:cs="Times New Roman"/>
          <w:bCs/>
          <w:color w:val="auto"/>
          <w:sz w:val="24"/>
          <w:highlight w:val="none"/>
        </w:rPr>
        <w:t xml:space="preserve">11.4</w:t>
      </w:r>
      <w:r>
        <w:rPr>
          <w:rFonts w:hint="eastAsia" w:ascii="宋体" w:hAnsi="宋体" w:eastAsia="宋体" w:cs="宋体"/>
          <w:color w:val="auto"/>
          <w:sz w:val="24"/>
          <w:szCs w:val="20"/>
          <w:highlight w:val="none"/>
        </w:rPr>
        <w:t xml:space="preserve">单位负责人为同一人或者存在直接控股、管理关系的不同供应商视为违约，</w:t>
      </w:r>
      <w:r>
        <w:rPr>
          <w:rFonts w:hint="eastAsia" w:ascii="宋体" w:hAnsi="宋体" w:eastAsia="宋体" w:cs="Times New Roman"/>
          <w:bCs/>
          <w:color w:val="auto"/>
          <w:sz w:val="24"/>
          <w:highlight w:val="none"/>
        </w:rPr>
        <w:t xml:space="preserve">甲方将</w:t>
      </w:r>
      <w:r>
        <w:rPr>
          <w:rFonts w:hint="eastAsia" w:ascii="宋体" w:hAnsi="宋体" w:eastAsia="宋体" w:cs="宋体"/>
          <w:color w:val="auto"/>
          <w:sz w:val="24"/>
          <w:szCs w:val="20"/>
          <w:highlight w:val="none"/>
        </w:rPr>
        <w:t xml:space="preserve">解除合同。</w:t>
      </w:r>
      <w:r>
        <w:rPr>
          <w:rFonts w:hint="eastAsia" w:ascii="宋体" w:hAnsi="宋体" w:eastAsia="宋体" w:cs="Times New Roman"/>
          <w:bCs/>
          <w:color w:val="auto"/>
          <w:sz w:val="24"/>
          <w:highlight w:val="none"/>
        </w:rPr>
        <w:t xml:space="preserve"> </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11.</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乙方所交的成果的技术参数、质量不符合合同规定及招标文件规定标准的，甲方有权拒收。</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11.</w:t>
      </w:r>
      <w:r>
        <w:rPr>
          <w:rFonts w:ascii="宋体" w:hAnsi="宋体" w:eastAsia="宋体" w:cs="Times New Roman"/>
          <w:bCs/>
          <w:color w:val="auto"/>
          <w:sz w:val="24"/>
          <w:highlight w:val="none"/>
        </w:rPr>
        <w:t xml:space="preserve">6</w:t>
      </w:r>
      <w:r>
        <w:rPr>
          <w:rFonts w:hint="eastAsia" w:ascii="宋体" w:hAnsi="宋体" w:eastAsia="宋体" w:cs="Times New Roman"/>
          <w:bCs/>
          <w:color w:val="auto"/>
          <w:sz w:val="24"/>
          <w:highlight w:val="none"/>
        </w:rPr>
        <w:t xml:space="preserve">若乙方违反知识产权、保密条款，除支付违约金外，还应立即停止侵权行为，消除影响，并赔偿甲方因此遭受的损失。</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十二、不可抗力事件处理</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12.1在合同有效期内，任何一方因不可抗力事件导致不能履行合同，则合同履行期可延长，其延长期与不可抗力影响期相同。</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12.2不可抗力事件发生后，应立即通知对方，并寄送有关权威机构出具的证明。</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12.3不可抗力事件延续120天以上，双方应通过友好协商，确定是否继续履行合同。</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十三、解决争议的方法</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13.1双方在签订、履行合同中所发生的一切争议，应通过友好协商解决。如协商不成，由甲方住所地人民法院管辖。</w:t>
      </w:r>
      <w:r/>
    </w:p>
    <w:p>
      <w:pPr>
        <w:ind w:firstLine="482"/>
        <w:spacing w:line="50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 xml:space="preserve">十四、合同生效及其他</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14.1合同经双方法定代表人或授权委托代表人签字并加盖单位公章后生效。</w:t>
      </w:r>
      <w:r/>
    </w:p>
    <w:p>
      <w:pPr>
        <w:ind w:firstLine="480"/>
        <w:spacing w:line="500" w:lineRule="exact"/>
        <w:tabs>
          <w:tab w:val="left" w:pos="454"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14.2本合同未尽事宜，遵照《中华人民共和国民法典》有关条文执行。</w:t>
      </w:r>
      <w:r/>
    </w:p>
    <w:p>
      <w:pPr>
        <w:ind w:firstLine="480"/>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本合同一式肆份，甲、乙各方执贰份，自甲乙双方签字、盖章之日起生效。</w:t>
      </w:r>
      <w:r/>
    </w:p>
    <w:p>
      <w:pPr>
        <w:ind w:firstLine="480"/>
        <w:spacing w:before="120" w:after="120" w:line="4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甲方：                                    乙方：</w:t>
      </w:r>
      <w:r/>
    </w:p>
    <w:p>
      <w:pPr>
        <w:ind w:firstLine="480"/>
        <w:spacing w:before="120" w:after="120" w:line="4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地址：                                    地址：</w:t>
      </w:r>
      <w:r/>
    </w:p>
    <w:p>
      <w:pPr>
        <w:ind w:firstLine="480"/>
        <w:spacing w:before="120" w:after="120" w:line="4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法定代表人或授权代表：                    法定代表人或授权代表：</w:t>
      </w:r>
      <w:r/>
    </w:p>
    <w:p>
      <w:pPr>
        <w:ind w:firstLine="480"/>
        <w:spacing w:before="120" w:after="120" w:line="4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联系电话：                                联系电话：</w:t>
      </w:r>
      <w:r/>
    </w:p>
    <w:p>
      <w:pPr>
        <w:spacing w:before="120" w:after="120" w:line="4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                              年   月   日</w:t>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br w:type="page" w:clear="all"/>
      </w:r>
      <w:r/>
    </w:p>
    <w:p>
      <w:pP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t xml:space="preserve">附件</w:t>
      </w:r>
      <w:r>
        <w:rPr>
          <w:rFonts w:hint="eastAsia" w:ascii="Times New Roman" w:hAnsi="Times New Roman" w:eastAsia="宋体" w:cs="Times New Roman"/>
          <w:b/>
          <w:color w:val="auto"/>
          <w:sz w:val="32"/>
          <w:szCs w:val="32"/>
          <w:highlight w:val="none"/>
        </w:rPr>
        <w:t xml:space="preserve"> </w:t>
      </w:r>
      <w:r>
        <w:rPr>
          <w:rFonts w:ascii="Times New Roman" w:hAnsi="Times New Roman" w:eastAsia="宋体" w:cs="Times New Roman"/>
          <w:b/>
          <w:color w:val="auto"/>
          <w:sz w:val="32"/>
          <w:szCs w:val="32"/>
          <w:highlight w:val="none"/>
        </w:rPr>
        <w:t xml:space="preserve">                      </w:t>
      </w:r>
      <w:r/>
    </w:p>
    <w:p>
      <w:pPr>
        <w:ind w:firstLine="4176"/>
        <w:spacing w:line="360" w:lineRule="auto"/>
        <w:rPr>
          <w:rFonts w:ascii="黑体" w:hAnsi="Times New Roman" w:eastAsia="黑体" w:cs="Times New Roman"/>
          <w:b/>
          <w:color w:val="auto"/>
          <w:sz w:val="24"/>
          <w:highlight w:val="none"/>
        </w:rPr>
      </w:pPr>
      <w:r>
        <w:rPr>
          <w:rFonts w:hint="eastAsia" w:ascii="Times New Roman" w:hAnsi="Times New Roman" w:eastAsia="宋体" w:cs="Times New Roman"/>
          <w:b/>
          <w:color w:val="auto"/>
          <w:sz w:val="32"/>
          <w:szCs w:val="32"/>
          <w:highlight w:val="none"/>
        </w:rPr>
        <w:t xml:space="preserve">廉政</w:t>
      </w:r>
      <w:r>
        <w:rPr>
          <w:rFonts w:ascii="Times New Roman" w:hAnsi="Times New Roman" w:eastAsia="宋体" w:cs="Times New Roman"/>
          <w:b/>
          <w:color w:val="auto"/>
          <w:sz w:val="32"/>
          <w:szCs w:val="32"/>
          <w:highlight w:val="none"/>
        </w:rPr>
        <w:t xml:space="preserve">合同</w:t>
      </w:r>
      <w:r/>
    </w:p>
    <w:p>
      <w:pPr>
        <w:ind w:firstLine="480"/>
        <w:jc w:val="left"/>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根据交通</w:t>
      </w:r>
      <w:r>
        <w:rPr>
          <w:rFonts w:hint="eastAsia" w:ascii="Calibri" w:hAnsi="Calibri" w:eastAsia="宋体" w:cs="Times New Roman"/>
          <w:color w:val="auto"/>
          <w:sz w:val="24"/>
          <w:highlight w:val="none"/>
        </w:rPr>
        <w:t xml:space="preserve">运输</w:t>
      </w:r>
      <w:r>
        <w:rPr>
          <w:rFonts w:ascii="Calibri" w:hAnsi="Calibri" w:eastAsia="宋体" w:cs="Times New Roman"/>
          <w:color w:val="auto"/>
          <w:sz w:val="24"/>
          <w:highlight w:val="none"/>
        </w:rPr>
        <w:t xml:space="preserve">部《关于在交通基础设施建设中加强廉政建设的若</w:t>
      </w:r>
      <w:r>
        <w:rPr>
          <w:rFonts w:hint="eastAsia" w:ascii="Calibri" w:hAnsi="Calibri" w:eastAsia="宋体" w:cs="Times New Roman"/>
          <w:color w:val="auto"/>
          <w:sz w:val="24"/>
          <w:highlight w:val="none"/>
        </w:rPr>
        <w:t xml:space="preserve">干</w:t>
      </w:r>
      <w:r>
        <w:rPr>
          <w:rFonts w:ascii="Calibri" w:hAnsi="Calibri" w:eastAsia="宋体" w:cs="Times New Roman"/>
          <w:color w:val="auto"/>
          <w:sz w:val="24"/>
          <w:highlight w:val="none"/>
        </w:rPr>
        <w:t xml:space="preserve">意见》以及有关工程建设、廉政建设的规定，为做好工程建设中的党风廉政建设，保证工程建设高效优质，保证建设资金的安全和有效使用以及投资效益，</w:t>
      </w:r>
      <w:r>
        <w:rPr>
          <w:rFonts w:hint="eastAsia" w:ascii="Calibri" w:hAnsi="Calibri" w:eastAsia="宋体" w:cs="Times New Roman"/>
          <w:color w:val="auto"/>
          <w:sz w:val="24"/>
          <w:highlight w:val="none"/>
          <w:u w:val="single"/>
        </w:rPr>
        <w:t xml:space="preserve">《盐城市低空起降场（点）布局方案和低空航路航线划设方案研究》项目（二次）</w:t>
      </w:r>
      <w:r>
        <w:rPr>
          <w:rFonts w:ascii="Calibri" w:hAnsi="Calibri" w:eastAsia="宋体" w:cs="Times New Roman"/>
          <w:color w:val="auto"/>
          <w:sz w:val="24"/>
          <w:highlight w:val="none"/>
        </w:rPr>
        <w:t xml:space="preserve">的</w:t>
      </w:r>
      <w:r>
        <w:rPr>
          <w:rFonts w:hint="eastAsia" w:ascii="Calibri" w:hAnsi="Calibri" w:eastAsia="宋体" w:cs="Times New Roman"/>
          <w:color w:val="auto"/>
          <w:sz w:val="24"/>
          <w:highlight w:val="none"/>
        </w:rPr>
        <w:t xml:space="preserve">采购人</w:t>
      </w:r>
      <w:r>
        <w:rPr>
          <w:rFonts w:hint="eastAsia" w:ascii="Calibri" w:hAnsi="Calibri" w:eastAsia="宋体" w:cs="Times New Roman"/>
          <w:color w:val="auto"/>
          <w:sz w:val="24"/>
          <w:highlight w:val="none"/>
          <w:u w:val="single"/>
        </w:rPr>
        <w:t xml:space="preserve">盐城市交通运输局</w:t>
      </w:r>
      <w:r>
        <w:rPr>
          <w:rFonts w:ascii="Calibri" w:hAnsi="Calibri" w:eastAsia="宋体" w:cs="Times New Roman"/>
          <w:color w:val="auto"/>
          <w:sz w:val="24"/>
          <w:highlight w:val="none"/>
        </w:rPr>
        <w:t xml:space="preserve">（以下称</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）与</w:t>
      </w:r>
      <w:r>
        <w:rPr>
          <w:rFonts w:hint="eastAsia" w:ascii="Calibri" w:hAnsi="Calibri" w:eastAsia="宋体" w:cs="Times New Roman"/>
          <w:color w:val="auto"/>
          <w:sz w:val="24"/>
          <w:highlight w:val="none"/>
        </w:rPr>
        <w:t xml:space="preserve">成交人 </w:t>
      </w:r>
      <w:r>
        <w:rPr>
          <w:rFonts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（以下称</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），特订立如下合同。</w:t>
      </w:r>
      <w:r/>
    </w:p>
    <w:p>
      <w:pPr>
        <w:ind w:firstLine="482"/>
        <w:spacing w:line="500" w:lineRule="exact"/>
        <w:rPr>
          <w:rFonts w:ascii="Calibri" w:hAnsi="Calibri" w:eastAsia="宋体" w:cs="Times New Roman"/>
          <w:b/>
          <w:bCs/>
          <w:color w:val="auto"/>
          <w:sz w:val="24"/>
          <w:highlight w:val="none"/>
        </w:rPr>
      </w:pPr>
      <w:r>
        <w:rPr>
          <w:rFonts w:ascii="Calibri" w:hAnsi="Calibri" w:eastAsia="宋体" w:cs="Times New Roman"/>
          <w:b/>
          <w:bCs/>
          <w:color w:val="auto"/>
          <w:sz w:val="24"/>
          <w:highlight w:val="none"/>
        </w:rPr>
        <w:t xml:space="preserve">第一条</w:t>
      </w:r>
      <w:r>
        <w:rPr>
          <w:rFonts w:hint="eastAsia" w:ascii="Calibri" w:hAnsi="Calibri" w:eastAsia="宋体" w:cs="Times New Roman"/>
          <w:b/>
          <w:bCs/>
          <w:color w:val="auto"/>
          <w:sz w:val="24"/>
          <w:highlight w:val="none"/>
        </w:rPr>
        <w:t xml:space="preserve"> </w:t>
      </w:r>
      <w:r>
        <w:rPr>
          <w:rFonts w:ascii="Calibri" w:hAnsi="Calibri" w:eastAsia="宋体" w:cs="Times New Roman"/>
          <w:b/>
          <w:bCs/>
          <w:color w:val="auto"/>
          <w:sz w:val="24"/>
          <w:highlight w:val="none"/>
        </w:rPr>
        <w:t xml:space="preserve">甲乙双方的权利和义务</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（一）严格遵守国家有关法律法规及交通</w:t>
      </w:r>
      <w:r>
        <w:rPr>
          <w:rFonts w:hint="eastAsia" w:ascii="Calibri" w:hAnsi="Calibri" w:eastAsia="宋体" w:cs="Times New Roman"/>
          <w:color w:val="auto"/>
          <w:sz w:val="24"/>
          <w:highlight w:val="none"/>
        </w:rPr>
        <w:t xml:space="preserve">运输</w:t>
      </w:r>
      <w:r>
        <w:rPr>
          <w:rFonts w:ascii="Calibri" w:hAnsi="Calibri" w:eastAsia="宋体" w:cs="Times New Roman"/>
          <w:color w:val="auto"/>
          <w:sz w:val="24"/>
          <w:highlight w:val="none"/>
        </w:rPr>
        <w:t xml:space="preserve">部的有关规定。</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（二）严格执行</w:t>
      </w:r>
      <w:r>
        <w:rPr>
          <w:rFonts w:hint="eastAsia" w:ascii="Calibri" w:hAnsi="Calibri" w:eastAsia="宋体" w:cs="Times New Roman"/>
          <w:color w:val="auto"/>
          <w:sz w:val="24"/>
          <w:highlight w:val="none"/>
        </w:rPr>
        <w:t xml:space="preserve">《盐城市低空起降场（点）布局方案和低空航路航线划设方案研究》项目（二次）</w:t>
      </w:r>
      <w:r>
        <w:rPr>
          <w:rFonts w:ascii="Calibri" w:hAnsi="Calibri" w:eastAsia="宋体" w:cs="Times New Roman"/>
          <w:color w:val="auto"/>
          <w:sz w:val="24"/>
          <w:highlight w:val="none"/>
        </w:rPr>
        <w:t xml:space="preserve">合同文件，自觉按合同办事。</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（四）建立健全廉政制度，开展廉政教育，设立廉政告示牌，公布举报电话，监督并认真查处违法违纪行为。</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（五）发现对方在业务活动中有违反廉政规定的行为，有及时提醒对方纠正的权利和义务。</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（六）发现对方严重违反本合同义务条款的行为，有向其上级有关部门举报、建议给予处理并要求告知处理结果的权利。</w:t>
      </w:r>
      <w:r>
        <w:rPr>
          <w:rFonts w:hint="eastAsia" w:ascii="Calibri" w:hAnsi="Calibri" w:eastAsia="宋体" w:cs="Times New Roman"/>
          <w:color w:val="auto"/>
          <w:sz w:val="24"/>
          <w:highlight w:val="none"/>
        </w:rPr>
        <w:t xml:space="preserve">影响合同履行的，可按照合同中关于合同解除的约定处理。</w:t>
      </w:r>
      <w:r/>
    </w:p>
    <w:p>
      <w:pPr>
        <w:ind w:firstLine="482"/>
        <w:spacing w:line="500" w:lineRule="exact"/>
        <w:rPr>
          <w:rFonts w:ascii="Calibri" w:hAnsi="Calibri" w:eastAsia="宋体" w:cs="Times New Roman"/>
          <w:b/>
          <w:bCs/>
          <w:color w:val="auto"/>
          <w:sz w:val="24"/>
          <w:highlight w:val="none"/>
        </w:rPr>
      </w:pPr>
      <w:r>
        <w:rPr>
          <w:rFonts w:ascii="Calibri" w:hAnsi="Calibri" w:eastAsia="宋体" w:cs="Times New Roman"/>
          <w:b/>
          <w:bCs/>
          <w:color w:val="auto"/>
          <w:sz w:val="24"/>
          <w:highlight w:val="none"/>
        </w:rPr>
        <w:t xml:space="preserve">第二条</w:t>
      </w:r>
      <w:r>
        <w:rPr>
          <w:rFonts w:hint="eastAsia" w:ascii="Calibri" w:hAnsi="Calibri" w:eastAsia="宋体" w:cs="Times New Roman"/>
          <w:b/>
          <w:bCs/>
          <w:color w:val="auto"/>
          <w:sz w:val="24"/>
          <w:highlight w:val="none"/>
        </w:rPr>
        <w:t xml:space="preserve"> 甲方</w:t>
      </w:r>
      <w:r>
        <w:rPr>
          <w:rFonts w:ascii="Calibri" w:hAnsi="Calibri" w:eastAsia="宋体" w:cs="Times New Roman"/>
          <w:b/>
          <w:bCs/>
          <w:color w:val="auto"/>
          <w:sz w:val="24"/>
          <w:highlight w:val="none"/>
        </w:rPr>
        <w:t xml:space="preserve">的义务</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（一）</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作为工程项目的建设单位，认真履行合同规定的</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责任</w:t>
      </w:r>
      <w:r>
        <w:rPr>
          <w:rFonts w:hint="eastAsia" w:ascii="Calibri" w:hAnsi="Calibri" w:eastAsia="宋体" w:cs="Times New Roman"/>
          <w:color w:val="auto"/>
          <w:sz w:val="24"/>
          <w:highlight w:val="none"/>
        </w:rPr>
        <w:t xml:space="preserve">。</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（二）</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及其工作人员不得索要或接受</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的礼金、有价证券和贵重物品，不得在</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报销任何应由</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或个人支付的费用等。</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（三）</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工作人员不得参加</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安排的超标准宴请和娱乐活动；不得接受</w:t>
      </w:r>
      <w:r>
        <w:rPr>
          <w:rFonts w:hint="eastAsia" w:ascii="Calibri" w:hAnsi="Calibri" w:eastAsia="宋体" w:cs="Times New Roman"/>
          <w:color w:val="auto"/>
          <w:sz w:val="24"/>
          <w:highlight w:val="none"/>
        </w:rPr>
        <w:t xml:space="preserve">乙方提供的通信</w:t>
      </w:r>
      <w:r>
        <w:rPr>
          <w:rFonts w:ascii="Calibri" w:hAnsi="Calibri" w:eastAsia="宋体" w:cs="Times New Roman"/>
          <w:color w:val="auto"/>
          <w:sz w:val="24"/>
          <w:highlight w:val="none"/>
        </w:rPr>
        <w:t xml:space="preserve">工具、交通工具和高档办公用品等。</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（四）</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及其工作人员不得要求或者接受</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为其住房装修、婚丧嫁娶活动、配偶子女的工作安排以及出国出境、旅游等提供方便等。</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rPr>
        <w:t xml:space="preserve">五</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工作人员的配偶、子女不得从事与</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工程有关的</w:t>
      </w:r>
      <w:r>
        <w:rPr>
          <w:rFonts w:hint="eastAsia" w:ascii="Calibri" w:hAnsi="Calibri" w:eastAsia="宋体" w:cs="Times New Roman"/>
          <w:color w:val="auto"/>
          <w:sz w:val="24"/>
          <w:highlight w:val="none"/>
        </w:rPr>
        <w:t xml:space="preserve">技术服务</w:t>
      </w:r>
      <w:r>
        <w:rPr>
          <w:rFonts w:ascii="Calibri" w:hAnsi="Calibri" w:eastAsia="宋体" w:cs="Times New Roman"/>
          <w:color w:val="auto"/>
          <w:sz w:val="24"/>
          <w:highlight w:val="none"/>
        </w:rPr>
        <w:t xml:space="preserve">分包项目。</w:t>
      </w:r>
      <w:r/>
    </w:p>
    <w:p>
      <w:pPr>
        <w:ind w:firstLine="482"/>
        <w:spacing w:line="500" w:lineRule="exact"/>
        <w:rPr>
          <w:rFonts w:ascii="Calibri" w:hAnsi="Calibri" w:eastAsia="宋体" w:cs="Times New Roman"/>
          <w:b/>
          <w:bCs/>
          <w:color w:val="auto"/>
          <w:sz w:val="24"/>
          <w:highlight w:val="none"/>
        </w:rPr>
      </w:pPr>
      <w:r>
        <w:rPr>
          <w:rFonts w:ascii="Calibri" w:hAnsi="Calibri" w:eastAsia="宋体" w:cs="Times New Roman"/>
          <w:b/>
          <w:bCs/>
          <w:color w:val="auto"/>
          <w:sz w:val="24"/>
          <w:highlight w:val="none"/>
        </w:rPr>
        <w:t xml:space="preserve">第三条</w:t>
      </w:r>
      <w:r>
        <w:rPr>
          <w:rFonts w:hint="eastAsia" w:ascii="Calibri" w:hAnsi="Calibri" w:eastAsia="宋体" w:cs="Times New Roman"/>
          <w:b/>
          <w:bCs/>
          <w:color w:val="auto"/>
          <w:sz w:val="24"/>
          <w:highlight w:val="none"/>
        </w:rPr>
        <w:t xml:space="preserve"> 乙方的</w:t>
      </w:r>
      <w:r>
        <w:rPr>
          <w:rFonts w:ascii="Calibri" w:hAnsi="Calibri" w:eastAsia="宋体" w:cs="Times New Roman"/>
          <w:b/>
          <w:bCs/>
          <w:color w:val="auto"/>
          <w:sz w:val="24"/>
          <w:highlight w:val="none"/>
        </w:rPr>
        <w:t xml:space="preserve">义务</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（一）</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不得以任何理由向</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及其工作人员行贿或馈赠礼金、有价证券、贵重礼品。</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（二）</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不得以任何名义为</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及其工作人员报销应由</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单位或个人支付的任何费用。</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（三）</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不得以任何理由安排</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工作人员参加超标准宴请及娱乐活动。</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（四）</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不得为</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单位和个人购置或</w:t>
      </w:r>
      <w:r>
        <w:rPr>
          <w:rFonts w:hint="eastAsia" w:ascii="Calibri" w:hAnsi="Calibri" w:eastAsia="宋体" w:cs="Times New Roman"/>
          <w:color w:val="auto"/>
          <w:sz w:val="24"/>
          <w:highlight w:val="none"/>
        </w:rPr>
        <w:t xml:space="preserve">提供通信</w:t>
      </w:r>
      <w:r>
        <w:rPr>
          <w:rFonts w:ascii="Calibri" w:hAnsi="Calibri" w:eastAsia="宋体" w:cs="Times New Roman"/>
          <w:color w:val="auto"/>
          <w:sz w:val="24"/>
          <w:highlight w:val="none"/>
        </w:rPr>
        <w:t xml:space="preserve">工具、交通工具和高档办公用品等。</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（五）</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及其工作人员不得索取或接受</w:t>
      </w:r>
      <w:r>
        <w:rPr>
          <w:rFonts w:hint="eastAsia" w:ascii="Calibri" w:hAnsi="Calibri" w:eastAsia="宋体" w:cs="Times New Roman"/>
          <w:color w:val="auto"/>
          <w:sz w:val="24"/>
          <w:highlight w:val="none"/>
        </w:rPr>
        <w:t xml:space="preserve">工作关系</w:t>
      </w:r>
      <w:r>
        <w:rPr>
          <w:rFonts w:ascii="Calibri" w:hAnsi="Calibri" w:eastAsia="宋体" w:cs="Times New Roman"/>
          <w:color w:val="auto"/>
          <w:sz w:val="24"/>
          <w:highlight w:val="none"/>
        </w:rPr>
        <w:t xml:space="preserve">单位的礼金、有价证券和贵重物品，不得在</w:t>
      </w:r>
      <w:r>
        <w:rPr>
          <w:rFonts w:hint="eastAsia" w:ascii="Calibri" w:hAnsi="Calibri" w:eastAsia="宋体" w:cs="Times New Roman"/>
          <w:color w:val="auto"/>
          <w:sz w:val="24"/>
          <w:highlight w:val="none"/>
        </w:rPr>
        <w:t xml:space="preserve">工作关系</w:t>
      </w:r>
      <w:r>
        <w:rPr>
          <w:rFonts w:ascii="Calibri" w:hAnsi="Calibri" w:eastAsia="宋体" w:cs="Times New Roman"/>
          <w:color w:val="auto"/>
          <w:sz w:val="24"/>
          <w:highlight w:val="none"/>
        </w:rPr>
        <w:t xml:space="preserve">报销任何应由</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或个人支付的费用。</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（六）</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及其工作人员必须严格按照</w:t>
      </w:r>
      <w:r>
        <w:rPr>
          <w:rFonts w:hint="eastAsia" w:ascii="Calibri" w:hAnsi="Calibri" w:eastAsia="宋体" w:cs="Times New Roman"/>
          <w:color w:val="auto"/>
          <w:sz w:val="24"/>
          <w:highlight w:val="none"/>
        </w:rPr>
        <w:t xml:space="preserve">技术服务合同</w:t>
      </w:r>
      <w:r>
        <w:rPr>
          <w:rFonts w:ascii="Calibri" w:hAnsi="Calibri" w:eastAsia="宋体" w:cs="Times New Roman"/>
          <w:color w:val="auto"/>
          <w:sz w:val="24"/>
          <w:highlight w:val="none"/>
        </w:rPr>
        <w:t xml:space="preserve">办事，不得损害</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利益。</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第四条</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违约责任</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（一）</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及其工作人员违反本合同第一、二条；按管理权限，依据有关规定给予党纪、政纪或组织处理；涉嫌犯罪的，移交司法机关追究刑事责任；给</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单位造成经济损失的，应予以赔偿。</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（二）</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及其工作人员违反本合同第一、三条，按管理权限依据有关规定，给予党纪、政纪或组织处理；给</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单位造成经济损失的，应予以赔偿；情节严重的，</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建议交通工程建设主管部门给予</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一至三年内不得进入其主管的交通工程建设市场的处罚。</w:t>
      </w:r>
      <w:r/>
    </w:p>
    <w:p>
      <w:pPr>
        <w:ind w:firstLine="482"/>
        <w:spacing w:line="500" w:lineRule="exact"/>
        <w:rPr>
          <w:rFonts w:ascii="Calibri" w:hAnsi="Calibri" w:eastAsia="宋体" w:cs="Times New Roman"/>
          <w:color w:val="auto"/>
          <w:sz w:val="24"/>
          <w:highlight w:val="none"/>
        </w:rPr>
      </w:pPr>
      <w:r>
        <w:rPr>
          <w:rFonts w:ascii="Calibri" w:hAnsi="Calibri" w:eastAsia="宋体" w:cs="Times New Roman"/>
          <w:b/>
          <w:bCs/>
          <w:color w:val="auto"/>
          <w:sz w:val="24"/>
          <w:highlight w:val="none"/>
        </w:rPr>
        <w:t xml:space="preserve">第五条</w:t>
      </w:r>
      <w:r>
        <w:rPr>
          <w:rFonts w:hint="eastAsia" w:ascii="Calibri" w:hAnsi="Calibri" w:eastAsia="宋体" w:cs="Times New Roman"/>
          <w:b/>
          <w:bCs/>
          <w:color w:val="auto"/>
          <w:sz w:val="24"/>
          <w:highlight w:val="none"/>
        </w:rPr>
        <w:t xml:space="preserve"> </w:t>
      </w:r>
      <w:r>
        <w:rPr>
          <w:rFonts w:ascii="Calibri" w:hAnsi="Calibri" w:eastAsia="宋体" w:cs="Times New Roman"/>
          <w:color w:val="auto"/>
          <w:sz w:val="24"/>
          <w:highlight w:val="none"/>
        </w:rPr>
        <w:t xml:space="preserve">双方约定：本合同由双方或双方上级单位的纪检监察机关负责监督执行。由</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上级单位的纪检监察机关约请</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乙方</w:t>
      </w:r>
      <w:r>
        <w:rPr>
          <w:rFonts w:ascii="Calibri" w:hAnsi="Calibri" w:eastAsia="宋体" w:cs="Times New Roman"/>
          <w:color w:val="auto"/>
          <w:sz w:val="24"/>
          <w:highlight w:val="none"/>
        </w:rPr>
        <w:t xml:space="preserve">上级单位纪检监察机关对本合同执行情况进行检查；提出在本合同规定范围内的裁定意见。</w:t>
      </w:r>
      <w:r/>
    </w:p>
    <w:p>
      <w:pPr>
        <w:ind w:firstLine="482"/>
        <w:spacing w:line="500" w:lineRule="exact"/>
        <w:rPr>
          <w:rFonts w:ascii="Calibri" w:hAnsi="Calibri" w:eastAsia="宋体" w:cs="Times New Roman"/>
          <w:color w:val="auto"/>
          <w:sz w:val="24"/>
          <w:highlight w:val="none"/>
        </w:rPr>
      </w:pPr>
      <w:r>
        <w:rPr>
          <w:rFonts w:ascii="Calibri" w:hAnsi="Calibri" w:eastAsia="宋体" w:cs="Times New Roman"/>
          <w:b/>
          <w:bCs/>
          <w:color w:val="auto"/>
          <w:sz w:val="24"/>
          <w:highlight w:val="none"/>
        </w:rPr>
        <w:t xml:space="preserve">第六条</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本合同有效期为甲乙双方签署之日起至</w:t>
      </w:r>
      <w:r>
        <w:rPr>
          <w:rFonts w:hint="eastAsia" w:ascii="Calibri" w:hAnsi="Calibri" w:eastAsia="宋体" w:cs="Times New Roman"/>
          <w:color w:val="auto"/>
          <w:sz w:val="24"/>
          <w:highlight w:val="none"/>
        </w:rPr>
        <w:t xml:space="preserve">本</w:t>
      </w:r>
      <w:r>
        <w:rPr>
          <w:rFonts w:ascii="Calibri" w:hAnsi="Calibri" w:eastAsia="宋体" w:cs="Times New Roman"/>
          <w:color w:val="auto"/>
          <w:sz w:val="24"/>
          <w:highlight w:val="none"/>
        </w:rPr>
        <w:t xml:space="preserve">项目</w:t>
      </w:r>
      <w:r>
        <w:rPr>
          <w:rFonts w:hint="eastAsia" w:ascii="Calibri" w:hAnsi="Calibri" w:eastAsia="宋体" w:cs="Times New Roman"/>
          <w:color w:val="auto"/>
          <w:sz w:val="24"/>
          <w:highlight w:val="none"/>
        </w:rPr>
        <w:t xml:space="preserve">服务期满</w:t>
      </w:r>
      <w:r>
        <w:rPr>
          <w:rFonts w:ascii="Calibri" w:hAnsi="Calibri" w:eastAsia="宋体" w:cs="Times New Roman"/>
          <w:color w:val="auto"/>
          <w:sz w:val="24"/>
          <w:highlight w:val="none"/>
        </w:rPr>
        <w:t xml:space="preserve">后止。</w:t>
      </w:r>
      <w:r/>
    </w:p>
    <w:p>
      <w:pPr>
        <w:ind w:firstLine="482"/>
        <w:spacing w:line="500" w:lineRule="exact"/>
        <w:rPr>
          <w:rFonts w:ascii="Calibri" w:hAnsi="Calibri" w:eastAsia="宋体" w:cs="Times New Roman"/>
          <w:color w:val="auto"/>
          <w:sz w:val="24"/>
          <w:highlight w:val="none"/>
        </w:rPr>
      </w:pPr>
      <w:r>
        <w:rPr>
          <w:rFonts w:ascii="Calibri" w:hAnsi="Calibri" w:eastAsia="宋体" w:cs="Times New Roman"/>
          <w:b/>
          <w:bCs/>
          <w:color w:val="auto"/>
          <w:sz w:val="24"/>
          <w:highlight w:val="none"/>
        </w:rPr>
        <w:t xml:space="preserve">第七条</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本合同作为</w:t>
      </w:r>
      <w:r>
        <w:rPr>
          <w:rFonts w:hint="eastAsia" w:ascii="Calibri" w:hAnsi="Calibri" w:eastAsia="宋体" w:cs="Times New Roman"/>
          <w:color w:val="auto"/>
          <w:sz w:val="24"/>
          <w:highlight w:val="none"/>
          <w:u w:val="single"/>
        </w:rPr>
        <w:t xml:space="preserve">《盐城市低空起降场（点）布局方案和低空航路航线划设方案研究》项目（二次）</w:t>
      </w:r>
      <w:r>
        <w:rPr>
          <w:rFonts w:ascii="Calibri" w:hAnsi="Calibri" w:eastAsia="宋体" w:cs="Times New Roman"/>
          <w:color w:val="auto"/>
          <w:sz w:val="24"/>
          <w:highlight w:val="none"/>
        </w:rPr>
        <w:t xml:space="preserve">合同的附件，与</w:t>
      </w:r>
      <w:r>
        <w:rPr>
          <w:rFonts w:hint="eastAsia" w:ascii="Calibri" w:hAnsi="Calibri" w:eastAsia="宋体" w:cs="Times New Roman"/>
          <w:color w:val="auto"/>
          <w:sz w:val="24"/>
          <w:highlight w:val="none"/>
          <w:u w:val="single"/>
        </w:rPr>
        <w:t xml:space="preserve">《盐城市低空起降场（点）布局方案和低空航路航线划设方案研究》项目（二次）</w:t>
      </w:r>
      <w:r>
        <w:rPr>
          <w:rFonts w:ascii="Calibri" w:hAnsi="Calibri" w:eastAsia="宋体" w:cs="Times New Roman"/>
          <w:color w:val="auto"/>
          <w:sz w:val="24"/>
          <w:highlight w:val="none"/>
        </w:rPr>
        <w:t xml:space="preserve">合同具有同等的法律效力，经合同双方签署立即生效。</w:t>
      </w:r>
      <w:r/>
    </w:p>
    <w:p>
      <w:pPr>
        <w:ind w:firstLine="482"/>
        <w:spacing w:line="500" w:lineRule="exact"/>
        <w:rPr>
          <w:rFonts w:ascii="Calibri" w:hAnsi="Calibri" w:eastAsia="宋体" w:cs="Times New Roman"/>
          <w:color w:val="auto"/>
          <w:sz w:val="24"/>
          <w:highlight w:val="none"/>
        </w:rPr>
      </w:pPr>
      <w:r>
        <w:rPr>
          <w:rFonts w:hint="eastAsia" w:ascii="Calibri" w:hAnsi="Calibri" w:eastAsia="宋体" w:cs="Times New Roman"/>
          <w:b/>
          <w:bCs/>
          <w:color w:val="auto"/>
          <w:sz w:val="24"/>
          <w:highlight w:val="none"/>
        </w:rPr>
        <w:t xml:space="preserve">第八条 </w:t>
      </w:r>
      <w:r>
        <w:rPr>
          <w:rFonts w:hint="eastAsia" w:ascii="Calibri" w:hAnsi="Calibri" w:eastAsia="宋体" w:cs="Times New Roman"/>
          <w:color w:val="auto"/>
          <w:sz w:val="24"/>
          <w:highlight w:val="none"/>
        </w:rPr>
        <w:t xml:space="preserve">本合同一式肆份，甲、乙各方执贰份，自甲乙双方签字、盖章之日起生效。</w:t>
      </w:r>
      <w:r/>
    </w:p>
    <w:p>
      <w:pPr>
        <w:ind w:firstLine="480"/>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甲方</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w:t>
      </w:r>
      <w:r>
        <w:rPr>
          <w:rFonts w:hint="eastAsia" w:ascii="Calibri" w:hAnsi="Calibri" w:eastAsia="宋体" w:cs="Times New Roman"/>
          <w:color w:val="auto"/>
          <w:sz w:val="24"/>
          <w:highlight w:val="none"/>
        </w:rPr>
        <w:t xml:space="preserve">   乙方</w:t>
      </w:r>
      <w:r>
        <w:rPr>
          <w:rFonts w:ascii="Calibri" w:hAnsi="Calibri" w:eastAsia="宋体" w:cs="Times New Roman"/>
          <w:color w:val="auto"/>
          <w:sz w:val="24"/>
          <w:highlight w:val="none"/>
        </w:rPr>
        <w:t xml:space="preserve">：</w:t>
      </w:r>
      <w:r/>
    </w:p>
    <w:p>
      <w:pPr>
        <w:ind w:firstLine="480"/>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（盖章）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（盖章）</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法定代表人或其授权的代理人：</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法定代表人或其授权的代理人：</w:t>
      </w:r>
      <w:r>
        <w:rPr>
          <w:rFonts w:hint="eastAsia" w:ascii="Calibri" w:hAnsi="Calibri" w:eastAsia="宋体" w:cs="Times New Roman"/>
          <w:color w:val="auto"/>
          <w:sz w:val="24"/>
          <w:highlight w:val="none"/>
        </w:rPr>
        <w:t xml:space="preserve"> </w:t>
      </w:r>
      <w:r/>
    </w:p>
    <w:p>
      <w:pPr>
        <w:ind w:firstLine="480"/>
        <w:spacing w:line="500" w:lineRule="exact"/>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（签字）</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                               </w:t>
      </w:r>
      <w:r>
        <w:rPr>
          <w:rFonts w:hint="eastAsia" w:ascii="Calibri" w:hAnsi="Calibri" w:eastAsia="宋体" w:cs="Times New Roman"/>
          <w:color w:val="auto"/>
          <w:sz w:val="24"/>
          <w:highlight w:val="none"/>
        </w:rPr>
        <w:t xml:space="preserve">  </w:t>
      </w:r>
      <w:r>
        <w:rPr>
          <w:rFonts w:ascii="Calibri" w:hAnsi="Calibri" w:eastAsia="宋体" w:cs="Times New Roman"/>
          <w:color w:val="auto"/>
          <w:sz w:val="24"/>
          <w:highlight w:val="none"/>
        </w:rPr>
        <w:t xml:space="preserve">（签字） </w:t>
      </w:r>
      <w:r/>
    </w:p>
    <w:p>
      <w:pPr>
        <w:jc w:val="left"/>
        <w:widowControl/>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br w:type="page" w:clear="all"/>
      </w:r>
      <w:r/>
    </w:p>
    <w:p>
      <w:pPr>
        <w:ind w:firstLine="480"/>
        <w:spacing w:line="508" w:lineRule="exact"/>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31"/>
        <w:jc w:val="center"/>
        <w:spacing w:beforeAutospacing="0" w:afterAutospacing="0" w:line="508" w:lineRule="exact"/>
        <w:rPr>
          <w:rFonts w:ascii="方正小标宋_GBK" w:hAnsi="方正小标宋_GBK" w:eastAsia="方正小标宋_GBK" w:cs="方正小标宋_GBK"/>
          <w:color w:val="auto"/>
          <w:sz w:val="44"/>
          <w:szCs w:val="44"/>
          <w:highlight w:val="none"/>
        </w:rPr>
        <w:outlineLvl w:val="0"/>
      </w:pPr>
      <w:r/>
      <w:bookmarkStart w:id="176" w:name="_Toc222837041"/>
      <w:r/>
      <w:bookmarkStart w:id="177" w:name="OLE_LINK43"/>
      <w:r>
        <w:rPr>
          <w:rFonts w:hint="eastAsia" w:ascii="方正小标宋_GBK" w:hAnsi="方正小标宋_GBK" w:eastAsia="方正小标宋_GBK" w:cs="方正小标宋_GBK"/>
          <w:color w:val="auto"/>
          <w:sz w:val="44"/>
          <w:szCs w:val="44"/>
          <w:highlight w:val="none"/>
        </w:rPr>
        <w:t xml:space="preserve">第四章采购需求</w:t>
      </w:r>
      <w:bookmarkEnd w:id="176"/>
      <w:r/>
      <w:bookmarkStart w:id="178" w:name="_Toc49090575"/>
      <w:r/>
      <w:bookmarkEnd w:id="178"/>
      <w:r/>
      <w:bookmarkStart w:id="179" w:name="_Toc26554093"/>
      <w:r/>
      <w:bookmarkEnd w:id="179"/>
      <w:r/>
      <w:r/>
    </w:p>
    <w:p>
      <w:pPr>
        <w:ind w:firstLine="482"/>
        <w:spacing w:line="560" w:lineRule="exact"/>
        <w:rPr>
          <w:rFonts w:ascii="宋体" w:hAnsi="宋体" w:eastAsia="宋体" w:cs="宋体"/>
          <w:b/>
          <w:bCs/>
          <w:color w:val="auto"/>
          <w:sz w:val="24"/>
          <w:highlight w:val="none"/>
        </w:rPr>
      </w:pPr>
      <w:r/>
      <w:bookmarkStart w:id="180" w:name="OLE_LINK1"/>
      <w:r/>
      <w:bookmarkStart w:id="181" w:name="OLE_LINK17"/>
      <w:r/>
      <w:bookmarkStart w:id="182" w:name="OLE_LINK2"/>
      <w:r/>
      <w:bookmarkStart w:id="183" w:name="OLE_LINK16"/>
      <w:r/>
      <w:bookmarkStart w:id="184" w:name="_Toc222837042"/>
      <w:r/>
      <w:bookmarkStart w:id="185" w:name="_Toc120614281"/>
      <w:r>
        <w:rPr>
          <w:rFonts w:hint="eastAsia" w:ascii="宋体" w:hAnsi="宋体" w:eastAsia="宋体" w:cs="宋体"/>
          <w:b/>
          <w:bCs/>
          <w:color w:val="auto"/>
          <w:sz w:val="24"/>
          <w:highlight w:val="none"/>
        </w:rPr>
        <w:t xml:space="preserve">一、项目背景</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当前，低空经济已成为新一轮产业变革的“新蓝海”和培育新质生产力的关键赛道，全国范围内低空经济正从“蓄势积能”向“加速腾飞”跨越。低空起降场（点）与低空航路航线是低空经济发展的核心基础设施，是保障低空航空器安全常态化运行、拓展多元应用场景、推动产业规范化规模化发展的重要基础，是健全低空经济产业体系的关键支撑。</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国家层面已建立层级完备的低空经济法治与政策体系。2023年12月，为充分利用国家空域资源，规范空域划设和管理使用，中央空管委制定并发布了《国家空域基础分类方法》。2025年12月，国家</w:t>
      </w:r>
      <w:r>
        <w:rPr>
          <w:rFonts w:hint="eastAsia" w:ascii="宋体" w:hAnsi="宋体" w:eastAsia="宋体" w:cs="Times New Roman"/>
          <w:color w:val="auto"/>
          <w:sz w:val="24"/>
          <w:highlight w:val="none"/>
        </w:rPr>
        <w:t xml:space="preserve">发改委等12个部门联合印发《关于做好低空基础设施项目规划建设管理工作的通知》《低空垂直起降设施建设导则（试行）》《低空公共航路配套设施设备建设管理等导则（试行）》等，为全国低空基础设施建设提供顶层指引；中央空管委发布《国家空域基础分类方法》，统一全国空域分类与管理规则；2026年7月1日正式实施的《中华人民共和国民用航空法》，首次将低空经济纳入法治化管理体系，明确300米以下低空空域实行分级管控，划分0-120米开放类空域、120-300米管控类空域，破解“飞不了、批得慢”的痛点，将无人机纳入适航管理体系。</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江苏省统筹推进全域低空经济一体化发展，出台《江苏省低空起降场（点）布设指南》，建立四级起降设施分类</w:t>
      </w:r>
      <w:r>
        <w:rPr>
          <w:rFonts w:hint="eastAsia" w:ascii="宋体" w:hAnsi="宋体" w:eastAsia="宋体" w:cs="Times New Roman"/>
          <w:color w:val="auto"/>
          <w:sz w:val="24"/>
          <w:highlight w:val="none"/>
        </w:rPr>
        <w:t xml:space="preserve">体系；发布《低空空域划设(提报)指南》（T/JSCTS 69—2025），明确省域低空空域和航线划设的总则、方法和要求，规范了管制空域、临时空域等各类空域的划设标准，将航线划分为Ⅰ级（区域主干航线）、Ⅱ级（地级市范围内干线）、Ⅲ级（地级市内主干航线补充）及其他航线，要求航线划设避开人口高密度区域，结合场景需求、机型性能确定高度，实现与起降场（点）的有效衔接，并要求各地结合自身产业基础和资源禀赋，开展低空空域资源普查与评估，科学划设低空航路网络，科学布局起降设施和划设航路网络，推动低空经济与地方产业深度融合。</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目前，我市低空经济发展仍存在明显短板，主要表</w:t>
      </w:r>
      <w:r>
        <w:rPr>
          <w:rFonts w:hint="eastAsia" w:ascii="宋体" w:hAnsi="宋体" w:eastAsia="宋体" w:cs="Times New Roman"/>
          <w:color w:val="auto"/>
          <w:sz w:val="24"/>
          <w:highlight w:val="none"/>
        </w:rPr>
        <w:t xml:space="preserve">现为起降场（点）布局缺乏系统规划、空间布局不均、空域利用效率不高、航路航线覆盖不足、配套保障体系不完善，难以适配日益增长的常态化、多元化低空飞行需求，制约全市低空经济提质扩容、场景落地和产业集聚发展。2025年12月，盐城市出台《盐城市低空经济发展规划（2025—2030年）》和三年高质量发展实施方案，明确提出要按照“适度超前、集约高效”原则，稳步推进航路网、设施网、智联网、服务网建设，构建系统完备、资源共享、安全可靠的低空基础设施体系，要加强低空空域划设管理，分级规划航路航线网络，积极布局地面起降设施网。</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为全面落实国家、省、市关于低空经济发展的决策部署，对标各级空域管理与设施建设规范，补齐我市低空基础设施布局、航路网络划设及空域利用短板，科学盘活市域低空资源，构建布局合理、层级清晰、衔接高效、安全可控的低空起降设施体系和航路航线网络，推动盐城低空经济规范化、规模化、高质量发展，特组织开展本次专项方案研究，遴选第三方专业机构提供技术支撑，为全市低空经济产业集聚、场景落地、业态创新提供科学依据和实施路径。</w:t>
      </w:r>
      <w:bookmarkEnd w:id="180"/>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二、研究内容</w:t>
      </w:r>
      <w:r/>
    </w:p>
    <w:p>
      <w:pPr>
        <w:ind w:firstLine="480"/>
        <w:spacing w:line="570" w:lineRule="exact"/>
        <w:rPr>
          <w:rFonts w:ascii="宋体" w:hAnsi="宋体" w:eastAsia="宋体" w:cs="Times New Roman"/>
          <w:color w:val="auto"/>
          <w:sz w:val="24"/>
          <w:highlight w:val="none"/>
        </w:rPr>
      </w:pPr>
      <w:r/>
      <w:bookmarkStart w:id="186" w:name="OLE_LINK7"/>
      <w:r>
        <w:rPr>
          <w:rFonts w:hint="eastAsia" w:ascii="宋体" w:hAnsi="宋体" w:eastAsia="宋体" w:cs="Times New Roman"/>
          <w:color w:val="auto"/>
          <w:sz w:val="24"/>
          <w:highlight w:val="none"/>
        </w:rPr>
        <w:t xml:space="preserve">1.摸排全市低空空域环境</w:t>
      </w:r>
      <w:bookmarkStart w:id="187" w:name="OLE_LINK4"/>
      <w:r/>
      <w:bookmarkStart w:id="188" w:name="OLE_LINK5"/>
      <w:r>
        <w:rPr>
          <w:rFonts w:hint="eastAsia" w:ascii="宋体" w:hAnsi="宋体" w:eastAsia="宋体" w:cs="Times New Roman"/>
          <w:color w:val="auto"/>
          <w:sz w:val="24"/>
          <w:highlight w:val="none"/>
        </w:rPr>
        <w:t xml:space="preserve">、起降设施和</w:t>
      </w:r>
      <w:bookmarkEnd w:id="187"/>
      <w:r/>
      <w:bookmarkEnd w:id="188"/>
      <w:r>
        <w:rPr>
          <w:rFonts w:hint="eastAsia" w:ascii="宋体" w:hAnsi="宋体" w:eastAsia="宋体" w:cs="Times New Roman"/>
          <w:color w:val="auto"/>
          <w:sz w:val="24"/>
          <w:highlight w:val="none"/>
        </w:rPr>
        <w:t xml:space="preserve">飞行活动现状。系统梳理盐城全域低空空域结构、飞行活动现状、起降场（点）及配套设施基础、通信网络条件、地形地貌、高层建筑及障碍物分布等基础要素，开展空域限制区及净空障碍物条件分析、城市屋面起降设施选址适宜性分析等，摸排识别低空飞行各类约束条件，包含军民航管制数据、电磁干扰、复杂气象分区、禁限飞管控区域、重点防护目标等；分层分类评估全市低空空域、起降场（点）运行现状和矛盾点，形成全市低空资源数据库和现状调研分析成果。</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综合研判低空经济发展形势与飞行需求。深入解读国家、省、市三级低空经济政策法规与标准规范，综合研判低空领域改革趋势与发展形势。梳理借鉴国内先进城市在低空起降基础设施布局、低空空域与航路航线划设方面的先进经验，结合市域产业特点、空间格局、应用场景、空域容量和管控要求，科学研判全市低空飞行需求，形成分场景、分区域飞行需求分析报告，提出不同应用场景的低空基础设施、低空空域及航路航线分级分类划设方法。</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科学划设全市低空适航适飞空域。深入解读全国低空空域改革精神要求，根据国家低空空域最新政策法规和标准规范，结合盐城市低空空域资源情况和飞行活动特点，充分考虑低空飞行约束条件，明确全市域内适合开展低空飞行活动的区域范围，并按照空域资源使用难易程度、利用效率和适合场景，分类分层划设全市低空适航适飞空域。</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提出低空起降场（点）布局方案。以问题和需求为导向，紧扣全市低空经济发展战略部署，衔接省级低空起降场（点）规划布局要求，明确盐城市低空起降场（点）布局的指导思想、基本原则与发展目标，构建完善的低空起降设施功能体系，形成盐城市低空起降场（点）布局方案，明确各类起降场的数量、位置、类型、规模、功能定位和选址要求，实现各县（市、区）起降场（点）全覆盖。</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编制低空航路航线布局方案。根据我市低空空域条件和用空需求，依据国家、省、市的相关法规政策要求，坚持统筹安全与发展，研究提出盐城市低空公共航路和低空航线网络划设方案。以低空公共航路为核心，以低空起降场（点）为节点，分级分类明确全域低空航线的网络布局、空间信息、总体规模、飞行流量和功能定位等，并配套提出与周边城市、都市圈衔接互通方案。</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6.提出保障措施、建设指引及近期建设计划。探索建立低空空域、航路航线使用规范、申报流程</w:t>
      </w:r>
      <w:r>
        <w:rPr>
          <w:rFonts w:hint="eastAsia" w:ascii="宋体" w:hAnsi="宋体" w:eastAsia="宋体" w:cs="Times New Roman"/>
          <w:color w:val="auto"/>
          <w:sz w:val="24"/>
          <w:highlight w:val="none"/>
        </w:rPr>
        <w:t xml:space="preserve">、管控制度及安全保障体系，形成军地协同、跨部门联动的低空飞行管理机制。提出低空航路航线安全运行和起降场（点）必须满足的通信、导航、监视、气象、安防等配套设施能力，以及航空器性能和营运管理等运行要求。制定盐城市低空起降场（点）建设指引，指导低空起降设施场址选择、规划及建设实施工作，从政策、资金、土地、安全等方面提出实施保障措施。结合低空应用场景成熟度、航空器技术水平、市场需求紧迫性及经济社会效益，综合评估筛选重点建设内容，制定近期（3-5年）低空航路航线和低空起降场（点）建设计划，明确重点项目清单、建设时序。</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w:t>
      </w:r>
      <w:bookmarkEnd w:id="186"/>
      <w:r>
        <w:rPr>
          <w:rFonts w:hint="eastAsia" w:ascii="宋体" w:hAnsi="宋体" w:eastAsia="宋体" w:cs="Times New Roman"/>
          <w:color w:val="auto"/>
          <w:sz w:val="24"/>
          <w:highlight w:val="none"/>
        </w:rPr>
        <w:t xml:space="preserve"> 构建全市低空空域航路数字模型。整合空域、航路航线、约束管控等要素数据，构建标准化、可迭代的盐城市低空空域、航路航线三维数字模型，选取示范航线开展运行可行性综合论证，为低空空域常态化审批、动态更新、运营管控提供数字化支撑。</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三、预期工作成果</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《盐城市低空起降场（点）布局和航路航线划设方案（2026-2035年）》成果报告，提交文本50份及电子文件1份，同时提供相关技术表格、图集、汇报PPT等。</w:t>
      </w:r>
      <w:r/>
    </w:p>
    <w:p>
      <w:pPr>
        <w:ind w:firstLine="482"/>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四、计划进度安排</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1.合同签订后1个月内，形成研究工作大纲；</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2.合同签订后5个月内，形成初步成果；</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3.合同签订后8个月内，形成送审稿；</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4.合同签订后12个月内，形成最终成果并通过评审。</w:t>
      </w:r>
      <w:r/>
    </w:p>
    <w:p>
      <w:pPr>
        <w:ind w:firstLine="482"/>
        <w:spacing w:line="57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五、验收方式：</w:t>
      </w:r>
      <w:r/>
    </w:p>
    <w:p>
      <w:pPr>
        <w:ind w:firstLine="480"/>
        <w:spacing w:line="570" w:lineRule="exact"/>
        <w:rPr>
          <w:rFonts w:ascii="Times New Roman" w:hAnsi="Times New Roman" w:eastAsia="方正仿宋_GBK" w:cs="Times New Roman"/>
          <w:color w:val="auto"/>
          <w:sz w:val="32"/>
          <w:szCs w:val="32"/>
          <w:highlight w:val="none"/>
        </w:rPr>
      </w:pPr>
      <w:r>
        <w:rPr>
          <w:rFonts w:hint="eastAsia" w:ascii="宋体" w:hAnsi="宋体" w:eastAsia="宋体" w:cs="Times New Roman"/>
          <w:color w:val="auto"/>
          <w:sz w:val="24"/>
          <w:highlight w:val="none"/>
        </w:rPr>
        <w:t xml:space="preserve">工作成果通过采购人组织专家评审，并完成修改完善后，即视为验收合格。</w:t>
      </w:r>
      <w:r/>
    </w:p>
    <w:p>
      <w:pPr>
        <w:ind w:firstLine="482"/>
        <w:spacing w:line="57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六、其他要求</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项目实施过程中，需加强与市相关部门（发改、工信、资规、应急、消防、公安、农业农村、市场监管等部门）及各级民航监管机构、空中交通管理机构等单位的沟通协调，征求意见建议，确保研究成果符合地方实际。</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2.项目团队需具备低空领域相关经验，拥有专业的技术人员和完善的技术支撑体系，能够熟练运用相关技术和工具开展工作，熟悉国家和江苏省低空经济相关政策及标准。</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3.严格遵守国家、省市关于低空起降设施安全监管等相关法律法规和规定，确保项目实施合法合规。</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4.项目成果需严格保密，未经委托方同意，不得向第三方泄露项目相关数据、报告、方案等成果。</w:t>
      </w:r>
      <w:r/>
    </w:p>
    <w:p>
      <w:pPr>
        <w:ind w:firstLine="480"/>
        <w:spacing w:line="57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5.普查数据需真实、准确、完整，无遗漏、无错误，数据库建设规范，数据更新及时，符合低空经济发展相关数据管理要求。</w:t>
      </w:r>
      <w:bookmarkEnd w:id="181"/>
      <w:r/>
      <w:bookmarkEnd w:id="182"/>
      <w:r/>
      <w:bookmarkEnd w:id="183"/>
      <w:r/>
      <w:r/>
    </w:p>
    <w:p>
      <w:pPr>
        <w:ind w:firstLine="482"/>
        <w:spacing w:line="500" w:lineRule="exact"/>
        <w:rPr>
          <w:rFonts w:ascii="黑体" w:hAnsi="黑体" w:eastAsia="黑体" w:cs="黑体"/>
          <w:color w:val="auto"/>
          <w:sz w:val="28"/>
          <w:szCs w:val="32"/>
          <w:highlight w:val="none"/>
        </w:rPr>
      </w:pPr>
      <w:r>
        <w:rPr>
          <w:rFonts w:hint="eastAsia" w:ascii="宋体" w:hAnsi="宋体" w:eastAsia="宋体" w:cs="宋体"/>
          <w:b/>
          <w:bCs/>
          <w:color w:val="auto"/>
          <w:sz w:val="24"/>
          <w:highlight w:val="none"/>
        </w:rPr>
        <w:t xml:space="preserve">七、项目实施方案  </w:t>
      </w:r>
      <w:r>
        <w:rPr>
          <w:rFonts w:ascii="黑体" w:hAnsi="黑体" w:eastAsia="黑体" w:cs="黑体"/>
          <w:color w:val="auto"/>
          <w:sz w:val="28"/>
          <w:szCs w:val="32"/>
          <w:highlight w:val="none"/>
        </w:rPr>
        <w:t xml:space="preserve"> </w:t>
      </w:r>
      <w:r/>
    </w:p>
    <w:p>
      <w:pPr>
        <w:ind w:firstLine="482"/>
        <w:jc w:val="left"/>
        <w:spacing w:line="500" w:lineRule="exact"/>
        <w:rPr>
          <w:rFonts w:ascii="宋体" w:hAnsi="宋体" w:eastAsia="宋体" w:cs="宋体"/>
          <w:color w:val="auto"/>
          <w:sz w:val="24"/>
          <w:highlight w:val="none"/>
          <w:lang w:val="zh-CN"/>
        </w:rPr>
      </w:pPr>
      <w:r>
        <w:rPr>
          <w:rFonts w:hint="eastAsia" w:ascii="宋体" w:hAnsi="宋体" w:eastAsia="宋体" w:cs="宋体"/>
          <w:b/>
          <w:bCs/>
          <w:color w:val="auto"/>
          <w:sz w:val="24"/>
          <w:highlight w:val="none"/>
        </w:rPr>
        <w:t xml:space="preserve">1、项目技术方案：</w:t>
      </w:r>
      <w:r>
        <w:rPr>
          <w:rFonts w:hint="eastAsia" w:ascii="宋体" w:hAnsi="宋体" w:eastAsia="宋体" w:cs="宋体"/>
          <w:color w:val="auto"/>
          <w:sz w:val="24"/>
          <w:highlight w:val="none"/>
          <w:lang w:val="zh-CN"/>
        </w:rPr>
        <w:t xml:space="preserve">至少包含：①工作思路；②研究内容；③研究方法；④技术路线等方面内容。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rPr>
        <w:t xml:space="preserve">工作思路</w:t>
      </w:r>
      <w:r>
        <w:rPr>
          <w:rFonts w:hint="eastAsia" w:ascii="宋体" w:hAnsi="宋体" w:eastAsia="宋体" w:cs="宋体"/>
          <w:color w:val="auto"/>
          <w:sz w:val="24"/>
          <w:highlight w:val="none"/>
          <w:lang w:val="zh-CN"/>
        </w:rPr>
        <w:t xml:space="preserve">：简述</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zh-CN"/>
        </w:rPr>
        <w:t xml:space="preserve">编制思路，内容须体现积极对接国家、</w:t>
      </w:r>
      <w:r>
        <w:rPr>
          <w:rFonts w:hint="eastAsia" w:ascii="宋体" w:hAnsi="宋体" w:eastAsia="宋体" w:cs="宋体"/>
          <w:color w:val="auto"/>
          <w:sz w:val="24"/>
          <w:highlight w:val="none"/>
        </w:rPr>
        <w:t xml:space="preserve">省、市低空经济发展战略及现行政策文件、空域改革要求</w:t>
      </w:r>
      <w:r>
        <w:rPr>
          <w:rFonts w:hint="eastAsia" w:ascii="宋体" w:hAnsi="宋体" w:eastAsia="宋体" w:cs="宋体"/>
          <w:color w:val="auto"/>
          <w:sz w:val="24"/>
          <w:highlight w:val="none"/>
          <w:lang w:val="zh-CN"/>
        </w:rPr>
        <w:t xml:space="preserve">，紧扣</w:t>
      </w:r>
      <w:r>
        <w:rPr>
          <w:rFonts w:ascii="宋体" w:hAnsi="宋体" w:eastAsia="宋体" w:cs="宋体"/>
          <w:color w:val="auto"/>
          <w:sz w:val="24"/>
          <w:highlight w:val="none"/>
        </w:rPr>
        <w:t xml:space="preserve">盐城低空经济发展需求，</w:t>
      </w:r>
      <w:r>
        <w:rPr>
          <w:rFonts w:hint="eastAsia" w:ascii="宋体" w:hAnsi="宋体" w:eastAsia="宋体" w:cs="宋体"/>
          <w:color w:val="auto"/>
          <w:sz w:val="24"/>
          <w:highlight w:val="none"/>
          <w:lang w:val="zh-CN"/>
        </w:rPr>
        <w:t xml:space="preserve">着力破解本地低空经济发展瓶颈，</w:t>
      </w:r>
      <w:r>
        <w:rPr>
          <w:rFonts w:hint="eastAsia" w:ascii="宋体" w:hAnsi="宋体" w:eastAsia="宋体" w:cs="宋体"/>
          <w:color w:val="auto"/>
          <w:sz w:val="24"/>
          <w:highlight w:val="none"/>
        </w:rPr>
        <w:t xml:space="preserve">服务全市低空经济高质量发展大局</w:t>
      </w:r>
      <w:r>
        <w:rPr>
          <w:rFonts w:hint="eastAsia" w:ascii="宋体" w:hAnsi="宋体" w:eastAsia="宋体" w:cs="宋体"/>
          <w:color w:val="auto"/>
          <w:sz w:val="24"/>
          <w:highlight w:val="none"/>
          <w:lang w:val="zh-CN"/>
        </w:rPr>
        <w:t xml:space="preserve">，明确</w:t>
      </w:r>
      <w:r>
        <w:rPr>
          <w:rFonts w:hint="eastAsia" w:ascii="宋体" w:hAnsi="宋体" w:eastAsia="宋体" w:cs="宋体"/>
          <w:color w:val="auto"/>
          <w:sz w:val="24"/>
          <w:highlight w:val="none"/>
        </w:rPr>
        <w:t xml:space="preserve">方案编制</w:t>
      </w:r>
      <w:r>
        <w:rPr>
          <w:rFonts w:hint="eastAsia" w:ascii="宋体" w:hAnsi="宋体" w:eastAsia="宋体" w:cs="宋体"/>
          <w:color w:val="auto"/>
          <w:sz w:val="24"/>
          <w:highlight w:val="none"/>
          <w:lang w:val="zh-CN"/>
        </w:rPr>
        <w:t xml:space="preserve">工作的主要原则和</w:t>
      </w:r>
      <w:r>
        <w:rPr>
          <w:rFonts w:hint="eastAsia" w:ascii="宋体" w:hAnsi="宋体" w:eastAsia="宋体" w:cs="宋体"/>
          <w:color w:val="auto"/>
          <w:sz w:val="24"/>
          <w:highlight w:val="none"/>
        </w:rPr>
        <w:t xml:space="preserve">编制</w:t>
      </w:r>
      <w:r>
        <w:rPr>
          <w:rFonts w:hint="eastAsia" w:ascii="宋体" w:hAnsi="宋体" w:eastAsia="宋体" w:cs="宋体"/>
          <w:color w:val="auto"/>
          <w:sz w:val="24"/>
          <w:highlight w:val="none"/>
          <w:lang w:val="zh-CN"/>
        </w:rPr>
        <w:t xml:space="preserve">工作达到的主要成效。</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②研究内容：</w:t>
      </w:r>
      <w:r>
        <w:rPr>
          <w:rFonts w:hint="eastAsia" w:ascii="宋体" w:hAnsi="宋体" w:eastAsia="宋体" w:cs="宋体"/>
          <w:color w:val="auto"/>
          <w:sz w:val="24"/>
          <w:highlight w:val="none"/>
        </w:rPr>
        <w:t xml:space="preserve">围绕《盐城市低空起降场（点）布局方案和低空航路航线划设方案（2026-2035年）》成果报告开展编制，至少包含以下主要内容：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摸排全市低空空域环境、起降设施和飞行活动现状。系统梳理盐城全域低空空域结构、飞行活动现状、起降场（点）及配套设施基础、通信网络条件、地形地貌、高层建筑及障碍物分布等基础要素，开展空域限制区及净空障碍物条件分析、城市屋面起降设施选址适宜性分析等，摸排识别低空飞行各类约束条件，分层分类评估全市低空空域、起降场（点）运行现状和矛盾点，形成全市低空资源数据库和现状调研分析成果</w:t>
      </w:r>
      <w:r>
        <w:rPr>
          <w:rFonts w:ascii="宋体" w:hAnsi="宋体" w:eastAsia="宋体" w:cs="宋体"/>
          <w:color w:val="auto"/>
          <w:sz w:val="24"/>
          <w:highlight w:val="non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（2）综合研判低空经济发展形势与飞行需求。</w:t>
      </w:r>
      <w:r>
        <w:rPr>
          <w:rFonts w:hint="eastAsia" w:ascii="Times New Roman" w:hAnsi="Times New Roman" w:eastAsia="宋体" w:cs="Times New Roman"/>
          <w:color w:val="auto"/>
          <w:sz w:val="24"/>
          <w:highlight w:val="none"/>
        </w:rPr>
        <w:t xml:space="preserve">深入解读国家、省、市三级低空经济政策法规与标准规范，综合研判低空领域改革趋势与发展形势。梳理借鉴国内先进城市在低空起降基础设施布局、低空空域与航路航线划设方面的先进经验，结合市域产业特点、空间格局、应用场景、空域容量和管控要求，科学研判全市低空飞行需求，形成分场景、分区域飞行需求分析报告，提出不同应用场景的低空基础设施、低空空域及航路航线分级分类划设方法</w:t>
      </w:r>
      <w:r>
        <w:rPr>
          <w:rFonts w:hint="eastAsia" w:ascii="宋体" w:hAnsi="宋体" w:eastAsia="宋体" w:cs="宋体"/>
          <w:color w:val="auto"/>
          <w:sz w:val="24"/>
          <w:highlight w:val="non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科学划设全市低空适航适飞空域。深入解读全国低空空域改革精神要求，根据国家低空空域最新政策法规和标准规范，结合盐城市低空空域资源情况和飞行活动特点，充分考虑低空飞行约束条件，明确全市域内适合开展低空飞行活动的区域范围，并按照空域资源使用难易程度、利用效率和适合场景，分类分层划设全市低空适航适飞空域。</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提出低空起降场（点）布局方案。紧扣全市低空经济发展战略部署，衔接省级低空起降场（点）规划布局要求，明确盐城市低空起降场（点）布局的指导思想、基本原则与发展目标，构建完善的低空起降设施功能体系，形成盐城市低空起降场（点）布局方案，明确各类起降场的数量、位置、类型、规模、功能定位和选址要求，实现各县（市、区）起降场（点）全覆盖。</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编制低空航路航线布局方案。根据我市低空空域条件和用空需求，依据国家、省、市的相关法规政策要求，坚持统筹安全与发展，研究提出盐城市低空公共航路和低空航线网络划设方案。分级分类明确全域低空航线的网络布局、空间信息、总体规模、飞行流量和功能定位等，并配套提出与周边城市、都市圈衔接互通方案。</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（6）提出保障措施、建设指引及近期建设计划。探索建立低空空域、航路航线使用规范、申报流程</w:t>
      </w:r>
      <w:r>
        <w:rPr>
          <w:rFonts w:hint="eastAsia" w:ascii="宋体" w:hAnsi="宋体" w:eastAsia="宋体" w:cs="宋体"/>
          <w:color w:val="auto"/>
          <w:sz w:val="24"/>
          <w:highlight w:val="none"/>
        </w:rPr>
        <w:t xml:space="preserve">、管控制度及安全保障体系，形成军地协同、跨部门联动的低空飞行管理机制。提出低空航路航线安全运行和起降场（点）必须满足的通信、导航、监视、气象、安防等配套设施能力，以及航空器性能和营运管理等运行要求。制定盐城市低空起降场（点）建设指引，指导低空起降设施场址选择、规划及建设实施工作，从政策、资金、土地、安全等方面提出实施保障措施。结合低空应用场景成熟度、航空器技术水平、市场需求紧迫性及经济社会效益，综合评估筛选重点建设内容，制定近期（3-5年）低空航路航线和低空起降场（点）建设计划，明确重点项目清单、建设时序。</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构建全市低空空域航路数字模型。整合空域、航路航线、约束管控等要素数据，构建标准化、可迭代的盐城市低空空域、航路航线三维数字模型，选取示范航线开展运行可行性综合论证，为低空空域常态化审批、动态更新、运营管控提供数字化支撑。</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③研究方法：</w:t>
      </w:r>
      <w:r>
        <w:rPr>
          <w:rFonts w:hint="eastAsia" w:ascii="宋体" w:hAnsi="宋体" w:eastAsia="宋体" w:cs="宋体"/>
          <w:color w:val="auto"/>
          <w:sz w:val="24"/>
          <w:highlight w:val="none"/>
        </w:rPr>
        <w:t xml:space="preserve">针对研究主要内容，结合研究需求，</w:t>
      </w:r>
      <w:r>
        <w:rPr>
          <w:rFonts w:ascii="宋体" w:hAnsi="宋体" w:eastAsia="宋体" w:cs="宋体"/>
          <w:color w:val="auto"/>
          <w:sz w:val="24"/>
          <w:highlight w:val="none"/>
        </w:rPr>
        <w:t xml:space="preserve">概括拟采用的主要研究手段</w:t>
      </w:r>
      <w:r>
        <w:rPr>
          <w:rFonts w:hint="eastAsia" w:ascii="宋体" w:hAnsi="宋体" w:eastAsia="宋体" w:cs="宋体"/>
          <w:color w:val="auto"/>
          <w:sz w:val="24"/>
          <w:highlight w:val="none"/>
        </w:rPr>
        <w:t xml:space="preserve">，至少包括：文献研究与政策解读、实地调研与座谈访谈、定量分析与模型预测、案例比较与经验借鉴、多方案比选与专家论证法等，说明各类方法在本项目中的具体应用。</w:t>
      </w:r>
      <w:r/>
    </w:p>
    <w:p>
      <w:pPr>
        <w:ind w:firstLine="480"/>
        <w:jc w:val="left"/>
        <w:spacing w:line="5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④技术路线：</w:t>
      </w:r>
      <w:r>
        <w:rPr>
          <w:rFonts w:ascii="宋体" w:hAnsi="宋体" w:eastAsia="宋体" w:cs="宋体"/>
          <w:color w:val="auto"/>
          <w:sz w:val="24"/>
          <w:highlight w:val="none"/>
          <w:lang w:val="zh-CN"/>
        </w:rPr>
        <w:t xml:space="preserve">以流程图或文字简明阶段描述形式，展示从项目启动到成果交付的全过程关键步骤与逻辑顺序，包括但不限于：</w:t>
      </w:r>
      <w:r>
        <w:rPr>
          <w:rFonts w:hint="eastAsia" w:ascii="Calibri" w:hAnsi="Calibri" w:eastAsia="宋体" w:cs="Times New Roman"/>
          <w:color w:val="auto"/>
          <w:sz w:val="24"/>
          <w:highlight w:val="none"/>
        </w:rPr>
        <w:t xml:space="preserve">一是发展现状摸底评估</w:t>
      </w:r>
      <w:r>
        <w:rPr>
          <w:rFonts w:ascii="Calibri" w:hAnsi="Calibri" w:eastAsia="宋体" w:cs="Times New Roman"/>
          <w:color w:val="auto"/>
          <w:sz w:val="24"/>
          <w:highlight w:val="none"/>
        </w:rPr>
        <w:t xml:space="preserve">，通过实地调研、</w:t>
      </w:r>
      <w:r>
        <w:rPr>
          <w:rFonts w:hint="eastAsia" w:ascii="Calibri" w:hAnsi="Calibri" w:eastAsia="宋体" w:cs="Times New Roman"/>
          <w:color w:val="auto"/>
          <w:sz w:val="24"/>
          <w:highlight w:val="none"/>
        </w:rPr>
        <w:t xml:space="preserve">数据梳理、经验总结等方式</w:t>
      </w:r>
      <w:r>
        <w:rPr>
          <w:rFonts w:ascii="Calibri" w:hAnsi="Calibri" w:eastAsia="宋体" w:cs="Times New Roman"/>
          <w:color w:val="auto"/>
          <w:sz w:val="24"/>
          <w:highlight w:val="none"/>
        </w:rPr>
        <w:t xml:space="preserve">，全面摸清盐城</w:t>
      </w:r>
      <w:r>
        <w:rPr>
          <w:rFonts w:hint="eastAsia" w:ascii="Calibri" w:hAnsi="Calibri" w:eastAsia="宋体" w:cs="Times New Roman"/>
          <w:color w:val="auto"/>
          <w:sz w:val="24"/>
          <w:highlight w:val="none"/>
        </w:rPr>
        <w:t xml:space="preserve">低空基础设施和飞行活动发展现状，梳理发展优势与现存问题，筑牢项目研究基础。二是形势研判与需求分析，依托国家、省、市低空经济相关政策规划，借鉴国内外先进发展经验，结合盐城空域管控、产业及地域特征，研判全市低空飞行管控约束、发展需求及行业发展趋势。三是总体目标与发展原则确立，</w:t>
      </w:r>
      <w:r>
        <w:rPr>
          <w:rFonts w:ascii="Calibri" w:hAnsi="Calibri" w:eastAsia="宋体" w:cs="Times New Roman"/>
          <w:color w:val="auto"/>
          <w:sz w:val="24"/>
          <w:highlight w:val="none"/>
        </w:rPr>
        <w:t xml:space="preserve">结合前期调研分析成果，明确项目研究指导思想、总体思路与发展原则，确立空域优化、设施完善、保障提质、产业规范等核心目标，为后续研究明确方向、搭建框架。</w:t>
      </w:r>
      <w:r>
        <w:rPr>
          <w:rFonts w:hint="eastAsia" w:ascii="Calibri" w:hAnsi="Calibri" w:eastAsia="宋体" w:cs="Times New Roman"/>
          <w:color w:val="auto"/>
          <w:sz w:val="24"/>
          <w:highlight w:val="none"/>
        </w:rPr>
        <w:t xml:space="preserve">四是核心内容研究与方案编制，紧扣既定目标，重点开展适航适飞空域划设、起降设施布局、航路航线划设、配套保障与建设指引编制、低空空域航路数字模型搭建等核心工作，形成完整研究方案初稿。五是</w:t>
      </w:r>
      <w:bookmarkStart w:id="189" w:name="OLE_LINK78"/>
      <w:r>
        <w:rPr>
          <w:rFonts w:hint="eastAsia" w:ascii="Calibri" w:hAnsi="Calibri" w:eastAsia="宋体" w:cs="Times New Roman"/>
          <w:color w:val="auto"/>
          <w:sz w:val="24"/>
          <w:highlight w:val="none"/>
        </w:rPr>
        <w:t xml:space="preserve">评审优化与成果交付，充分</w:t>
      </w:r>
      <w:r>
        <w:rPr>
          <w:rFonts w:ascii="Calibri" w:hAnsi="Calibri" w:eastAsia="宋体" w:cs="Times New Roman"/>
          <w:color w:val="auto"/>
          <w:sz w:val="24"/>
          <w:highlight w:val="none"/>
        </w:rPr>
        <w:t xml:space="preserve">征求</w:t>
      </w:r>
      <w:r>
        <w:rPr>
          <w:rFonts w:hint="eastAsia" w:ascii="Calibri" w:hAnsi="Calibri" w:eastAsia="宋体" w:cs="Times New Roman"/>
          <w:color w:val="auto"/>
          <w:sz w:val="24"/>
          <w:highlight w:val="none"/>
        </w:rPr>
        <w:t xml:space="preserve">相关部门</w:t>
      </w:r>
      <w:r>
        <w:rPr>
          <w:rFonts w:ascii="Calibri" w:hAnsi="Calibri" w:eastAsia="宋体" w:cs="Times New Roman"/>
          <w:color w:val="auto"/>
          <w:sz w:val="24"/>
          <w:highlight w:val="none"/>
        </w:rPr>
        <w:t xml:space="preserve">意见</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组织行业专家评审，</w:t>
      </w:r>
      <w:r>
        <w:rPr>
          <w:rFonts w:hint="eastAsia" w:ascii="Calibri" w:hAnsi="Calibri" w:eastAsia="宋体" w:cs="Times New Roman"/>
          <w:color w:val="auto"/>
          <w:sz w:val="24"/>
          <w:highlight w:val="none"/>
        </w:rPr>
        <w:t xml:space="preserve">结合反馈意见迭代完善方案，形成最终研究成果并</w:t>
      </w:r>
      <w:r>
        <w:rPr>
          <w:rFonts w:ascii="Calibri" w:hAnsi="Calibri" w:eastAsia="宋体" w:cs="Times New Roman"/>
          <w:color w:val="auto"/>
          <w:sz w:val="24"/>
          <w:highlight w:val="none"/>
        </w:rPr>
        <w:t xml:space="preserve">完成交付，</w:t>
      </w:r>
      <w:bookmarkEnd w:id="189"/>
      <w:r>
        <w:rPr>
          <w:rFonts w:ascii="Calibri" w:hAnsi="Calibri" w:eastAsia="宋体" w:cs="Times New Roman"/>
          <w:color w:val="auto"/>
          <w:sz w:val="24"/>
          <w:highlight w:val="none"/>
        </w:rPr>
        <w:t xml:space="preserve">确保整个方案顺利实施和推进</w:t>
      </w:r>
      <w:r>
        <w:rPr>
          <w:rFonts w:hint="eastAsia" w:ascii="Calibri" w:hAnsi="Calibri" w:eastAsia="宋体" w:cs="Times New Roman"/>
          <w:color w:val="auto"/>
          <w:sz w:val="24"/>
          <w:highlight w:val="none"/>
        </w:rPr>
        <w:t xml:space="preserve">。</w:t>
      </w:r>
      <w:r/>
    </w:p>
    <w:p>
      <w:pPr>
        <w:ind w:firstLine="482"/>
        <w:jc w:val="left"/>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2.重难点分析和措施：</w:t>
      </w:r>
      <w:r>
        <w:rPr>
          <w:rFonts w:hint="eastAsia" w:ascii="宋体" w:hAnsi="宋体" w:eastAsia="宋体" w:cs="宋体"/>
          <w:color w:val="auto"/>
          <w:sz w:val="24"/>
          <w:highlight w:val="none"/>
        </w:rPr>
        <w:t xml:space="preserve">至少包含：①重点工作分析；②难点问题分析；③针对性解决措施；④保障机制与落实要求等方面内容。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重点工作分析：结合主要研究内容，梳理本项目的重点内容，包括但不限于全市域低空资源底数摸排与数据库构建、飞行需求的预测、适飞适航空域的分类分层划设、起降设施布局方案的体系化构建、低空航路航线网络的系统性设计、近期建设计划与实施保障体系、数字模型的构建与论证等重点研究内容，分析研究工作的主要对策。需准确把握未来十年低空经济发展趋势，确保研究结果具有科学指导性和落地操作性。</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难点问题分析：结合本次修订的主要研究内容，梳理本次修订的难点问题，分析可能遇到的主要挑战，包括军民航多方协调与数据获取、多源异构数据的整合与标准化处理、飞行需求预测的不确定性、约束条件分析的复杂性与动态性、起降设施选址的多目标优化、航路航线与现有空域体系的兼容设计、数字模型的技术实现与实用性、政策法规的快速迭代与响应等多方面问题。</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③针对性解决措施：</w:t>
      </w:r>
      <w:r>
        <w:rPr>
          <w:rFonts w:ascii="宋体" w:hAnsi="宋体" w:eastAsia="宋体" w:cs="宋体"/>
          <w:color w:val="auto"/>
          <w:sz w:val="24"/>
          <w:highlight w:val="none"/>
        </w:rPr>
        <w:t xml:space="preserve">针对上述重难点，提出具体可行的解决思路和预案</w:t>
      </w:r>
      <w:r>
        <w:rPr>
          <w:rFonts w:hint="eastAsia" w:ascii="宋体" w:hAnsi="宋体" w:eastAsia="宋体" w:cs="宋体"/>
          <w:color w:val="auto"/>
          <w:sz w:val="24"/>
          <w:highlight w:val="none"/>
        </w:rPr>
        <w:t xml:space="preserve">，包括但不限于应对</w:t>
      </w:r>
      <w:r>
        <w:rPr>
          <w:rFonts w:ascii="Calibri" w:hAnsi="Calibri" w:eastAsia="宋体" w:cs="Times New Roman"/>
          <w:color w:val="auto"/>
          <w:sz w:val="24"/>
          <w:highlight w:val="none"/>
        </w:rPr>
        <w:t xml:space="preserve">需求不确定性</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化解</w:t>
      </w:r>
      <w:r>
        <w:rPr>
          <w:rFonts w:hint="eastAsia" w:ascii="Calibri" w:hAnsi="Calibri" w:eastAsia="宋体" w:cs="Times New Roman"/>
          <w:color w:val="auto"/>
          <w:sz w:val="24"/>
          <w:highlight w:val="none"/>
        </w:rPr>
        <w:t xml:space="preserve">现有和需求空域</w:t>
      </w:r>
      <w:r>
        <w:rPr>
          <w:rFonts w:ascii="Calibri" w:hAnsi="Calibri" w:eastAsia="宋体" w:cs="Times New Roman"/>
          <w:color w:val="auto"/>
          <w:sz w:val="24"/>
          <w:highlight w:val="none"/>
        </w:rPr>
        <w:t xml:space="preserve">冲突</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统筹</w:t>
      </w:r>
      <w:r>
        <w:rPr>
          <w:rFonts w:hint="eastAsia" w:ascii="Calibri" w:hAnsi="Calibri" w:eastAsia="宋体" w:cs="Times New Roman"/>
          <w:color w:val="auto"/>
          <w:sz w:val="24"/>
          <w:highlight w:val="none"/>
        </w:rPr>
        <w:t xml:space="preserve">低空基础设施的</w:t>
      </w:r>
      <w:r>
        <w:rPr>
          <w:rFonts w:ascii="Calibri" w:hAnsi="Calibri" w:eastAsia="宋体" w:cs="Times New Roman"/>
          <w:color w:val="auto"/>
          <w:sz w:val="24"/>
          <w:highlight w:val="none"/>
        </w:rPr>
        <w:t xml:space="preserve">存量与增量</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强化</w:t>
      </w:r>
      <w:r>
        <w:rPr>
          <w:rFonts w:hint="eastAsia" w:ascii="Calibri" w:hAnsi="Calibri" w:eastAsia="宋体" w:cs="Times New Roman"/>
          <w:color w:val="auto"/>
          <w:sz w:val="24"/>
          <w:highlight w:val="none"/>
        </w:rPr>
        <w:t xml:space="preserve">与其他规划文件</w:t>
      </w:r>
      <w:r>
        <w:rPr>
          <w:rFonts w:ascii="Calibri" w:hAnsi="Calibri" w:eastAsia="宋体" w:cs="Times New Roman"/>
          <w:color w:val="auto"/>
          <w:sz w:val="24"/>
          <w:highlight w:val="none"/>
        </w:rPr>
        <w:t xml:space="preserve">衔接</w:t>
      </w:r>
      <w:r>
        <w:rPr>
          <w:rFonts w:hint="eastAsia" w:ascii="Calibri" w:hAnsi="Calibri" w:eastAsia="宋体" w:cs="Times New Roman"/>
          <w:color w:val="auto"/>
          <w:sz w:val="24"/>
          <w:highlight w:val="none"/>
        </w:rPr>
        <w:t xml:space="preserve">等方面。</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④保障机制与落实要求：</w:t>
      </w:r>
      <w:r>
        <w:rPr>
          <w:rFonts w:ascii="宋体" w:hAnsi="宋体" w:eastAsia="宋体" w:cs="宋体"/>
          <w:color w:val="auto"/>
          <w:sz w:val="24"/>
          <w:highlight w:val="none"/>
        </w:rPr>
        <w:t xml:space="preserve">简述为保障项目顺利实施拟建立的项目组织架构、内外部协调机制及过程管理制度。</w:t>
      </w:r>
      <w:r/>
    </w:p>
    <w:p>
      <w:pPr>
        <w:ind w:firstLine="482"/>
        <w:jc w:val="left"/>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3.质量保证体系及保证措施：</w:t>
      </w:r>
      <w:r>
        <w:rPr>
          <w:rFonts w:hint="eastAsia" w:ascii="宋体" w:hAnsi="宋体" w:eastAsia="宋体" w:cs="宋体"/>
          <w:color w:val="auto"/>
          <w:sz w:val="24"/>
          <w:highlight w:val="none"/>
        </w:rPr>
        <w:t xml:space="preserve">至少包含：①质量保证体系；②质量保证措施等方面内容。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①质量保证体系：</w:t>
      </w:r>
      <w:r>
        <w:rPr>
          <w:rFonts w:ascii="宋体" w:hAnsi="宋体" w:eastAsia="宋体" w:cs="宋体"/>
          <w:color w:val="auto"/>
          <w:sz w:val="24"/>
          <w:highlight w:val="none"/>
        </w:rPr>
        <w:t xml:space="preserve">说明本项目质量管理的组织架构，明确项目负责人、技术审核人、专业设计人等各层级的质量管理职责。</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②质量保证措施：</w:t>
      </w:r>
      <w:r>
        <w:rPr>
          <w:rFonts w:ascii="宋体" w:hAnsi="宋体" w:eastAsia="宋体" w:cs="宋体"/>
          <w:color w:val="auto"/>
          <w:sz w:val="24"/>
          <w:highlight w:val="none"/>
        </w:rPr>
        <w:t xml:space="preserve">概述在项目各主要阶段（如输入、过程、输出）将采取的具体质量控制活动。</w:t>
      </w:r>
      <w:r/>
    </w:p>
    <w:p>
      <w:pPr>
        <w:ind w:firstLine="482"/>
        <w:jc w:val="left"/>
        <w:spacing w:line="500" w:lineRule="exact"/>
        <w:rPr>
          <w:rFonts w:ascii="宋体" w:hAnsi="宋体" w:eastAsia="宋体" w:cs="宋体"/>
          <w:color w:val="auto"/>
          <w:sz w:val="24"/>
          <w:highlight w:val="none"/>
        </w:rPr>
      </w:pPr>
      <w:r/>
      <w:bookmarkStart w:id="190" w:name="OLE_LINK31"/>
      <w:r/>
      <w:bookmarkStart w:id="191" w:name="OLE_LINK30"/>
      <w:r>
        <w:rPr>
          <w:rFonts w:hint="eastAsia" w:ascii="宋体" w:hAnsi="宋体" w:eastAsia="宋体" w:cs="宋体"/>
          <w:b/>
          <w:bCs/>
          <w:color w:val="auto"/>
          <w:sz w:val="24"/>
          <w:highlight w:val="none"/>
        </w:rPr>
        <w:t xml:space="preserve">4.进度计划及保障措施：</w:t>
      </w:r>
      <w:r>
        <w:rPr>
          <w:rFonts w:hint="eastAsia" w:ascii="宋体" w:hAnsi="宋体" w:eastAsia="宋体" w:cs="宋体"/>
          <w:color w:val="auto"/>
          <w:sz w:val="24"/>
          <w:highlight w:val="none"/>
        </w:rPr>
        <w:t xml:space="preserve">至少包含：①进度计划；②保障措施等方面内容。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①进度计划：</w:t>
      </w:r>
      <w:r>
        <w:rPr>
          <w:rFonts w:ascii="宋体" w:hAnsi="宋体" w:eastAsia="宋体" w:cs="宋体"/>
          <w:color w:val="auto"/>
          <w:sz w:val="24"/>
          <w:highlight w:val="none"/>
        </w:rPr>
        <w:t xml:space="preserve">提供清晰的总体进度计划，划分主要工作阶段，并明确各阶段的里程碑节点及预计完成时间。</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②保障措施：</w:t>
      </w:r>
      <w:r>
        <w:rPr>
          <w:rFonts w:ascii="宋体" w:hAnsi="宋体" w:eastAsia="宋体" w:cs="宋体"/>
          <w:color w:val="auto"/>
          <w:sz w:val="24"/>
          <w:highlight w:val="none"/>
        </w:rPr>
        <w:t xml:space="preserve">说明确保进度计划落实的主要措施。</w:t>
      </w:r>
      <w:bookmarkEnd w:id="190"/>
      <w:r/>
      <w:bookmarkEnd w:id="191"/>
      <w:r/>
      <w:r/>
    </w:p>
    <w:p>
      <w:pPr>
        <w:ind w:firstLine="482"/>
        <w:jc w:val="left"/>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5.后续服务的安排及保证措施：</w:t>
      </w:r>
      <w:r>
        <w:rPr>
          <w:rFonts w:hint="eastAsia" w:ascii="宋体" w:hAnsi="宋体" w:eastAsia="宋体" w:cs="宋体"/>
          <w:color w:val="auto"/>
          <w:sz w:val="24"/>
          <w:highlight w:val="none"/>
        </w:rPr>
        <w:t xml:space="preserve">投标人承诺提供</w:t>
      </w:r>
      <w:r>
        <w:rPr>
          <w:rFonts w:ascii="宋体" w:hAnsi="宋体" w:eastAsia="宋体" w:cs="宋体"/>
          <w:color w:val="auto"/>
          <w:sz w:val="24"/>
          <w:highlight w:val="none"/>
        </w:rPr>
        <w:t xml:space="preserve">不少于</w:t>
      </w:r>
      <w:r>
        <w:rPr>
          <w:rFonts w:hint="eastAsia" w:ascii="宋体" w:hAnsi="宋体" w:eastAsia="宋体" w:cs="宋体"/>
          <w:color w:val="auto"/>
          <w:sz w:val="24"/>
          <w:highlight w:val="none"/>
        </w:rPr>
        <w:t xml:space="preserve">2年的免费后续技术服务，至少包含：①后续服务内容与工作安排；②服务流程及响应机制；③服务团队与人员保障；④质量承诺与履约保障等方面内容。</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①后续服务内容与工作安排：</w:t>
      </w:r>
      <w:r>
        <w:rPr>
          <w:rFonts w:ascii="宋体" w:hAnsi="宋体" w:eastAsia="宋体" w:cs="宋体"/>
          <w:color w:val="auto"/>
          <w:sz w:val="24"/>
          <w:highlight w:val="none"/>
        </w:rPr>
        <w:t xml:space="preserve">明确</w:t>
      </w:r>
      <w:r>
        <w:rPr>
          <w:rFonts w:hint="eastAsia" w:ascii="宋体" w:hAnsi="宋体" w:eastAsia="宋体" w:cs="宋体"/>
          <w:color w:val="auto"/>
          <w:sz w:val="24"/>
          <w:highlight w:val="none"/>
        </w:rPr>
        <w:t xml:space="preserve">方案</w:t>
      </w:r>
      <w:r>
        <w:rPr>
          <w:rFonts w:ascii="宋体" w:hAnsi="宋体" w:eastAsia="宋体" w:cs="宋体"/>
          <w:color w:val="auto"/>
          <w:sz w:val="24"/>
          <w:highlight w:val="none"/>
        </w:rPr>
        <w:t xml:space="preserve">编制工作结束后，投标人可提供的后续技术服务内容，</w:t>
      </w:r>
      <w:r>
        <w:rPr>
          <w:rFonts w:hint="eastAsia" w:ascii="宋体" w:hAnsi="宋体" w:eastAsia="宋体" w:cs="宋体"/>
          <w:color w:val="auto"/>
          <w:sz w:val="24"/>
          <w:highlight w:val="none"/>
        </w:rPr>
        <w:t xml:space="preserve">包括</w:t>
      </w:r>
      <w:r>
        <w:rPr>
          <w:rFonts w:ascii="宋体" w:hAnsi="宋体" w:eastAsia="宋体" w:cs="宋体"/>
          <w:color w:val="auto"/>
          <w:sz w:val="24"/>
          <w:highlight w:val="none"/>
        </w:rPr>
        <w:t xml:space="preserve">但不限于方案成果的</w:t>
      </w:r>
      <w:r>
        <w:rPr>
          <w:rFonts w:hint="eastAsia" w:ascii="宋体" w:hAnsi="宋体" w:eastAsia="宋体" w:cs="宋体"/>
          <w:color w:val="auto"/>
          <w:sz w:val="24"/>
          <w:highlight w:val="none"/>
        </w:rPr>
        <w:t xml:space="preserve">及时迭代更新</w:t>
      </w:r>
      <w:r>
        <w:rPr>
          <w:rFonts w:ascii="宋体" w:hAnsi="宋体" w:eastAsia="宋体" w:cs="宋体"/>
          <w:color w:val="auto"/>
          <w:sz w:val="24"/>
          <w:highlight w:val="none"/>
        </w:rPr>
        <w:t xml:space="preserve">、技术咨询答疑、</w:t>
      </w:r>
      <w:r>
        <w:rPr>
          <w:rFonts w:hint="eastAsia" w:ascii="宋体" w:hAnsi="宋体" w:eastAsia="宋体" w:cs="宋体"/>
          <w:color w:val="auto"/>
          <w:sz w:val="24"/>
          <w:highlight w:val="none"/>
        </w:rPr>
        <w:t xml:space="preserve">政策变化后的方案适配建议、数字模型维护调整等。</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②服务流程及响应机制：</w:t>
      </w:r>
      <w:r>
        <w:rPr>
          <w:rFonts w:ascii="宋体" w:hAnsi="宋体" w:eastAsia="宋体" w:cs="宋体"/>
          <w:color w:val="auto"/>
          <w:sz w:val="24"/>
          <w:highlight w:val="none"/>
        </w:rPr>
        <w:t xml:space="preserve">承诺后续服务的响应流程和时限。</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③服务团队与人员保障：</w:t>
      </w:r>
      <w:r>
        <w:rPr>
          <w:rFonts w:ascii="宋体" w:hAnsi="宋体" w:eastAsia="宋体" w:cs="宋体"/>
          <w:color w:val="auto"/>
          <w:sz w:val="24"/>
          <w:highlight w:val="none"/>
        </w:rPr>
        <w:t xml:space="preserve">承诺安排原项目核心人员提供持续服务，确保人员稳定性与工作连续性。</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④质量承诺与履约保障：</w:t>
      </w:r>
      <w:r>
        <w:rPr>
          <w:rFonts w:ascii="宋体" w:hAnsi="宋体" w:eastAsia="宋体" w:cs="宋体"/>
          <w:color w:val="auto"/>
          <w:sz w:val="24"/>
          <w:highlight w:val="none"/>
        </w:rPr>
        <w:t xml:space="preserve">承诺后续服务质量标准与合同期内保持一致，并将服务承诺纳入合同保障。</w:t>
      </w:r>
      <w:r/>
    </w:p>
    <w:p>
      <w:pPr>
        <w:contextualSpacing/>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八、其他</w:t>
      </w:r>
      <w:r/>
    </w:p>
    <w:p>
      <w:pPr>
        <w:ind w:firstLine="480"/>
        <w:jc w:val="left"/>
        <w:spacing w:line="500" w:lineRule="exact"/>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1</w:t>
      </w:r>
      <w:r>
        <w:rPr>
          <w:rFonts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企业实力</w:t>
      </w:r>
      <w:r/>
    </w:p>
    <w:p>
      <w:pPr>
        <w:ind w:firstLine="480"/>
        <w:jc w:val="left"/>
        <w:spacing w:line="500" w:lineRule="exact"/>
        <w:rPr>
          <w:rFonts w:ascii="宋体" w:hAnsi="宋体" w:eastAsia="宋体" w:cs="宋体"/>
          <w:color w:val="auto"/>
          <w:sz w:val="24"/>
          <w:highlight w:val="none"/>
        </w:rPr>
      </w:pPr>
      <w:r>
        <w:rPr>
          <w:rFonts w:cs="Times New Roman" w:asciiTheme="minorEastAsia" w:hAnsiTheme="minorEastAsia"/>
          <w:bCs/>
          <w:color w:val="auto"/>
          <w:sz w:val="24"/>
          <w:highlight w:val="none"/>
        </w:rPr>
        <w:t xml:space="preserve">供应商2023年1月1日以来（以合同签订时间为准）承担过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hint="eastAsia" w:ascii="宋体" w:hAnsi="宋体" w:eastAsia="宋体" w:cs="宋体"/>
          <w:color w:val="auto"/>
          <w:sz w:val="24"/>
          <w:highlight w:val="none"/>
        </w:rPr>
        <w:t xml:space="preserve">的优先。</w:t>
      </w:r>
      <w:r/>
    </w:p>
    <w:p>
      <w:pPr>
        <w:ind w:firstLine="480"/>
        <w:jc w:val="left"/>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项目负责人</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拟投入的项目负责人具备交通类或民航类相关专业副高级及以上职称的；同时具备咨询工程师（投资）证书或注册城乡规划师资格证书的优先。</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拟投入的项目负责人担任过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hint="eastAsia" w:ascii="宋体" w:hAnsi="宋体" w:eastAsia="宋体" w:cs="宋体"/>
          <w:color w:val="auto"/>
          <w:sz w:val="24"/>
          <w:highlight w:val="none"/>
        </w:rPr>
        <w:t xml:space="preserve">的项目负责人的优先。</w:t>
      </w:r>
      <w:r/>
    </w:p>
    <w:p>
      <w:pPr>
        <w:ind w:firstLine="480"/>
        <w:jc w:val="left"/>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w:t>
      </w:r>
      <w:r>
        <w:rPr>
          <w:rFonts w:hint="eastAsia"/>
          <w:color w:val="auto"/>
          <w:highlight w:val="none"/>
        </w:rPr>
        <w:t xml:space="preserve"> </w:t>
      </w:r>
      <w:r>
        <w:rPr>
          <w:rFonts w:hint="eastAsia" w:ascii="宋体" w:hAnsi="宋体" w:eastAsia="宋体" w:cs="宋体"/>
          <w:color w:val="auto"/>
          <w:sz w:val="24"/>
          <w:highlight w:val="none"/>
        </w:rPr>
        <w:t xml:space="preserve">拟投入的项目组成员（不含项目负责人）中：</w:t>
      </w:r>
      <w:r/>
    </w:p>
    <w:p>
      <w:pPr>
        <w:ind w:firstLine="480"/>
        <w:jc w:val="left"/>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t xml:space="preserve">3.1</w:t>
      </w:r>
      <w:r>
        <w:rPr>
          <w:rFonts w:hint="eastAsia" w:ascii="宋体" w:hAnsi="宋体" w:eastAsia="宋体" w:cs="宋体"/>
          <w:color w:val="auto"/>
          <w:sz w:val="24"/>
          <w:highlight w:val="none"/>
        </w:rPr>
        <w:t xml:space="preserve"> 具备民航类相关专业副高级及以上技术职称的成员优先，具备交通类或软件工程类相关专业副高级及以上技术职称的成员的优先。</w:t>
      </w:r>
      <w:r/>
    </w:p>
    <w:p>
      <w:pPr>
        <w:ind w:firstLine="48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t xml:space="preserve">3.2 </w:t>
      </w:r>
      <w:r>
        <w:rPr>
          <w:rFonts w:hint="eastAsia" w:ascii="宋体" w:hAnsi="宋体" w:eastAsia="宋体" w:cs="宋体"/>
          <w:color w:val="auto"/>
          <w:sz w:val="24"/>
          <w:highlight w:val="none"/>
        </w:rPr>
        <w:t xml:space="preserve">2023年1月1日起至今，拟投入的项目组成员负责或参与过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hint="eastAsia" w:ascii="宋体" w:hAnsi="宋体" w:eastAsia="宋体" w:cs="宋体"/>
          <w:color w:val="auto"/>
          <w:sz w:val="24"/>
          <w:highlight w:val="none"/>
        </w:rPr>
        <w:t xml:space="preserve">的优先。</w:t>
      </w:r>
      <w:bookmarkEnd w:id="177"/>
      <w:r/>
      <w:r/>
    </w:p>
    <w:p>
      <w:pPr>
        <w:ind w:firstLine="482"/>
        <w:jc w:val="left"/>
        <w:spacing w:line="500" w:lineRule="exact"/>
        <w:widowControl/>
        <w:rPr>
          <w:rFonts w:ascii="宋体" w:hAnsi="宋体" w:eastAsia="宋体" w:cs="宋体"/>
          <w:b/>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b/>
          <w:color w:val="auto"/>
          <w:sz w:val="24"/>
          <w:highlight w:val="none"/>
        </w:rPr>
        <w:t xml:space="preserve">采购标的对应的中小企业划分标准所属行业一览表</w:t>
      </w:r>
      <w:r/>
    </w:p>
    <w:tbl>
      <w:tblPr>
        <w:tblStyle w:val="809"/>
        <w:tblW w:w="93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3"/>
        <w:gridCol w:w="5640"/>
        <w:gridCol w:w="2966"/>
      </w:tblGrid>
      <w:tr>
        <w:trPr>
          <w:jc w:val="center"/>
          <w:tblCellSpacing w:w="0" w:type="dxa"/>
          <w:trHeight w:val="895"/>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对应中小企业划分标准所属行业</w:t>
            </w:r>
            <w:r/>
          </w:p>
        </w:tc>
      </w:tr>
      <w:tr>
        <w:trPr>
          <w:jc w:val="center"/>
          <w:tblCellSpacing w:w="0" w:type="dxa"/>
          <w:trHeight w:val="1321"/>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《盐城市低空起降场（点）布局方案和低空航路航线划设方案研究》项目（二次） </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102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其他未列明行业</w:t>
            </w:r>
            <w:r/>
          </w:p>
        </w:tc>
      </w:tr>
    </w:tbl>
    <w:p>
      <w:pPr>
        <w:pStyle w:val="1020"/>
        <w:ind w:firstLine="480"/>
        <w:jc w:val="both"/>
        <w:spacing w:beforeAutospacing="0" w:afterAutospacing="0" w:line="0" w:lineRule="atLeas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spacing w:line="54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54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01"/>
        <w:rPr>
          <w:rFonts w:eastAsiaTheme="minorEastAsia"/>
          <w:color w:val="auto"/>
          <w:highlight w:val="none"/>
        </w:rPr>
      </w:pPr>
      <w:r>
        <w:rPr>
          <w:rFonts w:eastAsiaTheme="minorEastAsia"/>
          <w:color w:val="auto"/>
          <w:highlight w:val="none"/>
        </w:rPr>
      </w:r>
      <w:r/>
    </w:p>
    <w:p>
      <w:pPr>
        <w:rPr>
          <w:color w:val="auto"/>
          <w:highlight w:val="none"/>
        </w:rPr>
      </w:pPr>
      <w:r>
        <w:rPr>
          <w:color w:val="auto"/>
          <w:highlight w:val="none"/>
        </w:rPr>
      </w:r>
      <w:r/>
    </w:p>
    <w:p>
      <w:pPr>
        <w:pStyle w:val="801"/>
        <w:rPr>
          <w:rFonts w:eastAsiaTheme="minorEastAsia"/>
          <w:color w:val="auto"/>
          <w:highlight w:val="none"/>
        </w:rPr>
      </w:pPr>
      <w:r>
        <w:rPr>
          <w:rFonts w:eastAsiaTheme="minorEastAsia"/>
          <w:color w:val="auto"/>
          <w:highlight w:val="none"/>
        </w:rPr>
      </w:r>
      <w:r/>
    </w:p>
    <w:p>
      <w:pPr>
        <w:pStyle w:val="831"/>
        <w:jc w:val="center"/>
        <w:spacing w:beforeAutospacing="0" w:afterAutospacing="0" w:line="508" w:lineRule="exact"/>
        <w:rPr>
          <w:rFonts w:ascii="方正小标宋_GBK" w:hAnsi="方正小标宋_GBK" w:eastAsia="方正小标宋_GBK" w:cs="方正小标宋_GBK"/>
          <w:color w:val="auto"/>
          <w:sz w:val="44"/>
          <w:szCs w:val="44"/>
          <w:highlight w:val="none"/>
        </w:rPr>
        <w:outlineLvl w:val="0"/>
      </w:pPr>
      <w:r>
        <w:rPr>
          <w:rFonts w:hint="eastAsia" w:ascii="方正小标宋_GBK" w:hAnsi="方正小标宋_GBK" w:eastAsia="方正小标宋_GBK" w:cs="方正小标宋_GBK"/>
          <w:color w:val="auto"/>
          <w:sz w:val="44"/>
          <w:szCs w:val="44"/>
          <w:highlight w:val="none"/>
        </w:rPr>
        <w:t xml:space="preserve">第五章评审方法与评审标准</w:t>
      </w:r>
      <w:bookmarkEnd w:id="184"/>
      <w:r/>
      <w:bookmarkEnd w:id="185"/>
      <w:r/>
      <w:r/>
    </w:p>
    <w:p>
      <w:pPr>
        <w:pStyle w:val="831"/>
        <w:jc w:val="center"/>
        <w:spacing w:beforeAutospacing="0" w:afterAutospacing="0" w:line="508" w:lineRule="exact"/>
        <w:rPr>
          <w:rFonts w:ascii="方正小标宋_GBK" w:hAnsi="方正小标宋_GBK" w:eastAsia="方正小标宋_GBK" w:cs="方正小标宋_GBK"/>
          <w:color w:val="auto"/>
          <w:sz w:val="44"/>
          <w:szCs w:val="44"/>
          <w:highlight w:val="none"/>
        </w:rPr>
        <w:outlineLvl w:val="0"/>
      </w:pPr>
      <w:r>
        <w:rPr>
          <w:rFonts w:ascii="方正小标宋_GBK" w:hAnsi="方正小标宋_GBK" w:eastAsia="方正小标宋_GBK" w:cs="方正小标宋_GBK"/>
          <w:color w:val="auto"/>
          <w:sz w:val="44"/>
          <w:szCs w:val="44"/>
          <w:highlight w:val="none"/>
        </w:rPr>
      </w:r>
      <w:r/>
    </w:p>
    <w:p>
      <w:pPr>
        <w:ind w:firstLine="482"/>
        <w:spacing w:line="500" w:lineRule="exact"/>
        <w:rPr>
          <w:rFonts w:ascii="黑体" w:hAnsi="黑体" w:eastAsia="黑体"/>
          <w:bCs/>
          <w:color w:val="auto"/>
          <w:sz w:val="24"/>
          <w:highlight w:val="none"/>
        </w:rPr>
      </w:pPr>
      <w:r>
        <w:rPr>
          <w:rFonts w:hint="eastAsia" w:asciiTheme="minorEastAsia" w:hAnsiTheme="minorEastAsia" w:cstheme="minorEastAsia"/>
          <w:b/>
          <w:color w:val="auto"/>
          <w:sz w:val="24"/>
          <w:highlight w:val="none"/>
        </w:rPr>
        <w:t xml:space="preserve">一、定标原则</w:t>
      </w:r>
      <w:r/>
    </w:p>
    <w:p>
      <w:pPr>
        <w:ind w:firstLine="480"/>
        <w:spacing w:line="500" w:lineRule="exact"/>
        <w:rPr>
          <w:rFonts w:asciiTheme="minorEastAsia" w:hAnsiTheme="minorEastAsia" w:cstheme="minorEastAsia"/>
          <w:color w:val="auto"/>
          <w:sz w:val="24"/>
          <w:szCs w:val="20"/>
          <w:highlight w:val="none"/>
        </w:rPr>
      </w:pPr>
      <w:r/>
      <w:bookmarkStart w:id="192" w:name="OLE_LINK40"/>
      <w:r/>
      <w:bookmarkStart w:id="193" w:name="OLE_LINK41"/>
      <w:r>
        <w:rPr>
          <w:rFonts w:hint="eastAsia" w:asciiTheme="minorEastAsia" w:hAnsiTheme="minorEastAsia" w:cstheme="minorEastAsia"/>
          <w:color w:val="auto"/>
          <w:sz w:val="24"/>
          <w:szCs w:val="20"/>
          <w:highlight w:val="none"/>
        </w:rPr>
        <w:t xml:space="preserve">本项目采用</w:t>
      </w:r>
      <w:r>
        <w:rPr>
          <w:rFonts w:hint="eastAsia" w:asciiTheme="minorEastAsia" w:hAnsiTheme="minorEastAsia" w:cstheme="minorEastAsia"/>
          <w:b/>
          <w:bCs/>
          <w:color w:val="auto"/>
          <w:sz w:val="24"/>
          <w:szCs w:val="20"/>
          <w:highlight w:val="none"/>
        </w:rPr>
        <w:t xml:space="preserve">综合评分法</w:t>
      </w:r>
      <w:r>
        <w:rPr>
          <w:rFonts w:hint="eastAsia" w:asciiTheme="minorEastAsia" w:hAnsiTheme="minorEastAsia" w:cstheme="minorEastAsia"/>
          <w:color w:val="auto"/>
          <w:sz w:val="24"/>
          <w:szCs w:val="20"/>
          <w:highlight w:val="none"/>
        </w:rPr>
        <w:t xml:space="preserve">，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bookmarkEnd w:id="192"/>
      <w:r/>
      <w:bookmarkEnd w:id="193"/>
      <w:r>
        <w:rPr>
          <w:rFonts w:hint="eastAsia" w:asciiTheme="minorEastAsia" w:hAnsiTheme="minorEastAsia" w:cstheme="minorEastAsia"/>
          <w:color w:val="auto"/>
          <w:sz w:val="24"/>
          <w:szCs w:val="20"/>
          <w:highlight w:val="none"/>
        </w:rPr>
        <w:t xml:space="preserve">评审得分且最后报价相同的，且技术指标水平相同的，由评标委员会组织通过抽签的方式确定中标候选人的排序。</w:t>
      </w:r>
      <w:r/>
    </w:p>
    <w:p>
      <w:pPr>
        <w:ind w:firstLine="482"/>
        <w:spacing w:line="500" w:lineRule="exact"/>
        <w:rPr>
          <w:rFonts w:asciiTheme="minorEastAsia" w:hAnsiTheme="minorEastAsia" w:cstheme="minorEastAsia"/>
          <w:b/>
          <w:bCs/>
          <w:color w:val="auto"/>
          <w:sz w:val="24"/>
          <w:szCs w:val="20"/>
          <w:highlight w:val="none"/>
        </w:rPr>
      </w:pPr>
      <w:r>
        <w:rPr>
          <w:rFonts w:hint="eastAsia" w:asciiTheme="minorEastAsia" w:hAnsiTheme="minorEastAsia" w:cstheme="minorEastAsia"/>
          <w:b/>
          <w:bCs/>
          <w:color w:val="auto"/>
          <w:sz w:val="24"/>
          <w:szCs w:val="20"/>
          <w:highlight w:val="none"/>
        </w:rPr>
        <w:t xml:space="preserve">政府采购政策功能落实</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1.小微型企业价格扣除</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（1）本项目不专门面向中小企业采购，对符合规定的小型和微型企业报价给予20%的扣除价格，用扣除后的价格参与评审。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（2）供应商需按照磋商文件的要求提供相应的《中小企业声明函》。</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（3）企业标准请参照《关于印发中小企业划型标准规定的通知》（工信部联企业〔2011〕300号）文件规定自行填写。</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2.残疾人福利单位价格扣除</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（1）本项目对残疾人福利性单位视同小型、微型企业，给予20%的价格扣除，用扣除后的价格参与评审。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（2）残疾人福利单位需按照磋商文件的要求提供《残疾人福利性单位声明函》。</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（3）残疾人福利单位标准请参照《关于促进残疾人就业政府采购政策的通知》（财库〔2017〕141号）。</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3.监狱和戒毒企业价格扣除</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（1）本项目对监狱和戒毒企业（简称监狱企业）视同小型、微型企业，给予20%的价格扣除，用扣除后的价格参与评审。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（3）监狱企业标准请参照《关于政府采购支持监狱企业发展有关问题的通知》（财库〔2014〕68号）。</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4.残疾人福利单位、监狱企业属于小型、微型企业的，不重复享受政策。</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6.联合体各方均为小型、微型企业（残疾人福利单位、监狱企业）的，联合体享受 20%价格扣除，用扣除后的价格参与评审。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7.采购本国产品的支持政策（本采购项目不涉及产品、货物采购）</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7.3供应商需按照招标文件的要求提供《关于符合本国产品标准的声明函》（以下简称《声明函》），如不提供将不享受本国产品价格评审优惠。</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8.严格执行政府采购关于支持</w:t>
      </w:r>
      <w:r>
        <w:rPr>
          <w:rFonts w:hint="eastAsia" w:asciiTheme="minorEastAsia" w:hAnsiTheme="minorEastAsia" w:cstheme="minorEastAsia"/>
          <w:color w:val="auto"/>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asciiTheme="minorEastAsia" w:hAnsiTheme="minorEastAsia"/>
          <w:b/>
          <w:bCs/>
          <w:color w:val="auto"/>
          <w:sz w:val="28"/>
          <w:highlight w:val="none"/>
        </w:rPr>
      </w:pPr>
      <w:r>
        <w:rPr>
          <w:rFonts w:hint="eastAsia" w:asciiTheme="minorEastAsia" w:hAnsiTheme="minorEastAsia"/>
          <w:b/>
          <w:bCs/>
          <w:color w:val="auto"/>
          <w:sz w:val="28"/>
          <w:highlight w:val="none"/>
        </w:rPr>
        <w:t xml:space="preserve">二、评标标准</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098"/>
        <w:gridCol w:w="6785"/>
        <w:gridCol w:w="789"/>
      </w:tblGrid>
      <w:tr>
        <w:trPr>
          <w:trHeight w:val="544"/>
          <w:tblHeader/>
        </w:trPr>
        <w:tc>
          <w:tcPr>
            <w:gridSpan w:val="2"/>
            <w:tcW w:w="1157" w:type="pct"/>
            <w:vAlign w:val="center"/>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t xml:space="preserve">评分项目</w:t>
            </w:r>
            <w:r/>
          </w:p>
        </w:tc>
        <w:tc>
          <w:tcPr>
            <w:tcW w:w="3443" w:type="pct"/>
            <w:vAlign w:val="center"/>
            <w:textDirection w:val="lrTb"/>
            <w:noWrap w:val="false"/>
          </w:tcPr>
          <w:p>
            <w:pPr>
              <w:jc w:val="center"/>
              <w:widowControl/>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t xml:space="preserve">评分标准</w:t>
            </w:r>
            <w:r/>
          </w:p>
        </w:tc>
        <w:tc>
          <w:tcPr>
            <w:tcW w:w="400" w:type="pct"/>
            <w:vAlign w:val="center"/>
            <w:textDirection w:val="lrTb"/>
            <w:noWrap w:val="false"/>
          </w:tcPr>
          <w:p>
            <w:pPr>
              <w:jc w:val="center"/>
              <w:widowControl/>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t xml:space="preserve">分值</w:t>
            </w:r>
            <w:r/>
          </w:p>
        </w:tc>
      </w:tr>
      <w:tr>
        <w:trPr>
          <w:trHeight w:val="20"/>
        </w:trPr>
        <w:tc>
          <w:tcPr>
            <w:tcW w:w="600" w:type="pct"/>
            <w:vAlign w:val="center"/>
            <w:textDirection w:val="lrTb"/>
            <w:noWrap w:val="false"/>
          </w:tcPr>
          <w:p>
            <w:pPr>
              <w:jc w:val="center"/>
              <w:rPr>
                <w:rFonts w:hAnsi="宋体"/>
                <w:color w:val="auto"/>
                <w:sz w:val="24"/>
                <w:highlight w:val="none"/>
              </w:rPr>
            </w:pPr>
            <w:r>
              <w:rPr>
                <w:rFonts w:hAnsi="宋体"/>
                <w:color w:val="auto"/>
                <w:sz w:val="24"/>
                <w:highlight w:val="none"/>
              </w:rPr>
              <w:t xml:space="preserve">价格</w:t>
            </w:r>
            <w:r/>
          </w:p>
          <w:p>
            <w:pPr>
              <w:jc w:val="center"/>
              <w:rPr>
                <w:rFonts w:hAnsi="宋体"/>
                <w:color w:val="auto"/>
                <w:sz w:val="24"/>
                <w:highlight w:val="none"/>
              </w:rPr>
            </w:pPr>
            <w:r>
              <w:rPr>
                <w:rFonts w:hAnsi="宋体"/>
                <w:color w:val="auto"/>
                <w:sz w:val="24"/>
                <w:highlight w:val="none"/>
              </w:rPr>
              <w:t xml:space="preserve">部分</w:t>
            </w:r>
            <w:r/>
          </w:p>
          <w:p>
            <w:pPr>
              <w:jc w:val="center"/>
              <w:rPr>
                <w:rFonts w:hAnsi="宋体"/>
                <w:color w:val="auto"/>
                <w:sz w:val="24"/>
                <w:highlight w:val="none"/>
              </w:rPr>
            </w:pPr>
            <w:r>
              <w:rPr>
                <w:rFonts w:hAnsi="宋体"/>
                <w:color w:val="auto"/>
                <w:sz w:val="24"/>
                <w:highlight w:val="none"/>
              </w:rPr>
              <w:t xml:space="preserve">10分</w:t>
            </w:r>
            <w:r/>
          </w:p>
        </w:tc>
        <w:tc>
          <w:tcPr>
            <w:tcW w:w="557" w:type="pct"/>
            <w:vAlign w:val="center"/>
            <w:textDirection w:val="lrTb"/>
            <w:noWrap w:val="false"/>
          </w:tcPr>
          <w:p>
            <w:pPr>
              <w:jc w:val="center"/>
              <w:rPr>
                <w:rFonts w:hAnsi="宋体"/>
                <w:color w:val="auto"/>
                <w:sz w:val="24"/>
                <w:highlight w:val="none"/>
              </w:rPr>
            </w:pPr>
            <w:r>
              <w:rPr>
                <w:rFonts w:hAnsi="宋体"/>
                <w:color w:val="auto"/>
                <w:sz w:val="24"/>
                <w:highlight w:val="none"/>
              </w:rPr>
              <w:t xml:space="preserve">报价</w:t>
            </w:r>
            <w:r/>
          </w:p>
        </w:tc>
        <w:tc>
          <w:tcPr>
            <w:tcW w:w="3443" w:type="pct"/>
            <w:vAlign w:val="center"/>
            <w:textDirection w:val="lrTb"/>
            <w:noWrap w:val="false"/>
          </w:tcPr>
          <w:p>
            <w:pPr>
              <w:ind w:firstLine="480"/>
              <w:spacing w:line="500" w:lineRule="exact"/>
              <w:widowControl/>
              <w:rPr>
                <w:rFonts w:cs="Times New Roman" w:asciiTheme="minorEastAsia" w:hAnsiTheme="minorEastAsia"/>
                <w:color w:val="auto"/>
                <w:sz w:val="24"/>
                <w:szCs w:val="22"/>
                <w:highlight w:val="none"/>
              </w:rPr>
            </w:pPr>
            <w:r>
              <w:rPr>
                <w:rFonts w:cs="Times New Roman" w:asciiTheme="minorEastAsia" w:hAnsiTheme="minorEastAsia"/>
                <w:color w:val="auto"/>
                <w:sz w:val="24"/>
                <w:szCs w:val="22"/>
                <w:highlight w:val="none"/>
              </w:rPr>
              <w:t xml:space="preserve">采用低价优先法计算，即满足</w:t>
            </w:r>
            <w:r>
              <w:rPr>
                <w:rFonts w:hint="eastAsia" w:cs="Times New Roman" w:asciiTheme="minorEastAsia" w:hAnsiTheme="minorEastAsia"/>
                <w:color w:val="auto"/>
                <w:sz w:val="24"/>
                <w:szCs w:val="22"/>
                <w:highlight w:val="none"/>
              </w:rPr>
              <w:t xml:space="preserve">磋商</w:t>
            </w:r>
            <w:r>
              <w:rPr>
                <w:rFonts w:cs="Times New Roman" w:asciiTheme="minorEastAsia" w:hAnsiTheme="minorEastAsia"/>
                <w:color w:val="auto"/>
                <w:sz w:val="24"/>
                <w:szCs w:val="22"/>
                <w:highlight w:val="none"/>
              </w:rPr>
              <w:t xml:space="preserve">文件要求且最后报价最低的供应商的价格为投标基准价，其价格分为满分。其他供应商的价格分统一按照下列公式计算：报价得分=（评标基准价/最终报价）×10。</w:t>
            </w:r>
            <w:r>
              <w:rPr>
                <w:rFonts w:hint="eastAsia" w:cs="Times New Roman" w:asciiTheme="minorEastAsia" w:hAnsiTheme="minorEastAsia"/>
                <w:color w:val="auto"/>
                <w:sz w:val="24"/>
                <w:szCs w:val="22"/>
                <w:highlight w:val="none"/>
              </w:rPr>
              <w:t xml:space="preserve">（保留两位小数，按小数点后第三位四舍五入）。</w:t>
            </w:r>
            <w:r>
              <w:rPr>
                <w:rFonts w:hint="eastAsia" w:cs="Times New Roman" w:asciiTheme="minorEastAsia" w:hAnsiTheme="minorEastAsia"/>
                <w:b/>
                <w:color w:val="auto"/>
                <w:sz w:val="24"/>
                <w:szCs w:val="22"/>
                <w:highlight w:val="none"/>
              </w:rPr>
              <w:t xml:space="preserve">注</w:t>
            </w:r>
            <w:r>
              <w:rPr>
                <w:rFonts w:hint="eastAsia" w:cs="Times New Roman" w:asciiTheme="minorEastAsia" w:hAnsiTheme="minorEastAsia"/>
                <w:color w:val="auto"/>
                <w:sz w:val="24"/>
                <w:szCs w:val="22"/>
                <w:highlight w:val="none"/>
              </w:rPr>
              <w:t xml:space="preserve">：</w:t>
            </w:r>
            <w:r>
              <w:rPr>
                <w:rFonts w:hint="eastAsia" w:cs="Times New Roman" w:asciiTheme="minorEastAsia" w:hAnsiTheme="minorEastAsia"/>
                <w:b/>
                <w:color w:val="auto"/>
                <w:sz w:val="24"/>
                <w:szCs w:val="22"/>
                <w:highlight w:val="none"/>
              </w:rPr>
              <w:t xml:space="preserve">有效投标报价为未被评标委员会判定为无效标的响应文件。</w:t>
            </w:r>
            <w:r/>
          </w:p>
        </w:tc>
        <w:tc>
          <w:tcPr>
            <w:tcW w:w="400" w:type="pct"/>
            <w:vAlign w:val="center"/>
            <w:textDirection w:val="lrTb"/>
            <w:noWrap w:val="false"/>
          </w:tcPr>
          <w:p>
            <w:pPr>
              <w:jc w:val="center"/>
              <w:widowControl/>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color w:val="auto"/>
                <w:spacing w:val="9"/>
                <w:sz w:val="24"/>
                <w:szCs w:val="22"/>
                <w:highlight w:val="none"/>
              </w:rPr>
              <w:t xml:space="preserve">10</w:t>
            </w:r>
            <w:r/>
          </w:p>
        </w:tc>
      </w:tr>
      <w:tr>
        <w:trPr>
          <w:trHeight w:val="20"/>
        </w:trPr>
        <w:tc>
          <w:tcPr>
            <w:tcW w:w="600" w:type="pct"/>
            <w:vAlign w:val="center"/>
            <w:vMerge w:val="restart"/>
            <w:textDirection w:val="lrTb"/>
            <w:noWrap w:val="false"/>
          </w:tcPr>
          <w:p>
            <w:pPr>
              <w:jc w:val="center"/>
              <w:rPr>
                <w:rFonts w:hAnsi="宋体"/>
                <w:color w:val="auto"/>
                <w:sz w:val="24"/>
                <w:highlight w:val="none"/>
              </w:rPr>
            </w:pPr>
            <w:r>
              <w:rPr>
                <w:rFonts w:hAnsi="宋体"/>
                <w:color w:val="auto"/>
                <w:sz w:val="24"/>
                <w:highlight w:val="none"/>
              </w:rPr>
              <w:t xml:space="preserve">商务部分</w:t>
            </w:r>
            <w:r/>
          </w:p>
          <w:p>
            <w:pPr>
              <w:jc w:val="center"/>
              <w:rPr>
                <w:rFonts w:ascii="Times New Roman" w:hAnsi="Times New Roman" w:eastAsia="方正仿宋_GBK" w:cs="Times New Roman"/>
                <w:b/>
                <w:bCs/>
                <w:color w:val="auto"/>
                <w:sz w:val="24"/>
                <w:szCs w:val="22"/>
                <w:highlight w:val="none"/>
              </w:rPr>
            </w:pPr>
            <w:r>
              <w:rPr>
                <w:rFonts w:hint="eastAsia" w:hAnsi="宋体"/>
                <w:color w:val="auto"/>
                <w:sz w:val="24"/>
                <w:highlight w:val="none"/>
              </w:rPr>
              <w:t xml:space="preserve"> </w:t>
            </w:r>
            <w:r>
              <w:rPr>
                <w:rFonts w:hAnsi="宋体"/>
                <w:color w:val="auto"/>
                <w:sz w:val="24"/>
                <w:highlight w:val="none"/>
              </w:rPr>
              <w:t xml:space="preserve"> </w:t>
            </w:r>
            <w:r>
              <w:rPr>
                <w:rFonts w:ascii="Times New Roman" w:hAnsi="Times New Roman" w:cs="Times New Roman"/>
                <w:color w:val="auto"/>
                <w:sz w:val="24"/>
                <w:highlight w:val="none"/>
              </w:rPr>
              <w:t xml:space="preserve">42</w:t>
            </w:r>
            <w:r>
              <w:rPr>
                <w:rFonts w:hAnsi="宋体"/>
                <w:color w:val="auto"/>
                <w:sz w:val="24"/>
                <w:highlight w:val="none"/>
              </w:rPr>
              <w:t xml:space="preserve">分</w:t>
            </w:r>
            <w:r/>
          </w:p>
        </w:tc>
        <w:tc>
          <w:tcPr>
            <w:tcW w:w="557" w:type="pct"/>
            <w:vAlign w:val="center"/>
            <w:textDirection w:val="lrTb"/>
            <w:noWrap w:val="false"/>
          </w:tcPr>
          <w:p>
            <w:pPr>
              <w:jc w:val="center"/>
              <w:rPr>
                <w:rFonts w:hAnsi="宋体"/>
                <w:color w:val="auto"/>
                <w:sz w:val="24"/>
                <w:highlight w:val="none"/>
              </w:rPr>
            </w:pPr>
            <w:r>
              <w:rPr>
                <w:rFonts w:hAnsi="宋体"/>
                <w:color w:val="auto"/>
                <w:sz w:val="24"/>
                <w:highlight w:val="none"/>
              </w:rPr>
              <w:t xml:space="preserve">供应商</w:t>
            </w:r>
            <w:r/>
          </w:p>
          <w:p>
            <w:pPr>
              <w:jc w:val="center"/>
              <w:rPr>
                <w:rFonts w:ascii="Times New Roman" w:hAnsi="Times New Roman" w:eastAsia="方正仿宋_GBK" w:cs="Times New Roman"/>
                <w:b/>
                <w:bCs/>
                <w:color w:val="auto"/>
                <w:sz w:val="24"/>
                <w:szCs w:val="22"/>
                <w:highlight w:val="none"/>
              </w:rPr>
            </w:pPr>
            <w:r>
              <w:rPr>
                <w:rFonts w:hAnsi="宋体"/>
                <w:color w:val="auto"/>
                <w:sz w:val="24"/>
                <w:highlight w:val="none"/>
              </w:rPr>
              <w:t xml:space="preserve">业绩</w:t>
            </w:r>
            <w:r/>
          </w:p>
        </w:tc>
        <w:tc>
          <w:tcPr>
            <w:tcW w:w="3443" w:type="pct"/>
            <w:vAlign w:val="center"/>
            <w:textDirection w:val="lrTb"/>
            <w:noWrap w:val="false"/>
          </w:tcPr>
          <w:p>
            <w:pPr>
              <w:ind w:firstLine="480"/>
              <w:widowControl/>
              <w:rPr>
                <w:rFonts w:cs="Times New Roman" w:asciiTheme="minorEastAsia" w:hAnsiTheme="minorEastAsia"/>
                <w:bCs/>
                <w:color w:val="auto"/>
                <w:sz w:val="24"/>
                <w:highlight w:val="none"/>
              </w:rPr>
            </w:pPr>
            <w:r>
              <w:rPr>
                <w:rFonts w:cs="Times New Roman" w:asciiTheme="minorEastAsia" w:hAnsiTheme="minorEastAsia"/>
                <w:bCs/>
                <w:color w:val="auto"/>
                <w:sz w:val="24"/>
                <w:highlight w:val="none"/>
              </w:rPr>
              <w:t xml:space="preserve">供应商2023年1月1日以来（以合同签订时间为准）承担过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cs="Times New Roman" w:asciiTheme="minorEastAsia" w:hAnsiTheme="minorEastAsia"/>
                <w:bCs/>
                <w:color w:val="auto"/>
                <w:sz w:val="24"/>
                <w:highlight w:val="none"/>
              </w:rPr>
              <w:t xml:space="preserve">类似业绩</w:t>
            </w:r>
            <w:r>
              <w:rPr>
                <w:rFonts w:hint="eastAsia" w:cs="Times New Roman" w:asciiTheme="minorEastAsia" w:hAnsiTheme="minorEastAsia"/>
                <w:bCs/>
                <w:color w:val="auto"/>
                <w:sz w:val="24"/>
                <w:highlight w:val="none"/>
              </w:rPr>
              <w:t xml:space="preserve">的，每提供1个得3分，本项最高得15分。若供应商仅能提供上述两种类型其中一种类似业绩的，本项最高得9分。</w:t>
            </w:r>
            <w:r/>
          </w:p>
          <w:p>
            <w:pPr>
              <w:widowControl/>
              <w:rPr>
                <w:rFonts w:hint="eastAsia" w:cs="Times New Roman" w:asciiTheme="minorEastAsia" w:hAnsiTheme="minorEastAsia" w:eastAsiaTheme="minorEastAsia"/>
                <w:bCs/>
                <w:color w:val="auto"/>
                <w:sz w:val="24"/>
                <w:highlight w:val="none"/>
                <w:lang w:eastAsia="zh-CN"/>
              </w:rPr>
            </w:pPr>
            <w:r>
              <w:rPr>
                <w:rFonts w:cs="Times New Roman" w:asciiTheme="minorEastAsia" w:hAnsiTheme="minorEastAsia"/>
                <w:b/>
                <w:bCs/>
                <w:color w:val="auto"/>
                <w:sz w:val="24"/>
                <w:highlight w:val="none"/>
              </w:rPr>
              <w:t xml:space="preserve">注：同一业绩若同时具备两种及以上加分条件，仅能记一次分。业绩以合同签订时间为准，必须提供相关案例的合同扫描件，合同扫描件需反映服务相关内容，否则不得分。</w:t>
            </w:r>
            <w:r>
              <w:rPr>
                <w:rFonts w:hint="eastAsia" w:cs="Times New Roman" w:asciiTheme="minorEastAsia" w:hAnsiTheme="minorEastAsia"/>
                <w:color w:val="auto"/>
                <w:sz w:val="24"/>
                <w:highlight w:val="none"/>
              </w:rPr>
              <w:t xml:space="preserve">若合同无法体现业绩内容，则须提供证明业绩内容的书面材料。若为联合体形式响应，联合体牵头人与成员方</w:t>
            </w:r>
            <w:r>
              <w:rPr>
                <w:rFonts w:hint="eastAsia" w:cs="Times New Roman" w:asciiTheme="minorEastAsia" w:hAnsiTheme="minorEastAsia"/>
                <w:color w:val="auto"/>
                <w:sz w:val="24"/>
                <w:highlight w:val="none"/>
                <w:lang w:val="en-US" w:eastAsia="zh-CN"/>
              </w:rPr>
              <w:t xml:space="preserve">业绩</w:t>
            </w:r>
            <w:r>
              <w:rPr>
                <w:rFonts w:hint="eastAsia" w:cs="Times New Roman" w:asciiTheme="minorEastAsia" w:hAnsiTheme="minorEastAsia"/>
                <w:color w:val="auto"/>
                <w:sz w:val="24"/>
                <w:highlight w:val="none"/>
              </w:rPr>
              <w:t xml:space="preserve">均可得分</w:t>
            </w:r>
            <w:r>
              <w:rPr>
                <w:rFonts w:hint="eastAsia" w:cs="Times New Roman" w:asciiTheme="minorEastAsia" w:hAnsiTheme="minorEastAsia"/>
                <w:color w:val="auto"/>
                <w:sz w:val="24"/>
                <w:highlight w:val="none"/>
                <w:lang w:eastAsia="zh-CN"/>
              </w:rPr>
              <w:t xml:space="preserve">。</w:t>
            </w:r>
            <w:r/>
          </w:p>
        </w:tc>
        <w:tc>
          <w:tcPr>
            <w:tcW w:w="400" w:type="pct"/>
            <w:vAlign w:val="center"/>
            <w:textDirection w:val="lrTb"/>
            <w:noWrap w:val="false"/>
          </w:tcPr>
          <w:p>
            <w:pPr>
              <w:ind w:firstLine="262"/>
              <w:jc w:val="both"/>
              <w:spacing w:before="120"/>
              <w:widowControl/>
              <w:rPr>
                <w:rFonts w:ascii="Times New Roman" w:hAnsi="Times New Roman" w:eastAsia="方正仿宋_GBK" w:cs="Times New Roman"/>
                <w:color w:val="auto"/>
                <w:spacing w:val="11"/>
                <w:sz w:val="24"/>
                <w:highlight w:val="none"/>
              </w:rPr>
            </w:pPr>
            <w:r>
              <w:rPr>
                <w:rFonts w:ascii="Times New Roman" w:hAnsi="Times New Roman" w:eastAsia="方正仿宋_GBK" w:cs="Times New Roman"/>
                <w:color w:val="auto"/>
                <w:spacing w:val="11"/>
                <w:sz w:val="24"/>
                <w:highlight w:val="none"/>
              </w:rPr>
              <w:t xml:space="preserve">15</w:t>
            </w:r>
            <w:r/>
          </w:p>
        </w:tc>
      </w:tr>
      <w:tr>
        <w:trPr>
          <w:trHeight w:val="3512"/>
        </w:trPr>
        <w:tc>
          <w:tcPr>
            <w:tcW w:w="600" w:type="pct"/>
            <w:vAlign w:val="center"/>
            <w:vMerge w:val="continue"/>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jc w:val="center"/>
              <w:rPr>
                <w:rFonts w:hAnsi="宋体"/>
                <w:color w:val="auto"/>
                <w:sz w:val="24"/>
                <w:highlight w:val="none"/>
              </w:rPr>
            </w:pPr>
            <w:r>
              <w:rPr>
                <w:rFonts w:hAnsi="宋体"/>
                <w:color w:val="auto"/>
                <w:sz w:val="24"/>
                <w:highlight w:val="none"/>
              </w:rPr>
              <w:t xml:space="preserve">项目</w:t>
            </w:r>
            <w:r/>
          </w:p>
          <w:p>
            <w:pPr>
              <w:jc w:val="center"/>
              <w:rPr>
                <w:rFonts w:ascii="Times New Roman" w:hAnsi="Times New Roman" w:eastAsia="方正仿宋_GBK" w:cs="Times New Roman"/>
                <w:b/>
                <w:bCs/>
                <w:color w:val="auto"/>
                <w:spacing w:val="1"/>
                <w:sz w:val="24"/>
                <w:szCs w:val="22"/>
                <w:highlight w:val="none"/>
              </w:rPr>
            </w:pPr>
            <w:r>
              <w:rPr>
                <w:rFonts w:hAnsi="宋体"/>
                <w:color w:val="auto"/>
                <w:sz w:val="24"/>
                <w:highlight w:val="none"/>
              </w:rPr>
              <w:t xml:space="preserve">负责人</w:t>
            </w:r>
            <w:r/>
          </w:p>
        </w:tc>
        <w:tc>
          <w:tcPr>
            <w:tcW w:w="3443" w:type="pct"/>
            <w:vAlign w:val="center"/>
            <w:textDirection w:val="lrTb"/>
            <w:noWrap w:val="false"/>
          </w:tcPr>
          <w:p>
            <w:pPr>
              <w:ind w:firstLine="480"/>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t xml:space="preserve">1.拟投入的项目负责人具备交通类或民航类相关专业副高级及以上职称的得3分；同时具备咨询工程师（投资）证书或注册城乡规划师资格证书的，得3分；本项最高得6分。</w:t>
            </w:r>
            <w:r/>
          </w:p>
          <w:p>
            <w:pPr>
              <w:ind w:firstLine="480"/>
              <w:rPr>
                <w:rFonts w:cs="Times New Roman" w:asciiTheme="minorEastAsia" w:hAnsiTheme="minorEastAsia"/>
                <w:color w:val="auto"/>
                <w:sz w:val="24"/>
                <w:szCs w:val="22"/>
                <w:highlight w:val="none"/>
              </w:rPr>
            </w:pPr>
            <w:r>
              <w:rPr>
                <w:rFonts w:cs="Times New Roman" w:asciiTheme="minorEastAsia" w:hAnsiTheme="minorEastAsia"/>
                <w:color w:val="auto"/>
                <w:sz w:val="24"/>
                <w:szCs w:val="22"/>
                <w:highlight w:val="none"/>
              </w:rPr>
              <w:t xml:space="preserve">2.2023年1月1日起至今，拟投入的项目负责人担任过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cs="Times New Roman" w:asciiTheme="minorEastAsia" w:hAnsiTheme="minorEastAsia"/>
                <w:color w:val="auto"/>
                <w:sz w:val="24"/>
                <w:szCs w:val="22"/>
                <w:highlight w:val="none"/>
              </w:rPr>
              <w:t xml:space="preserve">负责人，有一个得</w:t>
            </w:r>
            <w:r>
              <w:rPr>
                <w:rFonts w:hint="eastAsia" w:cs="Times New Roman" w:asciiTheme="minorEastAsia" w:hAnsiTheme="minorEastAsia"/>
                <w:color w:val="auto"/>
                <w:sz w:val="24"/>
                <w:szCs w:val="22"/>
                <w:highlight w:val="none"/>
              </w:rPr>
              <w:t xml:space="preserve">2分</w:t>
            </w:r>
            <w:r>
              <w:rPr>
                <w:rFonts w:cs="Times New Roman" w:asciiTheme="minorEastAsia" w:hAnsiTheme="minorEastAsia"/>
                <w:color w:val="auto"/>
                <w:sz w:val="24"/>
                <w:szCs w:val="22"/>
                <w:highlight w:val="none"/>
              </w:rPr>
              <w:t xml:space="preserve">，最高得</w:t>
            </w:r>
            <w:r>
              <w:rPr>
                <w:rFonts w:hint="eastAsia" w:cs="Times New Roman" w:asciiTheme="minorEastAsia" w:hAnsiTheme="minorEastAsia"/>
                <w:color w:val="auto"/>
                <w:sz w:val="24"/>
                <w:szCs w:val="22"/>
                <w:highlight w:val="none"/>
              </w:rPr>
              <w:t xml:space="preserve">8</w:t>
            </w:r>
            <w:r>
              <w:rPr>
                <w:rFonts w:cs="Times New Roman" w:asciiTheme="minorEastAsia" w:hAnsiTheme="minorEastAsia"/>
                <w:color w:val="auto"/>
                <w:sz w:val="24"/>
                <w:szCs w:val="22"/>
                <w:highlight w:val="none"/>
              </w:rPr>
              <w:t xml:space="preserve">分。</w:t>
            </w:r>
            <w:r/>
          </w:p>
          <w:p>
            <w:pPr>
              <w:widowControl/>
              <w:rPr>
                <w:rFonts w:ascii="Times New Roman" w:hAnsi="Times New Roman" w:eastAsia="方正仿宋_GBK" w:cs="Times New Roman"/>
                <w:color w:val="auto"/>
                <w:sz w:val="24"/>
                <w:highlight w:val="none"/>
              </w:rPr>
            </w:pPr>
            <w:r/>
            <w:bookmarkStart w:id="194" w:name="OLE_LINK18"/>
            <w:r>
              <w:rPr>
                <w:rFonts w:cs="Times New Roman" w:asciiTheme="minorEastAsia" w:hAnsiTheme="minorEastAsia"/>
                <w:b/>
                <w:bCs/>
                <w:color w:val="auto"/>
                <w:sz w:val="24"/>
                <w:highlight w:val="none"/>
              </w:rPr>
              <w:t xml:space="preserve">注：提供职称证书复印件、</w:t>
            </w:r>
            <w:bookmarkStart w:id="195" w:name="OLE_LINK11"/>
            <w:r/>
            <w:bookmarkStart w:id="196" w:name="OLE_LINK12"/>
            <w:r/>
            <w:bookmarkStart w:id="197" w:name="OLE_LINK8"/>
            <w:r/>
            <w:bookmarkStart w:id="198" w:name="OLE_LINK10"/>
            <w:r/>
            <w:bookmarkStart w:id="199" w:name="OLE_LINK9"/>
            <w:r>
              <w:rPr>
                <w:rFonts w:cs="Times New Roman" w:asciiTheme="minorEastAsia" w:hAnsiTheme="minorEastAsia"/>
                <w:b/>
                <w:bCs/>
                <w:color w:val="auto"/>
                <w:sz w:val="24"/>
                <w:highlight w:val="none"/>
              </w:rPr>
              <w:t xml:space="preserve">项目业绩</w:t>
            </w:r>
            <w:bookmarkEnd w:id="195"/>
            <w:r/>
            <w:bookmarkEnd w:id="196"/>
            <w:r>
              <w:rPr>
                <w:rFonts w:cs="Times New Roman" w:asciiTheme="minorEastAsia" w:hAnsiTheme="minorEastAsia"/>
                <w:b/>
                <w:bCs/>
                <w:color w:val="auto"/>
                <w:sz w:val="24"/>
                <w:highlight w:val="none"/>
              </w:rPr>
              <w:t xml:space="preserve">体现项目负责人姓名的合同或相关证明材料复印件、完成交付结题的相关证明材料，以合同签订时间为准，未提供不得分；</w:t>
            </w:r>
            <w:bookmarkEnd w:id="194"/>
            <w:r/>
            <w:bookmarkEnd w:id="197"/>
            <w:r/>
            <w:bookmarkEnd w:id="198"/>
            <w:r/>
            <w:bookmarkEnd w:id="199"/>
            <w:r/>
            <w:bookmarkStart w:id="200" w:name="OLE_LINK15"/>
            <w:r>
              <w:rPr>
                <w:rFonts w:cs="Times New Roman" w:asciiTheme="minorEastAsia" w:hAnsiTheme="minorEastAsia"/>
                <w:b/>
                <w:bCs/>
                <w:color w:val="auto"/>
                <w:sz w:val="24"/>
                <w:highlight w:val="none"/>
              </w:rPr>
              <w:t xml:space="preserve">提供</w:t>
            </w:r>
            <w:r>
              <w:rPr>
                <w:rFonts w:hint="eastAsia" w:cs="Times New Roman" w:asciiTheme="minorEastAsia" w:hAnsiTheme="minorEastAsia"/>
                <w:b/>
                <w:bCs/>
                <w:color w:val="auto"/>
                <w:sz w:val="24"/>
                <w:highlight w:val="none"/>
              </w:rPr>
              <w:t xml:space="preserve">近三个月中任意一个月（不含投标当月）的社保证明电子扫描件并加盖供应商公章</w:t>
            </w:r>
            <w:r>
              <w:rPr>
                <w:rFonts w:cs="Times New Roman" w:asciiTheme="minorEastAsia" w:hAnsiTheme="minorEastAsia"/>
                <w:b/>
                <w:bCs/>
                <w:color w:val="auto"/>
                <w:sz w:val="24"/>
                <w:highlight w:val="none"/>
              </w:rPr>
              <w:t xml:space="preserve">，未提供不得分。</w:t>
            </w:r>
            <w:bookmarkEnd w:id="200"/>
            <w:r>
              <w:rPr>
                <w:rFonts w:hint="eastAsia" w:cs="Times New Roman" w:asciiTheme="minorEastAsia" w:hAnsiTheme="minorEastAsia"/>
                <w:color w:val="auto"/>
                <w:sz w:val="24"/>
                <w:highlight w:val="none"/>
              </w:rPr>
              <w:t xml:space="preserve">若合同无法体现业绩内容，则须提供证明业绩内容的书面材料。</w:t>
            </w:r>
            <w:r/>
          </w:p>
        </w:tc>
        <w:tc>
          <w:tcPr>
            <w:tcW w:w="400" w:type="pct"/>
            <w:vAlign w:val="center"/>
            <w:textDirection w:val="lrTb"/>
            <w:noWrap w:val="false"/>
          </w:tcPr>
          <w:p>
            <w:pPr>
              <w:jc w:val="center"/>
              <w:spacing w:before="120"/>
              <w:widowControl/>
              <w:rPr>
                <w:rFonts w:ascii="Times New Roman" w:hAnsi="Times New Roman" w:eastAsia="方正仿宋_GBK" w:cs="Times New Roman"/>
                <w:color w:val="auto"/>
                <w:spacing w:val="11"/>
                <w:sz w:val="24"/>
                <w:highlight w:val="none"/>
              </w:rPr>
            </w:pPr>
            <w:r>
              <w:rPr>
                <w:rFonts w:ascii="Times New Roman" w:hAnsi="Times New Roman" w:eastAsia="方正仿宋_GBK" w:cs="Times New Roman"/>
                <w:color w:val="auto"/>
                <w:spacing w:val="11"/>
                <w:sz w:val="24"/>
                <w:highlight w:val="none"/>
              </w:rPr>
              <w:t xml:space="preserve">1</w:t>
            </w:r>
            <w:r>
              <w:rPr>
                <w:rFonts w:hint="eastAsia" w:ascii="Times New Roman" w:hAnsi="Times New Roman" w:eastAsia="方正仿宋_GBK" w:cs="Times New Roman"/>
                <w:color w:val="auto"/>
                <w:spacing w:val="11"/>
                <w:sz w:val="24"/>
                <w:highlight w:val="none"/>
              </w:rPr>
              <w:t xml:space="preserve">4</w:t>
            </w:r>
            <w:r/>
          </w:p>
        </w:tc>
      </w:tr>
      <w:tr>
        <w:trPr>
          <w:trHeight w:val="20"/>
        </w:trPr>
        <w:tc>
          <w:tcPr>
            <w:tcW w:w="600" w:type="pct"/>
            <w:vAlign w:val="center"/>
            <w:vMerge w:val="continue"/>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jc w:val="center"/>
              <w:rPr>
                <w:rFonts w:hAnsi="宋体"/>
                <w:color w:val="auto"/>
                <w:sz w:val="24"/>
                <w:highlight w:val="none"/>
              </w:rPr>
            </w:pPr>
            <w:r>
              <w:rPr>
                <w:rFonts w:hAnsi="宋体"/>
                <w:color w:val="auto"/>
                <w:sz w:val="24"/>
                <w:highlight w:val="none"/>
              </w:rPr>
              <w:t xml:space="preserve">项目组</w:t>
            </w:r>
            <w:r/>
          </w:p>
          <w:p>
            <w:pPr>
              <w:jc w:val="center"/>
              <w:rPr>
                <w:rFonts w:ascii="Times New Roman" w:hAnsi="Times New Roman" w:eastAsia="方正仿宋_GBK" w:cs="Times New Roman"/>
                <w:b/>
                <w:bCs/>
                <w:color w:val="auto"/>
                <w:spacing w:val="1"/>
                <w:sz w:val="24"/>
                <w:szCs w:val="22"/>
                <w:highlight w:val="none"/>
              </w:rPr>
            </w:pPr>
            <w:r>
              <w:rPr>
                <w:rFonts w:hAnsi="宋体"/>
                <w:color w:val="auto"/>
                <w:sz w:val="24"/>
                <w:highlight w:val="none"/>
              </w:rPr>
              <w:t xml:space="preserve">成员</w:t>
            </w:r>
            <w:r/>
          </w:p>
        </w:tc>
        <w:tc>
          <w:tcPr>
            <w:tcW w:w="3443" w:type="pct"/>
            <w:vAlign w:val="center"/>
            <w:textDirection w:val="lrTb"/>
            <w:noWrap w:val="false"/>
          </w:tcPr>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t xml:space="preserve">拟投入的项目组成员（不含项目负责人）中：</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t xml:space="preserve">1. 每投入1名具备民航类相关专业副高级及以上技术职称的成员得3分，每投入1名具备交通类或软件工程类相关专业副高级及以上技术职称的成员加2分，本项最高得6分。若项目组成员中没有民航类专业的，本项最高得3分。</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t xml:space="preserve">2.2023年1月1日起至今，拟投入的项目组成员负责或参与过</w:t>
            </w:r>
            <w:r>
              <w:rPr>
                <w:rFonts w:hint="eastAsia" w:cs="Times New Roman" w:asciiTheme="minorEastAsia" w:hAnsiTheme="minorEastAsia"/>
                <w:bCs/>
                <w:color w:val="auto"/>
                <w:sz w:val="24"/>
                <w:highlight w:val="none"/>
              </w:rPr>
              <w:t xml:space="preserve">低空空域/</w:t>
            </w:r>
            <w:r>
              <w:rPr>
                <w:rFonts w:cs="Times New Roman" w:asciiTheme="minorEastAsia" w:hAnsiTheme="minorEastAsia"/>
                <w:bCs/>
                <w:color w:val="auto"/>
                <w:sz w:val="24"/>
                <w:highlight w:val="none"/>
              </w:rPr>
              <w:t xml:space="preserve">航</w:t>
            </w:r>
            <w:r>
              <w:rPr>
                <w:rFonts w:hint="eastAsia" w:cs="Times New Roman" w:asciiTheme="minorEastAsia" w:hAnsiTheme="minorEastAsia"/>
                <w:bCs/>
                <w:color w:val="auto"/>
                <w:sz w:val="24"/>
                <w:highlight w:val="none"/>
              </w:rPr>
              <w:t xml:space="preserve">路（航线）划设、低空起降场（点）布局项目</w:t>
            </w:r>
            <w:r>
              <w:rPr>
                <w:rFonts w:cs="Times New Roman" w:asciiTheme="minorEastAsia" w:hAnsiTheme="minorEastAsia"/>
                <w:color w:val="auto"/>
                <w:sz w:val="24"/>
                <w:highlight w:val="none"/>
              </w:rPr>
              <w:t xml:space="preserve">的，</w:t>
            </w:r>
            <w:r>
              <w:rPr>
                <w:rFonts w:hint="eastAsia" w:cs="Times New Roman" w:asciiTheme="minorEastAsia" w:hAnsiTheme="minorEastAsia"/>
                <w:color w:val="auto"/>
                <w:sz w:val="24"/>
                <w:highlight w:val="none"/>
              </w:rPr>
              <w:t xml:space="preserve">每提供一个得1分，本项最高得7分。若项目组成员仅负责或参与过上述两种类型其中一种类似业绩的，本项最高得4分。</w:t>
            </w:r>
            <w:r/>
          </w:p>
          <w:p>
            <w:pPr>
              <w:widowControl/>
              <w:rPr>
                <w:rFonts w:hint="eastAsia" w:cs="Times New Roman" w:asciiTheme="minorEastAsia" w:hAnsiTheme="minorEastAsia" w:eastAsiaTheme="minorEastAsia"/>
                <w:b/>
                <w:bCs/>
                <w:color w:val="auto"/>
                <w:sz w:val="24"/>
                <w:highlight w:val="none"/>
                <w:lang w:eastAsia="zh-CN"/>
              </w:rPr>
            </w:pPr>
            <w:r>
              <w:rPr>
                <w:rFonts w:cs="Times New Roman" w:asciiTheme="minorEastAsia" w:hAnsiTheme="minorEastAsia"/>
                <w:b/>
                <w:bCs/>
                <w:color w:val="auto"/>
                <w:sz w:val="24"/>
                <w:highlight w:val="none"/>
              </w:rPr>
              <w:t xml:space="preserve">注：同一人员仅记一次分。提供职称证书复印件</w:t>
            </w:r>
            <w:r>
              <w:rPr>
                <w:rFonts w:hint="eastAsia" w:cs="Times New Roman" w:asciiTheme="minorEastAsia" w:hAnsiTheme="minorEastAsia"/>
                <w:b/>
                <w:bCs/>
                <w:color w:val="auto"/>
                <w:sz w:val="24"/>
                <w:highlight w:val="none"/>
              </w:rPr>
              <w:t xml:space="preserve">、</w:t>
            </w:r>
            <w:r>
              <w:rPr>
                <w:rFonts w:cs="Times New Roman" w:asciiTheme="minorEastAsia" w:hAnsiTheme="minorEastAsia"/>
                <w:b/>
                <w:bCs/>
                <w:color w:val="auto"/>
                <w:sz w:val="24"/>
                <w:highlight w:val="none"/>
              </w:rPr>
              <w:t xml:space="preserve">项目业绩</w:t>
            </w:r>
            <w:r>
              <w:rPr>
                <w:rFonts w:hint="eastAsia" w:cs="Times New Roman" w:asciiTheme="minorEastAsia" w:hAnsiTheme="minorEastAsia"/>
                <w:b/>
                <w:bCs/>
                <w:color w:val="auto"/>
                <w:sz w:val="24"/>
                <w:highlight w:val="none"/>
              </w:rPr>
              <w:t xml:space="preserve">体现项目组成员姓名的合同或相关证明材料复印件、完成交付结题的相关证明材料，以合同签订时间为准，未提供不得分；提供近三个月中任意一个月（不含投标当月）的社保证明电子扫描件并加盖供应商公章。</w:t>
            </w:r>
            <w:r>
              <w:rPr>
                <w:rFonts w:cs="Times New Roman" w:asciiTheme="minorEastAsia" w:hAnsiTheme="minorEastAsia"/>
                <w:b/>
                <w:bCs/>
                <w:color w:val="auto"/>
                <w:sz w:val="24"/>
                <w:highlight w:val="none"/>
              </w:rPr>
              <w:t xml:space="preserve">未提供不得分。</w:t>
            </w:r>
            <w:r>
              <w:rPr>
                <w:rFonts w:hint="eastAsia" w:cs="Times New Roman" w:asciiTheme="minorEastAsia" w:hAnsiTheme="minorEastAsia"/>
                <w:color w:val="auto"/>
                <w:sz w:val="24"/>
                <w:highlight w:val="none"/>
              </w:rPr>
              <w:t xml:space="preserve">若合同无法体现业绩内容，则须提供证明业绩内容的书面材料。若为联合体投标，联合体牵头人与成员方</w:t>
            </w:r>
            <w:r>
              <w:rPr>
                <w:rFonts w:hint="eastAsia" w:cs="Times New Roman" w:asciiTheme="minorEastAsia" w:hAnsiTheme="minorEastAsia"/>
                <w:color w:val="auto"/>
                <w:sz w:val="24"/>
                <w:highlight w:val="none"/>
                <w:lang w:val="en-US" w:eastAsia="zh-CN"/>
              </w:rPr>
              <w:t xml:space="preserve">人员材料</w:t>
            </w:r>
            <w:r>
              <w:rPr>
                <w:rFonts w:hint="eastAsia" w:cs="Times New Roman" w:asciiTheme="minorEastAsia" w:hAnsiTheme="minorEastAsia"/>
                <w:color w:val="auto"/>
                <w:sz w:val="24"/>
                <w:highlight w:val="none"/>
              </w:rPr>
              <w:t xml:space="preserve">均可得分</w:t>
            </w:r>
            <w:r>
              <w:rPr>
                <w:rFonts w:hint="eastAsia" w:cs="Times New Roman" w:asciiTheme="minorEastAsia" w:hAnsiTheme="minorEastAsia"/>
                <w:color w:val="auto"/>
                <w:sz w:val="24"/>
                <w:highlight w:val="none"/>
                <w:lang w:eastAsia="zh-CN"/>
              </w:rPr>
              <w:t xml:space="preserve">。</w:t>
            </w:r>
            <w:r/>
          </w:p>
        </w:tc>
        <w:tc>
          <w:tcPr>
            <w:tcW w:w="400" w:type="pct"/>
            <w:vAlign w:val="center"/>
            <w:textDirection w:val="lrTb"/>
            <w:noWrap w:val="false"/>
          </w:tcPr>
          <w:p>
            <w:pPr>
              <w:jc w:val="center"/>
              <w:spacing w:before="120"/>
              <w:widowControl/>
              <w:rPr>
                <w:rFonts w:ascii="Times New Roman" w:hAnsi="Times New Roman" w:eastAsia="方正仿宋_GBK" w:cs="Times New Roman"/>
                <w:color w:val="auto"/>
                <w:spacing w:val="11"/>
                <w:sz w:val="24"/>
                <w:highlight w:val="none"/>
              </w:rPr>
            </w:pPr>
            <w:r>
              <w:rPr>
                <w:rFonts w:ascii="Times New Roman" w:hAnsi="Times New Roman" w:eastAsia="方正仿宋_GBK" w:cs="Times New Roman"/>
                <w:color w:val="auto"/>
                <w:spacing w:val="11"/>
                <w:sz w:val="24"/>
                <w:highlight w:val="none"/>
              </w:rPr>
              <w:t xml:space="preserve">1</w:t>
            </w:r>
            <w:r>
              <w:rPr>
                <w:rFonts w:hint="eastAsia" w:ascii="Times New Roman" w:hAnsi="Times New Roman" w:eastAsia="方正仿宋_GBK" w:cs="Times New Roman"/>
                <w:color w:val="auto"/>
                <w:spacing w:val="11"/>
                <w:sz w:val="24"/>
                <w:highlight w:val="none"/>
              </w:rPr>
              <w:t xml:space="preserve">3</w:t>
            </w:r>
            <w:r/>
          </w:p>
        </w:tc>
      </w:tr>
      <w:tr>
        <w:trPr>
          <w:trHeight w:val="3257"/>
        </w:trPr>
        <w:tc>
          <w:tcPr>
            <w:tcW w:w="600" w:type="pct"/>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项目实施方案</w:t>
            </w:r>
            <w:r/>
          </w:p>
          <w:p>
            <w:pPr>
              <w:jc w:val="center"/>
              <w:rPr>
                <w:rFonts w:ascii="Times New Roman" w:hAnsi="Times New Roman" w:eastAsia="方正仿宋_GBK" w:cs="Times New Roman"/>
                <w:b/>
                <w:bCs/>
                <w:color w:val="auto"/>
                <w:sz w:val="24"/>
                <w:szCs w:val="22"/>
                <w:highlight w:val="none"/>
              </w:rPr>
            </w:pPr>
            <w:r>
              <w:rPr>
                <w:rFonts w:ascii="Times New Roman" w:hAnsi="Times New Roman" w:cs="Times New Roman"/>
                <w:color w:val="auto"/>
                <w:sz w:val="24"/>
                <w:highlight w:val="none"/>
              </w:rPr>
              <w:t xml:space="preserve">48</w:t>
            </w:r>
            <w:r>
              <w:rPr>
                <w:rFonts w:ascii="宋体" w:hAnsi="宋体" w:cs="宋体"/>
                <w:color w:val="auto"/>
                <w:sz w:val="24"/>
                <w:highlight w:val="none"/>
              </w:rPr>
              <w:t xml:space="preserve">分</w:t>
            </w:r>
            <w:r/>
          </w:p>
        </w:tc>
        <w:tc>
          <w:tcPr>
            <w:tcW w:w="557" w:type="pct"/>
            <w:vAlign w:val="center"/>
            <w:textDirection w:val="lrTb"/>
            <w:noWrap w:val="false"/>
          </w:tcPr>
          <w:p>
            <w:pPr>
              <w:rPr>
                <w:rFonts w:ascii="Times New Roman" w:hAnsi="Times New Roman" w:eastAsia="方正仿宋_GBK" w:cs="Times New Roman"/>
                <w:b/>
                <w:bCs/>
                <w:color w:val="auto"/>
                <w:spacing w:val="11"/>
                <w:sz w:val="24"/>
                <w:szCs w:val="22"/>
                <w:highlight w:val="none"/>
              </w:rPr>
            </w:pPr>
            <w:r>
              <w:rPr>
                <w:rFonts w:hint="eastAsia" w:hAnsi="宋体"/>
                <w:color w:val="auto"/>
                <w:sz w:val="24"/>
                <w:highlight w:val="none"/>
              </w:rPr>
              <w:t xml:space="preserve">项目技术方案</w:t>
            </w:r>
            <w:r/>
          </w:p>
        </w:tc>
        <w:tc>
          <w:tcPr>
            <w:tcW w:w="3443" w:type="pct"/>
            <w:vAlign w:val="center"/>
            <w:textDirection w:val="lrTb"/>
            <w:noWrap w:val="false"/>
          </w:tcPr>
          <w:p>
            <w:pPr>
              <w:ind w:firstLine="480"/>
              <w:rPr>
                <w:rFonts w:ascii="Times New Roman" w:hAnsi="Times New Roman" w:eastAsia="方正仿宋_GBK" w:cs="Times New Roman"/>
                <w:color w:val="auto"/>
                <w:sz w:val="24"/>
                <w:szCs w:val="22"/>
                <w:highlight w:val="none"/>
              </w:rPr>
            </w:pPr>
            <w:r>
              <w:rPr>
                <w:rFonts w:hint="eastAsia" w:ascii="宋体" w:hAnsi="宋体" w:cs="宋体"/>
                <w:color w:val="auto"/>
                <w:sz w:val="24"/>
                <w:highlight w:val="none"/>
              </w:rPr>
              <w:t xml:space="preserve">供应商根据本项目第四章中“</w:t>
            </w:r>
            <w:r>
              <w:rPr>
                <w:rFonts w:hint="eastAsia" w:ascii="宋体" w:hAnsi="宋体"/>
                <w:b/>
                <w:bCs/>
                <w:color w:val="auto"/>
                <w:sz w:val="24"/>
                <w:highlight w:val="none"/>
                <w:lang w:val="zh-CN"/>
              </w:rPr>
              <w:t xml:space="preserve">项目实施方案1</w:t>
            </w:r>
            <w:r>
              <w:rPr>
                <w:rFonts w:hint="eastAsia" w:ascii="宋体" w:hAnsi="宋体" w:cs="宋体"/>
                <w:color w:val="auto"/>
                <w:sz w:val="24"/>
                <w:highlight w:val="none"/>
              </w:rPr>
              <w:t xml:space="preserve">”要求提供有针对性的、科学有效的技术方案至少包含：①工作思路；②研究内容；③研究方法；④技术路线等方面。以上方案内容完整、准确的得1</w:t>
            </w:r>
            <w:r>
              <w:rPr>
                <w:rFonts w:ascii="宋体" w:hAnsi="宋体" w:cs="宋体"/>
                <w:color w:val="auto"/>
                <w:sz w:val="24"/>
                <w:highlight w:val="none"/>
              </w:rPr>
              <w:t xml:space="preserve">2</w:t>
            </w:r>
            <w:r>
              <w:rPr>
                <w:rFonts w:hint="eastAsia" w:ascii="宋体" w:hAnsi="宋体" w:cs="宋体"/>
                <w:color w:val="auto"/>
                <w:sz w:val="24"/>
                <w:highlight w:val="none"/>
              </w:rPr>
              <w:t xml:space="preserve">分，每有一项内容缺失的扣</w:t>
            </w:r>
            <w:r>
              <w:rPr>
                <w:rFonts w:ascii="宋体" w:hAnsi="宋体" w:cs="宋体"/>
                <w:color w:val="auto"/>
                <w:sz w:val="24"/>
                <w:highlight w:val="none"/>
              </w:rPr>
              <w:t xml:space="preserve">3</w:t>
            </w:r>
            <w:r>
              <w:rPr>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auto"/>
                <w:sz w:val="24"/>
                <w:highlight w:val="none"/>
              </w:rPr>
              <w:t xml:space="preserve">1</w:t>
            </w:r>
            <w:r>
              <w:rPr>
                <w:rFonts w:hint="eastAsia" w:ascii="宋体" w:hAnsi="宋体" w:cs="宋体"/>
                <w:color w:val="auto"/>
                <w:sz w:val="24"/>
                <w:highlight w:val="none"/>
              </w:rPr>
              <w:t xml:space="preserve">.5分，直至该项分值</w:t>
            </w:r>
            <w:r>
              <w:rPr>
                <w:rFonts w:ascii="宋体" w:hAnsi="宋体" w:cs="宋体"/>
                <w:color w:val="auto"/>
                <w:sz w:val="24"/>
                <w:highlight w:val="none"/>
              </w:rPr>
              <w:t xml:space="preserve">3</w:t>
            </w:r>
            <w:r>
              <w:rPr>
                <w:rFonts w:hint="eastAsia" w:ascii="宋体" w:hAnsi="宋体" w:cs="宋体"/>
                <w:color w:val="auto"/>
                <w:sz w:val="24"/>
                <w:highlight w:val="none"/>
              </w:rPr>
              <w:t xml:space="preserve">分扣完</w:t>
            </w:r>
            <w:r>
              <w:rPr>
                <w:rFonts w:hint="eastAsia" w:ascii="宋体" w:hAnsi="宋体" w:cs="宋体"/>
                <w:color w:val="auto"/>
                <w:sz w:val="24"/>
                <w:highlight w:val="none"/>
                <w:lang w:val="zh-CN"/>
              </w:rPr>
              <w:t xml:space="preserve">为止。</w:t>
            </w:r>
            <w:r>
              <w:rPr>
                <w:rFonts w:hint="eastAsia" w:ascii="宋体" w:hAnsi="宋体" w:cs="宋体"/>
                <w:color w:val="auto"/>
                <w:sz w:val="24"/>
                <w:highlight w:val="none"/>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ascii="Times New Roman" w:hAnsi="Times New Roman" w:eastAsia="方正仿宋_GBK" w:cs="Times New Roman"/>
                <w:color w:val="auto"/>
                <w:spacing w:val="11"/>
                <w:sz w:val="24"/>
                <w:szCs w:val="22"/>
                <w:highlight w:val="none"/>
              </w:rPr>
              <w:t xml:space="preserve">12</w:t>
            </w:r>
            <w:r/>
          </w:p>
        </w:tc>
      </w:tr>
      <w:tr>
        <w:trPr>
          <w:trHeight w:val="3529"/>
        </w:trPr>
        <w:tc>
          <w:tcPr>
            <w:tcW w:w="600" w:type="pct"/>
            <w:vAlign w:val="center"/>
            <w:vMerge w:val="continue"/>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rPr>
                <w:rFonts w:ascii="Times New Roman" w:hAnsi="Times New Roman" w:eastAsia="方正仿宋_GBK" w:cs="Times New Roman"/>
                <w:b/>
                <w:bCs/>
                <w:color w:val="auto"/>
                <w:spacing w:val="11"/>
                <w:sz w:val="24"/>
                <w:szCs w:val="22"/>
                <w:highlight w:val="none"/>
              </w:rPr>
            </w:pPr>
            <w:r>
              <w:rPr>
                <w:rFonts w:hint="eastAsia" w:hAnsi="宋体"/>
                <w:color w:val="auto"/>
                <w:sz w:val="24"/>
                <w:highlight w:val="none"/>
              </w:rPr>
              <w:t xml:space="preserve">重难点分析和措施</w:t>
            </w:r>
            <w:r/>
          </w:p>
        </w:tc>
        <w:tc>
          <w:tcPr>
            <w:tcW w:w="3443" w:type="pct"/>
            <w:vAlign w:val="center"/>
            <w:textDirection w:val="lrTb"/>
            <w:noWrap w:val="false"/>
          </w:tcPr>
          <w:p>
            <w:pPr>
              <w:ind w:firstLine="480"/>
              <w:rPr>
                <w:rFonts w:ascii="Times New Roman" w:hAnsi="Times New Roman" w:eastAsia="方正仿宋_GBK" w:cs="Times New Roman"/>
                <w:color w:val="auto"/>
                <w:sz w:val="24"/>
                <w:szCs w:val="22"/>
                <w:highlight w:val="none"/>
              </w:rPr>
            </w:pPr>
            <w:r>
              <w:rPr>
                <w:rFonts w:hint="eastAsia" w:ascii="宋体" w:hAnsi="宋体" w:cs="宋体"/>
                <w:color w:val="auto"/>
                <w:sz w:val="24"/>
                <w:highlight w:val="none"/>
              </w:rPr>
              <w:t xml:space="preserve">供应商根据本项目第四章中“</w:t>
            </w:r>
            <w:r>
              <w:rPr>
                <w:rFonts w:hint="eastAsia" w:ascii="宋体" w:hAnsi="宋体"/>
                <w:b/>
                <w:bCs/>
                <w:color w:val="auto"/>
                <w:sz w:val="24"/>
                <w:highlight w:val="none"/>
                <w:lang w:val="zh-CN"/>
              </w:rPr>
              <w:t xml:space="preserve">项目实施方案2</w:t>
            </w:r>
            <w:r>
              <w:rPr>
                <w:rFonts w:hint="eastAsia" w:ascii="宋体" w:hAnsi="宋体" w:cs="宋体"/>
                <w:color w:val="auto"/>
                <w:sz w:val="24"/>
                <w:highlight w:val="none"/>
              </w:rPr>
              <w:t xml:space="preserve">”要求提供有针对性的、科学有效的项目重难点分析和措施至少包含：①重点工作分析；②难点问题分析；③针对性解决措施；④保障机制与落实要求等方面内。以上方案内容完整、准确的得1</w:t>
            </w:r>
            <w:r>
              <w:rPr>
                <w:rFonts w:ascii="宋体" w:hAnsi="宋体" w:cs="宋体"/>
                <w:color w:val="auto"/>
                <w:sz w:val="24"/>
                <w:highlight w:val="none"/>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zh-CN"/>
              </w:rPr>
              <w:t xml:space="preserve">，每有一项内容缺失的扣</w:t>
            </w:r>
            <w:r>
              <w:rPr>
                <w:rFonts w:ascii="宋体" w:hAnsi="宋体" w:cs="宋体"/>
                <w:color w:val="auto"/>
                <w:sz w:val="24"/>
                <w:highlight w:val="none"/>
              </w:rPr>
              <w:t xml:space="preserve">3</w:t>
            </w:r>
            <w:r>
              <w:rPr>
                <w:rFonts w:hint="eastAsia" w:ascii="宋体" w:hAnsi="宋体" w:cs="宋体"/>
                <w:color w:val="auto"/>
                <w:sz w:val="24"/>
                <w:highlight w:val="none"/>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分，直至该项分值</w:t>
            </w:r>
            <w:r>
              <w:rPr>
                <w:rFonts w:ascii="宋体" w:hAnsi="宋体" w:cs="宋体"/>
                <w:color w:val="auto"/>
                <w:sz w:val="24"/>
                <w:highlight w:val="none"/>
              </w:rPr>
              <w:t xml:space="preserve">3</w:t>
            </w:r>
            <w:r>
              <w:rPr>
                <w:rFonts w:hint="eastAsia" w:ascii="宋体" w:hAnsi="宋体" w:cs="宋体"/>
                <w:color w:val="auto"/>
                <w:sz w:val="24"/>
                <w:highlight w:val="none"/>
                <w:lang w:val="zh-CN"/>
              </w:rPr>
              <w:t xml:space="preserve">分扣完为止。</w:t>
            </w:r>
            <w:r>
              <w:rPr>
                <w:rFonts w:hint="eastAsia" w:ascii="宋体" w:hAnsi="宋体" w:cs="宋体"/>
                <w:color w:val="auto"/>
                <w:sz w:val="24"/>
                <w:highlight w:val="none"/>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ascii="Times New Roman" w:hAnsi="Times New Roman" w:eastAsia="方正仿宋_GBK" w:cs="Times New Roman"/>
                <w:color w:val="auto"/>
                <w:spacing w:val="11"/>
                <w:sz w:val="24"/>
                <w:szCs w:val="22"/>
                <w:highlight w:val="none"/>
              </w:rPr>
              <w:t xml:space="preserve">12</w:t>
            </w:r>
            <w:r/>
          </w:p>
        </w:tc>
      </w:tr>
      <w:tr>
        <w:trPr>
          <w:trHeight w:val="2971"/>
        </w:trPr>
        <w:tc>
          <w:tcPr>
            <w:tcW w:w="600" w:type="pct"/>
            <w:vAlign w:val="center"/>
            <w:vMerge w:val="continue"/>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jc w:val="center"/>
              <w:rPr>
                <w:rFonts w:ascii="Times New Roman" w:hAnsi="Times New Roman" w:eastAsia="方正仿宋_GBK" w:cs="Times New Roman"/>
                <w:b/>
                <w:bCs/>
                <w:color w:val="auto"/>
                <w:spacing w:val="11"/>
                <w:sz w:val="24"/>
                <w:szCs w:val="22"/>
                <w:highlight w:val="none"/>
              </w:rPr>
            </w:pPr>
            <w:r>
              <w:rPr>
                <w:rFonts w:hint="eastAsia" w:hAnsi="宋体"/>
                <w:color w:val="auto"/>
                <w:sz w:val="24"/>
                <w:highlight w:val="none"/>
              </w:rPr>
              <w:t xml:space="preserve">质量保证体系及保证措施</w:t>
            </w:r>
            <w:r/>
          </w:p>
        </w:tc>
        <w:tc>
          <w:tcPr>
            <w:tcW w:w="3443" w:type="pct"/>
            <w:vAlign w:val="center"/>
            <w:textDirection w:val="lrTb"/>
            <w:noWrap w:val="false"/>
          </w:tcPr>
          <w:p>
            <w:pPr>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供应商根据本项目第四章中“</w:t>
            </w:r>
            <w:r>
              <w:rPr>
                <w:rFonts w:hint="eastAsia" w:ascii="宋体" w:hAnsi="宋体" w:cs="宋体"/>
                <w:b/>
                <w:bCs/>
                <w:color w:val="auto"/>
                <w:sz w:val="24"/>
                <w:highlight w:val="none"/>
                <w:lang w:val="zh-CN"/>
              </w:rPr>
              <w:t xml:space="preserve">项目实施方案3</w:t>
            </w:r>
            <w:r>
              <w:rPr>
                <w:rFonts w:hint="eastAsia" w:ascii="宋体" w:hAnsi="宋体" w:cs="宋体"/>
                <w:bCs/>
                <w:color w:val="auto"/>
                <w:sz w:val="24"/>
                <w:highlight w:val="none"/>
                <w:lang w:val="zh-CN"/>
              </w:rPr>
              <w:t xml:space="preserve">”要求提供有针对性的、科学有效的质量保证体系及保证措施至少包含：①质量保证体系；②质量保证措施等内容。以上方案内容完整、准确的得8 分，每有一项内容缺失的扣4分，每有一处存在缺陷（缺陷是指不适用于本项目，表述前后不一致或内容矛盾，语句有歧义，仅有框架或标题，涉及的规范及标准错误，套用其他项目内容等任意一种情形）扣2分，直至该项分值4分扣完为止。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ascii="Times New Roman" w:hAnsi="Times New Roman" w:eastAsia="方正仿宋_GBK" w:cs="Times New Roman"/>
                <w:color w:val="auto"/>
                <w:spacing w:val="11"/>
                <w:sz w:val="24"/>
                <w:szCs w:val="22"/>
                <w:highlight w:val="none"/>
              </w:rPr>
              <w:t xml:space="preserve">8</w:t>
            </w:r>
            <w:r/>
          </w:p>
        </w:tc>
      </w:tr>
      <w:tr>
        <w:trPr>
          <w:trHeight w:val="2965"/>
        </w:trPr>
        <w:tc>
          <w:tcPr>
            <w:tcW w:w="600" w:type="pct"/>
            <w:vAlign w:val="center"/>
            <w:vMerge w:val="continue"/>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jc w:val="center"/>
              <w:rPr>
                <w:rFonts w:ascii="Times New Roman" w:hAnsi="Times New Roman" w:eastAsia="方正仿宋_GBK" w:cs="Times New Roman"/>
                <w:b/>
                <w:bCs/>
                <w:color w:val="auto"/>
                <w:spacing w:val="11"/>
                <w:sz w:val="24"/>
                <w:szCs w:val="22"/>
                <w:highlight w:val="none"/>
              </w:rPr>
            </w:pPr>
            <w:r>
              <w:rPr>
                <w:rFonts w:hint="eastAsia"/>
                <w:color w:val="auto"/>
                <w:sz w:val="24"/>
                <w:highlight w:val="none"/>
              </w:rPr>
              <w:t xml:space="preserve">进度计划及保障措施</w:t>
            </w:r>
            <w:r/>
          </w:p>
        </w:tc>
        <w:tc>
          <w:tcPr>
            <w:tcW w:w="3443" w:type="pct"/>
            <w:vAlign w:val="center"/>
            <w:textDirection w:val="lrTb"/>
            <w:noWrap w:val="false"/>
          </w:tcPr>
          <w:p>
            <w:pPr>
              <w:ind w:firstLine="480"/>
              <w:rPr>
                <w:rFonts w:ascii="Times New Roman" w:hAnsi="Times New Roman" w:eastAsia="方正仿宋_GBK" w:cs="Times New Roman"/>
                <w:color w:val="auto"/>
                <w:sz w:val="24"/>
                <w:szCs w:val="22"/>
                <w:highlight w:val="none"/>
              </w:rPr>
            </w:pPr>
            <w:r>
              <w:rPr>
                <w:rFonts w:hint="eastAsia" w:ascii="宋体" w:hAnsi="宋体" w:cs="宋体"/>
                <w:color w:val="auto"/>
                <w:sz w:val="24"/>
                <w:highlight w:val="none"/>
              </w:rPr>
              <w:t xml:space="preserve">供应商根据本项目第四章中“</w:t>
            </w:r>
            <w:r>
              <w:rPr>
                <w:rFonts w:hint="eastAsia" w:ascii="宋体" w:hAnsi="宋体" w:cs="宋体"/>
                <w:b/>
                <w:color w:val="auto"/>
                <w:sz w:val="24"/>
                <w:highlight w:val="none"/>
                <w:lang w:val="zh-CN"/>
              </w:rPr>
              <w:t xml:space="preserve">项目实施方案4</w:t>
            </w:r>
            <w:r>
              <w:rPr>
                <w:rFonts w:hint="eastAsia" w:ascii="宋体" w:hAnsi="宋体" w:cs="宋体"/>
                <w:color w:val="auto"/>
                <w:sz w:val="24"/>
                <w:highlight w:val="none"/>
              </w:rPr>
              <w:t xml:space="preserve">”要求</w:t>
            </w:r>
            <w:r>
              <w:rPr>
                <w:rFonts w:hint="eastAsia" w:ascii="宋体" w:hAnsi="宋体" w:cs="宋体"/>
                <w:color w:val="auto"/>
                <w:sz w:val="24"/>
                <w:highlight w:val="none"/>
                <w:lang w:val="zh-CN"/>
              </w:rPr>
              <w:t xml:space="preserve">提供有针对性的、科学有效的</w:t>
            </w:r>
            <w:r>
              <w:rPr>
                <w:rFonts w:hint="eastAsia" w:ascii="宋体" w:hAnsi="宋体" w:cs="宋体"/>
                <w:color w:val="auto"/>
                <w:sz w:val="24"/>
                <w:highlight w:val="none"/>
              </w:rPr>
              <w:t xml:space="preserve">进度计划及保障措施</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zh-TW" w:eastAsia="zh-TW"/>
              </w:rPr>
              <w:t xml:space="preserve">至少包含：</w:t>
            </w:r>
            <w:r>
              <w:rPr>
                <w:rFonts w:hint="eastAsia" w:ascii="宋体" w:hAnsi="宋体" w:cs="宋体"/>
                <w:color w:val="auto"/>
                <w:sz w:val="24"/>
                <w:highlight w:val="none"/>
              </w:rPr>
              <w:t xml:space="preserve">①进度计划；②保障措施等方面。</w:t>
            </w:r>
            <w:r>
              <w:rPr>
                <w:rFonts w:hint="eastAsia" w:ascii="宋体" w:hAnsi="宋体" w:cs="宋体"/>
                <w:color w:val="auto"/>
                <w:sz w:val="24"/>
                <w:highlight w:val="none"/>
                <w:lang w:val="zh-CN"/>
              </w:rPr>
              <w:t xml:space="preserve">以上方案内容完整、准确的得8分，每有一项内容缺失的扣</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分，直至该项分值</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分扣完为止。</w:t>
            </w:r>
            <w:r>
              <w:rPr>
                <w:rFonts w:hint="eastAsia" w:ascii="宋体" w:hAnsi="宋体" w:cs="宋体"/>
                <w:color w:val="auto"/>
                <w:sz w:val="24"/>
                <w:highlight w:val="none"/>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ascii="Times New Roman" w:hAnsi="Times New Roman" w:eastAsia="方正仿宋_GBK" w:cs="Times New Roman"/>
                <w:color w:val="auto"/>
                <w:spacing w:val="11"/>
                <w:sz w:val="24"/>
                <w:szCs w:val="22"/>
                <w:highlight w:val="none"/>
              </w:rPr>
              <w:t xml:space="preserve">8</w:t>
            </w:r>
            <w:r/>
          </w:p>
        </w:tc>
      </w:tr>
      <w:tr>
        <w:trPr>
          <w:trHeight w:val="3257"/>
        </w:trPr>
        <w:tc>
          <w:tcPr>
            <w:tcW w:w="600" w:type="pct"/>
            <w:vAlign w:val="center"/>
            <w:textDirection w:val="lrTb"/>
            <w:noWrap w:val="false"/>
          </w:tcPr>
          <w:p>
            <w:pPr>
              <w:jc w:val="center"/>
              <w:rPr>
                <w:rFonts w:ascii="Times New Roman" w:hAnsi="Times New Roman" w:eastAsia="方正仿宋_GBK" w:cs="Times New Roman"/>
                <w:b/>
                <w:bCs/>
                <w:color w:val="auto"/>
                <w:sz w:val="24"/>
                <w:szCs w:val="22"/>
                <w:highlight w:val="none"/>
              </w:rPr>
            </w:pPr>
            <w:r>
              <w:rPr>
                <w:rFonts w:ascii="Times New Roman" w:hAnsi="Times New Roman" w:eastAsia="方正仿宋_GBK" w:cs="Times New Roman"/>
                <w:b/>
                <w:bCs/>
                <w:color w:val="auto"/>
                <w:sz w:val="24"/>
                <w:szCs w:val="22"/>
                <w:highlight w:val="none"/>
              </w:rPr>
            </w:r>
            <w:r/>
          </w:p>
        </w:tc>
        <w:tc>
          <w:tcPr>
            <w:tcW w:w="557" w:type="pct"/>
            <w:vAlign w:val="center"/>
            <w:textDirection w:val="lrTb"/>
            <w:noWrap w:val="false"/>
          </w:tcPr>
          <w:p>
            <w:pPr>
              <w:jc w:val="center"/>
              <w:rPr>
                <w:color w:val="auto"/>
                <w:sz w:val="24"/>
                <w:highlight w:val="none"/>
              </w:rPr>
            </w:pPr>
            <w:r>
              <w:rPr>
                <w:rFonts w:hint="eastAsia"/>
                <w:color w:val="auto"/>
                <w:sz w:val="24"/>
                <w:highlight w:val="none"/>
              </w:rPr>
              <w:t xml:space="preserve">后续服务的安排及保证措施</w:t>
            </w:r>
            <w:r/>
          </w:p>
        </w:tc>
        <w:tc>
          <w:tcPr>
            <w:tcW w:w="3443" w:type="pct"/>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供应商根据本项目第四章中“</w:t>
            </w:r>
            <w:r>
              <w:rPr>
                <w:rFonts w:hint="eastAsia" w:ascii="宋体" w:hAnsi="宋体" w:cs="宋体"/>
                <w:b/>
                <w:color w:val="auto"/>
                <w:sz w:val="24"/>
                <w:highlight w:val="none"/>
                <w:lang w:val="zh-CN"/>
              </w:rPr>
              <w:t xml:space="preserve">项目实施方案</w:t>
            </w:r>
            <w:r>
              <w:rPr>
                <w:rFonts w:ascii="宋体" w:hAnsi="宋体" w:cs="宋体"/>
                <w:b/>
                <w:color w:val="auto"/>
                <w:sz w:val="24"/>
                <w:highlight w:val="none"/>
                <w:lang w:val="zh-CN"/>
              </w:rPr>
              <w:t xml:space="preserve">5</w:t>
            </w:r>
            <w:r>
              <w:rPr>
                <w:rFonts w:hint="eastAsia" w:ascii="宋体" w:hAnsi="宋体" w:cs="宋体"/>
                <w:color w:val="auto"/>
                <w:sz w:val="24"/>
                <w:highlight w:val="none"/>
              </w:rPr>
              <w:t xml:space="preserve">”要求</w:t>
            </w:r>
            <w:r>
              <w:rPr>
                <w:rFonts w:hint="eastAsia" w:ascii="宋体" w:hAnsi="宋体" w:cs="宋体"/>
                <w:color w:val="auto"/>
                <w:sz w:val="24"/>
                <w:highlight w:val="none"/>
                <w:lang w:val="zh-CN"/>
              </w:rPr>
              <w:t xml:space="preserve">提供有针对性的、科学有效的</w:t>
            </w:r>
            <w:r>
              <w:rPr>
                <w:rFonts w:hint="eastAsia" w:ascii="宋体" w:hAnsi="宋体" w:cs="宋体"/>
                <w:color w:val="auto"/>
                <w:sz w:val="24"/>
                <w:highlight w:val="none"/>
              </w:rPr>
              <w:t xml:space="preserve">后续服务的安排及保证措施</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zh-TW" w:eastAsia="zh-TW"/>
              </w:rPr>
              <w:t xml:space="preserve">至少包含：</w:t>
            </w:r>
            <w:r>
              <w:rPr>
                <w:rFonts w:hint="eastAsia" w:ascii="宋体" w:hAnsi="宋体" w:cs="宋体"/>
                <w:color w:val="auto"/>
                <w:sz w:val="24"/>
                <w:highlight w:val="none"/>
              </w:rPr>
              <w:t xml:space="preserve">①后续服务内容与工作安排；②服务流程及响应机制；③服务团队与人员保障；④质量承诺与履约保障等方面内容。</w:t>
            </w:r>
            <w:r>
              <w:rPr>
                <w:rFonts w:hint="eastAsia" w:ascii="宋体" w:hAnsi="宋体" w:cs="宋体"/>
                <w:color w:val="auto"/>
                <w:sz w:val="24"/>
                <w:highlight w:val="none"/>
                <w:lang w:val="zh-CN"/>
              </w:rPr>
              <w:t xml:space="preserve">以上方案内容完整、准确的得</w:t>
            </w:r>
            <w:r>
              <w:rPr>
                <w:rFonts w:ascii="宋体" w:hAnsi="宋体" w:cs="宋体"/>
                <w:color w:val="auto"/>
                <w:sz w:val="24"/>
                <w:highlight w:val="none"/>
              </w:rPr>
              <w:t xml:space="preserve">8</w:t>
            </w:r>
            <w:r>
              <w:rPr>
                <w:rFonts w:hint="eastAsia" w:ascii="宋体" w:hAnsi="宋体" w:cs="宋体"/>
                <w:color w:val="auto"/>
                <w:sz w:val="24"/>
                <w:highlight w:val="none"/>
                <w:lang w:val="zh-CN"/>
              </w:rPr>
              <w:t xml:space="preserve">分，每有一项内容缺失的扣</w:t>
            </w:r>
            <w:r>
              <w:rPr>
                <w:rFonts w:ascii="宋体" w:hAnsi="宋体" w:cs="宋体"/>
                <w:color w:val="auto"/>
                <w:sz w:val="24"/>
                <w:highlight w:val="none"/>
              </w:rPr>
              <w:t xml:space="preserve">2</w:t>
            </w:r>
            <w:r>
              <w:rPr>
                <w:rFonts w:hint="eastAsia" w:ascii="宋体" w:hAnsi="宋体" w:cs="宋体"/>
                <w:color w:val="auto"/>
                <w:sz w:val="24"/>
                <w:highlight w:val="none"/>
                <w:lang w:val="zh-CN"/>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auto"/>
                <w:sz w:val="24"/>
                <w:highlight w:val="none"/>
              </w:rPr>
              <w:t xml:space="preserve">1</w:t>
            </w:r>
            <w:r>
              <w:rPr>
                <w:rFonts w:hint="eastAsia" w:ascii="宋体" w:hAnsi="宋体" w:cs="宋体"/>
                <w:color w:val="auto"/>
                <w:sz w:val="24"/>
                <w:highlight w:val="none"/>
                <w:lang w:val="zh-CN"/>
              </w:rPr>
              <w:t xml:space="preserve">分，直至该项分值</w:t>
            </w:r>
            <w:r>
              <w:rPr>
                <w:rFonts w:ascii="宋体" w:hAnsi="宋体" w:cs="宋体"/>
                <w:color w:val="auto"/>
                <w:sz w:val="24"/>
                <w:highlight w:val="none"/>
              </w:rPr>
              <w:t xml:space="preserve">2</w:t>
            </w:r>
            <w:r>
              <w:rPr>
                <w:rFonts w:hint="eastAsia" w:ascii="宋体" w:hAnsi="宋体" w:cs="宋体"/>
                <w:color w:val="auto"/>
                <w:sz w:val="24"/>
                <w:highlight w:val="none"/>
                <w:lang w:val="zh-CN"/>
              </w:rPr>
              <w:t xml:space="preserve">分扣完为止。</w:t>
            </w:r>
            <w:r>
              <w:rPr>
                <w:rFonts w:hint="eastAsia" w:ascii="宋体" w:hAnsi="宋体" w:cs="宋体"/>
                <w:color w:val="auto"/>
                <w:sz w:val="24"/>
                <w:highlight w:val="none"/>
              </w:rPr>
              <w:t xml:space="preserve">不满足或无此项内容的本项不得分。</w:t>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hint="eastAsia" w:ascii="Times New Roman" w:hAnsi="Times New Roman" w:eastAsia="方正仿宋_GBK" w:cs="Times New Roman"/>
                <w:color w:val="auto"/>
                <w:spacing w:val="11"/>
                <w:sz w:val="24"/>
                <w:szCs w:val="22"/>
                <w:highlight w:val="none"/>
              </w:rPr>
              <w:t xml:space="preserve">8</w:t>
            </w:r>
            <w:r/>
          </w:p>
        </w:tc>
      </w:tr>
      <w:tr>
        <w:trPr>
          <w:trHeight w:val="565"/>
        </w:trPr>
        <w:tc>
          <w:tcPr>
            <w:gridSpan w:val="2"/>
            <w:tcW w:w="1157" w:type="pct"/>
            <w:vAlign w:val="center"/>
            <w:textDirection w:val="lrTb"/>
            <w:noWrap w:val="false"/>
          </w:tcPr>
          <w:p>
            <w:pPr>
              <w:jc w:val="center"/>
              <w:rPr>
                <w:color w:val="auto"/>
                <w:sz w:val="24"/>
                <w:highlight w:val="none"/>
              </w:rPr>
            </w:pPr>
            <w:r>
              <w:rPr>
                <w:rFonts w:ascii="Times New Roman" w:hAnsi="Times New Roman" w:eastAsia="方正仿宋_GBK" w:cs="Times New Roman"/>
                <w:b/>
                <w:bCs/>
                <w:color w:val="auto"/>
                <w:sz w:val="24"/>
                <w:szCs w:val="22"/>
                <w:highlight w:val="none"/>
              </w:rPr>
              <w:t xml:space="preserve">合计</w:t>
            </w:r>
            <w:r/>
          </w:p>
        </w:tc>
        <w:tc>
          <w:tcPr>
            <w:tcW w:w="3443" w:type="pct"/>
            <w:vAlign w:val="center"/>
            <w:textDirection w:val="lrTb"/>
            <w:noWrap w:val="false"/>
          </w:tcPr>
          <w:p>
            <w:pPr>
              <w:rPr>
                <w:rFonts w:ascii="宋体" w:hAnsi="宋体" w:cs="宋体"/>
                <w:color w:val="auto"/>
                <w:sz w:val="24"/>
                <w:highlight w:val="none"/>
                <w:lang w:val="zh-CN"/>
              </w:rPr>
            </w:pPr>
            <w:r>
              <w:rPr>
                <w:rFonts w:ascii="宋体" w:hAnsi="宋体" w:cs="宋体"/>
                <w:color w:val="auto"/>
                <w:sz w:val="24"/>
                <w:highlight w:val="none"/>
                <w:lang w:val="zh-CN"/>
              </w:rPr>
            </w:r>
            <w:r/>
          </w:p>
        </w:tc>
        <w:tc>
          <w:tcPr>
            <w:tcW w:w="400" w:type="pct"/>
            <w:vAlign w:val="center"/>
            <w:textDirection w:val="lrTb"/>
            <w:noWrap w:val="false"/>
          </w:tcPr>
          <w:p>
            <w:pPr>
              <w:jc w:val="center"/>
              <w:rPr>
                <w:rFonts w:ascii="Times New Roman" w:hAnsi="Times New Roman" w:eastAsia="方正仿宋_GBK" w:cs="Times New Roman"/>
                <w:color w:val="auto"/>
                <w:spacing w:val="11"/>
                <w:sz w:val="24"/>
                <w:szCs w:val="22"/>
                <w:highlight w:val="none"/>
              </w:rPr>
            </w:pPr>
            <w:r>
              <w:rPr>
                <w:rFonts w:hint="eastAsia" w:ascii="Times New Roman" w:hAnsi="Times New Roman" w:eastAsia="方正仿宋_GBK" w:cs="Times New Roman"/>
                <w:color w:val="auto"/>
                <w:spacing w:val="11"/>
                <w:sz w:val="24"/>
                <w:szCs w:val="22"/>
                <w:highlight w:val="none"/>
              </w:rPr>
              <w:t xml:space="preserve">1</w:t>
            </w:r>
            <w:r>
              <w:rPr>
                <w:rFonts w:ascii="Times New Roman" w:hAnsi="Times New Roman" w:eastAsia="方正仿宋_GBK" w:cs="Times New Roman"/>
                <w:color w:val="auto"/>
                <w:spacing w:val="11"/>
                <w:sz w:val="24"/>
                <w:szCs w:val="22"/>
                <w:highlight w:val="none"/>
              </w:rPr>
              <w:t xml:space="preserve">00</w:t>
            </w:r>
            <w:r/>
          </w:p>
        </w:tc>
      </w:tr>
    </w:tbl>
    <w:p>
      <w:pPr>
        <w:ind w:firstLine="420"/>
        <w:spacing w:line="400" w:lineRule="exact"/>
        <w:rPr>
          <w:rFonts w:asciiTheme="minorEastAsia" w:hAnsiTheme="minorEastAsia"/>
          <w:b/>
          <w:bCs/>
          <w:color w:val="auto"/>
          <w:sz w:val="28"/>
          <w:highlight w:val="none"/>
        </w:rPr>
      </w:pPr>
      <w:r>
        <w:rPr>
          <w:rFonts w:asciiTheme="minorEastAsia" w:hAnsiTheme="minorEastAsia"/>
          <w:b/>
          <w:bCs/>
          <w:color w:val="auto"/>
          <w:sz w:val="28"/>
          <w:highlight w:val="none"/>
        </w:rPr>
      </w:r>
      <w:r/>
    </w:p>
    <w:p>
      <w:pPr>
        <w:ind w:firstLine="420"/>
        <w:spacing w:line="400" w:lineRule="exact"/>
        <w:rPr>
          <w:rFonts w:ascii="宋体" w:hAnsi="宋体" w:eastAsia="宋体" w:cs="宋体"/>
          <w:bCs/>
          <w:color w:val="auto"/>
          <w:sz w:val="44"/>
          <w:szCs w:val="44"/>
          <w:highlight w:val="none"/>
        </w:rPr>
      </w:pPr>
      <w:r>
        <w:rPr>
          <w:rFonts w:hint="eastAsia" w:asciiTheme="minorEastAsia" w:hAnsiTheme="minorEastAsia"/>
          <w:bCs/>
          <w:color w:val="auto"/>
          <w:sz w:val="24"/>
          <w:highlight w:val="none"/>
        </w:rPr>
        <w:t xml:space="preserve">本次采购的评审方法采用综合评分法，评标委员会将按以下评审方法和标准进行评分，总分值为100分。</w:t>
      </w:r>
      <w:r/>
    </w:p>
    <w:p>
      <w:pPr>
        <w:pStyle w:val="831"/>
        <w:jc w:val="both"/>
        <w:spacing w:beforeAutospacing="0" w:afterAutospacing="0" w:line="264" w:lineRule="auto"/>
        <w:rPr>
          <w:rFonts w:ascii="宋体" w:hAnsi="宋体" w:eastAsia="宋体" w:cs="宋体"/>
          <w:bCs/>
          <w:color w:val="auto"/>
          <w:highlight w:val="none"/>
        </w:rPr>
      </w:pPr>
      <w:r>
        <w:rPr>
          <w:rFonts w:hint="eastAsia" w:ascii="宋体" w:hAnsi="宋体" w:eastAsia="宋体" w:cs="宋体"/>
          <w:bCs/>
          <w:color w:val="auto"/>
          <w:highlight w:val="none"/>
        </w:rPr>
        <w:t xml:space="preserve"> </w:t>
      </w:r>
      <w:bookmarkStart w:id="201" w:name="_Toc222837043"/>
      <w:r>
        <w:rPr>
          <w:rFonts w:hint="eastAsia" w:ascii="宋体" w:hAnsi="宋体" w:eastAsia="宋体" w:cs="宋体"/>
          <w:bCs/>
          <w:color w:val="auto"/>
          <w:highlight w:val="none"/>
        </w:rPr>
        <w:t xml:space="preserve">注：中标公示期间，采购人有权要求中标方提供相关评审材料的原件供采购人审核。经检查发现如有虚假材料，采购人有权取消其中标资格，并报相关部门进行处罚。</w:t>
      </w:r>
      <w:r/>
    </w:p>
    <w:p>
      <w:pPr>
        <w:spacing w:line="264"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说明：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r/>
    </w:p>
    <w:p>
      <w:pPr>
        <w:ind w:firstLine="720"/>
        <w:spacing w:line="264"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2.投标报价超过本项目预算（最高限价）的为无效响应。</w:t>
      </w:r>
      <w:r/>
    </w:p>
    <w:p>
      <w:pPr>
        <w:ind w:firstLine="720"/>
        <w:spacing w:line="264"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3.投标人需确保所提供商务、技术、业绩、证书等资料全部真实有效，若提供虚假资料，一经查实作无效投标处理，同时视作投标人自动放弃投标及中标资格，并报相关部门作相关处罚。</w:t>
      </w:r>
      <w:r/>
    </w:p>
    <w:p>
      <w:pP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br w:type="page" w:clear="all"/>
      </w:r>
      <w:r/>
    </w:p>
    <w:p>
      <w:pPr>
        <w:pStyle w:val="831"/>
        <w:jc w:val="center"/>
        <w:spacing w:beforeAutospacing="0" w:afterAutospacing="0"/>
        <w:rPr>
          <w:rFonts w:ascii="宋体" w:hAnsi="宋体" w:eastAsia="宋体" w:cs="宋体"/>
          <w:bCs/>
          <w:color w:val="auto"/>
          <w:sz w:val="44"/>
          <w:szCs w:val="44"/>
          <w:highlight w:val="none"/>
        </w:rPr>
        <w:outlineLvl w:val="0"/>
      </w:pPr>
      <w:r>
        <w:rPr>
          <w:rFonts w:ascii="宋体" w:hAnsi="宋体" w:eastAsia="宋体" w:cs="宋体"/>
          <w:bCs/>
          <w:color w:val="auto"/>
          <w:sz w:val="44"/>
          <w:szCs w:val="44"/>
          <w:highlight w:val="none"/>
        </w:rPr>
      </w:r>
      <w:r/>
    </w:p>
    <w:p>
      <w:pPr>
        <w:ind w:firstLine="2811"/>
        <w:rPr>
          <w:rFonts w:ascii="Times New Roman" w:hAnsi="Times New Roman" w:eastAsia="宋体" w:cs="Times New Roman"/>
          <w:b/>
          <w:bCs/>
          <w:color w:val="auto"/>
          <w:sz w:val="40"/>
          <w:szCs w:val="32"/>
          <w:highlight w:val="none"/>
        </w:rPr>
      </w:pPr>
      <w:r>
        <w:rPr>
          <w:rFonts w:hint="eastAsia" w:ascii="Times New Roman" w:hAnsi="Times New Roman" w:eastAsia="宋体" w:cs="Times New Roman"/>
          <w:b/>
          <w:bCs/>
          <w:color w:val="auto"/>
          <w:sz w:val="40"/>
          <w:szCs w:val="32"/>
          <w:highlight w:val="none"/>
        </w:rPr>
        <w:t xml:space="preserve">第六章响应文件格式</w:t>
      </w:r>
      <w:bookmarkEnd w:id="201"/>
      <w:r/>
      <w:r/>
    </w:p>
    <w:p>
      <w:pPr>
        <w:pStyle w:val="831"/>
        <w:jc w:val="center"/>
        <w:spacing w:beforeAutospacing="0" w:afterAutospacing="0"/>
        <w:rPr>
          <w:rFonts w:ascii="宋体" w:hAnsi="宋体" w:eastAsia="宋体" w:cs="宋体"/>
          <w:bCs/>
          <w:color w:val="auto"/>
          <w:sz w:val="72"/>
          <w:szCs w:val="72"/>
          <w:highlight w:val="none"/>
        </w:rPr>
      </w:pPr>
      <w:r/>
      <w:bookmarkStart w:id="202" w:name="_Toc120614282"/>
      <w:r/>
      <w:bookmarkEnd w:id="202"/>
      <w:r/>
      <w:bookmarkStart w:id="203" w:name="_Toc49090576"/>
      <w:r/>
      <w:bookmarkEnd w:id="203"/>
      <w:r/>
      <w:bookmarkStart w:id="204" w:name="_Hlt26955039"/>
      <w:r/>
      <w:bookmarkStart w:id="205" w:name="_Toc26554094"/>
      <w:r/>
      <w:bookmarkStart w:id="206" w:name="_Hlt26671244"/>
      <w:r/>
      <w:r/>
    </w:p>
    <w:p>
      <w:pPr>
        <w:pStyle w:val="831"/>
        <w:jc w:val="center"/>
        <w:spacing w:beforeAutospacing="0" w:afterAutospacing="0"/>
        <w:rPr>
          <w:rFonts w:ascii="宋体" w:hAnsi="宋体" w:eastAsia="宋体" w:cs="宋体"/>
          <w:bCs/>
          <w:color w:val="auto"/>
          <w:sz w:val="72"/>
          <w:szCs w:val="72"/>
          <w:highlight w:val="none"/>
        </w:rPr>
      </w:pPr>
      <w:r>
        <w:rPr>
          <w:rFonts w:ascii="宋体" w:hAnsi="宋体" w:eastAsia="宋体" w:cs="宋体"/>
          <w:bCs/>
          <w:color w:val="auto"/>
          <w:sz w:val="72"/>
          <w:szCs w:val="72"/>
          <w:highlight w:val="none"/>
        </w:rPr>
      </w:r>
      <w:r/>
    </w:p>
    <w:p>
      <w:pPr>
        <w:pStyle w:val="831"/>
        <w:jc w:val="center"/>
        <w:spacing w:beforeAutospacing="0" w:afterAutospacing="0"/>
        <w:rPr>
          <w:rFonts w:ascii="宋体" w:hAnsi="宋体" w:eastAsia="宋体" w:cs="宋体"/>
          <w:bCs/>
          <w:color w:val="auto"/>
          <w:sz w:val="72"/>
          <w:szCs w:val="72"/>
          <w:highlight w:val="none"/>
        </w:rPr>
      </w:pPr>
      <w:r>
        <w:rPr>
          <w:rFonts w:ascii="宋体" w:hAnsi="宋体" w:eastAsia="宋体" w:cs="宋体"/>
          <w:bCs/>
          <w:color w:val="auto"/>
          <w:sz w:val="72"/>
          <w:szCs w:val="72"/>
          <w:highlight w:val="none"/>
        </w:rPr>
      </w:r>
      <w:r/>
    </w:p>
    <w:p>
      <w:pPr>
        <w:pStyle w:val="831"/>
        <w:jc w:val="center"/>
        <w:spacing w:beforeAutospacing="0" w:afterAutospacing="0"/>
        <w:rPr>
          <w:rFonts w:ascii="方正小标宋_GBK" w:hAnsi="方正小标宋_GBK" w:eastAsia="方正小标宋_GBK" w:cs="方正小标宋_GBK"/>
          <w:bCs/>
          <w:color w:val="auto"/>
          <w:sz w:val="72"/>
          <w:szCs w:val="21"/>
          <w:highlight w:val="none"/>
        </w:rPr>
      </w:pPr>
      <w:r>
        <w:rPr>
          <w:rFonts w:hint="eastAsia" w:ascii="方正小标宋_GBK" w:hAnsi="方正小标宋_GBK" w:eastAsia="方正小标宋_GBK" w:cs="方正小标宋_GBK"/>
          <w:bCs/>
          <w:color w:val="auto"/>
          <w:sz w:val="72"/>
          <w:szCs w:val="21"/>
          <w:highlight w:val="none"/>
        </w:rPr>
        <w:t xml:space="preserve">响  应  文  件</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rPr>
          <w:rFonts w:ascii="宋体" w:hAnsi="宋体" w:eastAsia="宋体" w:cs="宋体"/>
          <w:bCs/>
          <w:color w:val="auto"/>
          <w:highlight w:val="none"/>
        </w:rPr>
      </w:pPr>
      <w:r>
        <w:rPr>
          <w:rFonts w:ascii="宋体" w:hAnsi="宋体" w:eastAsia="宋体" w:cs="宋体"/>
          <w:bCs/>
          <w:color w:val="auto"/>
          <w:highlight w:val="none"/>
        </w:rPr>
      </w:r>
      <w:r/>
    </w:p>
    <w:p>
      <w:pPr>
        <w:pStyle w:val="831"/>
        <w:jc w:val="center"/>
        <w:spacing w:beforeAutospacing="0" w:afterAutospacing="0"/>
        <w:rPr>
          <w:rFonts w:ascii="宋体" w:hAnsi="宋体" w:eastAsia="宋体" w:cs="宋体"/>
          <w:bCs/>
          <w:color w:val="auto"/>
          <w:highlight w:val="none"/>
        </w:rPr>
      </w:pPr>
      <w:r>
        <w:rPr>
          <w:rFonts w:ascii="宋体" w:hAnsi="宋体" w:eastAsia="宋体" w:cs="宋体"/>
          <w:bCs/>
          <w:color w:val="auto"/>
          <w:highlight w:val="none"/>
        </w:rPr>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ind w:left="630"/>
        <w:jc w:val="both"/>
        <w:spacing w:beforeAutospacing="0" w:afterAutospacing="0" w:line="360" w:lineRule="auto"/>
        <w:rPr>
          <w:rFonts w:ascii="宋体" w:hAnsi="宋体" w:eastAsia="宋体" w:cs="宋体"/>
          <w:bCs/>
          <w:color w:val="auto"/>
          <w:highlight w:val="none"/>
          <w:u w:val="single"/>
        </w:rPr>
      </w:pPr>
      <w:r>
        <w:rPr>
          <w:rFonts w:hint="eastAsia" w:ascii="宋体" w:hAnsi="宋体" w:eastAsia="宋体" w:cs="宋体"/>
          <w:bCs/>
          <w:color w:val="auto"/>
          <w:spacing w:val="60"/>
          <w:sz w:val="36"/>
          <w:szCs w:val="36"/>
          <w:highlight w:val="none"/>
        </w:rPr>
        <w:t xml:space="preserve">项目名</w:t>
      </w:r>
      <w:r>
        <w:rPr>
          <w:rFonts w:hint="eastAsia" w:ascii="宋体" w:hAnsi="宋体" w:eastAsia="宋体" w:cs="宋体"/>
          <w:bCs/>
          <w:color w:val="auto"/>
          <w:spacing w:val="2"/>
          <w:sz w:val="36"/>
          <w:szCs w:val="36"/>
          <w:highlight w:val="none"/>
        </w:rPr>
        <w:t xml:space="preserve">称</w:t>
      </w:r>
      <w:r>
        <w:rPr>
          <w:rFonts w:hint="eastAsia" w:ascii="宋体" w:hAnsi="宋体" w:eastAsia="宋体" w:cs="宋体"/>
          <w:bCs/>
          <w:color w:val="auto"/>
          <w:sz w:val="36"/>
          <w:szCs w:val="36"/>
          <w:highlight w:val="none"/>
        </w:rPr>
        <w:t xml:space="preserve">：</w:t>
      </w:r>
      <w:r>
        <w:rPr>
          <w:rFonts w:hint="eastAsia" w:ascii="宋体" w:hAnsi="宋体" w:eastAsia="宋体" w:cs="宋体"/>
          <w:bCs/>
          <w:color w:val="auto"/>
          <w:sz w:val="36"/>
          <w:szCs w:val="36"/>
          <w:highlight w:val="none"/>
          <w:u w:val="single"/>
        </w:rPr>
        <w:t xml:space="preserve">                      </w:t>
      </w:r>
      <w:r>
        <w:rPr>
          <w:rFonts w:hint="eastAsia" w:ascii="宋体" w:hAnsi="宋体" w:eastAsia="宋体" w:cs="宋体"/>
          <w:bCs/>
          <w:color w:val="auto"/>
          <w:sz w:val="36"/>
          <w:szCs w:val="36"/>
          <w:highlight w:val="none"/>
        </w:rPr>
        <w:t xml:space="preserve">                </w:t>
      </w:r>
      <w:r/>
    </w:p>
    <w:p>
      <w:pPr>
        <w:pStyle w:val="831"/>
        <w:ind w:left="630"/>
        <w:jc w:val="both"/>
        <w:spacing w:beforeAutospacing="0" w:afterAutospacing="0" w:line="360" w:lineRule="auto"/>
        <w:rPr>
          <w:rFonts w:ascii="宋体" w:hAnsi="宋体" w:eastAsia="宋体" w:cs="宋体"/>
          <w:bCs/>
          <w:color w:val="auto"/>
          <w:highlight w:val="none"/>
          <w:u w:val="single"/>
        </w:rPr>
      </w:pPr>
      <w:r>
        <w:rPr>
          <w:rFonts w:hint="eastAsia" w:ascii="宋体" w:hAnsi="宋体" w:eastAsia="宋体" w:cs="宋体"/>
          <w:bCs/>
          <w:color w:val="auto"/>
          <w:spacing w:val="60"/>
          <w:sz w:val="36"/>
          <w:szCs w:val="36"/>
          <w:highlight w:val="none"/>
        </w:rPr>
        <w:t xml:space="preserve">项目编</w:t>
      </w:r>
      <w:r>
        <w:rPr>
          <w:rFonts w:hint="eastAsia" w:ascii="宋体" w:hAnsi="宋体" w:eastAsia="宋体" w:cs="宋体"/>
          <w:bCs/>
          <w:color w:val="auto"/>
          <w:spacing w:val="2"/>
          <w:sz w:val="36"/>
          <w:szCs w:val="36"/>
          <w:highlight w:val="none"/>
        </w:rPr>
        <w:t xml:space="preserve">号</w:t>
      </w:r>
      <w:r>
        <w:rPr>
          <w:rFonts w:hint="eastAsia" w:ascii="宋体" w:hAnsi="宋体" w:eastAsia="宋体" w:cs="宋体"/>
          <w:bCs/>
          <w:color w:val="auto"/>
          <w:sz w:val="36"/>
          <w:szCs w:val="36"/>
          <w:highlight w:val="none"/>
        </w:rPr>
        <w:t xml:space="preserve">：</w:t>
      </w:r>
      <w:r>
        <w:rPr>
          <w:rFonts w:hint="eastAsia" w:ascii="宋体" w:hAnsi="宋体" w:eastAsia="宋体" w:cs="宋体"/>
          <w:bCs/>
          <w:color w:val="auto"/>
          <w:sz w:val="36"/>
          <w:szCs w:val="36"/>
          <w:highlight w:val="none"/>
          <w:u w:val="single"/>
        </w:rPr>
        <w:t xml:space="preserve">                       </w:t>
      </w:r>
      <w:r/>
    </w:p>
    <w:p>
      <w:pPr>
        <w:pStyle w:val="831"/>
        <w:ind w:left="630"/>
        <w:jc w:val="both"/>
        <w:spacing w:beforeAutospacing="0" w:afterAutospacing="0" w:line="360" w:lineRule="auto"/>
        <w:rPr>
          <w:rFonts w:ascii="宋体" w:hAnsi="宋体" w:eastAsia="宋体" w:cs="宋体"/>
          <w:bCs/>
          <w:color w:val="auto"/>
          <w:highlight w:val="none"/>
        </w:rPr>
      </w:pPr>
      <w:r>
        <w:rPr>
          <w:rFonts w:hint="eastAsia" w:ascii="宋体" w:hAnsi="宋体" w:eastAsia="宋体" w:cs="宋体"/>
          <w:bCs/>
          <w:color w:val="auto"/>
          <w:sz w:val="36"/>
          <w:szCs w:val="36"/>
          <w:highlight w:val="none"/>
        </w:rPr>
        <w:t xml:space="preserve">供应商名称：</w:t>
      </w:r>
      <w:r>
        <w:rPr>
          <w:rFonts w:hint="eastAsia" w:ascii="宋体" w:hAnsi="宋体" w:eastAsia="宋体" w:cs="宋体"/>
          <w:bCs/>
          <w:color w:val="auto"/>
          <w:sz w:val="36"/>
          <w:szCs w:val="36"/>
          <w:highlight w:val="none"/>
          <w:u w:val="single"/>
        </w:rPr>
        <w:t xml:space="preserve">（加盖CA电子公章）    </w:t>
      </w:r>
      <w:r/>
    </w:p>
    <w:p>
      <w:pPr>
        <w:pStyle w:val="831"/>
        <w:ind w:left="630"/>
        <w:jc w:val="both"/>
        <w:spacing w:beforeAutospacing="0" w:afterAutospacing="0" w:line="360" w:lineRule="auto"/>
        <w:rPr>
          <w:rFonts w:ascii="宋体" w:hAnsi="宋体" w:eastAsia="宋体" w:cs="宋体"/>
          <w:bCs/>
          <w:color w:val="auto"/>
          <w:highlight w:val="none"/>
          <w:u w:val="single"/>
        </w:rPr>
      </w:pPr>
      <w:r>
        <w:rPr>
          <w:rFonts w:hint="eastAsia" w:ascii="宋体" w:hAnsi="宋体" w:eastAsia="宋体" w:cs="宋体"/>
          <w:bCs/>
          <w:color w:val="auto"/>
          <w:sz w:val="36"/>
          <w:szCs w:val="36"/>
          <w:highlight w:val="none"/>
        </w:rPr>
        <w:t xml:space="preserve">日　    期：</w:t>
      </w:r>
      <w:r>
        <w:rPr>
          <w:rFonts w:hint="eastAsia" w:ascii="宋体" w:hAnsi="宋体" w:eastAsia="宋体" w:cs="宋体"/>
          <w:bCs/>
          <w:color w:val="auto"/>
          <w:sz w:val="36"/>
          <w:szCs w:val="36"/>
          <w:highlight w:val="none"/>
          <w:u w:val="single"/>
        </w:rPr>
        <w:t xml:space="preserve">                        </w:t>
      </w:r>
      <w:r>
        <w:rPr>
          <w:rFonts w:hint="eastAsia" w:ascii="宋体" w:hAnsi="宋体" w:eastAsia="宋体" w:cs="宋体"/>
          <w:bCs/>
          <w:color w:val="auto"/>
          <w:sz w:val="36"/>
          <w:szCs w:val="36"/>
          <w:highlight w:val="none"/>
        </w:rPr>
        <w:t xml:space="preserve">    </w:t>
      </w:r>
      <w:r/>
    </w:p>
    <w:p>
      <w:pPr>
        <w:pStyle w:val="831"/>
        <w:jc w:val="center"/>
        <w:spacing w:beforeAutospacing="0" w:afterAutospacing="0" w:line="0" w:lineRule="atLeas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0"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508" w:lineRule="exac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508" w:lineRule="exac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508" w:lineRule="exac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100" w:beforeAutospacing="0" w:after="100" w:afterAutospacing="0" w:line="0" w:lineRule="atLeast"/>
        <w:widowControl/>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响应文件目录</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一、</w:t>
      </w:r>
      <w:r>
        <w:rPr>
          <w:rFonts w:hint="eastAsia" w:ascii="宋体" w:hAnsi="宋体" w:eastAsia="宋体" w:cs="Times New Roman"/>
          <w:bCs/>
          <w:color w:val="auto"/>
          <w:sz w:val="24"/>
          <w:szCs w:val="21"/>
          <w:highlight w:val="none"/>
        </w:rPr>
        <w:t xml:space="preserve">法人或者其他组织的营业执照等证明文件，自然人的身份证明。</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二、</w:t>
      </w:r>
      <w:r>
        <w:rPr>
          <w:rFonts w:hint="eastAsia" w:ascii="宋体" w:hAnsi="宋体" w:eastAsia="宋体" w:cs="Times New Roman"/>
          <w:bCs/>
          <w:color w:val="auto"/>
          <w:sz w:val="24"/>
          <w:szCs w:val="21"/>
          <w:highlight w:val="none"/>
        </w:rPr>
        <w:t xml:space="preserve">上一年度的财务状况报表（至少提供资产负债表、利润表、现金流量表，投标人成立不满一年无需提供）</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三、</w:t>
      </w:r>
      <w:r>
        <w:rPr>
          <w:rFonts w:hint="eastAsia" w:ascii="宋体" w:hAnsi="宋体" w:eastAsia="宋体" w:cs="Times New Roman"/>
          <w:bCs/>
          <w:color w:val="auto"/>
          <w:sz w:val="24"/>
          <w:szCs w:val="21"/>
          <w:highlight w:val="none"/>
        </w:rPr>
        <w:t xml:space="preserve">具备履行合同所必需的设备和专业技术能力的书面声明</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四、</w:t>
      </w:r>
      <w:r>
        <w:rPr>
          <w:rFonts w:hint="eastAsia" w:ascii="宋体" w:hAnsi="宋体" w:eastAsia="宋体" w:cs="Times New Roman"/>
          <w:bCs/>
          <w:color w:val="auto"/>
          <w:sz w:val="24"/>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五、</w:t>
      </w:r>
      <w:r>
        <w:rPr>
          <w:rFonts w:hint="eastAsia" w:ascii="宋体" w:hAnsi="宋体" w:eastAsia="宋体" w:cs="Times New Roman"/>
          <w:bCs/>
          <w:color w:val="auto"/>
          <w:sz w:val="24"/>
          <w:szCs w:val="21"/>
          <w:highlight w:val="none"/>
        </w:rPr>
        <w:t xml:space="preserve">参加政府采购活动前 3 年内在经营活动中没有重大违法记录的书面声明。</w:t>
      </w:r>
      <w:r/>
    </w:p>
    <w:p>
      <w:pPr>
        <w:ind w:firstLine="480"/>
        <w:spacing w:line="500" w:lineRule="exact"/>
        <w:rPr>
          <w:rFonts w:ascii="宋体" w:hAnsi="宋体" w:eastAsia="宋体" w:cs="Times New Roman"/>
          <w:bCs/>
          <w:color w:val="auto"/>
          <w:sz w:val="24"/>
          <w:highlight w:val="none"/>
        </w:rPr>
      </w:pP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eastAsia="宋体" w:cs="宋体"/>
          <w:b/>
          <w:bCs/>
          <w:color w:val="auto"/>
          <w:sz w:val="24"/>
          <w:highlight w:val="none"/>
        </w:rPr>
        <w:t xml:space="preserve">自行承诺</w:t>
      </w:r>
      <w:r>
        <w:rPr>
          <w:rFonts w:hint="eastAsia" w:ascii="宋体" w:hAnsi="宋体" w:eastAsia="宋体" w:cs="宋体"/>
          <w:color w:val="auto"/>
          <w:sz w:val="24"/>
          <w:highlight w:val="none"/>
        </w:rPr>
        <w:t xml:space="preserve">)</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六、</w:t>
      </w:r>
      <w:r>
        <w:rPr>
          <w:rFonts w:hint="eastAsia" w:ascii="宋体" w:hAnsi="宋体" w:eastAsia="宋体" w:cs="Times New Roman"/>
          <w:bCs/>
          <w:color w:val="auto"/>
          <w:sz w:val="24"/>
          <w:szCs w:val="21"/>
          <w:highlight w:val="none"/>
        </w:rPr>
        <w:t xml:space="preserve">特定资格要求的证明文件（如果本项目设置特定资格要求，则需要提供）</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七、</w:t>
      </w:r>
      <w:r>
        <w:rPr>
          <w:rFonts w:hint="eastAsia" w:ascii="宋体" w:hAnsi="宋体" w:eastAsia="宋体" w:cs="Times New Roman"/>
          <w:bCs/>
          <w:color w:val="auto"/>
          <w:sz w:val="24"/>
          <w:szCs w:val="21"/>
          <w:highlight w:val="none"/>
        </w:rPr>
        <w:t xml:space="preserve">法人授权书</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八、</w:t>
      </w:r>
      <w:r>
        <w:rPr>
          <w:rFonts w:hint="eastAsia" w:ascii="宋体" w:hAnsi="宋体" w:eastAsia="宋体" w:cs="Times New Roman"/>
          <w:bCs/>
          <w:color w:val="auto"/>
          <w:sz w:val="24"/>
          <w:szCs w:val="21"/>
          <w:highlight w:val="none"/>
        </w:rPr>
        <w:t xml:space="preserve">投标函</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九、</w:t>
      </w:r>
      <w:r>
        <w:rPr>
          <w:rFonts w:hint="eastAsia" w:ascii="宋体" w:hAnsi="宋体" w:eastAsia="宋体" w:cs="Times New Roman"/>
          <w:bCs/>
          <w:color w:val="auto"/>
          <w:sz w:val="24"/>
          <w:szCs w:val="21"/>
          <w:highlight w:val="none"/>
        </w:rPr>
        <w:t xml:space="preserve">中小企业声明函</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w:t>
      </w:r>
      <w:r>
        <w:rPr>
          <w:rFonts w:hint="eastAsia" w:ascii="宋体" w:hAnsi="宋体" w:eastAsia="宋体" w:cs="Times New Roman"/>
          <w:bCs/>
          <w:color w:val="auto"/>
          <w:sz w:val="24"/>
          <w:szCs w:val="21"/>
          <w:highlight w:val="none"/>
        </w:rPr>
        <w:t xml:space="preserve">残疾人福利性单位声明函</w:t>
      </w:r>
      <w:r/>
    </w:p>
    <w:p>
      <w:pPr>
        <w:ind w:firstLine="482"/>
        <w:spacing w:line="500" w:lineRule="exact"/>
        <w:rPr>
          <w:rFonts w:ascii="宋体" w:hAnsi="宋体" w:eastAsia="宋体" w:cs="宋体"/>
          <w:b/>
          <w:bCs/>
          <w:color w:val="auto"/>
          <w:sz w:val="32"/>
          <w:szCs w:val="32"/>
          <w:highlight w:val="none"/>
        </w:rPr>
      </w:pPr>
      <w:r>
        <w:rPr>
          <w:rFonts w:hint="eastAsia" w:ascii="宋体" w:hAnsi="宋体" w:eastAsia="宋体" w:cs="Times New Roman"/>
          <w:b/>
          <w:color w:val="auto"/>
          <w:sz w:val="24"/>
          <w:szCs w:val="21"/>
          <w:highlight w:val="none"/>
        </w:rPr>
        <w:t xml:space="preserve">十一、</w:t>
      </w:r>
      <w:r>
        <w:rPr>
          <w:rFonts w:hint="eastAsia" w:ascii="宋体" w:hAnsi="宋体" w:eastAsia="宋体" w:cs="Times New Roman"/>
          <w:bCs/>
          <w:color w:val="auto"/>
          <w:sz w:val="24"/>
          <w:szCs w:val="21"/>
          <w:highlight w:val="none"/>
        </w:rPr>
        <w:t xml:space="preserve">联合体协议</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十二、</w:t>
      </w:r>
      <w:r>
        <w:rPr>
          <w:rFonts w:hint="eastAsia" w:ascii="宋体" w:hAnsi="宋体" w:eastAsia="宋体" w:cs="Times New Roman"/>
          <w:bCs/>
          <w:color w:val="auto"/>
          <w:sz w:val="24"/>
          <w:szCs w:val="21"/>
          <w:highlight w:val="none"/>
        </w:rPr>
        <w:t xml:space="preserve">投标分项报价表</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十三、</w:t>
      </w:r>
      <w:r>
        <w:rPr>
          <w:rFonts w:hint="eastAsia" w:ascii="宋体" w:hAnsi="宋体" w:eastAsia="宋体" w:cs="Times New Roman"/>
          <w:bCs/>
          <w:color w:val="auto"/>
          <w:sz w:val="24"/>
          <w:szCs w:val="21"/>
          <w:highlight w:val="none"/>
        </w:rPr>
        <w:t xml:space="preserve">技术要求响应及偏离表</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十四、</w:t>
      </w:r>
      <w:r>
        <w:rPr>
          <w:rFonts w:hint="eastAsia" w:ascii="宋体" w:hAnsi="宋体" w:eastAsia="宋体" w:cs="Times New Roman"/>
          <w:bCs/>
          <w:color w:val="auto"/>
          <w:sz w:val="24"/>
          <w:szCs w:val="21"/>
          <w:highlight w:val="none"/>
        </w:rPr>
        <w:t xml:space="preserve">商务要求响应及偏离表</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十五、</w:t>
      </w:r>
      <w:r>
        <w:rPr>
          <w:rFonts w:hint="eastAsia" w:ascii="宋体" w:hAnsi="宋体" w:eastAsia="宋体" w:cs="宋体"/>
          <w:color w:val="auto"/>
          <w:sz w:val="24"/>
          <w:highlight w:val="none"/>
        </w:rPr>
        <w:t xml:space="preserve">磋商报价表</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十六、</w:t>
      </w:r>
      <w:r>
        <w:rPr>
          <w:rFonts w:hint="eastAsia" w:ascii="宋体" w:hAnsi="宋体" w:eastAsia="宋体" w:cs="宋体"/>
          <w:color w:val="auto"/>
          <w:sz w:val="24"/>
          <w:highlight w:val="none"/>
        </w:rPr>
        <w:t xml:space="preserve">技术方案、服务承诺、培训承诺等</w:t>
      </w:r>
      <w:r/>
    </w:p>
    <w:p>
      <w:pPr>
        <w:ind w:firstLine="482"/>
        <w:spacing w:line="500" w:lineRule="exact"/>
        <w:rPr>
          <w:rFonts w:ascii="宋体" w:hAnsi="宋体" w:eastAsia="宋体" w:cs="宋体"/>
          <w:color w:val="auto"/>
          <w:sz w:val="24"/>
          <w:highlight w:val="none"/>
        </w:rPr>
      </w:pPr>
      <w:r>
        <w:rPr>
          <w:rFonts w:hint="eastAsia" w:ascii="宋体" w:hAnsi="宋体" w:eastAsia="宋体" w:cs="Times New Roman"/>
          <w:b/>
          <w:color w:val="auto"/>
          <w:sz w:val="24"/>
          <w:szCs w:val="21"/>
          <w:highlight w:val="none"/>
        </w:rPr>
        <w:t xml:space="preserve">十七、</w:t>
      </w:r>
      <w:r>
        <w:rPr>
          <w:rFonts w:hint="eastAsia" w:ascii="宋体" w:hAnsi="宋体" w:eastAsia="宋体" w:cs="宋体"/>
          <w:color w:val="auto"/>
          <w:sz w:val="24"/>
          <w:highlight w:val="none"/>
        </w:rPr>
        <w:t xml:space="preserve">盐城市政府采购事前信用承诺书</w:t>
      </w:r>
      <w:r/>
    </w:p>
    <w:p>
      <w:pPr>
        <w:ind w:firstLine="482"/>
        <w:spacing w:line="500" w:lineRule="exact"/>
        <w:rPr>
          <w:rFonts w:ascii="宋体" w:hAnsi="宋体" w:eastAsia="宋体" w:cs="Times New Roman"/>
          <w:bCs/>
          <w:color w:val="auto"/>
          <w:sz w:val="24"/>
          <w:szCs w:val="21"/>
          <w:highlight w:val="none"/>
        </w:rPr>
      </w:pPr>
      <w:r>
        <w:rPr>
          <w:rFonts w:hint="eastAsia" w:ascii="宋体" w:hAnsi="宋体" w:eastAsia="宋体" w:cs="Times New Roman"/>
          <w:b/>
          <w:color w:val="auto"/>
          <w:sz w:val="24"/>
          <w:szCs w:val="21"/>
          <w:highlight w:val="none"/>
        </w:rPr>
        <w:t xml:space="preserve">十八、</w:t>
      </w:r>
      <w:r>
        <w:rPr>
          <w:rFonts w:hint="eastAsia" w:ascii="宋体" w:hAnsi="宋体" w:eastAsia="宋体" w:cs="Times New Roman"/>
          <w:bCs/>
          <w:color w:val="auto"/>
          <w:sz w:val="24"/>
          <w:szCs w:val="21"/>
          <w:highlight w:val="none"/>
        </w:rPr>
        <w:t xml:space="preserve">人员配备一览表</w:t>
      </w:r>
      <w:r/>
    </w:p>
    <w:p>
      <w:pPr>
        <w:ind w:firstLine="482"/>
        <w:spacing w:line="500" w:lineRule="exact"/>
        <w:rPr>
          <w:rFonts w:ascii="宋体" w:hAnsi="宋体" w:eastAsia="宋体" w:cs="Times New Roman"/>
          <w:bCs/>
          <w:color w:val="auto"/>
          <w:sz w:val="24"/>
          <w:szCs w:val="21"/>
          <w:highlight w:val="none"/>
        </w:rPr>
      </w:pPr>
      <w:r/>
      <w:bookmarkStart w:id="207" w:name="OLE_LINK23"/>
      <w:r/>
      <w:bookmarkStart w:id="208" w:name="OLE_LINK24"/>
      <w:r>
        <w:rPr>
          <w:rFonts w:hint="eastAsia" w:ascii="宋体" w:hAnsi="宋体" w:eastAsia="宋体" w:cs="Times New Roman"/>
          <w:b/>
          <w:color w:val="auto"/>
          <w:sz w:val="24"/>
          <w:szCs w:val="21"/>
          <w:highlight w:val="none"/>
        </w:rPr>
        <w:t xml:space="preserve">十九、</w:t>
      </w:r>
      <w:bookmarkEnd w:id="207"/>
      <w:r/>
      <w:bookmarkEnd w:id="208"/>
      <w:r>
        <w:rPr>
          <w:rFonts w:hint="eastAsia" w:ascii="宋体" w:hAnsi="宋体" w:eastAsia="宋体" w:cs="Times New Roman"/>
          <w:bCs/>
          <w:color w:val="auto"/>
          <w:sz w:val="24"/>
          <w:szCs w:val="21"/>
          <w:highlight w:val="none"/>
        </w:rPr>
        <w:t xml:space="preserve">招标文件中规定要求提供的其他证明材料和投标人认为需要提供的其他材料 </w:t>
      </w:r>
      <w:r/>
    </w:p>
    <w:p>
      <w:pPr>
        <w:ind w:firstLine="482"/>
        <w:jc w:val="lef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注：如招标文件中提供的格式与苏采云系统中的格式不一致的，以苏采云系统中的格式为准。</w:t>
      </w:r>
      <w:r/>
    </w:p>
    <w:p>
      <w:pPr>
        <w:pStyle w:val="831"/>
        <w:jc w:val="both"/>
        <w:spacing w:beforeAutospacing="0" w:afterAutospacing="0" w:line="508" w:lineRule="exact"/>
        <w:rPr>
          <w:rFonts w:ascii="宋体" w:hAnsi="宋体" w:eastAsia="宋体" w:cs="宋体"/>
          <w:bCs/>
          <w:i/>
          <w:color w:val="auto"/>
          <w:sz w:val="32"/>
          <w:szCs w:val="32"/>
          <w:highlight w:val="none"/>
          <w:u w:val="single"/>
        </w:rPr>
      </w:pPr>
      <w:r>
        <w:rPr>
          <w:rFonts w:ascii="宋体" w:hAnsi="宋体" w:eastAsia="宋体" w:cs="宋体"/>
          <w:bCs/>
          <w:i/>
          <w:color w:val="auto"/>
          <w:sz w:val="32"/>
          <w:szCs w:val="32"/>
          <w:highlight w:val="none"/>
          <w:u w:val="single"/>
        </w:rPr>
      </w:r>
      <w:r/>
    </w:p>
    <w:p>
      <w:pPr>
        <w:pStyle w:val="831"/>
        <w:jc w:val="both"/>
        <w:spacing w:beforeAutospacing="0" w:afterAutospacing="0" w:line="508" w:lineRule="exact"/>
        <w:rPr>
          <w:rFonts w:ascii="宋体" w:hAnsi="宋体" w:eastAsia="宋体" w:cs="宋体"/>
          <w:bCs/>
          <w:i/>
          <w:color w:val="auto"/>
          <w:sz w:val="32"/>
          <w:szCs w:val="32"/>
          <w:highlight w:val="none"/>
          <w:u w:val="single"/>
        </w:rPr>
      </w:pPr>
      <w:r>
        <w:rPr>
          <w:rFonts w:ascii="宋体" w:hAnsi="宋体" w:eastAsia="宋体" w:cs="宋体"/>
          <w:bCs/>
          <w:i/>
          <w:color w:val="auto"/>
          <w:sz w:val="32"/>
          <w:szCs w:val="32"/>
          <w:highlight w:val="none"/>
          <w:u w:val="single"/>
        </w:rPr>
      </w:r>
      <w:r/>
    </w:p>
    <w:p>
      <w:pPr>
        <w:pStyle w:val="831"/>
        <w:jc w:val="both"/>
        <w:spacing w:beforeAutospacing="0" w:afterAutospacing="0" w:line="508" w:lineRule="exact"/>
        <w:rPr>
          <w:rFonts w:ascii="宋体" w:hAnsi="宋体" w:eastAsia="宋体" w:cs="宋体"/>
          <w:bCs/>
          <w:i/>
          <w:color w:val="auto"/>
          <w:sz w:val="32"/>
          <w:szCs w:val="32"/>
          <w:highlight w:val="none"/>
          <w:u w:val="single"/>
        </w:rPr>
      </w:pPr>
      <w:r>
        <w:rPr>
          <w:rFonts w:ascii="宋体" w:hAnsi="宋体" w:eastAsia="宋体" w:cs="宋体"/>
          <w:bCs/>
          <w:i/>
          <w:color w:val="auto"/>
          <w:sz w:val="32"/>
          <w:szCs w:val="32"/>
          <w:highlight w:val="none"/>
          <w:u w:val="single"/>
        </w:rPr>
      </w:r>
      <w:r/>
    </w:p>
    <w:p>
      <w:pPr>
        <w:pStyle w:val="831"/>
        <w:jc w:val="both"/>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一、法人或者其他组织的营业执照等证明文件，自然人的身份证明</w:t>
      </w:r>
      <w:r/>
    </w:p>
    <w:p>
      <w:pPr>
        <w:pStyle w:val="831"/>
        <w:ind w:firstLine="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二、上一年度的财务状况报表</w:t>
      </w:r>
      <w:r/>
    </w:p>
    <w:p>
      <w:pPr>
        <w:ind w:firstLine="480"/>
        <w:jc w:val="center"/>
        <w:spacing w:line="508" w:lineRule="exact"/>
        <w:tabs>
          <w:tab w:val="left" w:pos="1331" w:leader="none"/>
          <w:tab w:val="left" w:pos="2590" w:leader="none"/>
        </w:tabs>
        <w:rPr>
          <w:rFonts w:ascii="宋体" w:hAnsi="宋体" w:eastAsia="宋体" w:cs="宋体"/>
          <w:bCs/>
          <w:iCs/>
          <w:color w:val="auto"/>
          <w:sz w:val="24"/>
          <w:highlight w:val="none"/>
        </w:rPr>
      </w:pPr>
      <w:r>
        <w:rPr>
          <w:rFonts w:hint="eastAsia" w:ascii="宋体" w:hAnsi="宋体" w:eastAsia="宋体" w:cs="宋体"/>
          <w:bCs/>
          <w:iCs/>
          <w:color w:val="auto"/>
          <w:sz w:val="24"/>
          <w:highlight w:val="none"/>
        </w:rPr>
        <w:t xml:space="preserve">（</w:t>
      </w:r>
      <w:r>
        <w:rPr>
          <w:rFonts w:hint="eastAsia" w:ascii="宋体" w:hAnsi="宋体" w:eastAsia="宋体" w:cs="宋体"/>
          <w:bCs/>
          <w:color w:val="auto"/>
          <w:sz w:val="24"/>
          <w:highlight w:val="none"/>
        </w:rPr>
        <w:t xml:space="preserve">至少提供资产负债表、利润表、现金流量表，投标人成立不满一年无需提供</w:t>
      </w:r>
      <w:r>
        <w:rPr>
          <w:rFonts w:hint="eastAsia" w:ascii="宋体" w:hAnsi="宋体" w:eastAsia="宋体" w:cs="宋体"/>
          <w:bCs/>
          <w:iCs/>
          <w:color w:val="auto"/>
          <w:sz w:val="24"/>
          <w:highlight w:val="none"/>
        </w:rPr>
        <w:t xml:space="preserve">）</w:t>
      </w:r>
      <w:r/>
    </w:p>
    <w:p>
      <w:pPr>
        <w:rPr>
          <w:rFonts w:ascii="宋体" w:hAnsi="宋体" w:eastAsia="宋体" w:cs="宋体"/>
          <w:bCs/>
          <w:color w:val="auto"/>
          <w:highlight w:val="none"/>
        </w:rPr>
      </w:pPr>
      <w:r>
        <w:rPr>
          <w:rFonts w:ascii="宋体" w:hAnsi="宋体" w:eastAsia="宋体" w:cs="宋体"/>
          <w:bCs/>
          <w:color w:val="auto"/>
          <w:highlight w:val="none"/>
        </w:rPr>
        <w:br w:type="page" w:clear="all"/>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三、依法缴纳税收和社会保障资金的相关材料</w:t>
      </w:r>
      <w:r/>
    </w:p>
    <w:p>
      <w:pPr>
        <w:pStyle w:val="831"/>
        <w:ind w:firstLine="480"/>
        <w:jc w:val="center"/>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bCs/>
          <w:color w:val="auto"/>
          <w:highlight w:val="none"/>
        </w:rPr>
      </w:pPr>
      <w:r>
        <w:rPr>
          <w:rFonts w:ascii="宋体" w:hAnsi="宋体" w:eastAsia="宋体" w:cs="宋体"/>
          <w:bCs/>
          <w:color w:val="auto"/>
          <w:highlight w:val="none"/>
        </w:rPr>
        <w:br w:type="page" w:clear="all"/>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四、具备履行合同所必需的设备和专业技术能力的书面声明</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主要设备有：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主要专业技术能力有：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rPr>
          <w:rFonts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831"/>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五、参加政府采购活动前 3 年内在经营活动中没有重大违法记录的书面声明</w:t>
      </w:r>
      <w:r/>
    </w:p>
    <w:p>
      <w:pPr>
        <w:pStyle w:val="831"/>
        <w:jc w:val="center"/>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sz w:val="44"/>
          <w:szCs w:val="44"/>
          <w:highlight w:val="none"/>
        </w:rPr>
        <w:t xml:space="preserve">声明</w:t>
      </w:r>
      <w:r/>
    </w:p>
    <w:p>
      <w:pPr>
        <w:pStyle w:val="831"/>
        <w:ind w:firstLine="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六、特定资格要求的证明文件</w:t>
      </w:r>
      <w:r/>
    </w:p>
    <w:p>
      <w:pPr>
        <w:pStyle w:val="831"/>
        <w:ind w:firstLine="480"/>
        <w:jc w:val="center"/>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如果本项目申请人的特定资格要求中要求提供的，必须提供。</w:t>
      </w:r>
      <w:r>
        <w:rPr>
          <w:rFonts w:hint="eastAsia" w:ascii="宋体" w:hAnsi="宋体" w:eastAsia="宋体" w:cs="宋体"/>
          <w:bCs/>
          <w:i/>
          <w:color w:val="auto"/>
          <w:sz w:val="32"/>
          <w:szCs w:val="32"/>
          <w:highlight w:val="none"/>
          <w:u w:val="single"/>
        </w:rPr>
        <w:br w:type="page" w:clear="all"/>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bookmarkStart w:id="209" w:name="_Toc120614284"/>
      <w:r>
        <w:rPr>
          <w:rFonts w:hint="eastAsia" w:ascii="方正小标宋_GBK" w:hAnsi="方正小标宋_GBK" w:eastAsia="方正小标宋_GBK" w:cs="方正小标宋_GBK"/>
          <w:color w:val="auto"/>
          <w:sz w:val="32"/>
          <w:szCs w:val="32"/>
          <w:highlight w:val="none"/>
        </w:rPr>
        <w:t xml:space="preserve">七、法人授权书</w:t>
      </w:r>
      <w:r/>
    </w:p>
    <w:p>
      <w:pPr>
        <w:pStyle w:val="831"/>
        <w:ind w:firstLine="480"/>
        <w:jc w:val="both"/>
        <w:spacing w:beforeAutospacing="0" w:afterAutospacing="0" w:line="508" w:lineRule="exact"/>
        <w:tabs>
          <w:tab w:val="left" w:pos="360" w:leader="none"/>
        </w:tabs>
        <w:rPr>
          <w:rFonts w:ascii="宋体" w:hAnsi="宋体" w:eastAsia="宋体" w:cs="宋体"/>
          <w:bCs/>
          <w:color w:val="auto"/>
          <w:highlight w:val="none"/>
        </w:rPr>
      </w:pPr>
      <w:r>
        <w:rPr>
          <w:rFonts w:ascii="宋体" w:hAnsi="宋体" w:eastAsia="宋体" w:cs="宋体"/>
          <w:bCs/>
          <w:color w:val="auto"/>
          <w:highlight w:val="none"/>
        </w:rPr>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本授权书声明：____________（供应商名称）授权________________（被授权人的姓名）为我方就JSZC-320900-    号项目采购活动的合法代理人，以本单位名义全权处理一切与该项目采购有关的事务。</w:t>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本授权书于______年____月____日起生效，特此声明。</w:t>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被授权人身份证号码：</w:t>
      </w:r>
      <w:r>
        <w:rPr>
          <w:rFonts w:hint="eastAsia" w:ascii="宋体" w:hAnsi="宋体" w:eastAsia="宋体" w:cs="宋体"/>
          <w:bCs/>
          <w:color w:val="auto"/>
          <w:highlight w:val="none"/>
          <w:u w:val="single"/>
        </w:rPr>
        <w:t xml:space="preserve">               </w:t>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被授权人联系电话：（手机）</w:t>
      </w:r>
      <w:r>
        <w:rPr>
          <w:rFonts w:hint="eastAsia" w:ascii="宋体" w:hAnsi="宋体" w:eastAsia="宋体" w:cs="宋体"/>
          <w:bCs/>
          <w:color w:val="auto"/>
          <w:highlight w:val="none"/>
          <w:u w:val="single"/>
        </w:rPr>
        <w:t xml:space="preserve">            </w:t>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单位地址：</w:t>
      </w:r>
      <w:r>
        <w:rPr>
          <w:rFonts w:hint="eastAsia" w:ascii="宋体" w:hAnsi="宋体" w:eastAsia="宋体" w:cs="宋体"/>
          <w:bCs/>
          <w:color w:val="auto"/>
          <w:highlight w:val="none"/>
          <w:u w:val="single"/>
        </w:rPr>
        <w:t xml:space="preserve">                    </w:t>
      </w:r>
      <w:r/>
    </w:p>
    <w:p>
      <w:pPr>
        <w:pStyle w:val="831"/>
        <w:ind w:firstLine="480"/>
        <w:jc w:val="both"/>
        <w:spacing w:beforeAutospacing="0" w:afterAutospacing="0" w:line="600" w:lineRule="auto"/>
        <w:tabs>
          <w:tab w:val="left" w:pos="360"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日　　期：</w:t>
      </w:r>
      <w:bookmarkStart w:id="210" w:name="_Hlt26671380"/>
      <w:r/>
      <w:bookmarkStart w:id="211" w:name="_Hlt26955070"/>
      <w:r/>
      <w:bookmarkStart w:id="212" w:name="_格式3__银行出具的资信证明"/>
      <w:r>
        <w:rPr>
          <w:rFonts w:hint="eastAsia" w:ascii="宋体" w:hAnsi="宋体" w:eastAsia="宋体" w:cs="宋体"/>
          <w:bCs/>
          <w:color w:val="auto"/>
          <w:highlight w:val="none"/>
          <w:u w:val="single"/>
        </w:rPr>
        <w:t xml:space="preserve">                    </w:t>
      </w:r>
      <w:r/>
    </w:p>
    <w:p>
      <w:pPr>
        <w:pStyle w:val="831"/>
        <w:ind w:firstLine="480"/>
        <w:jc w:val="both"/>
        <w:spacing w:beforeAutospacing="0" w:afterAutospacing="0"/>
        <w:tabs>
          <w:tab w:val="left" w:pos="360" w:leader="none"/>
        </w:tabs>
        <w:rPr>
          <w:rFonts w:asciiTheme="minorEastAsia" w:hAnsiTheme="minorEastAsia" w:cstheme="minorEastAsia"/>
          <w:color w:val="auto"/>
          <w:highlight w:val="none"/>
        </w:rPr>
      </w:pPr>
      <w:r>
        <w:rPr>
          <w:rFonts w:asciiTheme="minorEastAsia" w:hAnsiTheme="minorEastAsia" w:cstheme="minorEastAsia"/>
          <w:color w:val="auto"/>
          <w:highlight w:val="none"/>
        </w:rPr>
      </w:r>
      <w:r/>
    </w:p>
    <w:p>
      <w:pPr>
        <w:ind w:firstLine="420"/>
        <w:rPr>
          <w:color w:val="auto"/>
          <w:highlight w:val="none"/>
        </w:rPr>
        <w:pBdr>
          <w:top w:val="single" w:color="auto" w:sz="4" w:space="1"/>
          <w:left w:val="single" w:color="auto" w:sz="4" w:space="4"/>
          <w:bottom w:val="single" w:color="auto" w:sz="4" w:space="1"/>
          <w:right w:val="single" w:color="auto" w:sz="4" w:space="4"/>
        </w:pBdr>
      </w:pPr>
      <w:r>
        <w:rPr>
          <w:color w:val="auto"/>
          <w:highlight w:val="none"/>
        </w:rPr>
      </w:r>
      <w:r/>
    </w:p>
    <w:p>
      <w:pPr>
        <w:ind w:firstLine="420"/>
        <w:rPr>
          <w:color w:val="auto"/>
          <w:highlight w:val="none"/>
        </w:rPr>
        <w:pBdr>
          <w:top w:val="single" w:color="auto" w:sz="4" w:space="1"/>
          <w:left w:val="single" w:color="auto" w:sz="4" w:space="4"/>
          <w:bottom w:val="single" w:color="auto" w:sz="4" w:space="1"/>
          <w:right w:val="single" w:color="auto" w:sz="4" w:space="4"/>
        </w:pBdr>
      </w:pPr>
      <w:r>
        <w:rPr>
          <w:color w:val="auto"/>
          <w:highlight w:val="none"/>
        </w:rPr>
      </w:r>
      <w:r/>
    </w:p>
    <w:p>
      <w:pPr>
        <w:ind w:firstLine="420"/>
        <w:rPr>
          <w:color w:val="auto"/>
          <w:highlight w:val="none"/>
        </w:rPr>
        <w:pBdr>
          <w:top w:val="single" w:color="auto" w:sz="4" w:space="1"/>
          <w:left w:val="single" w:color="auto" w:sz="4" w:space="4"/>
          <w:bottom w:val="single" w:color="auto" w:sz="4" w:space="1"/>
          <w:right w:val="single" w:color="auto" w:sz="4" w:space="4"/>
        </w:pBdr>
      </w:pPr>
      <w:r>
        <w:rPr>
          <w:color w:val="auto"/>
          <w:highlight w:val="none"/>
        </w:rPr>
      </w:r>
      <w:r/>
    </w:p>
    <w:p>
      <w:pPr>
        <w:ind w:firstLine="420"/>
        <w:rPr>
          <w:color w:val="auto"/>
          <w:highlight w:val="none"/>
        </w:rPr>
        <w:pBdr>
          <w:top w:val="single" w:color="auto" w:sz="4" w:space="1"/>
          <w:left w:val="single" w:color="auto" w:sz="4" w:space="4"/>
          <w:bottom w:val="single" w:color="auto" w:sz="4" w:space="1"/>
          <w:right w:val="single" w:color="auto" w:sz="4" w:space="4"/>
        </w:pBdr>
      </w:pPr>
      <w:r>
        <w:rPr>
          <w:color w:val="auto"/>
          <w:highlight w:val="none"/>
        </w:rPr>
      </w:r>
      <w:r/>
    </w:p>
    <w:p>
      <w:pPr>
        <w:ind w:firstLine="1800"/>
        <w:spacing w:line="560" w:lineRule="exact"/>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身份证复印件粘贴处（正反面且须与原件一致）：</w:t>
      </w:r>
      <w:r/>
    </w:p>
    <w:p>
      <w:pPr>
        <w:spacing w:line="560" w:lineRule="exact"/>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ascii="宋体" w:hAnsi="宋体"/>
          <w:color w:val="auto"/>
          <w:sz w:val="24"/>
          <w:highlight w:val="none"/>
        </w:rPr>
      </w:r>
      <w:r/>
    </w:p>
    <w:p>
      <w:pPr>
        <w:ind w:firstLine="645"/>
        <w:spacing w:line="560" w:lineRule="exact"/>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ascii="宋体" w:hAnsi="宋体"/>
          <w:color w:val="auto"/>
          <w:sz w:val="24"/>
          <w:highlight w:val="none"/>
        </w:rPr>
      </w:r>
      <w:r/>
    </w:p>
    <w:p>
      <w:pPr>
        <w:ind w:firstLine="645"/>
        <w:spacing w:line="560" w:lineRule="exact"/>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ascii="宋体" w:hAnsi="宋体"/>
          <w:color w:val="auto"/>
          <w:sz w:val="24"/>
          <w:highlight w:val="none"/>
        </w:rPr>
      </w:r>
      <w:r/>
    </w:p>
    <w:p>
      <w:pPr>
        <w:pStyle w:val="831"/>
        <w:jc w:val="both"/>
        <w:spacing w:beforeAutospacing="0" w:afterAutospacing="0" w:line="0" w:lineRule="atLeast"/>
        <w:rPr>
          <w:rFonts w:asciiTheme="minorEastAsia" w:hAnsiTheme="minorEastAsia" w:cstheme="minorEastAsia"/>
          <w:color w:val="auto"/>
          <w:highlight w:val="none"/>
        </w:rPr>
      </w:pPr>
      <w:r>
        <w:rPr>
          <w:rFonts w:hint="eastAsia"/>
          <w:color w:val="auto"/>
          <w:highlight w:val="none"/>
        </w:rPr>
        <w:br w:type="page" w:clear="all"/>
      </w:r>
      <w:r/>
    </w:p>
    <w:p>
      <w:pPr>
        <w:jc w:val="center"/>
        <w:widowControl/>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八、磋商响应函</w:t>
      </w:r>
      <w:r/>
    </w:p>
    <w:p>
      <w:pPr>
        <w:pStyle w:val="831"/>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致：盐城市交通运输局</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根据贵方的</w:t>
      </w:r>
      <w:r>
        <w:rPr>
          <w:rFonts w:hint="eastAsia" w:ascii="宋体" w:hAnsi="宋体" w:eastAsia="宋体" w:cs="宋体"/>
          <w:bCs/>
          <w:color w:val="auto"/>
          <w:highlight w:val="none"/>
          <w:u w:val="single"/>
        </w:rPr>
        <w:t xml:space="preserve">JSZC-320900-JSGX-C2026-001</w:t>
      </w:r>
      <w:r>
        <w:rPr>
          <w:rFonts w:hint="eastAsia" w:ascii="宋体" w:hAnsi="宋体" w:eastAsia="宋体" w:cs="宋体"/>
          <w:bCs/>
          <w:color w:val="auto"/>
          <w:highlight w:val="none"/>
          <w:u w:val="single"/>
          <w:lang w:val="en-US" w:eastAsia="zh-CN"/>
        </w:rPr>
        <w:t xml:space="preserve">9</w:t>
      </w:r>
      <w:r>
        <w:rPr>
          <w:rFonts w:hint="eastAsia" w:ascii="宋体" w:hAnsi="宋体" w:eastAsia="宋体" w:cs="宋体"/>
          <w:bCs/>
          <w:color w:val="auto"/>
          <w:highlight w:val="none"/>
        </w:rPr>
        <w:t xml:space="preserve">号磋商文件，正式授权下述签字人______(姓名)代表我方______________（供应商的名称），全权处理本次项目磋商的有关事宜。</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据此函，__________签字人兹宣布同意如下：</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1.按磋商文件规定的各项要求，向买方提供所需货物、服务（包含与货物相关的服务及与服务相关的货物）。</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2.我们完全理解贵方不一定将合同授予最低报价的供应商。</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3.我们已详细审核全部磋商文件及其有效补充文件，我们知道必须放弃提出含糊不清或误解问题的权利。</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4.我们同意从规定的开标日期起遵循本响应文件，并在规定的磋商有效期期满之前均具有约束力。</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5.同意向贵方提供贵方可能另外要求的与磋商有关的任何证据或资料，并保证我方已提供和将要提供的文件是真实的、准确的。</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6.一旦我方成交，我方将根据磋商文件的规定，严格履行合同的责任和义务，并保证在磋商文件规定的时间完成项目，交付买方验收、使用。</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7.我方与本磋商有关的正式通讯地址为：</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地　　址：</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邮　　编：</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电　　话：</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传　　真：</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供应商开户行：</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账　　号：</w:t>
      </w:r>
      <w:r/>
    </w:p>
    <w:p>
      <w:pPr>
        <w:pStyle w:val="831"/>
        <w:ind w:firstLine="480"/>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日　　期：________年____月____日</w:t>
      </w:r>
      <w:r/>
    </w:p>
    <w:p>
      <w:pPr>
        <w:pStyle w:val="831"/>
        <w:ind w:firstLine="480"/>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jc w:val="left"/>
        <w:widowControl/>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br w:type="page" w:clear="all"/>
      </w:r>
      <w:r/>
    </w:p>
    <w:p>
      <w:pPr>
        <w:pStyle w:val="831"/>
        <w:jc w:val="center"/>
        <w:spacing w:beforeAutospacing="0" w:afterAutospacing="0" w:line="508" w:lineRule="exact"/>
        <w:rPr>
          <w:rFonts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 xml:space="preserve">九、中小企业声明函（服务）</w:t>
      </w:r>
      <w:r/>
    </w:p>
    <w:p>
      <w:pPr>
        <w:ind w:firstLine="480"/>
        <w:spacing w:line="508" w:lineRule="exact"/>
        <w:rPr>
          <w:rFonts w:ascii="方正小标宋_GBK" w:hAnsi="方正小标宋_GBK" w:eastAsia="方正小标宋_GBK" w:cs="方正小标宋_GBK"/>
          <w:color w:val="auto"/>
          <w:sz w:val="32"/>
          <w:szCs w:val="32"/>
          <w:highlight w:val="none"/>
        </w:rPr>
      </w:pPr>
      <w:r>
        <w:rPr>
          <w:rFonts w:ascii="方正小标宋_GBK" w:hAnsi="方正小标宋_GBK" w:eastAsia="方正小标宋_GBK" w:cs="方正小标宋_GBK"/>
          <w:color w:val="auto"/>
          <w:sz w:val="32"/>
          <w:szCs w:val="32"/>
          <w:highlight w:val="none"/>
        </w:rPr>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本公司（联合体）郑重声明，根据《政府采购促进中小企业发展管理办法》（财库﹝2020﹞46号）的规定，本公司（联合体）</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参加招标人组织的</w:t>
      </w:r>
      <w:r>
        <w:rPr>
          <w:rFonts w:hint="eastAsia" w:ascii="宋体" w:hAnsi="宋体" w:eastAsia="宋体" w:cs="宋体"/>
          <w:bCs/>
          <w:color w:val="auto"/>
          <w:sz w:val="24"/>
          <w:highlight w:val="none"/>
          <w:u w:val="single"/>
        </w:rPr>
        <w:t xml:space="preserve">盐城市交通运输局</w:t>
      </w:r>
      <w:r>
        <w:rPr>
          <w:rFonts w:hint="eastAsia" w:ascii="宋体" w:hAnsi="宋体" w:eastAsia="宋体" w:cs="宋体"/>
          <w:bCs/>
          <w:color w:val="auto"/>
          <w:sz w:val="24"/>
          <w:highlight w:val="none"/>
        </w:rPr>
        <w:t xml:space="preserve">采购编号为的JSZC-320900-JSGX-C2026-001</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u w:val="single"/>
        </w:rPr>
        <w:t xml:space="preserve">《盐城市低空起降场（点）布局方案和低空航路航线划设方案研究》项目（二次）</w:t>
      </w:r>
      <w:r>
        <w:rPr>
          <w:rFonts w:hint="eastAsia" w:ascii="宋体" w:hAnsi="宋体" w:eastAsia="宋体" w:cs="宋体"/>
          <w:bCs/>
          <w:color w:val="auto"/>
          <w:sz w:val="24"/>
          <w:highlight w:val="none"/>
        </w:rPr>
        <w:t xml:space="preserve">的采购活动，服务全部由符合政策要求的中小企业承接。相关企业（含联合体中的中小企业、签订分包意向协议的中小企业）的具体情况如下：</w:t>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 </w:t>
      </w:r>
      <w:r>
        <w:rPr>
          <w:rFonts w:hint="eastAsia" w:ascii="宋体" w:hAnsi="宋体" w:eastAsia="宋体" w:cs="宋体"/>
          <w:bCs/>
          <w:i/>
          <w:i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i/>
          <w:iCs/>
          <w:color w:val="auto"/>
          <w:sz w:val="24"/>
          <w:highlight w:val="none"/>
          <w:u w:val="single"/>
        </w:rPr>
        <w:t xml:space="preserve">（磋商文件中明确的所属行业）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i/>
          <w:iCs/>
          <w:color w:val="auto"/>
          <w:sz w:val="24"/>
          <w:highlight w:val="none"/>
          <w:u w:val="single"/>
        </w:rPr>
        <w:t xml:space="preserve">（企业名称）</w:t>
      </w:r>
      <w:r>
        <w:rPr>
          <w:rFonts w:hint="eastAsia" w:ascii="宋体" w:hAnsi="宋体" w:eastAsia="宋体" w:cs="宋体"/>
          <w:bCs/>
          <w:color w:val="auto"/>
          <w:sz w:val="24"/>
          <w:highlight w:val="none"/>
        </w:rPr>
        <w:t xml:space="preserve">，从业人员人，营业收入为万元，资产总额为万元，属于（</w:t>
      </w:r>
      <w:r>
        <w:rPr>
          <w:rFonts w:hint="eastAsia" w:ascii="宋体" w:hAnsi="宋体" w:eastAsia="宋体" w:cs="宋体"/>
          <w:bCs/>
          <w:i/>
          <w:i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i/>
          <w:i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i/>
          <w:iCs/>
          <w:color w:val="auto"/>
          <w:sz w:val="24"/>
          <w:highlight w:val="none"/>
          <w:u w:val="single"/>
        </w:rPr>
        <w:t xml:space="preserve">（磋商文件中明确的所属行业）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i/>
          <w:iCs/>
          <w:color w:val="auto"/>
          <w:sz w:val="24"/>
          <w:highlight w:val="none"/>
          <w:u w:val="single"/>
        </w:rPr>
        <w:t xml:space="preserve">（企业名称）</w:t>
      </w:r>
      <w:r>
        <w:rPr>
          <w:rFonts w:hint="eastAsia" w:ascii="宋体" w:hAnsi="宋体" w:eastAsia="宋体" w:cs="宋体"/>
          <w:bCs/>
          <w:color w:val="auto"/>
          <w:sz w:val="24"/>
          <w:highlight w:val="none"/>
        </w:rPr>
        <w:t xml:space="preserve">，从业人员人，营业收入为万元，资产总额为万元，属于</w:t>
      </w:r>
      <w:r>
        <w:rPr>
          <w:rFonts w:hint="eastAsia" w:ascii="宋体" w:hAnsi="宋体" w:eastAsia="宋体" w:cs="宋体"/>
          <w:bCs/>
          <w:i/>
          <w:i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ind w:firstLine="480"/>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w:t>
      </w:r>
      <w:r/>
    </w:p>
    <w:p>
      <w:pPr>
        <w:pStyle w:val="831"/>
        <w:ind w:right="72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ind w:right="2268" w:firstLine="2160"/>
        <w:jc w:val="right"/>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企业名称（加盖CA电子公章）：</w:t>
      </w:r>
      <w:r/>
    </w:p>
    <w:p>
      <w:pPr>
        <w:pStyle w:val="831"/>
        <w:ind w:right="2268" w:firstLine="5278"/>
        <w:jc w:val="right"/>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日　　期：</w:t>
      </w:r>
      <w:r/>
    </w:p>
    <w:p>
      <w:pPr>
        <w:pStyle w:val="831"/>
        <w:ind w:firstLine="24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p>
      <w:pPr>
        <w:pStyle w:val="831"/>
        <w:ind w:firstLine="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备注1：从业人员、营业收入、资产总额填报上一年度数据，无上一年度数据的新成立企业可不填报。</w:t>
      </w:r>
      <w:r/>
    </w:p>
    <w:p>
      <w:pPr>
        <w:pStyle w:val="831"/>
        <w:ind w:firstLine="480"/>
        <w:jc w:val="both"/>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备注2：供应商如不提供此声明函，价格将不做相应扣除（如项目全面面向中小企业，则资格审查不通过）。</w:t>
      </w:r>
      <w:r/>
    </w:p>
    <w:p>
      <w:pPr>
        <w:pStyle w:val="831"/>
        <w:jc w:val="center"/>
        <w:spacing w:beforeAutospacing="0" w:afterAutospacing="0" w:line="508" w:lineRule="exact"/>
        <w:rPr>
          <w:rFonts w:ascii="宋体" w:hAnsi="宋体" w:eastAsia="宋体" w:cs="宋体"/>
          <w:bCs/>
          <w:color w:val="auto"/>
          <w:highlight w:val="none"/>
        </w:rPr>
      </w:pPr>
      <w:r>
        <w:rPr>
          <w:rFonts w:hint="eastAsia" w:ascii="宋体" w:hAnsi="宋体" w:eastAsia="宋体" w:cs="宋体"/>
          <w:bCs/>
          <w:color w:val="auto"/>
          <w:sz w:val="32"/>
          <w:szCs w:val="32"/>
          <w:highlight w:val="none"/>
        </w:rPr>
        <w:br w:type="page" w:clear="all"/>
      </w:r>
      <w:r>
        <w:rPr>
          <w:rFonts w:hint="eastAsia" w:ascii="宋体" w:hAnsi="宋体" w:eastAsia="宋体" w:cs="宋体"/>
          <w:bCs/>
          <w:color w:val="auto"/>
          <w:sz w:val="32"/>
          <w:szCs w:val="32"/>
          <w:highlight w:val="none"/>
        </w:rPr>
        <w:t xml:space="preserve">十、残疾人福利性单位声明函</w:t>
      </w:r>
      <w:r/>
    </w:p>
    <w:p>
      <w:pPr>
        <w:pStyle w:val="831"/>
        <w:ind w:firstLine="480"/>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ind w:firstLine="480"/>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highlight w:val="none"/>
          <w:u w:val="single"/>
        </w:rPr>
        <w:t xml:space="preserve">盐城市交通运输局</w:t>
      </w:r>
      <w:r>
        <w:rPr>
          <w:rFonts w:hint="eastAsia" w:ascii="宋体" w:hAnsi="宋体" w:eastAsia="宋体" w:cs="宋体"/>
          <w:bCs/>
          <w:color w:val="auto"/>
          <w:sz w:val="24"/>
          <w:highlight w:val="none"/>
        </w:rPr>
        <w:t xml:space="preserve">单位的磋商文件编号为</w:t>
      </w:r>
      <w:r>
        <w:rPr>
          <w:rFonts w:hint="eastAsia" w:ascii="宋体" w:hAnsi="宋体" w:eastAsia="宋体" w:cs="宋体"/>
          <w:bCs/>
          <w:color w:val="auto"/>
          <w:sz w:val="24"/>
          <w:highlight w:val="none"/>
          <w:u w:val="single"/>
        </w:rPr>
        <w:t xml:space="preserve">JSZC-320900-JSGX-C2026-001</w:t>
      </w:r>
      <w:r>
        <w:rPr>
          <w:rFonts w:hint="eastAsia" w:ascii="宋体" w:hAnsi="宋体" w:eastAsia="宋体" w:cs="宋体"/>
          <w:bCs/>
          <w:color w:val="auto"/>
          <w:sz w:val="24"/>
          <w:highlight w:val="none"/>
          <w:u w:val="single"/>
          <w:lang w:val="en-US" w:eastAsia="zh-CN"/>
        </w:rPr>
        <w:t xml:space="preserve">9</w:t>
      </w:r>
      <w:r>
        <w:rPr>
          <w:rFonts w:hint="eastAsia" w:ascii="宋体" w:hAnsi="宋体" w:eastAsia="宋体" w:cs="宋体"/>
          <w:bCs/>
          <w:color w:val="auto"/>
          <w:sz w:val="24"/>
          <w:highlight w:val="none"/>
          <w:u w:val="single"/>
        </w:rPr>
        <w:t xml:space="preserve">    《盐城市低空起降场（点）布局方案和低空航路航线划设方案研究》项目（二次）</w:t>
      </w:r>
      <w:r>
        <w:rPr>
          <w:rFonts w:hint="eastAsia" w:ascii="宋体" w:hAnsi="宋体" w:eastAsia="宋体" w:cs="宋体"/>
          <w:bCs/>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本单位对上述声明的真实性负责。如有虚假，将依法承担相应责任。</w:t>
      </w:r>
      <w:r/>
    </w:p>
    <w:p>
      <w:pPr>
        <w:ind w:firstLine="480"/>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ind w:firstLine="624"/>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 </w:t>
      </w:r>
      <w:r/>
    </w:p>
    <w:p>
      <w:pPr>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highlight w:val="none"/>
        </w:rPr>
        <w:t xml:space="preserve">             </w:t>
      </w:r>
      <w:r>
        <w:rPr>
          <w:rFonts w:hint="eastAsia" w:ascii="宋体" w:hAnsi="宋体" w:eastAsia="宋体" w:cs="宋体"/>
          <w:bCs/>
          <w:color w:val="auto"/>
          <w:sz w:val="24"/>
          <w:highlight w:val="none"/>
        </w:rPr>
        <w:t xml:space="preserve">        </w:t>
      </w:r>
      <w:r/>
    </w:p>
    <w:p>
      <w:pPr>
        <w:ind w:right="2268" w:firstLine="2880"/>
        <w:jc w:val="right"/>
        <w:spacing w:before="240" w:after="240" w:line="507" w:lineRule="atLeas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供应商全称（加盖CA电子公章）：</w:t>
      </w:r>
      <w:r/>
    </w:p>
    <w:p>
      <w:pPr>
        <w:pStyle w:val="831"/>
        <w:ind w:right="2126"/>
        <w:jc w:val="right"/>
        <w:spacing w:beforeAutospacing="0" w:afterAutospacing="0" w:line="508" w:lineRule="exact"/>
        <w:tabs>
          <w:tab w:val="left" w:pos="3374" w:leader="none"/>
          <w:tab w:val="left" w:pos="4864" w:leader="none"/>
          <w:tab w:val="left" w:pos="6521" w:leader="none"/>
        </w:tabs>
        <w:rPr>
          <w:rFonts w:ascii="宋体" w:hAnsi="宋体" w:eastAsia="宋体" w:cs="宋体"/>
          <w:bCs/>
          <w:color w:val="auto"/>
          <w:highlight w:val="none"/>
        </w:rPr>
      </w:pPr>
      <w:r>
        <w:rPr>
          <w:rFonts w:hint="eastAsia" w:ascii="宋体" w:hAnsi="宋体" w:eastAsia="宋体" w:cs="宋体"/>
          <w:bCs/>
          <w:color w:val="auto"/>
          <w:highlight w:val="none"/>
        </w:rPr>
        <w:t xml:space="preserve">日期：</w:t>
      </w:r>
      <w:r/>
    </w:p>
    <w:p>
      <w:pPr>
        <w:pStyle w:val="831"/>
        <w:jc w:val="center"/>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spacing w:line="508" w:lineRule="exact"/>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clear="all"/>
      </w:r>
      <w:r/>
    </w:p>
    <w:p>
      <w:pPr>
        <w:spacing w:line="560" w:lineRule="exact"/>
        <w:rPr>
          <w:rFonts w:ascii="宋体" w:hAnsi="宋体" w:eastAsia="宋体" w:cs="宋体"/>
          <w:b/>
          <w:color w:val="auto"/>
          <w:sz w:val="36"/>
          <w:szCs w:val="36"/>
          <w:highlight w:val="none"/>
        </w:rPr>
        <w:sectPr>
          <w:footerReference w:type="default" r:id="rId11"/>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eastAsia="宋体" w:cs="宋体"/>
          <w:b/>
          <w:color w:val="auto"/>
          <w:sz w:val="36"/>
          <w:szCs w:val="36"/>
          <w:highlight w:val="none"/>
        </w:rPr>
      </w:r>
      <w:r/>
    </w:p>
    <w:p>
      <w:pPr>
        <w:jc w:val="center"/>
        <w:spacing w:line="560" w:lineRule="exact"/>
        <w:rPr>
          <w:rFonts w:ascii="宋体" w:hAnsi="宋体" w:eastAsia="宋体" w:cs="宋体"/>
          <w:b/>
          <w:bCs/>
          <w:color w:val="auto"/>
          <w:sz w:val="32"/>
          <w:szCs w:val="32"/>
          <w:highlight w:val="none"/>
        </w:rPr>
      </w:pPr>
      <w:r>
        <w:rPr>
          <w:rFonts w:hint="eastAsia" w:ascii="宋体" w:hAnsi="宋体" w:eastAsia="宋体" w:cs="宋体"/>
          <w:b/>
          <w:color w:val="auto"/>
          <w:sz w:val="36"/>
          <w:szCs w:val="36"/>
          <w:highlight w:val="none"/>
        </w:rPr>
        <w:t xml:space="preserve">十一、</w:t>
      </w:r>
      <w:r>
        <w:rPr>
          <w:rFonts w:hint="eastAsia" w:ascii="宋体" w:hAnsi="宋体" w:eastAsia="宋体" w:cs="宋体"/>
          <w:b/>
          <w:bCs/>
          <w:color w:val="auto"/>
          <w:sz w:val="32"/>
          <w:szCs w:val="32"/>
          <w:highlight w:val="none"/>
        </w:rPr>
        <w:t xml:space="preserve">联合体协议（参考格式）</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（联合体中各投标人全称）在此达成以下协议：</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（投标人1），（投标人2） ，……</w:t>
      </w:r>
      <w:r>
        <w:rPr>
          <w:rFonts w:hint="eastAsia" w:ascii="宋体" w:hAnsi="宋体" w:eastAsia="宋体" w:cs="宋体"/>
          <w:color w:val="auto"/>
          <w:sz w:val="24"/>
          <w:highlight w:val="none"/>
        </w:rPr>
        <w:t xml:space="preserve">自愿组成联合体，参加采购编号为</w:t>
      </w:r>
      <w:r>
        <w:rPr>
          <w:rFonts w:hint="eastAsia" w:ascii="宋体" w:hAnsi="宋体" w:eastAsia="宋体" w:cs="宋体"/>
          <w:color w:val="auto"/>
          <w:sz w:val="24"/>
          <w:highlight w:val="none"/>
          <w:u w:val="single"/>
        </w:rPr>
        <w:t xml:space="preserve">（编号全称），（项目全称）</w:t>
      </w:r>
      <w:r>
        <w:rPr>
          <w:rFonts w:hint="eastAsia" w:ascii="宋体" w:hAnsi="宋体" w:eastAsia="宋体" w:cs="宋体"/>
          <w:color w:val="auto"/>
          <w:sz w:val="24"/>
          <w:highlight w:val="none"/>
        </w:rPr>
        <w:t xml:space="preserve">项目的政府采购活动，我联合体指定</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highlight w:val="none"/>
        </w:rPr>
        <w:t xml:space="preserve">为牵头单位（牵头单位必须为联合体成员）。</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（小型、微型企业/残疾人福利性单位/监狱企业全称）为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备注：本招标文件中要求加盖CA电子公章的地方，仅需加盖牵头单位的CA电子公章。</w:t>
      </w:r>
      <w:r/>
    </w:p>
    <w:p>
      <w:pPr>
        <w:ind w:firstLine="645"/>
        <w:spacing w:before="100" w:after="100"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before="100" w:after="100"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联合体中各投标人全称（公章）：     </w:t>
      </w:r>
      <w:r/>
    </w:p>
    <w:p>
      <w:pPr>
        <w:ind w:firstLine="645"/>
        <w:spacing w:before="100" w:after="100"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left"/>
        <w:widowControl/>
        <w:rPr>
          <w:rFonts w:ascii="宋体" w:hAnsi="宋体" w:eastAsia="宋体" w:cs="宋体"/>
          <w:b/>
          <w:color w:val="auto"/>
          <w:sz w:val="36"/>
          <w:szCs w:val="36"/>
          <w:highlight w:val="none"/>
        </w:rPr>
        <w:sectPr>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eastAsia="宋体" w:cs="宋体"/>
          <w:b/>
          <w:color w:val="auto"/>
          <w:sz w:val="36"/>
          <w:szCs w:val="36"/>
          <w:highlight w:val="none"/>
        </w:rPr>
      </w:r>
      <w:r/>
    </w:p>
    <w:p>
      <w:pPr>
        <w:ind w:firstLine="643"/>
        <w:jc w:val="center"/>
        <w:spacing w:line="500" w:lineRule="exact"/>
        <w:rPr>
          <w:rFonts w:ascii="宋体" w:hAnsi="宋体" w:eastAsia="宋体" w:cs="宋体"/>
          <w:color w:val="auto"/>
          <w:sz w:val="24"/>
          <w:highlight w:val="none"/>
        </w:rPr>
      </w:pPr>
      <w:r>
        <w:rPr>
          <w:rFonts w:hint="eastAsia" w:ascii="宋体" w:hAnsi="宋体" w:eastAsia="宋体" w:cs="宋体"/>
          <w:b/>
          <w:color w:val="auto"/>
          <w:sz w:val="36"/>
          <w:szCs w:val="36"/>
          <w:highlight w:val="none"/>
        </w:rPr>
        <w:t xml:space="preserve">十二、投标分项报价表（格式）</w:t>
      </w:r>
      <w:r/>
    </w:p>
    <w:p>
      <w:pPr>
        <w:ind w:firstLine="12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71450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ascii="宋体" w:hAnsi="宋体" w:eastAsia="宋体" w:cs="宋体"/>
          <w:color w:val="auto"/>
          <w:sz w:val="24"/>
          <w:highlight w:val="none"/>
        </w:rPr>
        <w:t xml:space="preserve">投标人全称：                     （加盖公章）</w:t>
      </w:r>
      <w:r/>
    </w:p>
    <w:tbl>
      <w:tblPr>
        <w:tblStyle w:val="809"/>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w:t>
            </w:r>
            <w:r/>
          </w:p>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w:t>
            </w:r>
            <w:r/>
          </w:p>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jc w:val="cente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ind w:right="180" w:firstLine="360"/>
        <w:jc w:val="right"/>
        <w:spacing w:before="100" w:after="100" w:line="0"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right="180" w:firstLine="360"/>
        <w:jc w:val="right"/>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right="480" w:firstLine="6000"/>
        <w:spacing w:before="100" w:after="100" w:line="0"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spacing w:line="500" w:lineRule="exact"/>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spacing w:line="500" w:lineRule="exact"/>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spacing w:line="500" w:lineRule="exact"/>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spacing w:line="500" w:lineRule="exact"/>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left"/>
        <w:widowControl/>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br w:type="page" w:clear="all"/>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
          <w:color w:val="auto"/>
          <w:sz w:val="36"/>
          <w:szCs w:val="36"/>
          <w:highlight w:val="none"/>
        </w:rPr>
        <w:t xml:space="preserve">十三、技术要求响应及偏离表</w:t>
      </w:r>
      <w:r/>
    </w:p>
    <w:tbl>
      <w:tblPr>
        <w:tblStyle w:val="809"/>
        <w:tblW w:w="94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证明</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bl>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注：行数不够，可自行添加。</w:t>
      </w:r>
      <w:r/>
    </w:p>
    <w:p>
      <w:pPr>
        <w:rPr>
          <w:rFonts w:ascii="宋体" w:hAnsi="宋体" w:eastAsia="宋体" w:cs="宋体"/>
          <w:bCs/>
          <w:color w:val="auto"/>
          <w:sz w:val="32"/>
          <w:szCs w:val="32"/>
          <w:highlight w:val="none"/>
        </w:rPr>
      </w:pPr>
      <w:r/>
      <w:bookmarkStart w:id="213" w:name="_Hlt26955054"/>
      <w:r>
        <w:rPr>
          <w:rFonts w:hint="eastAsia" w:ascii="宋体" w:hAnsi="宋体" w:eastAsia="宋体" w:cs="宋体"/>
          <w:bCs/>
          <w:color w:val="auto"/>
          <w:sz w:val="32"/>
          <w:szCs w:val="32"/>
          <w:highlight w:val="none"/>
        </w:rPr>
        <w:br w:type="page" w:clear="all"/>
      </w:r>
      <w:r/>
    </w:p>
    <w:p>
      <w:pPr>
        <w:jc w:val="center"/>
        <w:spacing w:before="50" w:after="50" w:line="508" w:lineRule="exact"/>
        <w:rPr>
          <w:rFonts w:asciiTheme="minorEastAsia" w:hAnsiTheme="minorEastAsia" w:cstheme="minorEastAsia"/>
          <w:b/>
          <w:color w:val="auto"/>
          <w:sz w:val="32"/>
          <w:szCs w:val="32"/>
          <w:highlight w:val="none"/>
        </w:rPr>
      </w:pPr>
      <w:r>
        <w:rPr>
          <w:rFonts w:hint="eastAsia" w:asciiTheme="minorEastAsia" w:hAnsiTheme="minorEastAsia" w:cstheme="minorEastAsia"/>
          <w:b/>
          <w:color w:val="auto"/>
          <w:sz w:val="32"/>
          <w:szCs w:val="32"/>
          <w:highlight w:val="none"/>
        </w:rPr>
        <w:t xml:space="preserve">十四、商务要求响应及偏离表</w:t>
      </w:r>
      <w:r/>
    </w:p>
    <w:tbl>
      <w:tblPr>
        <w:tblStyle w:val="809"/>
        <w:tblW w:w="949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6"/>
        <w:gridCol w:w="3155"/>
        <w:gridCol w:w="2682"/>
        <w:gridCol w:w="2156"/>
        <w:gridCol w:w="78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bookmarkStart w:id="214" w:name="_Hlt24879081"/>
            <w:r/>
            <w:bookmarkStart w:id="215" w:name="_Hlt26955056"/>
            <w:r/>
            <w:bookmarkStart w:id="216" w:name="_Hlt26671372"/>
            <w:r/>
            <w:bookmarkStart w:id="217" w:name="_Hlt26671343"/>
            <w:r/>
            <w:bookmarkStart w:id="218" w:name="_Hlt26609391"/>
            <w:r/>
            <w:bookmarkStart w:id="219" w:name="_Hlt26955064"/>
            <w:r/>
            <w:bookmarkStart w:id="220" w:name="_Hlt26782999"/>
            <w:r/>
            <w:bookmarkStart w:id="221" w:name="_Hlt26580838"/>
            <w:r>
              <w:rPr>
                <w:rFonts w:hint="eastAsia" w:ascii="宋体" w:hAnsi="宋体" w:eastAsia="宋体" w:cs="宋体"/>
                <w:bCs/>
                <w:color w:val="auto"/>
                <w:highlight w:val="none"/>
              </w:rPr>
              <w:t xml:space="preserve">序号</w:t>
            </w:r>
            <w:bookmarkEnd w:id="214"/>
            <w:r/>
            <w:bookmarkEnd w:id="215"/>
            <w:r/>
            <w:bookmarkEnd w:id="216"/>
            <w:r/>
            <w:bookmarkEnd w:id="217"/>
            <w:r/>
            <w:bookmarkEnd w:id="218"/>
            <w:r/>
            <w:bookmarkEnd w:id="219"/>
            <w:r/>
            <w:bookmarkEnd w:id="220"/>
            <w:r/>
            <w:bookmarkEnd w:id="221"/>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证明</w:t>
            </w:r>
            <w:r/>
          </w:p>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31"/>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bl>
    <w:p>
      <w:pPr>
        <w:pStyle w:val="831"/>
        <w:jc w:val="both"/>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注：行数不够，可自行添加。</w:t>
      </w:r>
      <w:r/>
    </w:p>
    <w:p>
      <w:pPr>
        <w:rPr>
          <w:rFonts w:ascii="宋体" w:hAnsi="宋体" w:eastAsia="宋体" w:cs="宋体"/>
          <w:bCs/>
          <w:color w:val="auto"/>
          <w:sz w:val="32"/>
          <w:szCs w:val="32"/>
          <w:highlight w:val="none"/>
        </w:rPr>
      </w:pPr>
      <w:r/>
      <w:bookmarkStart w:id="222" w:name="_Toc462564146"/>
      <w:r/>
      <w:bookmarkStart w:id="223" w:name="_Hlt26609389"/>
      <w:r/>
      <w:bookmarkStart w:id="224" w:name="_Hlt26955066"/>
      <w:r/>
      <w:bookmarkStart w:id="225" w:name="_Hlt26671374"/>
      <w:r/>
      <w:bookmarkStart w:id="226" w:name="_格式2__法定代表人授权书"/>
      <w:r>
        <w:rPr>
          <w:rFonts w:hint="eastAsia" w:ascii="宋体" w:hAnsi="宋体" w:eastAsia="宋体" w:cs="宋体"/>
          <w:bCs/>
          <w:color w:val="auto"/>
          <w:sz w:val="32"/>
          <w:szCs w:val="32"/>
          <w:highlight w:val="none"/>
        </w:rPr>
        <w:br w:type="page" w:clear="all"/>
      </w:r>
      <w:r/>
    </w:p>
    <w:p>
      <w:pPr>
        <w:jc w:val="center"/>
        <w:spacing w:before="50" w:after="50" w:line="508" w:lineRule="exact"/>
        <w:rPr>
          <w:rFonts w:asciiTheme="minorEastAsia" w:hAnsiTheme="minorEastAsia" w:cstheme="minorEastAsia"/>
          <w:b/>
          <w:color w:val="auto"/>
          <w:sz w:val="32"/>
          <w:szCs w:val="32"/>
          <w:highlight w:val="none"/>
        </w:rPr>
      </w:pPr>
      <w:r>
        <w:rPr>
          <w:rFonts w:hint="eastAsia" w:asciiTheme="minorEastAsia" w:hAnsiTheme="minorEastAsia" w:cstheme="minorEastAsia"/>
          <w:b/>
          <w:color w:val="auto"/>
          <w:sz w:val="32"/>
          <w:szCs w:val="32"/>
          <w:highlight w:val="none"/>
        </w:rPr>
        <w:t xml:space="preserve">十五、磋商报价表</w:t>
      </w:r>
      <w:r/>
    </w:p>
    <w:p>
      <w:pPr>
        <w:pStyle w:val="831"/>
        <w:jc w:val="both"/>
        <w:spacing w:before="240" w:beforeAutospacing="0" w:after="240" w:afterAutospacing="0"/>
        <w:rPr>
          <w:color w:val="auto"/>
          <w:highlight w:val="none"/>
        </w:rPr>
      </w:pPr>
      <w:r>
        <w:rPr>
          <w:rFonts w:hint="eastAsia" w:ascii="Arial" w:hAnsi="Arial" w:cs="Arial"/>
          <w:color w:val="auto"/>
          <w:highlight w:val="none"/>
        </w:rPr>
        <w:t xml:space="preserve">货币单位：人民币元</w:t>
      </w:r>
      <w:r>
        <w:rPr>
          <w:rFonts w:ascii="Arial" w:hAnsi="Arial" w:cs="Arial"/>
          <w:color w:val="auto"/>
          <w:highlight w:val="none"/>
        </w:rPr>
        <w:t xml:space="preserve">                                  </w:t>
      </w:r>
      <w:r>
        <w:rPr>
          <w:rFonts w:hint="eastAsia" w:ascii="Arial" w:hAnsi="Arial" w:cs="Arial"/>
          <w:color w:val="auto"/>
          <w:highlight w:val="none"/>
        </w:rPr>
        <w:t xml:space="preserve">           </w:t>
      </w:r>
      <w:r/>
    </w:p>
    <w:p>
      <w:pPr>
        <w:pStyle w:val="831"/>
        <w:jc w:val="both"/>
        <w:spacing w:before="240" w:beforeAutospacing="0" w:after="240" w:afterAutospacing="0"/>
        <w:rPr>
          <w:rFonts w:hint="eastAsia" w:eastAsiaTheme="minorEastAsia"/>
          <w:color w:val="auto"/>
          <w:highlight w:val="none"/>
          <w:lang w:eastAsia="zh-CN"/>
        </w:rPr>
      </w:pPr>
      <w:r>
        <w:rPr>
          <w:rFonts w:ascii="Arial" w:hAnsi="Arial" w:cs="Arial"/>
          <w:color w:val="auto"/>
          <w:highlight w:val="none"/>
        </w:rPr>
        <w:t xml:space="preserve">项目编号：</w:t>
      </w:r>
      <w:r>
        <w:rPr>
          <w:rFonts w:hint="eastAsia" w:ascii="Arial" w:hAnsi="Arial" w:cs="Arial"/>
          <w:color w:val="auto"/>
          <w:highlight w:val="none"/>
        </w:rPr>
        <w:t xml:space="preserve">JSZC-320900-JSGX-C2026-001</w:t>
      </w:r>
      <w:r>
        <w:rPr>
          <w:rFonts w:hint="eastAsia" w:ascii="Arial" w:hAnsi="Arial" w:cs="Arial"/>
          <w:color w:val="auto"/>
          <w:highlight w:val="none"/>
          <w:lang w:val="en-US" w:eastAsia="zh-CN"/>
        </w:rPr>
        <w:t xml:space="preserve">9</w:t>
      </w:r>
      <w:r/>
    </w:p>
    <w:tbl>
      <w:tblPr>
        <w:tblStyle w:val="809"/>
        <w:tblW w:w="8727" w:type="dxa"/>
        <w:tblCellSpacing w:w="0" w:type="dxa"/>
        <w:tblInd w:w="30" w:type="dxa"/>
        <w:tblLayout w:type="fixed"/>
        <w:tblCellMar>
          <w:left w:w="108" w:type="dxa"/>
          <w:top w:w="0" w:type="dxa"/>
          <w:right w:w="108" w:type="dxa"/>
          <w:bottom w:w="0" w:type="dxa"/>
        </w:tblCellMar>
        <w:tblLook w:val="04A0" w:firstRow="1" w:lastRow="0" w:firstColumn="1" w:lastColumn="0" w:noHBand="0" w:noVBand="1"/>
      </w:tblPr>
      <w:tblGrid>
        <w:gridCol w:w="2844"/>
        <w:gridCol w:w="3116"/>
        <w:gridCol w:w="2767"/>
      </w:tblGrid>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总价（小写）</w:t>
            </w:r>
            <w:r/>
          </w:p>
        </w:tc>
      </w:tr>
      <w:tr>
        <w:trPr>
          <w:tblCellSpacing w:w="0" w:type="dxa"/>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hint="eastAsia" w:ascii="宋体" w:hAnsi="宋体" w:eastAsia="宋体" w:cs="宋体"/>
                <w:bCs/>
                <w:color w:val="auto"/>
                <w:highlight w:val="none"/>
              </w:rPr>
              <w:t xml:space="preserve">《盐城市低空起降场（点）布局方案和低空航路航线划设方案研究》项目（二次）</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116"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67"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元</w:t>
            </w:r>
            <w:r/>
          </w:p>
        </w:tc>
      </w:tr>
      <w:tr>
        <w:trPr>
          <w:tblCellSpacing w:w="0" w:type="dxa"/>
          <w:trHeight w:val="101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44"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883" w:type="dxa"/>
            <w:vAlign w:val="center"/>
            <w:textDirection w:val="lrTb"/>
            <w:noWrap w:val="false"/>
          </w:tcPr>
          <w:p>
            <w:pPr>
              <w:pStyle w:val="831"/>
              <w:jc w:val="center"/>
              <w:spacing w:before="240" w:beforeAutospacing="0" w:after="240" w:afterAutospacing="0"/>
              <w:rPr>
                <w:rFonts w:ascii="Calibri" w:hAnsi="Calibri" w:eastAsia="Arial"/>
                <w:color w:val="auto"/>
                <w:highlight w:val="none"/>
              </w:rPr>
            </w:pPr>
            <w:r>
              <w:rPr>
                <w:rFonts w:ascii="Arial" w:hAnsi="Arial" w:eastAsia="Arial" w:cs="Arial"/>
                <w:color w:val="auto"/>
                <w:highlight w:val="none"/>
              </w:rPr>
              <w:t xml:space="preserve">金额大写</w:t>
            </w:r>
            <w:r/>
          </w:p>
        </w:tc>
      </w:tr>
    </w:tbl>
    <w:p>
      <w:pPr>
        <w:jc w:val="lef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供应商（电子签章）：</w:t>
      </w:r>
      <w:r/>
    </w:p>
    <w:p>
      <w:pPr>
        <w:jc w:val="right"/>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t xml:space="preserve">日期：</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6" o:title="" type="frame"/>
              </v:shape>
            </w:pict>
          </mc:Fallback>
        </mc:AlternateContent>
      </w:r>
      <w:r>
        <w:rPr>
          <w:rFonts w:ascii="宋体" w:hAnsi="宋体" w:eastAsia="宋体" w:cs="宋体"/>
          <w:color w:val="auto"/>
          <w:sz w:val="24"/>
          <w:highlight w:val="none"/>
        </w:rPr>
        <w:t xml:space="preserve"> 年</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5" o:spid="_x0000_s5" o:spt="1" type="#_x0000_t1" style="width:57.0pt;height:18.0pt;mso-wrap-distance-left:0.0pt;mso-wrap-distance-top:0.0pt;mso-wrap-distance-right:0.0pt;mso-wrap-distance-bottom:0.0pt;visibility:visible;" stroked="f">
                <v:fill r:id="rId16" o:title="" type="frame"/>
              </v:shape>
            </w:pict>
          </mc:Fallback>
        </mc:AlternateContent>
      </w:r>
      <w:r>
        <w:rPr>
          <w:rFonts w:ascii="宋体" w:hAnsi="宋体" w:eastAsia="宋体" w:cs="宋体"/>
          <w:color w:val="auto"/>
          <w:sz w:val="24"/>
          <w:highlight w:val="none"/>
        </w:rPr>
        <w:t xml:space="preserve"> 月</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6" o:spid="_x0000_s6" o:spt="1" type="#_x0000_t1" style="width:57.0pt;height:18.0pt;mso-wrap-distance-left:0.0pt;mso-wrap-distance-top:0.0pt;mso-wrap-distance-right:0.0pt;mso-wrap-distance-bottom:0.0pt;visibility:visible;" stroked="f">
                <v:fill r:id="rId16" o:title="" type="frame"/>
              </v:shape>
            </w:pict>
          </mc:Fallback>
        </mc:AlternateContent>
      </w:r>
      <w:r>
        <w:rPr>
          <w:rFonts w:ascii="宋体" w:hAnsi="宋体" w:eastAsia="宋体" w:cs="宋体"/>
          <w:color w:val="auto"/>
          <w:sz w:val="24"/>
          <w:highlight w:val="none"/>
        </w:rPr>
        <w:t xml:space="preserve"> 日</w:t>
      </w:r>
      <w:r/>
    </w:p>
    <w:p>
      <w:pPr>
        <w:jc w:val="center"/>
        <w:spacing w:before="50" w:after="50"/>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center"/>
        <w:spacing w:before="50" w:after="50"/>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clear="all"/>
      </w:r>
      <w:r/>
    </w:p>
    <w:p>
      <w:pPr>
        <w:jc w:val="center"/>
        <w:spacing w:before="50" w:after="50" w:line="508" w:lineRule="exact"/>
        <w:rPr>
          <w:rFonts w:asciiTheme="minorEastAsia" w:hAnsiTheme="minorEastAsia" w:cstheme="minorEastAsia"/>
          <w:b/>
          <w:color w:val="auto"/>
          <w:sz w:val="32"/>
          <w:szCs w:val="32"/>
          <w:highlight w:val="none"/>
        </w:rPr>
      </w:pPr>
      <w:r>
        <w:rPr>
          <w:rFonts w:hint="eastAsia" w:asciiTheme="minorEastAsia" w:hAnsiTheme="minorEastAsia" w:cstheme="minorEastAsia"/>
          <w:b/>
          <w:color w:val="auto"/>
          <w:sz w:val="32"/>
          <w:szCs w:val="32"/>
          <w:highlight w:val="none"/>
        </w:rPr>
        <w:t xml:space="preserve">十六、技术方案、服务承诺、培训承诺等</w:t>
      </w:r>
      <w:r/>
    </w:p>
    <w:p>
      <w:pPr>
        <w:jc w:val="center"/>
        <w:spacing w:before="50" w:after="50" w:line="508" w:lineRule="exact"/>
        <w:rPr>
          <w:rFonts w:asciiTheme="minorEastAsia" w:hAnsiTheme="minorEastAsia" w:cstheme="minorEastAsia"/>
          <w:b/>
          <w:color w:val="auto"/>
          <w:sz w:val="32"/>
          <w:szCs w:val="32"/>
          <w:highlight w:val="none"/>
        </w:rPr>
      </w:pPr>
      <w:r>
        <w:rPr>
          <w:rFonts w:asciiTheme="minorEastAsia" w:hAnsiTheme="minorEastAsia" w:cstheme="minorEastAsia"/>
          <w:b/>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ind w:firstLine="1600"/>
        <w:spacing w:line="499" w:lineRule="atLeas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clear="all"/>
      </w:r>
      <w:r/>
    </w:p>
    <w:p>
      <w:pPr>
        <w:jc w:val="center"/>
        <w:spacing w:before="50" w:after="50" w:line="508" w:lineRule="exact"/>
        <w:rPr>
          <w:rFonts w:asciiTheme="minorEastAsia" w:hAnsiTheme="minorEastAsia" w:cstheme="minorEastAsia"/>
          <w:b/>
          <w:color w:val="auto"/>
          <w:sz w:val="32"/>
          <w:szCs w:val="32"/>
          <w:highlight w:val="none"/>
        </w:rPr>
      </w:pPr>
      <w:r>
        <w:rPr>
          <w:rFonts w:hint="eastAsia" w:asciiTheme="minorEastAsia" w:hAnsiTheme="minorEastAsia" w:cstheme="minorEastAsia"/>
          <w:b/>
          <w:color w:val="auto"/>
          <w:sz w:val="32"/>
          <w:szCs w:val="32"/>
          <w:highlight w:val="none"/>
        </w:rPr>
        <w:t xml:space="preserve">十七、盐城市政府采购事前信用承诺书</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（三）严格依照国家和省、市关于政府采购的法律、法规、规章、规范性文件，参加政府采购投标活动；积极履行社会责任，促进廉政建设；</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（四）严格遵守即时信息公示规定，及时维护和更新“中国政府采购网”、“江苏政府采购网”、“盐城市政府采购网”中与本单位相关的信息；</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（六）自觉接受政府、行业组织、社会公众、新闻舆论的监督；</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（八）本人已认真阅读了上述承诺，并向本单位员工作了宣传教育。</w:t>
      </w:r>
      <w:r/>
    </w:p>
    <w:p>
      <w:pPr>
        <w:ind w:right="2268" w:firstLine="480"/>
        <w:jc w:val="righ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法定代表人签名：</w:t>
      </w:r>
      <w:r/>
    </w:p>
    <w:p>
      <w:pPr>
        <w:ind w:right="2268"/>
        <w:jc w:val="right"/>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单位名称（盖章）：</w:t>
      </w:r>
      <w:r/>
    </w:p>
    <w:p>
      <w:pPr>
        <w:jc w:val="center"/>
        <w:spacing w:line="508"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r/>
    </w:p>
    <w:p>
      <w:pPr>
        <w:jc w:val="center"/>
        <w:spacing w:line="508"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jc w:val="center"/>
        <w:spacing w:after="240"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after="240" w:line="560" w:lineRule="exact"/>
        <w:rPr>
          <w:rFonts w:ascii="宋体" w:hAnsi="宋体" w:eastAsia="宋体" w:cs="宋体"/>
          <w:i/>
          <w:color w:val="auto"/>
          <w:sz w:val="32"/>
          <w:szCs w:val="32"/>
          <w:highlight w:val="none"/>
          <w:u w:val="single"/>
        </w:rPr>
      </w:pPr>
      <w:r>
        <w:rPr>
          <w:rFonts w:hint="eastAsia" w:ascii="宋体" w:hAnsi="宋体" w:eastAsia="宋体" w:cs="宋体"/>
          <w:b/>
          <w:i/>
          <w:color w:val="auto"/>
          <w:sz w:val="32"/>
          <w:szCs w:val="32"/>
          <w:highlight w:val="none"/>
          <w:u w:val="single"/>
        </w:rPr>
        <w:t xml:space="preserve">十八、人员配备一览表</w:t>
      </w:r>
      <w:r/>
    </w:p>
    <w:tbl>
      <w:tblPr>
        <w:tblStyle w:val="809"/>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注：投标人可以根据需要自行拓展本表。</w:t>
      </w:r>
      <w:r/>
    </w:p>
    <w:p>
      <w:pPr>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投标方：（单位盖章）</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after="240" w:line="56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十九、招标文件中规定要求提供的其他证明材料和投标人认为需要提供的其他材料</w:t>
      </w:r>
      <w:r/>
    </w:p>
    <w:p>
      <w:pPr>
        <w:rPr>
          <w:rFonts w:ascii="宋体" w:hAnsi="宋体" w:eastAsia="宋体" w:cs="宋体"/>
          <w:color w:val="auto"/>
          <w:highlight w:val="none"/>
        </w:rPr>
      </w:pPr>
      <w:r>
        <w:rPr>
          <w:rFonts w:ascii="宋体" w:hAnsi="宋体" w:eastAsia="宋体" w:cs="宋体"/>
          <w:color w:val="auto"/>
          <w:highlight w:val="none"/>
        </w:rPr>
      </w:r>
      <w:r/>
    </w:p>
    <w:p>
      <w:pPr>
        <w:ind w:firstLine="420"/>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spacing w:before="100" w:after="100"/>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31"/>
        <w:jc w:val="center"/>
        <w:spacing w:beforeAutospacing="0" w:afterAutospacing="0" w:line="508" w:lineRule="exact"/>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831"/>
        <w:jc w:val="center"/>
        <w:spacing w:beforeAutospacing="0" w:afterAutospacing="0" w:line="508" w:lineRule="exact"/>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质疑函范本</w:t>
      </w:r>
      <w:r/>
    </w:p>
    <w:p>
      <w:pPr>
        <w:pStyle w:val="831"/>
        <w:jc w:val="both"/>
        <w:spacing w:beforeAutospacing="0" w:afterAutospacing="0" w:line="508" w:lineRule="exact"/>
        <w:rPr>
          <w:rFonts w:ascii="宋体" w:hAnsi="宋体" w:eastAsia="宋体" w:cs="宋体"/>
          <w:bCs/>
          <w:color w:val="auto"/>
          <w:highlight w:val="none"/>
        </w:rPr>
      </w:pPr>
      <w:r>
        <w:rPr>
          <w:rFonts w:ascii="宋体" w:hAnsi="宋体" w:eastAsia="宋体" w:cs="宋体"/>
          <w:bCs/>
          <w:color w:val="auto"/>
          <w:highlight w:val="none"/>
        </w:rPr>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一、质疑供应商基本信息</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质疑供应商：</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ab/>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ab/>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u w:val="single"/>
        </w:rPr>
      </w:pPr>
      <w:r>
        <w:rPr>
          <w:rFonts w:hint="eastAsia" w:ascii="宋体" w:hAnsi="宋体" w:eastAsia="宋体" w:cs="宋体"/>
          <w:bCs/>
          <w:color w:val="auto"/>
          <w:highlight w:val="none"/>
        </w:rPr>
        <w:t xml:space="preserve">地　　址：</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邮　　编：</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u w:val="single"/>
        </w:rPr>
      </w:pPr>
      <w:r>
        <w:rPr>
          <w:rFonts w:hint="eastAsia" w:ascii="宋体" w:hAnsi="宋体" w:eastAsia="宋体" w:cs="宋体"/>
          <w:bCs/>
          <w:color w:val="auto"/>
          <w:highlight w:val="none"/>
        </w:rPr>
        <w:t xml:space="preserve">联系人：</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联系电话：</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授权代表：</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联系电话：</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u w:val="single"/>
        </w:rPr>
      </w:pPr>
      <w:r>
        <w:rPr>
          <w:rFonts w:hint="eastAsia" w:ascii="宋体" w:hAnsi="宋体" w:eastAsia="宋体" w:cs="宋体"/>
          <w:bCs/>
          <w:color w:val="auto"/>
          <w:highlight w:val="none"/>
        </w:rPr>
        <w:t xml:space="preserve">地　　址：</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邮　　编：</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二、质疑项目基本情况</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质疑项目的名称：</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u w:val="single"/>
        </w:rPr>
      </w:pPr>
      <w:r>
        <w:rPr>
          <w:rFonts w:hint="eastAsia" w:ascii="宋体" w:hAnsi="宋体" w:eastAsia="宋体" w:cs="宋体"/>
          <w:bCs/>
          <w:color w:val="auto"/>
          <w:highlight w:val="none"/>
        </w:rPr>
        <w:t xml:space="preserve">质疑项目的编号：</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包　　号：</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采购人名称：</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磋商文件获取日期：</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三、质疑事项具体内容</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质疑事项1：</w:t>
      </w:r>
      <w:r>
        <w:rPr>
          <w:rFonts w:hint="eastAsia" w:ascii="宋体" w:hAnsi="宋体" w:eastAsia="宋体" w:cs="宋体"/>
          <w:bCs/>
          <w:color w:val="auto"/>
          <w:highlight w:val="none"/>
          <w:u w:val="single"/>
        </w:rPr>
        <w:t xml:space="preserve">                                          </w:t>
      </w:r>
      <w:r/>
    </w:p>
    <w:p>
      <w:pPr>
        <w:pStyle w:val="831"/>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事实依据：</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法律依据：</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质疑事项2</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四、与质疑事项相关的质疑请求</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请求：</w:t>
      </w:r>
      <w:r>
        <w:rPr>
          <w:rFonts w:hint="eastAsia" w:ascii="宋体" w:hAnsi="宋体" w:eastAsia="宋体" w:cs="宋体"/>
          <w:bCs/>
          <w:color w:val="auto"/>
          <w:highlight w:val="none"/>
          <w:u w:val="single"/>
        </w:rPr>
        <w:t xml:space="preserve">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签字(签章)：                 公章：               日期：    </w:t>
      </w:r>
      <w:r/>
    </w:p>
    <w:p>
      <w:pPr>
        <w:pStyle w:val="831"/>
        <w:jc w:val="both"/>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质疑函制作说明：</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1.供应商提出质疑时，应提交质疑函和必要的证明材料。</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3.质疑供应商若对项目的某一分包进行质疑，质疑函中应列明具体分包号。</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4.质疑函的质疑事项应具体、明确，并有必要的事实依据和法律依据。</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5.质疑函的质疑请求应与质疑事项相关。</w:t>
      </w:r>
      <w:r/>
    </w:p>
    <w:p>
      <w:pPr>
        <w:pStyle w:val="831"/>
        <w:ind w:firstLine="480"/>
        <w:spacing w:beforeAutospacing="0" w:afterAutospacing="0" w:line="252" w:lineRule="auto"/>
        <w:rPr>
          <w:rFonts w:ascii="宋体" w:hAnsi="宋体" w:eastAsia="宋体" w:cs="宋体"/>
          <w:bCs/>
          <w:color w:val="auto"/>
          <w:highlight w:val="none"/>
        </w:rPr>
      </w:pPr>
      <w:r>
        <w:rPr>
          <w:rFonts w:hint="eastAsia" w:ascii="宋体" w:hAnsi="宋体" w:eastAsia="宋体" w:cs="宋体"/>
          <w:bCs/>
          <w:color w:val="auto"/>
          <w:highlight w:val="none"/>
        </w:rPr>
        <w:t xml:space="preserve">6.质疑供应商为自然人的，质疑函应由本人签字；质疑供应商为法人或者其他组织的，质疑函应由法定代表人、主要负责人，或者其授权代表签字或者盖章，并加盖公章。</w:t>
      </w:r>
      <w:bookmarkEnd w:id="7"/>
      <w:r/>
      <w:bookmarkEnd w:id="60"/>
      <w:r/>
      <w:bookmarkEnd w:id="107"/>
      <w:r/>
      <w:bookmarkEnd w:id="108"/>
      <w:r/>
      <w:bookmarkEnd w:id="109"/>
      <w:r/>
      <w:bookmarkEnd w:id="110"/>
      <w:r/>
      <w:bookmarkEnd w:id="111"/>
      <w:r/>
      <w:bookmarkEnd w:id="112"/>
      <w:r/>
      <w:bookmarkEnd w:id="113"/>
      <w:r/>
      <w:bookmarkEnd w:id="114"/>
      <w:r/>
      <w:bookmarkEnd w:id="123"/>
      <w:r/>
      <w:bookmarkEnd w:id="124"/>
      <w:r/>
      <w:bookmarkEnd w:id="131"/>
      <w:r/>
      <w:bookmarkEnd w:id="204"/>
      <w:r/>
      <w:bookmarkEnd w:id="205"/>
      <w:r/>
      <w:bookmarkEnd w:id="206"/>
      <w:r/>
      <w:bookmarkEnd w:id="209"/>
      <w:r/>
      <w:bookmarkEnd w:id="210"/>
      <w:r/>
      <w:bookmarkEnd w:id="211"/>
      <w:r/>
      <w:bookmarkEnd w:id="212"/>
      <w:r/>
      <w:bookmarkEnd w:id="213"/>
      <w:r/>
      <w:bookmarkEnd w:id="222"/>
      <w:r/>
      <w:bookmarkEnd w:id="223"/>
      <w:r/>
      <w:bookmarkEnd w:id="224"/>
      <w:r/>
      <w:bookmarkEnd w:id="225"/>
      <w:r/>
      <w:bookmarkEnd w:id="226"/>
      <w:r/>
      <w:r/>
    </w:p>
    <w:p>
      <w:pPr>
        <w:rPr>
          <w:rFonts w:ascii="宋体" w:hAnsi="宋体" w:eastAsia="宋体" w:cs="宋体"/>
          <w:bCs/>
          <w:color w:val="auto"/>
          <w:highlight w:val="none"/>
        </w:rPr>
      </w:pPr>
      <w:r>
        <w:rPr>
          <w:rFonts w:ascii="宋体" w:hAnsi="宋体" w:eastAsia="宋体" w:cs="宋体"/>
          <w:bCs/>
          <w:color w:val="auto"/>
          <w:highlight w:val="none"/>
        </w:rPr>
      </w:r>
      <w:r/>
    </w:p>
    <w:sectPr>
      <w:headerReference w:type="default" r:id="rId10"/>
      <w:footerReference w:type="default" r:id="rId12"/>
      <w:footerReference w:type="first" r:id="rId13"/>
      <w:footnotePr/>
      <w:endnotePr/>
      <w:type w:val="nextPage"/>
      <w:pgSz w:w="11906" w:h="16838" w:orient="portrait"/>
      <w:pgMar w:top="1134" w:right="1135" w:bottom="1134" w:left="1134" w:header="794" w:footer="136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等线">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422" w:leader="none"/>
        <w:tab w:val="clear" w:pos="7143" w:leader="none"/>
        <w:tab w:val="clear" w:pos="14287" w:leader="none"/>
      </w:tabs>
      <w:rPr>
        <w:rFonts w:ascii="Times New Roman" w:hAnsi="Times New Roman" w:cs="Times New Roman"/>
        <w:sz w:val="28"/>
        <w:szCs w:val="28"/>
      </w:rPr>
    </w:pPr>
    <w:r>
      <w:rPr>
        <w:rFonts w:ascii="Times New Roman" w:hAnsi="Times New Roman"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9065"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39065" cy="153035"/>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9</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9pt;height:12.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9</w:t>
                    </w:r>
                    <w:r>
                      <w:fldChar w:fldCharType="end"/>
                    </w:r>
                    <w:r/>
                  </w:p>
                </w:txbxContent>
              </v:textbox>
            </v:shape>
          </w:pict>
        </mc:Fallback>
      </mc:AlternateContent>
    </w:r>
    <w:r>
      <w:rPr>
        <w:rFonts w:ascii="Times New Roman" w:hAnsi="Times New Roman" w:cs="Times New Roman"/>
        <w:sz w:val="28"/>
        <w:szCs w:val="28"/>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PAGE \* MERGEFORMAT</w:instrText>
                          </w:r>
                          <w:r>
                            <w:fldChar w:fldCharType="separate"/>
                          </w:r>
                          <w:r>
                            <w:t xml:space="preserve">72</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PAGE \* MERGEFORMAT</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rFonts w:hint="eastAsia" w:ascii="宋体" w:hAnsi="宋体" w:cs="宋体"/>
        <w:spacing w:val="23"/>
        <w:sz w:val="24"/>
        <w:szCs w:val="24"/>
      </w:rPr>
      <w:t xml:space="preserve">盐城市交通运输局JSZC-320900-JSGX-C2026-001</w:t>
    </w:r>
    <w:r>
      <w:rPr>
        <w:rFonts w:hint="eastAsia" w:ascii="宋体" w:hAnsi="宋体" w:cs="宋体"/>
        <w:spacing w:val="23"/>
        <w:sz w:val="24"/>
        <w:szCs w:val="24"/>
        <w:lang w:val="en-US" w:eastAsia="zh-CN"/>
      </w:rPr>
      <w:t xml:space="preserve">9</w:t>
    </w:r>
    <w:r>
      <w:rPr>
        <w:rFonts w:hint="eastAsia" w:ascii="宋体" w:hAnsi="宋体" w:cs="宋体"/>
        <w:spacing w:val="23"/>
        <w:sz w:val="24"/>
        <w:szCs w:val="24"/>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rFonts w:hint="eastAsia" w:ascii="宋体" w:hAnsi="宋体" w:cs="宋体"/>
        <w:spacing w:val="23"/>
        <w:sz w:val="24"/>
        <w:szCs w:val="24"/>
      </w:rPr>
      <w:t xml:space="preserve">盐城市交通运输局竞争性磋商文件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1680"/>
      <w:jc w:val="both"/>
    </w:pPr>
    <w:r>
      <w:rPr>
        <w:rFonts w:hint="eastAsia"/>
        <w:sz w:val="24"/>
      </w:rPr>
      <w:t xml:space="preserve">盐城市交通运输局JSZC-320900-JSGX-C2026-001</w:t>
    </w:r>
    <w:r>
      <w:rPr>
        <w:rFonts w:hint="eastAsia"/>
        <w:sz w:val="24"/>
        <w:lang w:val="en-US" w:eastAsia="zh-CN"/>
      </w:rPr>
      <w:t xml:space="preserve">9</w:t>
    </w:r>
    <w:r>
      <w:rPr>
        <w:rFonts w:hint="eastAsia"/>
        <w:sz w:val="24"/>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No Spacing"/>
    <w:uiPriority w:val="1"/>
    <w:qFormat/>
    <w:pPr>
      <w:spacing w:before="0" w:after="0" w:line="240" w:lineRule="auto"/>
    </w:pPr>
  </w:style>
  <w:style w:type="paragraph" w:styleId="776">
    <w:name w:val="Quote"/>
    <w:basedOn w:val="798"/>
    <w:next w:val="798"/>
    <w:link w:val="850"/>
    <w:uiPriority w:val="29"/>
    <w:qFormat/>
    <w:pPr>
      <w:ind w:left="720" w:right="720"/>
    </w:pPr>
    <w:rPr>
      <w:i/>
    </w:rPr>
  </w:style>
  <w:style w:type="paragraph" w:styleId="777">
    <w:name w:val="Intense Quote"/>
    <w:basedOn w:val="798"/>
    <w:next w:val="798"/>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99">
    <w:name w:val="Heading 1"/>
    <w:basedOn w:val="798"/>
    <w:next w:val="798"/>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00">
    <w:name w:val="Heading 2"/>
    <w:basedOn w:val="798"/>
    <w:next w:val="798"/>
    <w:uiPriority w:val="0"/>
    <w:unhideWhenUsed/>
    <w:qFormat/>
    <w:pPr>
      <w:ind w:firstLine="562"/>
      <w:jc w:val="left"/>
      <w:spacing w:line="508" w:lineRule="exact"/>
      <w:outlineLvl w:val="1"/>
    </w:pPr>
    <w:rPr>
      <w:rFonts w:ascii="宋体" w:hAnsi="宋体" w:eastAsia="宋体" w:cs="Times New Roman"/>
      <w:b/>
      <w:bCs/>
      <w:sz w:val="28"/>
      <w:szCs w:val="28"/>
    </w:rPr>
  </w:style>
  <w:style w:type="paragraph" w:styleId="801">
    <w:name w:val="Heading 3"/>
    <w:basedOn w:val="798"/>
    <w:next w:val="798"/>
    <w:link w:val="857"/>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5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59"/>
    <w:uiPriority w:val="9"/>
    <w:unhideWhenUsed/>
    <w:qFormat/>
    <w:pPr>
      <w:keepLines/>
      <w:keepNext/>
      <w:spacing w:before="320" w:after="200"/>
      <w:outlineLvl w:val="4"/>
    </w:pPr>
    <w:rPr>
      <w:rFonts w:ascii="Arial" w:hAnsi="Arial" w:eastAsia="Arial" w:cs="Arial"/>
      <w:b/>
      <w:bCs/>
      <w:sz w:val="24"/>
    </w:rPr>
  </w:style>
  <w:style w:type="paragraph" w:styleId="804">
    <w:name w:val="Heading 6"/>
    <w:basedOn w:val="798"/>
    <w:next w:val="798"/>
    <w:link w:val="860"/>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62"/>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63"/>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2520"/>
    </w:pPr>
    <w:rPr>
      <w:szCs w:val="22"/>
    </w:rPr>
  </w:style>
  <w:style w:type="paragraph" w:styleId="811">
    <w:name w:val="Note Heading"/>
    <w:basedOn w:val="798"/>
    <w:next w:val="798"/>
    <w:uiPriority w:val="0"/>
    <w:qFormat/>
    <w:rPr>
      <w:rFonts w:ascii="Verdana" w:hAnsi="Verdana"/>
      <w:szCs w:val="20"/>
    </w:rPr>
  </w:style>
  <w:style w:type="paragraph" w:styleId="812">
    <w:name w:val="Caption"/>
    <w:basedOn w:val="798"/>
    <w:next w:val="798"/>
    <w:uiPriority w:val="35"/>
    <w:unhideWhenUsed/>
    <w:qFormat/>
    <w:pPr>
      <w:spacing w:line="276" w:lineRule="auto"/>
    </w:pPr>
    <w:rPr>
      <w:b/>
      <w:bCs/>
      <w:color w:val="5b9bd5" w:themeColor="accent1"/>
      <w:sz w:val="18"/>
      <w:szCs w:val="18"/>
    </w:rPr>
  </w:style>
  <w:style w:type="paragraph" w:styleId="813">
    <w:name w:val="annotation text"/>
    <w:basedOn w:val="798"/>
    <w:link w:val="1018"/>
    <w:uiPriority w:val="0"/>
    <w:qFormat/>
    <w:pPr>
      <w:jc w:val="left"/>
    </w:pPr>
  </w:style>
  <w:style w:type="paragraph" w:styleId="814">
    <w:name w:val="Body Text"/>
    <w:basedOn w:val="798"/>
    <w:next w:val="798"/>
    <w:uiPriority w:val="99"/>
    <w:qFormat/>
    <w:rPr>
      <w:rFonts w:ascii="楷体_GB2312" w:hAnsi="Arial" w:eastAsia="楷体_GB2312"/>
      <w:sz w:val="28"/>
      <w:szCs w:val="20"/>
    </w:rPr>
  </w:style>
  <w:style w:type="paragraph" w:styleId="815">
    <w:name w:val="toc 5"/>
    <w:basedOn w:val="798"/>
    <w:next w:val="798"/>
    <w:uiPriority w:val="39"/>
    <w:unhideWhenUsed/>
    <w:qFormat/>
    <w:pPr>
      <w:ind w:left="1680"/>
    </w:pPr>
    <w:rPr>
      <w:szCs w:val="22"/>
    </w:rPr>
  </w:style>
  <w:style w:type="paragraph" w:styleId="816">
    <w:name w:val="toc 3"/>
    <w:basedOn w:val="798"/>
    <w:next w:val="798"/>
    <w:uiPriority w:val="39"/>
    <w:unhideWhenUsed/>
    <w:qFormat/>
    <w:pPr>
      <w:ind w:left="840"/>
    </w:pPr>
    <w:rPr>
      <w:szCs w:val="22"/>
    </w:rPr>
  </w:style>
  <w:style w:type="paragraph" w:styleId="817">
    <w:name w:val="Plain Text"/>
    <w:basedOn w:val="798"/>
    <w:link w:val="1016"/>
    <w:uiPriority w:val="0"/>
    <w:qFormat/>
    <w:rPr>
      <w:rFonts w:hint="eastAsia" w:ascii="宋体" w:hAnsi="Courier New"/>
      <w:szCs w:val="20"/>
    </w:rPr>
  </w:style>
  <w:style w:type="paragraph" w:styleId="818">
    <w:name w:val="toc 8"/>
    <w:basedOn w:val="798"/>
    <w:next w:val="798"/>
    <w:uiPriority w:val="39"/>
    <w:unhideWhenUsed/>
    <w:qFormat/>
    <w:pPr>
      <w:ind w:left="2940"/>
    </w:pPr>
    <w:rPr>
      <w:szCs w:val="22"/>
    </w:rPr>
  </w:style>
  <w:style w:type="paragraph" w:styleId="819">
    <w:name w:val="endnote text"/>
    <w:basedOn w:val="798"/>
    <w:link w:val="1001"/>
    <w:uiPriority w:val="99"/>
    <w:unhideWhenUsed/>
    <w:qFormat/>
    <w:rPr>
      <w:sz w:val="20"/>
    </w:rPr>
  </w:style>
  <w:style w:type="paragraph" w:styleId="820">
    <w:name w:val="Balloon Text"/>
    <w:basedOn w:val="798"/>
    <w:link w:val="1015"/>
    <w:uiPriority w:val="0"/>
    <w:qFormat/>
    <w:rPr>
      <w:sz w:val="18"/>
      <w:szCs w:val="18"/>
    </w:rPr>
  </w:style>
  <w:style w:type="paragraph" w:styleId="821">
    <w:name w:val="Footer"/>
    <w:basedOn w:val="798"/>
    <w:link w:val="1010"/>
    <w:uiPriority w:val="0"/>
    <w:qFormat/>
    <w:pPr>
      <w:jc w:val="left"/>
      <w:tabs>
        <w:tab w:val="center" w:pos="4153" w:leader="none"/>
        <w:tab w:val="right" w:pos="8306" w:leader="none"/>
      </w:tabs>
    </w:pPr>
    <w:rPr>
      <w:rFonts w:ascii="Times New Roman" w:hAnsi="Times New Roman" w:cs="Times New Roman"/>
      <w:szCs w:val="21"/>
    </w:rPr>
  </w:style>
  <w:style w:type="paragraph" w:styleId="822">
    <w:name w:val="Header"/>
    <w:basedOn w:val="798"/>
    <w:link w:val="1009"/>
    <w:uiPriority w:val="99"/>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8"/>
    <w:next w:val="798"/>
    <w:uiPriority w:val="39"/>
    <w:qFormat/>
  </w:style>
  <w:style w:type="paragraph" w:styleId="824">
    <w:name w:val="toc 4"/>
    <w:basedOn w:val="798"/>
    <w:next w:val="798"/>
    <w:uiPriority w:val="39"/>
    <w:unhideWhenUsed/>
    <w:qFormat/>
    <w:pPr>
      <w:ind w:left="1260"/>
    </w:pPr>
    <w:rPr>
      <w:szCs w:val="22"/>
    </w:rPr>
  </w:style>
  <w:style w:type="paragraph" w:styleId="825">
    <w:name w:val="Subtitle"/>
    <w:basedOn w:val="798"/>
    <w:next w:val="798"/>
    <w:link w:val="867"/>
    <w:uiPriority w:val="11"/>
    <w:qFormat/>
    <w:pPr>
      <w:spacing w:before="200" w:after="200"/>
    </w:pPr>
    <w:rPr>
      <w:sz w:val="24"/>
    </w:rPr>
  </w:style>
  <w:style w:type="paragraph" w:styleId="826">
    <w:name w:val="footnote text"/>
    <w:basedOn w:val="798"/>
    <w:link w:val="1000"/>
    <w:uiPriority w:val="99"/>
    <w:unhideWhenUsed/>
    <w:qFormat/>
    <w:pPr>
      <w:spacing w:after="40"/>
    </w:pPr>
    <w:rPr>
      <w:sz w:val="18"/>
    </w:rPr>
  </w:style>
  <w:style w:type="paragraph" w:styleId="827">
    <w:name w:val="toc 6"/>
    <w:basedOn w:val="798"/>
    <w:next w:val="798"/>
    <w:uiPriority w:val="39"/>
    <w:unhideWhenUsed/>
    <w:qFormat/>
    <w:pPr>
      <w:ind w:left="2100"/>
    </w:pPr>
    <w:rPr>
      <w:szCs w:val="22"/>
    </w:rPr>
  </w:style>
  <w:style w:type="paragraph" w:styleId="828">
    <w:name w:val="table of figures"/>
    <w:basedOn w:val="798"/>
    <w:next w:val="798"/>
    <w:uiPriority w:val="99"/>
    <w:unhideWhenUsed/>
    <w:qFormat/>
  </w:style>
  <w:style w:type="paragraph" w:styleId="829">
    <w:name w:val="toc 2"/>
    <w:basedOn w:val="798"/>
    <w:next w:val="798"/>
    <w:uiPriority w:val="39"/>
    <w:unhideWhenUsed/>
    <w:qFormat/>
    <w:pPr>
      <w:ind w:left="420"/>
    </w:pPr>
    <w:rPr>
      <w:szCs w:val="22"/>
    </w:rPr>
  </w:style>
  <w:style w:type="paragraph" w:styleId="830">
    <w:name w:val="toc 9"/>
    <w:basedOn w:val="798"/>
    <w:next w:val="798"/>
    <w:uiPriority w:val="39"/>
    <w:unhideWhenUsed/>
    <w:qFormat/>
    <w:pPr>
      <w:ind w:left="3360"/>
    </w:pPr>
    <w:rPr>
      <w:szCs w:val="22"/>
    </w:rPr>
  </w:style>
  <w:style w:type="paragraph" w:styleId="831">
    <w:name w:val="Normal (Web)"/>
    <w:basedOn w:val="798"/>
    <w:uiPriority w:val="99"/>
    <w:qFormat/>
    <w:pPr>
      <w:jc w:val="left"/>
      <w:spacing w:beforeAutospacing="1" w:afterAutospacing="1"/>
    </w:pPr>
    <w:rPr>
      <w:rFonts w:cs="Times New Roman"/>
      <w:sz w:val="24"/>
    </w:rPr>
  </w:style>
  <w:style w:type="paragraph" w:styleId="832">
    <w:name w:val="Title"/>
    <w:basedOn w:val="798"/>
    <w:next w:val="798"/>
    <w:link w:val="866"/>
    <w:uiPriority w:val="10"/>
    <w:qFormat/>
    <w:pPr>
      <w:contextualSpacing/>
      <w:spacing w:before="300" w:after="200"/>
    </w:pPr>
    <w:rPr>
      <w:sz w:val="48"/>
      <w:szCs w:val="48"/>
    </w:rPr>
  </w:style>
  <w:style w:type="paragraph" w:styleId="833">
    <w:name w:val="annotation subject"/>
    <w:basedOn w:val="813"/>
    <w:next w:val="813"/>
    <w:link w:val="1019"/>
    <w:uiPriority w:val="0"/>
    <w:qFormat/>
    <w:rPr>
      <w:b/>
      <w:bCs/>
    </w:rPr>
  </w:style>
  <w:style w:type="table" w:styleId="834">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basedOn w:val="808"/>
    <w:uiPriority w:val="22"/>
    <w:qFormat/>
    <w:rPr>
      <w:b/>
    </w:rPr>
  </w:style>
  <w:style w:type="character" w:styleId="836">
    <w:name w:val="endnote reference"/>
    <w:basedOn w:val="808"/>
    <w:uiPriority w:val="99"/>
    <w:unhideWhenUsed/>
    <w:qFormat/>
    <w:rPr>
      <w:vertAlign w:val="superscript"/>
    </w:rPr>
  </w:style>
  <w:style w:type="character" w:styleId="837">
    <w:name w:val="Emphasis"/>
    <w:uiPriority w:val="0"/>
    <w:qFormat/>
    <w:rPr>
      <w:i/>
    </w:rPr>
  </w:style>
  <w:style w:type="character" w:styleId="838">
    <w:name w:val="Hyperlink"/>
    <w:basedOn w:val="808"/>
    <w:uiPriority w:val="99"/>
    <w:unhideWhenUsed/>
    <w:qFormat/>
    <w:rPr>
      <w:color w:val="0563c1" w:themeColor="hyperlink"/>
      <w:u w:val="single"/>
    </w:rPr>
  </w:style>
  <w:style w:type="character" w:styleId="839">
    <w:name w:val="annotation reference"/>
    <w:basedOn w:val="808"/>
    <w:uiPriority w:val="99"/>
    <w:qFormat/>
    <w:rPr>
      <w:sz w:val="21"/>
      <w:szCs w:val="21"/>
    </w:rPr>
  </w:style>
  <w:style w:type="character" w:styleId="840">
    <w:name w:val="footnote reference"/>
    <w:basedOn w:val="808"/>
    <w:uiPriority w:val="99"/>
    <w:unhideWhenUsed/>
    <w:qFormat/>
    <w:rPr>
      <w:vertAlign w:val="superscript"/>
    </w:rPr>
  </w:style>
  <w:style w:type="character" w:styleId="841" w:customStyle="1">
    <w:name w:val="Heading 3 Char"/>
    <w:basedOn w:val="808"/>
    <w:uiPriority w:val="9"/>
    <w:qFormat/>
    <w:rPr>
      <w:rFonts w:ascii="Arial" w:hAnsi="Arial" w:eastAsia="Arial" w:cs="Arial"/>
      <w:sz w:val="30"/>
      <w:szCs w:val="30"/>
    </w:rPr>
  </w:style>
  <w:style w:type="character" w:styleId="842" w:customStyle="1">
    <w:name w:val="Heading 4 Char"/>
    <w:basedOn w:val="808"/>
    <w:uiPriority w:val="9"/>
    <w:qFormat/>
    <w:rPr>
      <w:rFonts w:ascii="Arial" w:hAnsi="Arial" w:eastAsia="Arial" w:cs="Arial"/>
      <w:b/>
      <w:bCs/>
      <w:sz w:val="26"/>
      <w:szCs w:val="26"/>
    </w:rPr>
  </w:style>
  <w:style w:type="character" w:styleId="843" w:customStyle="1">
    <w:name w:val="Heading 5 Char"/>
    <w:basedOn w:val="808"/>
    <w:uiPriority w:val="9"/>
    <w:qFormat/>
    <w:rPr>
      <w:rFonts w:ascii="Arial" w:hAnsi="Arial" w:eastAsia="Arial" w:cs="Arial"/>
      <w:b/>
      <w:bCs/>
      <w:sz w:val="24"/>
      <w:szCs w:val="24"/>
    </w:rPr>
  </w:style>
  <w:style w:type="character" w:styleId="844" w:customStyle="1">
    <w:name w:val="Heading 6 Char"/>
    <w:basedOn w:val="808"/>
    <w:uiPriority w:val="9"/>
    <w:qFormat/>
    <w:rPr>
      <w:rFonts w:ascii="Arial" w:hAnsi="Arial" w:eastAsia="Arial" w:cs="Arial"/>
      <w:b/>
      <w:bCs/>
      <w:sz w:val="22"/>
      <w:szCs w:val="22"/>
    </w:rPr>
  </w:style>
  <w:style w:type="character" w:styleId="845" w:customStyle="1">
    <w:name w:val="Heading 7 Char"/>
    <w:basedOn w:val="808"/>
    <w:uiPriority w:val="9"/>
    <w:qFormat/>
    <w:rPr>
      <w:rFonts w:ascii="Arial" w:hAnsi="Arial" w:eastAsia="Arial" w:cs="Arial"/>
      <w:b/>
      <w:bCs/>
      <w:i/>
      <w:iCs/>
      <w:sz w:val="22"/>
      <w:szCs w:val="22"/>
    </w:rPr>
  </w:style>
  <w:style w:type="character" w:styleId="846" w:customStyle="1">
    <w:name w:val="Heading 8 Char"/>
    <w:basedOn w:val="808"/>
    <w:uiPriority w:val="9"/>
    <w:qFormat/>
    <w:rPr>
      <w:rFonts w:ascii="Arial" w:hAnsi="Arial" w:eastAsia="Arial" w:cs="Arial"/>
      <w:i/>
      <w:iCs/>
      <w:sz w:val="22"/>
      <w:szCs w:val="22"/>
    </w:rPr>
  </w:style>
  <w:style w:type="character" w:styleId="847" w:customStyle="1">
    <w:name w:val="Heading 9 Char"/>
    <w:basedOn w:val="808"/>
    <w:uiPriority w:val="9"/>
    <w:qFormat/>
    <w:rPr>
      <w:rFonts w:ascii="Arial" w:hAnsi="Arial" w:eastAsia="Arial" w:cs="Arial"/>
      <w:i/>
      <w:iCs/>
      <w:sz w:val="21"/>
      <w:szCs w:val="21"/>
    </w:rPr>
  </w:style>
  <w:style w:type="character" w:styleId="848" w:customStyle="1">
    <w:name w:val="Title Char"/>
    <w:basedOn w:val="808"/>
    <w:uiPriority w:val="10"/>
    <w:qFormat/>
    <w:rPr>
      <w:sz w:val="48"/>
      <w:szCs w:val="48"/>
    </w:rPr>
  </w:style>
  <w:style w:type="character" w:styleId="849" w:customStyle="1">
    <w:name w:val="Subtitle Char"/>
    <w:basedOn w:val="808"/>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
    <w:uiPriority w:val="39"/>
    <w:unhideWhenUsed/>
    <w:qFormat/>
    <w:rPr>
      <w:rFonts w:ascii="Times New Roman" w:hAnsi="Times New Roman" w:eastAsia="宋体" w:cs="Times New Roman"/>
      <w:lang w:val="en-US" w:eastAsia="zh-CN" w:bidi="ar-SA"/>
    </w:rPr>
  </w:style>
  <w:style w:type="character" w:styleId="855" w:customStyle="1">
    <w:name w:val="Heading 1 Char"/>
    <w:basedOn w:val="808"/>
    <w:uiPriority w:val="9"/>
    <w:qFormat/>
    <w:rPr>
      <w:rFonts w:ascii="Arial" w:hAnsi="Arial" w:eastAsia="Arial" w:cs="Arial"/>
      <w:sz w:val="40"/>
      <w:szCs w:val="40"/>
    </w:rPr>
  </w:style>
  <w:style w:type="character" w:styleId="856" w:customStyle="1">
    <w:name w:val="Heading 2 Char"/>
    <w:basedOn w:val="808"/>
    <w:uiPriority w:val="9"/>
    <w:qFormat/>
    <w:rPr>
      <w:rFonts w:ascii="Arial" w:hAnsi="Arial" w:eastAsia="Arial" w:cs="Arial"/>
      <w:sz w:val="34"/>
    </w:rPr>
  </w:style>
  <w:style w:type="character" w:styleId="857" w:customStyle="1">
    <w:name w:val="标题 3 Char"/>
    <w:basedOn w:val="808"/>
    <w:link w:val="801"/>
    <w:uiPriority w:val="9"/>
    <w:qFormat/>
    <w:rPr>
      <w:rFonts w:ascii="Arial" w:hAnsi="Arial" w:eastAsia="Arial" w:cs="Arial"/>
      <w:sz w:val="30"/>
      <w:szCs w:val="30"/>
    </w:rPr>
  </w:style>
  <w:style w:type="character" w:styleId="858" w:customStyle="1">
    <w:name w:val="标题 4 Char"/>
    <w:basedOn w:val="808"/>
    <w:link w:val="802"/>
    <w:uiPriority w:val="9"/>
    <w:qFormat/>
    <w:rPr>
      <w:rFonts w:ascii="Arial" w:hAnsi="Arial" w:eastAsia="Arial" w:cs="Arial"/>
      <w:b/>
      <w:bCs/>
      <w:sz w:val="26"/>
      <w:szCs w:val="26"/>
    </w:rPr>
  </w:style>
  <w:style w:type="character" w:styleId="859" w:customStyle="1">
    <w:name w:val="标题 5 Char"/>
    <w:basedOn w:val="808"/>
    <w:link w:val="803"/>
    <w:uiPriority w:val="9"/>
    <w:qFormat/>
    <w:rPr>
      <w:rFonts w:ascii="Arial" w:hAnsi="Arial" w:eastAsia="Arial" w:cs="Arial"/>
      <w:b/>
      <w:bCs/>
      <w:sz w:val="24"/>
      <w:szCs w:val="24"/>
    </w:rPr>
  </w:style>
  <w:style w:type="character" w:styleId="860" w:customStyle="1">
    <w:name w:val="标题 6 Char"/>
    <w:basedOn w:val="808"/>
    <w:link w:val="804"/>
    <w:uiPriority w:val="9"/>
    <w:qFormat/>
    <w:rPr>
      <w:rFonts w:ascii="Arial" w:hAnsi="Arial" w:eastAsia="Arial" w:cs="Arial"/>
      <w:b/>
      <w:bCs/>
      <w:sz w:val="22"/>
      <w:szCs w:val="22"/>
    </w:rPr>
  </w:style>
  <w:style w:type="character" w:styleId="861" w:customStyle="1">
    <w:name w:val="标题 7 Char"/>
    <w:basedOn w:val="808"/>
    <w:link w:val="805"/>
    <w:uiPriority w:val="9"/>
    <w:qFormat/>
    <w:rPr>
      <w:rFonts w:ascii="Arial" w:hAnsi="Arial" w:eastAsia="Arial" w:cs="Arial"/>
      <w:b/>
      <w:bCs/>
      <w:i/>
      <w:iCs/>
      <w:sz w:val="22"/>
      <w:szCs w:val="22"/>
    </w:rPr>
  </w:style>
  <w:style w:type="character" w:styleId="862" w:customStyle="1">
    <w:name w:val="标题 8 Char"/>
    <w:basedOn w:val="808"/>
    <w:link w:val="806"/>
    <w:uiPriority w:val="9"/>
    <w:qFormat/>
    <w:rPr>
      <w:rFonts w:ascii="Arial" w:hAnsi="Arial" w:eastAsia="Arial" w:cs="Arial"/>
      <w:i/>
      <w:iCs/>
      <w:sz w:val="22"/>
      <w:szCs w:val="22"/>
    </w:rPr>
  </w:style>
  <w:style w:type="character" w:styleId="863" w:customStyle="1">
    <w:name w:val="标题 9 Char"/>
    <w:basedOn w:val="808"/>
    <w:link w:val="807"/>
    <w:uiPriority w:val="9"/>
    <w:qFormat/>
    <w:rPr>
      <w:rFonts w:ascii="Arial" w:hAnsi="Arial" w:eastAsia="Arial" w:cs="Arial"/>
      <w:i/>
      <w:iCs/>
      <w:sz w:val="21"/>
      <w:szCs w:val="21"/>
    </w:rPr>
  </w:style>
  <w:style w:type="paragraph" w:styleId="864" w:customStyle="1">
    <w:name w:val="列出段落1"/>
    <w:basedOn w:val="798"/>
    <w:uiPriority w:val="34"/>
    <w:qFormat/>
    <w:pPr>
      <w:contextualSpacing/>
      <w:ind w:left="720"/>
    </w:pPr>
  </w:style>
  <w:style w:type="paragraph" w:styleId="865" w:customStyle="1">
    <w:name w:val="无间隔1"/>
    <w:uiPriority w:val="1"/>
    <w:qFormat/>
    <w:rPr>
      <w:rFonts w:ascii="Times New Roman" w:hAnsi="Times New Roman" w:eastAsia="宋体" w:cs="Times New Roman"/>
      <w:lang w:val="en-US" w:eastAsia="zh-CN" w:bidi="ar-SA"/>
    </w:rPr>
  </w:style>
  <w:style w:type="character" w:styleId="866" w:customStyle="1">
    <w:name w:val="标题 Char"/>
    <w:basedOn w:val="808"/>
    <w:link w:val="832"/>
    <w:uiPriority w:val="10"/>
    <w:qFormat/>
    <w:rPr>
      <w:sz w:val="48"/>
      <w:szCs w:val="48"/>
    </w:rPr>
  </w:style>
  <w:style w:type="character" w:styleId="867" w:customStyle="1">
    <w:name w:val="副标题 Char"/>
    <w:basedOn w:val="808"/>
    <w:link w:val="825"/>
    <w:uiPriority w:val="11"/>
    <w:qFormat/>
    <w:rPr>
      <w:sz w:val="24"/>
      <w:szCs w:val="24"/>
    </w:rPr>
  </w:style>
  <w:style w:type="paragraph" w:styleId="868" w:customStyle="1">
    <w:name w:val="引用1"/>
    <w:basedOn w:val="798"/>
    <w:next w:val="798"/>
    <w:link w:val="869"/>
    <w:uiPriority w:val="29"/>
    <w:qFormat/>
    <w:pPr>
      <w:ind w:left="720" w:right="720"/>
    </w:pPr>
    <w:rPr>
      <w:i/>
    </w:rPr>
  </w:style>
  <w:style w:type="character" w:styleId="869" w:customStyle="1">
    <w:name w:val="引用 Char"/>
    <w:link w:val="868"/>
    <w:uiPriority w:val="29"/>
    <w:qFormat/>
    <w:rPr>
      <w:i/>
    </w:rPr>
  </w:style>
  <w:style w:type="paragraph" w:styleId="870" w:customStyle="1">
    <w:name w:val="明显引用1"/>
    <w:basedOn w:val="798"/>
    <w:next w:val="798"/>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Char"/>
    <w:link w:val="870"/>
    <w:uiPriority w:val="30"/>
    <w:qFormat/>
    <w:rPr>
      <w:i/>
    </w:rPr>
  </w:style>
  <w:style w:type="character" w:styleId="872" w:customStyle="1">
    <w:name w:val="Header Char"/>
    <w:basedOn w:val="808"/>
    <w:uiPriority w:val="99"/>
    <w:qFormat/>
  </w:style>
  <w:style w:type="character" w:styleId="873" w:customStyle="1">
    <w:name w:val="Footer Char"/>
    <w:basedOn w:val="808"/>
    <w:uiPriority w:val="99"/>
    <w:qFormat/>
  </w:style>
  <w:style w:type="character" w:styleId="874" w:customStyle="1">
    <w:name w:val="Caption Char"/>
    <w:uiPriority w:val="99"/>
    <w:qFormat/>
  </w:style>
  <w:style w:type="table" w:styleId="875"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6"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8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17" w:customStyle="1">
    <w:name w:val="Grid Table 6 Colorful - Accent 1"/>
    <w:basedOn w:val="8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918"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9"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20"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21" w:customStyle="1">
    <w:name w:val="Grid Table 6 Colorful - Accent 5"/>
    <w:basedOn w:val="8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2"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3"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8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8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basedOn w:val="8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basedOn w:val="8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5"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basedOn w:val="809"/>
    <w:uiPriority w:val="99"/>
    <w:qFormat/>
    <w:tblPr>
      <w:tblBorders>
        <w:top w:val="single" w:color="5B9BD5" w:themeColor="accent1" w:sz="4" w:space="0"/>
        <w:bottom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67"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68"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69"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70" w:customStyle="1">
    <w:name w:val="List Table 6 Colorful - Accent 5"/>
    <w:basedOn w:val="80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71"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72" w:customStyle="1">
    <w:name w:val="清单表 7 彩色1"/>
    <w:basedOn w:val="809"/>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9"/>
    <w:uiPriority w:val="99"/>
    <w:qFormat/>
    <w:tblPr>
      <w:tblBorders>
        <w:right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9"/>
    <w:uiPriority w:val="99"/>
    <w:qFormat/>
    <w:tblPr>
      <w:tblBorders>
        <w:right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8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8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脚注文本 Char"/>
    <w:link w:val="826"/>
    <w:uiPriority w:val="99"/>
    <w:qFormat/>
    <w:rPr>
      <w:sz w:val="18"/>
    </w:rPr>
  </w:style>
  <w:style w:type="character" w:styleId="1001" w:customStyle="1">
    <w:name w:val="尾注文本 Char"/>
    <w:link w:val="819"/>
    <w:uiPriority w:val="99"/>
    <w:qFormat/>
    <w:rPr>
      <w:sz w:val="20"/>
    </w:rPr>
  </w:style>
  <w:style w:type="paragraph" w:styleId="1002" w:customStyle="1">
    <w:name w:val="TOC 标题11"/>
    <w:uiPriority w:val="39"/>
    <w:unhideWhenUsed/>
    <w:qFormat/>
    <w:rPr>
      <w:rFonts w:ascii="Times New Roman" w:hAnsi="Times New Roman" w:eastAsia="宋体" w:cs="Times New Roman"/>
      <w:lang w:val="en-US" w:eastAsia="zh-CN" w:bidi="ar-SA"/>
    </w:rPr>
  </w:style>
  <w:style w:type="paragraph" w:styleId="1003" w:customStyle="1">
    <w:name w:val="段"/>
    <w:next w:val="79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4" w:customStyle="1">
    <w:name w:val="正文首行缩进 211"/>
    <w:basedOn w:val="1005"/>
    <w:next w:val="1007"/>
    <w:uiPriority w:val="0"/>
    <w:qFormat/>
    <w:pPr>
      <w:ind w:firstLine="420"/>
    </w:pPr>
  </w:style>
  <w:style w:type="paragraph" w:styleId="1005" w:customStyle="1">
    <w:name w:val="正文文本缩进11"/>
    <w:basedOn w:val="798"/>
    <w:next w:val="1006"/>
    <w:uiPriority w:val="0"/>
    <w:qFormat/>
    <w:pPr>
      <w:ind w:left="420"/>
      <w:spacing w:after="120"/>
    </w:pPr>
  </w:style>
  <w:style w:type="paragraph" w:styleId="1006" w:customStyle="1">
    <w:name w:val="寄信人地址11"/>
    <w:basedOn w:val="798"/>
    <w:uiPriority w:val="0"/>
    <w:qFormat/>
    <w:rPr>
      <w:rFonts w:ascii="Arial" w:hAnsi="Arial" w:cs="Arial"/>
    </w:rPr>
  </w:style>
  <w:style w:type="paragraph" w:styleId="1007" w:customStyle="1">
    <w:name w:val="样式 标题 3 + (中文) 黑体 小四 非加粗 段前: 7.8 磅 段后: 0 磅 行距: 固定值 20 磅_0"/>
    <w:basedOn w:val="798"/>
    <w:uiPriority w:val="0"/>
    <w:qFormat/>
    <w:pPr>
      <w:keepLines/>
      <w:keepNext/>
      <w:spacing w:line="400" w:lineRule="exact"/>
      <w:outlineLvl w:val="2"/>
    </w:pPr>
    <w:rPr>
      <w:rFonts w:eastAsia="黑体" w:cs="宋体"/>
      <w:szCs w:val="21"/>
    </w:rPr>
  </w:style>
  <w:style w:type="paragraph" w:styleId="1008" w:customStyle="1">
    <w:name w:val="Default"/>
    <w:basedOn w:val="798"/>
    <w:uiPriority w:val="0"/>
    <w:semiHidden/>
    <w:qFormat/>
    <w:pPr>
      <w:jc w:val="left"/>
    </w:pPr>
    <w:rPr>
      <w:rFonts w:ascii="宋体" w:hAnsi="Calibri" w:cs="宋体"/>
      <w:color w:val="000000"/>
      <w:sz w:val="24"/>
    </w:rPr>
  </w:style>
  <w:style w:type="character" w:styleId="1009" w:customStyle="1">
    <w:name w:val="页眉 Char"/>
    <w:basedOn w:val="808"/>
    <w:link w:val="822"/>
    <w:uiPriority w:val="99"/>
    <w:qFormat/>
    <w:rPr>
      <w:rFonts w:asciiTheme="minorHAnsi" w:hAnsiTheme="minorHAnsi" w:eastAsiaTheme="minorEastAsia" w:cstheme="minorBidi"/>
      <w:sz w:val="18"/>
      <w:szCs w:val="18"/>
    </w:rPr>
  </w:style>
  <w:style w:type="character" w:styleId="1010" w:customStyle="1">
    <w:name w:val="页脚 Char"/>
    <w:basedOn w:val="808"/>
    <w:link w:val="821"/>
    <w:uiPriority w:val="0"/>
    <w:qFormat/>
    <w:rPr>
      <w:rFonts w:eastAsiaTheme="minorEastAsia"/>
      <w:sz w:val="21"/>
      <w:szCs w:val="21"/>
    </w:rPr>
  </w:style>
  <w:style w:type="paragraph" w:styleId="1011" w:customStyle="1">
    <w:name w:val="普通正文"/>
    <w:basedOn w:val="798"/>
    <w:uiPriority w:val="0"/>
    <w:qFormat/>
    <w:pPr>
      <w:ind w:firstLine="480"/>
      <w:jc w:val="left"/>
      <w:spacing w:before="120" w:after="120" w:line="360" w:lineRule="auto"/>
    </w:pPr>
    <w:rPr>
      <w:rFonts w:ascii="Arial" w:hAnsi="Arial" w:eastAsia="等线" w:cs="Arial"/>
      <w:sz w:val="24"/>
    </w:rPr>
  </w:style>
  <w:style w:type="paragraph" w:styleId="1012" w:customStyle="1">
    <w:name w:val="正文首行缩进 21"/>
    <w:basedOn w:val="1013"/>
    <w:uiPriority w:val="0"/>
    <w:qFormat/>
    <w:pPr>
      <w:ind w:firstLine="420"/>
    </w:pPr>
  </w:style>
  <w:style w:type="paragraph" w:styleId="1013" w:customStyle="1">
    <w:name w:val="正文文本缩进1"/>
    <w:basedOn w:val="798"/>
    <w:uiPriority w:val="0"/>
    <w:qFormat/>
    <w:pPr>
      <w:ind w:left="420"/>
      <w:spacing w:after="120"/>
    </w:pPr>
  </w:style>
  <w:style w:type="paragraph" w:styleId="1014" w:customStyle="1">
    <w:name w:val="页脚1"/>
    <w:basedOn w:val="798"/>
    <w:uiPriority w:val="99"/>
    <w:unhideWhenUsed/>
    <w:qFormat/>
    <w:pPr>
      <w:tabs>
        <w:tab w:val="center" w:pos="7143" w:leader="none"/>
        <w:tab w:val="right" w:pos="14287" w:leader="none"/>
      </w:tabs>
    </w:pPr>
  </w:style>
  <w:style w:type="character" w:styleId="1015" w:customStyle="1">
    <w:name w:val="批注框文本 Char"/>
    <w:basedOn w:val="808"/>
    <w:link w:val="820"/>
    <w:uiPriority w:val="0"/>
    <w:qFormat/>
    <w:rPr>
      <w:rFonts w:asciiTheme="minorHAnsi" w:hAnsiTheme="minorHAnsi" w:eastAsiaTheme="minorEastAsia" w:cstheme="minorBidi"/>
      <w:sz w:val="18"/>
      <w:szCs w:val="18"/>
    </w:rPr>
  </w:style>
  <w:style w:type="character" w:styleId="1016" w:customStyle="1">
    <w:name w:val="纯文本 Char"/>
    <w:basedOn w:val="808"/>
    <w:link w:val="817"/>
    <w:uiPriority w:val="0"/>
    <w:qFormat/>
    <w:rPr>
      <w:rFonts w:ascii="宋体" w:hAnsi="Courier New" w:eastAsiaTheme="minorEastAsia" w:cstheme="minorBidi"/>
      <w:sz w:val="21"/>
    </w:rPr>
  </w:style>
  <w:style w:type="paragraph" w:styleId="1017" w:customStyle="1">
    <w:name w:val="标书_正文"/>
    <w:basedOn w:val="798"/>
    <w:uiPriority w:val="99"/>
    <w:qFormat/>
    <w:rPr>
      <w:rFonts w:ascii="宋体" w:hAnsi="宋体" w:cs="Times New Roman"/>
      <w:szCs w:val="20"/>
    </w:rPr>
  </w:style>
  <w:style w:type="character" w:styleId="1018" w:customStyle="1">
    <w:name w:val="批注文字 Char"/>
    <w:basedOn w:val="808"/>
    <w:link w:val="813"/>
    <w:uiPriority w:val="0"/>
    <w:qFormat/>
    <w:rPr>
      <w:rFonts w:asciiTheme="minorHAnsi" w:hAnsiTheme="minorHAnsi" w:eastAsiaTheme="minorEastAsia" w:cstheme="minorBidi"/>
      <w:sz w:val="21"/>
      <w:szCs w:val="24"/>
    </w:rPr>
  </w:style>
  <w:style w:type="character" w:styleId="1019" w:customStyle="1">
    <w:name w:val="批注主题 Char"/>
    <w:basedOn w:val="1018"/>
    <w:link w:val="833"/>
    <w:uiPriority w:val="0"/>
    <w:qFormat/>
    <w:rPr>
      <w:rFonts w:asciiTheme="minorHAnsi" w:hAnsiTheme="minorHAnsi" w:eastAsiaTheme="minorEastAsia" w:cstheme="minorBidi"/>
      <w:b/>
      <w:bCs/>
      <w:sz w:val="21"/>
      <w:szCs w:val="24"/>
    </w:rPr>
  </w:style>
  <w:style w:type="paragraph" w:styleId="1020" w:customStyle="1">
    <w:name w:val="普通(网站)1"/>
    <w:basedOn w:val="798"/>
    <w:uiPriority w:val="0"/>
    <w:qFormat/>
    <w:pPr>
      <w:jc w:val="left"/>
      <w:spacing w:beforeAutospacing="1" w:afterAutospacing="1"/>
    </w:pPr>
    <w:rPr>
      <w:rFonts w:cs="Times New Roman"/>
      <w:sz w:val="24"/>
    </w:rPr>
  </w:style>
  <w:style w:type="paragraph" w:styleId="1021" w:customStyle="1">
    <w:name w:val="纯文本11"/>
    <w:basedOn w:val="798"/>
    <w:uiPriority w:val="99"/>
    <w:qFormat/>
    <w:rPr>
      <w:rFonts w:ascii="宋体" w:hAnsi="Courier New"/>
      <w:szCs w:val="21"/>
    </w:rPr>
  </w:style>
  <w:style w:type="paragraph" w:styleId="1022" w:customStyle="1">
    <w:name w:val="列出段落3"/>
    <w:basedOn w:val="798"/>
    <w:uiPriority w:val="0"/>
    <w:qFormat/>
    <w:pPr>
      <w:ind w:firstLine="420"/>
    </w:pPr>
    <w:rPr>
      <w:szCs w:val="20"/>
    </w:rPr>
  </w:style>
  <w:style w:type="paragraph" w:styleId="1023" w:customStyle="1">
    <w:name w:val="标题 21"/>
    <w:basedOn w:val="798"/>
    <w:next w:val="1024"/>
    <w:uiPriority w:val="0"/>
    <w:unhideWhenUsed/>
    <w:qFormat/>
    <w:pPr>
      <w:jc w:val="left"/>
      <w:spacing w:before="100" w:beforeAutospacing="1" w:after="100" w:afterAutospacing="1"/>
      <w:outlineLvl w:val="1"/>
    </w:pPr>
    <w:rPr>
      <w:rFonts w:hint="eastAsia" w:ascii="宋体" w:hAnsi="宋体" w:eastAsia="宋体" w:cs="Times New Roman"/>
      <w:b/>
      <w:bCs/>
      <w:sz w:val="36"/>
      <w:szCs w:val="36"/>
    </w:rPr>
  </w:style>
  <w:style w:type="paragraph" w:styleId="1024" w:customStyle="1">
    <w:name w:val="正文缩进1"/>
    <w:basedOn w:val="798"/>
    <w:uiPriority w:val="0"/>
    <w:qFormat/>
    <w:pPr>
      <w:ind w:firstLine="420"/>
    </w:pPr>
  </w:style>
  <w:style w:type="paragraph" w:styleId="1025" w:customStyle="1">
    <w:name w:val="纯文本1"/>
    <w:basedOn w:val="798"/>
    <w:uiPriority w:val="0"/>
    <w:qFormat/>
    <w:rPr>
      <w:rFonts w:hAnsi="Courier New" w:eastAsia="楷体_GB2312"/>
    </w:rPr>
  </w:style>
  <w:style w:type="table" w:styleId="1026" w:customStyle="1">
    <w:name w:val="网格型1"/>
    <w:basedOn w:val="1027"/>
    <w:uiPriority w:val="0"/>
    <w:qFormat/>
    <w:pPr>
      <w:jc w:val="both"/>
      <w:widowControl w:val="off"/>
    </w:pPr>
    <w:tblPr/>
  </w:style>
  <w:style w:type="table" w:styleId="1027" w:customStyle="1">
    <w:name w:val="普通表格1"/>
    <w:uiPriority w:val="99"/>
    <w:unhideWhenUsed/>
    <w:qFormat/>
    <w:tblPr>
      <w:tblCellMar>
        <w:left w:w="0" w:type="dxa"/>
        <w:top w:w="0" w:type="dxa"/>
        <w:right w:w="0" w:type="dxa"/>
        <w:bottom w:w="0" w:type="dxa"/>
      </w:tblCellMar>
    </w:tblPr>
  </w:style>
  <w:style w:type="paragraph" w:styleId="1028" w:customStyle="1">
    <w:name w:val="标题 11"/>
    <w:basedOn w:val="798"/>
    <w:next w:val="798"/>
    <w:uiPriority w:val="0"/>
    <w:qFormat/>
    <w:pPr>
      <w:ind w:left="120"/>
      <w:spacing w:before="39"/>
      <w:outlineLvl w:val="0"/>
    </w:pPr>
    <w:rPr>
      <w:sz w:val="27"/>
      <w:szCs w:val="27"/>
    </w:rPr>
  </w:style>
  <w:style w:type="paragraph" w:styleId="1029">
    <w:name w:val="List Paragraph"/>
    <w:basedOn w:val="798"/>
    <w:uiPriority w:val="34"/>
    <w:qFormat/>
    <w:pPr>
      <w:ind w:firstLine="420"/>
    </w:p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49"/>
    <customShpInfo spid="_x0000_s2050"/>
    <customShpInfo spid="_x0000_s1026"/>
  </customShpExts>
</s:customData>
</file>

<file path=customXml/itemProps1.xml><?xml version="1.0" encoding="utf-8"?>
<ds:datastoreItem xmlns:ds="http://schemas.openxmlformats.org/officeDocument/2006/customXml" ds:itemID="{F66E237F-A678-4FFD-8CC9-D7F5442AB88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王工</cp:lastModifiedBy>
  <cp:revision>189</cp:revision>
  <dcterms:created xsi:type="dcterms:W3CDTF">2026-02-25T08:12:00Z</dcterms:created>
  <dcterms:modified xsi:type="dcterms:W3CDTF">2026-08-24T06:50:55Z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D1DC68D64175497281227E046ED3F9BA_13</vt:lpwstr>
  </property>
  <property fmtid="{D5CDD505-2E9C-101B-9397-08002B2CF9AE}" pid="4" name="KSOTemplateDocerSaveRecord">
    <vt:lpwstr>eyJoZGlkIjoiOWM5ZjgxYjJkN2Q4NjRkZDY2NmVhY2Y2MDI4YjZkM2UiLCJ1c2VySWQiOiIxMjUzMDM2NDU4In0=</vt:lpwstr>
  </property>
</Properties>
</file>