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86E2C5">
      <w:pPr>
        <w:pStyle w:val="32"/>
        <w:spacing w:before="120" w:beforeAutospacing="0" w:after="120" w:afterAutospacing="0" w:line="360" w:lineRule="auto"/>
        <w:jc w:val="center"/>
        <w:rPr>
          <w:rFonts w:hint="eastAsia" w:ascii="宋体" w:hAnsi="宋体" w:eastAsia="宋体" w:cs="宋体"/>
          <w:b/>
          <w:color w:val="auto"/>
          <w:sz w:val="96"/>
          <w:szCs w:val="96"/>
          <w:highlight w:val="none"/>
        </w:rPr>
      </w:pPr>
      <w:r>
        <w:rPr>
          <w:rFonts w:hint="eastAsia" w:ascii="宋体" w:hAnsi="宋体" w:eastAsia="宋体" w:cs="宋体"/>
          <w:b/>
          <w:color w:val="auto"/>
          <w:sz w:val="60"/>
          <w:szCs w:val="112"/>
          <w:highlight w:val="none"/>
        </w:rPr>
        <w:t>东台市残疾人综合服务中心专业设备设施采购项目</w:t>
      </w:r>
    </w:p>
    <w:p w14:paraId="6943076C">
      <w:pPr>
        <w:jc w:val="center"/>
        <w:outlineLvl w:val="0"/>
        <w:rPr>
          <w:rFonts w:hint="eastAsia" w:ascii="宋体" w:hAnsi="宋体" w:eastAsia="宋体" w:cs="宋体"/>
          <w:color w:val="auto"/>
          <w:sz w:val="32"/>
          <w:szCs w:val="32"/>
          <w:highlight w:val="none"/>
        </w:rPr>
      </w:pPr>
    </w:p>
    <w:p w14:paraId="2B010616">
      <w:pPr>
        <w:rPr>
          <w:rFonts w:hint="eastAsia" w:ascii="宋体" w:hAnsi="宋体" w:eastAsia="宋体" w:cs="宋体"/>
          <w:color w:val="auto"/>
          <w:highlight w:val="none"/>
        </w:rPr>
      </w:pPr>
    </w:p>
    <w:p w14:paraId="6B445115">
      <w:pPr>
        <w:tabs>
          <w:tab w:val="left" w:pos="2160"/>
          <w:tab w:val="left" w:pos="2340"/>
          <w:tab w:val="left" w:pos="5940"/>
          <w:tab w:val="left" w:pos="6120"/>
        </w:tabs>
        <w:spacing w:line="856" w:lineRule="atLeast"/>
        <w:jc w:val="center"/>
        <w:outlineLvl w:val="0"/>
        <w:rPr>
          <w:rFonts w:hint="eastAsia" w:ascii="宋体" w:hAnsi="宋体" w:eastAsia="宋体" w:cs="宋体"/>
          <w:color w:val="auto"/>
          <w:sz w:val="84"/>
          <w:highlight w:val="none"/>
        </w:rPr>
      </w:pPr>
      <w:r>
        <w:rPr>
          <w:rFonts w:hint="eastAsia" w:ascii="宋体" w:hAnsi="宋体" w:eastAsia="宋体" w:cs="宋体"/>
          <w:b/>
          <w:color w:val="auto"/>
          <w:sz w:val="84"/>
          <w:highlight w:val="none"/>
        </w:rPr>
        <w:t>招 标 文 件</w:t>
      </w:r>
    </w:p>
    <w:p w14:paraId="087D2D87">
      <w:pPr>
        <w:spacing w:line="413" w:lineRule="atLeast"/>
        <w:jc w:val="center"/>
        <w:rPr>
          <w:rFonts w:hint="eastAsia" w:ascii="宋体" w:hAnsi="宋体" w:eastAsia="宋体" w:cs="宋体"/>
          <w:color w:val="auto"/>
          <w:highlight w:val="none"/>
        </w:rPr>
      </w:pPr>
    </w:p>
    <w:p w14:paraId="4B74A008">
      <w:pPr>
        <w:spacing w:line="413" w:lineRule="atLeast"/>
        <w:jc w:val="center"/>
        <w:rPr>
          <w:rFonts w:hint="eastAsia" w:ascii="宋体" w:hAnsi="宋体" w:eastAsia="宋体" w:cs="宋体"/>
          <w:color w:val="auto"/>
          <w:highlight w:val="none"/>
        </w:rPr>
      </w:pPr>
    </w:p>
    <w:p w14:paraId="3162ADAE">
      <w:pPr>
        <w:spacing w:line="413" w:lineRule="atLeast"/>
        <w:jc w:val="center"/>
        <w:rPr>
          <w:rFonts w:hint="eastAsia" w:ascii="宋体" w:hAnsi="宋体" w:eastAsia="宋体" w:cs="宋体"/>
          <w:b/>
          <w:bCs/>
          <w:color w:val="auto"/>
          <w:highlight w:val="none"/>
          <w:u w:val="single"/>
        </w:rPr>
      </w:pPr>
      <w:r>
        <w:rPr>
          <w:rFonts w:hint="eastAsia" w:ascii="宋体" w:hAnsi="宋体" w:eastAsia="宋体" w:cs="宋体"/>
          <w:b/>
          <w:bCs/>
          <w:color w:val="auto"/>
          <w:sz w:val="32"/>
          <w:szCs w:val="32"/>
          <w:highlight w:val="none"/>
        </w:rPr>
        <w:t>编号：JSZC-320981-CCGC-G2026-0008</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 </w:t>
      </w:r>
    </w:p>
    <w:p w14:paraId="58F95238">
      <w:pPr>
        <w:spacing w:line="413" w:lineRule="atLeast"/>
        <w:rPr>
          <w:rFonts w:hint="eastAsia" w:ascii="宋体" w:hAnsi="宋体" w:eastAsia="宋体" w:cs="宋体"/>
          <w:b/>
          <w:bCs/>
          <w:color w:val="auto"/>
          <w:highlight w:val="none"/>
        </w:rPr>
      </w:pPr>
    </w:p>
    <w:p w14:paraId="36C1614C">
      <w:pPr>
        <w:spacing w:line="453" w:lineRule="atLeast"/>
        <w:ind w:firstLine="620"/>
        <w:jc w:val="left"/>
        <w:rPr>
          <w:rFonts w:hint="eastAsia" w:ascii="宋体" w:hAnsi="宋体" w:eastAsia="宋体" w:cs="宋体"/>
          <w:bCs/>
          <w:color w:val="auto"/>
          <w:sz w:val="31"/>
          <w:highlight w:val="none"/>
        </w:rPr>
      </w:pPr>
    </w:p>
    <w:p w14:paraId="27D72BFF">
      <w:pPr>
        <w:pStyle w:val="195"/>
        <w:rPr>
          <w:rFonts w:hint="eastAsia" w:ascii="宋体" w:hAnsi="宋体" w:eastAsia="宋体" w:cs="宋体"/>
          <w:bCs/>
          <w:color w:val="auto"/>
          <w:sz w:val="31"/>
          <w:highlight w:val="none"/>
        </w:rPr>
      </w:pPr>
    </w:p>
    <w:p w14:paraId="39BBCB0F">
      <w:pPr>
        <w:spacing w:line="480" w:lineRule="auto"/>
        <w:outlineLvl w:val="0"/>
        <w:rPr>
          <w:rFonts w:hint="eastAsia" w:ascii="宋体" w:hAnsi="宋体" w:eastAsia="宋体" w:cs="宋体"/>
          <w:b/>
          <w:color w:val="auto"/>
          <w:sz w:val="31"/>
          <w:highlight w:val="none"/>
        </w:rPr>
      </w:pPr>
      <w:r>
        <w:rPr>
          <w:rFonts w:hint="eastAsia" w:ascii="宋体" w:hAnsi="宋体" w:eastAsia="宋体" w:cs="宋体"/>
          <w:b/>
          <w:color w:val="auto"/>
          <w:sz w:val="31"/>
          <w:highlight w:val="none"/>
        </w:rPr>
        <w:t>采购人：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eastAsia="zh-CN"/>
        </w:rPr>
        <w:t>东台市残疾人劳动就业服务所</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（盖章）</w:t>
      </w:r>
    </w:p>
    <w:p w14:paraId="3CDFA568">
      <w:pPr>
        <w:spacing w:line="480" w:lineRule="auto"/>
        <w:outlineLvl w:val="0"/>
        <w:rPr>
          <w:rFonts w:hint="eastAsia" w:ascii="宋体" w:hAnsi="宋体" w:eastAsia="宋体" w:cs="宋体"/>
          <w:b/>
          <w:color w:val="auto"/>
          <w:sz w:val="31"/>
          <w:highlight w:val="none"/>
        </w:rPr>
      </w:pPr>
      <w:r>
        <w:rPr>
          <w:rFonts w:hint="eastAsia" w:ascii="宋体" w:hAnsi="宋体" w:eastAsia="宋体" w:cs="宋体"/>
          <w:b/>
          <w:color w:val="auto"/>
          <w:sz w:val="31"/>
          <w:highlight w:val="none"/>
        </w:rPr>
        <w:t>法定代表人或其委托代理人：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（签字或盖章）</w:t>
      </w:r>
    </w:p>
    <w:p w14:paraId="41635300">
      <w:pPr>
        <w:spacing w:line="480" w:lineRule="auto"/>
        <w:rPr>
          <w:rFonts w:hint="eastAsia" w:ascii="宋体" w:hAnsi="宋体" w:eastAsia="宋体" w:cs="宋体"/>
          <w:b/>
          <w:color w:val="auto"/>
          <w:sz w:val="31"/>
          <w:highlight w:val="none"/>
        </w:rPr>
      </w:pPr>
    </w:p>
    <w:p w14:paraId="7CE5470A">
      <w:pPr>
        <w:spacing w:line="480" w:lineRule="auto"/>
        <w:outlineLvl w:val="0"/>
        <w:rPr>
          <w:rFonts w:hint="eastAsia" w:ascii="宋体" w:hAnsi="宋体" w:eastAsia="宋体" w:cs="宋体"/>
          <w:b/>
          <w:color w:val="auto"/>
          <w:sz w:val="31"/>
          <w:highlight w:val="none"/>
        </w:rPr>
      </w:pPr>
      <w:r>
        <w:rPr>
          <w:rFonts w:hint="eastAsia" w:ascii="宋体" w:hAnsi="宋体" w:eastAsia="宋体" w:cs="宋体"/>
          <w:b/>
          <w:color w:val="auto"/>
          <w:sz w:val="31"/>
          <w:highlight w:val="none"/>
        </w:rPr>
        <w:t>采购代理机构：</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eastAsia="zh-CN"/>
        </w:rPr>
        <w:t>江苏策诚咨询有限公司</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（盖章）</w:t>
      </w:r>
    </w:p>
    <w:p w14:paraId="7CD57D52">
      <w:pPr>
        <w:spacing w:line="480" w:lineRule="auto"/>
        <w:outlineLvl w:val="0"/>
        <w:rPr>
          <w:rFonts w:hint="eastAsia" w:ascii="宋体" w:hAnsi="宋体" w:eastAsia="宋体" w:cs="宋体"/>
          <w:b/>
          <w:color w:val="auto"/>
          <w:sz w:val="31"/>
          <w:highlight w:val="none"/>
        </w:rPr>
      </w:pPr>
      <w:r>
        <w:rPr>
          <w:rFonts w:hint="eastAsia" w:ascii="宋体" w:hAnsi="宋体" w:eastAsia="宋体" w:cs="宋体"/>
          <w:b/>
          <w:color w:val="auto"/>
          <w:sz w:val="31"/>
          <w:highlight w:val="none"/>
        </w:rPr>
        <w:t>法定代表人或其委托代理人：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（签字或盖章）</w:t>
      </w:r>
    </w:p>
    <w:p w14:paraId="29AB54C9">
      <w:pPr>
        <w:pStyle w:val="196"/>
        <w:widowControl w:val="0"/>
        <w:spacing w:before="0" w:after="0" w:line="453" w:lineRule="atLeast"/>
        <w:jc w:val="center"/>
        <w:rPr>
          <w:rFonts w:hint="eastAsia" w:ascii="宋体" w:hAnsi="宋体" w:eastAsia="宋体" w:cs="宋体"/>
          <w:b/>
          <w:color w:val="auto"/>
          <w:highlight w:val="none"/>
        </w:rPr>
      </w:pPr>
    </w:p>
    <w:p w14:paraId="68B6DB27">
      <w:pPr>
        <w:pStyle w:val="32"/>
        <w:spacing w:beforeAutospacing="0" w:afterAutospacing="0" w:line="480" w:lineRule="auto"/>
        <w:ind w:firstLine="622"/>
        <w:jc w:val="center"/>
        <w:rPr>
          <w:rFonts w:hint="eastAsia" w:ascii="宋体" w:hAnsi="宋体" w:eastAsia="宋体" w:cs="宋体"/>
          <w:b/>
          <w:color w:val="auto"/>
          <w:sz w:val="31"/>
          <w:highlight w:val="none"/>
        </w:rPr>
      </w:pPr>
      <w:r>
        <w:rPr>
          <w:rFonts w:hint="eastAsia" w:ascii="宋体" w:hAnsi="宋体" w:eastAsia="宋体" w:cs="宋体"/>
          <w:b/>
          <w:color w:val="auto"/>
          <w:sz w:val="31"/>
          <w:highlight w:val="none"/>
          <w:u w:val="single"/>
        </w:rPr>
        <w:t xml:space="preserve"> 2026 </w:t>
      </w:r>
      <w:r>
        <w:rPr>
          <w:rFonts w:hint="eastAsia" w:ascii="宋体" w:hAnsi="宋体" w:eastAsia="宋体" w:cs="宋体"/>
          <w:b/>
          <w:color w:val="auto"/>
          <w:sz w:val="31"/>
          <w:highlight w:val="none"/>
        </w:rPr>
        <w:t>年</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4</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月</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21</w:t>
      </w:r>
      <w:r>
        <w:rPr>
          <w:rFonts w:hint="eastAsia" w:ascii="宋体" w:hAnsi="宋体" w:eastAsia="宋体" w:cs="宋体"/>
          <w:b/>
          <w:color w:val="auto"/>
          <w:sz w:val="31"/>
          <w:highlight w:val="none"/>
        </w:rPr>
        <w:t>日</w:t>
      </w:r>
    </w:p>
    <w:p w14:paraId="7A13BC22">
      <w:pPr>
        <w:pStyle w:val="32"/>
        <w:spacing w:beforeAutospacing="0" w:afterAutospacing="0" w:line="480" w:lineRule="auto"/>
        <w:ind w:firstLine="622"/>
        <w:jc w:val="center"/>
        <w:rPr>
          <w:rFonts w:hint="eastAsia" w:ascii="宋体" w:hAnsi="宋体" w:eastAsia="宋体" w:cs="宋体"/>
          <w:b/>
          <w:color w:val="auto"/>
          <w:sz w:val="31"/>
          <w:highlight w:val="none"/>
        </w:rPr>
      </w:pPr>
    </w:p>
    <w:p w14:paraId="0ED7EF9B">
      <w:pPr>
        <w:pStyle w:val="32"/>
        <w:spacing w:beforeAutospacing="0" w:afterAutospacing="0" w:line="480" w:lineRule="auto"/>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1568589F">
      <w:pPr>
        <w:pStyle w:val="32"/>
        <w:spacing w:beforeAutospacing="0" w:afterAutospacing="0" w:line="480" w:lineRule="auto"/>
        <w:ind w:firstLine="883"/>
        <w:jc w:val="center"/>
        <w:rPr>
          <w:color w:val="auto"/>
          <w:highlight w:val="none"/>
        </w:rPr>
      </w:pPr>
      <w:bookmarkStart w:id="0" w:name="_Toc20823272"/>
      <w:bookmarkStart w:id="1" w:name="_Toc523127445"/>
      <w:bookmarkStart w:id="2" w:name="_Toc120614210"/>
      <w:bookmarkStart w:id="3" w:name="_Toc513029200"/>
      <w:bookmarkStart w:id="4" w:name="_Toc16938516"/>
      <w:bookmarkStart w:id="5" w:name="_Toc479757206"/>
      <w:r>
        <w:rPr>
          <w:rFonts w:ascii="黑体" w:hAnsi="宋体" w:eastAsia="黑体" w:cs="黑体"/>
          <w:b/>
          <w:color w:val="auto"/>
          <w:sz w:val="44"/>
          <w:szCs w:val="44"/>
          <w:highlight w:val="none"/>
        </w:rPr>
        <w:t>总  目  录</w:t>
      </w:r>
      <w:bookmarkEnd w:id="0"/>
      <w:bookmarkEnd w:id="1"/>
      <w:bookmarkEnd w:id="2"/>
      <w:bookmarkEnd w:id="3"/>
      <w:bookmarkEnd w:id="4"/>
      <w:bookmarkEnd w:id="5"/>
    </w:p>
    <w:p w14:paraId="3FD914EA">
      <w:pPr>
        <w:pStyle w:val="32"/>
        <w:spacing w:beforeAutospacing="0" w:afterAutospacing="0" w:line="480" w:lineRule="auto"/>
        <w:jc w:val="both"/>
        <w:rPr>
          <w:color w:val="auto"/>
          <w:highlight w:val="none"/>
        </w:rPr>
      </w:pPr>
      <w:r>
        <w:rPr>
          <w:color w:val="auto"/>
          <w:highlight w:val="none"/>
        </w:rPr>
        <w:t> </w:t>
      </w:r>
    </w:p>
    <w:p w14:paraId="00D52FCA">
      <w:pPr>
        <w:pStyle w:val="32"/>
        <w:tabs>
          <w:tab w:val="left" w:pos="1441"/>
        </w:tabs>
        <w:spacing w:beforeAutospacing="0" w:afterAutospacing="0" w:line="480" w:lineRule="auto"/>
        <w:ind w:firstLine="720"/>
        <w:jc w:val="center"/>
        <w:rPr>
          <w:color w:val="auto"/>
          <w:highlight w:val="none"/>
        </w:rPr>
      </w:pPr>
      <w:r>
        <w:rPr>
          <w:rFonts w:hint="eastAsia" w:ascii="黑体" w:hAnsi="宋体" w:eastAsia="黑体" w:cs="黑体"/>
          <w:color w:val="auto"/>
          <w:sz w:val="36"/>
          <w:szCs w:val="36"/>
          <w:highlight w:val="none"/>
        </w:rPr>
        <w:t>招标公告……………………………………</w:t>
      </w:r>
    </w:p>
    <w:p w14:paraId="61980F2B">
      <w:pPr>
        <w:pStyle w:val="32"/>
        <w:tabs>
          <w:tab w:val="left" w:pos="1441"/>
        </w:tabs>
        <w:spacing w:beforeAutospacing="0" w:afterAutospacing="0" w:line="480" w:lineRule="auto"/>
        <w:ind w:firstLine="720"/>
        <w:jc w:val="center"/>
        <w:rPr>
          <w:color w:val="auto"/>
          <w:highlight w:val="none"/>
        </w:rPr>
      </w:pPr>
      <w:r>
        <w:rPr>
          <w:rFonts w:hint="eastAsia" w:ascii="黑体" w:hAnsi="宋体" w:eastAsia="黑体" w:cs="黑体"/>
          <w:color w:val="auto"/>
          <w:sz w:val="36"/>
          <w:szCs w:val="36"/>
          <w:highlight w:val="none"/>
        </w:rPr>
        <w:t>投标人须知…………………………………</w:t>
      </w:r>
    </w:p>
    <w:p w14:paraId="22B7D278">
      <w:pPr>
        <w:pStyle w:val="32"/>
        <w:tabs>
          <w:tab w:val="left" w:pos="1441"/>
        </w:tabs>
        <w:spacing w:beforeAutospacing="0" w:afterAutospacing="0" w:line="480" w:lineRule="auto"/>
        <w:ind w:firstLine="720"/>
        <w:jc w:val="center"/>
        <w:rPr>
          <w:color w:val="auto"/>
          <w:highlight w:val="none"/>
        </w:rPr>
      </w:pPr>
      <w:r>
        <w:rPr>
          <w:rFonts w:hint="eastAsia" w:ascii="黑体" w:hAnsi="宋体" w:eastAsia="黑体" w:cs="黑体"/>
          <w:color w:val="auto"/>
          <w:sz w:val="36"/>
          <w:szCs w:val="36"/>
          <w:highlight w:val="none"/>
        </w:rPr>
        <w:t>合同文本……………………………………</w:t>
      </w:r>
    </w:p>
    <w:p w14:paraId="43B2BB32">
      <w:pPr>
        <w:pStyle w:val="32"/>
        <w:tabs>
          <w:tab w:val="left" w:pos="1441"/>
        </w:tabs>
        <w:spacing w:beforeAutospacing="0" w:afterAutospacing="0" w:line="480" w:lineRule="auto"/>
        <w:ind w:firstLine="720"/>
        <w:jc w:val="center"/>
        <w:rPr>
          <w:color w:val="auto"/>
          <w:highlight w:val="none"/>
        </w:rPr>
      </w:pPr>
      <w:r>
        <w:rPr>
          <w:rFonts w:hint="eastAsia" w:ascii="黑体" w:hAnsi="宋体" w:eastAsia="黑体" w:cs="黑体"/>
          <w:color w:val="auto"/>
          <w:sz w:val="36"/>
          <w:szCs w:val="36"/>
          <w:highlight w:val="none"/>
        </w:rPr>
        <w:t>采购需求……………………………………</w:t>
      </w:r>
    </w:p>
    <w:p w14:paraId="5DE90EE9">
      <w:pPr>
        <w:pStyle w:val="32"/>
        <w:tabs>
          <w:tab w:val="left" w:pos="1441"/>
        </w:tabs>
        <w:spacing w:beforeAutospacing="0" w:afterAutospacing="0" w:line="480" w:lineRule="auto"/>
        <w:ind w:firstLine="720"/>
        <w:jc w:val="center"/>
        <w:rPr>
          <w:color w:val="auto"/>
          <w:highlight w:val="none"/>
        </w:rPr>
      </w:pPr>
      <w:r>
        <w:rPr>
          <w:rFonts w:hint="eastAsia" w:ascii="黑体" w:hAnsi="宋体" w:eastAsia="黑体" w:cs="黑体"/>
          <w:color w:val="auto"/>
          <w:sz w:val="36"/>
          <w:szCs w:val="36"/>
          <w:highlight w:val="none"/>
        </w:rPr>
        <w:t>评标方法与评标标准………………………</w:t>
      </w:r>
    </w:p>
    <w:p w14:paraId="05FF9357">
      <w:pPr>
        <w:pStyle w:val="32"/>
        <w:tabs>
          <w:tab w:val="left" w:pos="1441"/>
        </w:tabs>
        <w:spacing w:beforeAutospacing="0" w:afterAutospacing="0" w:line="480" w:lineRule="auto"/>
        <w:ind w:firstLine="720"/>
        <w:jc w:val="center"/>
        <w:rPr>
          <w:color w:val="auto"/>
          <w:highlight w:val="none"/>
        </w:rPr>
      </w:pPr>
      <w:r>
        <w:rPr>
          <w:rFonts w:hint="eastAsia" w:ascii="黑体" w:hAnsi="宋体" w:eastAsia="黑体" w:cs="黑体"/>
          <w:color w:val="auto"/>
          <w:sz w:val="36"/>
          <w:szCs w:val="36"/>
          <w:highlight w:val="none"/>
        </w:rPr>
        <w:t>投标文件格式………………………………</w:t>
      </w:r>
    </w:p>
    <w:p w14:paraId="1C9CE2FC">
      <w:pPr>
        <w:pStyle w:val="32"/>
        <w:spacing w:beforeAutospacing="0" w:afterAutospacing="0"/>
        <w:jc w:val="both"/>
        <w:rPr>
          <w:color w:val="auto"/>
          <w:highlight w:val="none"/>
        </w:rPr>
      </w:pPr>
      <w:r>
        <w:rPr>
          <w:color w:val="auto"/>
          <w:highlight w:val="none"/>
        </w:rPr>
        <w:t> </w:t>
      </w:r>
    </w:p>
    <w:p w14:paraId="2C2307F7">
      <w:pPr>
        <w:pStyle w:val="32"/>
        <w:spacing w:beforeAutospacing="0" w:afterAutospacing="0"/>
        <w:jc w:val="both"/>
        <w:rPr>
          <w:color w:val="auto"/>
          <w:highlight w:val="none"/>
        </w:rPr>
      </w:pPr>
      <w:r>
        <w:rPr>
          <w:color w:val="auto"/>
          <w:highlight w:val="none"/>
        </w:rPr>
        <w:t> </w:t>
      </w:r>
    </w:p>
    <w:p w14:paraId="6A5E73A3">
      <w:pPr>
        <w:pStyle w:val="32"/>
        <w:spacing w:beforeAutospacing="0" w:afterAutospacing="0"/>
        <w:jc w:val="both"/>
        <w:rPr>
          <w:color w:val="auto"/>
          <w:highlight w:val="none"/>
        </w:rPr>
      </w:pPr>
      <w:r>
        <w:rPr>
          <w:color w:val="auto"/>
          <w:highlight w:val="none"/>
        </w:rPr>
        <w:t> </w:t>
      </w:r>
    </w:p>
    <w:p w14:paraId="692436F8">
      <w:pPr>
        <w:pStyle w:val="32"/>
        <w:spacing w:beforeAutospacing="0" w:afterAutospacing="0"/>
        <w:jc w:val="both"/>
        <w:rPr>
          <w:color w:val="auto"/>
          <w:highlight w:val="none"/>
        </w:rPr>
      </w:pPr>
      <w:r>
        <w:rPr>
          <w:color w:val="auto"/>
          <w:highlight w:val="none"/>
        </w:rPr>
        <w:t> </w:t>
      </w:r>
    </w:p>
    <w:p w14:paraId="6E60B218">
      <w:pPr>
        <w:pStyle w:val="32"/>
        <w:spacing w:beforeAutospacing="0" w:afterAutospacing="0"/>
        <w:jc w:val="both"/>
        <w:rPr>
          <w:color w:val="auto"/>
          <w:highlight w:val="none"/>
        </w:rPr>
      </w:pPr>
      <w:r>
        <w:rPr>
          <w:color w:val="auto"/>
          <w:highlight w:val="none"/>
        </w:rPr>
        <w:t> </w:t>
      </w:r>
    </w:p>
    <w:p w14:paraId="5000BDAE">
      <w:pPr>
        <w:pStyle w:val="32"/>
        <w:spacing w:beforeAutospacing="0" w:afterAutospacing="0"/>
        <w:jc w:val="both"/>
        <w:rPr>
          <w:color w:val="auto"/>
          <w:highlight w:val="none"/>
        </w:rPr>
      </w:pPr>
      <w:r>
        <w:rPr>
          <w:color w:val="auto"/>
          <w:highlight w:val="none"/>
        </w:rPr>
        <w:t> </w:t>
      </w:r>
    </w:p>
    <w:p w14:paraId="624FAAAE">
      <w:pPr>
        <w:pStyle w:val="32"/>
        <w:spacing w:beforeAutospacing="0" w:afterAutospacing="0"/>
        <w:jc w:val="both"/>
        <w:rPr>
          <w:color w:val="auto"/>
          <w:highlight w:val="none"/>
        </w:rPr>
      </w:pPr>
      <w:r>
        <w:rPr>
          <w:color w:val="auto"/>
          <w:highlight w:val="none"/>
        </w:rPr>
        <w:t> </w:t>
      </w:r>
    </w:p>
    <w:p w14:paraId="11E924CC">
      <w:pPr>
        <w:pStyle w:val="32"/>
        <w:spacing w:beforeAutospacing="0" w:afterAutospacing="0"/>
        <w:jc w:val="both"/>
        <w:rPr>
          <w:color w:val="auto"/>
          <w:highlight w:val="none"/>
        </w:rPr>
      </w:pPr>
      <w:r>
        <w:rPr>
          <w:color w:val="auto"/>
          <w:highlight w:val="none"/>
        </w:rPr>
        <w:t> </w:t>
      </w:r>
    </w:p>
    <w:p w14:paraId="7C0D8268">
      <w:pPr>
        <w:pStyle w:val="32"/>
        <w:spacing w:beforeAutospacing="0" w:afterAutospacing="0"/>
        <w:jc w:val="both"/>
        <w:rPr>
          <w:color w:val="auto"/>
          <w:highlight w:val="none"/>
        </w:rPr>
      </w:pPr>
      <w:r>
        <w:rPr>
          <w:color w:val="auto"/>
          <w:highlight w:val="none"/>
        </w:rPr>
        <w:t> </w:t>
      </w:r>
    </w:p>
    <w:p w14:paraId="49E6D093">
      <w:pPr>
        <w:pStyle w:val="32"/>
        <w:spacing w:beforeAutospacing="0" w:afterAutospacing="0"/>
        <w:jc w:val="both"/>
        <w:rPr>
          <w:color w:val="auto"/>
          <w:highlight w:val="none"/>
        </w:rPr>
      </w:pPr>
      <w:r>
        <w:rPr>
          <w:color w:val="auto"/>
          <w:highlight w:val="none"/>
        </w:rPr>
        <w:t> </w:t>
      </w:r>
    </w:p>
    <w:p w14:paraId="6A6D5903">
      <w:pPr>
        <w:pStyle w:val="32"/>
        <w:spacing w:beforeAutospacing="0" w:afterAutospacing="0"/>
        <w:jc w:val="both"/>
        <w:rPr>
          <w:color w:val="auto"/>
          <w:highlight w:val="none"/>
        </w:rPr>
      </w:pPr>
      <w:r>
        <w:rPr>
          <w:color w:val="auto"/>
          <w:highlight w:val="none"/>
        </w:rPr>
        <w:t> </w:t>
      </w:r>
    </w:p>
    <w:p w14:paraId="14DCACCF">
      <w:pPr>
        <w:pStyle w:val="32"/>
        <w:spacing w:beforeAutospacing="0" w:afterAutospacing="0"/>
        <w:jc w:val="both"/>
        <w:rPr>
          <w:color w:val="auto"/>
          <w:highlight w:val="none"/>
        </w:rPr>
      </w:pPr>
      <w:r>
        <w:rPr>
          <w:color w:val="auto"/>
          <w:highlight w:val="none"/>
        </w:rPr>
        <w:t> </w:t>
      </w:r>
    </w:p>
    <w:p w14:paraId="4983C04E">
      <w:pPr>
        <w:pStyle w:val="32"/>
        <w:spacing w:beforeAutospacing="0" w:afterAutospacing="0"/>
        <w:jc w:val="both"/>
        <w:rPr>
          <w:color w:val="auto"/>
          <w:highlight w:val="none"/>
        </w:rPr>
      </w:pPr>
      <w:r>
        <w:rPr>
          <w:color w:val="auto"/>
          <w:highlight w:val="none"/>
        </w:rPr>
        <w:t> </w:t>
      </w:r>
    </w:p>
    <w:p w14:paraId="5C4E6E2B">
      <w:pPr>
        <w:pStyle w:val="32"/>
        <w:spacing w:beforeAutospacing="0" w:afterAutospacing="0"/>
        <w:jc w:val="both"/>
        <w:rPr>
          <w:color w:val="auto"/>
          <w:highlight w:val="none"/>
        </w:rPr>
      </w:pPr>
      <w:r>
        <w:rPr>
          <w:color w:val="auto"/>
          <w:highlight w:val="none"/>
        </w:rPr>
        <w:t> </w:t>
      </w:r>
    </w:p>
    <w:p w14:paraId="04411B95">
      <w:pPr>
        <w:pStyle w:val="32"/>
        <w:spacing w:beforeAutospacing="0" w:afterAutospacing="0"/>
        <w:jc w:val="both"/>
        <w:rPr>
          <w:color w:val="auto"/>
          <w:highlight w:val="none"/>
        </w:rPr>
      </w:pPr>
      <w:r>
        <w:rPr>
          <w:color w:val="auto"/>
          <w:highlight w:val="none"/>
        </w:rPr>
        <w:t> </w:t>
      </w:r>
    </w:p>
    <w:p w14:paraId="7406D95F">
      <w:pPr>
        <w:pStyle w:val="32"/>
        <w:spacing w:beforeAutospacing="0" w:afterAutospacing="0"/>
        <w:jc w:val="both"/>
        <w:rPr>
          <w:color w:val="auto"/>
          <w:highlight w:val="none"/>
        </w:rPr>
      </w:pPr>
      <w:r>
        <w:rPr>
          <w:color w:val="auto"/>
          <w:highlight w:val="none"/>
        </w:rPr>
        <w:t> </w:t>
      </w:r>
    </w:p>
    <w:p w14:paraId="545CB52E">
      <w:pPr>
        <w:pStyle w:val="32"/>
        <w:spacing w:beforeAutospacing="0" w:afterAutospacing="0"/>
        <w:jc w:val="both"/>
        <w:rPr>
          <w:color w:val="auto"/>
          <w:highlight w:val="none"/>
        </w:rPr>
      </w:pPr>
      <w:r>
        <w:rPr>
          <w:color w:val="auto"/>
          <w:highlight w:val="none"/>
        </w:rPr>
        <w:t> </w:t>
      </w:r>
    </w:p>
    <w:p w14:paraId="689B7E46">
      <w:pPr>
        <w:pStyle w:val="32"/>
        <w:spacing w:beforeAutospacing="0" w:afterAutospacing="0"/>
        <w:jc w:val="both"/>
        <w:rPr>
          <w:color w:val="auto"/>
          <w:highlight w:val="none"/>
        </w:rPr>
      </w:pPr>
      <w:r>
        <w:rPr>
          <w:color w:val="auto"/>
          <w:highlight w:val="none"/>
        </w:rPr>
        <w:t> </w:t>
      </w:r>
    </w:p>
    <w:p w14:paraId="40ADE91B">
      <w:pPr>
        <w:pStyle w:val="32"/>
        <w:spacing w:beforeAutospacing="0" w:afterAutospacing="0"/>
        <w:jc w:val="both"/>
        <w:rPr>
          <w:color w:val="auto"/>
          <w:highlight w:val="none"/>
        </w:rPr>
      </w:pPr>
      <w:r>
        <w:rPr>
          <w:color w:val="auto"/>
          <w:highlight w:val="none"/>
        </w:rPr>
        <w:t> </w:t>
      </w:r>
    </w:p>
    <w:p w14:paraId="13871B36">
      <w:pPr>
        <w:pStyle w:val="32"/>
        <w:spacing w:beforeAutospacing="0" w:afterAutospacing="0"/>
        <w:jc w:val="both"/>
        <w:rPr>
          <w:color w:val="auto"/>
          <w:highlight w:val="none"/>
        </w:rPr>
      </w:pPr>
      <w:r>
        <w:rPr>
          <w:color w:val="auto"/>
          <w:highlight w:val="none"/>
        </w:rPr>
        <w:t> </w:t>
      </w:r>
    </w:p>
    <w:p w14:paraId="26AAB5E4">
      <w:pPr>
        <w:pStyle w:val="32"/>
        <w:keepNext/>
        <w:spacing w:beforeAutospacing="0" w:afterAutospacing="0"/>
        <w:ind w:firstLine="880"/>
        <w:jc w:val="center"/>
        <w:rPr>
          <w:rFonts w:eastAsia="黑体"/>
          <w:color w:val="auto"/>
          <w:highlight w:val="none"/>
        </w:rPr>
      </w:pPr>
      <w:r>
        <w:rPr>
          <w:rFonts w:hint="eastAsia" w:ascii="黑体" w:hAnsi="宋体" w:eastAsia="黑体" w:cs="黑体"/>
          <w:color w:val="auto"/>
          <w:sz w:val="44"/>
          <w:szCs w:val="44"/>
          <w:highlight w:val="none"/>
        </w:rPr>
        <w:t>第一章 招标公告</w:t>
      </w:r>
    </w:p>
    <w:p w14:paraId="240C74A0">
      <w:pPr>
        <w:pStyle w:val="32"/>
        <w:pBdr>
          <w:top w:val="single" w:color="000000" w:sz="4" w:space="0"/>
          <w:left w:val="single" w:color="000000" w:sz="4" w:space="0"/>
          <w:bottom w:val="single" w:color="000000" w:sz="4" w:space="0"/>
          <w:right w:val="single" w:color="000000" w:sz="4" w:space="0"/>
        </w:pBdr>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项目概况</w:t>
      </w:r>
    </w:p>
    <w:p w14:paraId="6F5EFB94">
      <w:pPr>
        <w:pStyle w:val="32"/>
        <w:pBdr>
          <w:top w:val="single" w:color="000000" w:sz="4" w:space="0"/>
          <w:left w:val="single" w:color="000000" w:sz="4" w:space="0"/>
          <w:bottom w:val="single" w:color="000000" w:sz="4" w:space="0"/>
          <w:right w:val="single" w:color="000000" w:sz="4" w:space="0"/>
        </w:pBdr>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u w:val="single"/>
          <w:lang w:eastAsia="zh-CN"/>
        </w:rPr>
        <w:t>东台市残疾人综合服务中心专业设备设施采购项目</w:t>
      </w:r>
      <w:r>
        <w:rPr>
          <w:rFonts w:hint="eastAsia" w:ascii="宋体" w:hAnsi="宋体" w:eastAsia="宋体" w:cs="宋体"/>
          <w:color w:val="auto"/>
          <w:highlight w:val="none"/>
        </w:rPr>
        <w:t>的潜在投标人可在</w:t>
      </w:r>
      <w:r>
        <w:rPr>
          <w:rFonts w:hint="eastAsia" w:ascii="宋体" w:hAnsi="宋体" w:eastAsia="宋体" w:cs="宋体"/>
          <w:color w:val="auto"/>
          <w:highlight w:val="none"/>
          <w:shd w:val="clear" w:color="auto" w:fill="FFFFFF"/>
        </w:rPr>
        <w:t>“苏采云”系统内免费下载（投标人必须在苏采云系统中获取采购文件，方能参与政府采购项目）</w:t>
      </w:r>
      <w:r>
        <w:rPr>
          <w:rFonts w:hint="eastAsia" w:ascii="宋体" w:hAnsi="宋体" w:eastAsia="宋体" w:cs="宋体"/>
          <w:color w:val="auto"/>
          <w:highlight w:val="none"/>
        </w:rPr>
        <w:t>，并于</w:t>
      </w:r>
      <w:r>
        <w:rPr>
          <w:rFonts w:hint="eastAsia" w:ascii="宋体" w:hAnsi="宋体" w:eastAsia="宋体" w:cs="宋体"/>
          <w:color w:val="auto"/>
          <w:highlight w:val="none"/>
          <w:u w:val="single"/>
        </w:rPr>
        <w:t>2026</w:t>
      </w:r>
      <w:r>
        <w:rPr>
          <w:rFonts w:hint="eastAsia" w:ascii="宋体" w:hAnsi="宋体" w:eastAsia="宋体" w:cs="宋体"/>
          <w:color w:val="auto"/>
          <w:highlight w:val="none"/>
        </w:rPr>
        <w:t>年</w:t>
      </w:r>
      <w:r>
        <w:rPr>
          <w:rFonts w:hint="eastAsia" w:ascii="宋体" w:hAnsi="宋体" w:eastAsia="宋体" w:cs="宋体"/>
          <w:color w:val="auto"/>
          <w:highlight w:val="none"/>
          <w:u w:val="single"/>
          <w:lang w:val="en-US" w:eastAsia="zh-CN"/>
        </w:rPr>
        <w:t>5</w:t>
      </w:r>
      <w:r>
        <w:rPr>
          <w:rFonts w:hint="eastAsia" w:ascii="宋体" w:hAnsi="宋体" w:eastAsia="宋体" w:cs="宋体"/>
          <w:color w:val="auto"/>
          <w:highlight w:val="none"/>
        </w:rPr>
        <w:t>月</w:t>
      </w:r>
      <w:r>
        <w:rPr>
          <w:rFonts w:hint="eastAsia" w:ascii="宋体" w:hAnsi="宋体" w:eastAsia="宋体" w:cs="宋体"/>
          <w:color w:val="auto"/>
          <w:highlight w:val="none"/>
          <w:u w:val="single"/>
          <w:lang w:val="en-US" w:eastAsia="zh-CN"/>
        </w:rPr>
        <w:t xml:space="preserve"> 12</w:t>
      </w:r>
      <w:r>
        <w:rPr>
          <w:rFonts w:hint="eastAsia" w:ascii="宋体" w:hAnsi="宋体" w:eastAsia="宋体" w:cs="宋体"/>
          <w:color w:val="auto"/>
          <w:highlight w:val="none"/>
        </w:rPr>
        <w:t>日</w:t>
      </w:r>
      <w:r>
        <w:rPr>
          <w:rFonts w:hint="eastAsia" w:ascii="宋体" w:hAnsi="宋体" w:eastAsia="宋体" w:cs="宋体"/>
          <w:color w:val="auto"/>
          <w:highlight w:val="none"/>
          <w:u w:val="single"/>
          <w:lang w:val="en-US" w:eastAsia="zh-CN"/>
        </w:rPr>
        <w:t>9</w:t>
      </w:r>
      <w:r>
        <w:rPr>
          <w:rFonts w:hint="eastAsia" w:ascii="宋体" w:hAnsi="宋体" w:eastAsia="宋体" w:cs="宋体"/>
          <w:color w:val="auto"/>
          <w:highlight w:val="none"/>
        </w:rPr>
        <w:t>点</w:t>
      </w:r>
      <w:r>
        <w:rPr>
          <w:rFonts w:hint="eastAsia" w:ascii="宋体" w:hAnsi="宋体" w:eastAsia="宋体" w:cs="宋体"/>
          <w:color w:val="auto"/>
          <w:highlight w:val="none"/>
          <w:u w:val="single"/>
          <w:lang w:val="en-US" w:eastAsia="zh-CN"/>
        </w:rPr>
        <w:t>00</w:t>
      </w:r>
      <w:r>
        <w:rPr>
          <w:rFonts w:hint="eastAsia" w:ascii="宋体" w:hAnsi="宋体" w:eastAsia="宋体" w:cs="宋体"/>
          <w:color w:val="auto"/>
          <w:highlight w:val="none"/>
        </w:rPr>
        <w:t>分（北京时间）前递交投标文件。</w:t>
      </w:r>
    </w:p>
    <w:p w14:paraId="0A8D2C3A">
      <w:pPr>
        <w:pStyle w:val="32"/>
        <w:keepNext/>
        <w:keepLines/>
        <w:spacing w:beforeAutospacing="0" w:afterAutospacing="0" w:line="480" w:lineRule="exact"/>
        <w:ind w:firstLine="482"/>
        <w:jc w:val="both"/>
        <w:rPr>
          <w:rFonts w:hint="eastAsia" w:ascii="宋体" w:hAnsi="宋体" w:eastAsia="宋体" w:cs="宋体"/>
          <w:color w:val="auto"/>
          <w:highlight w:val="none"/>
        </w:rPr>
      </w:pPr>
      <w:bookmarkStart w:id="6" w:name="_Toc35393621"/>
      <w:bookmarkStart w:id="7" w:name="_Toc28359002"/>
      <w:bookmarkStart w:id="8" w:name="_Toc28359079"/>
      <w:bookmarkStart w:id="9" w:name="_Toc38985263"/>
      <w:bookmarkStart w:id="10" w:name="_Toc35393790"/>
      <w:bookmarkStart w:id="11" w:name="_Hlk24379207"/>
      <w:r>
        <w:rPr>
          <w:rFonts w:hint="eastAsia" w:ascii="宋体" w:hAnsi="宋体" w:eastAsia="宋体" w:cs="宋体"/>
          <w:b/>
          <w:color w:val="auto"/>
          <w:highlight w:val="none"/>
        </w:rPr>
        <w:t>一、项目基本情况</w:t>
      </w:r>
      <w:bookmarkEnd w:id="6"/>
      <w:bookmarkEnd w:id="7"/>
      <w:bookmarkEnd w:id="8"/>
      <w:bookmarkEnd w:id="9"/>
      <w:bookmarkEnd w:id="10"/>
      <w:bookmarkEnd w:id="11"/>
    </w:p>
    <w:p w14:paraId="769557B8">
      <w:pPr>
        <w:pStyle w:val="32"/>
        <w:spacing w:beforeAutospacing="0" w:afterAutospacing="0" w:line="480" w:lineRule="exact"/>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1.项目编号：</w:t>
      </w:r>
      <w:r>
        <w:rPr>
          <w:rFonts w:hint="eastAsia" w:ascii="宋体" w:hAnsi="宋体" w:eastAsia="宋体" w:cs="宋体"/>
          <w:color w:val="auto"/>
          <w:highlight w:val="none"/>
          <w:lang w:val="en-US" w:eastAsia="zh-CN"/>
        </w:rPr>
        <w:t xml:space="preserve"> </w:t>
      </w:r>
    </w:p>
    <w:p w14:paraId="63FF67DB">
      <w:pPr>
        <w:pStyle w:val="32"/>
        <w:spacing w:beforeAutospacing="0" w:afterAutospacing="0" w:line="480" w:lineRule="exact"/>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2.项目名称：</w:t>
      </w:r>
      <w:r>
        <w:rPr>
          <w:rFonts w:hint="eastAsia" w:ascii="宋体" w:hAnsi="宋体" w:eastAsia="宋体" w:cs="宋体"/>
          <w:color w:val="auto"/>
          <w:highlight w:val="none"/>
          <w:lang w:eastAsia="zh-CN"/>
        </w:rPr>
        <w:t>东台市残疾人综合服务中心专业设备设施采购项目</w:t>
      </w:r>
    </w:p>
    <w:p w14:paraId="16E60EF8">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3.采购方式：公开招标</w:t>
      </w:r>
    </w:p>
    <w:p w14:paraId="7498DA38">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4.预算金额：</w:t>
      </w:r>
      <w:r>
        <w:rPr>
          <w:rFonts w:hint="eastAsia" w:ascii="宋体" w:hAnsi="宋体" w:eastAsia="宋体" w:cs="宋体"/>
          <w:color w:val="auto"/>
          <w:highlight w:val="none"/>
          <w:lang w:val="en-US" w:eastAsia="zh-CN"/>
        </w:rPr>
        <w:t>250</w:t>
      </w:r>
      <w:r>
        <w:rPr>
          <w:rFonts w:hint="eastAsia" w:ascii="宋体" w:hAnsi="宋体" w:eastAsia="宋体" w:cs="宋体"/>
          <w:color w:val="auto"/>
          <w:highlight w:val="none"/>
        </w:rPr>
        <w:t>万元</w:t>
      </w:r>
    </w:p>
    <w:p w14:paraId="495F7D45">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5.最高限价：</w:t>
      </w:r>
      <w:r>
        <w:rPr>
          <w:rFonts w:hint="eastAsia" w:ascii="宋体" w:hAnsi="宋体" w:eastAsia="宋体" w:cs="宋体"/>
          <w:color w:val="auto"/>
          <w:highlight w:val="none"/>
          <w:lang w:val="en-US" w:eastAsia="zh-CN"/>
        </w:rPr>
        <w:t>250</w:t>
      </w:r>
      <w:r>
        <w:rPr>
          <w:rFonts w:hint="eastAsia" w:ascii="宋体" w:hAnsi="宋体" w:eastAsia="宋体" w:cs="宋体"/>
          <w:color w:val="auto"/>
          <w:highlight w:val="none"/>
        </w:rPr>
        <w:t>万元</w:t>
      </w:r>
    </w:p>
    <w:p w14:paraId="5B6CEC97">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6.采购需求：</w:t>
      </w:r>
      <w:r>
        <w:rPr>
          <w:rFonts w:hint="eastAsia" w:ascii="宋体" w:hAnsi="宋体" w:eastAsia="宋体" w:cs="宋体"/>
          <w:color w:val="auto"/>
          <w:highlight w:val="none"/>
          <w:lang w:eastAsia="zh-CN"/>
        </w:rPr>
        <w:t>东台市残疾人综合服务中心专业设备设施采购项目</w:t>
      </w:r>
      <w:r>
        <w:rPr>
          <w:rFonts w:hint="eastAsia" w:ascii="宋体" w:hAnsi="宋体" w:eastAsia="宋体" w:cs="宋体"/>
          <w:color w:val="auto"/>
          <w:highlight w:val="none"/>
        </w:rPr>
        <w:t>，详细内容见本招标文件第四章。（详细内容见本招标文件第四章）</w:t>
      </w:r>
    </w:p>
    <w:p w14:paraId="2999095D">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7.合同履行期限：</w:t>
      </w:r>
      <w:r>
        <w:rPr>
          <w:rFonts w:hint="eastAsia" w:ascii="宋体" w:hAnsi="宋体" w:eastAsia="宋体" w:cs="宋体"/>
          <w:color w:val="000000"/>
          <w:szCs w:val="28"/>
          <w:highlight w:val="none"/>
          <w:u w:val="none"/>
        </w:rPr>
        <w:t>合同签订之日起</w:t>
      </w:r>
      <w:r>
        <w:rPr>
          <w:rFonts w:hint="eastAsia" w:ascii="宋体" w:hAnsi="宋体" w:eastAsia="宋体" w:cs="宋体"/>
          <w:color w:val="000000"/>
          <w:szCs w:val="28"/>
          <w:highlight w:val="none"/>
          <w:u w:val="none"/>
          <w:lang w:val="en-US" w:eastAsia="zh-CN"/>
        </w:rPr>
        <w:t>60</w:t>
      </w:r>
      <w:r>
        <w:rPr>
          <w:rFonts w:hint="eastAsia" w:ascii="宋体" w:hAnsi="宋体" w:eastAsia="宋体" w:cs="宋体"/>
          <w:color w:val="000000"/>
          <w:szCs w:val="28"/>
          <w:highlight w:val="none"/>
          <w:u w:val="none"/>
        </w:rPr>
        <w:t>日历天</w:t>
      </w:r>
      <w:r>
        <w:rPr>
          <w:rFonts w:hint="eastAsia" w:ascii="宋体" w:hAnsi="宋体" w:eastAsia="宋体" w:cs="宋体"/>
          <w:color w:val="auto"/>
          <w:highlight w:val="none"/>
        </w:rPr>
        <w:t>。</w:t>
      </w:r>
    </w:p>
    <w:p w14:paraId="2198B43F">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8.本项目不接受联合体。</w:t>
      </w:r>
    </w:p>
    <w:p w14:paraId="243F3B37">
      <w:pPr>
        <w:pStyle w:val="32"/>
        <w:keepNext/>
        <w:keepLines/>
        <w:spacing w:beforeAutospacing="0" w:afterAutospacing="0" w:line="480" w:lineRule="exact"/>
        <w:ind w:firstLine="482"/>
        <w:jc w:val="both"/>
        <w:rPr>
          <w:rFonts w:hint="eastAsia" w:ascii="宋体" w:hAnsi="宋体" w:eastAsia="宋体" w:cs="宋体"/>
          <w:color w:val="auto"/>
          <w:highlight w:val="none"/>
        </w:rPr>
      </w:pPr>
      <w:bookmarkStart w:id="12" w:name="_Toc35393791"/>
      <w:bookmarkStart w:id="13" w:name="_Toc28359080"/>
      <w:bookmarkStart w:id="14" w:name="_Toc28359003"/>
      <w:bookmarkStart w:id="15" w:name="_Toc35393622"/>
      <w:bookmarkStart w:id="16" w:name="_Toc38985264"/>
      <w:r>
        <w:rPr>
          <w:rFonts w:hint="eastAsia" w:ascii="宋体" w:hAnsi="宋体" w:eastAsia="宋体" w:cs="宋体"/>
          <w:b/>
          <w:color w:val="auto"/>
          <w:highlight w:val="none"/>
        </w:rPr>
        <w:t>二、申请人的资格要求：</w:t>
      </w:r>
      <w:bookmarkEnd w:id="12"/>
      <w:bookmarkEnd w:id="13"/>
      <w:bookmarkEnd w:id="14"/>
      <w:bookmarkEnd w:id="15"/>
      <w:bookmarkEnd w:id="16"/>
    </w:p>
    <w:p w14:paraId="5997459C">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1.满足《中华人民共和国政府采购法》第二十二条规定，并提供下列材料：</w:t>
      </w:r>
    </w:p>
    <w:p w14:paraId="094B632F">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1.1 法人或者其他组织的营业执照等证明文件，自然人的身份证明；</w:t>
      </w:r>
    </w:p>
    <w:p w14:paraId="5F180B81">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1.2上一年度或上上年度的财务状况报表（成立不满一年无需提供）；</w:t>
      </w:r>
    </w:p>
    <w:p w14:paraId="589069F5">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1.3具备履行合同所必需的设备和专业技术能力的书面声明；</w:t>
      </w:r>
    </w:p>
    <w:p w14:paraId="0C5B2FC5">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1.4依法缴纳税收和社会保障资金的相关材料（提供提交投标文件截止时间前一年内至少一个月依法缴纳税收及缴纳社会保障资金的证明材料。供应商依法享受缓缴、免缴税收、社会保障资金的提供证明材料）；</w:t>
      </w:r>
    </w:p>
    <w:p w14:paraId="0D4B2319">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1.5参加政府采购活动前3年内在经营活动中没有重大违法记录的书面声明。</w:t>
      </w:r>
    </w:p>
    <w:p w14:paraId="41DA1DD6">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1.6法律、行政法规规定的其他条件。</w:t>
      </w:r>
    </w:p>
    <w:p w14:paraId="53905A04">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2077EF8F">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1.8单位负责人为同一人或者存在直接控股、管理关系的不同供应商，不得参加同一合同项下的政府采购活动。</w:t>
      </w:r>
    </w:p>
    <w:p w14:paraId="628A7EDA">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落实政府采购政策需满足的资格要求：本项目为专门面向中小微企业采购的项目，供应商必须为中小微企业、监狱企业、残疾人福利性单位，不接受非中小微企业参与本项目投标。投标文件中需提供《中小企业声明函》，否则按无效响应处理。具体中小企业划分标准详见《关于印发中小企业划型标准规定的通知》工信部联企业〔2011〕300号文件。因本项目专门面向中小微企业（残疾人福利性单位、监狱企业）采购，故不再执行价格评审优惠的扶持政策。</w:t>
      </w:r>
    </w:p>
    <w:p w14:paraId="4BCFC722">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监狱企业、残疾人福利性单位视同小微企业。</w:t>
      </w:r>
    </w:p>
    <w:p w14:paraId="553E066C">
      <w:pPr>
        <w:pStyle w:val="32"/>
        <w:widowControl/>
        <w:shd w:val="clear" w:color="auto" w:fill="FFFFFF"/>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3.本项目的特定资格要求：</w:t>
      </w:r>
    </w:p>
    <w:p w14:paraId="5131BA5C">
      <w:pPr>
        <w:pStyle w:val="32"/>
        <w:widowControl/>
        <w:shd w:val="clear" w:color="auto" w:fill="FFFFFF"/>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3.1供应商如委托被授权人参与，则被授权人须为本单位正式职工并提供供应商为被授权人缴纳的社会养老保险证明。</w:t>
      </w:r>
    </w:p>
    <w:p w14:paraId="1F5603AA">
      <w:pPr>
        <w:pStyle w:val="32"/>
        <w:keepNext/>
        <w:keepLines/>
        <w:spacing w:beforeAutospacing="0" w:afterAutospacing="0" w:line="480" w:lineRule="exact"/>
        <w:ind w:firstLine="482"/>
        <w:jc w:val="both"/>
        <w:rPr>
          <w:rFonts w:hint="eastAsia" w:ascii="宋体" w:hAnsi="宋体" w:eastAsia="宋体" w:cs="宋体"/>
          <w:color w:val="auto"/>
          <w:highlight w:val="none"/>
        </w:rPr>
      </w:pPr>
      <w:r>
        <w:rPr>
          <w:rFonts w:hint="eastAsia" w:ascii="宋体" w:hAnsi="宋体" w:eastAsia="宋体" w:cs="宋体"/>
          <w:b/>
          <w:color w:val="auto"/>
          <w:highlight w:val="none"/>
        </w:rPr>
        <w:t>三、获取招标文件</w:t>
      </w:r>
    </w:p>
    <w:p w14:paraId="3A7D1730">
      <w:pPr>
        <w:widowControl/>
        <w:spacing w:line="480" w:lineRule="exact"/>
        <w:ind w:firstLine="480"/>
        <w:jc w:val="left"/>
        <w:rPr>
          <w:rFonts w:hint="eastAsia" w:ascii="宋体" w:hAnsi="宋体" w:eastAsia="宋体" w:cs="宋体"/>
          <w:color w:val="auto"/>
          <w:sz w:val="24"/>
          <w:highlight w:val="none"/>
        </w:rPr>
      </w:pPr>
      <w:bookmarkStart w:id="17" w:name="_Toc35393793"/>
      <w:bookmarkStart w:id="18" w:name="_Toc38985266"/>
      <w:bookmarkStart w:id="19" w:name="_Toc28359082"/>
      <w:bookmarkStart w:id="20" w:name="_Toc28359005"/>
      <w:bookmarkStart w:id="21" w:name="_Toc35393624"/>
      <w:r>
        <w:rPr>
          <w:rFonts w:hint="eastAsia" w:ascii="宋体" w:hAnsi="宋体" w:eastAsia="宋体" w:cs="宋体"/>
          <w:color w:val="auto"/>
          <w:sz w:val="24"/>
          <w:highlight w:val="none"/>
        </w:rPr>
        <w:t>1.时间：</w:t>
      </w:r>
      <w:bookmarkEnd w:id="17"/>
      <w:bookmarkEnd w:id="18"/>
      <w:bookmarkEnd w:id="19"/>
      <w:bookmarkEnd w:id="20"/>
      <w:bookmarkEnd w:id="21"/>
      <w:r>
        <w:rPr>
          <w:rFonts w:hint="eastAsia" w:ascii="宋体" w:hAnsi="宋体" w:eastAsia="宋体" w:cs="宋体"/>
          <w:color w:val="auto"/>
          <w:sz w:val="24"/>
          <w:highlight w:val="none"/>
        </w:rPr>
        <w:t>自招标文件公告发布之日起5个工作日。</w:t>
      </w:r>
    </w:p>
    <w:p w14:paraId="5D90AF99">
      <w:pPr>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2.地点：“苏采云”系统内免费下载（投标人必须在苏采云系统中获取采购文件，方能参与政府采购项目）；</w:t>
      </w:r>
    </w:p>
    <w:p w14:paraId="15C4C936">
      <w:pPr>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3.方式：本项目采用网上注册登记方式。 </w:t>
      </w:r>
    </w:p>
    <w:p w14:paraId="5F6C90FA">
      <w:pPr>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4.售价：0元</w:t>
      </w:r>
    </w:p>
    <w:p w14:paraId="5F778A9F">
      <w:pPr>
        <w:pStyle w:val="32"/>
        <w:keepNext/>
        <w:keepLines/>
        <w:spacing w:beforeAutospacing="0" w:afterAutospacing="0" w:line="480" w:lineRule="exact"/>
        <w:ind w:firstLine="482"/>
        <w:jc w:val="both"/>
        <w:rPr>
          <w:rFonts w:hint="eastAsia" w:ascii="宋体" w:hAnsi="宋体" w:eastAsia="宋体" w:cs="宋体"/>
          <w:color w:val="auto"/>
          <w:highlight w:val="none"/>
        </w:rPr>
      </w:pPr>
      <w:r>
        <w:rPr>
          <w:rFonts w:hint="eastAsia" w:ascii="宋体" w:hAnsi="宋体" w:eastAsia="宋体" w:cs="宋体"/>
          <w:b/>
          <w:color w:val="auto"/>
          <w:highlight w:val="none"/>
        </w:rPr>
        <w:t>四、提交投标文件截止时间、开标时间和地点</w:t>
      </w:r>
    </w:p>
    <w:p w14:paraId="1DA2959B">
      <w:pPr>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1.时间：</w:t>
      </w:r>
      <w:r>
        <w:rPr>
          <w:rFonts w:hint="eastAsia" w:ascii="宋体" w:hAnsi="宋体" w:eastAsia="宋体" w:cs="宋体"/>
          <w:color w:val="auto"/>
          <w:sz w:val="24"/>
          <w:highlight w:val="none"/>
          <w:u w:val="single"/>
        </w:rPr>
        <w:t>2026</w:t>
      </w:r>
      <w:r>
        <w:rPr>
          <w:rFonts w:hint="eastAsia" w:ascii="宋体" w:hAnsi="宋体" w:eastAsia="宋体" w:cs="宋体"/>
          <w:color w:val="auto"/>
          <w:sz w:val="24"/>
          <w:highlight w:val="none"/>
        </w:rPr>
        <w:t>年</w:t>
      </w:r>
      <w:r>
        <w:rPr>
          <w:rFonts w:hint="eastAsia" w:ascii="宋体" w:hAnsi="宋体" w:eastAsia="宋体" w:cs="宋体"/>
          <w:color w:val="auto"/>
          <w:highlight w:val="none"/>
          <w:u w:val="single"/>
          <w:lang w:val="en-US" w:eastAsia="zh-CN"/>
        </w:rPr>
        <w:t>5</w:t>
      </w:r>
      <w:r>
        <w:rPr>
          <w:rFonts w:hint="eastAsia" w:ascii="宋体" w:hAnsi="宋体" w:eastAsia="宋体" w:cs="宋体"/>
          <w:color w:val="auto"/>
          <w:sz w:val="24"/>
          <w:highlight w:val="none"/>
        </w:rPr>
        <w:t>月</w:t>
      </w:r>
      <w:r>
        <w:rPr>
          <w:rFonts w:hint="eastAsia" w:ascii="宋体" w:hAnsi="宋体" w:eastAsia="宋体" w:cs="宋体"/>
          <w:color w:val="auto"/>
          <w:highlight w:val="none"/>
          <w:u w:val="single"/>
          <w:lang w:val="en-US" w:eastAsia="zh-CN"/>
        </w:rPr>
        <w:t>12</w:t>
      </w:r>
      <w:r>
        <w:rPr>
          <w:rFonts w:hint="eastAsia" w:ascii="宋体" w:hAnsi="宋体" w:eastAsia="宋体" w:cs="宋体"/>
          <w:color w:val="auto"/>
          <w:sz w:val="24"/>
          <w:highlight w:val="none"/>
        </w:rPr>
        <w:t>日</w:t>
      </w:r>
      <w:r>
        <w:rPr>
          <w:rFonts w:hint="eastAsia" w:ascii="宋体" w:hAnsi="宋体" w:eastAsia="宋体" w:cs="宋体"/>
          <w:color w:val="auto"/>
          <w:highlight w:val="none"/>
          <w:u w:val="single"/>
          <w:lang w:val="en-US" w:eastAsia="zh-CN"/>
        </w:rPr>
        <w:t>9</w:t>
      </w:r>
      <w:r>
        <w:rPr>
          <w:rFonts w:hint="eastAsia" w:ascii="宋体" w:hAnsi="宋体" w:eastAsia="宋体" w:cs="宋体"/>
          <w:color w:val="auto"/>
          <w:sz w:val="24"/>
          <w:highlight w:val="none"/>
        </w:rPr>
        <w:t>点</w:t>
      </w:r>
      <w:r>
        <w:rPr>
          <w:rFonts w:hint="eastAsia" w:ascii="宋体" w:hAnsi="宋体" w:eastAsia="宋体" w:cs="宋体"/>
          <w:color w:val="auto"/>
          <w:sz w:val="24"/>
          <w:highlight w:val="none"/>
          <w:u w:val="single"/>
          <w:lang w:val="en-US" w:eastAsia="zh-CN"/>
        </w:rPr>
        <w:t>00</w:t>
      </w:r>
      <w:r>
        <w:rPr>
          <w:rFonts w:hint="eastAsia" w:ascii="宋体" w:hAnsi="宋体" w:eastAsia="宋体" w:cs="宋体"/>
          <w:color w:val="auto"/>
          <w:sz w:val="24"/>
          <w:highlight w:val="none"/>
        </w:rPr>
        <w:t>分（北京时间）</w:t>
      </w:r>
    </w:p>
    <w:p w14:paraId="2F8BE8BD">
      <w:pPr>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2.地点：“苏采云”政府采购交易系统网上开标大厅。</w:t>
      </w:r>
    </w:p>
    <w:p w14:paraId="1731DB00">
      <w:pPr>
        <w:pStyle w:val="32"/>
        <w:keepNext/>
        <w:keepLines/>
        <w:spacing w:beforeAutospacing="0" w:afterAutospacing="0" w:line="480" w:lineRule="exact"/>
        <w:ind w:firstLine="482"/>
        <w:jc w:val="both"/>
        <w:rPr>
          <w:rFonts w:hint="eastAsia" w:ascii="宋体" w:hAnsi="宋体" w:eastAsia="宋体" w:cs="宋体"/>
          <w:color w:val="auto"/>
          <w:highlight w:val="none"/>
        </w:rPr>
      </w:pPr>
      <w:bookmarkStart w:id="22" w:name="_Toc28359084"/>
      <w:bookmarkStart w:id="23" w:name="_Toc28359007"/>
      <w:bookmarkStart w:id="24" w:name="_Toc35393794"/>
      <w:bookmarkStart w:id="25" w:name="_Toc35393625"/>
      <w:bookmarkStart w:id="26" w:name="_Toc38985267"/>
      <w:r>
        <w:rPr>
          <w:rFonts w:hint="eastAsia" w:ascii="宋体" w:hAnsi="宋体" w:eastAsia="宋体" w:cs="宋体"/>
          <w:b/>
          <w:color w:val="auto"/>
          <w:highlight w:val="none"/>
        </w:rPr>
        <w:t>五、公告期限</w:t>
      </w:r>
      <w:bookmarkEnd w:id="22"/>
      <w:bookmarkEnd w:id="23"/>
      <w:bookmarkEnd w:id="24"/>
      <w:bookmarkEnd w:id="25"/>
      <w:bookmarkEnd w:id="26"/>
    </w:p>
    <w:p w14:paraId="43524AB8">
      <w:pPr>
        <w:pStyle w:val="32"/>
        <w:widowControl/>
        <w:shd w:val="clear" w:color="auto" w:fill="FFFFFF"/>
        <w:spacing w:beforeAutospacing="0" w:afterAutospacing="0" w:line="480" w:lineRule="exact"/>
        <w:ind w:firstLine="480"/>
        <w:jc w:val="both"/>
        <w:rPr>
          <w:rFonts w:hint="eastAsia" w:ascii="宋体" w:hAnsi="宋体" w:eastAsia="宋体" w:cs="宋体"/>
          <w:color w:val="auto"/>
          <w:highlight w:val="none"/>
          <w:shd w:val="clear" w:color="auto" w:fill="FFFFFF"/>
        </w:rPr>
      </w:pPr>
      <w:bookmarkStart w:id="27" w:name="_Toc35393626"/>
      <w:bookmarkStart w:id="28" w:name="_Toc38985268"/>
      <w:bookmarkStart w:id="29" w:name="_Toc35393795"/>
      <w:r>
        <w:rPr>
          <w:rFonts w:hint="eastAsia" w:ascii="宋体" w:hAnsi="宋体" w:eastAsia="宋体" w:cs="宋体"/>
          <w:color w:val="auto"/>
          <w:highlight w:val="none"/>
          <w:shd w:val="clear" w:color="auto" w:fill="FFFFFF"/>
        </w:rPr>
        <w:t>自本公告发布之日起5个工作日。</w:t>
      </w:r>
      <w:bookmarkEnd w:id="27"/>
      <w:bookmarkEnd w:id="28"/>
      <w:bookmarkEnd w:id="29"/>
    </w:p>
    <w:p w14:paraId="5B4E7B1E">
      <w:pPr>
        <w:pStyle w:val="32"/>
        <w:keepNext/>
        <w:keepLines/>
        <w:spacing w:beforeAutospacing="0" w:afterAutospacing="0" w:line="480" w:lineRule="exact"/>
        <w:ind w:firstLine="482"/>
        <w:jc w:val="both"/>
        <w:rPr>
          <w:rFonts w:hint="eastAsia" w:ascii="宋体" w:hAnsi="宋体" w:eastAsia="宋体" w:cs="宋体"/>
          <w:color w:val="auto"/>
          <w:highlight w:val="none"/>
        </w:rPr>
      </w:pPr>
      <w:r>
        <w:rPr>
          <w:rFonts w:hint="eastAsia" w:ascii="宋体" w:hAnsi="宋体" w:eastAsia="宋体" w:cs="宋体"/>
          <w:b/>
          <w:color w:val="auto"/>
          <w:highlight w:val="none"/>
        </w:rPr>
        <w:t>六、其他补充事宜</w:t>
      </w:r>
    </w:p>
    <w:p w14:paraId="66FCCF07">
      <w:pPr>
        <w:pStyle w:val="32"/>
        <w:widowControl/>
        <w:shd w:val="clear" w:color="auto" w:fill="FFFFFF"/>
        <w:spacing w:beforeAutospacing="0" w:afterAutospacing="0" w:line="480" w:lineRule="exact"/>
        <w:ind w:firstLine="480"/>
        <w:jc w:val="both"/>
        <w:rPr>
          <w:rFonts w:hint="eastAsia" w:ascii="宋体" w:hAnsi="宋体" w:eastAsia="宋体" w:cs="宋体"/>
          <w:color w:val="auto"/>
          <w:highlight w:val="none"/>
          <w:shd w:val="clear" w:color="auto" w:fill="FFFFFF"/>
        </w:rPr>
      </w:pPr>
      <w:bookmarkStart w:id="30" w:name="_Toc28359018"/>
      <w:r>
        <w:rPr>
          <w:rFonts w:hint="eastAsia" w:ascii="宋体" w:hAnsi="宋体" w:eastAsia="宋体" w:cs="宋体"/>
          <w:color w:val="auto"/>
          <w:highlight w:val="none"/>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14D757F">
      <w:pPr>
        <w:pStyle w:val="32"/>
        <w:widowControl/>
        <w:shd w:val="clear" w:color="auto" w:fill="FFFFFF"/>
        <w:spacing w:beforeAutospacing="0" w:afterAutospacing="0" w:line="480" w:lineRule="exact"/>
        <w:ind w:firstLine="480"/>
        <w:jc w:val="both"/>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5E865A18">
      <w:pPr>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潜在供应商访问电子招标响应交易平台的网络地址和方法： </w:t>
      </w:r>
    </w:p>
    <w:p w14:paraId="4632A17E">
      <w:pPr>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2.1“苏采云”系统用户注册--获取“CA 数字证书”--CA 绑定与登录--参与投 标--下载采购文件（后缀名为“.kedt”）--将后缀名为“.kedt”的采购文件导入政府采购客户端工具--制作投标文件--导出加密的投标文件（后缀名为 zip）--通过“苏采云”系统上传投标文件。具体见《“苏采云”系统供应商操作手册》 （手册下载地址：苏采云系统-右侧消息通知栏）。 </w:t>
      </w:r>
    </w:p>
    <w:p w14:paraId="478348CE">
      <w:pPr>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潜在投标人访问“苏采云”系统方法：江苏省政府采购网首页-“苏采云”链接。 </w:t>
      </w:r>
    </w:p>
    <w:p w14:paraId="436515FA">
      <w:pPr>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采购文件（后缀名为“.kedt”）、供应商操作手册及政府采购客户端 工具可通过“苏采云”系统相应链接进行下载。 </w:t>
      </w:r>
    </w:p>
    <w:p w14:paraId="64982D9E">
      <w:pPr>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采购代理机构将数据电文形式的采购文件加载至“苏采云”系统，供潜在供应商下载或者查阅。 </w:t>
      </w:r>
    </w:p>
    <w:p w14:paraId="38F566C8">
      <w:pPr>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 请潜在投标单位提前安装相应的控件（详见《“苏采云”系统供应商操作手册》）并使用谷歌浏览器登录“苏采云”系统参与不见面开评标。 </w:t>
      </w:r>
    </w:p>
    <w:p w14:paraId="1AA1A8DE">
      <w:pPr>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如潜在投标人未按上述要求操作，将自行承担所产生的风险。</w:t>
      </w:r>
    </w:p>
    <w:p w14:paraId="16C0F0BB">
      <w:pPr>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3.有关本次招标的事项若存在变动或修改，敬请及时关注盐城市政府采购中心在“中国政府采购网”“江苏政府采购网”“盐城市政府采购网”发布的更正公告。</w:t>
      </w:r>
    </w:p>
    <w:p w14:paraId="2604C4D6">
      <w:pPr>
        <w:pStyle w:val="32"/>
        <w:widowControl/>
        <w:shd w:val="clear" w:color="auto" w:fill="FFFFFF"/>
        <w:spacing w:beforeAutospacing="0" w:afterAutospacing="0" w:line="480" w:lineRule="exact"/>
        <w:ind w:firstLine="480"/>
        <w:jc w:val="both"/>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4.本次招标不收取投标保证金，不收取质量保证金。</w:t>
      </w:r>
    </w:p>
    <w:p w14:paraId="51CB2D69">
      <w:pPr>
        <w:pStyle w:val="2"/>
        <w:widowControl/>
        <w:shd w:val="clear" w:color="auto" w:fill="FFFFFF"/>
        <w:spacing w:beforeAutospacing="0" w:afterAutospacing="0" w:line="480" w:lineRule="exact"/>
        <w:ind w:firstLine="480"/>
        <w:jc w:val="both"/>
        <w:rPr>
          <w:rFonts w:cs="宋体"/>
          <w:b w:val="0"/>
          <w:bCs w:val="0"/>
          <w:color w:val="auto"/>
          <w:sz w:val="24"/>
          <w:szCs w:val="24"/>
          <w:highlight w:val="none"/>
        </w:rPr>
      </w:pPr>
      <w:r>
        <w:rPr>
          <w:rFonts w:cs="宋体"/>
          <w:b w:val="0"/>
          <w:bCs w:val="0"/>
          <w:color w:val="auto"/>
          <w:sz w:val="24"/>
          <w:szCs w:val="24"/>
          <w:highlight w:val="none"/>
          <w:shd w:val="clear" w:color="auto" w:fill="FFFFFF"/>
        </w:rPr>
        <w:t>七、对本次招标提出询问，请按以下方式联系。</w:t>
      </w:r>
      <w:bookmarkEnd w:id="30"/>
    </w:p>
    <w:p w14:paraId="7B83B4A5">
      <w:pPr>
        <w:pStyle w:val="32"/>
        <w:widowControl/>
        <w:shd w:val="clear" w:color="auto" w:fill="FFFFFF"/>
        <w:spacing w:beforeAutospacing="0" w:afterAutospacing="0" w:line="480" w:lineRule="exact"/>
        <w:ind w:firstLine="480"/>
        <w:jc w:val="both"/>
        <w:rPr>
          <w:rFonts w:hint="eastAsia" w:ascii="宋体" w:hAnsi="宋体" w:eastAsia="宋体" w:cs="宋体"/>
          <w:color w:val="auto"/>
          <w:highlight w:val="none"/>
          <w:shd w:val="clear" w:color="auto" w:fill="FFFFFF"/>
        </w:rPr>
      </w:pPr>
      <w:bookmarkStart w:id="31" w:name="_Toc28359009"/>
      <w:r>
        <w:rPr>
          <w:rFonts w:hint="eastAsia" w:ascii="宋体" w:hAnsi="宋体" w:eastAsia="宋体" w:cs="宋体"/>
          <w:color w:val="auto"/>
          <w:highlight w:val="none"/>
          <w:shd w:val="clear" w:color="auto" w:fill="FFFFFF"/>
        </w:rPr>
        <w:t>1.采购人信息</w:t>
      </w:r>
    </w:p>
    <w:p w14:paraId="4704C886">
      <w:pPr>
        <w:pStyle w:val="32"/>
        <w:widowControl/>
        <w:shd w:val="clear" w:color="auto" w:fill="FFFFFF"/>
        <w:spacing w:beforeAutospacing="0" w:afterAutospacing="0" w:line="480" w:lineRule="exact"/>
        <w:ind w:firstLine="480"/>
        <w:jc w:val="both"/>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名    称：</w:t>
      </w:r>
      <w:r>
        <w:rPr>
          <w:rFonts w:hint="eastAsia" w:ascii="宋体" w:hAnsi="宋体" w:eastAsia="宋体" w:cs="宋体"/>
          <w:color w:val="auto"/>
          <w:highlight w:val="none"/>
          <w:shd w:val="clear" w:color="auto" w:fill="FFFFFF"/>
          <w:lang w:eastAsia="zh-CN"/>
        </w:rPr>
        <w:t>东台市残疾人劳动就业服务所</w:t>
      </w:r>
      <w:r>
        <w:rPr>
          <w:rFonts w:hint="eastAsia" w:ascii="宋体" w:hAnsi="宋体" w:eastAsia="宋体" w:cs="宋体"/>
          <w:color w:val="auto"/>
          <w:highlight w:val="none"/>
          <w:shd w:val="clear" w:color="auto" w:fill="FFFFFF"/>
        </w:rPr>
        <w:t xml:space="preserve">  </w:t>
      </w:r>
    </w:p>
    <w:p w14:paraId="7F53452A">
      <w:pPr>
        <w:pStyle w:val="32"/>
        <w:widowControl/>
        <w:shd w:val="clear" w:color="auto" w:fill="FFFFFF"/>
        <w:spacing w:beforeAutospacing="0" w:afterAutospacing="0" w:line="480" w:lineRule="exact"/>
        <w:ind w:firstLine="480"/>
        <w:jc w:val="both"/>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地    址：东台市</w:t>
      </w:r>
      <w:r>
        <w:rPr>
          <w:rFonts w:hint="eastAsia" w:ascii="宋体" w:hAnsi="宋体" w:eastAsia="宋体" w:cs="宋体"/>
          <w:color w:val="auto"/>
          <w:highlight w:val="none"/>
          <w:shd w:val="clear" w:color="auto" w:fill="FFFFFF"/>
          <w:lang w:eastAsia="zh-CN"/>
        </w:rPr>
        <w:t>金海东路永胜南路4号</w:t>
      </w:r>
      <w:r>
        <w:rPr>
          <w:rFonts w:hint="eastAsia" w:ascii="宋体" w:hAnsi="宋体" w:eastAsia="宋体" w:cs="宋体"/>
          <w:color w:val="auto"/>
          <w:highlight w:val="none"/>
          <w:shd w:val="clear" w:color="auto" w:fill="FFFFFF"/>
        </w:rPr>
        <w:t xml:space="preserve">  </w:t>
      </w:r>
    </w:p>
    <w:p w14:paraId="61886134">
      <w:pPr>
        <w:pStyle w:val="32"/>
        <w:widowControl/>
        <w:shd w:val="clear" w:color="auto" w:fill="FFFFFF"/>
        <w:spacing w:beforeAutospacing="0" w:afterAutospacing="0" w:line="480" w:lineRule="exact"/>
        <w:ind w:firstLine="480"/>
        <w:jc w:val="both"/>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联系方式：</w:t>
      </w:r>
      <w:r>
        <w:rPr>
          <w:rFonts w:hint="eastAsia" w:ascii="宋体" w:hAnsi="宋体" w:eastAsia="宋体" w:cs="宋体"/>
          <w:color w:val="auto"/>
          <w:highlight w:val="none"/>
          <w:shd w:val="clear" w:color="auto" w:fill="FFFFFF"/>
          <w:lang w:val="en-US" w:eastAsia="zh-CN"/>
        </w:rPr>
        <w:t>薛先生18352098525</w:t>
      </w:r>
      <w:r>
        <w:rPr>
          <w:rFonts w:hint="eastAsia" w:ascii="宋体" w:hAnsi="宋体" w:eastAsia="宋体" w:cs="宋体"/>
          <w:color w:val="auto"/>
          <w:highlight w:val="none"/>
          <w:shd w:val="clear" w:color="auto" w:fill="FFFFFF"/>
        </w:rPr>
        <w:t xml:space="preserve">                 </w:t>
      </w:r>
    </w:p>
    <w:p w14:paraId="47E54272">
      <w:pPr>
        <w:pStyle w:val="32"/>
        <w:widowControl/>
        <w:shd w:val="clear" w:color="auto" w:fill="FFFFFF"/>
        <w:spacing w:beforeAutospacing="0" w:afterAutospacing="0" w:line="480" w:lineRule="exact"/>
        <w:ind w:firstLine="480"/>
        <w:jc w:val="both"/>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2.采购代理机构信息</w:t>
      </w:r>
    </w:p>
    <w:p w14:paraId="451F1244">
      <w:pPr>
        <w:pStyle w:val="32"/>
        <w:widowControl/>
        <w:shd w:val="clear" w:color="auto" w:fill="FFFFFF"/>
        <w:spacing w:beforeAutospacing="0" w:afterAutospacing="0" w:line="480" w:lineRule="exact"/>
        <w:ind w:firstLine="480"/>
        <w:jc w:val="both"/>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rPr>
        <w:t>名    称：</w:t>
      </w:r>
      <w:r>
        <w:rPr>
          <w:rFonts w:hint="eastAsia" w:ascii="宋体" w:hAnsi="宋体" w:eastAsia="宋体" w:cs="宋体"/>
          <w:color w:val="auto"/>
          <w:highlight w:val="none"/>
          <w:shd w:val="clear" w:color="auto" w:fill="FFFFFF"/>
          <w:lang w:eastAsia="zh-CN"/>
        </w:rPr>
        <w:t>江苏策诚咨询有限公司</w:t>
      </w:r>
    </w:p>
    <w:p w14:paraId="510F3AAC">
      <w:pPr>
        <w:pStyle w:val="32"/>
        <w:widowControl/>
        <w:shd w:val="clear" w:color="auto" w:fill="FFFFFF"/>
        <w:spacing w:beforeAutospacing="0" w:afterAutospacing="0" w:line="480" w:lineRule="exact"/>
        <w:ind w:firstLine="480"/>
        <w:jc w:val="both"/>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rPr>
        <w:t>地    址：</w:t>
      </w:r>
      <w:r>
        <w:rPr>
          <w:rFonts w:hint="eastAsia" w:ascii="宋体" w:hAnsi="宋体" w:eastAsia="宋体" w:cs="宋体"/>
          <w:color w:val="auto"/>
          <w:highlight w:val="none"/>
          <w:shd w:val="clear" w:color="auto" w:fill="FFFFFF"/>
          <w:lang w:val="en-US" w:eastAsia="zh-CN"/>
        </w:rPr>
        <w:t>唯诚大厦20层</w:t>
      </w:r>
    </w:p>
    <w:p w14:paraId="51C7A8C4">
      <w:pPr>
        <w:pStyle w:val="32"/>
        <w:widowControl/>
        <w:shd w:val="clear" w:color="auto" w:fill="FFFFFF"/>
        <w:spacing w:beforeAutospacing="0" w:afterAutospacing="0" w:line="480" w:lineRule="exact"/>
        <w:ind w:firstLine="480"/>
        <w:jc w:val="both"/>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联系方式：</w:t>
      </w:r>
      <w:r>
        <w:rPr>
          <w:rFonts w:hint="eastAsia" w:ascii="宋体" w:hAnsi="宋体" w:eastAsia="宋体" w:cs="宋体"/>
          <w:color w:val="auto"/>
          <w:highlight w:val="none"/>
          <w:shd w:val="clear" w:color="auto" w:fill="FFFFFF"/>
          <w:lang w:val="en-US" w:eastAsia="zh-CN"/>
        </w:rPr>
        <w:t xml:space="preserve">姜先生 18962035058 </w:t>
      </w:r>
      <w:r>
        <w:rPr>
          <w:rFonts w:hint="eastAsia" w:ascii="宋体" w:hAnsi="宋体" w:eastAsia="宋体" w:cs="宋体"/>
          <w:color w:val="auto"/>
          <w:highlight w:val="none"/>
          <w:shd w:val="clear" w:color="auto" w:fill="FFFFFF"/>
        </w:rPr>
        <w:t xml:space="preserve">                   </w:t>
      </w:r>
    </w:p>
    <w:p w14:paraId="4DFB7CE2">
      <w:pPr>
        <w:pStyle w:val="32"/>
        <w:widowControl/>
        <w:shd w:val="clear" w:color="auto" w:fill="FFFFFF"/>
        <w:spacing w:beforeAutospacing="0" w:afterAutospacing="0" w:line="480" w:lineRule="exact"/>
        <w:ind w:firstLine="480"/>
        <w:jc w:val="both"/>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3.项目联系方式</w:t>
      </w:r>
    </w:p>
    <w:p w14:paraId="28E304C3">
      <w:pPr>
        <w:pStyle w:val="32"/>
        <w:widowControl/>
        <w:shd w:val="clear" w:color="auto" w:fill="FFFFFF"/>
        <w:spacing w:beforeAutospacing="0" w:afterAutospacing="0" w:line="480" w:lineRule="exact"/>
        <w:ind w:firstLine="480"/>
        <w:jc w:val="both"/>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项目联系人：</w:t>
      </w:r>
      <w:r>
        <w:rPr>
          <w:rFonts w:hint="eastAsia" w:ascii="宋体" w:hAnsi="宋体" w:eastAsia="宋体" w:cs="宋体"/>
          <w:color w:val="auto"/>
          <w:highlight w:val="none"/>
          <w:shd w:val="clear" w:color="auto" w:fill="FFFFFF"/>
          <w:lang w:val="en-US" w:eastAsia="zh-CN"/>
        </w:rPr>
        <w:t>薛先生</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shd w:val="clear" w:color="auto" w:fill="FFFFFF"/>
          <w:lang w:val="en-US" w:eastAsia="zh-CN"/>
        </w:rPr>
        <w:t>姜先生</w:t>
      </w:r>
    </w:p>
    <w:p w14:paraId="6D3C6DDC">
      <w:pPr>
        <w:pStyle w:val="32"/>
        <w:widowControl/>
        <w:shd w:val="clear" w:color="auto" w:fill="FFFFFF"/>
        <w:spacing w:beforeAutospacing="0" w:afterAutospacing="0" w:line="480" w:lineRule="exact"/>
        <w:ind w:firstLine="480"/>
        <w:jc w:val="both"/>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电　 　 话：</w:t>
      </w:r>
      <w:r>
        <w:rPr>
          <w:rFonts w:hint="eastAsia" w:ascii="宋体" w:hAnsi="宋体" w:eastAsia="宋体" w:cs="宋体"/>
          <w:color w:val="auto"/>
          <w:highlight w:val="none"/>
          <w:shd w:val="clear" w:color="auto" w:fill="FFFFFF"/>
          <w:lang w:val="en-US" w:eastAsia="zh-CN"/>
        </w:rPr>
        <w:t>18352098525</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shd w:val="clear" w:color="auto" w:fill="FFFFFF"/>
          <w:lang w:val="en-US" w:eastAsia="zh-CN"/>
        </w:rPr>
        <w:t>18962035058</w:t>
      </w:r>
    </w:p>
    <w:p w14:paraId="56543EB8">
      <w:pP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1BFE8844">
      <w:pPr>
        <w:pStyle w:val="32"/>
        <w:spacing w:beforeAutospacing="0" w:afterAutospacing="0"/>
        <w:ind w:right="840"/>
        <w:jc w:val="center"/>
        <w:rPr>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 </w:t>
      </w:r>
      <w:bookmarkStart w:id="32" w:name="_Toc120614211"/>
      <w:r>
        <w:rPr>
          <w:rFonts w:hint="eastAsia" w:ascii="黑体" w:hAnsi="宋体" w:eastAsia="黑体" w:cs="黑体"/>
          <w:b/>
          <w:color w:val="auto"/>
          <w:sz w:val="44"/>
          <w:szCs w:val="44"/>
          <w:highlight w:val="none"/>
        </w:rPr>
        <w:t xml:space="preserve">第二章  </w:t>
      </w:r>
      <w:bookmarkEnd w:id="32"/>
      <w:bookmarkStart w:id="33" w:name="_Toc20823274"/>
      <w:bookmarkStart w:id="34" w:name="_Toc513029202"/>
      <w:bookmarkStart w:id="35" w:name="_Toc120614213"/>
      <w:bookmarkStart w:id="36" w:name="_Toc16938518"/>
      <w:r>
        <w:rPr>
          <w:rFonts w:hint="eastAsia" w:ascii="黑体" w:hAnsi="宋体" w:eastAsia="黑体" w:cs="黑体"/>
          <w:b/>
          <w:color w:val="auto"/>
          <w:sz w:val="44"/>
          <w:szCs w:val="44"/>
          <w:highlight w:val="none"/>
        </w:rPr>
        <w:t>投标人须知</w:t>
      </w:r>
      <w:bookmarkEnd w:id="33"/>
      <w:bookmarkEnd w:id="34"/>
      <w:bookmarkEnd w:id="35"/>
      <w:bookmarkEnd w:id="36"/>
    </w:p>
    <w:p w14:paraId="1EA711D6">
      <w:pPr>
        <w:pStyle w:val="32"/>
        <w:keepNext/>
        <w:keepLines/>
        <w:spacing w:beforeAutospacing="0" w:afterAutospacing="0" w:line="480" w:lineRule="exact"/>
        <w:ind w:firstLine="482"/>
        <w:jc w:val="both"/>
        <w:rPr>
          <w:rFonts w:hint="eastAsia" w:ascii="宋体" w:hAnsi="宋体" w:eastAsia="宋体" w:cs="宋体"/>
          <w:color w:val="auto"/>
          <w:highlight w:val="none"/>
        </w:rPr>
      </w:pPr>
      <w:bookmarkStart w:id="37" w:name="_Toc20823275"/>
      <w:bookmarkStart w:id="38" w:name="_Toc120614214"/>
      <w:bookmarkStart w:id="39" w:name="_Toc513029203"/>
      <w:bookmarkStart w:id="40" w:name="_Toc16938519"/>
      <w:r>
        <w:rPr>
          <w:rFonts w:hint="eastAsia" w:ascii="宋体" w:hAnsi="宋体" w:eastAsia="宋体" w:cs="宋体"/>
          <w:b/>
          <w:color w:val="auto"/>
          <w:highlight w:val="none"/>
        </w:rPr>
        <w:t>一、总则</w:t>
      </w:r>
      <w:bookmarkEnd w:id="37"/>
      <w:bookmarkEnd w:id="38"/>
      <w:bookmarkEnd w:id="39"/>
      <w:bookmarkEnd w:id="40"/>
    </w:p>
    <w:p w14:paraId="074C737F">
      <w:pPr>
        <w:pStyle w:val="32"/>
        <w:keepNext/>
        <w:keepLines/>
        <w:spacing w:beforeAutospacing="0" w:afterAutospacing="0" w:line="480" w:lineRule="exact"/>
        <w:ind w:firstLine="480"/>
        <w:jc w:val="both"/>
        <w:rPr>
          <w:rFonts w:hint="eastAsia" w:ascii="宋体" w:hAnsi="宋体" w:eastAsia="宋体" w:cs="宋体"/>
          <w:color w:val="auto"/>
          <w:highlight w:val="none"/>
        </w:rPr>
      </w:pPr>
      <w:bookmarkStart w:id="41" w:name="_Toc16938520"/>
      <w:bookmarkStart w:id="42" w:name="_Toc20823276"/>
      <w:bookmarkStart w:id="43" w:name="_Toc513029204"/>
      <w:bookmarkStart w:id="44" w:name="_Toc458694821"/>
      <w:bookmarkStart w:id="45" w:name="_Hlt16619475"/>
      <w:r>
        <w:rPr>
          <w:rFonts w:hint="eastAsia" w:ascii="宋体" w:hAnsi="宋体" w:eastAsia="宋体" w:cs="宋体"/>
          <w:color w:val="auto"/>
          <w:highlight w:val="none"/>
        </w:rPr>
        <w:t>1.</w:t>
      </w:r>
      <w:bookmarkEnd w:id="41"/>
      <w:r>
        <w:rPr>
          <w:rFonts w:hint="eastAsia" w:ascii="宋体" w:hAnsi="宋体" w:eastAsia="宋体" w:cs="宋体"/>
          <w:color w:val="auto"/>
          <w:highlight w:val="none"/>
        </w:rPr>
        <w:t>招标方式</w:t>
      </w:r>
      <w:bookmarkEnd w:id="42"/>
      <w:bookmarkEnd w:id="43"/>
      <w:bookmarkEnd w:id="44"/>
    </w:p>
    <w:p w14:paraId="24EC0107">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1.1本次招标采取公开招标方式，本招标文件仅适用于招标公告中所述项目。</w:t>
      </w:r>
    </w:p>
    <w:p w14:paraId="5A207D16">
      <w:pPr>
        <w:pStyle w:val="32"/>
        <w:keepNext/>
        <w:keepLines/>
        <w:spacing w:beforeAutospacing="0" w:afterAutospacing="0" w:line="480" w:lineRule="exact"/>
        <w:ind w:firstLine="480"/>
        <w:jc w:val="both"/>
        <w:rPr>
          <w:rFonts w:hint="eastAsia" w:ascii="宋体" w:hAnsi="宋体" w:eastAsia="宋体" w:cs="宋体"/>
          <w:color w:val="auto"/>
          <w:highlight w:val="none"/>
        </w:rPr>
      </w:pPr>
      <w:bookmarkStart w:id="46" w:name="_Toc20823277"/>
      <w:bookmarkStart w:id="47" w:name="_Toc513029205"/>
      <w:bookmarkStart w:id="48" w:name="_Toc16938521"/>
      <w:r>
        <w:rPr>
          <w:rFonts w:hint="eastAsia" w:ascii="宋体" w:hAnsi="宋体" w:eastAsia="宋体" w:cs="宋体"/>
          <w:color w:val="auto"/>
          <w:highlight w:val="none"/>
        </w:rPr>
        <w:t>2.合格的投标人</w:t>
      </w:r>
      <w:bookmarkEnd w:id="46"/>
      <w:bookmarkEnd w:id="47"/>
      <w:bookmarkEnd w:id="48"/>
    </w:p>
    <w:p w14:paraId="3E85ABC5">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2.1满足招标公告中对供应商的资格要求规定。</w:t>
      </w:r>
    </w:p>
    <w:p w14:paraId="61D7C8A5">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2.2满足本文件对实质性要求和条件的规定。</w:t>
      </w:r>
    </w:p>
    <w:p w14:paraId="5C70380A">
      <w:pPr>
        <w:pStyle w:val="32"/>
        <w:keepNext/>
        <w:keepLines/>
        <w:spacing w:beforeAutospacing="0" w:afterAutospacing="0" w:line="480" w:lineRule="exact"/>
        <w:ind w:firstLine="480"/>
        <w:jc w:val="both"/>
        <w:rPr>
          <w:rFonts w:hint="eastAsia" w:ascii="宋体" w:hAnsi="宋体" w:eastAsia="宋体" w:cs="宋体"/>
          <w:color w:val="auto"/>
          <w:highlight w:val="none"/>
        </w:rPr>
      </w:pPr>
      <w:bookmarkStart w:id="49" w:name="_Toc20823278"/>
      <w:bookmarkStart w:id="50" w:name="_Toc513029206"/>
      <w:bookmarkStart w:id="51" w:name="_Toc16938522"/>
      <w:r>
        <w:rPr>
          <w:rFonts w:hint="eastAsia" w:ascii="宋体" w:hAnsi="宋体" w:eastAsia="宋体" w:cs="宋体"/>
          <w:color w:val="auto"/>
          <w:highlight w:val="none"/>
        </w:rPr>
        <w:t>3.适用法律</w:t>
      </w:r>
      <w:bookmarkEnd w:id="49"/>
      <w:bookmarkEnd w:id="50"/>
      <w:bookmarkEnd w:id="51"/>
    </w:p>
    <w:p w14:paraId="4A816665">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3.1本次招标及由此产生的合同受中华人民共和国有关法律法规的制约和保护。</w:t>
      </w:r>
    </w:p>
    <w:p w14:paraId="5A3EB079">
      <w:pPr>
        <w:pStyle w:val="32"/>
        <w:keepNext/>
        <w:keepLines/>
        <w:spacing w:beforeAutospacing="0" w:afterAutospacing="0" w:line="480" w:lineRule="exact"/>
        <w:ind w:firstLine="480"/>
        <w:jc w:val="both"/>
        <w:rPr>
          <w:rFonts w:hint="eastAsia" w:ascii="宋体" w:hAnsi="宋体" w:eastAsia="宋体" w:cs="宋体"/>
          <w:color w:val="auto"/>
          <w:highlight w:val="none"/>
        </w:rPr>
      </w:pPr>
      <w:bookmarkStart w:id="52" w:name="_Toc513029207"/>
      <w:bookmarkStart w:id="53" w:name="_Toc462564067"/>
      <w:bookmarkStart w:id="54" w:name="_Toc20823279"/>
      <w:bookmarkStart w:id="55" w:name="_Toc16938523"/>
      <w:r>
        <w:rPr>
          <w:rFonts w:hint="eastAsia" w:ascii="宋体" w:hAnsi="宋体" w:eastAsia="宋体" w:cs="宋体"/>
          <w:color w:val="auto"/>
          <w:highlight w:val="none"/>
        </w:rPr>
        <w:t>4.投标费用</w:t>
      </w:r>
      <w:bookmarkEnd w:id="52"/>
      <w:bookmarkEnd w:id="53"/>
      <w:bookmarkEnd w:id="54"/>
      <w:bookmarkEnd w:id="55"/>
    </w:p>
    <w:p w14:paraId="489DBEB0">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4.1投标人应自行承担所有与参加投标有关的费用，无论投标过程中的做法和结果如何，采购人及代理机构在任何情况下均无义务和责任承担这些费用。</w:t>
      </w:r>
    </w:p>
    <w:p w14:paraId="55D18710">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4.2本次招标采购人及代理机构不收取标书工本费与中标服务费。</w:t>
      </w:r>
    </w:p>
    <w:p w14:paraId="5B863125">
      <w:pPr>
        <w:pStyle w:val="32"/>
        <w:keepNext/>
        <w:keepLines/>
        <w:spacing w:beforeAutospacing="0" w:afterAutospacing="0" w:line="480" w:lineRule="exact"/>
        <w:ind w:firstLine="482"/>
        <w:jc w:val="both"/>
        <w:rPr>
          <w:rFonts w:hint="eastAsia" w:ascii="宋体" w:hAnsi="宋体" w:eastAsia="宋体" w:cs="宋体"/>
          <w:color w:val="auto"/>
          <w:highlight w:val="none"/>
        </w:rPr>
      </w:pPr>
      <w:r>
        <w:rPr>
          <w:rFonts w:hint="eastAsia" w:ascii="宋体" w:hAnsi="宋体" w:eastAsia="宋体" w:cs="宋体"/>
          <w:b/>
          <w:color w:val="auto"/>
          <w:highlight w:val="none"/>
        </w:rPr>
        <w:t>5.</w:t>
      </w:r>
      <w:r>
        <w:rPr>
          <w:rFonts w:hint="eastAsia" w:ascii="宋体" w:hAnsi="宋体" w:eastAsia="宋体" w:cs="宋体"/>
          <w:color w:val="auto"/>
          <w:highlight w:val="none"/>
        </w:rPr>
        <w:t>招标文件的约束力</w:t>
      </w:r>
    </w:p>
    <w:p w14:paraId="1C548B2C">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5.1投标人一旦参加本项目采购活动，即被认为接受了本招标文件的规定和约束。</w:t>
      </w:r>
    </w:p>
    <w:p w14:paraId="4D2E72C2">
      <w:pPr>
        <w:pStyle w:val="32"/>
        <w:keepNext/>
        <w:keepLines/>
        <w:spacing w:beforeAutospacing="0" w:afterAutospacing="0" w:line="480" w:lineRule="exact"/>
        <w:ind w:firstLine="482"/>
        <w:jc w:val="both"/>
        <w:rPr>
          <w:rFonts w:hint="eastAsia" w:ascii="宋体" w:hAnsi="宋体" w:eastAsia="宋体" w:cs="宋体"/>
          <w:color w:val="auto"/>
          <w:highlight w:val="none"/>
        </w:rPr>
      </w:pPr>
      <w:bookmarkStart w:id="56" w:name="_Toc120614215"/>
      <w:bookmarkStart w:id="57" w:name="_Toc20823281"/>
      <w:bookmarkStart w:id="58" w:name="_Toc16938525"/>
      <w:bookmarkStart w:id="59" w:name="_Toc513029209"/>
      <w:r>
        <w:rPr>
          <w:rFonts w:hint="eastAsia" w:ascii="宋体" w:hAnsi="宋体" w:eastAsia="宋体" w:cs="宋体"/>
          <w:b/>
          <w:color w:val="auto"/>
          <w:highlight w:val="none"/>
        </w:rPr>
        <w:t>二、招标文件</w:t>
      </w:r>
      <w:bookmarkEnd w:id="56"/>
      <w:bookmarkEnd w:id="57"/>
      <w:bookmarkEnd w:id="58"/>
      <w:bookmarkEnd w:id="59"/>
    </w:p>
    <w:p w14:paraId="607AE3A2">
      <w:pPr>
        <w:pStyle w:val="32"/>
        <w:keepNext/>
        <w:keepLines/>
        <w:spacing w:beforeAutospacing="0" w:afterAutospacing="0" w:line="480" w:lineRule="exact"/>
        <w:ind w:firstLine="480"/>
        <w:jc w:val="both"/>
        <w:rPr>
          <w:rFonts w:hint="eastAsia" w:ascii="宋体" w:hAnsi="宋体" w:eastAsia="宋体" w:cs="宋体"/>
          <w:color w:val="auto"/>
          <w:highlight w:val="none"/>
        </w:rPr>
      </w:pPr>
      <w:bookmarkStart w:id="60" w:name="_Toc20823282"/>
      <w:bookmarkStart w:id="61" w:name="_Toc16938526"/>
      <w:bookmarkStart w:id="62" w:name="_Toc513029210"/>
      <w:r>
        <w:rPr>
          <w:rFonts w:hint="eastAsia" w:ascii="宋体" w:hAnsi="宋体" w:eastAsia="宋体" w:cs="宋体"/>
          <w:color w:val="auto"/>
          <w:highlight w:val="none"/>
        </w:rPr>
        <w:t>6.招标文件构成</w:t>
      </w:r>
      <w:bookmarkEnd w:id="60"/>
      <w:bookmarkEnd w:id="61"/>
      <w:bookmarkEnd w:id="62"/>
    </w:p>
    <w:p w14:paraId="39A9B455">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6.1 招标文件由以下部分组成：</w:t>
      </w:r>
    </w:p>
    <w:p w14:paraId="00D6C080">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（1）招标公告</w:t>
      </w:r>
    </w:p>
    <w:p w14:paraId="4C111E60">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（2）投标人须知</w:t>
      </w:r>
    </w:p>
    <w:p w14:paraId="415F5D11">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（3）合同文本</w:t>
      </w:r>
    </w:p>
    <w:p w14:paraId="025DAC1D">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（4）采购需求</w:t>
      </w:r>
    </w:p>
    <w:p w14:paraId="09C19E40">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（5）评标方法与评标标准</w:t>
      </w:r>
    </w:p>
    <w:p w14:paraId="5B18E767">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（6）投标文件格式</w:t>
      </w:r>
    </w:p>
    <w:p w14:paraId="10975CB0">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请仔细检查招标文件是否齐全，如有缺漏请立即与采购人或代理机构联系解决。</w:t>
      </w:r>
    </w:p>
    <w:p w14:paraId="1DC7C26D">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E0DF242">
      <w:pPr>
        <w:pStyle w:val="32"/>
        <w:keepNext/>
        <w:keepLines/>
        <w:spacing w:beforeAutospacing="0" w:afterAutospacing="0" w:line="480" w:lineRule="exact"/>
        <w:ind w:firstLine="480"/>
        <w:jc w:val="both"/>
        <w:rPr>
          <w:rFonts w:hint="eastAsia" w:ascii="宋体" w:hAnsi="宋体" w:eastAsia="宋体" w:cs="宋体"/>
          <w:color w:val="auto"/>
          <w:highlight w:val="none"/>
        </w:rPr>
      </w:pPr>
      <w:bookmarkStart w:id="63" w:name="_Toc462564070"/>
      <w:bookmarkStart w:id="64" w:name="_Toc513029211"/>
      <w:bookmarkStart w:id="65" w:name="_Toc20823283"/>
      <w:bookmarkStart w:id="66" w:name="_Toc16938527"/>
      <w:r>
        <w:rPr>
          <w:rFonts w:hint="eastAsia" w:ascii="宋体" w:hAnsi="宋体" w:eastAsia="宋体" w:cs="宋体"/>
          <w:color w:val="auto"/>
          <w:highlight w:val="none"/>
        </w:rPr>
        <w:t>7.招标文件的澄清</w:t>
      </w:r>
      <w:bookmarkEnd w:id="63"/>
      <w:bookmarkEnd w:id="64"/>
      <w:bookmarkEnd w:id="65"/>
      <w:bookmarkEnd w:id="66"/>
    </w:p>
    <w:p w14:paraId="5C6D9851">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7.1任何要求对招标文件进行澄清的投标人，应在投标截止期</w:t>
      </w:r>
      <w:r>
        <w:rPr>
          <w:rFonts w:hint="eastAsia" w:ascii="宋体" w:hAnsi="宋体" w:eastAsia="宋体" w:cs="宋体"/>
          <w:b/>
          <w:color w:val="auto"/>
          <w:highlight w:val="none"/>
        </w:rPr>
        <w:t>十日</w:t>
      </w:r>
      <w:r>
        <w:rPr>
          <w:rFonts w:hint="eastAsia" w:ascii="宋体" w:hAnsi="宋体" w:eastAsia="宋体" w:cs="宋体"/>
          <w:color w:val="auto"/>
          <w:highlight w:val="none"/>
        </w:rPr>
        <w:t>前按招标公告中的通讯地址，以书面形式通知采购人。</w:t>
      </w:r>
    </w:p>
    <w:p w14:paraId="6F857F0A">
      <w:pPr>
        <w:pStyle w:val="32"/>
        <w:keepNext/>
        <w:keepLines/>
        <w:spacing w:beforeAutospacing="0" w:afterAutospacing="0" w:line="480" w:lineRule="exact"/>
        <w:ind w:firstLine="480"/>
        <w:jc w:val="both"/>
        <w:rPr>
          <w:rFonts w:hint="eastAsia" w:ascii="宋体" w:hAnsi="宋体" w:eastAsia="宋体" w:cs="宋体"/>
          <w:color w:val="auto"/>
          <w:highlight w:val="none"/>
        </w:rPr>
      </w:pPr>
      <w:bookmarkStart w:id="67" w:name="_Toc513029212"/>
      <w:bookmarkStart w:id="68" w:name="_Toc16938528"/>
      <w:bookmarkStart w:id="69" w:name="_Toc20823284"/>
      <w:bookmarkStart w:id="70" w:name="_Toc462564071"/>
      <w:r>
        <w:rPr>
          <w:rFonts w:hint="eastAsia" w:ascii="宋体" w:hAnsi="宋体" w:eastAsia="宋体" w:cs="宋体"/>
          <w:color w:val="auto"/>
          <w:highlight w:val="none"/>
        </w:rPr>
        <w:t>8.招标文件的修改</w:t>
      </w:r>
      <w:bookmarkEnd w:id="67"/>
      <w:bookmarkEnd w:id="68"/>
      <w:bookmarkEnd w:id="69"/>
      <w:bookmarkEnd w:id="70"/>
    </w:p>
    <w:p w14:paraId="073CAB94">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8.1在投标截止时间之前，采购人可以对招标文件进行修改。</w:t>
      </w:r>
    </w:p>
    <w:p w14:paraId="74BA33D2">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8.2采购人有权按照法定的要求推迟投标截止日期和开标日期。</w:t>
      </w:r>
    </w:p>
    <w:p w14:paraId="0B4EBE11">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8.3招标文件的修改将在中国政府采购网</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江苏政府采购网、盐城市政府采购网公布，补充文件将作为招标文件的组成部分，并对投标人具有约束力。</w:t>
      </w:r>
    </w:p>
    <w:p w14:paraId="21A32690">
      <w:pPr>
        <w:pStyle w:val="32"/>
        <w:keepNext/>
        <w:keepLines/>
        <w:spacing w:beforeAutospacing="0" w:afterAutospacing="0" w:line="480" w:lineRule="exact"/>
        <w:ind w:firstLine="482"/>
        <w:jc w:val="both"/>
        <w:rPr>
          <w:rFonts w:hint="eastAsia" w:ascii="宋体" w:hAnsi="宋体" w:eastAsia="宋体" w:cs="宋体"/>
          <w:color w:val="auto"/>
          <w:highlight w:val="none"/>
        </w:rPr>
      </w:pPr>
      <w:bookmarkStart w:id="71" w:name="_Toc513029213"/>
      <w:bookmarkStart w:id="72" w:name="_Toc16938529"/>
      <w:bookmarkStart w:id="73" w:name="_Toc462564072"/>
      <w:bookmarkStart w:id="74" w:name="_Toc120614216"/>
      <w:bookmarkStart w:id="75" w:name="_Toc20823285"/>
      <w:r>
        <w:rPr>
          <w:rFonts w:hint="eastAsia" w:ascii="宋体" w:hAnsi="宋体" w:eastAsia="宋体" w:cs="宋体"/>
          <w:b/>
          <w:color w:val="auto"/>
          <w:highlight w:val="none"/>
        </w:rPr>
        <w:t>三、投标文件的编制</w:t>
      </w:r>
      <w:bookmarkEnd w:id="71"/>
      <w:bookmarkEnd w:id="72"/>
      <w:bookmarkEnd w:id="73"/>
      <w:bookmarkEnd w:id="74"/>
      <w:bookmarkEnd w:id="75"/>
    </w:p>
    <w:p w14:paraId="0F965C5E">
      <w:pPr>
        <w:pStyle w:val="32"/>
        <w:keepNext/>
        <w:keepLines/>
        <w:spacing w:beforeAutospacing="0" w:afterAutospacing="0" w:line="480" w:lineRule="exact"/>
        <w:ind w:firstLine="480"/>
        <w:jc w:val="both"/>
        <w:rPr>
          <w:rFonts w:hint="eastAsia" w:ascii="宋体" w:hAnsi="宋体" w:eastAsia="宋体" w:cs="宋体"/>
          <w:color w:val="auto"/>
          <w:highlight w:val="none"/>
        </w:rPr>
      </w:pPr>
      <w:bookmarkStart w:id="76" w:name="_Toc513029214"/>
      <w:bookmarkStart w:id="77" w:name="_Toc16938530"/>
      <w:bookmarkStart w:id="78" w:name="_Toc20823286"/>
      <w:bookmarkStart w:id="79" w:name="_Toc462564073"/>
      <w:r>
        <w:rPr>
          <w:rFonts w:hint="eastAsia" w:ascii="宋体" w:hAnsi="宋体" w:eastAsia="宋体" w:cs="宋体"/>
          <w:color w:val="auto"/>
          <w:highlight w:val="none"/>
        </w:rPr>
        <w:t>9.投标文件的语言及度量衡单位</w:t>
      </w:r>
      <w:bookmarkEnd w:id="76"/>
      <w:bookmarkEnd w:id="77"/>
      <w:bookmarkEnd w:id="78"/>
      <w:bookmarkEnd w:id="79"/>
    </w:p>
    <w:p w14:paraId="2F348292">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9.1投标人提交的投标文件以及投标人与采购人就有关投标的所有来往通知、函件和文件均应使用</w:t>
      </w:r>
      <w:r>
        <w:rPr>
          <w:rFonts w:hint="eastAsia" w:ascii="宋体" w:hAnsi="宋体" w:eastAsia="宋体" w:cs="宋体"/>
          <w:b/>
          <w:color w:val="auto"/>
          <w:highlight w:val="none"/>
        </w:rPr>
        <w:t>简体中文</w:t>
      </w:r>
      <w:r>
        <w:rPr>
          <w:rFonts w:hint="eastAsia" w:ascii="宋体" w:hAnsi="宋体" w:eastAsia="宋体" w:cs="宋体"/>
          <w:color w:val="auto"/>
          <w:highlight w:val="none"/>
        </w:rPr>
        <w:t>。</w:t>
      </w:r>
    </w:p>
    <w:p w14:paraId="5A3E9F35">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9.2除技术性能另有规定外，投标文件所使用的度量衡单位，均须采用国家法定计量单位。</w:t>
      </w:r>
    </w:p>
    <w:p w14:paraId="1A5E1ACD">
      <w:pPr>
        <w:pStyle w:val="32"/>
        <w:keepNext/>
        <w:keepLines/>
        <w:spacing w:beforeAutospacing="0" w:afterAutospacing="0" w:line="480" w:lineRule="exact"/>
        <w:ind w:firstLine="480"/>
        <w:jc w:val="both"/>
        <w:rPr>
          <w:rFonts w:hint="eastAsia" w:ascii="宋体" w:hAnsi="宋体" w:eastAsia="宋体" w:cs="宋体"/>
          <w:color w:val="auto"/>
          <w:highlight w:val="none"/>
        </w:rPr>
      </w:pPr>
      <w:bookmarkStart w:id="80" w:name="_Toc16938531"/>
      <w:bookmarkStart w:id="81" w:name="_Toc513029215"/>
      <w:bookmarkStart w:id="82" w:name="_Toc462564074"/>
      <w:bookmarkStart w:id="83" w:name="_Toc20823287"/>
      <w:r>
        <w:rPr>
          <w:rFonts w:hint="eastAsia" w:ascii="宋体" w:hAnsi="宋体" w:eastAsia="宋体" w:cs="宋体"/>
          <w:color w:val="auto"/>
          <w:highlight w:val="none"/>
        </w:rPr>
        <w:t>10.投标文件构成</w:t>
      </w:r>
      <w:bookmarkEnd w:id="80"/>
      <w:bookmarkEnd w:id="81"/>
      <w:bookmarkEnd w:id="82"/>
      <w:bookmarkEnd w:id="83"/>
    </w:p>
    <w:p w14:paraId="33531A6E">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10.1投标人编写的投标文件应包括资格证明文件、符合性证明文件、投标分项报价表、技术要求响应及偏离表、商务要求响应及偏离表、其他证明文件、投标函、开标一览表等部分。</w:t>
      </w:r>
    </w:p>
    <w:p w14:paraId="02EA8373">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10.2如标书制作工具中格式和内容与</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中国政府采购网”“江苏政府采购网”“盐城市政府采购网”发布的招标文件不一致，请以</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中国政府采购网”“江苏政府采购网”“盐城市政府采购网”发布的招标文件为准。</w:t>
      </w:r>
    </w:p>
    <w:p w14:paraId="326912E3">
      <w:pPr>
        <w:pStyle w:val="32"/>
        <w:keepNext/>
        <w:keepLines/>
        <w:spacing w:beforeAutospacing="0" w:afterAutospacing="0" w:line="480" w:lineRule="exact"/>
        <w:ind w:firstLine="480"/>
        <w:jc w:val="both"/>
        <w:rPr>
          <w:rFonts w:hint="eastAsia" w:ascii="宋体" w:hAnsi="宋体" w:eastAsia="宋体" w:cs="宋体"/>
          <w:color w:val="auto"/>
          <w:highlight w:val="none"/>
        </w:rPr>
      </w:pPr>
      <w:bookmarkStart w:id="84" w:name="_Toc513029216"/>
      <w:bookmarkStart w:id="85" w:name="_Toc14577354"/>
      <w:bookmarkStart w:id="86" w:name="_Toc49090509"/>
      <w:bookmarkStart w:id="87" w:name="_Toc14577357"/>
      <w:bookmarkStart w:id="88" w:name="_Toc49090507"/>
      <w:bookmarkStart w:id="89" w:name="_Toc513029219"/>
      <w:bookmarkStart w:id="90" w:name="_Hlt26954838"/>
      <w:bookmarkStart w:id="91" w:name="_Hlt26668975"/>
      <w:bookmarkStart w:id="92" w:name="_Hlt26670360"/>
      <w:r>
        <w:rPr>
          <w:rFonts w:hint="eastAsia" w:ascii="宋体" w:hAnsi="宋体" w:eastAsia="宋体" w:cs="宋体"/>
          <w:color w:val="auto"/>
          <w:highlight w:val="none"/>
        </w:rPr>
        <w:t>11.证明投标人及投标标的符合招标文件规定的文件</w:t>
      </w:r>
      <w:bookmarkEnd w:id="84"/>
      <w:bookmarkEnd w:id="85"/>
      <w:bookmarkEnd w:id="86"/>
      <w:bookmarkEnd w:id="87"/>
      <w:bookmarkEnd w:id="88"/>
      <w:bookmarkEnd w:id="89"/>
    </w:p>
    <w:p w14:paraId="128E71E0">
      <w:pPr>
        <w:pStyle w:val="32"/>
        <w:spacing w:beforeAutospacing="0" w:afterAutospacing="0" w:line="480" w:lineRule="exact"/>
        <w:ind w:firstLine="480"/>
        <w:jc w:val="both"/>
        <w:rPr>
          <w:rFonts w:hint="eastAsia" w:ascii="宋体" w:hAnsi="宋体" w:eastAsia="宋体" w:cs="宋体"/>
          <w:color w:val="auto"/>
          <w:highlight w:val="none"/>
        </w:rPr>
      </w:pPr>
      <w:bookmarkStart w:id="93" w:name="_Toc49090508"/>
      <w:bookmarkStart w:id="94" w:name="_Toc14577355"/>
      <w:r>
        <w:rPr>
          <w:rFonts w:hint="eastAsia" w:ascii="宋体" w:hAnsi="宋体" w:eastAsia="宋体" w:cs="宋体"/>
          <w:color w:val="auto"/>
          <w:highlight w:val="none"/>
        </w:rPr>
        <w:t>11.1投标人应按照法律法规、规章和规范性文件以及招标文件要求提交证明文件，证明其及投标标的符合招标文件的规定。</w:t>
      </w:r>
      <w:bookmarkEnd w:id="93"/>
      <w:bookmarkEnd w:id="94"/>
    </w:p>
    <w:p w14:paraId="5C326ACD">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11.2招标文件对证明文件无明确形式要求的，证明文件可以以文字资料、图纸和数据等形式提交。</w:t>
      </w:r>
    </w:p>
    <w:p w14:paraId="71DD4EDD">
      <w:pPr>
        <w:pStyle w:val="32"/>
        <w:keepNext/>
        <w:keepLines/>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12.投标分项报价</w:t>
      </w:r>
      <w:bookmarkStart w:id="95" w:name="_Hlt26670373"/>
      <w:r>
        <w:rPr>
          <w:rFonts w:hint="eastAsia" w:ascii="宋体" w:hAnsi="宋体" w:eastAsia="宋体" w:cs="宋体"/>
          <w:color w:val="auto"/>
          <w:highlight w:val="none"/>
        </w:rPr>
        <w:t>表</w:t>
      </w:r>
    </w:p>
    <w:p w14:paraId="18D35D9A">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12.1投</w:t>
      </w:r>
      <w:bookmarkStart w:id="96" w:name="_Hlt26954840"/>
      <w:r>
        <w:rPr>
          <w:rFonts w:hint="eastAsia" w:ascii="宋体" w:hAnsi="宋体" w:eastAsia="宋体" w:cs="宋体"/>
          <w:color w:val="auto"/>
          <w:highlight w:val="none"/>
        </w:rPr>
        <w:t>标人应按照招标文件规定格式填报投标分项报价表</w:t>
      </w:r>
      <w:bookmarkStart w:id="97" w:name="_Hlt26670399"/>
      <w:r>
        <w:rPr>
          <w:rFonts w:hint="eastAsia" w:ascii="宋体" w:hAnsi="宋体" w:eastAsia="宋体" w:cs="宋体"/>
          <w:color w:val="auto"/>
          <w:highlight w:val="none"/>
        </w:rPr>
        <w:t>。</w:t>
      </w:r>
    </w:p>
    <w:p w14:paraId="626F5DCC">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12.2投标货币。投标文件中的单价和总价无特殊规定的采用人民币报价，以元为单位标注。招标文件中另有规定的按规定执行。</w:t>
      </w:r>
    </w:p>
    <w:p w14:paraId="136772E7">
      <w:pPr>
        <w:pStyle w:val="32"/>
        <w:keepNext/>
        <w:keepLines/>
        <w:spacing w:beforeAutospacing="0" w:afterAutospacing="0" w:line="480" w:lineRule="exact"/>
        <w:ind w:firstLine="480"/>
        <w:jc w:val="both"/>
        <w:rPr>
          <w:rFonts w:hint="eastAsia" w:ascii="宋体" w:hAnsi="宋体" w:eastAsia="宋体" w:cs="宋体"/>
          <w:color w:val="auto"/>
          <w:highlight w:val="none"/>
        </w:rPr>
      </w:pPr>
      <w:bookmarkStart w:id="98" w:name="_Hlt26668983"/>
      <w:bookmarkStart w:id="99" w:name="_Hlt26954731"/>
      <w:bookmarkStart w:id="100" w:name="_Hlt26670403"/>
      <w:bookmarkStart w:id="101" w:name="_Hlt26954846"/>
      <w:bookmarkStart w:id="102" w:name="_Hlt26954844"/>
      <w:bookmarkStart w:id="103" w:name="_Hlt26670486"/>
      <w:bookmarkStart w:id="104" w:name="_Hlt26954842"/>
      <w:bookmarkStart w:id="105" w:name="_Hlt26670482"/>
      <w:bookmarkStart w:id="106" w:name="_Hlt26670425"/>
      <w:bookmarkStart w:id="107" w:name="_Hlt26954848"/>
      <w:r>
        <w:rPr>
          <w:rFonts w:hint="eastAsia" w:ascii="宋体" w:hAnsi="宋体" w:eastAsia="宋体" w:cs="宋体"/>
          <w:color w:val="auto"/>
          <w:highlight w:val="none"/>
        </w:rPr>
        <w:t>13.技术要求响应及偏离表、商务要求响应及偏离表</w:t>
      </w:r>
    </w:p>
    <w:p w14:paraId="055B4ECD">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13.1投标人需对招标文件中的技术要求与商务要求逐项作出响应或偏离，并说明原因。</w:t>
      </w:r>
    </w:p>
    <w:p w14:paraId="40DC247D">
      <w:pPr>
        <w:pStyle w:val="32"/>
        <w:tabs>
          <w:tab w:val="left" w:pos="1036"/>
        </w:tabs>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13.2投标人可在投标文件中提供认为需要的其他技术文件或说明。</w:t>
      </w:r>
    </w:p>
    <w:p w14:paraId="4DF30176">
      <w:pPr>
        <w:pStyle w:val="32"/>
        <w:keepNext/>
        <w:keepLines/>
        <w:spacing w:beforeAutospacing="0" w:afterAutospacing="0" w:line="480" w:lineRule="exact"/>
        <w:ind w:firstLine="480"/>
        <w:jc w:val="both"/>
        <w:rPr>
          <w:rFonts w:hint="eastAsia" w:ascii="宋体" w:hAnsi="宋体" w:eastAsia="宋体" w:cs="宋体"/>
          <w:color w:val="auto"/>
          <w:highlight w:val="none"/>
        </w:rPr>
      </w:pPr>
      <w:bookmarkStart w:id="108" w:name="_Toc14577359"/>
      <w:bookmarkStart w:id="109" w:name="_Toc49090510"/>
      <w:r>
        <w:rPr>
          <w:rFonts w:hint="eastAsia" w:ascii="宋体" w:hAnsi="宋体" w:eastAsia="宋体" w:cs="宋体"/>
          <w:color w:val="auto"/>
          <w:highlight w:val="none"/>
        </w:rPr>
        <w:t>14.投标函和开标一览表</w:t>
      </w:r>
      <w:bookmarkEnd w:id="108"/>
      <w:bookmarkEnd w:id="109"/>
    </w:p>
    <w:p w14:paraId="16B28B40">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14.1投标人应按照招标文件中提供的格式完整、正确填写投标函、开标一览表。</w:t>
      </w:r>
    </w:p>
    <w:p w14:paraId="3F4D77AF">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highlight w:val="none"/>
        </w:rPr>
        <w:t>。</w:t>
      </w:r>
    </w:p>
    <w:p w14:paraId="45B06077">
      <w:pPr>
        <w:pStyle w:val="32"/>
        <w:keepNext/>
        <w:keepLines/>
        <w:spacing w:beforeAutospacing="0" w:afterAutospacing="0" w:line="480" w:lineRule="exact"/>
        <w:ind w:firstLine="480"/>
        <w:jc w:val="both"/>
        <w:rPr>
          <w:rFonts w:hint="eastAsia" w:ascii="宋体" w:hAnsi="宋体" w:eastAsia="宋体" w:cs="宋体"/>
          <w:color w:val="auto"/>
          <w:highlight w:val="none"/>
        </w:rPr>
      </w:pPr>
      <w:bookmarkStart w:id="110" w:name="_Toc14577360"/>
      <w:bookmarkStart w:id="111" w:name="_Toc49090511"/>
      <w:bookmarkStart w:id="112" w:name="_Hlt26954850"/>
      <w:bookmarkStart w:id="113" w:name="_Hlt26954734"/>
      <w:bookmarkStart w:id="114" w:name="_Hlt26670489"/>
      <w:r>
        <w:rPr>
          <w:rFonts w:hint="eastAsia" w:ascii="宋体" w:hAnsi="宋体" w:eastAsia="宋体" w:cs="宋体"/>
          <w:color w:val="auto"/>
          <w:highlight w:val="none"/>
        </w:rPr>
        <w:t>15.投标有效期</w:t>
      </w:r>
      <w:bookmarkEnd w:id="110"/>
      <w:bookmarkEnd w:id="111"/>
    </w:p>
    <w:p w14:paraId="7572CD57">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15.1投标有效期为采购人规定的开标之日后</w:t>
      </w:r>
      <w:r>
        <w:rPr>
          <w:rFonts w:hint="eastAsia" w:ascii="宋体" w:hAnsi="宋体" w:eastAsia="宋体" w:cs="宋体"/>
          <w:b/>
          <w:color w:val="auto"/>
          <w:highlight w:val="none"/>
          <w:u w:val="single"/>
        </w:rPr>
        <w:t>九十（90）天</w:t>
      </w:r>
      <w:r>
        <w:rPr>
          <w:rFonts w:hint="eastAsia" w:ascii="宋体" w:hAnsi="宋体" w:eastAsia="宋体" w:cs="宋体"/>
          <w:color w:val="auto"/>
          <w:highlight w:val="none"/>
        </w:rPr>
        <w:t>。投标有效期比规定短的将被视为未实质性响应招标文件而予以拒绝。</w:t>
      </w:r>
    </w:p>
    <w:p w14:paraId="0A59A386">
      <w:pPr>
        <w:pStyle w:val="32"/>
        <w:keepNext/>
        <w:keepLines/>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16.投标有效期的延长</w:t>
      </w:r>
    </w:p>
    <w:p w14:paraId="107CB112">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5C9E466D">
      <w:pPr>
        <w:pStyle w:val="32"/>
        <w:keepNext/>
        <w:keepLines/>
        <w:spacing w:beforeAutospacing="0" w:afterAutospacing="0" w:line="480" w:lineRule="exact"/>
        <w:ind w:firstLine="482"/>
        <w:jc w:val="both"/>
        <w:rPr>
          <w:rFonts w:hint="eastAsia" w:ascii="宋体" w:hAnsi="宋体" w:eastAsia="宋体" w:cs="宋体"/>
          <w:color w:val="auto"/>
          <w:highlight w:val="none"/>
        </w:rPr>
      </w:pPr>
      <w:bookmarkStart w:id="115" w:name="_Toc120614217"/>
      <w:bookmarkStart w:id="116" w:name="_Toc513029224"/>
      <w:bookmarkStart w:id="117" w:name="_Toc20823296"/>
      <w:bookmarkStart w:id="118" w:name="_Toc16938540"/>
      <w:bookmarkStart w:id="119" w:name="_Hlt26954739"/>
      <w:bookmarkStart w:id="120" w:name="_Hlt26954852"/>
      <w:r>
        <w:rPr>
          <w:rFonts w:hint="eastAsia" w:ascii="宋体" w:hAnsi="宋体" w:eastAsia="宋体" w:cs="宋体"/>
          <w:b/>
          <w:color w:val="auto"/>
          <w:highlight w:val="none"/>
        </w:rPr>
        <w:t>四、投标文件的递交</w:t>
      </w:r>
      <w:bookmarkEnd w:id="115"/>
      <w:bookmarkEnd w:id="116"/>
      <w:bookmarkEnd w:id="117"/>
      <w:bookmarkEnd w:id="118"/>
    </w:p>
    <w:p w14:paraId="289E5541">
      <w:pPr>
        <w:pStyle w:val="32"/>
        <w:keepNext/>
        <w:keepLines/>
        <w:spacing w:beforeAutospacing="0" w:afterAutospacing="0" w:line="480" w:lineRule="exact"/>
        <w:ind w:firstLine="480"/>
        <w:jc w:val="both"/>
        <w:rPr>
          <w:rFonts w:hint="eastAsia" w:ascii="宋体" w:hAnsi="宋体" w:eastAsia="宋体" w:cs="宋体"/>
          <w:color w:val="auto"/>
          <w:highlight w:val="none"/>
        </w:rPr>
      </w:pPr>
      <w:bookmarkStart w:id="121" w:name="_Toc462564084"/>
      <w:bookmarkStart w:id="122" w:name="_Toc20823297"/>
      <w:bookmarkStart w:id="123" w:name="_Toc513029225"/>
      <w:bookmarkStart w:id="124" w:name="_Toc16938541"/>
      <w:r>
        <w:rPr>
          <w:rFonts w:hint="eastAsia" w:ascii="宋体" w:hAnsi="宋体" w:eastAsia="宋体" w:cs="宋体"/>
          <w:color w:val="auto"/>
          <w:highlight w:val="none"/>
        </w:rPr>
        <w:t>17.投标文件</w:t>
      </w:r>
      <w:bookmarkEnd w:id="121"/>
      <w:bookmarkEnd w:id="122"/>
      <w:bookmarkEnd w:id="123"/>
      <w:bookmarkEnd w:id="124"/>
      <w:r>
        <w:rPr>
          <w:rFonts w:hint="eastAsia" w:ascii="宋体" w:hAnsi="宋体" w:eastAsia="宋体" w:cs="宋体"/>
          <w:color w:val="auto"/>
          <w:highlight w:val="none"/>
        </w:rPr>
        <w:t>的递交</w:t>
      </w:r>
    </w:p>
    <w:p w14:paraId="53543349">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17.1 电子投标文件的递交</w:t>
      </w:r>
    </w:p>
    <w:p w14:paraId="46D2C0E5">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投标人应当按照《操作手册》规定，在投标截止时间前制作并上传电子投标文件。</w:t>
      </w:r>
      <w:bookmarkStart w:id="125" w:name="_Toc16938542"/>
      <w:bookmarkEnd w:id="125"/>
      <w:bookmarkStart w:id="126" w:name="_Toc20823298"/>
      <w:bookmarkEnd w:id="126"/>
      <w:bookmarkStart w:id="127" w:name="_Toc513029226"/>
    </w:p>
    <w:p w14:paraId="35D33E52">
      <w:pPr>
        <w:pStyle w:val="32"/>
        <w:keepNext/>
        <w:keepLines/>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18.投标截止时间</w:t>
      </w:r>
    </w:p>
    <w:p w14:paraId="6AFAC922">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i/>
          <w:color w:val="auto"/>
          <w:highlight w:val="none"/>
          <w:u w:val="single"/>
        </w:rPr>
        <w:t>18.1投标人上传电子投标文件的时间不得迟于招标公告中规定的投标截止时间。</w:t>
      </w:r>
    </w:p>
    <w:p w14:paraId="1EC7C89B">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投标人应充分考虑网络环境、网络带宽等风险因素，如因投标人自身原因造成的电子投标文件上传不成功地按照本招标文件第二章第26.1.2条 规定做无效投标处理。</w:t>
      </w:r>
    </w:p>
    <w:p w14:paraId="2D7EFCF2">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18.2采购人可以按照规定，通过修改招标文件酌情延长投标截止时间，在此情况下，投标人的所有权利和义务以及投标人受制的截止时间均应以延长后新的截止时间为准。</w:t>
      </w:r>
    </w:p>
    <w:p w14:paraId="13355E4E">
      <w:pPr>
        <w:pStyle w:val="32"/>
        <w:keepNext/>
        <w:keepLines/>
        <w:spacing w:beforeAutospacing="0" w:afterAutospacing="0" w:line="480" w:lineRule="exact"/>
        <w:ind w:firstLine="480"/>
        <w:jc w:val="both"/>
        <w:rPr>
          <w:rFonts w:hint="eastAsia" w:ascii="宋体" w:hAnsi="宋体" w:eastAsia="宋体" w:cs="宋体"/>
          <w:color w:val="auto"/>
          <w:highlight w:val="none"/>
        </w:rPr>
      </w:pPr>
      <w:bookmarkStart w:id="128" w:name="_Toc16938543"/>
      <w:bookmarkStart w:id="129" w:name="_Toc513029227"/>
      <w:bookmarkStart w:id="130" w:name="_Toc20823299"/>
      <w:r>
        <w:rPr>
          <w:rFonts w:hint="eastAsia" w:ascii="宋体" w:hAnsi="宋体" w:eastAsia="宋体" w:cs="宋体"/>
          <w:color w:val="auto"/>
          <w:highlight w:val="none"/>
        </w:rPr>
        <w:t>19.投标文件</w:t>
      </w:r>
      <w:bookmarkEnd w:id="128"/>
      <w:bookmarkEnd w:id="129"/>
      <w:bookmarkEnd w:id="130"/>
      <w:r>
        <w:rPr>
          <w:rFonts w:hint="eastAsia" w:ascii="宋体" w:hAnsi="宋体" w:eastAsia="宋体" w:cs="宋体"/>
          <w:color w:val="auto"/>
          <w:highlight w:val="none"/>
        </w:rPr>
        <w:t>的拒收</w:t>
      </w:r>
    </w:p>
    <w:p w14:paraId="4E182028">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19.1采购人拒绝接收在其规定的投标截止时间后上传的任何投标文件。</w:t>
      </w:r>
    </w:p>
    <w:p w14:paraId="10D1559B">
      <w:pPr>
        <w:pStyle w:val="32"/>
        <w:keepNext/>
        <w:keepLines/>
        <w:spacing w:beforeAutospacing="0" w:afterAutospacing="0" w:line="480" w:lineRule="exact"/>
        <w:ind w:firstLine="480"/>
        <w:jc w:val="both"/>
        <w:rPr>
          <w:rFonts w:hint="eastAsia" w:ascii="宋体" w:hAnsi="宋体" w:eastAsia="宋体" w:cs="宋体"/>
          <w:color w:val="auto"/>
          <w:highlight w:val="none"/>
        </w:rPr>
      </w:pPr>
      <w:bookmarkStart w:id="131" w:name="_Toc20823300"/>
      <w:bookmarkStart w:id="132" w:name="_Toc513029228"/>
      <w:bookmarkStart w:id="133" w:name="_Toc16938544"/>
      <w:r>
        <w:rPr>
          <w:rFonts w:hint="eastAsia" w:ascii="宋体" w:hAnsi="宋体" w:eastAsia="宋体" w:cs="宋体"/>
          <w:color w:val="auto"/>
          <w:highlight w:val="none"/>
        </w:rPr>
        <w:t>20.投标文件的撤回和修改</w:t>
      </w:r>
      <w:bookmarkEnd w:id="131"/>
      <w:bookmarkEnd w:id="132"/>
      <w:bookmarkEnd w:id="133"/>
    </w:p>
    <w:p w14:paraId="3CEE1E67">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20.1投标文件的撤回</w:t>
      </w:r>
    </w:p>
    <w:p w14:paraId="4D8E6014">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20.1.1电子投标文件的撤回</w:t>
      </w:r>
    </w:p>
    <w:p w14:paraId="291E1721">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投标人可在投标截止时间前，撤回其电子投标文件，具体操作方法见《操作手册》。</w:t>
      </w:r>
    </w:p>
    <w:p w14:paraId="5B9E6ADC">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20.1.2投标人撤回电子投标文件，则认为其不再参与本项目投标活动。</w:t>
      </w:r>
    </w:p>
    <w:p w14:paraId="6C2A055D">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20.2 投标文件的修改</w:t>
      </w:r>
    </w:p>
    <w:p w14:paraId="59379ECF">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20.2.1投标人可在投标截止时间前，对其电子投标文件进行修改，具体操作方法见《操作手册》。</w:t>
      </w:r>
    </w:p>
    <w:p w14:paraId="292E2288">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20.2.2在投标截止时间之后，投标人不得对其电子投标文件作任何修改。</w:t>
      </w:r>
    </w:p>
    <w:p w14:paraId="42CC3C74">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20.3在投标截止时间至招标文件中规定的投标有效期满之间的这段时间内，投标人不得撤回其投标。</w:t>
      </w:r>
    </w:p>
    <w:p w14:paraId="7EA89123">
      <w:pPr>
        <w:pStyle w:val="32"/>
        <w:keepNext/>
        <w:keepLines/>
        <w:spacing w:beforeAutospacing="0" w:afterAutospacing="0" w:line="480" w:lineRule="exact"/>
        <w:ind w:firstLine="482"/>
        <w:jc w:val="both"/>
        <w:rPr>
          <w:rFonts w:hint="eastAsia" w:ascii="宋体" w:hAnsi="宋体" w:eastAsia="宋体" w:cs="宋体"/>
          <w:color w:val="auto"/>
          <w:highlight w:val="none"/>
        </w:rPr>
      </w:pPr>
      <w:bookmarkStart w:id="134" w:name="_Toc513029229"/>
      <w:bookmarkStart w:id="135" w:name="_Toc20823301"/>
      <w:bookmarkStart w:id="136" w:name="_Toc16938545"/>
      <w:bookmarkStart w:id="137" w:name="_Toc120614218"/>
      <w:r>
        <w:rPr>
          <w:rFonts w:hint="eastAsia" w:ascii="宋体" w:hAnsi="宋体" w:eastAsia="宋体" w:cs="宋体"/>
          <w:b/>
          <w:color w:val="auto"/>
          <w:highlight w:val="none"/>
        </w:rPr>
        <w:t>五、开标与评标</w:t>
      </w:r>
      <w:bookmarkEnd w:id="134"/>
      <w:bookmarkEnd w:id="135"/>
      <w:bookmarkEnd w:id="136"/>
      <w:bookmarkEnd w:id="137"/>
    </w:p>
    <w:p w14:paraId="2E196FA2">
      <w:pPr>
        <w:pStyle w:val="32"/>
        <w:keepNext/>
        <w:keepLines/>
        <w:spacing w:beforeAutospacing="0" w:afterAutospacing="0" w:line="480" w:lineRule="exact"/>
        <w:ind w:firstLine="480"/>
        <w:jc w:val="both"/>
        <w:rPr>
          <w:rFonts w:hint="eastAsia" w:ascii="宋体" w:hAnsi="宋体" w:eastAsia="宋体" w:cs="宋体"/>
          <w:color w:val="auto"/>
          <w:highlight w:val="none"/>
        </w:rPr>
      </w:pPr>
      <w:bookmarkStart w:id="138" w:name="_Toc20823302"/>
      <w:bookmarkStart w:id="139" w:name="_Toc513029230"/>
      <w:bookmarkStart w:id="140" w:name="_Toc16938546"/>
      <w:r>
        <w:rPr>
          <w:rFonts w:hint="eastAsia" w:ascii="宋体" w:hAnsi="宋体" w:eastAsia="宋体" w:cs="宋体"/>
          <w:color w:val="auto"/>
          <w:highlight w:val="none"/>
        </w:rPr>
        <w:t>21.开标</w:t>
      </w:r>
      <w:bookmarkEnd w:id="138"/>
      <w:bookmarkEnd w:id="139"/>
      <w:bookmarkEnd w:id="140"/>
    </w:p>
    <w:p w14:paraId="530EC03C">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21.1采购人将在招标公告中规定的时间和地点组织公开开标。投标人应当按照《操作手册》规定，参加开标活动和在苏采云系统规定的时间内对投标文件进行解密。</w:t>
      </w:r>
    </w:p>
    <w:p w14:paraId="68B68C4A">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21.2开标仪式由采购人或代理机构组织。苏采云系统将自动对项目进行开标，并宣布各投标人名称和投标价格。</w:t>
      </w:r>
    </w:p>
    <w:p w14:paraId="5403F788">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21.3投标人在开标过程中涉及的投标文件解密、开标结果确认等工作，应按照《操作手册》规定执行。</w:t>
      </w:r>
    </w:p>
    <w:p w14:paraId="0C649545">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21.4投标人如果对开标过程和开标记录有疑义，应当根据《操作手册》规定提出，如苏采云系统中《开标记录表》宣布后5分钟内未提出的，视同认可开标结果。</w:t>
      </w:r>
    </w:p>
    <w:p w14:paraId="78904274">
      <w:pPr>
        <w:pStyle w:val="32"/>
        <w:keepNext/>
        <w:keepLines/>
        <w:spacing w:beforeAutospacing="0" w:afterAutospacing="0" w:line="480" w:lineRule="exact"/>
        <w:ind w:firstLine="480"/>
        <w:jc w:val="both"/>
        <w:rPr>
          <w:rFonts w:hint="eastAsia" w:ascii="宋体" w:hAnsi="宋体" w:eastAsia="宋体" w:cs="宋体"/>
          <w:color w:val="auto"/>
          <w:highlight w:val="none"/>
        </w:rPr>
      </w:pPr>
      <w:bookmarkStart w:id="141" w:name="_Toc16938547"/>
      <w:bookmarkStart w:id="142" w:name="_Toc513029231"/>
      <w:bookmarkStart w:id="143" w:name="_Toc20823303"/>
      <w:r>
        <w:rPr>
          <w:rFonts w:hint="eastAsia" w:ascii="宋体" w:hAnsi="宋体" w:eastAsia="宋体" w:cs="宋体"/>
          <w:color w:val="auto"/>
          <w:highlight w:val="none"/>
        </w:rPr>
        <w:t>22.评标委员会</w:t>
      </w:r>
      <w:bookmarkEnd w:id="141"/>
      <w:bookmarkEnd w:id="142"/>
      <w:bookmarkEnd w:id="143"/>
    </w:p>
    <w:p w14:paraId="45164A83">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22.1开标后，采购人将立即组织评标委员会（以下简称评委会）进行评标。</w:t>
      </w:r>
    </w:p>
    <w:p w14:paraId="350219D2">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22.2评委会由采购人代表和有关技术、经济等方面的专家组成，且人员构成符合政府采购有关规定。</w:t>
      </w:r>
    </w:p>
    <w:p w14:paraId="780CF5B4">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22.3评委会独立工作，负责评审所有投标文件并确定中标候选人。</w:t>
      </w:r>
    </w:p>
    <w:p w14:paraId="06335950">
      <w:pPr>
        <w:pStyle w:val="32"/>
        <w:keepNext/>
        <w:keepLines/>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23.评标过程的保密与公正</w:t>
      </w:r>
    </w:p>
    <w:p w14:paraId="7B74D491">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23.1凡是与审查、澄清、评价和比较投标的有关资料以及授标建议等，采购人、评委、代理机构均不得向投标人或与评标无关的其他人员透露。</w:t>
      </w:r>
    </w:p>
    <w:p w14:paraId="3470DC0F">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23.2在评标过程中，投标人不得以任何行为影响评标过程，否则其投标文件将被作为无效投标文件。</w:t>
      </w:r>
    </w:p>
    <w:p w14:paraId="2F5DF3EB">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23.3采购人、代理机构和评标委员会不向未中标的投标人解释未中标原因，也不公布评标过程中的相关细节。</w:t>
      </w:r>
    </w:p>
    <w:p w14:paraId="363AC39C">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p>
    <w:p w14:paraId="49C7044B">
      <w:pPr>
        <w:pStyle w:val="32"/>
        <w:keepNext/>
        <w:keepLines/>
        <w:spacing w:beforeAutospacing="0" w:afterAutospacing="0" w:line="480" w:lineRule="exact"/>
        <w:ind w:firstLine="480"/>
        <w:jc w:val="both"/>
        <w:rPr>
          <w:rFonts w:hint="eastAsia" w:ascii="宋体" w:hAnsi="宋体" w:eastAsia="宋体" w:cs="宋体"/>
          <w:color w:val="auto"/>
          <w:highlight w:val="none"/>
        </w:rPr>
      </w:pPr>
      <w:bookmarkStart w:id="144" w:name="_Toc513029232"/>
      <w:bookmarkStart w:id="145" w:name="_Toc16938548"/>
      <w:bookmarkStart w:id="146" w:name="_Toc20823304"/>
      <w:r>
        <w:rPr>
          <w:rFonts w:hint="eastAsia" w:ascii="宋体" w:hAnsi="宋体" w:eastAsia="宋体" w:cs="宋体"/>
          <w:color w:val="auto"/>
          <w:highlight w:val="none"/>
        </w:rPr>
        <w:t>24.投标文件的澄清</w:t>
      </w:r>
      <w:bookmarkEnd w:id="144"/>
      <w:bookmarkEnd w:id="145"/>
      <w:bookmarkEnd w:id="146"/>
    </w:p>
    <w:p w14:paraId="6734D46C">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24.1评标期间，评委会对投标文件中含义不明确、同类问题表述不一致或者有明显文字和计算错误的内容 ，有权要求投标人作出必要的澄清、说明或者补正。</w:t>
      </w:r>
    </w:p>
    <w:p w14:paraId="72749B9B">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投标人的澄清、说明或者补正不得超出投标文件的范围或者改变投标文件的实质性内容。</w:t>
      </w:r>
    </w:p>
    <w:p w14:paraId="1EB2DD5C">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评标委员会并非对每个投标人都做澄清要求。</w:t>
      </w:r>
    </w:p>
    <w:p w14:paraId="15AD5E9F">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0D762E3">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24.3接到评委会澄清、说明和补正要求的投标人如未按规定作出澄清、说明和补正，其风险由投标人自行承担。</w:t>
      </w:r>
    </w:p>
    <w:p w14:paraId="377C1748">
      <w:pPr>
        <w:pStyle w:val="32"/>
        <w:keepNext/>
        <w:keepLines/>
        <w:spacing w:beforeAutospacing="0" w:afterAutospacing="0" w:line="480" w:lineRule="exact"/>
        <w:ind w:firstLine="480"/>
        <w:jc w:val="both"/>
        <w:rPr>
          <w:rFonts w:hint="eastAsia" w:ascii="宋体" w:hAnsi="宋体" w:eastAsia="宋体" w:cs="宋体"/>
          <w:color w:val="auto"/>
          <w:highlight w:val="none"/>
        </w:rPr>
      </w:pPr>
      <w:bookmarkStart w:id="147" w:name="_Toc513029233"/>
      <w:bookmarkStart w:id="148" w:name="_Toc16938549"/>
      <w:bookmarkStart w:id="149" w:name="_Toc20823305"/>
      <w:r>
        <w:rPr>
          <w:rFonts w:hint="eastAsia" w:ascii="宋体" w:hAnsi="宋体" w:eastAsia="宋体" w:cs="宋体"/>
          <w:color w:val="auto"/>
          <w:highlight w:val="none"/>
        </w:rPr>
        <w:t>25.对投标文件的初审</w:t>
      </w:r>
      <w:bookmarkEnd w:id="147"/>
      <w:bookmarkEnd w:id="148"/>
      <w:bookmarkEnd w:id="149"/>
    </w:p>
    <w:p w14:paraId="1796A021">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25.1投标文件初审分为资格审查和符合性审查。</w:t>
      </w:r>
    </w:p>
    <w:p w14:paraId="789E4335">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25.1.1资格审查：依据法律法规和招标文件的规定，由采购人对投标文件中的资格证明文件进行审查。资格审查的结论，采购人以书面形式向评委会进行反馈。</w:t>
      </w:r>
    </w:p>
    <w:p w14:paraId="3D56F373">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采购人在进行资格性审查的同时，将在“信用中国”网站（www.creditchina.gov.cn）查询投标人的信用记录，以确定投标人是否具备投标资格，查询结果留存并归档。</w:t>
      </w:r>
    </w:p>
    <w:p w14:paraId="70ACEB04">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1C29DAF9">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25.1.2符合性审查：依据招标文件的规定，由评委会从投标文件的有效性、完整性和对招标文件的响应程度进行审查，以确定是否对招标文件的实质性要求作出响应。</w:t>
      </w:r>
    </w:p>
    <w:p w14:paraId="40354BD1">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25.1.3未通过资格审查或符合性审查的投标人，代理机构将在苏采云系统中告知未通过资格审查或符合性审查的原因，评标结束后，代理机构将不再告知未通过资格审查和符合性审查的原因。</w:t>
      </w:r>
    </w:p>
    <w:p w14:paraId="3C2B4988">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2E04C323">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3417114">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25.3如果投标文件实质上没有响应招标文件的要求，评委会将予以拒绝，投标人不得通过修改或撤销不符合要求的偏离或保留而使其投标成为实质性响应的投标。</w:t>
      </w:r>
    </w:p>
    <w:p w14:paraId="1E778A93">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25.4评委会将对确定为实质性响应的投标进行进一步审核，确定其是否有计算上或累加上的算术错误，修正错误的原则如下：</w:t>
      </w:r>
    </w:p>
    <w:p w14:paraId="065D435D">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（1）投标文件中开标一览表内容与投标文件中相应内容不一致的，以开标一览表为准。</w:t>
      </w:r>
    </w:p>
    <w:p w14:paraId="09B720D9">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（2）大写金额和小写金额不一致的，以大写金额为准。</w:t>
      </w:r>
    </w:p>
    <w:p w14:paraId="033F23F2">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（3）单价金额小数点或者百分比有明显错位的，以开标一览表的总价为准，并修改单价。</w:t>
      </w:r>
    </w:p>
    <w:p w14:paraId="347704C0">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（4）总价金额与按单价汇总金额不一致的，以单价金额计算结果为准。</w:t>
      </w:r>
    </w:p>
    <w:p w14:paraId="29C65F2F">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同时出现两种以上错误的，按照前款规定的顺序修正。</w:t>
      </w:r>
    </w:p>
    <w:p w14:paraId="631991EA">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5355BEAD">
      <w:pPr>
        <w:pStyle w:val="32"/>
        <w:spacing w:beforeAutospacing="0" w:afterAutospacing="0" w:line="480" w:lineRule="exact"/>
        <w:ind w:firstLine="480"/>
        <w:jc w:val="both"/>
        <w:rPr>
          <w:rFonts w:hint="eastAsia" w:ascii="宋体" w:hAnsi="宋体" w:eastAsia="宋体" w:cs="宋体"/>
          <w:color w:val="auto"/>
          <w:highlight w:val="none"/>
        </w:rPr>
      </w:pPr>
      <w:bookmarkStart w:id="150" w:name="_Toc16938550"/>
      <w:bookmarkStart w:id="151" w:name="_Toc20823306"/>
      <w:bookmarkStart w:id="152" w:name="_Toc513029234"/>
      <w:r>
        <w:rPr>
          <w:rFonts w:hint="eastAsia" w:ascii="宋体" w:hAnsi="宋体" w:eastAsia="宋体" w:cs="宋体"/>
          <w:color w:val="auto"/>
          <w:highlight w:val="none"/>
        </w:rPr>
        <w:t>25.6投标人在开、评标全过程中应保持通信畅通，及时登录苏采云系统查阅、答复相关信息，并安排专人与采购人及评标委员会联系。</w:t>
      </w:r>
      <w:bookmarkEnd w:id="150"/>
      <w:bookmarkEnd w:id="151"/>
      <w:bookmarkEnd w:id="152"/>
    </w:p>
    <w:p w14:paraId="2BC20676">
      <w:pPr>
        <w:pStyle w:val="32"/>
        <w:keepNext/>
        <w:keepLines/>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26.无效投标条款和废标条款</w:t>
      </w:r>
    </w:p>
    <w:p w14:paraId="7658B820">
      <w:pPr>
        <w:pStyle w:val="32"/>
        <w:spacing w:beforeAutospacing="0" w:afterAutospacing="0" w:line="480" w:lineRule="exact"/>
        <w:ind w:firstLine="480"/>
        <w:jc w:val="both"/>
        <w:rPr>
          <w:rFonts w:hint="eastAsia" w:ascii="宋体" w:hAnsi="宋体" w:eastAsia="宋体" w:cs="宋体"/>
          <w:color w:val="auto"/>
          <w:highlight w:val="none"/>
        </w:rPr>
      </w:pPr>
      <w:bookmarkStart w:id="153" w:name="_Toc20823307"/>
      <w:bookmarkStart w:id="154" w:name="_Toc513029235"/>
      <w:bookmarkStart w:id="155" w:name="_Toc16938551"/>
      <w:r>
        <w:rPr>
          <w:rFonts w:hint="eastAsia" w:ascii="宋体" w:hAnsi="宋体" w:eastAsia="宋体" w:cs="宋体"/>
          <w:color w:val="auto"/>
          <w:highlight w:val="none"/>
        </w:rPr>
        <w:t>26.1无效投标条款</w:t>
      </w:r>
      <w:bookmarkEnd w:id="153"/>
      <w:bookmarkEnd w:id="154"/>
      <w:bookmarkEnd w:id="155"/>
    </w:p>
    <w:p w14:paraId="4A4573CA">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26.1.1投标人在苏采云系统规定的时间内未成功解密电子投标文件的。</w:t>
      </w:r>
    </w:p>
    <w:p w14:paraId="4AB08758">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26.1.2投标人未按照招标文件要求上传电子投标文件的。</w:t>
      </w:r>
    </w:p>
    <w:p w14:paraId="782201D9">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26.1.3同一投标人提交两个（含两个）以上不同的投标报价的。</w:t>
      </w:r>
    </w:p>
    <w:p w14:paraId="1B2E7699">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26.1.4投标人不具备招标文件中规定资格要求的。</w:t>
      </w:r>
    </w:p>
    <w:p w14:paraId="4BAAF4B1">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26.1.5投标人的报价超过了采购预算或最高限价的。</w:t>
      </w:r>
    </w:p>
    <w:p w14:paraId="47AC3BC6">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26.1.6未通过符合性审查的。</w:t>
      </w:r>
    </w:p>
    <w:p w14:paraId="78C5608D">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26.1.7不符合招标文件中规定的实质性要求和条件的（</w:t>
      </w:r>
      <w:r>
        <w:rPr>
          <w:rFonts w:hint="eastAsia" w:ascii="宋体" w:hAnsi="宋体" w:eastAsia="宋体" w:cs="宋体"/>
          <w:i/>
          <w:color w:val="auto"/>
          <w:highlight w:val="none"/>
          <w:u w:val="single"/>
        </w:rPr>
        <w:t>本招标文件中斜体且有下划线部分为实质性要求和条件）。</w:t>
      </w:r>
    </w:p>
    <w:p w14:paraId="1986389D">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E734107">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26.1.9投标文件含有采购人不能接受的附加条件的。</w:t>
      </w:r>
    </w:p>
    <w:p w14:paraId="3634F3BB">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26.1.10投标人不能证明其报价合理性的，评标委员会应当将其作为无效投标处理。</w:t>
      </w:r>
    </w:p>
    <w:p w14:paraId="4B8630B4">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（一）评审过程中出现下列情形之一的，评标委员会应当启动异常低价投标审查程序：</w:t>
      </w:r>
    </w:p>
    <w:p w14:paraId="5FFEFB72">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投标报价低于全部通过符合性审查供应商投标报价平均值50%的，即投标报价&lt;全部通过符合性审查供应商投标报价平均值×50%； </w:t>
      </w:r>
    </w:p>
    <w:p w14:paraId="0E1D1172">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投标报价低于通过符合性审查的次低报价供应商投标报价50%的，即投标报价&lt;通过符合性审查的次低报价供应商投标报价×50%； </w:t>
      </w:r>
    </w:p>
    <w:p w14:paraId="558C0A74">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投标报价低于采购项目最高限价45%的，即投标报价&lt;采购项目最高限价×45%； </w:t>
      </w:r>
    </w:p>
    <w:p w14:paraId="140749DB">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评审委员会基于专业判断，认为供应商报价过低，有可能影响产品质量或者不能诚信履约的其他情形。</w:t>
      </w:r>
    </w:p>
    <w:p w14:paraId="14F3CB6A">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12554837">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4440025A">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55EE4A5B">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异常低价投标审查的启动原因、审查意见和审查结果应当在评审报告中记录，并随供应商提供的相关书面说明及证明材料，以及评审委员会有关互联网浏览、查询历史一并归档。</w:t>
      </w:r>
    </w:p>
    <w:p w14:paraId="6FE4DE1A">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26.1.11投标文件未按照招标文件要求加盖CA电子公章的。</w:t>
      </w:r>
    </w:p>
    <w:p w14:paraId="2E694A36">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26.1.12其他法律法规及本招标文件规定的属于无效投标的情形。</w:t>
      </w:r>
    </w:p>
    <w:p w14:paraId="5093907E">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26.2废标条款</w:t>
      </w:r>
    </w:p>
    <w:p w14:paraId="2C32A7AC">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26.2.1符合专业条件的供应商或者对招标文件做实质响应的供应商不足三家的。</w:t>
      </w:r>
    </w:p>
    <w:p w14:paraId="26239211">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26.2.2出现影响采购公正的违法、违规行为的。</w:t>
      </w:r>
    </w:p>
    <w:p w14:paraId="19DDA955">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26.2.3因重大变故，采购任务取消的。</w:t>
      </w:r>
    </w:p>
    <w:p w14:paraId="412A8A37">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26.2.4评标委员会认定招标文件存在歧义、重大缺陷导致评审工作无法进行。</w:t>
      </w:r>
    </w:p>
    <w:p w14:paraId="54C16F0E">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26.2.5因苏采云系统故障原因造成开标不成功的。</w:t>
      </w:r>
    </w:p>
    <w:p w14:paraId="134C4754">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26.3 投标截止时间结束后参加投标的供应商不足三家的处理：</w:t>
      </w:r>
    </w:p>
    <w:p w14:paraId="70D2059A">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26.3.1如出现投标截止时间结束后参加投标的供应商或者在评标期间对招标文件做出实质响应的供应商不足三家情况，按政府采购相关规定执行。</w:t>
      </w:r>
    </w:p>
    <w:p w14:paraId="18BAB37C">
      <w:pPr>
        <w:pStyle w:val="32"/>
        <w:keepNext/>
        <w:keepLines/>
        <w:spacing w:beforeAutospacing="0" w:afterAutospacing="0" w:line="480" w:lineRule="exact"/>
        <w:ind w:firstLine="482"/>
        <w:jc w:val="both"/>
        <w:rPr>
          <w:rFonts w:hint="eastAsia" w:ascii="宋体" w:hAnsi="宋体" w:eastAsia="宋体" w:cs="宋体"/>
          <w:color w:val="auto"/>
          <w:highlight w:val="none"/>
        </w:rPr>
      </w:pPr>
      <w:bookmarkStart w:id="156" w:name="_Toc120614219"/>
      <w:r>
        <w:rPr>
          <w:rFonts w:hint="eastAsia" w:ascii="宋体" w:hAnsi="宋体" w:eastAsia="宋体" w:cs="宋体"/>
          <w:b/>
          <w:color w:val="auto"/>
          <w:highlight w:val="none"/>
        </w:rPr>
        <w:t>六、定标</w:t>
      </w:r>
      <w:bookmarkEnd w:id="156"/>
    </w:p>
    <w:p w14:paraId="4F6B6F43">
      <w:pPr>
        <w:pStyle w:val="32"/>
        <w:keepNext/>
        <w:keepLines/>
        <w:spacing w:beforeAutospacing="0" w:afterAutospacing="0" w:line="480" w:lineRule="exact"/>
        <w:ind w:firstLine="480"/>
        <w:jc w:val="both"/>
        <w:rPr>
          <w:rFonts w:hint="eastAsia" w:ascii="宋体" w:hAnsi="宋体" w:eastAsia="宋体" w:cs="宋体"/>
          <w:color w:val="auto"/>
          <w:highlight w:val="none"/>
        </w:rPr>
      </w:pPr>
      <w:bookmarkStart w:id="157" w:name="_Toc20823310"/>
      <w:bookmarkStart w:id="158" w:name="_Toc513029238"/>
      <w:bookmarkStart w:id="159" w:name="_Toc16938554"/>
      <w:r>
        <w:rPr>
          <w:rFonts w:hint="eastAsia" w:ascii="宋体" w:hAnsi="宋体" w:eastAsia="宋体" w:cs="宋体"/>
          <w:color w:val="auto"/>
          <w:highlight w:val="none"/>
        </w:rPr>
        <w:t>27.</w:t>
      </w:r>
      <w:bookmarkEnd w:id="157"/>
      <w:r>
        <w:rPr>
          <w:rFonts w:hint="eastAsia" w:ascii="宋体" w:hAnsi="宋体" w:eastAsia="宋体" w:cs="宋体"/>
          <w:color w:val="auto"/>
          <w:highlight w:val="none"/>
        </w:rPr>
        <w:t>确定</w:t>
      </w:r>
      <w:bookmarkEnd w:id="158"/>
      <w:bookmarkEnd w:id="159"/>
      <w:r>
        <w:rPr>
          <w:rFonts w:hint="eastAsia" w:ascii="宋体" w:hAnsi="宋体" w:eastAsia="宋体" w:cs="宋体"/>
          <w:color w:val="auto"/>
          <w:highlight w:val="none"/>
        </w:rPr>
        <w:t>中标单位</w:t>
      </w:r>
    </w:p>
    <w:p w14:paraId="7BECAAA3">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27.1中标候选人的选取原则和数量见招标文件第五章规定。 </w:t>
      </w:r>
    </w:p>
    <w:p w14:paraId="3F2BCD5B">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27.2采购人应根据评委会推荐的中标候选人确定中标人。</w:t>
      </w:r>
    </w:p>
    <w:p w14:paraId="71074E8F">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27.3采购人将在“中国政府采购网”“江苏政府采购网”“盐城市政府采购网”发布中标公告，公告期限为1个工作日。</w:t>
      </w:r>
    </w:p>
    <w:p w14:paraId="43C10701">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27.4若有充分证据证明，中标人出现下列情况之一的，一经查实，将被取消中标资格：</w:t>
      </w:r>
    </w:p>
    <w:p w14:paraId="13A90230">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27.4.1提供虚假材料谋取中标的。</w:t>
      </w:r>
    </w:p>
    <w:p w14:paraId="0BE00053">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27.4.2向采购人、代理机构行贿或者提供其他不正当利益的。</w:t>
      </w:r>
    </w:p>
    <w:p w14:paraId="652D34E6">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27.4.3属于本文件规定的无效条件，但在评标过程中又未被评委会发现的。</w:t>
      </w:r>
    </w:p>
    <w:p w14:paraId="24A2F44E">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27.4.4与采购人或者其他供应商恶意串通的。</w:t>
      </w:r>
    </w:p>
    <w:p w14:paraId="791FAB7F">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27.4.5采取不正当手段诋毁、排挤其他供应商的。</w:t>
      </w:r>
    </w:p>
    <w:p w14:paraId="5A888D09">
      <w:pPr>
        <w:pStyle w:val="32"/>
        <w:spacing w:beforeAutospacing="0" w:afterAutospacing="0" w:line="480" w:lineRule="exact"/>
        <w:ind w:firstLine="480"/>
        <w:jc w:val="both"/>
        <w:rPr>
          <w:rFonts w:hint="eastAsia" w:ascii="宋体" w:hAnsi="宋体" w:eastAsia="宋体" w:cs="宋体"/>
          <w:color w:val="auto"/>
          <w:highlight w:val="none"/>
        </w:rPr>
      </w:pPr>
      <w:bookmarkStart w:id="160" w:name="_Toc200451960"/>
      <w:r>
        <w:rPr>
          <w:rFonts w:hint="eastAsia" w:ascii="宋体" w:hAnsi="宋体" w:eastAsia="宋体" w:cs="宋体"/>
          <w:color w:val="auto"/>
          <w:highlight w:val="none"/>
        </w:rPr>
        <w:t>27.5 有下列情形之一的，视为投标人串通投标，投标无效：</w:t>
      </w:r>
      <w:bookmarkEnd w:id="160"/>
    </w:p>
    <w:p w14:paraId="0D868B74">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27.5.1不同投标人的投标文件由同一单位或者个人编制。</w:t>
      </w:r>
    </w:p>
    <w:p w14:paraId="16050507">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27.5.2不同投标人委托同一单位或者个人办理投标事宜。</w:t>
      </w:r>
    </w:p>
    <w:p w14:paraId="47FA9AFF">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27.5.3不同投标人的投标文件载明的项目管理成员或者联系人员为同一人。</w:t>
      </w:r>
    </w:p>
    <w:p w14:paraId="0B1A3525">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27.5.4不同投标人的投标文件异常一致或者投标报价呈规律性差异。</w:t>
      </w:r>
    </w:p>
    <w:p w14:paraId="742F62D1">
      <w:pPr>
        <w:pStyle w:val="32"/>
        <w:keepNext/>
        <w:keepLines/>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28.质疑处理</w:t>
      </w:r>
    </w:p>
    <w:p w14:paraId="2DC92694">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28.1提出质疑的供应商应当是参与所质疑项目采购活动的供应商。潜在供应商依法获取其可质疑的采购文件的，可以对采购文件提出质疑。</w:t>
      </w:r>
    </w:p>
    <w:p w14:paraId="09AA3DBA">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p>
    <w:p w14:paraId="67E747D8">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28.2.1对可以质疑的采购文件提出质疑的，为收到采购文件之日或者采购文件公告期限届满之日；</w:t>
      </w:r>
    </w:p>
    <w:p w14:paraId="061D2A31">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28.2.2对采购过程提出质疑的，为各采购程序环节结束之日；</w:t>
      </w:r>
    </w:p>
    <w:p w14:paraId="232E2062">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28.2.3对中标或者成交结果提出质疑的，为中标或者成交结果公告期限届满之日。</w:t>
      </w:r>
    </w:p>
    <w:p w14:paraId="23427722">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供应商应当在法定质疑期内一次性提出针对同一采购程序环节的质疑。供应商如在法定期限内对同一采购程序环节提出多次质疑的，采购人将只对供应商第一次质疑作出答复。</w:t>
      </w:r>
    </w:p>
    <w:p w14:paraId="16BD64EC">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371551FE">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p>
    <w:p w14:paraId="729F940A">
      <w:pPr>
        <w:tabs>
          <w:tab w:val="left" w:pos="1331"/>
        </w:tabs>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采购人只接收以纸质原件形式送达的质疑，采购人不接受未填写快递运单的快件。</w:t>
      </w:r>
    </w:p>
    <w:p w14:paraId="19D3DCD2">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 以下情形的质疑不予受理</w:t>
      </w:r>
    </w:p>
    <w:p w14:paraId="5C4DF577">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28.5.1内容不符合《政府采购质疑和投诉办法》第十二条规定的质疑。</w:t>
      </w:r>
    </w:p>
    <w:p w14:paraId="3F70D380">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28.5.2超出政府采购法定期限的质疑。</w:t>
      </w:r>
    </w:p>
    <w:p w14:paraId="5EB8BEEC">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28.5.3以传真、电子邮件等方式递交的非原件形式的质疑。</w:t>
      </w:r>
    </w:p>
    <w:p w14:paraId="70CB4DC3">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28.5.4未参加投标活动的供应商或在投标活动中自身权益未受到损害的供应商所提出的质疑。</w:t>
      </w:r>
    </w:p>
    <w:p w14:paraId="0F6FDA2B">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28.5.5供应商组成联合体参加投标，联合体中任何一方或多方未按要求签字、盖章、加盖公章的质疑。</w:t>
      </w:r>
    </w:p>
    <w:p w14:paraId="1E8649AC">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663A9852">
      <w:pPr>
        <w:pStyle w:val="32"/>
        <w:keepNext/>
        <w:keepLines/>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29.中标通知书</w:t>
      </w:r>
    </w:p>
    <w:p w14:paraId="4FF449F0">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33ABBDA">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29.2中标通知书将是合同的一个组成部分。对采购人和中标人均具有法律效力。中标通知书发出后，采购人改变中标结果的，或者中标人放弃中标项目的，应当依法承担法律责任。</w:t>
      </w:r>
    </w:p>
    <w:p w14:paraId="2A721A58">
      <w:pPr>
        <w:pStyle w:val="32"/>
        <w:keepNext/>
        <w:keepLines/>
        <w:spacing w:beforeAutospacing="0" w:afterAutospacing="0" w:line="480" w:lineRule="exact"/>
        <w:ind w:firstLine="482"/>
        <w:jc w:val="both"/>
        <w:rPr>
          <w:rFonts w:hint="eastAsia" w:ascii="宋体" w:hAnsi="宋体" w:eastAsia="宋体" w:cs="宋体"/>
          <w:color w:val="auto"/>
          <w:highlight w:val="none"/>
        </w:rPr>
      </w:pPr>
      <w:bookmarkStart w:id="161" w:name="_Toc513029236"/>
      <w:bookmarkStart w:id="162" w:name="_Toc16938552"/>
      <w:bookmarkStart w:id="163" w:name="_Toc20823308"/>
      <w:bookmarkStart w:id="164" w:name="_Toc120614220"/>
      <w:r>
        <w:rPr>
          <w:rFonts w:hint="eastAsia" w:ascii="宋体" w:hAnsi="宋体" w:eastAsia="宋体" w:cs="宋体"/>
          <w:b/>
          <w:color w:val="auto"/>
          <w:highlight w:val="none"/>
        </w:rPr>
        <w:t>七、授予合同</w:t>
      </w:r>
      <w:bookmarkEnd w:id="161"/>
      <w:bookmarkEnd w:id="162"/>
      <w:bookmarkEnd w:id="163"/>
      <w:bookmarkEnd w:id="164"/>
    </w:p>
    <w:p w14:paraId="159F5349">
      <w:pPr>
        <w:pStyle w:val="32"/>
        <w:keepNext/>
        <w:keepLines/>
        <w:spacing w:beforeAutospacing="0" w:afterAutospacing="0" w:line="480" w:lineRule="exact"/>
        <w:ind w:firstLine="480"/>
        <w:jc w:val="both"/>
        <w:rPr>
          <w:rFonts w:hint="eastAsia" w:ascii="宋体" w:hAnsi="宋体" w:eastAsia="宋体" w:cs="宋体"/>
          <w:color w:val="auto"/>
          <w:highlight w:val="none"/>
        </w:rPr>
      </w:pPr>
      <w:bookmarkStart w:id="165" w:name="_Toc513029237"/>
      <w:bookmarkStart w:id="166" w:name="_Toc20823309"/>
      <w:bookmarkStart w:id="167" w:name="_Toc16938553"/>
      <w:r>
        <w:rPr>
          <w:rFonts w:hint="eastAsia" w:ascii="宋体" w:hAnsi="宋体" w:eastAsia="宋体" w:cs="宋体"/>
          <w:color w:val="auto"/>
          <w:highlight w:val="none"/>
        </w:rPr>
        <w:t>30.签订合同</w:t>
      </w:r>
      <w:bookmarkEnd w:id="165"/>
      <w:bookmarkEnd w:id="166"/>
      <w:bookmarkEnd w:id="167"/>
    </w:p>
    <w:p w14:paraId="046CCDEE">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30.l中标人应当在中标通知书发出之日起三十日内，按照招标文件确定的事项与采购人签订政府采购合同。</w:t>
      </w:r>
    </w:p>
    <w:p w14:paraId="4F5775C6">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30.2招标文件、中标人的投标文件及招标过程中有关澄清、承诺文件均应作为合同附件。</w:t>
      </w:r>
    </w:p>
    <w:p w14:paraId="1935F15B">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30.3签订合同后，</w:t>
      </w:r>
      <w:r>
        <w:rPr>
          <w:rFonts w:hint="eastAsia" w:ascii="宋体" w:hAnsi="宋体" w:eastAsia="宋体" w:cs="宋体"/>
          <w:i/>
          <w:color w:val="auto"/>
          <w:highlight w:val="none"/>
          <w:u w:val="single"/>
        </w:rPr>
        <w:t>中标人不得将合同标的进行转包</w:t>
      </w:r>
      <w:r>
        <w:rPr>
          <w:rFonts w:hint="eastAsia" w:ascii="宋体" w:hAnsi="宋体" w:eastAsia="宋体" w:cs="宋体"/>
          <w:color w:val="auto"/>
          <w:highlight w:val="none"/>
        </w:rPr>
        <w:t>。未经采购人同意，中标人也不得采用分包的形式履行合同，否则采购人有权终止合同。转包或分包造成采购人损失的，中标人应承担相应赔偿责任。</w:t>
      </w:r>
    </w:p>
    <w:p w14:paraId="35668022">
      <w:pPr>
        <w:pStyle w:val="32"/>
        <w:keepNext/>
        <w:keepLines/>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31.服务（包含与服务相关的货物）的追加</w:t>
      </w:r>
    </w:p>
    <w:p w14:paraId="42056523">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的10%。</w:t>
      </w:r>
    </w:p>
    <w:p w14:paraId="14CB9AA7">
      <w:pPr>
        <w:pStyle w:val="32"/>
        <w:keepNext/>
        <w:keepLines/>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32.政府采购政策功能落实</w:t>
      </w:r>
    </w:p>
    <w:p w14:paraId="218E0954">
      <w:pPr>
        <w:pStyle w:val="32"/>
        <w:keepNext/>
        <w:keepLines/>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32.1政府采购线上合同信用融资政策</w:t>
      </w:r>
    </w:p>
    <w:p w14:paraId="681D0BA6">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操作手册。 </w:t>
      </w:r>
    </w:p>
    <w:p w14:paraId="7AF2C273">
      <w:pPr>
        <w:tabs>
          <w:tab w:val="left" w:pos="1381"/>
        </w:tabs>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32.2进口产品</w:t>
      </w:r>
    </w:p>
    <w:p w14:paraId="19F0AD21">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F5F2BF5">
      <w:pPr>
        <w:tabs>
          <w:tab w:val="left" w:pos="1381"/>
        </w:tabs>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32.3中小企业、监狱企业及残疾人福利性单位</w:t>
      </w:r>
    </w:p>
    <w:p w14:paraId="0626C67E">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32.3.1中小企业定义：</w:t>
      </w:r>
    </w:p>
    <w:p w14:paraId="439C57A1">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2905BFF">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32.3.2供应商提供的货物、工程或者服务符合下列情形的，享受中小企业扶持政策：</w:t>
      </w:r>
    </w:p>
    <w:p w14:paraId="7AE18640">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32.3.2.1在货物采购项目中，货物由中小企业制造，即货物由中小企业生产且使用该中小企业商号或者注册商标；</w:t>
      </w:r>
    </w:p>
    <w:p w14:paraId="2D011F86">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32.3.2.2在工程采购项目中，工程由中小企业承建，即工程施工单位为中小企业；</w:t>
      </w:r>
    </w:p>
    <w:p w14:paraId="5E011685">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32.3.2.3在服务采购项目中，服务由中小企业承接，即提供服务的人员为中小企业依照《中华人民共和国劳动合同法》订立劳动合同的从业人员。</w:t>
      </w:r>
    </w:p>
    <w:p w14:paraId="72BA552F">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32.3.3在货物采购项目中，供应商提供的货物既有中小企业制造货物，也有大型企业制造货物的，不享受中小企业扶持政策。</w:t>
      </w:r>
    </w:p>
    <w:p w14:paraId="48E9E834">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32.3.4以联合体形式参加政府采购活动，联合体各方均为中小企业的，联合体视同中小企业。其中，联合体各方均为小微企业的，联合体视同小微企业。</w:t>
      </w:r>
    </w:p>
    <w:p w14:paraId="3CD760F4">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DD6EC86">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32.3.6残疾人福利单位定义：享受政府采购支持政策的残疾人福利性单位应当同时满足以下条件：</w:t>
      </w:r>
    </w:p>
    <w:p w14:paraId="2DCBEC0B">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32.3.6.1安置的残疾人占本单位在职职工人数的比例不低于25%（含25%），并且安置的残疾人人数不少于10 人（含10 人）；</w:t>
      </w:r>
    </w:p>
    <w:p w14:paraId="54C42637">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32.3.6.2依法与安置的每位残疾人签订了一年以上（含一年）的劳动合同或服务协议；</w:t>
      </w:r>
    </w:p>
    <w:p w14:paraId="691DC802">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32.3.6.3为安置的每位残疾人按月足额缴纳了基本养老保险、基本医疗保险、失业保险、工伤保险和生育保险等社会保险费；</w:t>
      </w:r>
    </w:p>
    <w:p w14:paraId="2AEEBB32">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32.3.6.4通过银行等金融机构向安置的每位残疾人，按月支付了不低于单位所在区县适用的经省级人民政府批准的月最低工资标准的工资；</w:t>
      </w:r>
    </w:p>
    <w:p w14:paraId="0BD4CECE">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32.3.6.5提供本单位制造的货物、承担的工程或者服务（以下简称产品），或者提供其他残疾人福利性单位制造的货物（不包括使用非残疾人福利性单位注册商标的货物）；</w:t>
      </w:r>
    </w:p>
    <w:p w14:paraId="50D3BA3E">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00CDBD0">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32.3.7本项目是否专门面向中小企业预留采购份额见第一章《招标公告》。</w:t>
      </w:r>
    </w:p>
    <w:p w14:paraId="51E48CB9">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32.3.8采购标的对应的中小企业划分标准所属行业见第四章《采购需求》。</w:t>
      </w:r>
    </w:p>
    <w:p w14:paraId="1FAA7534">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32.3.9小微企业价格评审优惠的政策：见第五章《评标方法和评标标准》。</w:t>
      </w:r>
    </w:p>
    <w:p w14:paraId="27BFFEE9">
      <w:pPr>
        <w:pStyle w:val="32"/>
        <w:keepNext/>
        <w:keepLines/>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32.4政府采购节能产品、环境标志产品</w:t>
      </w:r>
    </w:p>
    <w:p w14:paraId="5D7CEA5A">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p>
    <w:p w14:paraId="5A986166">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EF35700">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32.5绿色包装</w:t>
      </w:r>
    </w:p>
    <w:p w14:paraId="78ACFAD6">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7ABF8113">
      <w:pPr>
        <w:tabs>
          <w:tab w:val="left" w:pos="1381"/>
        </w:tabs>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32.6政府采购创新产品</w:t>
      </w:r>
    </w:p>
    <w:p w14:paraId="52E8988F">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采购人优先采购各级政府部门公开发布的有效期内的创新产品、创新服务、首台套、首购首用等《目录》中的创新产品。</w:t>
      </w:r>
    </w:p>
    <w:p w14:paraId="0316C267">
      <w:pPr>
        <w:tabs>
          <w:tab w:val="left" w:pos="1381"/>
        </w:tabs>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32.7绿色数据中心政策 </w:t>
      </w:r>
    </w:p>
    <w:p w14:paraId="6F7668F3">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文件中若涉及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45C336C">
      <w:pPr>
        <w:tabs>
          <w:tab w:val="left" w:pos="1381"/>
        </w:tabs>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32.8实施本国产品标准及相关政策</w:t>
      </w:r>
    </w:p>
    <w:p w14:paraId="445B9743">
      <w:pPr>
        <w:tabs>
          <w:tab w:val="left" w:pos="1381"/>
        </w:tabs>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32.8.1</w:t>
      </w:r>
      <w:r>
        <w:rPr>
          <w:rFonts w:hint="eastAsia" w:ascii="宋体" w:hAnsi="宋体" w:eastAsia="宋体" w:cs="宋体"/>
          <w:color w:val="auto"/>
          <w:sz w:val="24"/>
          <w:highlight w:val="none"/>
        </w:rPr>
        <w:t>本项目对采购本国产品给予政策支持，具体内容见招标文件“第五章 评标方法与评标标准”。</w:t>
      </w:r>
    </w:p>
    <w:p w14:paraId="0C703BBE">
      <w:pPr>
        <w:tabs>
          <w:tab w:val="left" w:pos="1381"/>
        </w:tabs>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32.8.2</w:t>
      </w:r>
      <w:r>
        <w:rPr>
          <w:rFonts w:hint="eastAsia" w:ascii="宋体" w:hAnsi="宋体" w:eastAsia="宋体" w:cs="宋体"/>
          <w:color w:val="auto"/>
          <w:sz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C28AC11">
      <w:pPr>
        <w:tabs>
          <w:tab w:val="left" w:pos="1381"/>
        </w:tabs>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32.8.3</w:t>
      </w:r>
      <w:r>
        <w:rPr>
          <w:rFonts w:hint="eastAsia" w:ascii="宋体" w:hAnsi="宋体" w:eastAsia="宋体" w:cs="宋体"/>
          <w:color w:val="auto"/>
          <w:sz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1B7EE3B">
      <w:pPr>
        <w:tabs>
          <w:tab w:val="left" w:pos="1381"/>
        </w:tabs>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32.8.4</w:t>
      </w:r>
      <w:r>
        <w:rPr>
          <w:rFonts w:hint="eastAsia" w:ascii="宋体" w:hAnsi="宋体" w:eastAsia="宋体" w:cs="宋体"/>
          <w:color w:val="auto"/>
          <w:sz w:val="24"/>
          <w:highlight w:val="none"/>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1C31B75B">
      <w:pPr>
        <w:tabs>
          <w:tab w:val="left" w:pos="1381"/>
        </w:tabs>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32.9</w:t>
      </w:r>
      <w:r>
        <w:rPr>
          <w:rFonts w:hint="eastAsia" w:ascii="宋体" w:hAnsi="宋体" w:eastAsia="宋体" w:cs="宋体"/>
          <w:color w:val="auto"/>
          <w:sz w:val="24"/>
          <w:highlight w:val="none"/>
        </w:rPr>
        <w:t>履约保证金政策</w:t>
      </w:r>
    </w:p>
    <w:p w14:paraId="0D1F32A4">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确需收取履约保证金的，履约保证金的缴纳形式：</w:t>
      </w:r>
    </w:p>
    <w:p w14:paraId="3E6AC506">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2C04DA9">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如以履约保函（保险）形式缴纳履约保证金，供应商可通过政府采购电子履约保函（保险）平台（www.jsdzbh.com）在线申请履约保函（保险）。</w:t>
      </w:r>
    </w:p>
    <w:p w14:paraId="44F75B05">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14:paraId="3FF1CB88">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33.预付款制度</w:t>
      </w:r>
    </w:p>
    <w:p w14:paraId="6F11C939">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本项目落实预付款制度，预付款比例为</w:t>
      </w:r>
      <w:r>
        <w:rPr>
          <w:rFonts w:hint="eastAsia" w:ascii="宋体" w:hAnsi="宋体" w:eastAsia="宋体" w:cs="宋体"/>
          <w:color w:val="auto"/>
          <w:highlight w:val="none"/>
          <w:u w:val="single"/>
        </w:rPr>
        <w:t>30%</w:t>
      </w:r>
      <w:r>
        <w:rPr>
          <w:rFonts w:hint="eastAsia" w:ascii="宋体" w:hAnsi="宋体" w:eastAsia="宋体" w:cs="宋体"/>
          <w:color w:val="auto"/>
          <w:highlight w:val="none"/>
        </w:rPr>
        <w:t>。在签订合同时，中标、成交供应商明确书面表示无需预付款或者主动要求降低预付款比例的，采购人可就预付款比例做相应调整。</w:t>
      </w:r>
    </w:p>
    <w:p w14:paraId="4071AFD9">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34.代理服务费</w:t>
      </w:r>
    </w:p>
    <w:p w14:paraId="1350D970">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代理服务费由招标人支付。</w:t>
      </w:r>
    </w:p>
    <w:p w14:paraId="5D14AF5E">
      <w:pPr>
        <w:spacing w:line="500" w:lineRule="exact"/>
        <w:jc w:val="center"/>
        <w:rPr>
          <w:rFonts w:hint="eastAsia" w:ascii="黑体" w:hAnsi="宋体" w:eastAsia="黑体" w:cs="黑体"/>
          <w:b/>
          <w:color w:val="auto"/>
          <w:sz w:val="44"/>
          <w:szCs w:val="44"/>
          <w:highlight w:val="none"/>
        </w:rPr>
      </w:pPr>
    </w:p>
    <w:p w14:paraId="0F984793">
      <w:pPr>
        <w:pStyle w:val="189"/>
        <w:rPr>
          <w:rFonts w:hint="eastAsia" w:ascii="黑体" w:hAnsi="宋体" w:eastAsia="黑体" w:cs="黑体"/>
          <w:b/>
          <w:color w:val="auto"/>
          <w:sz w:val="44"/>
          <w:szCs w:val="44"/>
          <w:highlight w:val="none"/>
        </w:rPr>
      </w:pPr>
    </w:p>
    <w:p w14:paraId="0C87BBAB">
      <w:pPr>
        <w:pStyle w:val="189"/>
        <w:rPr>
          <w:rFonts w:hint="eastAsia" w:ascii="黑体" w:hAnsi="宋体" w:eastAsia="黑体" w:cs="黑体"/>
          <w:b/>
          <w:color w:val="auto"/>
          <w:sz w:val="44"/>
          <w:szCs w:val="44"/>
          <w:highlight w:val="none"/>
        </w:rPr>
      </w:pPr>
    </w:p>
    <w:p w14:paraId="6AFD57B1">
      <w:pPr>
        <w:pStyle w:val="189"/>
        <w:rPr>
          <w:rFonts w:hint="eastAsia" w:ascii="黑体" w:hAnsi="宋体" w:eastAsia="黑体" w:cs="黑体"/>
          <w:b/>
          <w:color w:val="auto"/>
          <w:sz w:val="44"/>
          <w:szCs w:val="44"/>
          <w:highlight w:val="none"/>
        </w:rPr>
      </w:pPr>
    </w:p>
    <w:p w14:paraId="0F7EBBCE">
      <w:pPr>
        <w:pStyle w:val="189"/>
        <w:rPr>
          <w:rFonts w:hint="eastAsia" w:ascii="黑体" w:hAnsi="宋体" w:eastAsia="黑体" w:cs="黑体"/>
          <w:b/>
          <w:color w:val="auto"/>
          <w:sz w:val="44"/>
          <w:szCs w:val="44"/>
          <w:highlight w:val="none"/>
        </w:rPr>
      </w:pPr>
    </w:p>
    <w:p w14:paraId="41629EDE">
      <w:pPr>
        <w:pStyle w:val="189"/>
        <w:rPr>
          <w:rFonts w:hint="eastAsia" w:ascii="黑体" w:hAnsi="宋体" w:eastAsia="黑体" w:cs="黑体"/>
          <w:b/>
          <w:color w:val="auto"/>
          <w:sz w:val="44"/>
          <w:szCs w:val="44"/>
          <w:highlight w:val="none"/>
        </w:rPr>
      </w:pPr>
    </w:p>
    <w:p w14:paraId="1F34D35D">
      <w:pPr>
        <w:pStyle w:val="189"/>
        <w:rPr>
          <w:rFonts w:hint="eastAsia" w:ascii="黑体" w:hAnsi="宋体" w:eastAsia="黑体" w:cs="黑体"/>
          <w:b/>
          <w:bCs/>
          <w:color w:val="auto"/>
          <w:sz w:val="44"/>
          <w:szCs w:val="44"/>
          <w:highlight w:val="none"/>
        </w:rPr>
      </w:pPr>
    </w:p>
    <w:p w14:paraId="615C7FC2">
      <w:pPr>
        <w:pStyle w:val="189"/>
        <w:rPr>
          <w:rFonts w:hint="eastAsia" w:ascii="黑体" w:hAnsi="宋体" w:eastAsia="黑体" w:cs="黑体"/>
          <w:b/>
          <w:bCs/>
          <w:color w:val="auto"/>
          <w:sz w:val="44"/>
          <w:szCs w:val="44"/>
          <w:highlight w:val="none"/>
        </w:rPr>
      </w:pPr>
    </w:p>
    <w:p w14:paraId="66C70FD3">
      <w:pPr>
        <w:pStyle w:val="189"/>
        <w:rPr>
          <w:rFonts w:hint="eastAsia" w:ascii="黑体" w:hAnsi="宋体" w:eastAsia="黑体" w:cs="黑体"/>
          <w:b/>
          <w:color w:val="auto"/>
          <w:sz w:val="44"/>
          <w:szCs w:val="44"/>
          <w:highlight w:val="none"/>
        </w:rPr>
      </w:pPr>
    </w:p>
    <w:p w14:paraId="65C59C06">
      <w:pPr>
        <w:widowControl/>
        <w:spacing w:line="360" w:lineRule="auto"/>
        <w:jc w:val="center"/>
        <w:rPr>
          <w:rFonts w:hint="eastAsia" w:ascii="宋体" w:hAnsi="宋体" w:eastAsia="宋体" w:cs="宋体"/>
          <w:b/>
          <w:color w:val="auto"/>
          <w:sz w:val="48"/>
          <w:szCs w:val="44"/>
          <w:highlight w:val="none"/>
        </w:rPr>
      </w:pPr>
      <w:r>
        <w:rPr>
          <w:rFonts w:hint="eastAsia" w:ascii="黑体" w:hAnsi="宋体" w:eastAsia="黑体" w:cs="黑体"/>
          <w:b/>
          <w:color w:val="auto"/>
          <w:sz w:val="44"/>
          <w:szCs w:val="44"/>
          <w:highlight w:val="none"/>
        </w:rPr>
        <w:t xml:space="preserve">第三章  </w:t>
      </w:r>
      <w:bookmarkStart w:id="168" w:name="_Hlt16619369"/>
      <w:r>
        <w:rPr>
          <w:rFonts w:hint="eastAsia" w:ascii="宋体" w:hAnsi="宋体" w:eastAsia="宋体" w:cs="宋体"/>
          <w:b/>
          <w:color w:val="auto"/>
          <w:sz w:val="48"/>
          <w:szCs w:val="44"/>
          <w:highlight w:val="none"/>
        </w:rPr>
        <w:t>合同条款</w:t>
      </w:r>
    </w:p>
    <w:p w14:paraId="7DD2575D">
      <w:pPr>
        <w:rPr>
          <w:rFonts w:hint="eastAsia" w:ascii="宋体" w:hAnsi="宋体" w:eastAsia="宋体" w:cs="宋体"/>
          <w:color w:val="auto"/>
          <w:highlight w:val="none"/>
        </w:rPr>
      </w:pPr>
      <w:bookmarkStart w:id="169" w:name="EB6d2006462e294de090c16e672cecc3bd"/>
      <w:bookmarkEnd w:id="169"/>
    </w:p>
    <w:p w14:paraId="0624270D">
      <w:pPr>
        <w:jc w:val="center"/>
        <w:rPr>
          <w:rFonts w:hint="eastAsia" w:ascii="宋体" w:hAnsi="宋体" w:eastAsia="宋体" w:cs="宋体"/>
          <w:b/>
          <w:bCs/>
          <w:color w:val="auto"/>
          <w:spacing w:val="-20"/>
          <w:sz w:val="48"/>
          <w:szCs w:val="48"/>
          <w:highlight w:val="none"/>
        </w:rPr>
      </w:pPr>
      <w:bookmarkStart w:id="170" w:name="_Toc3995"/>
    </w:p>
    <w:p w14:paraId="26275C6C">
      <w:pPr>
        <w:jc w:val="center"/>
        <w:rPr>
          <w:rFonts w:hint="eastAsia" w:ascii="宋体" w:hAnsi="宋体" w:eastAsia="宋体" w:cs="宋体"/>
          <w:b/>
          <w:bCs/>
          <w:color w:val="auto"/>
          <w:spacing w:val="-20"/>
          <w:sz w:val="48"/>
          <w:szCs w:val="48"/>
          <w:highlight w:val="none"/>
        </w:rPr>
      </w:pPr>
    </w:p>
    <w:p w14:paraId="11224EA4">
      <w:pPr>
        <w:jc w:val="center"/>
        <w:rPr>
          <w:rFonts w:hint="eastAsia" w:ascii="宋体" w:hAnsi="宋体" w:eastAsia="宋体" w:cs="宋体"/>
          <w:b/>
          <w:bCs/>
          <w:color w:val="auto"/>
          <w:spacing w:val="-20"/>
          <w:sz w:val="48"/>
          <w:szCs w:val="48"/>
          <w:highlight w:val="none"/>
        </w:rPr>
      </w:pPr>
    </w:p>
    <w:p w14:paraId="52C4A8A9">
      <w:pPr>
        <w:jc w:val="center"/>
        <w:rPr>
          <w:rFonts w:hint="eastAsia" w:ascii="宋体" w:hAnsi="宋体" w:eastAsia="宋体" w:cs="宋体"/>
          <w:b/>
          <w:bCs/>
          <w:color w:val="auto"/>
          <w:spacing w:val="-20"/>
          <w:sz w:val="48"/>
          <w:szCs w:val="48"/>
          <w:highlight w:val="none"/>
        </w:rPr>
      </w:pPr>
    </w:p>
    <w:p w14:paraId="7A322334">
      <w:pPr>
        <w:jc w:val="center"/>
        <w:rPr>
          <w:rFonts w:hint="eastAsia" w:ascii="宋体" w:hAnsi="宋体" w:eastAsia="宋体" w:cs="宋体"/>
          <w:color w:val="auto"/>
          <w:sz w:val="30"/>
          <w:highlight w:val="none"/>
        </w:rPr>
      </w:pPr>
    </w:p>
    <w:p w14:paraId="5F8C9281">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t>政府采购货物买卖合同</w:t>
      </w:r>
    </w:p>
    <w:p w14:paraId="0A6E53B0">
      <w:pPr>
        <w:jc w:val="center"/>
        <w:rPr>
          <w:rFonts w:hint="eastAsia" w:ascii="宋体" w:hAnsi="宋体" w:eastAsia="宋体" w:cs="宋体"/>
          <w:color w:val="auto"/>
          <w:sz w:val="30"/>
          <w:highlight w:val="none"/>
        </w:rPr>
      </w:pPr>
    </w:p>
    <w:p w14:paraId="08B4F7D7">
      <w:pPr>
        <w:rPr>
          <w:rFonts w:hint="eastAsia" w:ascii="宋体" w:hAnsi="宋体" w:eastAsia="宋体" w:cs="宋体"/>
          <w:color w:val="auto"/>
          <w:sz w:val="30"/>
          <w:highlight w:val="none"/>
        </w:rPr>
      </w:pPr>
    </w:p>
    <w:p w14:paraId="4221DFA3">
      <w:pPr>
        <w:rPr>
          <w:rFonts w:hint="eastAsia" w:ascii="宋体" w:hAnsi="宋体" w:eastAsia="宋体" w:cs="宋体"/>
          <w:color w:val="auto"/>
          <w:sz w:val="30"/>
          <w:highlight w:val="none"/>
        </w:rPr>
      </w:pPr>
    </w:p>
    <w:p w14:paraId="3268D219">
      <w:pPr>
        <w:rPr>
          <w:rFonts w:hint="eastAsia" w:ascii="宋体" w:hAnsi="宋体" w:eastAsia="宋体" w:cs="宋体"/>
          <w:color w:val="auto"/>
          <w:sz w:val="30"/>
          <w:highlight w:val="none"/>
        </w:rPr>
      </w:pPr>
    </w:p>
    <w:p w14:paraId="11387C05">
      <w:pPr>
        <w:spacing w:line="360" w:lineRule="auto"/>
        <w:ind w:left="420"/>
        <w:rPr>
          <w:rFonts w:hint="eastAsia" w:ascii="宋体" w:hAnsi="宋体" w:eastAsia="宋体" w:cs="宋体"/>
          <w:color w:val="auto"/>
          <w:sz w:val="30"/>
          <w:highlight w:val="none"/>
        </w:rPr>
      </w:pPr>
      <w:r>
        <w:rPr>
          <w:rFonts w:hint="eastAsia" w:ascii="宋体" w:hAnsi="宋体" w:eastAsia="宋体" w:cs="宋体"/>
          <w:color w:val="auto"/>
          <w:sz w:val="30"/>
          <w:highlight w:val="none"/>
        </w:rPr>
        <w:t>项目名称：</w:t>
      </w:r>
    </w:p>
    <w:p w14:paraId="3898371D">
      <w:pPr>
        <w:spacing w:line="360" w:lineRule="auto"/>
        <w:ind w:left="420"/>
        <w:rPr>
          <w:rFonts w:hint="eastAsia" w:ascii="宋体" w:hAnsi="宋体" w:eastAsia="宋体" w:cs="宋体"/>
          <w:color w:val="auto"/>
          <w:sz w:val="30"/>
          <w:highlight w:val="none"/>
        </w:rPr>
      </w:pPr>
      <w:r>
        <w:rPr>
          <w:rFonts w:hint="eastAsia" w:ascii="宋体" w:hAnsi="宋体" w:eastAsia="宋体" w:cs="宋体"/>
          <w:color w:val="auto"/>
          <w:sz w:val="30"/>
          <w:highlight w:val="none"/>
        </w:rPr>
        <w:t>合同编号：</w:t>
      </w:r>
    </w:p>
    <w:p w14:paraId="16934D9E">
      <w:pPr>
        <w:spacing w:line="360" w:lineRule="auto"/>
        <w:ind w:left="420"/>
        <w:rPr>
          <w:rFonts w:hint="eastAsia" w:ascii="宋体" w:hAnsi="宋体" w:eastAsia="宋体" w:cs="宋体"/>
          <w:color w:val="auto"/>
          <w:sz w:val="30"/>
          <w:highlight w:val="none"/>
        </w:rPr>
      </w:pPr>
      <w:r>
        <w:rPr>
          <w:rFonts w:hint="eastAsia" w:ascii="宋体" w:hAnsi="宋体" w:eastAsia="宋体" w:cs="宋体"/>
          <w:color w:val="auto"/>
          <w:sz w:val="30"/>
          <w:highlight w:val="none"/>
        </w:rPr>
        <w:t>甲    方：</w:t>
      </w:r>
    </w:p>
    <w:p w14:paraId="5AEEF1B3">
      <w:pPr>
        <w:spacing w:line="360" w:lineRule="auto"/>
        <w:ind w:left="420"/>
        <w:rPr>
          <w:rFonts w:hint="eastAsia" w:ascii="宋体" w:hAnsi="宋体" w:eastAsia="宋体" w:cs="宋体"/>
          <w:color w:val="auto"/>
          <w:sz w:val="30"/>
          <w:highlight w:val="none"/>
        </w:rPr>
      </w:pPr>
      <w:r>
        <w:rPr>
          <w:rFonts w:hint="eastAsia" w:ascii="宋体" w:hAnsi="宋体" w:eastAsia="宋体" w:cs="宋体"/>
          <w:color w:val="auto"/>
          <w:sz w:val="30"/>
          <w:highlight w:val="none"/>
        </w:rPr>
        <w:t>乙    方：</w:t>
      </w:r>
    </w:p>
    <w:p w14:paraId="36F325C1">
      <w:pPr>
        <w:spacing w:line="360" w:lineRule="auto"/>
        <w:ind w:left="420"/>
        <w:rPr>
          <w:rFonts w:hint="eastAsia" w:ascii="宋体" w:hAnsi="宋体" w:eastAsia="宋体" w:cs="宋体"/>
          <w:color w:val="auto"/>
          <w:sz w:val="30"/>
          <w:highlight w:val="none"/>
        </w:rPr>
      </w:pPr>
      <w:r>
        <w:rPr>
          <w:rFonts w:hint="eastAsia" w:ascii="宋体" w:hAnsi="宋体" w:eastAsia="宋体" w:cs="宋体"/>
          <w:color w:val="auto"/>
          <w:sz w:val="30"/>
          <w:highlight w:val="none"/>
        </w:rPr>
        <w:t>签订时间：</w:t>
      </w:r>
    </w:p>
    <w:p w14:paraId="6C1369BA">
      <w:pPr>
        <w:rPr>
          <w:rFonts w:hint="eastAsia" w:ascii="宋体" w:hAnsi="宋体" w:eastAsia="宋体" w:cs="宋体"/>
          <w:color w:val="auto"/>
          <w:highlight w:val="none"/>
        </w:rPr>
      </w:pPr>
    </w:p>
    <w:p w14:paraId="7ECC9344">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bookmarkEnd w:id="170"/>
    </w:p>
    <w:p w14:paraId="42F49A4C">
      <w:pPr>
        <w:keepNext/>
        <w:keepLines/>
        <w:spacing w:line="400" w:lineRule="exact"/>
        <w:jc w:val="center"/>
        <w:outlineLvl w:val="1"/>
        <w:rPr>
          <w:rFonts w:hint="eastAsia" w:ascii="宋体" w:hAnsi="宋体" w:eastAsia="宋体" w:cs="宋体"/>
          <w:color w:val="auto"/>
          <w:sz w:val="28"/>
          <w:szCs w:val="28"/>
          <w:highlight w:val="none"/>
        </w:rPr>
      </w:pPr>
      <w:bookmarkStart w:id="171" w:name="_Toc22209"/>
      <w:r>
        <w:rPr>
          <w:rFonts w:hint="eastAsia" w:ascii="宋体" w:hAnsi="宋体" w:eastAsia="宋体" w:cs="宋体"/>
          <w:color w:val="auto"/>
          <w:sz w:val="28"/>
          <w:szCs w:val="28"/>
          <w:highlight w:val="none"/>
        </w:rPr>
        <w:t>第一节 政府采购合同协议书</w:t>
      </w:r>
      <w:bookmarkEnd w:id="171"/>
    </w:p>
    <w:p w14:paraId="04099503">
      <w:pPr>
        <w:keepNext/>
        <w:keepLines/>
        <w:spacing w:line="360" w:lineRule="auto"/>
        <w:jc w:val="center"/>
        <w:outlineLvl w:val="1"/>
        <w:rPr>
          <w:rFonts w:hint="eastAsia" w:ascii="宋体" w:hAnsi="宋体" w:eastAsia="宋体" w:cs="宋体"/>
          <w:color w:val="auto"/>
          <w:sz w:val="28"/>
          <w:szCs w:val="28"/>
          <w:highlight w:val="none"/>
        </w:rPr>
      </w:pPr>
    </w:p>
    <w:p w14:paraId="34698758">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甲方（全称）：</w:t>
      </w:r>
    </w:p>
    <w:p w14:paraId="4CD00407">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乙方（全称）： </w:t>
      </w:r>
    </w:p>
    <w:p w14:paraId="6CBD7D31">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     </w:t>
      </w:r>
    </w:p>
    <w:p w14:paraId="36AD0CF1">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1.项目信息</w:t>
      </w:r>
    </w:p>
    <w:p w14:paraId="5158CDBA">
      <w:pPr>
        <w:numPr>
          <w:ilvl w:val="0"/>
          <w:numId w:val="1"/>
        </w:numPr>
        <w:spacing w:line="480" w:lineRule="exact"/>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采购项目名称：</w:t>
      </w:r>
    </w:p>
    <w:p w14:paraId="565BE68B">
      <w:pPr>
        <w:numPr>
          <w:ilvl w:val="255"/>
          <w:numId w:val="0"/>
        </w:numPr>
        <w:tabs>
          <w:tab w:val="left" w:pos="999"/>
        </w:tabs>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采购项目编号：</w:t>
      </w:r>
    </w:p>
    <w:p w14:paraId="4405B78B">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（2）采购计划编号：</w:t>
      </w:r>
    </w:p>
    <w:p w14:paraId="409204FE">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（3）项目内容：</w:t>
      </w:r>
    </w:p>
    <w:p w14:paraId="33D809E8">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采购标的及数量：</w:t>
      </w:r>
    </w:p>
    <w:p w14:paraId="2D65BF87">
      <w:pPr>
        <w:numPr>
          <w:ilvl w:val="255"/>
          <w:numId w:val="0"/>
        </w:num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品牌及规格型号：</w:t>
      </w:r>
    </w:p>
    <w:p w14:paraId="53A250D7">
      <w:pPr>
        <w:spacing w:line="480" w:lineRule="exact"/>
        <w:ind w:firstLine="10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采购标的的技术要求、商务要求具体见</w:t>
      </w:r>
      <w:r>
        <w:rPr>
          <w:rFonts w:hint="eastAsia" w:ascii="宋体" w:hAnsi="宋体" w:eastAsia="宋体" w:cs="宋体"/>
          <w:color w:val="auto"/>
          <w:sz w:val="24"/>
          <w:highlight w:val="none"/>
          <w:lang w:val="en-US" w:eastAsia="zh-CN"/>
        </w:rPr>
        <w:t>招标文件</w:t>
      </w:r>
      <w:r>
        <w:rPr>
          <w:rFonts w:hint="eastAsia" w:ascii="宋体" w:hAnsi="宋体" w:eastAsia="宋体" w:cs="宋体"/>
          <w:color w:val="auto"/>
          <w:sz w:val="24"/>
          <w:highlight w:val="none"/>
        </w:rPr>
        <w:t>。</w:t>
      </w:r>
    </w:p>
    <w:p w14:paraId="4D35D414">
      <w:pPr>
        <w:widowControl/>
        <w:numPr>
          <w:ilvl w:val="255"/>
          <w:numId w:val="0"/>
        </w:numPr>
        <w:spacing w:line="480" w:lineRule="exact"/>
        <w:ind w:firstLine="48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（4）政府采购组织形式：</w:t>
      </w:r>
      <w:r>
        <w:rPr>
          <w:rFonts w:hint="eastAsia" w:ascii="宋体" w:hAnsi="宋体" w:eastAsia="宋体" w:cs="宋体"/>
          <w:color w:val="auto"/>
          <w:sz w:val="24"/>
          <w:highlight w:val="none"/>
          <w:lang w:val="en-US" w:eastAsia="zh-CN"/>
        </w:rPr>
        <w:t>分散</w:t>
      </w:r>
      <w:r>
        <w:rPr>
          <w:rFonts w:hint="eastAsia" w:ascii="宋体" w:hAnsi="宋体" w:eastAsia="宋体" w:cs="宋体"/>
          <w:color w:val="auto"/>
          <w:sz w:val="24"/>
          <w:highlight w:val="none"/>
          <w:lang w:eastAsia="zh-CN"/>
        </w:rPr>
        <w:t>采购</w:t>
      </w:r>
    </w:p>
    <w:p w14:paraId="68F859BE">
      <w:pPr>
        <w:widowControl/>
        <w:numPr>
          <w:ilvl w:val="255"/>
          <w:numId w:val="0"/>
        </w:numPr>
        <w:spacing w:line="480" w:lineRule="exact"/>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（5）政府采购方式：公开招标</w:t>
      </w:r>
    </w:p>
    <w:p w14:paraId="47B3D64A">
      <w:pPr>
        <w:widowControl/>
        <w:numPr>
          <w:ilvl w:val="255"/>
          <w:numId w:val="0"/>
        </w:num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（6）中标采购标的制造商是否为中小企业：是 否</w:t>
      </w:r>
    </w:p>
    <w:p w14:paraId="637D3353">
      <w:pPr>
        <w:numPr>
          <w:ilvl w:val="255"/>
          <w:numId w:val="0"/>
        </w:numPr>
        <w:spacing w:line="480" w:lineRule="exact"/>
        <w:rPr>
          <w:rFonts w:hint="eastAsia" w:ascii="宋体" w:hAnsi="宋体" w:eastAsia="宋体" w:cs="宋体"/>
          <w:iCs/>
          <w:color w:val="auto"/>
          <w:sz w:val="24"/>
          <w:highlight w:val="none"/>
        </w:rPr>
      </w:pPr>
      <w:r>
        <w:rPr>
          <w:rFonts w:hint="eastAsia" w:ascii="宋体" w:hAnsi="宋体" w:eastAsia="宋体" w:cs="宋体"/>
          <w:color w:val="auto"/>
          <w:sz w:val="24"/>
          <w:highlight w:val="none"/>
        </w:rPr>
        <w:t xml:space="preserve">   本合同是否为专门面向中小企业的采购合同：</w:t>
      </w:r>
      <w:r>
        <w:rPr>
          <w:rFonts w:hint="eastAsia" w:ascii="宋体" w:hAnsi="宋体" w:eastAsia="宋体" w:cs="宋体"/>
          <w:iCs/>
          <w:color w:val="auto"/>
          <w:sz w:val="24"/>
          <w:highlight w:val="none"/>
        </w:rPr>
        <w:t>否</w:t>
      </w:r>
    </w:p>
    <w:p w14:paraId="7EFD8A91">
      <w:pPr>
        <w:numPr>
          <w:ilvl w:val="255"/>
          <w:numId w:val="0"/>
        </w:numPr>
        <w:spacing w:line="480" w:lineRule="exact"/>
        <w:ind w:firstLine="480"/>
        <w:rPr>
          <w:rFonts w:hint="eastAsia" w:ascii="宋体" w:hAnsi="宋体" w:eastAsia="宋体" w:cs="宋体"/>
          <w:iCs/>
          <w:color w:val="auto"/>
          <w:sz w:val="24"/>
          <w:highlight w:val="none"/>
        </w:rPr>
      </w:pPr>
      <w:r>
        <w:rPr>
          <w:rFonts w:hint="eastAsia" w:ascii="宋体" w:hAnsi="宋体" w:eastAsia="宋体" w:cs="宋体"/>
          <w:color w:val="auto"/>
          <w:sz w:val="24"/>
          <w:highlight w:val="none"/>
        </w:rPr>
        <w:t>若本项目不专门面向中小企业采购，是否给予小微企业评审优惠：</w:t>
      </w:r>
      <w:r>
        <w:rPr>
          <w:rFonts w:hint="eastAsia" w:ascii="宋体" w:hAnsi="宋体" w:eastAsia="宋体" w:cs="宋体"/>
          <w:iCs/>
          <w:color w:val="auto"/>
          <w:sz w:val="24"/>
          <w:highlight w:val="none"/>
        </w:rPr>
        <w:t>是</w:t>
      </w:r>
    </w:p>
    <w:p w14:paraId="3C035B59">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（7）合同是否分包：</w:t>
      </w:r>
      <w:r>
        <w:rPr>
          <w:rFonts w:hint="eastAsia" w:ascii="宋体" w:hAnsi="宋体" w:eastAsia="宋体" w:cs="宋体"/>
          <w:iCs/>
          <w:color w:val="auto"/>
          <w:sz w:val="24"/>
          <w:highlight w:val="none"/>
        </w:rPr>
        <w:t>否</w:t>
      </w:r>
    </w:p>
    <w:p w14:paraId="45D45BD4">
      <w:pPr>
        <w:numPr>
          <w:ilvl w:val="255"/>
          <w:numId w:val="0"/>
        </w:numPr>
        <w:spacing w:line="480" w:lineRule="exact"/>
        <w:ind w:firstLine="480"/>
        <w:rPr>
          <w:rFonts w:hint="eastAsia" w:ascii="宋体" w:hAnsi="宋体" w:eastAsia="宋体" w:cs="宋体"/>
          <w:iCs/>
          <w:color w:val="auto"/>
          <w:sz w:val="24"/>
          <w:highlight w:val="none"/>
        </w:rPr>
      </w:pPr>
      <w:r>
        <w:rPr>
          <w:rFonts w:hint="eastAsia" w:ascii="宋体" w:hAnsi="宋体" w:eastAsia="宋体" w:cs="宋体"/>
          <w:color w:val="auto"/>
          <w:sz w:val="24"/>
          <w:highlight w:val="none"/>
        </w:rPr>
        <w:t>（8）中标供应商是否为外商投资企业：</w:t>
      </w:r>
      <w:r>
        <w:rPr>
          <w:rFonts w:hint="eastAsia" w:ascii="宋体" w:hAnsi="宋体" w:eastAsia="宋体" w:cs="宋体"/>
          <w:iCs/>
          <w:color w:val="auto"/>
          <w:sz w:val="24"/>
          <w:highlight w:val="none"/>
        </w:rPr>
        <w:t>否</w:t>
      </w:r>
    </w:p>
    <w:p w14:paraId="3C285C1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（9）是否涉及进口产品：否</w:t>
      </w:r>
    </w:p>
    <w:p w14:paraId="3EF91CB6">
      <w:pPr>
        <w:numPr>
          <w:ilvl w:val="255"/>
          <w:numId w:val="0"/>
        </w:numPr>
        <w:tabs>
          <w:tab w:val="left" w:pos="740"/>
        </w:tabs>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（10）是否涉及节能产品：否</w:t>
      </w:r>
    </w:p>
    <w:p w14:paraId="7E8D92EB">
      <w:pPr>
        <w:numPr>
          <w:ilvl w:val="255"/>
          <w:numId w:val="0"/>
        </w:numPr>
        <w:tabs>
          <w:tab w:val="left" w:pos="740"/>
        </w:tabs>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是否涉及环境标志产品：</w:t>
      </w:r>
      <w:r>
        <w:rPr>
          <w:rFonts w:hint="eastAsia" w:ascii="宋体" w:hAnsi="宋体" w:eastAsia="宋体" w:cs="宋体"/>
          <w:color w:val="auto"/>
          <w:sz w:val="24"/>
          <w:highlight w:val="none"/>
          <w:lang w:val="en-US" w:eastAsia="zh-CN"/>
        </w:rPr>
        <w:t>否</w:t>
      </w:r>
    </w:p>
    <w:p w14:paraId="5B5E655B">
      <w:pPr>
        <w:widowControl/>
        <w:numPr>
          <w:ilvl w:val="255"/>
          <w:numId w:val="0"/>
        </w:numPr>
        <w:spacing w:line="48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是否涉及绿色产品：</w:t>
      </w:r>
      <w:r>
        <w:rPr>
          <w:rFonts w:hint="eastAsia" w:ascii="宋体" w:hAnsi="宋体" w:eastAsia="宋体" w:cs="宋体"/>
          <w:color w:val="auto"/>
          <w:sz w:val="24"/>
          <w:highlight w:val="none"/>
          <w:lang w:val="en-US" w:eastAsia="zh-CN"/>
        </w:rPr>
        <w:t>否</w:t>
      </w:r>
    </w:p>
    <w:p w14:paraId="780C7B3B">
      <w:pPr>
        <w:numPr>
          <w:ilvl w:val="255"/>
          <w:numId w:val="0"/>
        </w:numPr>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    （1</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）涉及商品包装和快递包装的，是否参考《商品包装政府采购需求标准（试行）》《快递包装政府采购需求标准（试行）》明确产品及相关快递服务的具体包装要求：是</w:t>
      </w:r>
      <w:r>
        <w:rPr>
          <w:rFonts w:hint="eastAsia" w:ascii="宋体" w:hAnsi="宋体" w:eastAsia="宋体" w:cs="宋体"/>
          <w:color w:val="auto"/>
          <w:sz w:val="24"/>
          <w:highlight w:val="none"/>
          <w:lang w:eastAsia="zh-CN"/>
        </w:rPr>
        <w:t>。</w:t>
      </w:r>
    </w:p>
    <w:p w14:paraId="7A535587">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2.合同金额</w:t>
      </w:r>
    </w:p>
    <w:p w14:paraId="12F16C6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（1）合同金额小写：</w:t>
      </w:r>
    </w:p>
    <w:p w14:paraId="3B87C8EC">
      <w:pPr>
        <w:spacing w:line="480" w:lineRule="exact"/>
        <w:ind w:firstLine="6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大写：</w:t>
      </w:r>
    </w:p>
    <w:p w14:paraId="098BA528">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分包金额（如有）小写：</w:t>
      </w:r>
    </w:p>
    <w:p w14:paraId="1A682940">
      <w:pPr>
        <w:spacing w:line="480" w:lineRule="exact"/>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大写：</w:t>
      </w:r>
    </w:p>
    <w:p w14:paraId="2754825A">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（2）付款方式：</w:t>
      </w:r>
    </w:p>
    <w:p w14:paraId="1CF7CFD5">
      <w:pPr>
        <w:spacing w:line="480" w:lineRule="exact"/>
        <w:ind w:firstLine="7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①合同签订后支付</w:t>
      </w:r>
      <w:r>
        <w:rPr>
          <w:rFonts w:hint="eastAsia" w:ascii="宋体" w:hAnsi="宋体" w:eastAsia="宋体" w:cs="宋体"/>
          <w:color w:val="auto"/>
          <w:sz w:val="24"/>
          <w:highlight w:val="none"/>
          <w:u w:val="single"/>
          <w:lang w:val="en-US" w:eastAsia="zh-CN"/>
        </w:rPr>
        <w:t>3</w:t>
      </w:r>
      <w:r>
        <w:rPr>
          <w:rFonts w:hint="eastAsia" w:ascii="宋体" w:hAnsi="宋体" w:eastAsia="宋体" w:cs="宋体"/>
          <w:color w:val="auto"/>
          <w:sz w:val="24"/>
          <w:highlight w:val="none"/>
          <w:u w:val="single"/>
        </w:rPr>
        <w:t>0%的预付款。</w:t>
      </w:r>
    </w:p>
    <w:p w14:paraId="1A0184AE">
      <w:pPr>
        <w:spacing w:line="480" w:lineRule="exact"/>
        <w:ind w:firstLine="7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②验收合格后付至合同价款的90%</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lang w:val="en-US" w:eastAsia="zh-CN"/>
        </w:rPr>
        <w:t>含已付</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rPr>
        <w:t>。</w:t>
      </w:r>
    </w:p>
    <w:p w14:paraId="27A5A443">
      <w:pPr>
        <w:spacing w:line="480" w:lineRule="exact"/>
        <w:ind w:firstLine="720"/>
        <w:rPr>
          <w:rFonts w:hint="eastAsia" w:ascii="宋体" w:hAnsi="宋体" w:eastAsia="宋体" w:cs="宋体"/>
          <w:color w:val="auto"/>
          <w:sz w:val="24"/>
          <w:highlight w:val="none"/>
          <w:u w:val="single"/>
        </w:rPr>
      </w:pPr>
      <w:r>
        <w:rPr>
          <w:rFonts w:hint="default" w:ascii="宋体" w:hAnsi="宋体" w:eastAsia="宋体" w:cs="宋体"/>
          <w:color w:val="auto"/>
          <w:sz w:val="24"/>
          <w:highlight w:val="none"/>
          <w:u w:val="single"/>
        </w:rPr>
        <w:t>③</w:t>
      </w:r>
      <w:r>
        <w:rPr>
          <w:rFonts w:hint="eastAsia" w:ascii="宋体" w:hAnsi="宋体" w:eastAsia="宋体" w:cs="宋体"/>
          <w:color w:val="auto"/>
          <w:sz w:val="24"/>
          <w:highlight w:val="none"/>
          <w:u w:val="single"/>
        </w:rPr>
        <w:t>验收合格之日起算满</w:t>
      </w:r>
      <w:r>
        <w:rPr>
          <w:rFonts w:hint="eastAsia" w:ascii="宋体" w:hAnsi="宋体" w:eastAsia="宋体" w:cs="宋体"/>
          <w:color w:val="auto"/>
          <w:sz w:val="24"/>
          <w:highlight w:val="none"/>
          <w:u w:val="single"/>
          <w:lang w:val="en-US" w:eastAsia="zh-CN"/>
        </w:rPr>
        <w:t>质保期（3年）</w:t>
      </w:r>
      <w:r>
        <w:rPr>
          <w:rFonts w:hint="eastAsia" w:ascii="宋体" w:hAnsi="宋体" w:eastAsia="宋体" w:cs="宋体"/>
          <w:color w:val="auto"/>
          <w:sz w:val="24"/>
          <w:highlight w:val="none"/>
          <w:u w:val="single"/>
        </w:rPr>
        <w:t>后支付清余款。</w:t>
      </w:r>
    </w:p>
    <w:p w14:paraId="216A7923">
      <w:pPr>
        <w:spacing w:line="480" w:lineRule="exact"/>
        <w:ind w:firstLine="7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④在签订合同时，乙方明确表示无需预付款或者主动要求降低预付款比例的，甲方可不适用上述关于预付款的规定。</w:t>
      </w:r>
    </w:p>
    <w:p w14:paraId="4A5D03BE">
      <w:pPr>
        <w:spacing w:line="480" w:lineRule="exact"/>
        <w:ind w:firstLine="7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⑤结算款项时乙方须出具相应金额的有效票据。</w:t>
      </w:r>
    </w:p>
    <w:p w14:paraId="3DE2EE27">
      <w:pPr>
        <w:spacing w:line="480" w:lineRule="exact"/>
        <w:ind w:firstLine="720"/>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⑥甲方原则上自收到发票后</w:t>
      </w:r>
      <w:r>
        <w:rPr>
          <w:rFonts w:hint="eastAsia" w:ascii="宋体" w:hAnsi="宋体" w:eastAsia="宋体" w:cs="宋体"/>
          <w:color w:val="auto"/>
          <w:sz w:val="24"/>
          <w:highlight w:val="none"/>
          <w:u w:val="single"/>
          <w:lang w:val="en-US" w:eastAsia="zh-CN"/>
        </w:rPr>
        <w:t>10</w:t>
      </w:r>
      <w:r>
        <w:rPr>
          <w:rFonts w:hint="eastAsia" w:ascii="宋体" w:hAnsi="宋体" w:eastAsia="宋体" w:cs="宋体"/>
          <w:color w:val="auto"/>
          <w:sz w:val="24"/>
          <w:highlight w:val="none"/>
          <w:u w:val="single"/>
        </w:rPr>
        <w:t>个工作日内将资金支付到乙方账户。</w:t>
      </w:r>
    </w:p>
    <w:p w14:paraId="2C5A6A38">
      <w:pPr>
        <w:spacing w:line="480" w:lineRule="exact"/>
        <w:ind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3.合同履行</w:t>
      </w:r>
    </w:p>
    <w:p w14:paraId="58A1D3BB">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（1）起始日期：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日，完成日期：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0C015310">
      <w:pPr>
        <w:spacing w:line="480" w:lineRule="exact"/>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（2）履约地点</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u w:val="single"/>
        </w:rPr>
        <w:t xml:space="preserve"> 甲方指定地点 </w:t>
      </w:r>
      <w:r>
        <w:rPr>
          <w:rFonts w:hint="eastAsia" w:ascii="宋体" w:hAnsi="宋体" w:eastAsia="宋体" w:cs="宋体"/>
          <w:bCs/>
          <w:color w:val="auto"/>
          <w:sz w:val="24"/>
          <w:highlight w:val="none"/>
        </w:rPr>
        <w:t xml:space="preserve">  </w:t>
      </w:r>
    </w:p>
    <w:p w14:paraId="173CA47A">
      <w:pPr>
        <w:spacing w:line="48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（3）</w:t>
      </w:r>
      <w:r>
        <w:rPr>
          <w:rFonts w:hint="eastAsia" w:ascii="宋体" w:hAnsi="宋体" w:eastAsia="宋体" w:cs="宋体"/>
          <w:color w:val="auto"/>
          <w:sz w:val="24"/>
          <w:highlight w:val="none"/>
        </w:rPr>
        <w:t>履约担保：履约担保：是否收取履约保证金：þ是 ¨否</w:t>
      </w:r>
    </w:p>
    <w:p w14:paraId="0E7E788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收取履约保证金形式：</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r>
        <w:rPr>
          <w:rFonts w:hint="eastAsia" w:ascii="宋体" w:hAnsi="宋体" w:eastAsia="宋体" w:cs="宋体"/>
          <w:color w:val="auto"/>
          <w:sz w:val="24"/>
          <w:highlight w:val="none"/>
        </w:rPr>
        <w:t xml:space="preserve">                            </w:t>
      </w:r>
    </w:p>
    <w:p w14:paraId="32C2A3FA">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收取履约保证金金额：</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中标金额的8%</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r>
        <w:rPr>
          <w:rFonts w:hint="eastAsia" w:ascii="宋体" w:hAnsi="宋体" w:eastAsia="宋体" w:cs="宋体"/>
          <w:color w:val="auto"/>
          <w:sz w:val="24"/>
          <w:highlight w:val="none"/>
        </w:rPr>
        <w:t xml:space="preserve">                            </w:t>
      </w:r>
    </w:p>
    <w:p w14:paraId="08AAEDAD">
      <w:pPr>
        <w:spacing w:line="480" w:lineRule="exact"/>
        <w:ind w:firstLine="480"/>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     履约担保期限：</w:t>
      </w:r>
      <w:r>
        <w:rPr>
          <w:rFonts w:hint="eastAsia" w:ascii="宋体" w:hAnsi="宋体" w:eastAsia="宋体" w:cs="宋体"/>
          <w:bCs/>
          <w:color w:val="auto"/>
          <w:sz w:val="24"/>
          <w:highlight w:val="none"/>
          <w:u w:val="single"/>
        </w:rPr>
        <w:t xml:space="preserve">                                    </w:t>
      </w:r>
    </w:p>
    <w:p w14:paraId="5C9D07BE">
      <w:pPr>
        <w:spacing w:line="4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（4）确需收取履约保证金的，履约保证金的缴纳形式：</w:t>
      </w:r>
    </w:p>
    <w:p w14:paraId="7C205911">
      <w:pPr>
        <w:spacing w:line="4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5F856E5">
      <w:pPr>
        <w:spacing w:line="4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如以履约保函（保险）形式缴纳履约保证金，供应商可通过政府采购电子履约保函（保险）平台（www.jsdzbh.com）在线申请履约保函（保险）。</w:t>
      </w:r>
    </w:p>
    <w:p w14:paraId="30D2F523">
      <w:pPr>
        <w:pStyle w:val="32"/>
        <w:spacing w:before="120" w:beforeAutospacing="0" w:after="12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乙方如为</w:t>
      </w:r>
      <w:r>
        <w:rPr>
          <w:rFonts w:hint="eastAsia" w:ascii="宋体" w:hAnsi="宋体" w:eastAsia="宋体" w:cs="宋体"/>
          <w:color w:val="auto"/>
          <w:highlight w:val="none"/>
        </w:rPr>
        <w:t>第三方信用服务机构依据标准规范评定</w:t>
      </w:r>
      <w:r>
        <w:rPr>
          <w:rFonts w:hint="eastAsia" w:ascii="宋体" w:hAnsi="宋体" w:eastAsia="宋体" w:cs="宋体"/>
          <w:color w:val="auto"/>
          <w:highlight w:val="none"/>
          <w:lang w:eastAsia="zh-CN"/>
        </w:rPr>
        <w:t>的</w:t>
      </w:r>
      <w:r>
        <w:rPr>
          <w:rFonts w:hint="eastAsia" w:ascii="宋体" w:hAnsi="宋体" w:eastAsia="宋体" w:cs="宋体"/>
          <w:color w:val="auto"/>
          <w:highlight w:val="none"/>
        </w:rPr>
        <w:t>AA 级及以上的政府采购供应商（需在签订采购合同前提供信用管理部门备案的第三方信用报告，且信用报告通过“信用盐城网”可查实），免收履约保证金。</w:t>
      </w:r>
      <w:r>
        <w:rPr>
          <w:rFonts w:hint="eastAsia" w:ascii="宋体" w:hAnsi="宋体" w:eastAsia="宋体" w:cs="宋体"/>
          <w:bCs/>
          <w:color w:val="auto"/>
          <w:highlight w:val="none"/>
        </w:rPr>
        <w:t xml:space="preserve">   </w:t>
      </w:r>
      <w:r>
        <w:rPr>
          <w:rFonts w:hint="eastAsia" w:ascii="宋体" w:hAnsi="宋体" w:eastAsia="宋体" w:cs="宋体"/>
          <w:color w:val="auto"/>
          <w:highlight w:val="none"/>
        </w:rPr>
        <w:t xml:space="preserve">                                 </w:t>
      </w:r>
    </w:p>
    <w:p w14:paraId="459ED36F">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4.合同验收</w:t>
      </w:r>
    </w:p>
    <w:p w14:paraId="562B3BC6">
      <w:pPr>
        <w:numPr>
          <w:ilvl w:val="0"/>
          <w:numId w:val="2"/>
        </w:numPr>
        <w:spacing w:line="4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验收组织方式：</w:t>
      </w:r>
      <w:r>
        <w:rPr>
          <w:rFonts w:hint="eastAsia" w:ascii="宋体" w:hAnsi="宋体" w:eastAsia="宋体" w:cs="宋体"/>
          <w:color w:val="auto"/>
          <w:sz w:val="24"/>
          <w:highlight w:val="none"/>
        </w:rPr>
        <w:t>þ</w:t>
      </w:r>
      <w:r>
        <w:rPr>
          <w:rFonts w:hint="eastAsia" w:ascii="宋体" w:hAnsi="宋体" w:eastAsia="宋体" w:cs="宋体"/>
          <w:bCs/>
          <w:color w:val="auto"/>
          <w:sz w:val="24"/>
          <w:highlight w:val="none"/>
        </w:rPr>
        <w:t xml:space="preserve">自行组织 </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委托第三方组织</w:t>
      </w:r>
    </w:p>
    <w:p w14:paraId="5A23EE6C">
      <w:pPr>
        <w:spacing w:line="480" w:lineRule="exact"/>
        <w:ind w:firstLine="960"/>
        <w:rPr>
          <w:rFonts w:hint="eastAsia" w:ascii="宋体" w:hAnsi="宋体" w:eastAsia="宋体" w:cs="宋体"/>
          <w:color w:val="auto"/>
          <w:sz w:val="24"/>
          <w:highlight w:val="none"/>
        </w:rPr>
      </w:pPr>
      <w:r>
        <w:rPr>
          <w:rFonts w:hint="eastAsia" w:ascii="宋体" w:hAnsi="宋体" w:eastAsia="宋体" w:cs="宋体"/>
          <w:bCs/>
          <w:color w:val="auto"/>
          <w:sz w:val="24"/>
          <w:highlight w:val="none"/>
        </w:rPr>
        <w:t>验收主体：</w:t>
      </w: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 </w:t>
      </w:r>
    </w:p>
    <w:p w14:paraId="0657D5DF">
      <w:pPr>
        <w:spacing w:line="480" w:lineRule="exact"/>
        <w:ind w:firstLine="9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是否邀请本项目的其他供应商参加验收：</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 xml:space="preserve">是 </w:t>
      </w:r>
      <w:r>
        <w:rPr>
          <w:rFonts w:hint="eastAsia" w:ascii="宋体" w:hAnsi="宋体" w:eastAsia="宋体" w:cs="宋体"/>
          <w:color w:val="auto"/>
          <w:sz w:val="24"/>
          <w:highlight w:val="none"/>
        </w:rPr>
        <w:t>þ</w:t>
      </w:r>
      <w:r>
        <w:rPr>
          <w:rFonts w:hint="eastAsia" w:ascii="宋体" w:hAnsi="宋体" w:eastAsia="宋体" w:cs="宋体"/>
          <w:bCs/>
          <w:color w:val="auto"/>
          <w:sz w:val="24"/>
          <w:highlight w:val="none"/>
        </w:rPr>
        <w:t>否</w:t>
      </w:r>
    </w:p>
    <w:p w14:paraId="7804A1BF">
      <w:pPr>
        <w:spacing w:line="480" w:lineRule="exact"/>
        <w:ind w:firstLine="9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是否邀请专家参加验收：</w:t>
      </w:r>
      <w:r>
        <w:rPr>
          <w:rFonts w:hint="eastAsia" w:ascii="宋体" w:hAnsi="宋体" w:eastAsia="宋体" w:cs="宋体"/>
          <w:color w:val="auto"/>
          <w:sz w:val="24"/>
          <w:highlight w:val="none"/>
        </w:rPr>
        <w:sym w:font="Wingdings" w:char="00A8"/>
      </w:r>
      <w:r>
        <w:rPr>
          <w:rFonts w:hint="eastAsia" w:ascii="宋体" w:hAnsi="宋体" w:eastAsia="宋体" w:cs="宋体"/>
          <w:bCs/>
          <w:color w:val="auto"/>
          <w:sz w:val="24"/>
          <w:highlight w:val="none"/>
        </w:rPr>
        <w:t xml:space="preserve">是 </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否</w:t>
      </w:r>
    </w:p>
    <w:p w14:paraId="15D003DE">
      <w:pPr>
        <w:spacing w:line="480" w:lineRule="exact"/>
        <w:ind w:firstLine="9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是否邀请服务对象参加验收：</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 xml:space="preserve">是 </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否</w:t>
      </w:r>
    </w:p>
    <w:p w14:paraId="64FD4BC5">
      <w:pPr>
        <w:spacing w:line="480" w:lineRule="exact"/>
        <w:ind w:firstLine="9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是否邀请第三方检测机构参加验收：</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 xml:space="preserve">是 </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否</w:t>
      </w:r>
    </w:p>
    <w:p w14:paraId="47681B75">
      <w:pPr>
        <w:spacing w:line="480" w:lineRule="exact"/>
        <w:ind w:firstLine="9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是否进行抽查检测：</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 xml:space="preserve">是 </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否抽查比例：</w:t>
      </w:r>
    </w:p>
    <w:p w14:paraId="2589913E">
      <w:pPr>
        <w:spacing w:line="480" w:lineRule="exact"/>
        <w:ind w:firstLine="9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是否存在破坏性检测：</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 xml:space="preserve">是 </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否</w:t>
      </w:r>
    </w:p>
    <w:p w14:paraId="626F0567">
      <w:pPr>
        <w:spacing w:line="480" w:lineRule="exact"/>
        <w:ind w:firstLine="96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验收组织的其他事项：</w:t>
      </w:r>
    </w:p>
    <w:p w14:paraId="31297295">
      <w:pPr>
        <w:spacing w:line="480" w:lineRule="exact"/>
        <w:ind w:firstLine="48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（2）履约验收时间：</w:t>
      </w:r>
      <w:r>
        <w:rPr>
          <w:rFonts w:hint="eastAsia" w:ascii="宋体" w:hAnsi="宋体" w:eastAsia="宋体" w:cs="宋体"/>
          <w:bCs/>
          <w:color w:val="auto"/>
          <w:sz w:val="24"/>
          <w:highlight w:val="none"/>
          <w:u w:val="single"/>
        </w:rPr>
        <w:t>供应商提出验收申请之日</w:t>
      </w:r>
      <w:r>
        <w:rPr>
          <w:rFonts w:hint="eastAsia" w:ascii="宋体" w:hAnsi="宋体" w:eastAsia="宋体" w:cs="宋体"/>
          <w:bCs/>
          <w:color w:val="auto"/>
          <w:sz w:val="24"/>
          <w:highlight w:val="none"/>
          <w:u w:val="single"/>
          <w:lang w:val="en-US" w:eastAsia="zh-CN"/>
        </w:rPr>
        <w:t>后由甲方</w:t>
      </w:r>
      <w:r>
        <w:rPr>
          <w:rFonts w:hint="eastAsia" w:ascii="宋体" w:hAnsi="宋体" w:eastAsia="宋体" w:cs="宋体"/>
          <w:bCs/>
          <w:color w:val="auto"/>
          <w:sz w:val="24"/>
          <w:highlight w:val="none"/>
          <w:u w:val="single"/>
        </w:rPr>
        <w:t>组织</w:t>
      </w:r>
      <w:r>
        <w:rPr>
          <w:rFonts w:hint="eastAsia" w:ascii="宋体" w:hAnsi="宋体" w:eastAsia="宋体" w:cs="宋体"/>
          <w:bCs/>
          <w:color w:val="auto"/>
          <w:sz w:val="24"/>
          <w:highlight w:val="none"/>
          <w:u w:val="single"/>
          <w:lang w:val="en-US" w:eastAsia="zh-CN"/>
        </w:rPr>
        <w:t>专家进行</w:t>
      </w:r>
      <w:r>
        <w:rPr>
          <w:rFonts w:hint="eastAsia" w:ascii="宋体" w:hAnsi="宋体" w:eastAsia="宋体" w:cs="宋体"/>
          <w:bCs/>
          <w:color w:val="auto"/>
          <w:sz w:val="24"/>
          <w:highlight w:val="none"/>
          <w:u w:val="single"/>
        </w:rPr>
        <w:t xml:space="preserve">验收 </w:t>
      </w:r>
    </w:p>
    <w:p w14:paraId="13F5FC59">
      <w:pPr>
        <w:spacing w:line="4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（3）履约验收方式：一次性验收         </w:t>
      </w:r>
    </w:p>
    <w:p w14:paraId="5C24704B">
      <w:pPr>
        <w:spacing w:line="480" w:lineRule="exact"/>
        <w:ind w:firstLine="480"/>
        <w:rPr>
          <w:rFonts w:hint="eastAsia" w:ascii="宋体" w:hAnsi="宋体" w:eastAsia="宋体" w:cs="宋体"/>
          <w:bCs/>
          <w:color w:val="auto"/>
          <w:sz w:val="24"/>
          <w:highlight w:val="none"/>
          <w:u w:val="single"/>
          <w:lang w:val="en-US" w:eastAsia="zh-CN"/>
        </w:rPr>
      </w:pPr>
      <w:r>
        <w:rPr>
          <w:rFonts w:hint="eastAsia" w:ascii="宋体" w:hAnsi="宋体" w:eastAsia="宋体" w:cs="宋体"/>
          <w:bCs/>
          <w:color w:val="auto"/>
          <w:sz w:val="24"/>
          <w:highlight w:val="none"/>
        </w:rPr>
        <w:t>（4）履约验收标准：</w:t>
      </w:r>
      <w:r>
        <w:rPr>
          <w:rFonts w:hint="eastAsia" w:ascii="宋体" w:hAnsi="宋体" w:eastAsia="宋体" w:cs="宋体"/>
          <w:bCs/>
          <w:color w:val="auto"/>
          <w:sz w:val="24"/>
          <w:highlight w:val="none"/>
          <w:lang w:val="en-US" w:eastAsia="zh-CN"/>
        </w:rPr>
        <w:t>合格，设备产品须为全新未使用过的原装合格正品，安装质量应符合各项技术标准和国家强制性标准，并通过上级主管部门的验收，同时满足甲方的使用需求。</w:t>
      </w:r>
    </w:p>
    <w:p w14:paraId="0A212574">
      <w:pPr>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）是否以采购活动中供应商提供的样品作为参考：</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 xml:space="preserve">是 </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否</w:t>
      </w:r>
    </w:p>
    <w:p w14:paraId="06DEDD63">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5.组成合同的文件</w:t>
      </w:r>
    </w:p>
    <w:p w14:paraId="275EA59A">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本协议书与下列文件一起构成合同文件，如下述文件之间有任何抵触、矛盾或歧义，应按以下顺序解释：</w:t>
      </w:r>
    </w:p>
    <w:p w14:paraId="0764C502">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（1）政府采购合同协议书及其变更、补充协议</w:t>
      </w:r>
    </w:p>
    <w:p w14:paraId="7F65DC37">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（2）政府采购合同专用条款</w:t>
      </w:r>
    </w:p>
    <w:p w14:paraId="47E467FC">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（3）政府采购合同通用条款</w:t>
      </w:r>
    </w:p>
    <w:p w14:paraId="7D4FBA43">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（4）中标通知书</w:t>
      </w:r>
    </w:p>
    <w:p w14:paraId="5E4C229D">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（5）投标文件</w:t>
      </w:r>
    </w:p>
    <w:p w14:paraId="46ABC6DA">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（6）采购文件</w:t>
      </w:r>
    </w:p>
    <w:p w14:paraId="43FDE070">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（7）有关技术文件，图纸</w:t>
      </w:r>
    </w:p>
    <w:p w14:paraId="10B2BE1B">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（8）国家法律、行政法规和规章制度规定或合同约定的作为合同组成部分的其他文件</w:t>
      </w:r>
    </w:p>
    <w:p w14:paraId="646DC98B">
      <w:pPr>
        <w:spacing w:line="480" w:lineRule="exact"/>
        <w:ind w:left="42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6.合同生效</w:t>
      </w:r>
    </w:p>
    <w:p w14:paraId="318C5F40">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本合同自</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2026</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日生效。</w:t>
      </w:r>
    </w:p>
    <w:p w14:paraId="797F5353">
      <w:pPr>
        <w:spacing w:line="480" w:lineRule="exact"/>
        <w:ind w:left="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7.合同份数</w:t>
      </w:r>
    </w:p>
    <w:p w14:paraId="19673219">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本合同一式</w:t>
      </w:r>
      <w:r>
        <w:rPr>
          <w:rFonts w:hint="eastAsia" w:ascii="宋体" w:hAnsi="宋体" w:eastAsia="宋体" w:cs="宋体"/>
          <w:color w:val="auto"/>
          <w:sz w:val="24"/>
          <w:highlight w:val="none"/>
          <w:u w:val="single"/>
        </w:rPr>
        <w:t xml:space="preserve"> 6 </w:t>
      </w:r>
      <w:r>
        <w:rPr>
          <w:rFonts w:hint="eastAsia" w:ascii="宋体" w:hAnsi="宋体" w:eastAsia="宋体" w:cs="宋体"/>
          <w:color w:val="auto"/>
          <w:sz w:val="24"/>
          <w:highlight w:val="none"/>
        </w:rPr>
        <w:t>份，甲方执</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份，乙方执</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份，均具有同等法律效力。</w:t>
      </w:r>
    </w:p>
    <w:p w14:paraId="47A14963">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合同订立时间：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2026</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5906696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合同订立地点：</w:t>
      </w:r>
      <w:r>
        <w:rPr>
          <w:rFonts w:hint="eastAsia" w:ascii="宋体" w:hAnsi="宋体" w:eastAsia="宋体" w:cs="宋体"/>
          <w:color w:val="auto"/>
          <w:sz w:val="24"/>
          <w:highlight w:val="none"/>
          <w:u w:val="single"/>
        </w:rPr>
        <w:t xml:space="preserve">                       </w:t>
      </w:r>
    </w:p>
    <w:p w14:paraId="1829CFBD">
      <w:pPr>
        <w:spacing w:line="480" w:lineRule="exac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附件：具体标的及其技术要求和商务要求、联合协议、分包意向协议等。</w:t>
      </w:r>
    </w:p>
    <w:p w14:paraId="7072DD95">
      <w:pPr>
        <w:spacing w:line="360" w:lineRule="auto"/>
        <w:ind w:firstLine="480"/>
        <w:rPr>
          <w:rFonts w:hint="eastAsia" w:ascii="宋体" w:hAnsi="宋体" w:eastAsia="宋体" w:cs="宋体"/>
          <w:color w:val="auto"/>
          <w:sz w:val="24"/>
          <w:highlight w:val="none"/>
        </w:rPr>
      </w:pPr>
    </w:p>
    <w:p w14:paraId="7FC84E46">
      <w:pPr>
        <w:spacing w:line="360" w:lineRule="auto"/>
        <w:rPr>
          <w:rFonts w:hint="eastAsia" w:ascii="宋体" w:hAnsi="宋体" w:eastAsia="宋体" w:cs="宋体"/>
          <w:color w:val="auto"/>
          <w:sz w:val="24"/>
          <w:highlight w:val="none"/>
        </w:rPr>
      </w:pPr>
    </w:p>
    <w:p w14:paraId="04CAB2AF">
      <w:pPr>
        <w:spacing w:line="36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br w:type="page" w:clear="all"/>
      </w:r>
    </w:p>
    <w:p w14:paraId="11D9C151">
      <w:pPr>
        <w:spacing w:line="360" w:lineRule="auto"/>
        <w:ind w:firstLine="420"/>
        <w:rPr>
          <w:rFonts w:hint="eastAsia" w:ascii="宋体" w:hAnsi="宋体" w:eastAsia="宋体" w:cs="宋体"/>
          <w:color w:val="auto"/>
          <w:szCs w:val="21"/>
          <w:highlight w:val="none"/>
        </w:rPr>
      </w:pPr>
    </w:p>
    <w:tbl>
      <w:tblPr>
        <w:tblStyle w:val="34"/>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2138"/>
        <w:gridCol w:w="2160"/>
        <w:gridCol w:w="2189"/>
        <w:gridCol w:w="1911"/>
      </w:tblGrid>
      <w:tr w14:paraId="57D0F6B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jc w:val="center"/>
        </w:trPr>
        <w:tc>
          <w:tcPr>
            <w:tcW w:w="4298" w:type="dxa"/>
            <w:gridSpan w:val="2"/>
            <w:tcBorders>
              <w:bottom w:val="single" w:color="000000" w:sz="2" w:space="0"/>
              <w:right w:val="single" w:color="000000" w:sz="2" w:space="0"/>
            </w:tcBorders>
            <w:noWrap w:val="0"/>
            <w:vAlign w:val="center"/>
          </w:tcPr>
          <w:p w14:paraId="304BF22F">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甲方（采购人、受采购人委托签订合同的单位或采购文件约定的合同甲方）</w:t>
            </w:r>
          </w:p>
        </w:tc>
        <w:tc>
          <w:tcPr>
            <w:tcW w:w="4100" w:type="dxa"/>
            <w:gridSpan w:val="2"/>
            <w:tcBorders>
              <w:left w:val="single" w:color="000000" w:sz="2" w:space="0"/>
              <w:bottom w:val="single" w:color="000000" w:sz="2" w:space="0"/>
            </w:tcBorders>
            <w:noWrap w:val="0"/>
            <w:vAlign w:val="center"/>
          </w:tcPr>
          <w:p w14:paraId="2AC25AC3">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乙方（供应商）</w:t>
            </w:r>
          </w:p>
        </w:tc>
      </w:tr>
      <w:tr w14:paraId="5238BEA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jc w:val="center"/>
        </w:trPr>
        <w:tc>
          <w:tcPr>
            <w:tcW w:w="2138" w:type="dxa"/>
            <w:tcBorders>
              <w:top w:val="single" w:color="000000" w:sz="2" w:space="0"/>
              <w:bottom w:val="single" w:color="000000" w:sz="2" w:space="0"/>
              <w:right w:val="single" w:color="000000" w:sz="2" w:space="0"/>
            </w:tcBorders>
            <w:noWrap w:val="0"/>
            <w:vAlign w:val="center"/>
          </w:tcPr>
          <w:p w14:paraId="64D38A30">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w:t>
            </w:r>
          </w:p>
          <w:p w14:paraId="2A41D35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（公章或合同章）</w:t>
            </w:r>
          </w:p>
        </w:tc>
        <w:tc>
          <w:tcPr>
            <w:tcW w:w="2160" w:type="dxa"/>
            <w:tcBorders>
              <w:top w:val="single" w:color="000000" w:sz="2" w:space="0"/>
              <w:left w:val="single" w:color="000000" w:sz="2" w:space="0"/>
              <w:bottom w:val="single" w:color="000000" w:sz="2" w:space="0"/>
              <w:right w:val="single" w:color="000000" w:sz="2" w:space="0"/>
            </w:tcBorders>
            <w:noWrap w:val="0"/>
            <w:vAlign w:val="center"/>
          </w:tcPr>
          <w:p w14:paraId="0EAFE22B">
            <w:pPr>
              <w:spacing w:line="360" w:lineRule="auto"/>
              <w:jc w:val="center"/>
              <w:rPr>
                <w:rFonts w:hint="eastAsia" w:ascii="宋体" w:hAnsi="宋体" w:eastAsia="宋体" w:cs="宋体"/>
                <w:color w:val="auto"/>
                <w:sz w:val="24"/>
                <w:highlight w:val="none"/>
              </w:rPr>
            </w:pPr>
          </w:p>
        </w:tc>
        <w:tc>
          <w:tcPr>
            <w:tcW w:w="2189" w:type="dxa"/>
            <w:tcBorders>
              <w:top w:val="single" w:color="000000" w:sz="2" w:space="0"/>
              <w:left w:val="single" w:color="000000" w:sz="2" w:space="0"/>
              <w:bottom w:val="single" w:color="000000" w:sz="2" w:space="0"/>
              <w:right w:val="single" w:color="000000" w:sz="2" w:space="0"/>
            </w:tcBorders>
            <w:noWrap w:val="0"/>
            <w:vAlign w:val="center"/>
          </w:tcPr>
          <w:p w14:paraId="3AE01C00">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w:t>
            </w:r>
          </w:p>
          <w:p w14:paraId="47911E67">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（公章或合同章）</w:t>
            </w:r>
          </w:p>
        </w:tc>
        <w:tc>
          <w:tcPr>
            <w:tcW w:w="1911" w:type="dxa"/>
            <w:tcBorders>
              <w:top w:val="single" w:color="000000" w:sz="2" w:space="0"/>
              <w:left w:val="single" w:color="000000" w:sz="2" w:space="0"/>
              <w:bottom w:val="single" w:color="000000" w:sz="2" w:space="0"/>
            </w:tcBorders>
            <w:noWrap w:val="0"/>
            <w:vAlign w:val="center"/>
          </w:tcPr>
          <w:p w14:paraId="1901D65F">
            <w:pPr>
              <w:spacing w:line="360" w:lineRule="auto"/>
              <w:jc w:val="center"/>
              <w:rPr>
                <w:rFonts w:hint="eastAsia" w:ascii="宋体" w:hAnsi="宋体" w:eastAsia="宋体" w:cs="宋体"/>
                <w:color w:val="auto"/>
                <w:spacing w:val="20"/>
                <w:sz w:val="24"/>
                <w:highlight w:val="none"/>
              </w:rPr>
            </w:pPr>
          </w:p>
        </w:tc>
      </w:tr>
      <w:tr w14:paraId="024A166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171" w:hRule="atLeast"/>
          <w:jc w:val="center"/>
        </w:trPr>
        <w:tc>
          <w:tcPr>
            <w:tcW w:w="2138" w:type="dxa"/>
            <w:vMerge w:val="restart"/>
            <w:tcBorders>
              <w:top w:val="single" w:color="000000" w:sz="2" w:space="0"/>
              <w:right w:val="single" w:color="000000" w:sz="2" w:space="0"/>
            </w:tcBorders>
            <w:noWrap w:val="0"/>
            <w:vAlign w:val="center"/>
          </w:tcPr>
          <w:p w14:paraId="086C8F2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p w14:paraId="2F43EE14">
            <w:pPr>
              <w:spacing w:line="360" w:lineRule="auto"/>
              <w:ind w:firstLine="115"/>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或其委托代理人（签章）</w:t>
            </w:r>
          </w:p>
        </w:tc>
        <w:tc>
          <w:tcPr>
            <w:tcW w:w="2160" w:type="dxa"/>
            <w:vMerge w:val="restart"/>
            <w:tcBorders>
              <w:top w:val="single" w:color="000000" w:sz="2" w:space="0"/>
              <w:left w:val="single" w:color="000000" w:sz="2" w:space="0"/>
              <w:right w:val="single" w:color="000000" w:sz="2" w:space="0"/>
            </w:tcBorders>
            <w:noWrap w:val="0"/>
            <w:vAlign w:val="center"/>
          </w:tcPr>
          <w:p w14:paraId="46827442">
            <w:pPr>
              <w:spacing w:line="360" w:lineRule="auto"/>
              <w:jc w:val="center"/>
              <w:rPr>
                <w:rFonts w:hint="eastAsia" w:ascii="宋体" w:hAnsi="宋体" w:eastAsia="宋体" w:cs="宋体"/>
                <w:color w:val="auto"/>
                <w:sz w:val="24"/>
                <w:highlight w:val="none"/>
              </w:rPr>
            </w:pPr>
          </w:p>
        </w:tc>
        <w:tc>
          <w:tcPr>
            <w:tcW w:w="2189" w:type="dxa"/>
            <w:tcBorders>
              <w:top w:val="single" w:color="000000" w:sz="2" w:space="0"/>
              <w:left w:val="single" w:color="000000" w:sz="2" w:space="0"/>
              <w:right w:val="single" w:color="000000" w:sz="2" w:space="0"/>
            </w:tcBorders>
            <w:noWrap w:val="0"/>
            <w:vAlign w:val="center"/>
          </w:tcPr>
          <w:p w14:paraId="4258AC10">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p w14:paraId="0E21E422">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或其委托代理人（签章）</w:t>
            </w:r>
          </w:p>
        </w:tc>
        <w:tc>
          <w:tcPr>
            <w:tcW w:w="1911" w:type="dxa"/>
            <w:tcBorders>
              <w:top w:val="single" w:color="000000" w:sz="2" w:space="0"/>
              <w:left w:val="single" w:color="000000" w:sz="2" w:space="0"/>
              <w:bottom w:val="single" w:color="000000" w:sz="2" w:space="0"/>
            </w:tcBorders>
            <w:noWrap w:val="0"/>
            <w:vAlign w:val="center"/>
          </w:tcPr>
          <w:p w14:paraId="457E3355">
            <w:pPr>
              <w:spacing w:line="360" w:lineRule="auto"/>
              <w:jc w:val="center"/>
              <w:rPr>
                <w:rFonts w:hint="eastAsia" w:ascii="宋体" w:hAnsi="宋体" w:eastAsia="宋体" w:cs="宋体"/>
                <w:color w:val="auto"/>
                <w:sz w:val="24"/>
                <w:highlight w:val="none"/>
              </w:rPr>
            </w:pPr>
          </w:p>
        </w:tc>
      </w:tr>
      <w:tr w14:paraId="70B29FE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483" w:hRule="atLeast"/>
          <w:jc w:val="center"/>
        </w:trPr>
        <w:tc>
          <w:tcPr>
            <w:tcW w:w="2138" w:type="dxa"/>
            <w:vMerge w:val="continue"/>
            <w:tcBorders>
              <w:bottom w:val="single" w:color="000000" w:sz="2" w:space="0"/>
              <w:right w:val="single" w:color="000000" w:sz="2" w:space="0"/>
            </w:tcBorders>
            <w:noWrap w:val="0"/>
            <w:vAlign w:val="center"/>
          </w:tcPr>
          <w:p w14:paraId="147D73BB">
            <w:pPr>
              <w:spacing w:line="360" w:lineRule="auto"/>
              <w:jc w:val="center"/>
              <w:rPr>
                <w:rFonts w:hint="eastAsia" w:ascii="宋体" w:hAnsi="宋体" w:eastAsia="宋体" w:cs="宋体"/>
                <w:color w:val="auto"/>
                <w:sz w:val="24"/>
                <w:highlight w:val="none"/>
              </w:rPr>
            </w:pPr>
          </w:p>
        </w:tc>
        <w:tc>
          <w:tcPr>
            <w:tcW w:w="2160" w:type="dxa"/>
            <w:vMerge w:val="continue"/>
            <w:tcBorders>
              <w:left w:val="single" w:color="000000" w:sz="2" w:space="0"/>
              <w:bottom w:val="single" w:color="000000" w:sz="2" w:space="0"/>
              <w:right w:val="single" w:color="000000" w:sz="2" w:space="0"/>
            </w:tcBorders>
            <w:noWrap w:val="0"/>
            <w:vAlign w:val="center"/>
          </w:tcPr>
          <w:p w14:paraId="1064434D">
            <w:pPr>
              <w:spacing w:line="360" w:lineRule="auto"/>
              <w:jc w:val="center"/>
              <w:rPr>
                <w:rFonts w:hint="eastAsia" w:ascii="宋体" w:hAnsi="宋体" w:eastAsia="宋体" w:cs="宋体"/>
                <w:color w:val="auto"/>
                <w:sz w:val="24"/>
                <w:highlight w:val="none"/>
              </w:rPr>
            </w:pPr>
          </w:p>
        </w:tc>
        <w:tc>
          <w:tcPr>
            <w:tcW w:w="2189" w:type="dxa"/>
            <w:tcBorders>
              <w:top w:val="single" w:color="000000" w:sz="2" w:space="0"/>
              <w:left w:val="single" w:color="000000" w:sz="2" w:space="0"/>
              <w:bottom w:val="single" w:color="000000" w:sz="2" w:space="0"/>
              <w:right w:val="single" w:color="000000" w:sz="2" w:space="0"/>
            </w:tcBorders>
            <w:noWrap w:val="0"/>
            <w:vAlign w:val="center"/>
          </w:tcPr>
          <w:p w14:paraId="338ED3F9">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拥有者性别</w:t>
            </w:r>
          </w:p>
        </w:tc>
        <w:tc>
          <w:tcPr>
            <w:tcW w:w="1911" w:type="dxa"/>
            <w:tcBorders>
              <w:top w:val="single" w:color="000000" w:sz="2" w:space="0"/>
              <w:left w:val="single" w:color="000000" w:sz="2" w:space="0"/>
              <w:bottom w:val="single" w:color="000000" w:sz="2" w:space="0"/>
            </w:tcBorders>
            <w:noWrap w:val="0"/>
            <w:vAlign w:val="center"/>
          </w:tcPr>
          <w:p w14:paraId="1C38568E">
            <w:pPr>
              <w:spacing w:line="360" w:lineRule="auto"/>
              <w:jc w:val="center"/>
              <w:rPr>
                <w:rFonts w:hint="eastAsia" w:ascii="宋体" w:hAnsi="宋体" w:eastAsia="宋体" w:cs="宋体"/>
                <w:color w:val="auto"/>
                <w:spacing w:val="20"/>
                <w:sz w:val="24"/>
                <w:highlight w:val="none"/>
              </w:rPr>
            </w:pPr>
          </w:p>
        </w:tc>
      </w:tr>
      <w:tr w14:paraId="4B65AD9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138" w:type="dxa"/>
            <w:tcBorders>
              <w:top w:val="single" w:color="000000" w:sz="2" w:space="0"/>
              <w:bottom w:val="single" w:color="000000" w:sz="2" w:space="0"/>
              <w:right w:val="single" w:color="000000" w:sz="2" w:space="0"/>
            </w:tcBorders>
            <w:noWrap w:val="0"/>
            <w:vAlign w:val="center"/>
          </w:tcPr>
          <w:p w14:paraId="179BF81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住所</w:t>
            </w:r>
          </w:p>
        </w:tc>
        <w:tc>
          <w:tcPr>
            <w:tcW w:w="2160" w:type="dxa"/>
            <w:tcBorders>
              <w:top w:val="single" w:color="000000" w:sz="2" w:space="0"/>
              <w:left w:val="single" w:color="000000" w:sz="2" w:space="0"/>
              <w:bottom w:val="single" w:color="000000" w:sz="2" w:space="0"/>
              <w:right w:val="single" w:color="000000" w:sz="2" w:space="0"/>
            </w:tcBorders>
            <w:noWrap w:val="0"/>
            <w:vAlign w:val="center"/>
          </w:tcPr>
          <w:p w14:paraId="7888E3B6">
            <w:pPr>
              <w:spacing w:line="360" w:lineRule="auto"/>
              <w:jc w:val="center"/>
              <w:rPr>
                <w:rFonts w:hint="eastAsia" w:ascii="宋体" w:hAnsi="宋体" w:eastAsia="宋体" w:cs="宋体"/>
                <w:color w:val="auto"/>
                <w:sz w:val="24"/>
                <w:highlight w:val="none"/>
              </w:rPr>
            </w:pPr>
          </w:p>
        </w:tc>
        <w:tc>
          <w:tcPr>
            <w:tcW w:w="2189" w:type="dxa"/>
            <w:tcBorders>
              <w:top w:val="single" w:color="000000" w:sz="2" w:space="0"/>
              <w:left w:val="single" w:color="000000" w:sz="2" w:space="0"/>
              <w:bottom w:val="single" w:color="000000" w:sz="2" w:space="0"/>
              <w:right w:val="single" w:color="000000" w:sz="2" w:space="0"/>
            </w:tcBorders>
            <w:noWrap w:val="0"/>
            <w:vAlign w:val="center"/>
          </w:tcPr>
          <w:p w14:paraId="200BF6E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住所</w:t>
            </w:r>
          </w:p>
        </w:tc>
        <w:tc>
          <w:tcPr>
            <w:tcW w:w="1911" w:type="dxa"/>
            <w:tcBorders>
              <w:top w:val="single" w:color="000000" w:sz="2" w:space="0"/>
              <w:left w:val="single" w:color="000000" w:sz="2" w:space="0"/>
              <w:bottom w:val="single" w:color="000000" w:sz="2" w:space="0"/>
            </w:tcBorders>
            <w:noWrap w:val="0"/>
            <w:vAlign w:val="center"/>
          </w:tcPr>
          <w:p w14:paraId="3428E3B7">
            <w:pPr>
              <w:spacing w:line="360" w:lineRule="auto"/>
              <w:jc w:val="center"/>
              <w:rPr>
                <w:rFonts w:hint="eastAsia" w:ascii="宋体" w:hAnsi="宋体" w:eastAsia="宋体" w:cs="宋体"/>
                <w:color w:val="auto"/>
                <w:spacing w:val="20"/>
                <w:sz w:val="24"/>
                <w:highlight w:val="none"/>
              </w:rPr>
            </w:pPr>
          </w:p>
        </w:tc>
      </w:tr>
      <w:tr w14:paraId="3B35BFB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138" w:type="dxa"/>
            <w:tcBorders>
              <w:top w:val="single" w:color="000000" w:sz="2" w:space="0"/>
              <w:bottom w:val="single" w:color="000000" w:sz="2" w:space="0"/>
              <w:right w:val="single" w:color="000000" w:sz="2" w:space="0"/>
            </w:tcBorders>
            <w:noWrap w:val="0"/>
            <w:vAlign w:val="center"/>
          </w:tcPr>
          <w:p w14:paraId="1E17C7E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 系 人</w:t>
            </w:r>
          </w:p>
        </w:tc>
        <w:tc>
          <w:tcPr>
            <w:tcW w:w="2160" w:type="dxa"/>
            <w:tcBorders>
              <w:top w:val="single" w:color="000000" w:sz="2" w:space="0"/>
              <w:left w:val="single" w:color="000000" w:sz="2" w:space="0"/>
              <w:bottom w:val="single" w:color="000000" w:sz="2" w:space="0"/>
              <w:right w:val="single" w:color="000000" w:sz="2" w:space="0"/>
            </w:tcBorders>
            <w:noWrap w:val="0"/>
            <w:vAlign w:val="center"/>
          </w:tcPr>
          <w:p w14:paraId="5D5279A4">
            <w:pPr>
              <w:spacing w:line="360" w:lineRule="auto"/>
              <w:jc w:val="center"/>
              <w:rPr>
                <w:rFonts w:hint="eastAsia" w:ascii="宋体" w:hAnsi="宋体" w:eastAsia="宋体" w:cs="宋体"/>
                <w:color w:val="auto"/>
                <w:sz w:val="24"/>
                <w:highlight w:val="none"/>
              </w:rPr>
            </w:pPr>
          </w:p>
        </w:tc>
        <w:tc>
          <w:tcPr>
            <w:tcW w:w="2189" w:type="dxa"/>
            <w:tcBorders>
              <w:top w:val="single" w:color="000000" w:sz="2" w:space="0"/>
              <w:left w:val="single" w:color="000000" w:sz="2" w:space="0"/>
              <w:bottom w:val="single" w:color="000000" w:sz="2" w:space="0"/>
              <w:right w:val="single" w:color="000000" w:sz="2" w:space="0"/>
            </w:tcBorders>
            <w:noWrap w:val="0"/>
            <w:vAlign w:val="center"/>
          </w:tcPr>
          <w:p w14:paraId="567B4C1F">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 系 人</w:t>
            </w:r>
          </w:p>
        </w:tc>
        <w:tc>
          <w:tcPr>
            <w:tcW w:w="1911" w:type="dxa"/>
            <w:tcBorders>
              <w:top w:val="single" w:color="000000" w:sz="2" w:space="0"/>
              <w:left w:val="single" w:color="000000" w:sz="2" w:space="0"/>
              <w:bottom w:val="single" w:color="000000" w:sz="2" w:space="0"/>
            </w:tcBorders>
            <w:noWrap w:val="0"/>
            <w:vAlign w:val="center"/>
          </w:tcPr>
          <w:p w14:paraId="726897B2">
            <w:pPr>
              <w:spacing w:line="360" w:lineRule="auto"/>
              <w:jc w:val="center"/>
              <w:rPr>
                <w:rFonts w:hint="eastAsia" w:ascii="宋体" w:hAnsi="宋体" w:eastAsia="宋体" w:cs="宋体"/>
                <w:color w:val="auto"/>
                <w:spacing w:val="20"/>
                <w:sz w:val="24"/>
                <w:highlight w:val="none"/>
              </w:rPr>
            </w:pPr>
          </w:p>
        </w:tc>
      </w:tr>
      <w:tr w14:paraId="2E14C54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138" w:type="dxa"/>
            <w:tcBorders>
              <w:top w:val="single" w:color="000000" w:sz="2" w:space="0"/>
              <w:bottom w:val="single" w:color="000000" w:sz="2" w:space="0"/>
              <w:right w:val="single" w:color="000000" w:sz="2" w:space="0"/>
            </w:tcBorders>
            <w:noWrap w:val="0"/>
            <w:vAlign w:val="center"/>
          </w:tcPr>
          <w:p w14:paraId="4F20E5D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p>
        </w:tc>
        <w:tc>
          <w:tcPr>
            <w:tcW w:w="2160" w:type="dxa"/>
            <w:tcBorders>
              <w:top w:val="single" w:color="000000" w:sz="2" w:space="0"/>
              <w:left w:val="single" w:color="000000" w:sz="2" w:space="0"/>
              <w:bottom w:val="single" w:color="000000" w:sz="2" w:space="0"/>
              <w:right w:val="single" w:color="000000" w:sz="2" w:space="0"/>
            </w:tcBorders>
            <w:noWrap w:val="0"/>
            <w:vAlign w:val="center"/>
          </w:tcPr>
          <w:p w14:paraId="49F40F12">
            <w:pPr>
              <w:spacing w:line="360" w:lineRule="auto"/>
              <w:jc w:val="center"/>
              <w:rPr>
                <w:rFonts w:hint="eastAsia" w:ascii="宋体" w:hAnsi="宋体" w:eastAsia="宋体" w:cs="宋体"/>
                <w:color w:val="auto"/>
                <w:sz w:val="24"/>
                <w:highlight w:val="none"/>
              </w:rPr>
            </w:pPr>
          </w:p>
        </w:tc>
        <w:tc>
          <w:tcPr>
            <w:tcW w:w="2189" w:type="dxa"/>
            <w:tcBorders>
              <w:top w:val="single" w:color="000000" w:sz="2" w:space="0"/>
              <w:left w:val="single" w:color="000000" w:sz="2" w:space="0"/>
              <w:bottom w:val="single" w:color="000000" w:sz="2" w:space="0"/>
              <w:right w:val="single" w:color="000000" w:sz="2" w:space="0"/>
            </w:tcBorders>
            <w:noWrap w:val="0"/>
            <w:vAlign w:val="center"/>
          </w:tcPr>
          <w:p w14:paraId="6354378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p>
        </w:tc>
        <w:tc>
          <w:tcPr>
            <w:tcW w:w="1911" w:type="dxa"/>
            <w:tcBorders>
              <w:top w:val="single" w:color="000000" w:sz="2" w:space="0"/>
              <w:left w:val="single" w:color="000000" w:sz="2" w:space="0"/>
              <w:bottom w:val="single" w:color="000000" w:sz="2" w:space="0"/>
            </w:tcBorders>
            <w:noWrap w:val="0"/>
            <w:vAlign w:val="center"/>
          </w:tcPr>
          <w:p w14:paraId="7A444BEC">
            <w:pPr>
              <w:spacing w:line="360" w:lineRule="auto"/>
              <w:jc w:val="center"/>
              <w:rPr>
                <w:rFonts w:hint="eastAsia" w:ascii="宋体" w:hAnsi="宋体" w:eastAsia="宋体" w:cs="宋体"/>
                <w:color w:val="auto"/>
                <w:spacing w:val="20"/>
                <w:sz w:val="24"/>
                <w:highlight w:val="none"/>
              </w:rPr>
            </w:pPr>
          </w:p>
        </w:tc>
      </w:tr>
      <w:tr w14:paraId="27E2C7E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138" w:type="dxa"/>
            <w:tcBorders>
              <w:top w:val="single" w:color="000000" w:sz="2" w:space="0"/>
              <w:bottom w:val="single" w:color="000000" w:sz="2" w:space="0"/>
              <w:right w:val="single" w:color="000000" w:sz="2" w:space="0"/>
            </w:tcBorders>
            <w:noWrap w:val="0"/>
            <w:vAlign w:val="center"/>
          </w:tcPr>
          <w:p w14:paraId="4E8F3602">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通信地址</w:t>
            </w:r>
          </w:p>
        </w:tc>
        <w:tc>
          <w:tcPr>
            <w:tcW w:w="2160" w:type="dxa"/>
            <w:tcBorders>
              <w:top w:val="single" w:color="000000" w:sz="2" w:space="0"/>
              <w:left w:val="single" w:color="000000" w:sz="2" w:space="0"/>
              <w:bottom w:val="single" w:color="000000" w:sz="2" w:space="0"/>
              <w:right w:val="single" w:color="000000" w:sz="2" w:space="0"/>
            </w:tcBorders>
            <w:noWrap w:val="0"/>
            <w:vAlign w:val="center"/>
          </w:tcPr>
          <w:p w14:paraId="14191CC6">
            <w:pPr>
              <w:spacing w:line="360" w:lineRule="auto"/>
              <w:jc w:val="center"/>
              <w:rPr>
                <w:rFonts w:hint="eastAsia" w:ascii="宋体" w:hAnsi="宋体" w:eastAsia="宋体" w:cs="宋体"/>
                <w:color w:val="auto"/>
                <w:sz w:val="24"/>
                <w:highlight w:val="none"/>
              </w:rPr>
            </w:pPr>
          </w:p>
        </w:tc>
        <w:tc>
          <w:tcPr>
            <w:tcW w:w="2189" w:type="dxa"/>
            <w:tcBorders>
              <w:top w:val="single" w:color="000000" w:sz="2" w:space="0"/>
              <w:left w:val="single" w:color="000000" w:sz="2" w:space="0"/>
              <w:bottom w:val="single" w:color="000000" w:sz="2" w:space="0"/>
              <w:right w:val="single" w:color="000000" w:sz="2" w:space="0"/>
            </w:tcBorders>
            <w:noWrap w:val="0"/>
            <w:vAlign w:val="center"/>
          </w:tcPr>
          <w:p w14:paraId="36302B1F">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通信地址</w:t>
            </w:r>
          </w:p>
        </w:tc>
        <w:tc>
          <w:tcPr>
            <w:tcW w:w="1911" w:type="dxa"/>
            <w:tcBorders>
              <w:top w:val="single" w:color="000000" w:sz="2" w:space="0"/>
              <w:left w:val="single" w:color="000000" w:sz="2" w:space="0"/>
              <w:bottom w:val="single" w:color="000000" w:sz="2" w:space="0"/>
            </w:tcBorders>
            <w:noWrap w:val="0"/>
            <w:vAlign w:val="center"/>
          </w:tcPr>
          <w:p w14:paraId="08B0EBAC">
            <w:pPr>
              <w:spacing w:line="360" w:lineRule="auto"/>
              <w:jc w:val="center"/>
              <w:rPr>
                <w:rFonts w:hint="eastAsia" w:ascii="宋体" w:hAnsi="宋体" w:eastAsia="宋体" w:cs="宋体"/>
                <w:color w:val="auto"/>
                <w:spacing w:val="20"/>
                <w:sz w:val="24"/>
                <w:highlight w:val="none"/>
              </w:rPr>
            </w:pPr>
          </w:p>
        </w:tc>
      </w:tr>
      <w:tr w14:paraId="42E00AD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138" w:type="dxa"/>
            <w:tcBorders>
              <w:top w:val="single" w:color="000000" w:sz="2" w:space="0"/>
              <w:bottom w:val="single" w:color="000000" w:sz="2" w:space="0"/>
              <w:right w:val="single" w:color="000000" w:sz="2" w:space="0"/>
            </w:tcBorders>
            <w:noWrap w:val="0"/>
            <w:vAlign w:val="center"/>
          </w:tcPr>
          <w:p w14:paraId="1AE092F6">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邮政编码</w:t>
            </w:r>
          </w:p>
        </w:tc>
        <w:tc>
          <w:tcPr>
            <w:tcW w:w="2160" w:type="dxa"/>
            <w:tcBorders>
              <w:top w:val="single" w:color="000000" w:sz="2" w:space="0"/>
              <w:left w:val="single" w:color="000000" w:sz="2" w:space="0"/>
              <w:bottom w:val="single" w:color="000000" w:sz="2" w:space="0"/>
              <w:right w:val="single" w:color="000000" w:sz="2" w:space="0"/>
            </w:tcBorders>
            <w:noWrap w:val="0"/>
            <w:vAlign w:val="center"/>
          </w:tcPr>
          <w:p w14:paraId="5F304DE2">
            <w:pPr>
              <w:spacing w:line="360" w:lineRule="auto"/>
              <w:jc w:val="center"/>
              <w:rPr>
                <w:rFonts w:hint="eastAsia" w:ascii="宋体" w:hAnsi="宋体" w:eastAsia="宋体" w:cs="宋体"/>
                <w:color w:val="auto"/>
                <w:sz w:val="24"/>
                <w:highlight w:val="none"/>
              </w:rPr>
            </w:pPr>
          </w:p>
        </w:tc>
        <w:tc>
          <w:tcPr>
            <w:tcW w:w="2189" w:type="dxa"/>
            <w:tcBorders>
              <w:top w:val="single" w:color="000000" w:sz="2" w:space="0"/>
              <w:left w:val="single" w:color="000000" w:sz="2" w:space="0"/>
              <w:bottom w:val="single" w:color="000000" w:sz="2" w:space="0"/>
              <w:right w:val="single" w:color="000000" w:sz="2" w:space="0"/>
            </w:tcBorders>
            <w:noWrap w:val="0"/>
            <w:vAlign w:val="center"/>
          </w:tcPr>
          <w:p w14:paraId="117859D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邮政编码</w:t>
            </w:r>
          </w:p>
        </w:tc>
        <w:tc>
          <w:tcPr>
            <w:tcW w:w="1911" w:type="dxa"/>
            <w:tcBorders>
              <w:top w:val="single" w:color="000000" w:sz="2" w:space="0"/>
              <w:left w:val="single" w:color="000000" w:sz="2" w:space="0"/>
              <w:bottom w:val="single" w:color="000000" w:sz="2" w:space="0"/>
            </w:tcBorders>
            <w:noWrap w:val="0"/>
            <w:vAlign w:val="center"/>
          </w:tcPr>
          <w:p w14:paraId="504B3C0C">
            <w:pPr>
              <w:spacing w:line="360" w:lineRule="auto"/>
              <w:jc w:val="center"/>
              <w:rPr>
                <w:rFonts w:hint="eastAsia" w:ascii="宋体" w:hAnsi="宋体" w:eastAsia="宋体" w:cs="宋体"/>
                <w:color w:val="auto"/>
                <w:spacing w:val="20"/>
                <w:sz w:val="24"/>
                <w:highlight w:val="none"/>
              </w:rPr>
            </w:pPr>
          </w:p>
        </w:tc>
      </w:tr>
      <w:tr w14:paraId="7FDC832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138" w:type="dxa"/>
            <w:tcBorders>
              <w:top w:val="single" w:color="000000" w:sz="2" w:space="0"/>
              <w:bottom w:val="single" w:color="000000" w:sz="2" w:space="0"/>
              <w:right w:val="single" w:color="000000" w:sz="2" w:space="0"/>
            </w:tcBorders>
            <w:noWrap w:val="0"/>
            <w:vAlign w:val="center"/>
          </w:tcPr>
          <w:p w14:paraId="3D994836">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电子邮箱</w:t>
            </w:r>
          </w:p>
        </w:tc>
        <w:tc>
          <w:tcPr>
            <w:tcW w:w="2160" w:type="dxa"/>
            <w:tcBorders>
              <w:top w:val="single" w:color="000000" w:sz="2" w:space="0"/>
              <w:left w:val="single" w:color="000000" w:sz="2" w:space="0"/>
              <w:bottom w:val="single" w:color="000000" w:sz="2" w:space="0"/>
              <w:right w:val="single" w:color="000000" w:sz="2" w:space="0"/>
            </w:tcBorders>
            <w:noWrap w:val="0"/>
            <w:vAlign w:val="center"/>
          </w:tcPr>
          <w:p w14:paraId="4CC1DFCA">
            <w:pPr>
              <w:spacing w:line="360" w:lineRule="auto"/>
              <w:jc w:val="center"/>
              <w:rPr>
                <w:rFonts w:hint="eastAsia" w:ascii="宋体" w:hAnsi="宋体" w:eastAsia="宋体" w:cs="宋体"/>
                <w:color w:val="auto"/>
                <w:sz w:val="24"/>
                <w:highlight w:val="none"/>
              </w:rPr>
            </w:pPr>
          </w:p>
        </w:tc>
        <w:tc>
          <w:tcPr>
            <w:tcW w:w="2189" w:type="dxa"/>
            <w:tcBorders>
              <w:top w:val="single" w:color="000000" w:sz="2" w:space="0"/>
              <w:left w:val="single" w:color="000000" w:sz="2" w:space="0"/>
              <w:bottom w:val="single" w:color="000000" w:sz="2" w:space="0"/>
              <w:right w:val="single" w:color="000000" w:sz="2" w:space="0"/>
            </w:tcBorders>
            <w:noWrap w:val="0"/>
            <w:vAlign w:val="center"/>
          </w:tcPr>
          <w:p w14:paraId="0B19138A">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电子邮箱</w:t>
            </w:r>
          </w:p>
        </w:tc>
        <w:tc>
          <w:tcPr>
            <w:tcW w:w="1911" w:type="dxa"/>
            <w:tcBorders>
              <w:top w:val="single" w:color="000000" w:sz="2" w:space="0"/>
              <w:left w:val="single" w:color="000000" w:sz="2" w:space="0"/>
              <w:bottom w:val="single" w:color="000000" w:sz="2" w:space="0"/>
            </w:tcBorders>
            <w:noWrap w:val="0"/>
            <w:vAlign w:val="center"/>
          </w:tcPr>
          <w:p w14:paraId="486C0051">
            <w:pPr>
              <w:spacing w:line="360" w:lineRule="auto"/>
              <w:jc w:val="center"/>
              <w:rPr>
                <w:rFonts w:hint="eastAsia" w:ascii="宋体" w:hAnsi="宋体" w:eastAsia="宋体" w:cs="宋体"/>
                <w:color w:val="auto"/>
                <w:spacing w:val="20"/>
                <w:sz w:val="24"/>
                <w:highlight w:val="none"/>
              </w:rPr>
            </w:pPr>
          </w:p>
        </w:tc>
      </w:tr>
      <w:tr w14:paraId="49896B9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138" w:type="dxa"/>
            <w:tcBorders>
              <w:top w:val="single" w:color="000000" w:sz="2" w:space="0"/>
              <w:bottom w:val="single" w:color="000000" w:sz="2" w:space="0"/>
              <w:right w:val="single" w:color="000000" w:sz="2" w:space="0"/>
            </w:tcBorders>
            <w:noWrap w:val="0"/>
            <w:vAlign w:val="center"/>
          </w:tcPr>
          <w:p w14:paraId="658301A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统一社会信用代码</w:t>
            </w:r>
          </w:p>
        </w:tc>
        <w:tc>
          <w:tcPr>
            <w:tcW w:w="2160" w:type="dxa"/>
            <w:tcBorders>
              <w:top w:val="single" w:color="000000" w:sz="2" w:space="0"/>
              <w:left w:val="single" w:color="000000" w:sz="2" w:space="0"/>
              <w:bottom w:val="single" w:color="000000" w:sz="2" w:space="0"/>
              <w:right w:val="single" w:color="000000" w:sz="2" w:space="0"/>
            </w:tcBorders>
            <w:noWrap w:val="0"/>
            <w:vAlign w:val="center"/>
          </w:tcPr>
          <w:p w14:paraId="1B453F3C">
            <w:pPr>
              <w:spacing w:line="360" w:lineRule="auto"/>
              <w:jc w:val="center"/>
              <w:rPr>
                <w:rFonts w:hint="eastAsia" w:ascii="宋体" w:hAnsi="宋体" w:eastAsia="宋体" w:cs="宋体"/>
                <w:color w:val="auto"/>
                <w:sz w:val="24"/>
                <w:highlight w:val="none"/>
              </w:rPr>
            </w:pPr>
          </w:p>
        </w:tc>
        <w:tc>
          <w:tcPr>
            <w:tcW w:w="2189" w:type="dxa"/>
            <w:tcBorders>
              <w:top w:val="single" w:color="000000" w:sz="2" w:space="0"/>
              <w:left w:val="single" w:color="000000" w:sz="2" w:space="0"/>
              <w:bottom w:val="single" w:color="000000" w:sz="2" w:space="0"/>
              <w:right w:val="single" w:color="000000" w:sz="2" w:space="0"/>
            </w:tcBorders>
            <w:noWrap w:val="0"/>
            <w:vAlign w:val="center"/>
          </w:tcPr>
          <w:p w14:paraId="47BDC662">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统一社会信用代码</w:t>
            </w:r>
          </w:p>
        </w:tc>
        <w:tc>
          <w:tcPr>
            <w:tcW w:w="1911" w:type="dxa"/>
            <w:tcBorders>
              <w:top w:val="single" w:color="000000" w:sz="2" w:space="0"/>
              <w:left w:val="single" w:color="000000" w:sz="2" w:space="0"/>
              <w:bottom w:val="single" w:color="000000" w:sz="2" w:space="0"/>
            </w:tcBorders>
            <w:noWrap w:val="0"/>
            <w:vAlign w:val="center"/>
          </w:tcPr>
          <w:p w14:paraId="10BF89F4">
            <w:pPr>
              <w:spacing w:line="360" w:lineRule="auto"/>
              <w:jc w:val="center"/>
              <w:rPr>
                <w:rFonts w:hint="eastAsia" w:ascii="宋体" w:hAnsi="宋体" w:eastAsia="宋体" w:cs="宋体"/>
                <w:color w:val="auto"/>
                <w:spacing w:val="20"/>
                <w:sz w:val="24"/>
                <w:highlight w:val="none"/>
              </w:rPr>
            </w:pPr>
          </w:p>
        </w:tc>
      </w:tr>
      <w:tr w14:paraId="198561F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138" w:type="dxa"/>
            <w:tcBorders>
              <w:top w:val="single" w:color="000000" w:sz="2" w:space="0"/>
              <w:bottom w:val="single" w:color="000000" w:sz="2" w:space="0"/>
              <w:right w:val="single" w:color="000000" w:sz="2" w:space="0"/>
            </w:tcBorders>
            <w:noWrap w:val="0"/>
            <w:vAlign w:val="center"/>
          </w:tcPr>
          <w:p w14:paraId="0368E437">
            <w:pPr>
              <w:spacing w:line="360" w:lineRule="auto"/>
              <w:jc w:val="center"/>
              <w:rPr>
                <w:rFonts w:hint="eastAsia" w:ascii="宋体" w:hAnsi="宋体" w:eastAsia="宋体" w:cs="宋体"/>
                <w:color w:val="auto"/>
                <w:sz w:val="24"/>
                <w:highlight w:val="none"/>
              </w:rPr>
            </w:pPr>
          </w:p>
        </w:tc>
        <w:tc>
          <w:tcPr>
            <w:tcW w:w="2160" w:type="dxa"/>
            <w:tcBorders>
              <w:top w:val="single" w:color="000000" w:sz="2" w:space="0"/>
              <w:left w:val="single" w:color="000000" w:sz="2" w:space="0"/>
              <w:bottom w:val="single" w:color="000000" w:sz="2" w:space="0"/>
              <w:right w:val="single" w:color="000000" w:sz="2" w:space="0"/>
            </w:tcBorders>
            <w:noWrap w:val="0"/>
            <w:vAlign w:val="center"/>
          </w:tcPr>
          <w:p w14:paraId="55F229E9">
            <w:pPr>
              <w:spacing w:line="360" w:lineRule="auto"/>
              <w:jc w:val="center"/>
              <w:rPr>
                <w:rFonts w:hint="eastAsia" w:ascii="宋体" w:hAnsi="宋体" w:eastAsia="宋体" w:cs="宋体"/>
                <w:color w:val="auto"/>
                <w:sz w:val="24"/>
                <w:highlight w:val="none"/>
              </w:rPr>
            </w:pPr>
          </w:p>
        </w:tc>
        <w:tc>
          <w:tcPr>
            <w:tcW w:w="2189" w:type="dxa"/>
            <w:tcBorders>
              <w:top w:val="single" w:color="000000" w:sz="2" w:space="0"/>
              <w:left w:val="single" w:color="000000" w:sz="2" w:space="0"/>
              <w:bottom w:val="single" w:color="000000" w:sz="2" w:space="0"/>
              <w:right w:val="single" w:color="000000" w:sz="2" w:space="0"/>
            </w:tcBorders>
            <w:noWrap w:val="0"/>
            <w:vAlign w:val="center"/>
          </w:tcPr>
          <w:p w14:paraId="79F1714F">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开户名称</w:t>
            </w:r>
          </w:p>
        </w:tc>
        <w:tc>
          <w:tcPr>
            <w:tcW w:w="1911" w:type="dxa"/>
            <w:tcBorders>
              <w:top w:val="single" w:color="000000" w:sz="2" w:space="0"/>
              <w:left w:val="single" w:color="000000" w:sz="2" w:space="0"/>
              <w:bottom w:val="single" w:color="000000" w:sz="2" w:space="0"/>
            </w:tcBorders>
            <w:noWrap w:val="0"/>
            <w:vAlign w:val="center"/>
          </w:tcPr>
          <w:p w14:paraId="3EDA62F3">
            <w:pPr>
              <w:spacing w:line="360" w:lineRule="auto"/>
              <w:jc w:val="center"/>
              <w:rPr>
                <w:rFonts w:hint="eastAsia" w:ascii="宋体" w:hAnsi="宋体" w:eastAsia="宋体" w:cs="宋体"/>
                <w:color w:val="auto"/>
                <w:spacing w:val="20"/>
                <w:sz w:val="24"/>
                <w:highlight w:val="none"/>
              </w:rPr>
            </w:pPr>
          </w:p>
        </w:tc>
      </w:tr>
      <w:tr w14:paraId="6D7617D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138" w:type="dxa"/>
            <w:tcBorders>
              <w:top w:val="single" w:color="000000" w:sz="2" w:space="0"/>
              <w:bottom w:val="single" w:color="000000" w:sz="2" w:space="0"/>
              <w:right w:val="single" w:color="000000" w:sz="2" w:space="0"/>
            </w:tcBorders>
            <w:noWrap w:val="0"/>
            <w:vAlign w:val="center"/>
          </w:tcPr>
          <w:p w14:paraId="509D64A9">
            <w:pPr>
              <w:spacing w:line="360" w:lineRule="auto"/>
              <w:jc w:val="center"/>
              <w:rPr>
                <w:rFonts w:hint="eastAsia" w:ascii="宋体" w:hAnsi="宋体" w:eastAsia="宋体" w:cs="宋体"/>
                <w:color w:val="auto"/>
                <w:sz w:val="24"/>
                <w:highlight w:val="none"/>
              </w:rPr>
            </w:pPr>
          </w:p>
        </w:tc>
        <w:tc>
          <w:tcPr>
            <w:tcW w:w="2160" w:type="dxa"/>
            <w:tcBorders>
              <w:top w:val="single" w:color="000000" w:sz="2" w:space="0"/>
              <w:left w:val="single" w:color="000000" w:sz="2" w:space="0"/>
              <w:bottom w:val="single" w:color="000000" w:sz="2" w:space="0"/>
              <w:right w:val="single" w:color="000000" w:sz="2" w:space="0"/>
            </w:tcBorders>
            <w:noWrap w:val="0"/>
            <w:vAlign w:val="center"/>
          </w:tcPr>
          <w:p w14:paraId="7654F2C0">
            <w:pPr>
              <w:spacing w:line="360" w:lineRule="auto"/>
              <w:jc w:val="center"/>
              <w:rPr>
                <w:rFonts w:hint="eastAsia" w:ascii="宋体" w:hAnsi="宋体" w:eastAsia="宋体" w:cs="宋体"/>
                <w:color w:val="auto"/>
                <w:sz w:val="24"/>
                <w:highlight w:val="none"/>
              </w:rPr>
            </w:pPr>
          </w:p>
        </w:tc>
        <w:tc>
          <w:tcPr>
            <w:tcW w:w="2189" w:type="dxa"/>
            <w:tcBorders>
              <w:top w:val="single" w:color="000000" w:sz="2" w:space="0"/>
              <w:left w:val="single" w:color="000000" w:sz="2" w:space="0"/>
              <w:bottom w:val="single" w:color="000000" w:sz="2" w:space="0"/>
              <w:right w:val="single" w:color="000000" w:sz="2" w:space="0"/>
            </w:tcBorders>
            <w:noWrap w:val="0"/>
            <w:vAlign w:val="center"/>
          </w:tcPr>
          <w:p w14:paraId="4F93CCB8">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w:t>
            </w:r>
          </w:p>
        </w:tc>
        <w:tc>
          <w:tcPr>
            <w:tcW w:w="1911" w:type="dxa"/>
            <w:tcBorders>
              <w:top w:val="single" w:color="000000" w:sz="2" w:space="0"/>
              <w:left w:val="single" w:color="000000" w:sz="2" w:space="0"/>
              <w:bottom w:val="single" w:color="000000" w:sz="2" w:space="0"/>
            </w:tcBorders>
            <w:noWrap w:val="0"/>
            <w:vAlign w:val="center"/>
          </w:tcPr>
          <w:p w14:paraId="69B9D978">
            <w:pPr>
              <w:spacing w:line="360" w:lineRule="auto"/>
              <w:jc w:val="center"/>
              <w:rPr>
                <w:rFonts w:hint="eastAsia" w:ascii="宋体" w:hAnsi="宋体" w:eastAsia="宋体" w:cs="宋体"/>
                <w:color w:val="auto"/>
                <w:spacing w:val="20"/>
                <w:sz w:val="24"/>
                <w:highlight w:val="none"/>
              </w:rPr>
            </w:pPr>
          </w:p>
        </w:tc>
      </w:tr>
      <w:tr w14:paraId="67F4247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138" w:type="dxa"/>
            <w:tcBorders>
              <w:top w:val="single" w:color="000000" w:sz="2" w:space="0"/>
              <w:bottom w:val="single" w:color="000000" w:sz="2" w:space="0"/>
              <w:right w:val="single" w:color="000000" w:sz="2" w:space="0"/>
            </w:tcBorders>
            <w:noWrap w:val="0"/>
            <w:vAlign w:val="center"/>
          </w:tcPr>
          <w:p w14:paraId="1D1EB949">
            <w:pPr>
              <w:spacing w:line="360" w:lineRule="auto"/>
              <w:jc w:val="center"/>
              <w:rPr>
                <w:rFonts w:hint="eastAsia" w:ascii="宋体" w:hAnsi="宋体" w:eastAsia="宋体" w:cs="宋体"/>
                <w:color w:val="auto"/>
                <w:sz w:val="24"/>
                <w:highlight w:val="none"/>
              </w:rPr>
            </w:pPr>
          </w:p>
        </w:tc>
        <w:tc>
          <w:tcPr>
            <w:tcW w:w="2160" w:type="dxa"/>
            <w:tcBorders>
              <w:top w:val="single" w:color="000000" w:sz="2" w:space="0"/>
              <w:left w:val="single" w:color="000000" w:sz="2" w:space="0"/>
              <w:bottom w:val="single" w:color="000000" w:sz="2" w:space="0"/>
              <w:right w:val="single" w:color="000000" w:sz="2" w:space="0"/>
            </w:tcBorders>
            <w:noWrap w:val="0"/>
            <w:vAlign w:val="center"/>
          </w:tcPr>
          <w:p w14:paraId="5AE7FD5F">
            <w:pPr>
              <w:spacing w:line="360" w:lineRule="auto"/>
              <w:jc w:val="center"/>
              <w:rPr>
                <w:rFonts w:hint="eastAsia" w:ascii="宋体" w:hAnsi="宋体" w:eastAsia="宋体" w:cs="宋体"/>
                <w:color w:val="auto"/>
                <w:sz w:val="24"/>
                <w:highlight w:val="none"/>
              </w:rPr>
            </w:pPr>
          </w:p>
        </w:tc>
        <w:tc>
          <w:tcPr>
            <w:tcW w:w="2189" w:type="dxa"/>
            <w:tcBorders>
              <w:top w:val="single" w:color="000000" w:sz="2" w:space="0"/>
              <w:left w:val="single" w:color="000000" w:sz="2" w:space="0"/>
              <w:bottom w:val="single" w:color="000000" w:sz="2" w:space="0"/>
              <w:right w:val="single" w:color="000000" w:sz="2" w:space="0"/>
            </w:tcBorders>
            <w:noWrap w:val="0"/>
            <w:vAlign w:val="center"/>
          </w:tcPr>
          <w:p w14:paraId="5D0A22DA">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银行账号</w:t>
            </w:r>
          </w:p>
        </w:tc>
        <w:tc>
          <w:tcPr>
            <w:tcW w:w="1911" w:type="dxa"/>
            <w:tcBorders>
              <w:top w:val="single" w:color="000000" w:sz="2" w:space="0"/>
              <w:left w:val="single" w:color="000000" w:sz="2" w:space="0"/>
              <w:bottom w:val="single" w:color="000000" w:sz="2" w:space="0"/>
            </w:tcBorders>
            <w:noWrap w:val="0"/>
            <w:vAlign w:val="center"/>
          </w:tcPr>
          <w:p w14:paraId="64598AA4">
            <w:pPr>
              <w:spacing w:line="360" w:lineRule="auto"/>
              <w:jc w:val="center"/>
              <w:rPr>
                <w:rFonts w:hint="eastAsia" w:ascii="宋体" w:hAnsi="宋体" w:eastAsia="宋体" w:cs="宋体"/>
                <w:color w:val="auto"/>
                <w:spacing w:val="20"/>
                <w:sz w:val="24"/>
                <w:highlight w:val="none"/>
              </w:rPr>
            </w:pPr>
          </w:p>
        </w:tc>
      </w:tr>
      <w:tr w14:paraId="5586377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jc w:val="center"/>
        </w:trPr>
        <w:tc>
          <w:tcPr>
            <w:tcW w:w="8398" w:type="dxa"/>
            <w:gridSpan w:val="4"/>
            <w:tcBorders>
              <w:top w:val="single" w:color="000000" w:sz="2" w:space="0"/>
            </w:tcBorders>
            <w:noWrap w:val="0"/>
            <w:vAlign w:val="center"/>
          </w:tcPr>
          <w:p w14:paraId="1B96E0BE">
            <w:pPr>
              <w:spacing w:line="360" w:lineRule="auto"/>
              <w:jc w:val="left"/>
              <w:rPr>
                <w:rFonts w:hint="eastAsia" w:ascii="宋体" w:hAnsi="宋体" w:eastAsia="宋体" w:cs="宋体"/>
                <w:color w:val="auto"/>
                <w:spacing w:val="20"/>
                <w:sz w:val="24"/>
                <w:highlight w:val="none"/>
              </w:rPr>
            </w:pPr>
            <w:r>
              <w:rPr>
                <w:rFonts w:hint="eastAsia" w:ascii="宋体" w:hAnsi="宋体" w:eastAsia="宋体" w:cs="宋体"/>
                <w:color w:val="auto"/>
                <w:sz w:val="24"/>
                <w:highlight w:val="none"/>
              </w:rPr>
              <w:t>注：涉及联合体或其他合同主体的信息应按上表格式加列。</w:t>
            </w:r>
          </w:p>
        </w:tc>
      </w:tr>
    </w:tbl>
    <w:p w14:paraId="3324D5DC">
      <w:pPr>
        <w:pStyle w:val="2"/>
        <w:spacing w:before="156"/>
        <w:jc w:val="center"/>
        <w:rPr>
          <w:rFonts w:hint="eastAsia" w:ascii="宋体" w:hAnsi="宋体" w:eastAsia="宋体" w:cs="宋体"/>
          <w:color w:val="auto"/>
          <w:sz w:val="28"/>
          <w:szCs w:val="28"/>
          <w:highlight w:val="none"/>
        </w:rPr>
      </w:pPr>
      <w:r>
        <w:rPr>
          <w:rFonts w:hint="eastAsia" w:ascii="宋体" w:hAnsi="宋体" w:eastAsia="宋体" w:cs="宋体"/>
          <w:color w:val="auto"/>
          <w:highlight w:val="none"/>
          <w:u w:val="single"/>
        </w:rPr>
        <w:br w:type="page" w:clear="all"/>
      </w:r>
      <w:bookmarkStart w:id="172" w:name="_Toc27624"/>
      <w:bookmarkStart w:id="173" w:name="_Toc20313"/>
      <w:r>
        <w:rPr>
          <w:rFonts w:hint="eastAsia" w:ascii="宋体" w:hAnsi="宋体" w:eastAsia="宋体" w:cs="宋体"/>
          <w:b w:val="0"/>
          <w:bCs w:val="0"/>
          <w:color w:val="auto"/>
          <w:sz w:val="28"/>
          <w:szCs w:val="28"/>
          <w:highlight w:val="none"/>
        </w:rPr>
        <w:t>第二节 政府采购合同通用条款</w:t>
      </w:r>
      <w:bookmarkEnd w:id="172"/>
    </w:p>
    <w:p w14:paraId="0FA06F2C">
      <w:pPr>
        <w:tabs>
          <w:tab w:val="left" w:pos="8820"/>
          <w:tab w:val="left" w:pos="9345"/>
          <w:tab w:val="left" w:pos="9765"/>
        </w:tabs>
        <w:spacing w:line="480" w:lineRule="exact"/>
        <w:ind w:firstLine="482"/>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1.</w:t>
      </w:r>
      <w:r>
        <w:rPr>
          <w:rFonts w:hint="eastAsia" w:ascii="宋体" w:hAnsi="宋体" w:eastAsia="宋体" w:cs="宋体"/>
          <w:b/>
          <w:bCs/>
          <w:color w:val="auto"/>
          <w:sz w:val="24"/>
          <w:highlight w:val="none"/>
        </w:rPr>
        <w:t>定义</w:t>
      </w:r>
    </w:p>
    <w:p w14:paraId="12E28B19">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1.1合同当事人</w:t>
      </w:r>
    </w:p>
    <w:p w14:paraId="0FC949B4">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（1）采购人（以下称甲方）是指使用财政性资金，通过政府采购方式向供应商购买货物及其相关服务的国家机关、事业单位、团体组织。</w:t>
      </w:r>
    </w:p>
    <w:p w14:paraId="0C765D12">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（2）供应商（以下称乙方）是指参加政府采购活动并且中标（成交），向采购人提供合同约定的货物及其相关服务的法人、非法人组织或者自然人。</w:t>
      </w:r>
    </w:p>
    <w:p w14:paraId="5BF17C7C">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（3）其他合同主体是指除采购人和供应商以外，</w:t>
      </w:r>
      <w:r>
        <w:rPr>
          <w:rFonts w:hint="eastAsia" w:ascii="宋体" w:hAnsi="宋体" w:eastAsia="宋体" w:cs="宋体"/>
          <w:bCs/>
          <w:color w:val="auto"/>
          <w:sz w:val="24"/>
          <w:highlight w:val="none"/>
        </w:rPr>
        <w:t>依法参与合同缔结或履行，享有权利、承担义务的合同当事人</w:t>
      </w:r>
      <w:r>
        <w:rPr>
          <w:rFonts w:hint="eastAsia" w:ascii="宋体" w:hAnsi="宋体" w:eastAsia="宋体" w:cs="宋体"/>
          <w:color w:val="auto"/>
          <w:sz w:val="24"/>
          <w:highlight w:val="none"/>
        </w:rPr>
        <w:t>。</w:t>
      </w:r>
    </w:p>
    <w:p w14:paraId="2F329F05">
      <w:pPr>
        <w:tabs>
          <w:tab w:val="left" w:pos="570"/>
          <w:tab w:val="left" w:pos="9240"/>
          <w:tab w:val="left" w:pos="9555"/>
        </w:tabs>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1.2本合同下列术语应解释为：</w:t>
      </w:r>
    </w:p>
    <w:p w14:paraId="62524148">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（1）“合同”系指</w:t>
      </w:r>
      <w:r>
        <w:rPr>
          <w:rFonts w:hint="eastAsia" w:ascii="宋体" w:hAnsi="宋体" w:eastAsia="宋体" w:cs="宋体"/>
          <w:bCs/>
          <w:color w:val="auto"/>
          <w:sz w:val="24"/>
          <w:highlight w:val="none"/>
        </w:rPr>
        <w:t>合同当事人意思表示达成一致的任何协议，包括签署的</w:t>
      </w:r>
      <w:r>
        <w:rPr>
          <w:rFonts w:hint="eastAsia" w:ascii="宋体" w:hAnsi="宋体" w:eastAsia="宋体" w:cs="宋体"/>
          <w:color w:val="auto"/>
          <w:sz w:val="24"/>
          <w:highlight w:val="none"/>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5D4DE96C">
      <w:pPr>
        <w:tabs>
          <w:tab w:val="left" w:pos="570"/>
          <w:tab w:val="left" w:pos="9240"/>
          <w:tab w:val="left" w:pos="9555"/>
        </w:tabs>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（2）“合同价款”系指根据本合同规定乙方在全面履行合同义务后甲方应支付给乙方的价款。</w:t>
      </w:r>
    </w:p>
    <w:p w14:paraId="21245EF7">
      <w:pPr>
        <w:tabs>
          <w:tab w:val="left" w:pos="570"/>
          <w:tab w:val="left" w:pos="9240"/>
          <w:tab w:val="left" w:pos="9555"/>
        </w:tabs>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（3）“货物”系指乙方根据本合同规定须向甲方提供的各种形态和种类的物品，包括原材料、设备、产品（包括软件）及相关的</w:t>
      </w:r>
      <w:r>
        <w:rPr>
          <w:rFonts w:hint="eastAsia" w:ascii="宋体" w:hAnsi="宋体" w:eastAsia="宋体" w:cs="宋体"/>
          <w:color w:val="auto"/>
          <w:sz w:val="24"/>
          <w:highlight w:val="none"/>
          <w:lang w:eastAsia="zh-CN"/>
        </w:rPr>
        <w:t>其他</w:t>
      </w:r>
      <w:r>
        <w:rPr>
          <w:rFonts w:hint="eastAsia" w:ascii="宋体" w:hAnsi="宋体" w:eastAsia="宋体" w:cs="宋体"/>
          <w:color w:val="auto"/>
          <w:sz w:val="24"/>
          <w:highlight w:val="none"/>
        </w:rPr>
        <w:t>备品备件、工具、手册及</w:t>
      </w:r>
      <w:r>
        <w:rPr>
          <w:rFonts w:hint="eastAsia" w:ascii="宋体" w:hAnsi="宋体" w:eastAsia="宋体" w:cs="宋体"/>
          <w:color w:val="auto"/>
          <w:sz w:val="24"/>
          <w:highlight w:val="none"/>
          <w:lang w:val="en"/>
        </w:rPr>
        <w:t>其他</w:t>
      </w:r>
      <w:r>
        <w:rPr>
          <w:rFonts w:hint="eastAsia" w:ascii="宋体" w:hAnsi="宋体" w:eastAsia="宋体" w:cs="宋体"/>
          <w:color w:val="auto"/>
          <w:sz w:val="24"/>
          <w:highlight w:val="none"/>
        </w:rPr>
        <w:t>技术资料和材料等。</w:t>
      </w:r>
    </w:p>
    <w:p w14:paraId="6B3B4860">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（4）“相关服务”系指根据合同规定，乙方应提供的与货物有关的技术、管理和</w:t>
      </w:r>
      <w:r>
        <w:rPr>
          <w:rFonts w:hint="eastAsia" w:ascii="宋体" w:hAnsi="宋体" w:eastAsia="宋体" w:cs="宋体"/>
          <w:color w:val="auto"/>
          <w:sz w:val="24"/>
          <w:highlight w:val="none"/>
          <w:lang w:val="en"/>
        </w:rPr>
        <w:t>其他</w:t>
      </w:r>
      <w:r>
        <w:rPr>
          <w:rFonts w:hint="eastAsia" w:ascii="宋体" w:hAnsi="宋体" w:eastAsia="宋体" w:cs="宋体"/>
          <w:color w:val="auto"/>
          <w:sz w:val="24"/>
          <w:highlight w:val="none"/>
        </w:rPr>
        <w:t>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highlight w:val="none"/>
          <w:lang w:val="en"/>
        </w:rPr>
        <w:t>其他</w:t>
      </w:r>
      <w:r>
        <w:rPr>
          <w:rFonts w:hint="eastAsia" w:ascii="宋体" w:hAnsi="宋体" w:eastAsia="宋体" w:cs="宋体"/>
          <w:color w:val="auto"/>
          <w:sz w:val="24"/>
          <w:highlight w:val="none"/>
        </w:rPr>
        <w:t>义务。</w:t>
      </w:r>
    </w:p>
    <w:p w14:paraId="0F0B0872">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（5）“分包”系指中标（成交）供应商按采购文件、投标（响应）文件的规定，根据分包意向协议，将中标（成交）项目中的部分履约内容，分给具有相应资质条件的供应商履行合同的行为。</w:t>
      </w:r>
    </w:p>
    <w:p w14:paraId="1D1D9D9B">
      <w:pPr>
        <w:tabs>
          <w:tab w:val="left" w:pos="570"/>
          <w:tab w:val="left" w:pos="9240"/>
          <w:tab w:val="left" w:pos="9555"/>
        </w:tabs>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highlight w:val="none"/>
        </w:rPr>
        <w:t>政府采购合同专用条款</w:t>
      </w:r>
      <w:r>
        <w:rPr>
          <w:rFonts w:hint="eastAsia" w:ascii="宋体" w:hAnsi="宋体" w:eastAsia="宋体" w:cs="宋体"/>
          <w:color w:val="auto"/>
          <w:sz w:val="24"/>
          <w:highlight w:val="none"/>
        </w:rPr>
        <w:t>】。</w:t>
      </w:r>
    </w:p>
    <w:p w14:paraId="57E6364B">
      <w:pPr>
        <w:tabs>
          <w:tab w:val="left" w:pos="570"/>
          <w:tab w:val="left" w:pos="9240"/>
          <w:tab w:val="left" w:pos="9555"/>
        </w:tabs>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（7）其他术语解释，见【</w:t>
      </w:r>
      <w:r>
        <w:rPr>
          <w:rFonts w:hint="eastAsia" w:ascii="宋体" w:hAnsi="宋体" w:eastAsia="宋体" w:cs="宋体"/>
          <w:b/>
          <w:bCs/>
          <w:color w:val="auto"/>
          <w:sz w:val="24"/>
          <w:highlight w:val="none"/>
        </w:rPr>
        <w:t>政府采购合同专用条款</w:t>
      </w:r>
      <w:r>
        <w:rPr>
          <w:rFonts w:hint="eastAsia" w:ascii="宋体" w:hAnsi="宋体" w:eastAsia="宋体" w:cs="宋体"/>
          <w:color w:val="auto"/>
          <w:sz w:val="24"/>
          <w:highlight w:val="none"/>
        </w:rPr>
        <w:t>】。</w:t>
      </w:r>
    </w:p>
    <w:p w14:paraId="3B1B5941">
      <w:pPr>
        <w:spacing w:line="48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w:t>
      </w:r>
      <w:r>
        <w:rPr>
          <w:rFonts w:hint="eastAsia" w:ascii="宋体" w:hAnsi="宋体" w:eastAsia="宋体" w:cs="宋体"/>
          <w:b/>
          <w:color w:val="auto"/>
          <w:sz w:val="24"/>
          <w:highlight w:val="none"/>
        </w:rPr>
        <w:t>合同标的及金额</w:t>
      </w:r>
    </w:p>
    <w:p w14:paraId="5F680479">
      <w:pPr>
        <w:spacing w:line="480" w:lineRule="exact"/>
        <w:ind w:firstLine="480"/>
        <w:jc w:val="left"/>
        <w:rPr>
          <w:rFonts w:hint="eastAsia" w:ascii="宋体" w:hAnsi="宋体" w:eastAsia="宋体" w:cs="宋体"/>
          <w:b/>
          <w:bCs/>
          <w:i/>
          <w:iCs/>
          <w:color w:val="auto"/>
          <w:sz w:val="24"/>
          <w:highlight w:val="none"/>
        </w:rPr>
      </w:pPr>
      <w:r>
        <w:rPr>
          <w:rFonts w:hint="eastAsia" w:ascii="宋体" w:hAnsi="宋体" w:eastAsia="宋体" w:cs="宋体"/>
          <w:color w:val="auto"/>
          <w:sz w:val="24"/>
          <w:highlight w:val="none"/>
        </w:rPr>
        <w:t>2.1 合同标的及金额应与中标（成交）结果一致。乙方为履行本合同而发生的所有费用均应包含在合同价款中，甲方不再另行支付</w:t>
      </w:r>
      <w:r>
        <w:rPr>
          <w:rFonts w:hint="eastAsia" w:ascii="宋体" w:hAnsi="宋体" w:eastAsia="宋体" w:cs="宋体"/>
          <w:color w:val="auto"/>
          <w:sz w:val="24"/>
          <w:highlight w:val="none"/>
          <w:lang w:val="en"/>
        </w:rPr>
        <w:t>其他</w:t>
      </w:r>
      <w:r>
        <w:rPr>
          <w:rFonts w:hint="eastAsia" w:ascii="宋体" w:hAnsi="宋体" w:eastAsia="宋体" w:cs="宋体"/>
          <w:color w:val="auto"/>
          <w:sz w:val="24"/>
          <w:highlight w:val="none"/>
        </w:rPr>
        <w:t>任何费用。</w:t>
      </w:r>
    </w:p>
    <w:p w14:paraId="52A71844">
      <w:pPr>
        <w:spacing w:line="48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 履行合同的时间、地点和方式</w:t>
      </w:r>
    </w:p>
    <w:p w14:paraId="5755C668">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3.1 乙方应当在约定的时间、地点，按照约定方式履行合同。</w:t>
      </w:r>
    </w:p>
    <w:p w14:paraId="755AA694">
      <w:pPr>
        <w:spacing w:line="48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 甲方的权利和义务</w:t>
      </w:r>
    </w:p>
    <w:p w14:paraId="0F794BE6">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2F87314F">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4.2 甲方有权要求乙方按时提交各阶段有关安排计划，并有权定期核对乙方提供货物数量、规格、质量等内容。甲方有权督促乙方工作并要求乙方更换不符合要求的货物。</w:t>
      </w:r>
    </w:p>
    <w:p w14:paraId="47B6EDE7">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4.3 甲方有权要求乙方对缺陷部分予以修复，并按合同约定享有货物保修及其他合同约定的权利。</w:t>
      </w:r>
    </w:p>
    <w:p w14:paraId="52385ECC">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4.4 甲方应当按照合同约定及时对交付的货物进行验收，未在</w:t>
      </w:r>
      <w:r>
        <w:rPr>
          <w:rFonts w:hint="eastAsia" w:ascii="宋体" w:hAnsi="宋体" w:eastAsia="宋体" w:cs="宋体"/>
          <w:b/>
          <w:bCs/>
          <w:color w:val="auto"/>
          <w:sz w:val="24"/>
          <w:highlight w:val="none"/>
        </w:rPr>
        <w:t>【政府采购合同专用条款】</w:t>
      </w:r>
      <w:r>
        <w:rPr>
          <w:rFonts w:hint="eastAsia" w:ascii="宋体" w:hAnsi="宋体" w:eastAsia="宋体" w:cs="宋体"/>
          <w:color w:val="auto"/>
          <w:sz w:val="24"/>
          <w:highlight w:val="none"/>
        </w:rPr>
        <w:t>约定的期限内对乙方履约提出任何异议或者向乙方作出任何说明的，视为验收通过。</w:t>
      </w:r>
    </w:p>
    <w:p w14:paraId="34904042">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4.5 甲方应当根据合同约定及时向乙方支付合同价款，不得以内部人员变更、履行内部付款流程等为由，拒绝或迟延支付。</w:t>
      </w:r>
    </w:p>
    <w:p w14:paraId="09B9EDBD">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4.6 国家法律法规规定及</w:t>
      </w:r>
      <w:r>
        <w:rPr>
          <w:rFonts w:hint="eastAsia" w:ascii="宋体" w:hAnsi="宋体" w:eastAsia="宋体" w:cs="宋体"/>
          <w:b/>
          <w:bCs/>
          <w:color w:val="auto"/>
          <w:sz w:val="24"/>
          <w:highlight w:val="none"/>
        </w:rPr>
        <w:t>【政府采购合同专用条款】</w:t>
      </w:r>
      <w:r>
        <w:rPr>
          <w:rFonts w:hint="eastAsia" w:ascii="宋体" w:hAnsi="宋体" w:eastAsia="宋体" w:cs="宋体"/>
          <w:color w:val="auto"/>
          <w:sz w:val="24"/>
          <w:highlight w:val="none"/>
        </w:rPr>
        <w:t>约定应由甲方承担的其他义务和责任。</w:t>
      </w:r>
    </w:p>
    <w:p w14:paraId="79691144">
      <w:pPr>
        <w:spacing w:line="48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5. 乙方的权利和义务</w:t>
      </w:r>
    </w:p>
    <w:p w14:paraId="6A8280EE">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5.1 签署合同后，乙方应确定项目负责人（或项目联系人），负责与本合同有关的事务。</w:t>
      </w:r>
    </w:p>
    <w:p w14:paraId="51E517CB">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6EBB60B1">
      <w:pPr>
        <w:pStyle w:val="14"/>
        <w:spacing w:after="0"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5.3乙方有权根据合同约定向甲方收取合同价款。</w:t>
      </w:r>
    </w:p>
    <w:p w14:paraId="3EBC8AB7">
      <w:pPr>
        <w:pStyle w:val="14"/>
        <w:spacing w:after="0"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5.4国家法律法规规定及</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约定应由乙方承担的其他义务和责任。</w:t>
      </w:r>
    </w:p>
    <w:p w14:paraId="155ACD47">
      <w:pPr>
        <w:numPr>
          <w:ilvl w:val="0"/>
          <w:numId w:val="0"/>
        </w:numPr>
        <w:spacing w:line="480" w:lineRule="exact"/>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lang w:val="en-US" w:eastAsia="zh-CN" w:bidi="ar-SA"/>
        </w:rPr>
        <w:t>6.</w:t>
      </w:r>
      <w:r>
        <w:rPr>
          <w:rFonts w:hint="eastAsia" w:ascii="宋体" w:hAnsi="宋体" w:eastAsia="宋体" w:cs="宋体"/>
          <w:b/>
          <w:bCs/>
          <w:color w:val="auto"/>
          <w:sz w:val="24"/>
          <w:highlight w:val="none"/>
        </w:rPr>
        <w:t>合同履行</w:t>
      </w:r>
    </w:p>
    <w:p w14:paraId="6DDB1479">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6.1 甲乙双方应当按照</w:t>
      </w:r>
      <w:r>
        <w:rPr>
          <w:rFonts w:hint="eastAsia" w:ascii="宋体" w:hAnsi="宋体" w:eastAsia="宋体" w:cs="宋体"/>
          <w:b/>
          <w:bCs/>
          <w:color w:val="auto"/>
          <w:sz w:val="24"/>
          <w:highlight w:val="none"/>
        </w:rPr>
        <w:t>【政府采购合同专用条款】</w:t>
      </w:r>
      <w:r>
        <w:rPr>
          <w:rFonts w:hint="eastAsia" w:ascii="宋体" w:hAnsi="宋体" w:eastAsia="宋体" w:cs="宋体"/>
          <w:color w:val="auto"/>
          <w:sz w:val="24"/>
          <w:highlight w:val="none"/>
        </w:rPr>
        <w:t>约定顺序履行合同义务；如果没有先后顺序的，应当同时履行。</w:t>
      </w:r>
    </w:p>
    <w:p w14:paraId="0ACD6DC5">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6.2 甲乙双方按照合同约定顺序履行合同义务时，应当先履行一方未履行的，后履行一方有权拒绝其履行请求。先履行一方履行不符合约定的，后履行一方有权拒绝其相应的履行请求。</w:t>
      </w:r>
    </w:p>
    <w:p w14:paraId="2D15836F">
      <w:pPr>
        <w:spacing w:line="48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7. 货物包装、运输、保险和交付要求</w:t>
      </w:r>
    </w:p>
    <w:p w14:paraId="3ECC915B">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7.1 本合同</w:t>
      </w:r>
      <w:r>
        <w:rPr>
          <w:rFonts w:hint="eastAsia" w:ascii="宋体" w:hAnsi="宋体" w:eastAsia="宋体" w:cs="宋体"/>
          <w:bCs/>
          <w:color w:val="auto"/>
          <w:sz w:val="24"/>
          <w:highlight w:val="none"/>
        </w:rPr>
        <w:t>涉及商品包装、快递包装的，</w:t>
      </w:r>
      <w:r>
        <w:rPr>
          <w:rFonts w:hint="eastAsia" w:ascii="宋体" w:hAnsi="宋体" w:eastAsia="宋体" w:cs="宋体"/>
          <w:color w:val="auto"/>
          <w:sz w:val="24"/>
          <w:highlight w:val="none"/>
        </w:rPr>
        <w:t>除</w:t>
      </w:r>
      <w:r>
        <w:rPr>
          <w:rFonts w:hint="eastAsia" w:ascii="宋体" w:hAnsi="宋体" w:eastAsia="宋体" w:cs="宋体"/>
          <w:b/>
          <w:color w:val="auto"/>
          <w:sz w:val="24"/>
          <w:highlight w:val="none"/>
        </w:rPr>
        <w:t>【政府采购合同专用条款】</w:t>
      </w:r>
      <w:r>
        <w:rPr>
          <w:rFonts w:hint="eastAsia" w:ascii="宋体" w:hAnsi="宋体" w:eastAsia="宋体" w:cs="宋体"/>
          <w:bCs/>
          <w:color w:val="auto"/>
          <w:sz w:val="24"/>
          <w:highlight w:val="none"/>
        </w:rPr>
        <w:t>另有约定外，</w:t>
      </w:r>
      <w:r>
        <w:rPr>
          <w:rFonts w:hint="eastAsia" w:ascii="宋体" w:hAnsi="宋体" w:eastAsia="宋体" w:cs="宋体"/>
          <w:color w:val="auto"/>
          <w:sz w:val="24"/>
          <w:highlight w:val="none"/>
        </w:rPr>
        <w:t>包装应适应远距离运输、防潮、防震、防锈和防野蛮装卸等要求，确保货物安全无损地运抵</w:t>
      </w:r>
      <w:r>
        <w:rPr>
          <w:rFonts w:hint="eastAsia" w:ascii="宋体" w:hAnsi="宋体" w:eastAsia="宋体" w:cs="宋体"/>
          <w:b/>
          <w:color w:val="auto"/>
          <w:sz w:val="24"/>
          <w:highlight w:val="none"/>
        </w:rPr>
        <w:t>【政府采购合同专用条款】</w:t>
      </w:r>
      <w:r>
        <w:rPr>
          <w:rFonts w:hint="eastAsia" w:ascii="宋体" w:hAnsi="宋体" w:eastAsia="宋体" w:cs="宋体"/>
          <w:bCs/>
          <w:color w:val="auto"/>
          <w:sz w:val="24"/>
          <w:highlight w:val="none"/>
        </w:rPr>
        <w:t>约定的</w:t>
      </w:r>
      <w:r>
        <w:rPr>
          <w:rFonts w:hint="eastAsia" w:ascii="宋体" w:hAnsi="宋体" w:eastAsia="宋体" w:cs="宋体"/>
          <w:color w:val="auto"/>
          <w:sz w:val="24"/>
          <w:highlight w:val="none"/>
        </w:rPr>
        <w:t>指定现场。</w:t>
      </w:r>
    </w:p>
    <w:p w14:paraId="646AE886">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7.2 除</w:t>
      </w:r>
      <w:r>
        <w:rPr>
          <w:rFonts w:hint="eastAsia" w:ascii="宋体" w:hAnsi="宋体" w:eastAsia="宋体" w:cs="宋体"/>
          <w:b/>
          <w:color w:val="auto"/>
          <w:sz w:val="24"/>
          <w:highlight w:val="none"/>
        </w:rPr>
        <w:t>【政府采购合同专用条款】</w:t>
      </w:r>
      <w:r>
        <w:rPr>
          <w:rFonts w:hint="eastAsia" w:ascii="宋体" w:hAnsi="宋体" w:eastAsia="宋体" w:cs="宋体"/>
          <w:bCs/>
          <w:color w:val="auto"/>
          <w:sz w:val="24"/>
          <w:highlight w:val="none"/>
        </w:rPr>
        <w:t>另有约定外，</w:t>
      </w:r>
      <w:r>
        <w:rPr>
          <w:rFonts w:hint="eastAsia" w:ascii="宋体" w:hAnsi="宋体" w:eastAsia="宋体" w:cs="宋体"/>
          <w:color w:val="auto"/>
          <w:sz w:val="24"/>
          <w:highlight w:val="none"/>
        </w:rPr>
        <w:t>乙方负责办理将货物运抵本合同规定的交货地点，并装卸、交付至甲方的一切运输事项，相关费用应包含在合同价款中。</w:t>
      </w:r>
    </w:p>
    <w:p w14:paraId="769F9AE3">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7.3 货物保险要求按</w:t>
      </w:r>
      <w:r>
        <w:rPr>
          <w:rFonts w:hint="eastAsia" w:ascii="宋体" w:hAnsi="宋体" w:eastAsia="宋体" w:cs="宋体"/>
          <w:b/>
          <w:color w:val="auto"/>
          <w:sz w:val="24"/>
          <w:highlight w:val="none"/>
        </w:rPr>
        <w:t>【政府采购合同专用条款】</w:t>
      </w:r>
      <w:r>
        <w:rPr>
          <w:rFonts w:hint="eastAsia" w:ascii="宋体" w:hAnsi="宋体" w:eastAsia="宋体" w:cs="宋体"/>
          <w:bCs/>
          <w:color w:val="auto"/>
          <w:sz w:val="24"/>
          <w:highlight w:val="none"/>
        </w:rPr>
        <w:t>规定执行</w:t>
      </w:r>
      <w:r>
        <w:rPr>
          <w:rFonts w:hint="eastAsia" w:ascii="宋体" w:hAnsi="宋体" w:eastAsia="宋体" w:cs="宋体"/>
          <w:color w:val="auto"/>
          <w:sz w:val="24"/>
          <w:highlight w:val="none"/>
        </w:rPr>
        <w:t>。</w:t>
      </w:r>
    </w:p>
    <w:p w14:paraId="11A827C5">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p>
    <w:p w14:paraId="5AADA12B">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7.5 乙方在运输到达之前应提前通知甲方，并提示货物运输装卸的注意事项，甲方配合乙方做好货物的接收工作。</w:t>
      </w:r>
    </w:p>
    <w:p w14:paraId="3BEDAC79">
      <w:pPr>
        <w:pStyle w:val="198"/>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7.6 如因包装、运输问题导致货物损毁、丢失或者品质下降，甲方有权要求降价、换货、拒收部分或整批货物，由此产生的费用和损失，均由乙方承担。</w:t>
      </w:r>
    </w:p>
    <w:p w14:paraId="1972F625">
      <w:pPr>
        <w:spacing w:line="48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8. 质量标准和保证</w:t>
      </w:r>
    </w:p>
    <w:p w14:paraId="703463BE">
      <w:pPr>
        <w:pStyle w:val="19"/>
        <w:spacing w:line="480" w:lineRule="exact"/>
        <w:ind w:firstLine="48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8.1 质量标准</w:t>
      </w:r>
    </w:p>
    <w:p w14:paraId="755F5C0A">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9905A12">
      <w:pPr>
        <w:pStyle w:val="19"/>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（2）采用中华人民共和国法定计量单位。</w:t>
      </w:r>
    </w:p>
    <w:p w14:paraId="50BEE53B">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（3）乙方所提供的货物应符合国家有关安全、环保、卫生的规定。</w:t>
      </w:r>
    </w:p>
    <w:p w14:paraId="68C37AE9">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（4）乙方应向甲方提交所提供货物的技术文件，包括相应的中文技术文件，如：产品目录、图纸、操作手册、使用说明、维护手册或服务指南等。上述文件应包装好随货物一同发运。</w:t>
      </w:r>
    </w:p>
    <w:p w14:paraId="041F32D7">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8.2 保证</w:t>
      </w:r>
    </w:p>
    <w:p w14:paraId="5390CEE0">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4"/>
          <w:highlight w:val="none"/>
        </w:rPr>
        <w:t>【政府采购合同专用条款】</w:t>
      </w:r>
      <w:r>
        <w:rPr>
          <w:rFonts w:hint="eastAsia" w:ascii="宋体" w:hAnsi="宋体" w:eastAsia="宋体" w:cs="宋体"/>
          <w:color w:val="auto"/>
          <w:sz w:val="24"/>
          <w:highlight w:val="none"/>
        </w:rPr>
        <w:t>规定或乙方书面承诺（两者以较长的为准）的质量保证期内，本保证保持有效。</w:t>
      </w:r>
    </w:p>
    <w:p w14:paraId="0B868493">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（2）在质量保证期内所发现的缺陷，甲方应尽快以书面形式通知乙方。</w:t>
      </w:r>
    </w:p>
    <w:p w14:paraId="4C4BA1F7">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（3）乙方收到通知后，应在</w:t>
      </w:r>
      <w:r>
        <w:rPr>
          <w:rFonts w:hint="eastAsia" w:ascii="宋体" w:hAnsi="宋体" w:eastAsia="宋体" w:cs="宋体"/>
          <w:b/>
          <w:color w:val="auto"/>
          <w:sz w:val="24"/>
          <w:highlight w:val="none"/>
        </w:rPr>
        <w:t>【政府采购合同专用条款】</w:t>
      </w:r>
      <w:r>
        <w:rPr>
          <w:rFonts w:hint="eastAsia" w:ascii="宋体" w:hAnsi="宋体" w:eastAsia="宋体" w:cs="宋体"/>
          <w:color w:val="auto"/>
          <w:sz w:val="24"/>
          <w:highlight w:val="none"/>
        </w:rPr>
        <w:t>规定的响应时间内以合理的速度免费维修或更换有缺陷的货物或部件。</w:t>
      </w:r>
    </w:p>
    <w:p w14:paraId="379CB747">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3F479CC5">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（5）乙方在约定的时间内未能弥补缺陷，甲方</w:t>
      </w:r>
      <w:r>
        <w:rPr>
          <w:rFonts w:hint="eastAsia" w:ascii="宋体" w:hAnsi="宋体" w:eastAsia="宋体" w:cs="宋体"/>
          <w:color w:val="auto"/>
          <w:sz w:val="24"/>
          <w:highlight w:val="none"/>
          <w:lang w:eastAsia="zh-CN"/>
        </w:rPr>
        <w:t>可以</w:t>
      </w:r>
      <w:r>
        <w:rPr>
          <w:rFonts w:hint="eastAsia" w:ascii="宋体" w:hAnsi="宋体" w:eastAsia="宋体" w:cs="宋体"/>
          <w:color w:val="auto"/>
          <w:sz w:val="24"/>
          <w:highlight w:val="none"/>
        </w:rPr>
        <w:t>采取必要的补救措施，但其风险和费用将由乙方承担，甲方根据合同约定对乙方行使的其他权利不受影响。</w:t>
      </w:r>
    </w:p>
    <w:p w14:paraId="3D4D6AA6">
      <w:pPr>
        <w:spacing w:line="48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9. 权利瑕疵担保</w:t>
      </w:r>
    </w:p>
    <w:p w14:paraId="6906E485">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9.1 乙方保证对其出售的货物享有合法的权利。</w:t>
      </w:r>
    </w:p>
    <w:p w14:paraId="32396F2C">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9.2 乙方保证在交付的货物上不存在抵押权等担保物权。</w:t>
      </w:r>
    </w:p>
    <w:p w14:paraId="36D7BCBE">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9.3 如甲方使用上述货物构成对第三人侵权的，则由乙方承担全部责任。</w:t>
      </w:r>
    </w:p>
    <w:p w14:paraId="57592E23">
      <w:pPr>
        <w:spacing w:line="48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10. 知识产权保护</w:t>
      </w:r>
    </w:p>
    <w:p w14:paraId="0D55EC58">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10.1 乙方对其所销售的货物应当享有知识产权或经权利人合法授权，保证没有侵犯任何第三人的知识产权等权利。</w:t>
      </w:r>
      <w:bookmarkStart w:id="174" w:name="_Hlk163047038"/>
      <w:r>
        <w:rPr>
          <w:rFonts w:hint="eastAsia" w:ascii="宋体" w:hAnsi="宋体" w:eastAsia="宋体" w:cs="宋体"/>
          <w:color w:val="auto"/>
          <w:sz w:val="24"/>
          <w:highlight w:val="none"/>
        </w:rPr>
        <w:t>因违反前述约定对第三人构成侵权的，应当由乙方向第三人承担法律责任；甲方依法向第三人赔偿后，有权向乙方追偿。甲方有其他损失的，乙方应当赔偿</w:t>
      </w:r>
      <w:bookmarkEnd w:id="174"/>
      <w:r>
        <w:rPr>
          <w:rFonts w:hint="eastAsia" w:ascii="宋体" w:hAnsi="宋体" w:eastAsia="宋体" w:cs="宋体"/>
          <w:color w:val="auto"/>
          <w:sz w:val="24"/>
          <w:highlight w:val="none"/>
        </w:rPr>
        <w:t>。</w:t>
      </w:r>
    </w:p>
    <w:p w14:paraId="0E934CAB">
      <w:pPr>
        <w:spacing w:line="48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11. 保密义务</w:t>
      </w:r>
    </w:p>
    <w:p w14:paraId="291F078A">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4"/>
          <w:highlight w:val="none"/>
        </w:rPr>
        <w:t>【政府采购合同专用条款】</w:t>
      </w:r>
      <w:r>
        <w:rPr>
          <w:rFonts w:hint="eastAsia" w:ascii="宋体" w:hAnsi="宋体" w:eastAsia="宋体" w:cs="宋体"/>
          <w:color w:val="auto"/>
          <w:sz w:val="24"/>
          <w:highlight w:val="none"/>
        </w:rPr>
        <w:t>中约定。</w:t>
      </w:r>
    </w:p>
    <w:p w14:paraId="52560233">
      <w:pPr>
        <w:spacing w:line="48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12. 合同价款支付</w:t>
      </w:r>
    </w:p>
    <w:p w14:paraId="6F9BD896">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12.1 合同价款支付按照国库集中支付制度及财政管理相关规定执行。</w:t>
      </w:r>
    </w:p>
    <w:p w14:paraId="12F1DA44">
      <w:pPr>
        <w:pStyle w:val="2"/>
        <w:spacing w:beforeAutospacing="0" w:afterAutospacing="0" w:line="480" w:lineRule="exact"/>
        <w:ind w:firstLine="480"/>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12.2 对于满足合同约定支付条件的，甲方原则上应当自收到发票后</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color w:val="auto"/>
          <w:sz w:val="24"/>
          <w:szCs w:val="24"/>
          <w:highlight w:val="none"/>
        </w:rPr>
        <w:t>政府采购合同专用条款</w:t>
      </w:r>
      <w:r>
        <w:rPr>
          <w:rFonts w:hint="eastAsia" w:ascii="宋体" w:hAnsi="宋体" w:eastAsia="宋体" w:cs="宋体"/>
          <w:b w:val="0"/>
          <w:bCs w:val="0"/>
          <w:color w:val="auto"/>
          <w:sz w:val="24"/>
          <w:szCs w:val="24"/>
          <w:highlight w:val="none"/>
        </w:rPr>
        <w:t>】中约定。</w:t>
      </w:r>
    </w:p>
    <w:p w14:paraId="2264D258">
      <w:pPr>
        <w:pStyle w:val="14"/>
        <w:spacing w:after="0"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13. 履约保证金</w:t>
      </w:r>
    </w:p>
    <w:p w14:paraId="5DB2B382">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13.1 乙方应当以支票、汇票、本票或者金融机构、担保机构出具的保函等非现金形式提交。</w:t>
      </w:r>
    </w:p>
    <w:p w14:paraId="74E59577">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13.2 如果乙方出现</w:t>
      </w:r>
      <w:r>
        <w:rPr>
          <w:rFonts w:hint="eastAsia" w:ascii="宋体" w:hAnsi="宋体" w:eastAsia="宋体" w:cs="宋体"/>
          <w:b/>
          <w:bCs/>
          <w:color w:val="auto"/>
          <w:sz w:val="24"/>
          <w:highlight w:val="none"/>
        </w:rPr>
        <w:t>【政府采购合同专用条款】</w:t>
      </w:r>
      <w:r>
        <w:rPr>
          <w:rFonts w:hint="eastAsia" w:ascii="宋体" w:hAnsi="宋体" w:eastAsia="宋体" w:cs="宋体"/>
          <w:color w:val="auto"/>
          <w:sz w:val="24"/>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16A625BF">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13.3 甲方在项目通过验收后按照</w:t>
      </w:r>
      <w:r>
        <w:rPr>
          <w:rFonts w:hint="eastAsia" w:ascii="宋体" w:hAnsi="宋体" w:eastAsia="宋体" w:cs="宋体"/>
          <w:b/>
          <w:color w:val="auto"/>
          <w:sz w:val="24"/>
          <w:highlight w:val="none"/>
        </w:rPr>
        <w:t>【政府采购合同专用条款】</w:t>
      </w:r>
      <w:r>
        <w:rPr>
          <w:rFonts w:hint="eastAsia" w:ascii="宋体" w:hAnsi="宋体" w:eastAsia="宋体" w:cs="宋体"/>
          <w:color w:val="auto"/>
          <w:sz w:val="24"/>
          <w:highlight w:val="none"/>
        </w:rPr>
        <w:t>规定的时间内将履约保证金退还乙方；逾期退还的，乙方</w:t>
      </w:r>
      <w:r>
        <w:rPr>
          <w:rFonts w:hint="eastAsia" w:ascii="宋体" w:hAnsi="宋体" w:eastAsia="宋体" w:cs="宋体"/>
          <w:color w:val="auto"/>
          <w:sz w:val="24"/>
          <w:highlight w:val="none"/>
          <w:lang w:eastAsia="zh-CN"/>
        </w:rPr>
        <w:t>可以</w:t>
      </w:r>
      <w:r>
        <w:rPr>
          <w:rFonts w:hint="eastAsia" w:ascii="宋体" w:hAnsi="宋体" w:eastAsia="宋体" w:cs="宋体"/>
          <w:color w:val="auto"/>
          <w:sz w:val="24"/>
          <w:highlight w:val="none"/>
        </w:rPr>
        <w:t>要求甲方支付违约金，违约金按照</w:t>
      </w:r>
      <w:r>
        <w:rPr>
          <w:rFonts w:hint="eastAsia" w:ascii="宋体" w:hAnsi="宋体" w:eastAsia="宋体" w:cs="宋体"/>
          <w:b/>
          <w:color w:val="auto"/>
          <w:sz w:val="24"/>
          <w:highlight w:val="none"/>
        </w:rPr>
        <w:t>【政府采购合同专用条款】</w:t>
      </w:r>
      <w:r>
        <w:rPr>
          <w:rFonts w:hint="eastAsia" w:ascii="宋体" w:hAnsi="宋体" w:eastAsia="宋体" w:cs="宋体"/>
          <w:color w:val="auto"/>
          <w:sz w:val="24"/>
          <w:highlight w:val="none"/>
        </w:rPr>
        <w:t>规定支付。</w:t>
      </w:r>
    </w:p>
    <w:p w14:paraId="6F22D22D">
      <w:pPr>
        <w:spacing w:line="480" w:lineRule="exact"/>
        <w:ind w:firstLine="482"/>
        <w:jc w:val="lef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14. </w:t>
      </w:r>
      <w:r>
        <w:rPr>
          <w:rFonts w:hint="eastAsia" w:ascii="宋体" w:hAnsi="宋体" w:eastAsia="宋体" w:cs="宋体"/>
          <w:b/>
          <w:color w:val="auto"/>
          <w:sz w:val="24"/>
          <w:highlight w:val="none"/>
        </w:rPr>
        <w:t>售后服务</w:t>
      </w:r>
    </w:p>
    <w:p w14:paraId="655ADBDC">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14.1 除项目不涉及或采购活动中明确约定无须承担外，乙方还应提供下列服务：</w:t>
      </w:r>
    </w:p>
    <w:p w14:paraId="337A8696">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（1）货物的现场移动、安装、调试、启动监督及技术支持；</w:t>
      </w:r>
    </w:p>
    <w:p w14:paraId="7E4D903F">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（2）提供货物组装和维修所需的专用工具和辅助材料；</w:t>
      </w:r>
    </w:p>
    <w:p w14:paraId="3E02FA21">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（3）在</w:t>
      </w:r>
      <w:r>
        <w:rPr>
          <w:rFonts w:hint="eastAsia" w:ascii="宋体" w:hAnsi="宋体" w:eastAsia="宋体" w:cs="宋体"/>
          <w:b/>
          <w:bCs/>
          <w:color w:val="auto"/>
          <w:sz w:val="24"/>
          <w:highlight w:val="none"/>
        </w:rPr>
        <w:t>【政府采购合同专用条款】</w:t>
      </w:r>
      <w:r>
        <w:rPr>
          <w:rFonts w:hint="eastAsia" w:ascii="宋体" w:hAnsi="宋体" w:eastAsia="宋体" w:cs="宋体"/>
          <w:color w:val="auto"/>
          <w:sz w:val="24"/>
          <w:highlight w:val="none"/>
        </w:rPr>
        <w:t>约定的期限内对所有的货物实施运行监督、维修，但前提条件是该服务并不能免除乙方在质量保证期内所承担的义务；</w:t>
      </w:r>
    </w:p>
    <w:p w14:paraId="69DB9ED9">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（4）在制造商所在地或指定现场就货物的安装、启动、运营、维护、废弃处置等对甲方操作人员进行培训；</w:t>
      </w:r>
    </w:p>
    <w:p w14:paraId="6D440141">
      <w:pPr>
        <w:pStyle w:val="198"/>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（5）依照法律、行政法规的规定或者按照</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约定，货物在有效使用年限届满后应予回收的，乙方负有自行或者委托第三人对货物予以回收的义务；</w:t>
      </w:r>
    </w:p>
    <w:p w14:paraId="373C7019">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b/>
          <w:color w:val="auto"/>
          <w:sz w:val="24"/>
          <w:highlight w:val="none"/>
        </w:rPr>
        <w:t>【政府采购合同专用条款】</w:t>
      </w:r>
      <w:r>
        <w:rPr>
          <w:rFonts w:hint="eastAsia" w:ascii="宋体" w:hAnsi="宋体" w:eastAsia="宋体" w:cs="宋体"/>
          <w:color w:val="auto"/>
          <w:sz w:val="24"/>
          <w:highlight w:val="none"/>
        </w:rPr>
        <w:t>规定由乙方提供的其他服务。</w:t>
      </w:r>
    </w:p>
    <w:p w14:paraId="0F6C17DE">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14.2 乙方提供的售后服务的费用已包含在合同价款中，甲方不再另行支付。</w:t>
      </w:r>
    </w:p>
    <w:p w14:paraId="2F526FB8">
      <w:pPr>
        <w:spacing w:line="48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15. 违约责任</w:t>
      </w:r>
    </w:p>
    <w:p w14:paraId="256F13AA">
      <w:pPr>
        <w:spacing w:line="48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15.1质量瑕疵的违约责任</w:t>
      </w:r>
    </w:p>
    <w:p w14:paraId="5D9577D3">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乙方提供的产品不符合合同约定的质量标准或存在产品质量缺陷，甲方有权要求乙方根据</w:t>
      </w:r>
      <w:r>
        <w:rPr>
          <w:rFonts w:hint="eastAsia" w:ascii="宋体" w:hAnsi="宋体" w:eastAsia="宋体" w:cs="宋体"/>
          <w:b/>
          <w:color w:val="auto"/>
          <w:sz w:val="24"/>
          <w:highlight w:val="none"/>
        </w:rPr>
        <w:t>【政府采购合同专用条款】</w:t>
      </w:r>
      <w:r>
        <w:rPr>
          <w:rFonts w:hint="eastAsia" w:ascii="宋体" w:hAnsi="宋体" w:eastAsia="宋体" w:cs="宋体"/>
          <w:bCs/>
          <w:color w:val="auto"/>
          <w:sz w:val="24"/>
          <w:highlight w:val="none"/>
        </w:rPr>
        <w:t>要求</w:t>
      </w:r>
      <w:r>
        <w:rPr>
          <w:rFonts w:hint="eastAsia" w:ascii="宋体" w:hAnsi="宋体" w:eastAsia="宋体" w:cs="宋体"/>
          <w:color w:val="auto"/>
          <w:sz w:val="24"/>
          <w:highlight w:val="none"/>
        </w:rPr>
        <w:t>及时修理、重作、更换，并承担由此给甲方造成的损失。</w:t>
      </w:r>
    </w:p>
    <w:p w14:paraId="480CFBC7">
      <w:pPr>
        <w:spacing w:line="48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15.2 迟延交货的违约责任</w:t>
      </w:r>
    </w:p>
    <w:p w14:paraId="0A09C639">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17D8887">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4"/>
          <w:highlight w:val="none"/>
        </w:rPr>
        <w:t>【政府采购合同专用条款】</w:t>
      </w:r>
      <w:r>
        <w:rPr>
          <w:rFonts w:hint="eastAsia" w:ascii="宋体" w:hAnsi="宋体" w:eastAsia="宋体" w:cs="宋体"/>
          <w:color w:val="auto"/>
          <w:sz w:val="24"/>
          <w:highlight w:val="none"/>
        </w:rPr>
        <w:t>规定执行。如果涉及公共利益，且赔偿金额无法弥补公共利益损失，甲方可要求继续履行或者采取其他补救措施。</w:t>
      </w:r>
    </w:p>
    <w:p w14:paraId="70B01F77">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15.3 迟延支付的违约责任</w:t>
      </w:r>
    </w:p>
    <w:p w14:paraId="6F846928">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甲方存在迟延支付乙方合同款项的，应当承担</w:t>
      </w:r>
      <w:r>
        <w:rPr>
          <w:rFonts w:hint="eastAsia" w:ascii="宋体" w:hAnsi="宋体" w:eastAsia="宋体" w:cs="宋体"/>
          <w:b/>
          <w:bCs/>
          <w:color w:val="auto"/>
          <w:sz w:val="24"/>
          <w:highlight w:val="none"/>
        </w:rPr>
        <w:t>【政府采购合同专用条款】</w:t>
      </w:r>
      <w:r>
        <w:rPr>
          <w:rFonts w:hint="eastAsia" w:ascii="宋体" w:hAnsi="宋体" w:eastAsia="宋体" w:cs="宋体"/>
          <w:color w:val="auto"/>
          <w:sz w:val="24"/>
          <w:highlight w:val="none"/>
        </w:rPr>
        <w:t>规定的逾期付款利息。</w:t>
      </w:r>
    </w:p>
    <w:p w14:paraId="159672B6">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15.4其他违约责任根据项目实际需要按</w:t>
      </w:r>
      <w:r>
        <w:rPr>
          <w:rFonts w:hint="eastAsia" w:ascii="宋体" w:hAnsi="宋体" w:eastAsia="宋体" w:cs="宋体"/>
          <w:b/>
          <w:bCs/>
          <w:color w:val="auto"/>
          <w:sz w:val="24"/>
          <w:highlight w:val="none"/>
        </w:rPr>
        <w:t>【政府采购合同专用条款】</w:t>
      </w:r>
      <w:r>
        <w:rPr>
          <w:rFonts w:hint="eastAsia" w:ascii="宋体" w:hAnsi="宋体" w:eastAsia="宋体" w:cs="宋体"/>
          <w:color w:val="auto"/>
          <w:sz w:val="24"/>
          <w:highlight w:val="none"/>
        </w:rPr>
        <w:t>规定执行。</w:t>
      </w:r>
    </w:p>
    <w:p w14:paraId="398FAFC4">
      <w:pPr>
        <w:spacing w:line="48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16.合同变更、中止与终止</w:t>
      </w:r>
    </w:p>
    <w:p w14:paraId="66F78ABC">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16.1合同的变更</w:t>
      </w:r>
    </w:p>
    <w:p w14:paraId="54F7F5D3">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政府采购合同履行中，在不改变合同其他条款的前提下，甲方可以在合同价款10%的范围内追加与合同标的相同的货物，并就此与乙方协商一致后签订补充协议。</w:t>
      </w:r>
    </w:p>
    <w:p w14:paraId="37B3D445">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16.2合同的中止</w:t>
      </w:r>
    </w:p>
    <w:p w14:paraId="26B413BD">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（1）合同履行过程中因供应商就采购文件、采购过程或结果提起投诉的，甲方认为有必要的，可以中止合同的履行。</w:t>
      </w:r>
    </w:p>
    <w:p w14:paraId="6DFAE4B1">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717F56A">
      <w:pPr>
        <w:pStyle w:val="198"/>
        <w:spacing w:line="48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（3）乙方分立、合并或者变更住所的，应当及时以书面形式告知甲方。乙方没有及时告知甲方，致使合同履行发生困难的，甲方可以中止合同履行并要求乙方承担由此给甲方造成的损失。</w:t>
      </w:r>
    </w:p>
    <w:p w14:paraId="26CF01E2">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（4）甲方不得以行政区划调整、政府换届、机构或者职能调整以及相关责任人更替为由中止合同。</w:t>
      </w:r>
    </w:p>
    <w:p w14:paraId="1BC335A3">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16.3合同的终止</w:t>
      </w:r>
    </w:p>
    <w:p w14:paraId="4C51A161">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（1）合同因有效期限届满而终止；</w:t>
      </w:r>
    </w:p>
    <w:p w14:paraId="6D99921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（2）乙方未按合同约定履行，构成根本性违约的，甲方有权终止合同，并追究乙方的违约责任。</w:t>
      </w:r>
    </w:p>
    <w:p w14:paraId="397AE5BD">
      <w:pPr>
        <w:pStyle w:val="198"/>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16.4 涉及国家利益、社会公共利益的情形</w:t>
      </w:r>
    </w:p>
    <w:p w14:paraId="7D9F8513">
      <w:pPr>
        <w:pStyle w:val="198"/>
        <w:spacing w:line="48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政府采购合同继续履行将损害国家利益和社会公共利益的，双方当事人应当变更、中止或者终止合同。有过错的一方应当承担赔偿责任，双方都有过错的，各自承担相应的责任。</w:t>
      </w:r>
    </w:p>
    <w:p w14:paraId="2CFA27F5">
      <w:pPr>
        <w:spacing w:line="48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17. 合同分包</w:t>
      </w:r>
    </w:p>
    <w:p w14:paraId="2AFA922E">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17.1 乙方不得将合同转包给其他供应商。涉及合同分包的，乙方应根据采购文件和投标（响应）文件规定进行合同分包。</w:t>
      </w:r>
    </w:p>
    <w:p w14:paraId="7E5A34B4">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17.2 乙方执行政府采购政策向中小企业依法分包的，乙方应当按采购文件和投标（响应）文件签订分包意向协议，分包意向协议属于本合同组成部分。</w:t>
      </w:r>
    </w:p>
    <w:p w14:paraId="6F95D511">
      <w:pPr>
        <w:spacing w:line="48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18. 不可抗力</w:t>
      </w:r>
    </w:p>
    <w:p w14:paraId="0320DFD1">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18.1 不可抗力是指合同双方不能预见、不能避免且不能克服的客观情况。</w:t>
      </w:r>
    </w:p>
    <w:p w14:paraId="5153A3E8">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18.2 任何一方对由于不可抗力造成的部分或全部不能履行合同不承担违约责任。但迟延履行后发生不可抗力的，不能免除责任。</w:t>
      </w:r>
    </w:p>
    <w:p w14:paraId="52975931">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C112BD2">
      <w:pPr>
        <w:spacing w:line="48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19. 解决争议的方法</w:t>
      </w:r>
    </w:p>
    <w:p w14:paraId="30604516">
      <w:pPr>
        <w:pStyle w:val="198"/>
        <w:spacing w:line="48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25458DA0">
      <w:pPr>
        <w:pStyle w:val="198"/>
        <w:spacing w:line="48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选择仲裁的，应在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中明确仲裁机构及仲裁地；通过诉讼方式解决的，可以在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中进一步约定选择与争议有实际联系的地点的人民法院管辖，但管辖法院的约定不得违反级别管辖和专属管辖的规定。</w:t>
      </w:r>
    </w:p>
    <w:p w14:paraId="447345E7">
      <w:pPr>
        <w:pStyle w:val="198"/>
        <w:spacing w:line="48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 如甲乙双方有争议的事项不影响合同其他部分的履行，在争议解决期间，合同其他部分应当继续履行。</w:t>
      </w:r>
    </w:p>
    <w:p w14:paraId="70EE0231">
      <w:pPr>
        <w:spacing w:line="480" w:lineRule="exact"/>
        <w:ind w:firstLine="482"/>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20. 政府采购政策</w:t>
      </w:r>
    </w:p>
    <w:p w14:paraId="1C36FA5A">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 </w:t>
      </w:r>
      <w:r>
        <w:rPr>
          <w:rFonts w:hint="eastAsia" w:ascii="宋体" w:hAnsi="宋体" w:eastAsia="宋体" w:cs="宋体"/>
          <w:color w:val="auto"/>
          <w:sz w:val="24"/>
          <w:highlight w:val="none"/>
          <w:lang w:val="en-GB"/>
        </w:rPr>
        <w:t>本合同应当按照规定执行政府采购政策。</w:t>
      </w:r>
    </w:p>
    <w:p w14:paraId="22346B96">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20.2 本合同依法执行政府采购政策的方式和内容，属于合同履约验收的范围。甲乙双方</w:t>
      </w:r>
      <w:r>
        <w:rPr>
          <w:rFonts w:hint="eastAsia" w:ascii="宋体" w:hAnsi="宋体" w:eastAsia="宋体" w:cs="宋体"/>
          <w:color w:val="auto"/>
          <w:sz w:val="24"/>
          <w:highlight w:val="none"/>
          <w:lang w:val="en-GB"/>
        </w:rPr>
        <w:t>未按规定要求执行政府采购政策造成损失的</w:t>
      </w:r>
      <w:r>
        <w:rPr>
          <w:rFonts w:hint="eastAsia" w:ascii="宋体" w:hAnsi="宋体" w:eastAsia="宋体" w:cs="宋体"/>
          <w:color w:val="auto"/>
          <w:sz w:val="24"/>
          <w:highlight w:val="none"/>
        </w:rPr>
        <w:t>，有过错的一方应当承担赔偿责任，双方都有过错的，各自承担相应的责任。</w:t>
      </w:r>
    </w:p>
    <w:p w14:paraId="6AE92819">
      <w:pPr>
        <w:pStyle w:val="14"/>
        <w:spacing w:after="0"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42E1A04">
      <w:pPr>
        <w:spacing w:line="48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21. 法律适用</w:t>
      </w:r>
    </w:p>
    <w:p w14:paraId="799BBE73">
      <w:pPr>
        <w:pStyle w:val="198"/>
        <w:spacing w:line="48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本合同的订立、生效、解释、履行及与本合同有关的争议解决，均适用法律、行政法规。</w:t>
      </w:r>
    </w:p>
    <w:p w14:paraId="5B4A7194">
      <w:pPr>
        <w:pStyle w:val="198"/>
        <w:spacing w:line="48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本合同条款与法律、行政法规的强制性规定不一致的，双方当事人应按照法律、行政法规的强制性规定修改本合同的相关条款。</w:t>
      </w:r>
    </w:p>
    <w:p w14:paraId="668CE63A">
      <w:pPr>
        <w:spacing w:line="48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22. 通知</w:t>
      </w:r>
    </w:p>
    <w:p w14:paraId="1EC451C6">
      <w:pPr>
        <w:pStyle w:val="198"/>
        <w:spacing w:line="48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本合同任何一方向对方发出的通知、信件、数据电文等，应当发送至本合同第一部分《政府采购合同协议书》所约定的通讯地址、联系人、联系电话或电子邮箱。</w:t>
      </w:r>
    </w:p>
    <w:p w14:paraId="3F9CF4D5">
      <w:pPr>
        <w:pStyle w:val="198"/>
        <w:spacing w:line="48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一方当事人变更名称、住所、联系人、联系电话或电子邮箱等信息的，应当在变更后3日内及时书面通知对方，对方实际收到变更通知前的送达仍为有效送达。</w:t>
      </w:r>
    </w:p>
    <w:p w14:paraId="28C8C02A">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22.3本合同一方给另一方的通知均应采用书面形式，传真或快递</w:t>
      </w:r>
      <w:r>
        <w:rPr>
          <w:rFonts w:hint="eastAsia" w:ascii="宋体" w:hAnsi="宋体" w:eastAsia="宋体" w:cs="宋体"/>
          <w:color w:val="auto"/>
          <w:sz w:val="24"/>
          <w:highlight w:val="none"/>
          <w:lang w:eastAsia="zh-CN"/>
        </w:rPr>
        <w:t>送达</w:t>
      </w:r>
      <w:r>
        <w:rPr>
          <w:rFonts w:hint="eastAsia" w:ascii="宋体" w:hAnsi="宋体" w:eastAsia="宋体" w:cs="宋体"/>
          <w:color w:val="auto"/>
          <w:sz w:val="24"/>
          <w:highlight w:val="none"/>
        </w:rPr>
        <w:t>本合同中规定的对方的地址和办理签收手续。</w:t>
      </w:r>
    </w:p>
    <w:p w14:paraId="6FB470AB">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22.4通知以送达之日或通知书中规定的生效之日起生效，两者中以较迟之日为准。</w:t>
      </w:r>
    </w:p>
    <w:p w14:paraId="5661326D">
      <w:pPr>
        <w:numPr>
          <w:ilvl w:val="0"/>
          <w:numId w:val="3"/>
        </w:numPr>
        <w:spacing w:line="48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合同未尽事项</w:t>
      </w:r>
    </w:p>
    <w:p w14:paraId="6F3D6A31">
      <w:pPr>
        <w:spacing w:line="48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23.1合同未尽事项见</w:t>
      </w:r>
      <w:r>
        <w:rPr>
          <w:rFonts w:hint="eastAsia" w:ascii="宋体" w:hAnsi="宋体" w:eastAsia="宋体" w:cs="宋体"/>
          <w:b/>
          <w:color w:val="auto"/>
          <w:sz w:val="24"/>
          <w:highlight w:val="none"/>
        </w:rPr>
        <w:t>【政府采购合同专用条款】</w:t>
      </w:r>
      <w:r>
        <w:rPr>
          <w:rFonts w:hint="eastAsia" w:ascii="宋体" w:hAnsi="宋体" w:eastAsia="宋体" w:cs="宋体"/>
          <w:bCs/>
          <w:color w:val="auto"/>
          <w:sz w:val="24"/>
          <w:highlight w:val="none"/>
        </w:rPr>
        <w:t>。</w:t>
      </w:r>
    </w:p>
    <w:p w14:paraId="3B8ED17D">
      <w:pPr>
        <w:spacing w:line="480" w:lineRule="exact"/>
        <w:ind w:firstLine="480"/>
        <w:jc w:val="left"/>
        <w:rPr>
          <w:rFonts w:hint="eastAsia" w:ascii="宋体" w:hAnsi="宋体" w:eastAsia="宋体" w:cs="宋体"/>
          <w:color w:val="auto"/>
          <w:sz w:val="28"/>
          <w:szCs w:val="28"/>
          <w:highlight w:val="none"/>
        </w:rPr>
      </w:pPr>
      <w:r>
        <w:rPr>
          <w:rFonts w:hint="eastAsia" w:ascii="宋体" w:hAnsi="宋体" w:eastAsia="宋体" w:cs="宋体"/>
          <w:bCs/>
          <w:color w:val="auto"/>
          <w:sz w:val="24"/>
          <w:highlight w:val="none"/>
        </w:rPr>
        <w:t>23.2 合同附件与合同正文具有同等的法律效力。</w:t>
      </w:r>
    </w:p>
    <w:p w14:paraId="2D6D0B75">
      <w:pPr>
        <w:keepNext/>
        <w:keepLines/>
        <w:spacing w:line="360" w:lineRule="auto"/>
        <w:jc w:val="center"/>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p>
    <w:p w14:paraId="07EE3069">
      <w:pPr>
        <w:keepNext/>
        <w:keepLines/>
        <w:spacing w:line="360" w:lineRule="auto"/>
        <w:jc w:val="center"/>
        <w:outlineLvl w:val="1"/>
        <w:rPr>
          <w:rFonts w:hint="eastAsia" w:ascii="宋体" w:hAnsi="宋体" w:eastAsia="宋体" w:cs="宋体"/>
          <w:color w:val="auto"/>
          <w:sz w:val="24"/>
          <w:highlight w:val="none"/>
        </w:rPr>
      </w:pPr>
      <w:r>
        <w:rPr>
          <w:rFonts w:hint="eastAsia" w:ascii="宋体" w:hAnsi="宋体" w:eastAsia="宋体" w:cs="宋体"/>
          <w:b/>
          <w:bCs/>
          <w:color w:val="auto"/>
          <w:sz w:val="28"/>
          <w:szCs w:val="28"/>
          <w:highlight w:val="none"/>
        </w:rPr>
        <w:t>第三节 政府采购合同专用条款</w:t>
      </w:r>
      <w:bookmarkEnd w:id="173"/>
    </w:p>
    <w:tbl>
      <w:tblPr>
        <w:tblStyle w:val="34"/>
        <w:tblW w:w="851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891"/>
        <w:gridCol w:w="2098"/>
        <w:gridCol w:w="4530"/>
      </w:tblGrid>
      <w:tr w14:paraId="2D08DAF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96" w:hRule="atLeast"/>
          <w:jc w:val="center"/>
        </w:trPr>
        <w:tc>
          <w:tcPr>
            <w:tcW w:w="1891" w:type="dxa"/>
            <w:noWrap w:val="0"/>
            <w:vAlign w:val="center"/>
          </w:tcPr>
          <w:p w14:paraId="4E3BFFE0">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第二节</w:t>
            </w:r>
          </w:p>
          <w:p w14:paraId="37F2D854">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第1.2（6）项</w:t>
            </w:r>
          </w:p>
        </w:tc>
        <w:tc>
          <w:tcPr>
            <w:tcW w:w="2098" w:type="dxa"/>
            <w:noWrap w:val="0"/>
            <w:vAlign w:val="center"/>
          </w:tcPr>
          <w:p w14:paraId="4CEC0C08">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联合体具体要求</w:t>
            </w:r>
          </w:p>
        </w:tc>
        <w:tc>
          <w:tcPr>
            <w:tcW w:w="4530" w:type="dxa"/>
            <w:noWrap w:val="0"/>
            <w:vAlign w:val="center"/>
          </w:tcPr>
          <w:p w14:paraId="5B95E5DD">
            <w:pPr>
              <w:jc w:val="center"/>
              <w:rPr>
                <w:rFonts w:hint="eastAsia" w:ascii="宋体" w:hAnsi="宋体" w:eastAsia="宋体" w:cs="宋体"/>
                <w:color w:val="auto"/>
                <w:sz w:val="24"/>
                <w:highlight w:val="none"/>
              </w:rPr>
            </w:pPr>
          </w:p>
        </w:tc>
      </w:tr>
      <w:tr w14:paraId="3A7F941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68" w:hRule="atLeast"/>
          <w:jc w:val="center"/>
        </w:trPr>
        <w:tc>
          <w:tcPr>
            <w:tcW w:w="1891" w:type="dxa"/>
            <w:noWrap w:val="0"/>
            <w:vAlign w:val="center"/>
          </w:tcPr>
          <w:p w14:paraId="4AED182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第二节</w:t>
            </w:r>
          </w:p>
          <w:p w14:paraId="7CACDE9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第1.2（7）项</w:t>
            </w:r>
          </w:p>
        </w:tc>
        <w:tc>
          <w:tcPr>
            <w:tcW w:w="2098" w:type="dxa"/>
            <w:noWrap w:val="0"/>
            <w:vAlign w:val="center"/>
          </w:tcPr>
          <w:p w14:paraId="74DBBC86">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其他术语解释</w:t>
            </w:r>
          </w:p>
        </w:tc>
        <w:tc>
          <w:tcPr>
            <w:tcW w:w="4530" w:type="dxa"/>
            <w:noWrap w:val="0"/>
            <w:vAlign w:val="center"/>
          </w:tcPr>
          <w:p w14:paraId="59B41A2E">
            <w:pPr>
              <w:jc w:val="center"/>
              <w:rPr>
                <w:rFonts w:hint="eastAsia" w:ascii="宋体" w:hAnsi="宋体" w:eastAsia="宋体" w:cs="宋体"/>
                <w:color w:val="auto"/>
                <w:sz w:val="24"/>
                <w:highlight w:val="none"/>
              </w:rPr>
            </w:pPr>
          </w:p>
        </w:tc>
      </w:tr>
      <w:tr w14:paraId="2F0C183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98" w:hRule="atLeast"/>
          <w:jc w:val="center"/>
        </w:trPr>
        <w:tc>
          <w:tcPr>
            <w:tcW w:w="1891" w:type="dxa"/>
            <w:noWrap w:val="0"/>
            <w:vAlign w:val="center"/>
          </w:tcPr>
          <w:p w14:paraId="49F21580">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第二节</w:t>
            </w:r>
          </w:p>
          <w:p w14:paraId="3E69A6AE">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第4.4款</w:t>
            </w:r>
          </w:p>
        </w:tc>
        <w:tc>
          <w:tcPr>
            <w:tcW w:w="2098" w:type="dxa"/>
            <w:noWrap w:val="0"/>
            <w:vAlign w:val="center"/>
          </w:tcPr>
          <w:p w14:paraId="235EE320">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履约验收中甲方提出异议或作出说明的期限</w:t>
            </w:r>
          </w:p>
        </w:tc>
        <w:tc>
          <w:tcPr>
            <w:tcW w:w="4530" w:type="dxa"/>
            <w:noWrap w:val="0"/>
            <w:vAlign w:val="center"/>
          </w:tcPr>
          <w:p w14:paraId="6D2CF192">
            <w:pPr>
              <w:jc w:val="center"/>
              <w:rPr>
                <w:rFonts w:hint="eastAsia" w:ascii="宋体" w:hAnsi="宋体" w:eastAsia="宋体" w:cs="宋体"/>
                <w:color w:val="auto"/>
                <w:sz w:val="24"/>
                <w:highlight w:val="none"/>
              </w:rPr>
            </w:pPr>
          </w:p>
        </w:tc>
      </w:tr>
      <w:tr w14:paraId="43AE49F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98" w:hRule="atLeast"/>
          <w:jc w:val="center"/>
        </w:trPr>
        <w:tc>
          <w:tcPr>
            <w:tcW w:w="1891" w:type="dxa"/>
            <w:noWrap w:val="0"/>
            <w:vAlign w:val="center"/>
          </w:tcPr>
          <w:p w14:paraId="49438EE8">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第二节</w:t>
            </w:r>
          </w:p>
          <w:p w14:paraId="17134DF7">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第4.6款</w:t>
            </w:r>
          </w:p>
        </w:tc>
        <w:tc>
          <w:tcPr>
            <w:tcW w:w="2098" w:type="dxa"/>
            <w:noWrap w:val="0"/>
            <w:vAlign w:val="center"/>
          </w:tcPr>
          <w:p w14:paraId="4501F02C">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约定甲方承担的其他义务和责任</w:t>
            </w:r>
          </w:p>
        </w:tc>
        <w:tc>
          <w:tcPr>
            <w:tcW w:w="4530" w:type="dxa"/>
            <w:noWrap w:val="0"/>
            <w:vAlign w:val="center"/>
          </w:tcPr>
          <w:p w14:paraId="34E920B8">
            <w:pPr>
              <w:jc w:val="center"/>
              <w:rPr>
                <w:rFonts w:hint="eastAsia" w:ascii="宋体" w:hAnsi="宋体" w:eastAsia="宋体" w:cs="宋体"/>
                <w:color w:val="auto"/>
                <w:sz w:val="24"/>
                <w:highlight w:val="none"/>
              </w:rPr>
            </w:pPr>
          </w:p>
        </w:tc>
      </w:tr>
      <w:tr w14:paraId="617875A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98" w:hRule="atLeast"/>
          <w:jc w:val="center"/>
        </w:trPr>
        <w:tc>
          <w:tcPr>
            <w:tcW w:w="1891" w:type="dxa"/>
            <w:noWrap w:val="0"/>
            <w:vAlign w:val="center"/>
          </w:tcPr>
          <w:p w14:paraId="12CB11DF">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第二节</w:t>
            </w:r>
          </w:p>
          <w:p w14:paraId="5650920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第5.4款</w:t>
            </w:r>
          </w:p>
        </w:tc>
        <w:tc>
          <w:tcPr>
            <w:tcW w:w="2098" w:type="dxa"/>
            <w:noWrap w:val="0"/>
            <w:vAlign w:val="center"/>
          </w:tcPr>
          <w:p w14:paraId="51C4A83D">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约定乙方承担的其他义务和责任</w:t>
            </w:r>
          </w:p>
        </w:tc>
        <w:tc>
          <w:tcPr>
            <w:tcW w:w="4530" w:type="dxa"/>
            <w:noWrap w:val="0"/>
            <w:vAlign w:val="center"/>
          </w:tcPr>
          <w:p w14:paraId="3A7D4D31">
            <w:pPr>
              <w:jc w:val="center"/>
              <w:rPr>
                <w:rFonts w:hint="eastAsia" w:ascii="宋体" w:hAnsi="宋体" w:eastAsia="宋体" w:cs="宋体"/>
                <w:color w:val="auto"/>
                <w:sz w:val="24"/>
                <w:highlight w:val="none"/>
              </w:rPr>
            </w:pPr>
          </w:p>
        </w:tc>
      </w:tr>
      <w:tr w14:paraId="21CE797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98" w:hRule="atLeast"/>
          <w:jc w:val="center"/>
        </w:trPr>
        <w:tc>
          <w:tcPr>
            <w:tcW w:w="1891" w:type="dxa"/>
            <w:noWrap w:val="0"/>
            <w:vAlign w:val="center"/>
          </w:tcPr>
          <w:p w14:paraId="71A8B904">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第二节</w:t>
            </w:r>
          </w:p>
          <w:p w14:paraId="3714C8C2">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第6.1款</w:t>
            </w:r>
          </w:p>
        </w:tc>
        <w:tc>
          <w:tcPr>
            <w:tcW w:w="2098" w:type="dxa"/>
            <w:noWrap w:val="0"/>
            <w:vAlign w:val="center"/>
          </w:tcPr>
          <w:p w14:paraId="432AB9AB">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履行合同义务的顺序</w:t>
            </w:r>
          </w:p>
        </w:tc>
        <w:tc>
          <w:tcPr>
            <w:tcW w:w="4530" w:type="dxa"/>
            <w:noWrap w:val="0"/>
            <w:vAlign w:val="center"/>
          </w:tcPr>
          <w:p w14:paraId="2E5A7E1C">
            <w:pPr>
              <w:jc w:val="center"/>
              <w:rPr>
                <w:rFonts w:hint="eastAsia" w:ascii="宋体" w:hAnsi="宋体" w:eastAsia="宋体" w:cs="宋体"/>
                <w:color w:val="auto"/>
                <w:sz w:val="24"/>
                <w:highlight w:val="none"/>
              </w:rPr>
            </w:pPr>
          </w:p>
        </w:tc>
      </w:tr>
      <w:tr w14:paraId="35F3F93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891" w:type="dxa"/>
            <w:vMerge w:val="restart"/>
            <w:noWrap w:val="0"/>
            <w:vAlign w:val="center"/>
          </w:tcPr>
          <w:p w14:paraId="609EC245">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第二节</w:t>
            </w:r>
          </w:p>
          <w:p w14:paraId="5742E60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第7.1款</w:t>
            </w:r>
          </w:p>
        </w:tc>
        <w:tc>
          <w:tcPr>
            <w:tcW w:w="2098" w:type="dxa"/>
            <w:noWrap w:val="0"/>
            <w:vAlign w:val="center"/>
          </w:tcPr>
          <w:p w14:paraId="1EB60DFF">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包装特殊要求</w:t>
            </w:r>
          </w:p>
        </w:tc>
        <w:tc>
          <w:tcPr>
            <w:tcW w:w="4530" w:type="dxa"/>
            <w:noWrap w:val="0"/>
            <w:vAlign w:val="center"/>
          </w:tcPr>
          <w:p w14:paraId="44650787">
            <w:pPr>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本项目中涉及商品包装和快递包装的，金属件：使用泡泡纸覆盖包装 防止碰撞；板式件：不同板件用捆扎带分类打包，边角处用瓦楞纸覆盖，防止损坏；塑料件和五金件： 使用瓦楞纸箱包装。使用包装材料</w:t>
            </w:r>
            <w:r>
              <w:rPr>
                <w:rFonts w:hint="eastAsia" w:ascii="宋体" w:hAnsi="宋体" w:eastAsia="宋体" w:cs="宋体"/>
                <w:color w:val="auto"/>
                <w:sz w:val="24"/>
                <w:highlight w:val="none"/>
                <w:lang w:eastAsia="zh-CN"/>
              </w:rPr>
              <w:t>应</w:t>
            </w:r>
            <w:r>
              <w:rPr>
                <w:rFonts w:hint="eastAsia" w:ascii="宋体" w:hAnsi="宋体" w:eastAsia="宋体" w:cs="宋体"/>
                <w:color w:val="auto"/>
                <w:sz w:val="24"/>
                <w:highlight w:val="none"/>
              </w:rPr>
              <w:t>参考《财政部办公厅关于印发</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商品包装政府采购需求标准（试行）</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快递包装政府采购需求标准（试行）</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的通知》（财办库〔2020〕123号）规定的包装需求标准，现场包装物</w:t>
            </w:r>
            <w:r>
              <w:rPr>
                <w:rFonts w:hint="eastAsia" w:ascii="宋体" w:hAnsi="宋体" w:eastAsia="宋体" w:cs="宋体"/>
                <w:color w:val="auto"/>
                <w:sz w:val="24"/>
                <w:highlight w:val="none"/>
                <w:lang w:eastAsia="zh-CN"/>
              </w:rPr>
              <w:t>由</w:t>
            </w:r>
            <w:r>
              <w:rPr>
                <w:rFonts w:hint="eastAsia" w:ascii="宋体" w:hAnsi="宋体" w:eastAsia="宋体" w:cs="宋体"/>
                <w:color w:val="auto"/>
                <w:sz w:val="24"/>
                <w:highlight w:val="none"/>
              </w:rPr>
              <w:t>供应商负责清理，做到：</w:t>
            </w:r>
          </w:p>
          <w:p w14:paraId="1F6AD89E">
            <w:pPr>
              <w:rPr>
                <w:rFonts w:hint="eastAsia" w:ascii="宋体" w:hAnsi="宋体" w:eastAsia="宋体" w:cs="宋体"/>
                <w:color w:val="auto"/>
                <w:sz w:val="24"/>
                <w:highlight w:val="none"/>
              </w:rPr>
            </w:pPr>
            <w:r>
              <w:rPr>
                <w:rFonts w:hint="eastAsia" w:ascii="宋体" w:hAnsi="宋体" w:eastAsia="宋体" w:cs="宋体"/>
                <w:color w:val="auto"/>
                <w:sz w:val="24"/>
                <w:highlight w:val="none"/>
              </w:rPr>
              <w:t>1.商品包装层数不得超过3层，空隙率不大于40%；</w:t>
            </w:r>
          </w:p>
          <w:p w14:paraId="1F68B3E5">
            <w:pPr>
              <w:rPr>
                <w:rFonts w:hint="eastAsia" w:ascii="宋体" w:hAnsi="宋体" w:eastAsia="宋体" w:cs="宋体"/>
                <w:color w:val="auto"/>
                <w:sz w:val="24"/>
                <w:highlight w:val="none"/>
              </w:rPr>
            </w:pPr>
            <w:r>
              <w:rPr>
                <w:rFonts w:hint="eastAsia" w:ascii="宋体" w:hAnsi="宋体" w:eastAsia="宋体" w:cs="宋体"/>
                <w:color w:val="auto"/>
                <w:sz w:val="24"/>
                <w:highlight w:val="none"/>
              </w:rPr>
              <w:t>2.商品包装尽可能使用单一材质的包装材料，如因功能需求必需使用不同材质，不同材质间应便于分离；</w:t>
            </w:r>
          </w:p>
          <w:p w14:paraId="1D687A83">
            <w:pPr>
              <w:rPr>
                <w:rFonts w:hint="eastAsia" w:ascii="宋体" w:hAnsi="宋体" w:eastAsia="宋体" w:cs="宋体"/>
                <w:color w:val="auto"/>
                <w:sz w:val="24"/>
                <w:highlight w:val="none"/>
              </w:rPr>
            </w:pPr>
            <w:r>
              <w:rPr>
                <w:rFonts w:hint="eastAsia" w:ascii="宋体" w:hAnsi="宋体" w:eastAsia="宋体" w:cs="宋体"/>
                <w:color w:val="auto"/>
                <w:sz w:val="24"/>
                <w:highlight w:val="none"/>
              </w:rPr>
              <w:t>3.商品包装中铅、汞、镉、六价铬的总含量应不大于100mg/kg；</w:t>
            </w:r>
          </w:p>
          <w:p w14:paraId="393F6D6E">
            <w:pPr>
              <w:rPr>
                <w:rFonts w:hint="eastAsia" w:ascii="宋体" w:hAnsi="宋体" w:eastAsia="宋体" w:cs="宋体"/>
                <w:color w:val="auto"/>
                <w:sz w:val="24"/>
                <w:highlight w:val="none"/>
              </w:rPr>
            </w:pPr>
            <w:r>
              <w:rPr>
                <w:rFonts w:hint="eastAsia" w:ascii="宋体" w:hAnsi="宋体" w:eastAsia="宋体" w:cs="宋体"/>
                <w:color w:val="auto"/>
                <w:sz w:val="24"/>
                <w:highlight w:val="none"/>
              </w:rPr>
              <w:t>4.商品包装印刷使用的油墨中挥发性有机化合物（VOCs）含量应不大于5%（以重量计）；</w:t>
            </w:r>
          </w:p>
          <w:p w14:paraId="28A5E93A">
            <w:pPr>
              <w:rPr>
                <w:rFonts w:hint="eastAsia" w:ascii="宋体" w:hAnsi="宋体" w:eastAsia="宋体" w:cs="宋体"/>
                <w:color w:val="auto"/>
                <w:sz w:val="24"/>
                <w:highlight w:val="none"/>
              </w:rPr>
            </w:pPr>
            <w:r>
              <w:rPr>
                <w:rFonts w:hint="eastAsia" w:ascii="宋体" w:hAnsi="宋体" w:eastAsia="宋体" w:cs="宋体"/>
                <w:color w:val="auto"/>
                <w:sz w:val="24"/>
                <w:highlight w:val="none"/>
              </w:rPr>
              <w:t>5.塑料材质商品包装上呈现的印刷颜色不得超过6色；</w:t>
            </w:r>
          </w:p>
          <w:p w14:paraId="1208FE64">
            <w:pPr>
              <w:rPr>
                <w:rFonts w:hint="eastAsia" w:ascii="宋体" w:hAnsi="宋体" w:eastAsia="宋体" w:cs="宋体"/>
                <w:color w:val="auto"/>
                <w:sz w:val="24"/>
                <w:highlight w:val="none"/>
              </w:rPr>
            </w:pPr>
            <w:r>
              <w:rPr>
                <w:rFonts w:hint="eastAsia" w:ascii="宋体" w:hAnsi="宋体" w:eastAsia="宋体" w:cs="宋体"/>
                <w:color w:val="auto"/>
                <w:sz w:val="24"/>
                <w:highlight w:val="none"/>
              </w:rPr>
              <w:t>6.纸质商品包装应使用75%以上的可再生纤维原料生产；</w:t>
            </w:r>
          </w:p>
          <w:p w14:paraId="702BF793">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7.木质商品包装的原料应来源于可持续性森林</w:t>
            </w:r>
            <w:r>
              <w:rPr>
                <w:rFonts w:hint="eastAsia" w:ascii="宋体" w:hAnsi="宋体" w:eastAsia="宋体" w:cs="宋体"/>
                <w:color w:val="auto"/>
                <w:sz w:val="24"/>
                <w:highlight w:val="none"/>
                <w:lang w:eastAsia="zh-CN"/>
              </w:rPr>
              <w:t>；</w:t>
            </w:r>
          </w:p>
          <w:p w14:paraId="3B744CB1">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rFonts w:hint="eastAsia" w:ascii="宋体" w:hAnsi="宋体" w:eastAsia="宋体" w:cs="宋体"/>
                <w:color w:val="auto"/>
                <w:sz w:val="24"/>
                <w:highlight w:val="none"/>
                <w:lang w:eastAsia="zh-CN"/>
              </w:rPr>
              <w:t>；</w:t>
            </w:r>
          </w:p>
          <w:p w14:paraId="01A93E07">
            <w:pPr>
              <w:rPr>
                <w:rFonts w:hint="eastAsia" w:ascii="宋体" w:hAnsi="宋体" w:eastAsia="宋体" w:cs="宋体"/>
                <w:color w:val="auto"/>
                <w:sz w:val="24"/>
                <w:highlight w:val="none"/>
              </w:rPr>
            </w:pPr>
            <w:r>
              <w:rPr>
                <w:rFonts w:hint="eastAsia" w:ascii="宋体" w:hAnsi="宋体" w:eastAsia="宋体" w:cs="宋体"/>
                <w:color w:val="auto"/>
                <w:sz w:val="24"/>
                <w:highlight w:val="none"/>
              </w:rPr>
              <w:t>9每件包装箱内应附一份详细装箱单和质量合格凭证。</w:t>
            </w:r>
          </w:p>
        </w:tc>
      </w:tr>
      <w:tr w14:paraId="167C009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79" w:hRule="atLeast"/>
          <w:jc w:val="center"/>
        </w:trPr>
        <w:tc>
          <w:tcPr>
            <w:tcW w:w="1891" w:type="dxa"/>
            <w:vMerge w:val="continue"/>
            <w:noWrap w:val="0"/>
            <w:vAlign w:val="center"/>
          </w:tcPr>
          <w:p w14:paraId="707D30DF">
            <w:pPr>
              <w:jc w:val="center"/>
              <w:rPr>
                <w:rFonts w:hint="eastAsia" w:ascii="宋体" w:hAnsi="宋体" w:eastAsia="宋体" w:cs="宋体"/>
                <w:color w:val="auto"/>
                <w:sz w:val="24"/>
                <w:highlight w:val="none"/>
              </w:rPr>
            </w:pPr>
          </w:p>
        </w:tc>
        <w:tc>
          <w:tcPr>
            <w:tcW w:w="2098" w:type="dxa"/>
            <w:noWrap w:val="0"/>
            <w:vAlign w:val="center"/>
          </w:tcPr>
          <w:p w14:paraId="3E58EA3C">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指定现场</w:t>
            </w:r>
          </w:p>
        </w:tc>
        <w:tc>
          <w:tcPr>
            <w:tcW w:w="4530" w:type="dxa"/>
            <w:noWrap w:val="0"/>
            <w:vAlign w:val="center"/>
          </w:tcPr>
          <w:p w14:paraId="68DC527D">
            <w:pPr>
              <w:jc w:val="left"/>
              <w:rPr>
                <w:rFonts w:hint="eastAsia" w:ascii="宋体" w:hAnsi="宋体" w:eastAsia="宋体" w:cs="宋体"/>
                <w:color w:val="auto"/>
                <w:sz w:val="24"/>
                <w:highlight w:val="none"/>
              </w:rPr>
            </w:pPr>
          </w:p>
        </w:tc>
      </w:tr>
      <w:tr w14:paraId="03EEB9C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332" w:hRule="atLeast"/>
          <w:jc w:val="center"/>
        </w:trPr>
        <w:tc>
          <w:tcPr>
            <w:tcW w:w="1891" w:type="dxa"/>
            <w:noWrap w:val="0"/>
            <w:vAlign w:val="center"/>
          </w:tcPr>
          <w:p w14:paraId="5CB3830D">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第二节</w:t>
            </w:r>
          </w:p>
          <w:p w14:paraId="67ADB39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第7.2款</w:t>
            </w:r>
          </w:p>
        </w:tc>
        <w:tc>
          <w:tcPr>
            <w:tcW w:w="2098" w:type="dxa"/>
            <w:noWrap w:val="0"/>
            <w:vAlign w:val="center"/>
          </w:tcPr>
          <w:p w14:paraId="2D3B13CF">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运输特殊要求</w:t>
            </w:r>
          </w:p>
        </w:tc>
        <w:tc>
          <w:tcPr>
            <w:tcW w:w="4530" w:type="dxa"/>
            <w:noWrap w:val="0"/>
            <w:vAlign w:val="center"/>
          </w:tcPr>
          <w:p w14:paraId="6530E2CB">
            <w:pPr>
              <w:rPr>
                <w:rFonts w:hint="eastAsia" w:ascii="宋体" w:hAnsi="宋体" w:eastAsia="宋体" w:cs="宋体"/>
                <w:color w:val="auto"/>
                <w:sz w:val="24"/>
                <w:highlight w:val="none"/>
              </w:rPr>
            </w:pPr>
            <w:r>
              <w:rPr>
                <w:rFonts w:hint="eastAsia" w:ascii="宋体" w:hAnsi="宋体" w:eastAsia="宋体" w:cs="宋体"/>
                <w:color w:val="auto"/>
                <w:sz w:val="24"/>
                <w:highlight w:val="none"/>
              </w:rPr>
              <w:t>1.货物验收合格、交付使用并提供所需单据的日期视为交货日期。</w:t>
            </w:r>
          </w:p>
          <w:p w14:paraId="0F099485">
            <w:pPr>
              <w:pStyle w:val="198"/>
              <w:spacing w:line="24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2.乙方在货物发运手续办理完毕后24小时内或货到48小时前通知甲方，以准备接货。（具体时间根据双方实际需求调整）</w:t>
            </w:r>
          </w:p>
          <w:p w14:paraId="5F1A9D4B">
            <w:pPr>
              <w:rPr>
                <w:rFonts w:hint="eastAsia" w:ascii="宋体" w:hAnsi="宋体" w:eastAsia="宋体" w:cs="宋体"/>
                <w:color w:val="auto"/>
                <w:sz w:val="24"/>
                <w:highlight w:val="none"/>
              </w:rPr>
            </w:pPr>
            <w:r>
              <w:rPr>
                <w:rFonts w:hint="eastAsia" w:ascii="宋体" w:hAnsi="宋体" w:eastAsia="宋体" w:cs="宋体"/>
                <w:color w:val="auto"/>
                <w:sz w:val="24"/>
                <w:highlight w:val="none"/>
              </w:rPr>
              <w:t>3.乙方装运的货物不应超过合同规定的数量或重量。乙方应对超交数量或超重而产生的一切后果负责。</w:t>
            </w:r>
          </w:p>
          <w:p w14:paraId="720FF1D0">
            <w:pPr>
              <w:pStyle w:val="198"/>
              <w:spacing w:line="240" w:lineRule="auto"/>
              <w:ind w:firstLine="0"/>
              <w:rPr>
                <w:rFonts w:hint="eastAsia" w:ascii="宋体" w:hAnsi="宋体" w:eastAsia="宋体" w:cs="宋体"/>
                <w:color w:val="auto"/>
                <w:highlight w:val="none"/>
              </w:rPr>
            </w:pPr>
            <w:r>
              <w:rPr>
                <w:rFonts w:hint="eastAsia" w:ascii="宋体" w:hAnsi="宋体" w:eastAsia="宋体" w:cs="宋体"/>
                <w:color w:val="auto"/>
                <w:sz w:val="24"/>
                <w:szCs w:val="24"/>
                <w:highlight w:val="none"/>
              </w:rPr>
              <w:t>4.货物在交付甲方前发生的风险均由乙方负责。</w:t>
            </w:r>
          </w:p>
        </w:tc>
      </w:tr>
      <w:tr w14:paraId="7E9FE86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79" w:hRule="atLeast"/>
          <w:jc w:val="center"/>
        </w:trPr>
        <w:tc>
          <w:tcPr>
            <w:tcW w:w="1891" w:type="dxa"/>
            <w:noWrap w:val="0"/>
            <w:vAlign w:val="center"/>
          </w:tcPr>
          <w:p w14:paraId="4E45431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第二节</w:t>
            </w:r>
          </w:p>
          <w:p w14:paraId="6AAFA9D9">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第7.3款</w:t>
            </w:r>
          </w:p>
        </w:tc>
        <w:tc>
          <w:tcPr>
            <w:tcW w:w="2098" w:type="dxa"/>
            <w:noWrap w:val="0"/>
            <w:vAlign w:val="center"/>
          </w:tcPr>
          <w:p w14:paraId="3B0312C1">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保险要求</w:t>
            </w:r>
          </w:p>
        </w:tc>
        <w:tc>
          <w:tcPr>
            <w:tcW w:w="4530" w:type="dxa"/>
            <w:noWrap w:val="0"/>
            <w:vAlign w:val="center"/>
          </w:tcPr>
          <w:p w14:paraId="6B66F01B">
            <w:pPr>
              <w:rPr>
                <w:rFonts w:hint="eastAsia" w:ascii="宋体" w:hAnsi="宋体" w:eastAsia="宋体" w:cs="宋体"/>
                <w:color w:val="auto"/>
                <w:sz w:val="24"/>
                <w:highlight w:val="none"/>
              </w:rPr>
            </w:pPr>
            <w:r>
              <w:rPr>
                <w:rFonts w:hint="eastAsia" w:ascii="宋体" w:hAnsi="宋体" w:eastAsia="宋体" w:cs="宋体"/>
                <w:color w:val="auto"/>
                <w:sz w:val="24"/>
                <w:highlight w:val="none"/>
              </w:rPr>
              <w:t>货物交货前由乙方承担保险义务</w:t>
            </w:r>
          </w:p>
        </w:tc>
      </w:tr>
      <w:tr w14:paraId="5064FF3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14" w:hRule="atLeast"/>
          <w:jc w:val="center"/>
        </w:trPr>
        <w:tc>
          <w:tcPr>
            <w:tcW w:w="1891" w:type="dxa"/>
            <w:noWrap w:val="0"/>
            <w:vAlign w:val="center"/>
          </w:tcPr>
          <w:p w14:paraId="5824EF8E">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第二节</w:t>
            </w:r>
          </w:p>
          <w:p w14:paraId="4BF8003F">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第8.2（1）项</w:t>
            </w:r>
          </w:p>
        </w:tc>
        <w:tc>
          <w:tcPr>
            <w:tcW w:w="2098" w:type="dxa"/>
            <w:noWrap w:val="0"/>
            <w:vAlign w:val="center"/>
          </w:tcPr>
          <w:p w14:paraId="7865BCDC">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质量保证期</w:t>
            </w:r>
          </w:p>
        </w:tc>
        <w:tc>
          <w:tcPr>
            <w:tcW w:w="4530" w:type="dxa"/>
            <w:noWrap w:val="0"/>
            <w:vAlign w:val="center"/>
          </w:tcPr>
          <w:p w14:paraId="0E175B79">
            <w:pPr>
              <w:pStyle w:val="3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货物免费质保期</w:t>
            </w:r>
            <w:r>
              <w:rPr>
                <w:rFonts w:hint="eastAsia" w:ascii="宋体" w:hAnsi="宋体" w:eastAsia="宋体" w:cs="宋体"/>
                <w:color w:val="auto"/>
                <w:highlight w:val="none"/>
                <w:u w:val="single"/>
                <w:lang w:val="en-US" w:eastAsia="zh-CN"/>
              </w:rPr>
              <w:t>3</w:t>
            </w:r>
            <w:r>
              <w:rPr>
                <w:rFonts w:hint="eastAsia" w:ascii="宋体" w:hAnsi="宋体" w:eastAsia="宋体" w:cs="宋体"/>
                <w:color w:val="auto"/>
                <w:highlight w:val="none"/>
              </w:rPr>
              <w:t>年。（自交货验收合格之日起计），因人为因素出现的故障不在免费保修范围内。超过保修期的机器设备，终身维修，维修时只收部件成本费。服务期内提供所有软件产品的免费升级服务和教学应用技术服务。</w:t>
            </w:r>
          </w:p>
        </w:tc>
      </w:tr>
      <w:tr w14:paraId="72BB072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50" w:hRule="atLeast"/>
          <w:jc w:val="center"/>
        </w:trPr>
        <w:tc>
          <w:tcPr>
            <w:tcW w:w="1891" w:type="dxa"/>
            <w:noWrap w:val="0"/>
            <w:vAlign w:val="center"/>
          </w:tcPr>
          <w:p w14:paraId="60EAF37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第二节</w:t>
            </w:r>
          </w:p>
          <w:p w14:paraId="655BFFA4">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第8.2（3）项</w:t>
            </w:r>
          </w:p>
        </w:tc>
        <w:tc>
          <w:tcPr>
            <w:tcW w:w="2098" w:type="dxa"/>
            <w:noWrap w:val="0"/>
            <w:vAlign w:val="center"/>
          </w:tcPr>
          <w:p w14:paraId="69A54396">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货物质量缺陷</w:t>
            </w:r>
          </w:p>
          <w:p w14:paraId="47C4E78E">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响应时间</w:t>
            </w:r>
          </w:p>
        </w:tc>
        <w:tc>
          <w:tcPr>
            <w:tcW w:w="4530" w:type="dxa"/>
            <w:noWrap w:val="0"/>
            <w:vAlign w:val="center"/>
          </w:tcPr>
          <w:p w14:paraId="6005076A">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如在使用过程中发生质量问题，乙方</w:t>
            </w:r>
            <w:r>
              <w:rPr>
                <w:rFonts w:hint="eastAsia" w:ascii="宋体" w:hAnsi="宋体" w:eastAsia="宋体" w:cs="宋体"/>
                <w:color w:val="auto"/>
                <w:sz w:val="24"/>
                <w:highlight w:val="none"/>
                <w:lang w:val="en-US" w:eastAsia="zh-CN"/>
              </w:rPr>
              <w:t>需</w:t>
            </w:r>
            <w:r>
              <w:rPr>
                <w:rFonts w:hint="eastAsia" w:ascii="宋体" w:hAnsi="宋体" w:eastAsia="宋体" w:cs="宋体"/>
                <w:color w:val="auto"/>
                <w:sz w:val="24"/>
                <w:highlight w:val="none"/>
              </w:rPr>
              <w:t>在</w:t>
            </w:r>
            <w:r>
              <w:rPr>
                <w:rFonts w:hint="eastAsia" w:ascii="宋体" w:hAnsi="宋体" w:eastAsia="宋体" w:cs="宋体"/>
                <w:color w:val="auto"/>
                <w:sz w:val="24"/>
                <w:highlight w:val="none"/>
                <w:lang w:val="en-US" w:eastAsia="zh-CN"/>
              </w:rPr>
              <w:t>1小时内响应，</w:t>
            </w:r>
            <w:r>
              <w:rPr>
                <w:rFonts w:hint="eastAsia" w:ascii="宋体" w:hAnsi="宋体" w:eastAsia="宋体" w:cs="宋体"/>
                <w:color w:val="auto"/>
                <w:sz w:val="24"/>
                <w:highlight w:val="none"/>
              </w:rPr>
              <w:t>接到甲方通知后在</w:t>
            </w:r>
            <w:r>
              <w:rPr>
                <w:rFonts w:hint="eastAsia" w:ascii="宋体" w:hAnsi="宋体" w:eastAsia="宋体" w:cs="宋体"/>
                <w:color w:val="auto"/>
                <w:sz w:val="24"/>
                <w:highlight w:val="none"/>
                <w:u w:val="single"/>
                <w:lang w:val="en-US" w:eastAsia="zh-CN"/>
              </w:rPr>
              <w:t>12</w:t>
            </w:r>
            <w:r>
              <w:rPr>
                <w:rFonts w:hint="eastAsia" w:ascii="宋体" w:hAnsi="宋体" w:eastAsia="宋体" w:cs="宋体"/>
                <w:color w:val="auto"/>
                <w:sz w:val="24"/>
                <w:highlight w:val="none"/>
              </w:rPr>
              <w:t>小时内到达甲方现场。</w:t>
            </w:r>
          </w:p>
        </w:tc>
      </w:tr>
      <w:tr w14:paraId="5797F57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215" w:hRule="atLeast"/>
          <w:jc w:val="center"/>
        </w:trPr>
        <w:tc>
          <w:tcPr>
            <w:tcW w:w="1891" w:type="dxa"/>
            <w:noWrap w:val="0"/>
            <w:vAlign w:val="center"/>
          </w:tcPr>
          <w:p w14:paraId="242D296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第二节</w:t>
            </w:r>
          </w:p>
          <w:p w14:paraId="3B31299F">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第8款补充</w:t>
            </w:r>
          </w:p>
        </w:tc>
        <w:tc>
          <w:tcPr>
            <w:tcW w:w="2098" w:type="dxa"/>
            <w:noWrap w:val="0"/>
            <w:vAlign w:val="center"/>
          </w:tcPr>
          <w:p w14:paraId="266CF620">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质量保证要求</w:t>
            </w:r>
          </w:p>
        </w:tc>
        <w:tc>
          <w:tcPr>
            <w:tcW w:w="4530" w:type="dxa"/>
            <w:noWrap w:val="0"/>
            <w:vAlign w:val="center"/>
          </w:tcPr>
          <w:p w14:paraId="060AC293">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 在质保期内，乙方应对货物出现的质量及安全问题负责处理解决并承担一切费用（因甲方不当使用的除外）。</w:t>
            </w:r>
          </w:p>
          <w:p w14:paraId="54F214B7">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2.乙方应按照国家有关法律法规规章和“三包”规定以及招标文件售后服务要求及投标文件售后服务承诺提供售后服务。</w:t>
            </w:r>
          </w:p>
          <w:p w14:paraId="53FBD2E9">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3.所有货物保修服务方式均为乙方上门保修，由乙方派员到货物使用现场维修，所产生的一切费用由乙方承担（双方视项目情况调整）。</w:t>
            </w:r>
          </w:p>
          <w:p w14:paraId="5F93E70D">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2501D2C9">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5.甲方有权对乙方进行飞行检查，如果发现任何问题乙方必须无条件返工，甚至可以终止合同，乙方需赔偿甲方因此而造成的所有损失，飞行检查过程中发生的食宿、交通等费用由甲方自行承担。</w:t>
            </w:r>
          </w:p>
          <w:p w14:paraId="61B47CE5">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239BC07B">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62FE74E4">
            <w:pPr>
              <w:pStyle w:val="32"/>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14:paraId="50D3641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98" w:hRule="atLeast"/>
          <w:jc w:val="center"/>
        </w:trPr>
        <w:tc>
          <w:tcPr>
            <w:tcW w:w="1891" w:type="dxa"/>
            <w:noWrap w:val="0"/>
            <w:vAlign w:val="center"/>
          </w:tcPr>
          <w:p w14:paraId="37C3EBD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第二节</w:t>
            </w:r>
          </w:p>
          <w:p w14:paraId="79E8ADD6">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第11.1款</w:t>
            </w:r>
          </w:p>
        </w:tc>
        <w:tc>
          <w:tcPr>
            <w:tcW w:w="2098" w:type="dxa"/>
            <w:noWrap w:val="0"/>
            <w:vAlign w:val="center"/>
          </w:tcPr>
          <w:p w14:paraId="6734314B">
            <w:pPr>
              <w:rPr>
                <w:rFonts w:hint="eastAsia" w:ascii="宋体" w:hAnsi="宋体" w:eastAsia="宋体" w:cs="宋体"/>
                <w:color w:val="auto"/>
                <w:sz w:val="24"/>
                <w:highlight w:val="none"/>
              </w:rPr>
            </w:pPr>
            <w:r>
              <w:rPr>
                <w:rFonts w:hint="eastAsia" w:ascii="宋体" w:hAnsi="宋体" w:eastAsia="宋体" w:cs="宋体"/>
                <w:color w:val="auto"/>
                <w:sz w:val="24"/>
                <w:highlight w:val="none"/>
              </w:rPr>
              <w:t>其他应当保密的信息</w:t>
            </w:r>
          </w:p>
        </w:tc>
        <w:tc>
          <w:tcPr>
            <w:tcW w:w="4530" w:type="dxa"/>
            <w:noWrap w:val="0"/>
            <w:vAlign w:val="center"/>
          </w:tcPr>
          <w:p w14:paraId="6C90F036">
            <w:pPr>
              <w:jc w:val="left"/>
              <w:rPr>
                <w:rFonts w:hint="eastAsia" w:ascii="宋体" w:hAnsi="宋体" w:eastAsia="宋体" w:cs="宋体"/>
                <w:color w:val="auto"/>
                <w:sz w:val="24"/>
                <w:highlight w:val="none"/>
              </w:rPr>
            </w:pPr>
          </w:p>
        </w:tc>
      </w:tr>
      <w:tr w14:paraId="39C5692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642" w:hRule="atLeast"/>
          <w:jc w:val="center"/>
        </w:trPr>
        <w:tc>
          <w:tcPr>
            <w:tcW w:w="1891" w:type="dxa"/>
            <w:noWrap w:val="0"/>
            <w:vAlign w:val="center"/>
          </w:tcPr>
          <w:p w14:paraId="1F8751DE">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第二节</w:t>
            </w:r>
          </w:p>
          <w:p w14:paraId="2F10033E">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第12.2款</w:t>
            </w:r>
          </w:p>
        </w:tc>
        <w:tc>
          <w:tcPr>
            <w:tcW w:w="2098" w:type="dxa"/>
            <w:noWrap w:val="0"/>
            <w:vAlign w:val="center"/>
          </w:tcPr>
          <w:p w14:paraId="735515B8">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合同价款支付时间及要求</w:t>
            </w:r>
          </w:p>
        </w:tc>
        <w:tc>
          <w:tcPr>
            <w:tcW w:w="4530" w:type="dxa"/>
            <w:noWrap w:val="0"/>
            <w:vAlign w:val="center"/>
          </w:tcPr>
          <w:p w14:paraId="70321908">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1.合同款项的支付方式及进度安排：</w:t>
            </w:r>
          </w:p>
          <w:p w14:paraId="4C1F5BA3">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①合同签订后支付</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0%的预付款。</w:t>
            </w:r>
          </w:p>
          <w:p w14:paraId="298101F2">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②验收合格后付至合同价款的90%</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含已付</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00E11728">
            <w:pPr>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③验收合格之日起算满</w:t>
            </w:r>
            <w:r>
              <w:rPr>
                <w:rFonts w:hint="eastAsia" w:ascii="宋体" w:hAnsi="宋体" w:eastAsia="宋体" w:cs="宋体"/>
                <w:color w:val="auto"/>
                <w:sz w:val="24"/>
                <w:highlight w:val="none"/>
                <w:lang w:val="en-US" w:eastAsia="zh-CN"/>
              </w:rPr>
              <w:t>质保期（3年）</w:t>
            </w:r>
            <w:r>
              <w:rPr>
                <w:rFonts w:hint="eastAsia" w:ascii="宋体" w:hAnsi="宋体" w:eastAsia="宋体" w:cs="宋体"/>
                <w:color w:val="auto"/>
                <w:sz w:val="24"/>
                <w:highlight w:val="none"/>
              </w:rPr>
              <w:t>后支付清余款</w:t>
            </w:r>
            <w:r>
              <w:rPr>
                <w:rFonts w:hint="eastAsia" w:ascii="宋体" w:hAnsi="宋体" w:eastAsia="宋体" w:cs="宋体"/>
                <w:color w:val="auto"/>
                <w:sz w:val="24"/>
                <w:highlight w:val="none"/>
                <w:lang w:eastAsia="zh-CN"/>
              </w:rPr>
              <w:t>。</w:t>
            </w:r>
          </w:p>
          <w:p w14:paraId="62964432">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0C1AD407">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发票；</w:t>
            </w:r>
          </w:p>
          <w:p w14:paraId="2C41443B">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制造厂家出具的质量检验证书等；</w:t>
            </w:r>
          </w:p>
          <w:p w14:paraId="6E9A95C4">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装箱单；</w:t>
            </w:r>
          </w:p>
          <w:p w14:paraId="6745FE18">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甲方加盖公章证明交付使用合格的验收单。</w:t>
            </w:r>
          </w:p>
        </w:tc>
      </w:tr>
      <w:tr w14:paraId="1FA79B5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642" w:hRule="atLeast"/>
          <w:jc w:val="center"/>
        </w:trPr>
        <w:tc>
          <w:tcPr>
            <w:tcW w:w="1891" w:type="dxa"/>
            <w:noWrap w:val="0"/>
            <w:vAlign w:val="center"/>
          </w:tcPr>
          <w:p w14:paraId="0AD7B37F">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第二节</w:t>
            </w:r>
          </w:p>
          <w:p w14:paraId="3B6AC22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第13.2款</w:t>
            </w:r>
          </w:p>
        </w:tc>
        <w:tc>
          <w:tcPr>
            <w:tcW w:w="2098" w:type="dxa"/>
            <w:noWrap w:val="0"/>
            <w:vAlign w:val="center"/>
          </w:tcPr>
          <w:p w14:paraId="1BB31739">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履约保证金不予退还的情形</w:t>
            </w:r>
          </w:p>
        </w:tc>
        <w:tc>
          <w:tcPr>
            <w:tcW w:w="4530" w:type="dxa"/>
            <w:noWrap w:val="0"/>
            <w:vAlign w:val="center"/>
          </w:tcPr>
          <w:p w14:paraId="63E7808D">
            <w:pPr>
              <w:rPr>
                <w:rFonts w:hint="eastAsia" w:ascii="宋体" w:hAnsi="宋体" w:eastAsia="宋体" w:cs="宋体"/>
                <w:color w:val="auto"/>
                <w:sz w:val="24"/>
                <w:highlight w:val="none"/>
              </w:rPr>
            </w:pPr>
            <w:r>
              <w:rPr>
                <w:rFonts w:hint="eastAsia" w:ascii="宋体" w:hAnsi="宋体" w:eastAsia="宋体" w:cs="宋体"/>
                <w:color w:val="auto"/>
                <w:sz w:val="24"/>
                <w:highlight w:val="none"/>
              </w:rPr>
              <w:t>除不可抗力情况外，投标人出现下列情形之一的，其履约保证金，招标人将视情节决定不予退还或部分不予退还。</w:t>
            </w:r>
          </w:p>
          <w:p w14:paraId="6E1ACB0E">
            <w:pPr>
              <w:rPr>
                <w:rFonts w:hint="eastAsia" w:ascii="宋体" w:hAnsi="宋体" w:eastAsia="宋体" w:cs="宋体"/>
                <w:color w:val="auto"/>
                <w:sz w:val="24"/>
                <w:highlight w:val="none"/>
              </w:rPr>
            </w:pPr>
            <w:r>
              <w:rPr>
                <w:rFonts w:hint="eastAsia" w:ascii="宋体" w:hAnsi="宋体" w:eastAsia="宋体" w:cs="宋体"/>
                <w:color w:val="auto"/>
                <w:sz w:val="24"/>
                <w:highlight w:val="none"/>
              </w:rPr>
              <w:t>（1）中标人无正当理由拒绝签订合同的，或者在签订合同时向采购人提出附加条件或者更改合同实质性内容要求的；</w:t>
            </w:r>
          </w:p>
          <w:p w14:paraId="07D4A383">
            <w:pPr>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（2）中标人不履行与采购人订立的合同的；</w:t>
            </w:r>
          </w:p>
          <w:p w14:paraId="44296055">
            <w:pPr>
              <w:rPr>
                <w:rFonts w:hint="eastAsia" w:ascii="宋体" w:hAnsi="宋体" w:eastAsia="宋体" w:cs="宋体"/>
                <w:color w:val="auto"/>
                <w:sz w:val="24"/>
                <w:highlight w:val="none"/>
              </w:rPr>
            </w:pPr>
            <w:r>
              <w:rPr>
                <w:rFonts w:hint="eastAsia" w:ascii="宋体" w:hAnsi="宋体" w:eastAsia="宋体" w:cs="宋体"/>
                <w:color w:val="auto"/>
                <w:sz w:val="24"/>
                <w:highlight w:val="none"/>
              </w:rPr>
              <w:t>（3）中标人所供货物或服务不符合招标文件规定要求的；</w:t>
            </w:r>
          </w:p>
          <w:p w14:paraId="4804D54B">
            <w:pPr>
              <w:rPr>
                <w:rFonts w:hint="eastAsia" w:ascii="宋体" w:hAnsi="宋体" w:eastAsia="宋体" w:cs="宋体"/>
                <w:color w:val="auto"/>
                <w:sz w:val="24"/>
                <w:highlight w:val="none"/>
              </w:rPr>
            </w:pPr>
            <w:r>
              <w:rPr>
                <w:rFonts w:hint="eastAsia" w:ascii="宋体" w:hAnsi="宋体" w:eastAsia="宋体" w:cs="宋体"/>
                <w:color w:val="auto"/>
                <w:sz w:val="24"/>
                <w:highlight w:val="none"/>
              </w:rPr>
              <w:t>（4）中标人采取欺骗、弄虚作假方式投标的或与其他投标人串通投标的；</w:t>
            </w:r>
          </w:p>
          <w:p w14:paraId="580780CF">
            <w:pPr>
              <w:rPr>
                <w:rFonts w:hint="eastAsia" w:ascii="宋体" w:hAnsi="宋体" w:eastAsia="宋体" w:cs="宋体"/>
                <w:color w:val="auto"/>
                <w:sz w:val="24"/>
                <w:highlight w:val="none"/>
              </w:rPr>
            </w:pPr>
            <w:r>
              <w:rPr>
                <w:rFonts w:hint="eastAsia" w:ascii="宋体" w:hAnsi="宋体" w:eastAsia="宋体" w:cs="宋体"/>
                <w:color w:val="auto"/>
                <w:sz w:val="24"/>
                <w:highlight w:val="none"/>
              </w:rPr>
              <w:t>（5）中标人将合同内容转包、违法分包的；</w:t>
            </w:r>
          </w:p>
          <w:p w14:paraId="1DCD3188">
            <w:pPr>
              <w:rPr>
                <w:rFonts w:hint="eastAsia" w:ascii="宋体" w:hAnsi="宋体" w:eastAsia="宋体" w:cs="宋体"/>
                <w:color w:val="auto"/>
                <w:sz w:val="24"/>
                <w:highlight w:val="none"/>
              </w:rPr>
            </w:pPr>
            <w:r>
              <w:rPr>
                <w:rFonts w:hint="eastAsia" w:ascii="宋体" w:hAnsi="宋体" w:eastAsia="宋体" w:cs="宋体"/>
                <w:color w:val="auto"/>
                <w:sz w:val="24"/>
                <w:highlight w:val="none"/>
              </w:rPr>
              <w:t>（6）中标人故意捏造事实或伪造证明材料，进行虚假恶意投诉或反映的。</w:t>
            </w:r>
          </w:p>
        </w:tc>
      </w:tr>
      <w:tr w14:paraId="42E0E0E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314" w:hRule="atLeast"/>
          <w:jc w:val="center"/>
        </w:trPr>
        <w:tc>
          <w:tcPr>
            <w:tcW w:w="1891" w:type="dxa"/>
            <w:noWrap w:val="0"/>
            <w:vAlign w:val="center"/>
          </w:tcPr>
          <w:p w14:paraId="79BF703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第二节</w:t>
            </w:r>
          </w:p>
          <w:p w14:paraId="67AACBA2">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第13.3款</w:t>
            </w:r>
          </w:p>
        </w:tc>
        <w:tc>
          <w:tcPr>
            <w:tcW w:w="2098" w:type="dxa"/>
            <w:noWrap w:val="0"/>
            <w:vAlign w:val="center"/>
          </w:tcPr>
          <w:p w14:paraId="61D2E801">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履约保证金退还时间及逾期退还的违约金</w:t>
            </w:r>
          </w:p>
        </w:tc>
        <w:tc>
          <w:tcPr>
            <w:tcW w:w="4530" w:type="dxa"/>
            <w:noWrap w:val="0"/>
            <w:vAlign w:val="center"/>
          </w:tcPr>
          <w:p w14:paraId="4C0283AE">
            <w:pP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合同履行结束后，甲方应及时退还交纳的履约保证金。</w:t>
            </w:r>
          </w:p>
          <w:p w14:paraId="2E348533">
            <w:pP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退还方式：退还至投标人缴纳履约保证金的账户。如为保函，在到期时自行失效。</w:t>
            </w:r>
          </w:p>
          <w:p w14:paraId="0797080F">
            <w:pP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退还时间：验收合格且甲方收到发票后30日内。</w:t>
            </w:r>
          </w:p>
          <w:p w14:paraId="34F01C18">
            <w:pP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退还条件：按合同要求全部履约完成并经采购人验收合格，且采购人收到中标人出具的发票。</w:t>
            </w:r>
          </w:p>
          <w:p w14:paraId="682F2C6C">
            <w:pP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逾期退还的违约责任：采购人逾期无故未退还履约保证金的，按中国人民银行同期贷款基准利率上浮20%后的利率支付超期资金占用费，但因供应商自身原因导致无法及时退还的除外。</w:t>
            </w:r>
          </w:p>
        </w:tc>
      </w:tr>
      <w:tr w14:paraId="36F3D9B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10" w:hRule="atLeast"/>
          <w:jc w:val="center"/>
        </w:trPr>
        <w:tc>
          <w:tcPr>
            <w:tcW w:w="1891" w:type="dxa"/>
            <w:noWrap w:val="0"/>
            <w:vAlign w:val="center"/>
          </w:tcPr>
          <w:p w14:paraId="0C05ED3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第二节</w:t>
            </w:r>
          </w:p>
          <w:p w14:paraId="5BCAD3E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第14.1（3）项</w:t>
            </w:r>
          </w:p>
        </w:tc>
        <w:tc>
          <w:tcPr>
            <w:tcW w:w="2098" w:type="dxa"/>
            <w:noWrap w:val="0"/>
            <w:vAlign w:val="center"/>
          </w:tcPr>
          <w:p w14:paraId="56960376">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运行监督、维修期限</w:t>
            </w:r>
          </w:p>
        </w:tc>
        <w:tc>
          <w:tcPr>
            <w:tcW w:w="4530" w:type="dxa"/>
            <w:noWrap w:val="0"/>
            <w:vAlign w:val="center"/>
          </w:tcPr>
          <w:p w14:paraId="0D8DB2E6">
            <w:pPr>
              <w:jc w:val="left"/>
              <w:rPr>
                <w:rFonts w:hint="eastAsia" w:ascii="宋体" w:hAnsi="宋体" w:eastAsia="宋体" w:cs="宋体"/>
                <w:color w:val="auto"/>
                <w:sz w:val="24"/>
                <w:highlight w:val="none"/>
              </w:rPr>
            </w:pPr>
          </w:p>
        </w:tc>
      </w:tr>
      <w:tr w14:paraId="5D5A065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10" w:hRule="atLeast"/>
          <w:jc w:val="center"/>
        </w:trPr>
        <w:tc>
          <w:tcPr>
            <w:tcW w:w="1891" w:type="dxa"/>
            <w:noWrap w:val="0"/>
            <w:vAlign w:val="center"/>
          </w:tcPr>
          <w:p w14:paraId="6A06C7E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第二节</w:t>
            </w:r>
          </w:p>
          <w:p w14:paraId="54F9CF00">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第14.1（5）项</w:t>
            </w:r>
          </w:p>
        </w:tc>
        <w:tc>
          <w:tcPr>
            <w:tcW w:w="2098" w:type="dxa"/>
            <w:noWrap w:val="0"/>
            <w:vAlign w:val="center"/>
          </w:tcPr>
          <w:p w14:paraId="6030E607">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货物回收的约定</w:t>
            </w:r>
          </w:p>
        </w:tc>
        <w:tc>
          <w:tcPr>
            <w:tcW w:w="4530" w:type="dxa"/>
            <w:noWrap w:val="0"/>
            <w:vAlign w:val="center"/>
          </w:tcPr>
          <w:p w14:paraId="400D7ACE">
            <w:pPr>
              <w:jc w:val="left"/>
              <w:rPr>
                <w:rFonts w:hint="eastAsia" w:ascii="宋体" w:hAnsi="宋体" w:eastAsia="宋体" w:cs="宋体"/>
                <w:color w:val="auto"/>
                <w:sz w:val="24"/>
                <w:highlight w:val="none"/>
              </w:rPr>
            </w:pPr>
          </w:p>
        </w:tc>
      </w:tr>
      <w:tr w14:paraId="3E3432D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98" w:hRule="atLeast"/>
          <w:jc w:val="center"/>
        </w:trPr>
        <w:tc>
          <w:tcPr>
            <w:tcW w:w="1891" w:type="dxa"/>
            <w:noWrap w:val="0"/>
            <w:vAlign w:val="center"/>
          </w:tcPr>
          <w:p w14:paraId="67D28258">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第二节</w:t>
            </w:r>
          </w:p>
          <w:p w14:paraId="1D411AD7">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第14.1（6）项</w:t>
            </w:r>
          </w:p>
        </w:tc>
        <w:tc>
          <w:tcPr>
            <w:tcW w:w="2098" w:type="dxa"/>
            <w:noWrap w:val="0"/>
            <w:vAlign w:val="center"/>
          </w:tcPr>
          <w:p w14:paraId="231D2F4C">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乙方提供的其他服务</w:t>
            </w:r>
          </w:p>
        </w:tc>
        <w:tc>
          <w:tcPr>
            <w:tcW w:w="4530" w:type="dxa"/>
            <w:noWrap w:val="0"/>
            <w:vAlign w:val="center"/>
          </w:tcPr>
          <w:p w14:paraId="50F44E06">
            <w:pPr>
              <w:jc w:val="left"/>
              <w:rPr>
                <w:rFonts w:hint="eastAsia" w:ascii="宋体" w:hAnsi="宋体" w:eastAsia="宋体" w:cs="宋体"/>
                <w:color w:val="auto"/>
                <w:sz w:val="24"/>
                <w:highlight w:val="none"/>
              </w:rPr>
            </w:pPr>
          </w:p>
        </w:tc>
      </w:tr>
      <w:tr w14:paraId="750F504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23" w:hRule="atLeast"/>
          <w:jc w:val="center"/>
        </w:trPr>
        <w:tc>
          <w:tcPr>
            <w:tcW w:w="1891" w:type="dxa"/>
            <w:noWrap w:val="0"/>
            <w:vAlign w:val="center"/>
          </w:tcPr>
          <w:p w14:paraId="7C8939F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第二节</w:t>
            </w:r>
          </w:p>
          <w:p w14:paraId="7F4A96B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第15.1款</w:t>
            </w:r>
          </w:p>
        </w:tc>
        <w:tc>
          <w:tcPr>
            <w:tcW w:w="2098" w:type="dxa"/>
            <w:noWrap w:val="0"/>
            <w:vAlign w:val="center"/>
          </w:tcPr>
          <w:p w14:paraId="570474DF">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修理、重做、更换相关具体规定</w:t>
            </w:r>
          </w:p>
        </w:tc>
        <w:tc>
          <w:tcPr>
            <w:tcW w:w="4530" w:type="dxa"/>
            <w:noWrap w:val="0"/>
            <w:vAlign w:val="center"/>
          </w:tcPr>
          <w:p w14:paraId="7FA71578">
            <w:pPr>
              <w:numPr>
                <w:ilvl w:val="0"/>
                <w:numId w:val="0"/>
              </w:numPr>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sz w:val="24"/>
                <w:highlight w:val="none"/>
              </w:rPr>
              <w:t>详见合同通用条款8.2条款、合同专用条款第二节第8款补充条款及合同专用条款中索赔条款。</w:t>
            </w:r>
          </w:p>
          <w:p w14:paraId="3617850E">
            <w:pPr>
              <w:numPr>
                <w:ilvl w:val="0"/>
                <w:numId w:val="0"/>
              </w:numPr>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14:paraId="1EB5407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891" w:type="dxa"/>
            <w:noWrap w:val="0"/>
            <w:vAlign w:val="center"/>
          </w:tcPr>
          <w:p w14:paraId="51CF9C0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第二节</w:t>
            </w:r>
          </w:p>
          <w:p w14:paraId="33B7AB7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第15.2（2）项</w:t>
            </w:r>
          </w:p>
        </w:tc>
        <w:tc>
          <w:tcPr>
            <w:tcW w:w="2098" w:type="dxa"/>
            <w:noWrap w:val="0"/>
            <w:vAlign w:val="center"/>
          </w:tcPr>
          <w:p w14:paraId="21DA01BC">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迟延交货赔偿费</w:t>
            </w:r>
          </w:p>
        </w:tc>
        <w:tc>
          <w:tcPr>
            <w:tcW w:w="4530" w:type="dxa"/>
            <w:noWrap w:val="0"/>
            <w:vAlign w:val="center"/>
          </w:tcPr>
          <w:p w14:paraId="456511E5">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1.乙方应按照“开标（报价）一览表”中规定的交货期或承诺交货和提供服务，并交付甲方验收使用。</w:t>
            </w:r>
          </w:p>
          <w:p w14:paraId="2714432B">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2.如果乙方无正当理由拖延交货，将受到以下制裁：加收误期赔偿或终止合同。</w:t>
            </w:r>
          </w:p>
          <w:p w14:paraId="36778D8A">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 乙方逾期交付货物的，乙方应按逾期交货总额每日</w:t>
            </w:r>
            <w:r>
              <w:rPr>
                <w:rFonts w:hint="eastAsia" w:ascii="宋体" w:hAnsi="宋体" w:eastAsia="宋体" w:cs="宋体"/>
                <w:color w:val="auto"/>
                <w:sz w:val="24"/>
                <w:highlight w:val="none"/>
                <w:u w:val="single"/>
              </w:rPr>
              <w:t>千分之五</w:t>
            </w:r>
            <w:r>
              <w:rPr>
                <w:rFonts w:hint="eastAsia" w:ascii="宋体" w:hAnsi="宋体" w:eastAsia="宋体" w:cs="宋体"/>
                <w:color w:val="auto"/>
                <w:sz w:val="24"/>
                <w:highlight w:val="none"/>
              </w:rPr>
              <w:t>向甲方支付违约金，由甲方从待付款项中扣除。逾期超过约定日期</w:t>
            </w:r>
            <w:r>
              <w:rPr>
                <w:rFonts w:hint="eastAsia" w:ascii="宋体" w:hAnsi="宋体" w:eastAsia="宋体" w:cs="宋体"/>
                <w:color w:val="auto"/>
                <w:sz w:val="24"/>
                <w:highlight w:val="none"/>
                <w:u w:val="single"/>
              </w:rPr>
              <w:t>10</w:t>
            </w:r>
            <w:r>
              <w:rPr>
                <w:rFonts w:hint="eastAsia" w:ascii="宋体" w:hAnsi="宋体" w:eastAsia="宋体" w:cs="宋体"/>
                <w:color w:val="auto"/>
                <w:sz w:val="24"/>
                <w:highlight w:val="none"/>
              </w:rPr>
              <w:t>个工作日不能交货的，甲方可解除本合同。乙方因逾期交货或因其他违约行为导致甲方解除合同的，乙方应向甲方支付合同总值</w:t>
            </w:r>
            <w:r>
              <w:rPr>
                <w:rFonts w:hint="eastAsia" w:ascii="宋体" w:hAnsi="宋体" w:eastAsia="宋体" w:cs="宋体"/>
                <w:color w:val="auto"/>
                <w:sz w:val="24"/>
                <w:highlight w:val="none"/>
                <w:u w:val="single"/>
              </w:rPr>
              <w:t>10%</w:t>
            </w:r>
            <w:r>
              <w:rPr>
                <w:rFonts w:hint="eastAsia" w:ascii="宋体" w:hAnsi="宋体" w:eastAsia="宋体" w:cs="宋体"/>
                <w:color w:val="auto"/>
                <w:sz w:val="24"/>
                <w:highlight w:val="none"/>
              </w:rPr>
              <w:t xml:space="preserve">的违约金，如造成甲方损失超过违约金的，超出部分由乙方继续承担赔偿责任。 </w:t>
            </w:r>
          </w:p>
          <w:p w14:paraId="76D4ACBE">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4.如乙方不能交付货物，或者有违法转包他人情形，乙方应向甲方支付合同总价</w:t>
            </w:r>
            <w:r>
              <w:rPr>
                <w:rFonts w:hint="eastAsia" w:ascii="宋体" w:hAnsi="宋体" w:eastAsia="宋体" w:cs="宋体"/>
                <w:color w:val="auto"/>
                <w:sz w:val="24"/>
                <w:highlight w:val="none"/>
                <w:u w:val="single"/>
              </w:rPr>
              <w:t>10%</w:t>
            </w:r>
            <w:r>
              <w:rPr>
                <w:rFonts w:hint="eastAsia" w:ascii="宋体" w:hAnsi="宋体" w:eastAsia="宋体" w:cs="宋体"/>
                <w:color w:val="auto"/>
                <w:sz w:val="24"/>
                <w:highlight w:val="none"/>
              </w:rPr>
              <w:t>的滞纳金。</w:t>
            </w:r>
          </w:p>
        </w:tc>
      </w:tr>
      <w:tr w14:paraId="160BE0C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96" w:hRule="atLeast"/>
          <w:jc w:val="center"/>
        </w:trPr>
        <w:tc>
          <w:tcPr>
            <w:tcW w:w="1891" w:type="dxa"/>
            <w:noWrap w:val="0"/>
            <w:vAlign w:val="center"/>
          </w:tcPr>
          <w:p w14:paraId="2A762C5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第二节</w:t>
            </w:r>
          </w:p>
          <w:p w14:paraId="2CC888A5">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第15.3款</w:t>
            </w:r>
          </w:p>
        </w:tc>
        <w:tc>
          <w:tcPr>
            <w:tcW w:w="2098" w:type="dxa"/>
            <w:noWrap w:val="0"/>
            <w:vAlign w:val="center"/>
          </w:tcPr>
          <w:p w14:paraId="34B0C7FC">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逾期付款利息</w:t>
            </w:r>
          </w:p>
        </w:tc>
        <w:tc>
          <w:tcPr>
            <w:tcW w:w="4530" w:type="dxa"/>
            <w:noWrap w:val="0"/>
            <w:vAlign w:val="center"/>
          </w:tcPr>
          <w:p w14:paraId="5BD30284">
            <w:pPr>
              <w:pStyle w:val="3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1.甲方无正当理由拒收货物的，甲方向乙方偿付拒收货款总值</w:t>
            </w:r>
            <w:r>
              <w:rPr>
                <w:rFonts w:hint="eastAsia" w:ascii="宋体" w:hAnsi="宋体" w:eastAsia="宋体" w:cs="宋体"/>
                <w:color w:val="auto"/>
                <w:highlight w:val="none"/>
                <w:u w:val="single"/>
              </w:rPr>
              <w:t>10%</w:t>
            </w:r>
            <w:r>
              <w:rPr>
                <w:rFonts w:hint="eastAsia" w:ascii="宋体" w:hAnsi="宋体" w:eastAsia="宋体" w:cs="宋体"/>
                <w:color w:val="auto"/>
                <w:highlight w:val="none"/>
              </w:rPr>
              <w:t>的违约金。</w:t>
            </w:r>
          </w:p>
          <w:p w14:paraId="1902A1AC">
            <w:pPr>
              <w:pStyle w:val="32"/>
              <w:spacing w:beforeAutospacing="0" w:afterAutospacing="0"/>
              <w:jc w:val="both"/>
              <w:rPr>
                <w:rFonts w:hint="eastAsia" w:ascii="宋体" w:hAnsi="宋体" w:eastAsia="宋体" w:cs="宋体"/>
                <w:color w:val="auto"/>
                <w:highlight w:val="none"/>
                <w:u w:val="single"/>
              </w:rPr>
            </w:pPr>
            <w:r>
              <w:rPr>
                <w:rFonts w:hint="eastAsia" w:ascii="宋体" w:hAnsi="宋体" w:eastAsia="宋体" w:cs="宋体"/>
                <w:color w:val="auto"/>
                <w:highlight w:val="none"/>
              </w:rPr>
              <w:t>2.甲方无故逾期验收和办理货款支付手续的，甲方应按逾期付款总额每日</w:t>
            </w:r>
            <w:r>
              <w:rPr>
                <w:rFonts w:hint="eastAsia" w:ascii="宋体" w:hAnsi="宋体" w:eastAsia="宋体" w:cs="宋体"/>
                <w:color w:val="auto"/>
                <w:highlight w:val="none"/>
                <w:u w:val="single"/>
              </w:rPr>
              <w:t>按银行同期利息</w:t>
            </w:r>
            <w:r>
              <w:rPr>
                <w:rFonts w:hint="eastAsia" w:ascii="宋体" w:hAnsi="宋体" w:eastAsia="宋体" w:cs="宋体"/>
                <w:color w:val="auto"/>
                <w:highlight w:val="none"/>
              </w:rPr>
              <w:t>向乙方支付违约金。</w:t>
            </w:r>
          </w:p>
        </w:tc>
      </w:tr>
      <w:tr w14:paraId="14F40DC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34" w:hRule="atLeast"/>
          <w:jc w:val="center"/>
        </w:trPr>
        <w:tc>
          <w:tcPr>
            <w:tcW w:w="1891" w:type="dxa"/>
            <w:tcBorders>
              <w:bottom w:val="single" w:color="000000" w:sz="2" w:space="0"/>
              <w:right w:val="single" w:color="000000" w:sz="2" w:space="0"/>
            </w:tcBorders>
            <w:noWrap w:val="0"/>
            <w:vAlign w:val="center"/>
          </w:tcPr>
          <w:p w14:paraId="0F7D779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第二节</w:t>
            </w:r>
          </w:p>
          <w:p w14:paraId="76EBC227">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第15.4款</w:t>
            </w:r>
          </w:p>
        </w:tc>
        <w:tc>
          <w:tcPr>
            <w:tcW w:w="2098" w:type="dxa"/>
            <w:tcBorders>
              <w:left w:val="single" w:color="000000" w:sz="2" w:space="0"/>
              <w:bottom w:val="single" w:color="000000" w:sz="2" w:space="0"/>
              <w:right w:val="single" w:color="000000" w:sz="2" w:space="0"/>
            </w:tcBorders>
            <w:noWrap w:val="0"/>
            <w:vAlign w:val="center"/>
          </w:tcPr>
          <w:p w14:paraId="3C90A7D7">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其他违约责任</w:t>
            </w:r>
          </w:p>
        </w:tc>
        <w:tc>
          <w:tcPr>
            <w:tcW w:w="4530" w:type="dxa"/>
            <w:tcBorders>
              <w:left w:val="single" w:color="000000" w:sz="2" w:space="0"/>
              <w:bottom w:val="single" w:color="000000" w:sz="2" w:space="0"/>
            </w:tcBorders>
            <w:noWrap w:val="0"/>
            <w:vAlign w:val="center"/>
          </w:tcPr>
          <w:p w14:paraId="18673137">
            <w:pPr>
              <w:jc w:val="left"/>
              <w:rPr>
                <w:rFonts w:hint="eastAsia" w:ascii="宋体" w:hAnsi="宋体" w:eastAsia="宋体" w:cs="宋体"/>
                <w:color w:val="auto"/>
                <w:sz w:val="24"/>
                <w:highlight w:val="none"/>
                <w:u w:val="single"/>
              </w:rPr>
            </w:pPr>
          </w:p>
        </w:tc>
      </w:tr>
      <w:tr w14:paraId="46ECA0C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066" w:hRule="atLeast"/>
          <w:jc w:val="center"/>
        </w:trPr>
        <w:tc>
          <w:tcPr>
            <w:tcW w:w="1891" w:type="dxa"/>
            <w:tcBorders>
              <w:top w:val="single" w:color="000000" w:sz="2" w:space="0"/>
              <w:right w:val="single" w:color="000000" w:sz="2" w:space="0"/>
            </w:tcBorders>
            <w:noWrap w:val="0"/>
            <w:vAlign w:val="center"/>
          </w:tcPr>
          <w:p w14:paraId="4AF3E3DF">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第二节</w:t>
            </w:r>
          </w:p>
          <w:p w14:paraId="5BC6B14D">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第19.2款</w:t>
            </w:r>
          </w:p>
        </w:tc>
        <w:tc>
          <w:tcPr>
            <w:tcW w:w="2098" w:type="dxa"/>
            <w:tcBorders>
              <w:top w:val="single" w:color="000000" w:sz="2" w:space="0"/>
              <w:left w:val="single" w:color="000000" w:sz="2" w:space="0"/>
              <w:right w:val="single" w:color="000000" w:sz="2" w:space="0"/>
            </w:tcBorders>
            <w:noWrap w:val="0"/>
            <w:vAlign w:val="center"/>
          </w:tcPr>
          <w:p w14:paraId="107526C0">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解决争议的方法</w:t>
            </w:r>
          </w:p>
        </w:tc>
        <w:tc>
          <w:tcPr>
            <w:tcW w:w="4530" w:type="dxa"/>
            <w:tcBorders>
              <w:top w:val="single" w:color="000000" w:sz="2" w:space="0"/>
              <w:left w:val="single" w:color="000000" w:sz="2" w:space="0"/>
            </w:tcBorders>
            <w:noWrap w:val="0"/>
            <w:vAlign w:val="center"/>
          </w:tcPr>
          <w:p w14:paraId="4F02D889">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1.因本合同及合同有关事项发生的争议，由双方协商解决，协商不成时，按下列第</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种方式解决：</w:t>
            </w:r>
          </w:p>
          <w:p w14:paraId="43F033C3">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（1）向仲裁委员会申请仲裁，仲裁地点为</w:t>
            </w:r>
            <w:r>
              <w:rPr>
                <w:rFonts w:hint="eastAsia" w:ascii="宋体" w:hAnsi="宋体" w:eastAsia="宋体" w:cs="宋体"/>
                <w:color w:val="auto"/>
                <w:sz w:val="24"/>
                <w:highlight w:val="none"/>
                <w:u w:val="single"/>
              </w:rPr>
              <w:t xml:space="preserve"> 盐城市 </w:t>
            </w:r>
            <w:r>
              <w:rPr>
                <w:rFonts w:hint="eastAsia" w:ascii="宋体" w:hAnsi="宋体" w:eastAsia="宋体" w:cs="宋体"/>
                <w:color w:val="auto"/>
                <w:sz w:val="24"/>
                <w:highlight w:val="none"/>
              </w:rPr>
              <w:t>；</w:t>
            </w:r>
          </w:p>
          <w:p w14:paraId="6E3B2451">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（2）向甲方所在地人民法院起诉。</w:t>
            </w:r>
          </w:p>
          <w:p w14:paraId="32076D2B">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2.纠纷解决办法</w:t>
            </w:r>
          </w:p>
          <w:p w14:paraId="76B06F1E">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2.1因货物的质量问题发生争议的，应当邀请国家认可的质量检测机构对货物质量进行鉴定。货物符合标准的，鉴定费由甲方承担；货物不符合质量标准的，鉴定费由乙方承担，并更换问题货物。</w:t>
            </w:r>
          </w:p>
        </w:tc>
      </w:tr>
      <w:tr w14:paraId="7842D0A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297" w:hRule="atLeast"/>
          <w:jc w:val="center"/>
        </w:trPr>
        <w:tc>
          <w:tcPr>
            <w:tcW w:w="1891" w:type="dxa"/>
            <w:noWrap w:val="0"/>
            <w:vAlign w:val="center"/>
          </w:tcPr>
          <w:p w14:paraId="36F23D8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第二节</w:t>
            </w:r>
          </w:p>
          <w:p w14:paraId="1A355DC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第23.1款</w:t>
            </w:r>
          </w:p>
        </w:tc>
        <w:tc>
          <w:tcPr>
            <w:tcW w:w="2098" w:type="dxa"/>
            <w:noWrap w:val="0"/>
            <w:vAlign w:val="center"/>
          </w:tcPr>
          <w:p w14:paraId="3DD35517">
            <w:pPr>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其他专用条款</w:t>
            </w:r>
          </w:p>
        </w:tc>
        <w:tc>
          <w:tcPr>
            <w:tcW w:w="4530" w:type="dxa"/>
            <w:noWrap w:val="0"/>
            <w:vAlign w:val="center"/>
          </w:tcPr>
          <w:p w14:paraId="1C8E9DE0">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1.在发货前，乙方应对货物的质量、规格、性能、数量和重量等进行准确而全面</w:t>
            </w:r>
            <w:r>
              <w:rPr>
                <w:rFonts w:hint="eastAsia" w:ascii="宋体" w:hAnsi="宋体" w:eastAsia="宋体" w:cs="宋体"/>
                <w:color w:val="auto"/>
                <w:sz w:val="24"/>
                <w:highlight w:val="none"/>
                <w:lang w:eastAsia="zh-CN"/>
              </w:rPr>
              <w:t>的</w:t>
            </w:r>
            <w:r>
              <w:rPr>
                <w:rFonts w:hint="eastAsia" w:ascii="宋体" w:hAnsi="宋体" w:eastAsia="宋体" w:cs="宋体"/>
                <w:color w:val="auto"/>
                <w:sz w:val="24"/>
                <w:highlight w:val="none"/>
              </w:rPr>
              <w:t>检验，并出具一份证明货物符合合同规定的证书。该证书将作为提交付款单据的一部分，但有关质量、规格、性能、数量或重量的检验不应视为最终检验。乙方检验的结果和细节应附在检验证书后面。</w:t>
            </w:r>
          </w:p>
          <w:p w14:paraId="0037FA46">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74E5CAD7">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3.验收不合格的货物，乙方应在履约期限内予以更换，逾期按交货延误予以处罚。乙方所交付的货物品种、型号、规格不符合合同规定的，甲方有权拒收。甲方拒收的，乙方向甲方支付货款总额</w:t>
            </w:r>
            <w:r>
              <w:rPr>
                <w:rFonts w:hint="eastAsia" w:ascii="宋体" w:hAnsi="宋体" w:eastAsia="宋体" w:cs="宋体"/>
                <w:color w:val="auto"/>
                <w:sz w:val="24"/>
                <w:highlight w:val="none"/>
                <w:u w:val="single"/>
              </w:rPr>
              <w:t>10</w:t>
            </w:r>
            <w:r>
              <w:rPr>
                <w:rFonts w:hint="eastAsia" w:ascii="宋体" w:hAnsi="宋体" w:eastAsia="宋体" w:cs="宋体"/>
                <w:color w:val="auto"/>
                <w:sz w:val="24"/>
                <w:highlight w:val="none"/>
              </w:rPr>
              <w:t>%的违约金。在乙方承诺的或国家规定的质量保证期内，若经乙方维修或更换，货物仍不能达到合同约定的质量标准，甲方有权退货，乙方应退回全部货款，同时，乙方还须赔偿甲方因此遭受的损失。</w:t>
            </w:r>
          </w:p>
          <w:p w14:paraId="268FE39D">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4.货物验收要求</w:t>
            </w:r>
          </w:p>
          <w:p w14:paraId="60211425">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（1）依照招标文件要求对全部货物、型号、规格、数量、</w:t>
            </w:r>
            <w:r>
              <w:rPr>
                <w:rFonts w:hint="eastAsia" w:ascii="宋体" w:hAnsi="宋体" w:eastAsia="宋体" w:cs="宋体"/>
                <w:color w:val="auto"/>
                <w:sz w:val="24"/>
                <w:highlight w:val="none"/>
                <w:lang w:eastAsia="zh-CN"/>
              </w:rPr>
              <w:t>外形</w:t>
            </w:r>
            <w:r>
              <w:rPr>
                <w:rFonts w:hint="eastAsia" w:ascii="宋体" w:hAnsi="宋体" w:eastAsia="宋体" w:cs="宋体"/>
                <w:color w:val="auto"/>
                <w:sz w:val="24"/>
                <w:highlight w:val="none"/>
              </w:rPr>
              <w:t>、外观、包装及资料、文件（如装箱单、保修单、随箱介质等）进行验收。</w:t>
            </w:r>
          </w:p>
          <w:p w14:paraId="390F66FE">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（2）甲方与乙方对货物到货后共同进行开箱检查，出现损坏、数量不全或产品不对等问题时，由乙方负责解决。</w:t>
            </w:r>
          </w:p>
          <w:p w14:paraId="41C603C4">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（3）甲方有权从乙方所送货物中任意抽出不同型号的产品送采购人所在地的质检部门检验，如果检验合格，检验费由甲方负担；如果检验不合格，则检验费由乙方负担。</w:t>
            </w:r>
          </w:p>
          <w:p w14:paraId="42CDDB4C">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（4）乙方应按照本合同规定的时间、地点和方式向乙方交付货物。</w:t>
            </w:r>
          </w:p>
          <w:p w14:paraId="5AECD291">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交货时间：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日前完成供货（安装）并交付使用。</w:t>
            </w:r>
          </w:p>
          <w:p w14:paraId="6B68E2A0">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交货地点：</w:t>
            </w:r>
            <w:r>
              <w:rPr>
                <w:rFonts w:hint="eastAsia" w:ascii="宋体" w:hAnsi="宋体" w:eastAsia="宋体" w:cs="宋体"/>
                <w:color w:val="auto"/>
                <w:sz w:val="24"/>
                <w:highlight w:val="none"/>
                <w:u w:val="single"/>
              </w:rPr>
              <w:t>甲方指定地点</w:t>
            </w:r>
            <w:r>
              <w:rPr>
                <w:rFonts w:hint="eastAsia" w:ascii="宋体" w:hAnsi="宋体" w:eastAsia="宋体" w:cs="宋体"/>
                <w:color w:val="auto"/>
                <w:sz w:val="24"/>
                <w:highlight w:val="none"/>
              </w:rPr>
              <w:t>。</w:t>
            </w:r>
          </w:p>
          <w:p w14:paraId="68D9D46E">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（5）甲方应在全部货物到货安装完毕，乙方提出验收申请</w:t>
            </w:r>
            <w:r>
              <w:rPr>
                <w:rFonts w:hint="eastAsia" w:ascii="宋体" w:hAnsi="宋体" w:eastAsia="宋体" w:cs="宋体"/>
                <w:color w:val="auto"/>
                <w:sz w:val="24"/>
                <w:highlight w:val="none"/>
                <w:lang w:val="en-US" w:eastAsia="zh-CN"/>
              </w:rPr>
              <w:t>后组织专家</w:t>
            </w:r>
            <w:r>
              <w:rPr>
                <w:rFonts w:hint="eastAsia" w:ascii="宋体" w:hAnsi="宋体" w:eastAsia="宋体" w:cs="宋体"/>
                <w:color w:val="auto"/>
                <w:sz w:val="24"/>
                <w:highlight w:val="none"/>
              </w:rPr>
              <w:t>进行验收，验收包括：型号、规格、数量、外观是否完好，安装调试是否合格等。验收合格后甲方应在验收报告上签字盖章。</w:t>
            </w:r>
          </w:p>
          <w:p w14:paraId="1EEEF00C">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（6）货到现场后，甲方人员根据招标要求，对包装物进行视检和抽检，如包装物不符合招标要求，甲方有权将包装物送至市级及以上检测机构送检。因检测不合格延误了交付进度，乙方应承担相应的违约责任。</w:t>
            </w:r>
          </w:p>
        </w:tc>
      </w:tr>
      <w:tr w14:paraId="247014F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78" w:hRule="atLeast"/>
          <w:jc w:val="center"/>
        </w:trPr>
        <w:tc>
          <w:tcPr>
            <w:tcW w:w="1891" w:type="dxa"/>
            <w:noWrap w:val="0"/>
            <w:vAlign w:val="center"/>
          </w:tcPr>
          <w:p w14:paraId="07647B5C">
            <w:pPr>
              <w:jc w:val="center"/>
              <w:rPr>
                <w:rFonts w:hint="eastAsia" w:ascii="宋体" w:hAnsi="宋体" w:eastAsia="宋体" w:cs="宋体"/>
                <w:color w:val="auto"/>
                <w:sz w:val="24"/>
                <w:highlight w:val="none"/>
              </w:rPr>
            </w:pPr>
          </w:p>
        </w:tc>
        <w:tc>
          <w:tcPr>
            <w:tcW w:w="2098" w:type="dxa"/>
            <w:noWrap w:val="0"/>
            <w:vAlign w:val="center"/>
          </w:tcPr>
          <w:p w14:paraId="7867BAE3">
            <w:pPr>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税费</w:t>
            </w:r>
          </w:p>
        </w:tc>
        <w:tc>
          <w:tcPr>
            <w:tcW w:w="4530" w:type="dxa"/>
            <w:noWrap w:val="0"/>
            <w:vAlign w:val="center"/>
          </w:tcPr>
          <w:p w14:paraId="11BBC1B9">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1.中国政府根据现行税法规定对甲方征收的与本合同有关的一切税费均由甲方负担（免税部分除外），招标文件另有规定的除外。</w:t>
            </w:r>
          </w:p>
          <w:p w14:paraId="1C6492F7">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2.中国政府根据现行税法规定对乙方征收的与本合同有关的一切税费均由乙方负担（免税部分除外）。</w:t>
            </w:r>
          </w:p>
        </w:tc>
      </w:tr>
      <w:tr w14:paraId="1AFF59E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06" w:hRule="atLeast"/>
          <w:jc w:val="center"/>
        </w:trPr>
        <w:tc>
          <w:tcPr>
            <w:tcW w:w="1891" w:type="dxa"/>
            <w:noWrap w:val="0"/>
            <w:vAlign w:val="center"/>
          </w:tcPr>
          <w:p w14:paraId="647BA5C9">
            <w:pPr>
              <w:jc w:val="center"/>
              <w:rPr>
                <w:rFonts w:hint="eastAsia" w:ascii="宋体" w:hAnsi="宋体" w:eastAsia="宋体" w:cs="宋体"/>
                <w:color w:val="auto"/>
                <w:sz w:val="24"/>
                <w:highlight w:val="none"/>
              </w:rPr>
            </w:pPr>
          </w:p>
        </w:tc>
        <w:tc>
          <w:tcPr>
            <w:tcW w:w="2098" w:type="dxa"/>
            <w:noWrap w:val="0"/>
            <w:vAlign w:val="center"/>
          </w:tcPr>
          <w:p w14:paraId="29B3FAC8">
            <w:pPr>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伴随服务</w:t>
            </w:r>
          </w:p>
        </w:tc>
        <w:tc>
          <w:tcPr>
            <w:tcW w:w="4530" w:type="dxa"/>
            <w:noWrap w:val="0"/>
            <w:vAlign w:val="center"/>
          </w:tcPr>
          <w:p w14:paraId="790D311F">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1.乙方应按照国家</w:t>
            </w:r>
            <w:r>
              <w:rPr>
                <w:rFonts w:hint="eastAsia" w:ascii="宋体" w:hAnsi="宋体" w:eastAsia="宋体" w:cs="宋体"/>
                <w:b/>
                <w:color w:val="auto"/>
                <w:sz w:val="24"/>
                <w:highlight w:val="none"/>
              </w:rPr>
              <w:t>“新三包”</w:t>
            </w:r>
            <w:r>
              <w:rPr>
                <w:rFonts w:hint="eastAsia" w:ascii="宋体" w:hAnsi="宋体" w:eastAsia="宋体" w:cs="宋体"/>
                <w:color w:val="auto"/>
                <w:sz w:val="24"/>
                <w:highlight w:val="none"/>
              </w:rPr>
              <w:t>规定和合同中所附的服务承诺提供服务。</w:t>
            </w:r>
          </w:p>
          <w:p w14:paraId="459462EA">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2.除第1条规定外，乙方还应提供下列服务：</w:t>
            </w:r>
          </w:p>
          <w:p w14:paraId="48DEF055">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w:t>
            </w:r>
            <w:r>
              <w:rPr>
                <w:rFonts w:hint="eastAsia" w:ascii="宋体" w:hAnsi="宋体" w:eastAsia="宋体" w:cs="宋体"/>
                <w:b/>
                <w:color w:val="auto"/>
                <w:sz w:val="24"/>
                <w:highlight w:val="none"/>
                <w:lang w:eastAsia="zh-CN"/>
              </w:rPr>
              <w:t>（1）</w:t>
            </w:r>
            <w:r>
              <w:rPr>
                <w:rFonts w:hint="eastAsia" w:ascii="宋体" w:hAnsi="宋体" w:eastAsia="宋体" w:cs="宋体"/>
                <w:b/>
                <w:color w:val="auto"/>
                <w:sz w:val="24"/>
                <w:highlight w:val="none"/>
              </w:rPr>
              <w:t xml:space="preserve"> 招标文件中的“服务要求”所规定的服务内容以及投标文件承诺提供的其他服务内容；</w:t>
            </w:r>
          </w:p>
          <w:p w14:paraId="726BCA20">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 负责货物的开孔，货物的现场安装；</w:t>
            </w:r>
          </w:p>
          <w:p w14:paraId="226C8DA0">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 提供货物组装和维修所需的工具；</w:t>
            </w:r>
          </w:p>
          <w:p w14:paraId="4645A1DE">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 在合同中乙方承诺的质保期限内对所提供货物正常使用实施监督、维修，但前提条件是该服务并不能免除乙方在质量保证期内应承担的义务；</w:t>
            </w:r>
          </w:p>
          <w:p w14:paraId="67DFA58C">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 在货物交货现场就货物的安装、启用、维护等对甲方人员进行培训。</w:t>
            </w:r>
          </w:p>
          <w:p w14:paraId="20C67767">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3.伴随服务的费用应含在合同价中，不单独进行支付。</w:t>
            </w:r>
          </w:p>
        </w:tc>
      </w:tr>
      <w:tr w14:paraId="541704F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891" w:type="dxa"/>
            <w:noWrap w:val="0"/>
            <w:vAlign w:val="center"/>
          </w:tcPr>
          <w:p w14:paraId="3BD82FFC">
            <w:pPr>
              <w:jc w:val="center"/>
              <w:rPr>
                <w:rFonts w:hint="eastAsia" w:ascii="宋体" w:hAnsi="宋体" w:eastAsia="宋体" w:cs="宋体"/>
                <w:color w:val="auto"/>
                <w:sz w:val="24"/>
                <w:highlight w:val="none"/>
              </w:rPr>
            </w:pPr>
          </w:p>
        </w:tc>
        <w:tc>
          <w:tcPr>
            <w:tcW w:w="2098" w:type="dxa"/>
            <w:noWrap w:val="0"/>
            <w:vAlign w:val="center"/>
          </w:tcPr>
          <w:p w14:paraId="4CB1DF88">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索赔</w:t>
            </w:r>
          </w:p>
          <w:p w14:paraId="610AF1CE">
            <w:pPr>
              <w:jc w:val="left"/>
              <w:rPr>
                <w:rFonts w:hint="eastAsia" w:ascii="宋体" w:hAnsi="宋体" w:eastAsia="宋体" w:cs="宋体"/>
                <w:color w:val="auto"/>
                <w:sz w:val="24"/>
                <w:highlight w:val="none"/>
              </w:rPr>
            </w:pPr>
          </w:p>
        </w:tc>
        <w:tc>
          <w:tcPr>
            <w:tcW w:w="4530" w:type="dxa"/>
            <w:noWrap w:val="0"/>
            <w:vAlign w:val="center"/>
          </w:tcPr>
          <w:p w14:paraId="0B8B9AC3">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1.甲方有权根据当地质检部门出具的检验报告，向乙方提出索赔。</w:t>
            </w:r>
          </w:p>
          <w:p w14:paraId="0D81A19C">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2.根据合同规定的检验期和质量保证期内，如果乙方对甲方提出的索赔和差异负有责任，乙方应按照甲方同意的下列一种或多种方式解决索赔事宜：</w:t>
            </w:r>
          </w:p>
          <w:p w14:paraId="0F1158C1">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 xml:space="preserve"> 乙方同意退货，并用合同中规定的货币将货款退还给甲方，并承担由此发生的一切损失和费用，包括利息、银行手续费、运费、保险费、检验费、仓储费、装卸费以及为保护退回货物所需的其他必要费用。</w:t>
            </w:r>
          </w:p>
          <w:p w14:paraId="2FA44A60">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 根据货物的低劣程度、损坏程度以及甲方所遭受损失的数额，乙方必须降低货物的价格。</w:t>
            </w:r>
          </w:p>
          <w:p w14:paraId="7A3C24DE">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 用符合合同规定的规格、质量和性能要求的新零件或部件来更换有缺陷的部分，乙方应承担一切费用和风险并负担甲方所蒙受的全部直接损失费用。同时，乙方应按合同规定，对更换件相应延长质量保证期。</w:t>
            </w:r>
          </w:p>
          <w:p w14:paraId="4CCF915D">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14:paraId="525C69C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891" w:type="dxa"/>
            <w:noWrap w:val="0"/>
            <w:vAlign w:val="center"/>
          </w:tcPr>
          <w:p w14:paraId="47537D55">
            <w:pPr>
              <w:jc w:val="center"/>
              <w:rPr>
                <w:rFonts w:hint="eastAsia" w:ascii="宋体" w:hAnsi="宋体" w:eastAsia="宋体" w:cs="宋体"/>
                <w:color w:val="auto"/>
                <w:sz w:val="24"/>
                <w:highlight w:val="none"/>
              </w:rPr>
            </w:pPr>
          </w:p>
        </w:tc>
        <w:tc>
          <w:tcPr>
            <w:tcW w:w="2098" w:type="dxa"/>
            <w:noWrap w:val="0"/>
            <w:vAlign w:val="center"/>
          </w:tcPr>
          <w:p w14:paraId="09F2A5C6">
            <w:pPr>
              <w:jc w:val="left"/>
              <w:rPr>
                <w:rFonts w:hint="eastAsia" w:ascii="宋体" w:hAnsi="宋体" w:eastAsia="宋体" w:cs="宋体"/>
                <w:bCs/>
                <w:color w:val="auto"/>
                <w:sz w:val="24"/>
                <w:highlight w:val="none"/>
              </w:rPr>
            </w:pPr>
            <w:r>
              <w:rPr>
                <w:rFonts w:hint="eastAsia" w:ascii="宋体" w:hAnsi="宋体" w:eastAsia="宋体" w:cs="宋体"/>
                <w:color w:val="auto"/>
                <w:sz w:val="24"/>
                <w:highlight w:val="none"/>
              </w:rPr>
              <w:t>合同生效及其它</w:t>
            </w:r>
          </w:p>
        </w:tc>
        <w:tc>
          <w:tcPr>
            <w:tcW w:w="4530" w:type="dxa"/>
            <w:noWrap w:val="0"/>
            <w:vAlign w:val="center"/>
          </w:tcPr>
          <w:p w14:paraId="01113D55">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 合同经甲方、乙方盖章后生效。</w:t>
            </w:r>
          </w:p>
          <w:p w14:paraId="0404C75F">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 货物交付使用后所发生的合同纠纷，由甲方与乙方协商处理。</w:t>
            </w:r>
          </w:p>
          <w:p w14:paraId="629DAE7D">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7F571080">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4.本合同应按照中华人民共和国的现行法律进行解释。本合同未尽事宜，遵照《中华人民共和国民法典》《中华人民共和国政府采购法》等有关条文执行。</w:t>
            </w:r>
          </w:p>
        </w:tc>
      </w:tr>
    </w:tbl>
    <w:p w14:paraId="1E5F952F">
      <w:pPr>
        <w:widowControl/>
        <w:jc w:val="lef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p>
    <w:p w14:paraId="4493031F">
      <w:pPr>
        <w:pStyle w:val="3"/>
        <w:ind w:firstLine="883"/>
        <w:rPr>
          <w:rFonts w:hint="eastAsia" w:ascii="宋体" w:hAnsi="宋体" w:eastAsia="宋体" w:cs="宋体"/>
          <w:highlight w:val="none"/>
        </w:rPr>
      </w:pPr>
      <w:r>
        <w:rPr>
          <w:rFonts w:hint="eastAsia" w:ascii="宋体" w:hAnsi="宋体" w:eastAsia="宋体" w:cs="宋体"/>
          <w:highlight w:val="none"/>
        </w:rPr>
        <w:t>第四章 采购需求</w:t>
      </w:r>
    </w:p>
    <w:p w14:paraId="7182DB4B">
      <w:pPr>
        <w:pStyle w:val="32"/>
        <w:spacing w:beforeAutospacing="0" w:afterAutospacing="0" w:line="0" w:lineRule="atLeast"/>
        <w:jc w:val="both"/>
        <w:rPr>
          <w:rFonts w:hint="eastAsia" w:ascii="宋体" w:hAnsi="宋体" w:eastAsia="宋体" w:cs="宋体"/>
          <w:highlight w:val="none"/>
        </w:rPr>
      </w:pPr>
      <w:bookmarkStart w:id="175" w:name="_Toc26554093"/>
      <w:bookmarkStart w:id="176" w:name="_Toc49090575"/>
      <w:r>
        <w:rPr>
          <w:rFonts w:hint="eastAsia" w:ascii="宋体" w:hAnsi="宋体" w:eastAsia="宋体" w:cs="宋体"/>
          <w:color w:val="000000"/>
          <w:highlight w:val="none"/>
        </w:rPr>
        <w:t>项目属性：</w:t>
      </w:r>
      <w:r>
        <w:rPr>
          <w:rFonts w:hint="eastAsia" w:ascii="宋体" w:hAnsi="宋体" w:eastAsia="宋体" w:cs="宋体"/>
          <w:strike w:val="0"/>
          <w:dstrike w:val="0"/>
          <w:color w:val="000000" w:themeColor="text1"/>
          <w:highlight w:val="none"/>
          <w:lang w:val="en-US" w:eastAsia="zh-CN"/>
          <w14:textFill>
            <w14:solidFill>
              <w14:schemeClr w14:val="tx1"/>
            </w14:solidFill>
          </w14:textFill>
        </w:rPr>
        <w:t>货物</w:t>
      </w:r>
      <w:r>
        <w:rPr>
          <w:rFonts w:hint="eastAsia" w:ascii="宋体" w:hAnsi="宋体" w:eastAsia="宋体" w:cs="宋体"/>
          <w:color w:val="000000"/>
          <w:highlight w:val="none"/>
        </w:rPr>
        <w:t>类项目。</w:t>
      </w:r>
      <w:bookmarkEnd w:id="175"/>
      <w:bookmarkEnd w:id="176"/>
    </w:p>
    <w:p w14:paraId="52DE6510">
      <w:pPr>
        <w:pStyle w:val="32"/>
        <w:spacing w:beforeAutospacing="0" w:afterAutospacing="0" w:line="0" w:lineRule="atLeast"/>
        <w:ind w:left="240"/>
        <w:jc w:val="both"/>
        <w:rPr>
          <w:rFonts w:hint="eastAsia" w:ascii="宋体" w:hAnsi="宋体" w:eastAsia="宋体" w:cs="宋体"/>
          <w:highlight w:val="none"/>
        </w:rPr>
      </w:pPr>
    </w:p>
    <w:p w14:paraId="48536BF9">
      <w:pPr>
        <w:pStyle w:val="32"/>
        <w:spacing w:beforeAutospacing="0" w:afterAutospacing="0" w:line="0" w:lineRule="atLeast"/>
        <w:jc w:val="both"/>
        <w:rPr>
          <w:rFonts w:hint="eastAsia" w:ascii="宋体" w:hAnsi="宋体" w:eastAsia="宋体" w:cs="宋体"/>
          <w:color w:val="000000"/>
          <w:highlight w:val="none"/>
        </w:rPr>
      </w:pPr>
      <w:r>
        <w:rPr>
          <w:rFonts w:hint="eastAsia" w:ascii="宋体" w:hAnsi="宋体" w:eastAsia="宋体" w:cs="宋体"/>
          <w:color w:val="000000"/>
          <w:highlight w:val="none"/>
        </w:rPr>
        <w:t>项目属性</w:t>
      </w:r>
      <w:r>
        <w:rPr>
          <w:rFonts w:hint="eastAsia" w:ascii="宋体" w:hAnsi="宋体" w:eastAsia="宋体" w:cs="宋体"/>
          <w:color w:val="000000"/>
          <w:highlight w:val="none"/>
          <w:lang w:eastAsia="zh-CN"/>
        </w:rPr>
        <w:t>：</w:t>
      </w:r>
      <w:r>
        <w:rPr>
          <w:rFonts w:hint="eastAsia" w:ascii="宋体" w:hAnsi="宋体" w:eastAsia="宋体" w:cs="宋体"/>
          <w:strike w:val="0"/>
          <w:dstrike w:val="0"/>
          <w:color w:val="000000" w:themeColor="text1"/>
          <w:highlight w:val="none"/>
          <w:lang w:val="en-US" w:eastAsia="zh-CN"/>
          <w14:textFill>
            <w14:solidFill>
              <w14:schemeClr w14:val="tx1"/>
            </w14:solidFill>
          </w14:textFill>
        </w:rPr>
        <w:t>货物</w:t>
      </w:r>
      <w:r>
        <w:rPr>
          <w:rFonts w:hint="eastAsia" w:ascii="宋体" w:hAnsi="宋体" w:eastAsia="宋体" w:cs="宋体"/>
          <w:color w:val="000000"/>
          <w:highlight w:val="none"/>
        </w:rPr>
        <w:t>类项目。</w:t>
      </w:r>
    </w:p>
    <w:p w14:paraId="1DB53EF5">
      <w:pPr>
        <w:pStyle w:val="32"/>
        <w:spacing w:beforeAutospacing="0" w:afterAutospacing="0" w:line="0" w:lineRule="atLeast"/>
        <w:jc w:val="both"/>
        <w:rPr>
          <w:rFonts w:hint="eastAsia" w:ascii="宋体" w:hAnsi="宋体" w:eastAsia="宋体" w:cs="宋体"/>
          <w:highlight w:val="none"/>
        </w:rPr>
      </w:pPr>
    </w:p>
    <w:p w14:paraId="3C1B679D">
      <w:pPr>
        <w:pStyle w:val="32"/>
        <w:spacing w:beforeAutospacing="0" w:afterAutospacing="0" w:line="0" w:lineRule="atLeast"/>
        <w:jc w:val="both"/>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highlight w:val="none"/>
        </w:rPr>
        <w:t>本项目采购标的对应的中小企业划分标准所属行业：</w:t>
      </w:r>
      <w:r>
        <w:rPr>
          <w:rFonts w:hint="eastAsia" w:ascii="宋体" w:hAnsi="宋体" w:eastAsia="宋体" w:cs="宋体"/>
          <w:strike w:val="0"/>
          <w:dstrike w:val="0"/>
          <w:color w:val="000000" w:themeColor="text1"/>
          <w:highlight w:val="none"/>
          <w:u w:val="none"/>
          <w:lang w:val="en-US" w:eastAsia="zh-CN"/>
          <w14:textFill>
            <w14:solidFill>
              <w14:schemeClr w14:val="tx1"/>
            </w14:solidFill>
          </w14:textFill>
        </w:rPr>
        <w:t>工业</w:t>
      </w:r>
    </w:p>
    <w:p w14:paraId="1F69FEE3">
      <w:pPr>
        <w:pStyle w:val="32"/>
        <w:spacing w:beforeAutospacing="0" w:afterAutospacing="0" w:line="0" w:lineRule="atLeast"/>
        <w:jc w:val="both"/>
        <w:rPr>
          <w:rFonts w:hint="eastAsia" w:ascii="宋体" w:hAnsi="宋体" w:eastAsia="宋体" w:cs="宋体"/>
          <w:highlight w:val="none"/>
        </w:rPr>
      </w:pPr>
      <w:r>
        <w:rPr>
          <w:rFonts w:hint="eastAsia" w:ascii="宋体" w:hAnsi="宋体" w:eastAsia="宋体" w:cs="宋体"/>
          <w:highlight w:val="none"/>
        </w:rPr>
        <w:t> </w:t>
      </w:r>
    </w:p>
    <w:p w14:paraId="7E705908">
      <w:pPr>
        <w:pStyle w:val="32"/>
        <w:spacing w:beforeAutospacing="0" w:afterAutospacing="0" w:line="440" w:lineRule="exact"/>
        <w:ind w:firstLine="480" w:firstLineChars="200"/>
        <w:jc w:val="both"/>
        <w:rPr>
          <w:rFonts w:hint="eastAsia" w:ascii="宋体" w:hAnsi="宋体" w:eastAsia="宋体" w:cs="宋体"/>
          <w:color w:val="000000"/>
          <w:highlight w:val="none"/>
        </w:rPr>
      </w:pPr>
      <w:r>
        <w:rPr>
          <w:rFonts w:hint="eastAsia" w:ascii="宋体" w:hAnsi="宋体" w:eastAsia="宋体" w:cs="宋体"/>
          <w:color w:val="000000"/>
          <w:highlight w:val="none"/>
        </w:rPr>
        <w:t>1、项目名称：</w:t>
      </w:r>
      <w:r>
        <w:rPr>
          <w:rFonts w:hint="eastAsia" w:ascii="宋体" w:hAnsi="宋体" w:eastAsia="宋体" w:cs="宋体"/>
          <w:color w:val="000000"/>
          <w:highlight w:val="none"/>
          <w:lang w:eastAsia="zh-CN"/>
        </w:rPr>
        <w:t>2026年东台市残疾人综合服务中心专业设备采购项目</w:t>
      </w:r>
      <w:r>
        <w:rPr>
          <w:rFonts w:hint="eastAsia" w:ascii="宋体" w:hAnsi="宋体" w:eastAsia="宋体" w:cs="宋体"/>
          <w:color w:val="000000"/>
          <w:highlight w:val="none"/>
        </w:rPr>
        <w:t> </w:t>
      </w:r>
    </w:p>
    <w:p w14:paraId="33DD734A">
      <w:pPr>
        <w:pStyle w:val="32"/>
        <w:spacing w:beforeAutospacing="0" w:afterAutospacing="0" w:line="440" w:lineRule="exact"/>
        <w:ind w:firstLine="480" w:firstLineChars="20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2、采购需求：</w:t>
      </w:r>
      <w:r>
        <w:rPr>
          <w:rFonts w:hint="eastAsia" w:ascii="宋体" w:hAnsi="宋体" w:eastAsia="宋体" w:cs="宋体"/>
          <w:color w:val="000000"/>
          <w:highlight w:val="none"/>
          <w:lang w:val="en-US" w:eastAsia="zh-CN"/>
        </w:rPr>
        <w:t>见下表。</w:t>
      </w:r>
    </w:p>
    <w:p w14:paraId="7C8F3482">
      <w:pPr>
        <w:pStyle w:val="32"/>
        <w:spacing w:beforeAutospacing="0" w:afterAutospacing="0" w:line="440" w:lineRule="exact"/>
        <w:ind w:firstLine="480" w:firstLineChars="200"/>
        <w:jc w:val="both"/>
        <w:rPr>
          <w:rFonts w:hint="eastAsia" w:ascii="宋体" w:hAnsi="宋体" w:eastAsia="宋体" w:cs="宋体"/>
          <w:color w:val="000000"/>
          <w:highlight w:val="none"/>
        </w:rPr>
      </w:pPr>
      <w:r>
        <w:rPr>
          <w:rFonts w:hint="eastAsia" w:ascii="宋体" w:hAnsi="宋体" w:eastAsia="宋体" w:cs="宋体"/>
          <w:color w:val="000000"/>
          <w:highlight w:val="none"/>
        </w:rPr>
        <w:t>3、服务地点：东台市境内</w:t>
      </w:r>
    </w:p>
    <w:p w14:paraId="09B4FC6E">
      <w:pPr>
        <w:pStyle w:val="32"/>
        <w:spacing w:beforeAutospacing="0" w:afterAutospacing="0" w:line="440" w:lineRule="exact"/>
        <w:ind w:firstLine="480" w:firstLineChars="200"/>
        <w:jc w:val="both"/>
        <w:rPr>
          <w:rFonts w:hint="eastAsia" w:ascii="宋体" w:hAnsi="宋体" w:eastAsia="宋体" w:cs="宋体"/>
          <w:color w:val="000000"/>
          <w:highlight w:val="none"/>
        </w:rPr>
      </w:pPr>
      <w:r>
        <w:rPr>
          <w:rFonts w:hint="eastAsia" w:ascii="宋体" w:hAnsi="宋体" w:eastAsia="宋体" w:cs="宋体"/>
          <w:color w:val="000000"/>
          <w:highlight w:val="none"/>
        </w:rPr>
        <w:t>4、服务质量：符合国家有关法律、法规和现行标准，达规范要求并通过审查。</w:t>
      </w:r>
    </w:p>
    <w:p w14:paraId="5A66D169">
      <w:pPr>
        <w:pStyle w:val="32"/>
        <w:spacing w:beforeAutospacing="0" w:afterAutospacing="0" w:line="440" w:lineRule="exact"/>
        <w:ind w:firstLine="480" w:firstLineChars="200"/>
        <w:jc w:val="both"/>
        <w:rPr>
          <w:rFonts w:hint="eastAsia" w:ascii="宋体" w:hAnsi="宋体" w:eastAsia="宋体" w:cs="宋体"/>
          <w:color w:val="000000"/>
          <w:highlight w:val="none"/>
        </w:rPr>
      </w:pPr>
      <w:r>
        <w:rPr>
          <w:rFonts w:hint="eastAsia" w:ascii="宋体" w:hAnsi="宋体" w:eastAsia="宋体" w:cs="宋体"/>
          <w:color w:val="000000"/>
          <w:highlight w:val="none"/>
        </w:rPr>
        <w:t>5、服务期：合同签订之日起</w:t>
      </w:r>
      <w:r>
        <w:rPr>
          <w:rFonts w:hint="eastAsia" w:ascii="宋体" w:hAnsi="宋体" w:eastAsia="宋体" w:cs="宋体"/>
          <w:color w:val="auto"/>
          <w:highlight w:val="none"/>
          <w:lang w:val="en-US" w:eastAsia="zh-CN"/>
        </w:rPr>
        <w:t>60</w:t>
      </w:r>
      <w:r>
        <w:rPr>
          <w:rFonts w:hint="eastAsia" w:ascii="宋体" w:hAnsi="宋体" w:eastAsia="宋体" w:cs="宋体"/>
          <w:color w:val="000000"/>
          <w:highlight w:val="none"/>
        </w:rPr>
        <w:t>日历天。</w:t>
      </w:r>
    </w:p>
    <w:p w14:paraId="4278B18F">
      <w:pPr>
        <w:pStyle w:val="32"/>
        <w:spacing w:beforeAutospacing="0" w:afterAutospacing="0"/>
        <w:ind w:firstLine="602"/>
        <w:jc w:val="both"/>
        <w:rPr>
          <w:rFonts w:hint="eastAsia" w:ascii="宋体" w:hAnsi="宋体" w:eastAsia="宋体" w:cs="宋体"/>
          <w:highlight w:val="none"/>
        </w:rPr>
      </w:pPr>
      <w:r>
        <w:rPr>
          <w:rFonts w:hint="eastAsia" w:ascii="宋体" w:hAnsi="宋体" w:eastAsia="宋体" w:cs="宋体"/>
          <w:highlight w:val="none"/>
        </w:rPr>
        <w:t> </w:t>
      </w:r>
    </w:p>
    <w:p w14:paraId="5F24F261">
      <w:pPr>
        <w:pStyle w:val="32"/>
        <w:spacing w:beforeAutospacing="0" w:afterAutospacing="0"/>
        <w:ind w:firstLine="602"/>
        <w:jc w:val="both"/>
        <w:rPr>
          <w:rFonts w:hint="eastAsia" w:ascii="宋体" w:hAnsi="宋体" w:eastAsia="宋体" w:cs="宋体"/>
          <w:highlight w:val="none"/>
        </w:rPr>
      </w:pPr>
    </w:p>
    <w:p w14:paraId="5C8792EC">
      <w:pPr>
        <w:pStyle w:val="32"/>
        <w:spacing w:beforeAutospacing="0" w:afterAutospacing="0"/>
        <w:ind w:firstLine="602"/>
        <w:jc w:val="both"/>
        <w:rPr>
          <w:rFonts w:hint="eastAsia" w:ascii="宋体" w:hAnsi="宋体" w:eastAsia="宋体" w:cs="宋体"/>
          <w:highlight w:val="none"/>
        </w:rPr>
        <w:sectPr>
          <w:footerReference r:id="rId3" w:type="default"/>
          <w:pgSz w:w="11906" w:h="16838"/>
          <w:pgMar w:top="1440" w:right="1800" w:bottom="1440" w:left="1800" w:header="851" w:footer="992" w:gutter="0"/>
          <w:cols w:space="425" w:num="1"/>
          <w:docGrid w:linePitch="360" w:charSpace="0"/>
        </w:sectPr>
      </w:pPr>
    </w:p>
    <w:tbl>
      <w:tblPr>
        <w:tblStyle w:val="34"/>
        <w:tblW w:w="100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8"/>
        <w:gridCol w:w="1416"/>
        <w:gridCol w:w="6276"/>
        <w:gridCol w:w="782"/>
        <w:gridCol w:w="840"/>
      </w:tblGrid>
      <w:tr w14:paraId="32EEA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0" w:hRule="atLeast"/>
          <w:tblHeader/>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788B8B3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514149C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产品名称</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74EFF91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参数</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3B0E15D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单位</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9B7466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数量</w:t>
            </w:r>
          </w:p>
        </w:tc>
      </w:tr>
      <w:tr w14:paraId="35D56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6D4987E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6CF9DB8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儿童康复综合服务平台</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7B50A1C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一、后台管理系统（基础模块）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   智能管理云管家系统可对儿童康复过程中各项数据指标进行智能化管理和精细化运营、支持直观数据查询，客户管理模块须具备支持客户信息跟进填写、标记下次跟进时间提醒功能。</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系统可通过四端互动，真正实现管理、评估、教学与家庭训练的联动，赋能特校和康复师。</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客户端：支持儿童信息采集、评估、教学、训练、方案和档案记录全方位进行设计、训练方案及教学视频。一人一机，为儿童定制化康复课程，家长随时连线所属特殊学校调整课程、优化方案，能实现智能评估功能、智能化教学，智能排课，智能特校介绍、康复师介绍、优秀案例课程宣传；</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①支持一键扫码采集信息和自定义添加临时学员；</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②支持儿童断点测试更新，方便老师做随堂测评；</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③支持自定义上传康复师教案素材，以及学员优秀个案视频展示。</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科室（机构负责人）手机小程序实时查看整体运营数据和线上推广活动发布；须包含所列举的功能及其内容，且全不能少，软件能够正常使用运行。能够查询学生的评估报告、排课直观展示；能够详细智能记录学生康复训练的内容。</w:t>
            </w:r>
            <w:r>
              <w:rPr>
                <w:rFonts w:hint="eastAsia" w:ascii="宋体" w:hAnsi="宋体" w:eastAsia="宋体" w:cs="宋体"/>
                <w:i w:val="0"/>
                <w:iCs w:val="0"/>
                <w:color w:val="0000FF"/>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3、康复师端：须具备可以进行家训指导、排课消课、档案查询和智能记录康复训练内容等功能。</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①家训指导：是指康复师可以根据儿童的情况，给家长布置康复作业，家长结合康复师提供的视频和文案进行直接康复。</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②排课消课：是指康复师可以给儿童进行训练课程的排定与消除相应的课程。</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③档案查询：是指康复师可以查询儿童进行的每一次评估、训练等档案资料。</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④智能记录训练康复内容：康复师端通过每日交互式训练的上课情况自动生成训练记录，记录孩子上课表现，及孩子所学课程内容，完成课程情况，支持记录图片、音频、视频。康复师还可以通过语音表述孩子的上课情况语音识别转换成康复训练记录。</w:t>
            </w:r>
            <w:r>
              <w:rPr>
                <w:rFonts w:hint="eastAsia" w:ascii="宋体" w:hAnsi="宋体" w:eastAsia="宋体" w:cs="宋体"/>
                <w:i w:val="0"/>
                <w:iCs w:val="0"/>
                <w:color w:val="0000FF"/>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4、家长端：可以实时查看孩子的测评情况，随时随地了解日常训练数据，通过家训指导和康复指导视频，家长课后回家练习简单直观易上手。</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5、组织架构：包含部门管理：在部⻔管理中可以实现的操作：在总平台下新增、修改及删除部门，支持按照部门的上级部门、部⻔名称、显示排序、负责⼈、联系电话、备注选填。</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二、康复评估区</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（一）孤独症心理教育评估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孤独症儿童心理教育评估（发展及行为测试）至少可测量六项儿童发展能力（认知、语言表达、语言理解、精细动作、粗大动作、模仿）和至少四项儿童不良行为（情感表达、社交互动、语言及非语言的行为特征）。</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孤独症儿童心理教育评估（发展及行为测试）不少于170题，其中儿童发展能力，包含认知能力测评、语言表达测评、语言理解测评、精细动作测评、粗大动作测评、模仿能力测评，儿童不良行为，包含情感表达测评、社交互动测评、行为特征-语言测评题、行为特征-非语言测评。</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支持儿童照顾者评估在线扫码同步完成测评，家长孩子同步完成测评，测评完成后可一键生成各项测试原始分、百分比级数、发展年龄以及发展程度，同时根据测评结果自动匹配建议的康复训练目标，为后续制定康复训练方案和实施康复训练活动提供参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（二）孤独症儿童发展能力评估（8大项）</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1、孤独症儿童发展能力评估采用观察、测试、访谈等方法对0-6岁孤独症儿童及其它广泛发育障碍儿童的发展现状及康复需要进行评估，为开展针对性的教育康复提供依据。</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本量表由感知觉、粗大动作、精细动作、语言与沟通、认知、社会交往、生活自理以及情绪与行为，8个评估领域组成，每个领域都可以独立进行评估且不受其它评估领域的影响，整套量表可以按领域分开评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（三）儿童发展8大领域</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儿童发展8大领域：（1）语言沟通：主要针对发展年龄在1.5-6岁儿童的早期语言沟通能力进行评估；（2）认知测评：主要针对发展年龄在1.5-6岁儿童的认知能力进行测评；（3）社会交往测评主要针对发展年龄在1-6岁儿童的社会交往能力进行测评；（4） 生活自理测评主要针对发展年龄在1-6岁儿童的生活自理能力进行测评；（5）精细运动测评主要针对发展年龄在1-6岁儿童的小肌肉运动能力进行测评；（6）粗大运动测评主要针对发展年龄在1-6岁儿童的大肌肉运动能力进行测评；（7） 感知觉测评主要针对发展年龄在1-6岁儿童的感知觉能力进行测评；（8）情绪行为测评主要针对发展年龄在1-6岁儿童的情绪行为进行测评。</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2、依据儿童认知发展规律，进行系统评估，从而得出儿童各方面认知能力的发展年龄，并自动生成数据化测评报告。采用智能化人机互动测评模式，支持儿童在线操作测评题目</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3、一键自动生成检测的评估报告，打印测评报告；</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4、根据测评报告自动生成个性化IEP方案（含教学视频和交互性软件），可由评估师调整训练方案；</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5、支持自定义选择单项测评模块生成评估报告，也可以自定义测评时间生成指8大领域综合报告。</w:t>
            </w:r>
            <w:r>
              <w:rPr>
                <w:rFonts w:hint="eastAsia" w:ascii="宋体" w:hAnsi="宋体" w:eastAsia="宋体" w:cs="宋体"/>
                <w:i w:val="0"/>
                <w:iCs w:val="0"/>
                <w:color w:val="0000FF"/>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（四）感统模块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感觉统合测评旨在帮助2-12岁儿童评测感觉统合功能的发展状况，测评量表分为问卷测评和运动测评两部分。问卷测评其中包含触觉调节测评、前庭觉调节测评、本体觉调节测评、视听觉调节测评、姿势控制能力测评、两侧整合与运用肢体能力测评、触觉区辩与精细操作能力测评、视听觉区辩能力测评；运动测评包含视觉追踪、木琴、转头、触觉刷、跪趴姿势、走直线、触觉盘等，系统会根据儿童年龄自动推送相应的测评题目。通过问卷测评和运动测评两部分对感觉统合能力进行综合评估后，系统会自动生成测评报告，并匹配教学视频。</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三、康复训练区</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根据测评报告软件自动生成训练计划和训练课程；扫码或登录训练台软件，既可以打开该学员IEP训练视频，开展训练；可用于建设智能共享感统室，把感统教室分为评估区和训练区，开展趣味化训练。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四、硬件组成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1、▲主控设备1套：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显示屏尺寸：≥23英寸；CPU：不低于i5；分辨率：1920*1080；内存：≥16G；固态硬盘：≥512G；屏幕比列 16：9。</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2、▲触摸设备（嵌入式）1台：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触摸屏尺寸：尺寸≥21英寸；运行内存：≥4G；内存≥64G；多点电容触摸；分辨率：1920*1080。</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3、台车1套：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规格：≥1400*828.76*1034.64mm；材质：冷轧钢板1.5mm，金属烤漆，面板钢化玻璃，独立电源，内部构件电镀，防锈、防磁、防静电。脚轮：超静音材料，转向灵活，轮带卡刹。</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4、彩色喷墨打印机1台：复印，打印，扫描，支持彩色打印，支持无线打印。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5、椅子1张：</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外形尺寸（直径×高）：≥40×48cm，升降高度≥8-10cm，材质：皮+钢制，高度调节范围≥43～53cm，360°旋转，静音设计万向滚轮。</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6、▲触控设备8套：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尺寸：≥11英寸，特性：触控屏，运行内存：≥8G+128G，分辨率：1920*1200dpi。</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7、工具箱3套：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孤独症儿童发展评估量表工具箱(8大领域)、孤独症儿童心理教育评估量表工具箱(PEP-3)、VB-MAPP语言行为评估工具箱各1套。</w:t>
            </w:r>
          </w:p>
          <w:p w14:paraId="69D4EAB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8、台车1套。</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568FDA3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666533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6F4F2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6D42C73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33DE43F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半圆弧桌椅</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59AA4BB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材质：樟子松实木，水性环保漆</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桌子规格：≥158*58*50cm，含1桌3椅，坐高≥28cm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特点：圆角设计防止磕碰对孩子造成伤害，主要用于孩子团体活动课。</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5E998A8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7E2A26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10</w:t>
            </w:r>
          </w:p>
        </w:tc>
      </w:tr>
      <w:tr w14:paraId="5DA64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4D205E2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22CF114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教具柜</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3BF2EA5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尺寸：≥1200*300*800mm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材质：环保实木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特点：多功能组合款式多样，可收纳不同物品</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0C79F13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095F8A9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w:t>
            </w:r>
          </w:p>
        </w:tc>
      </w:tr>
      <w:tr w14:paraId="3665B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5C28B89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443B407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儿童发音测评系统</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434F40C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一、康复评估区</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言语构音模块：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言语构音分为言语构音测评、韵母构音测评和口部运动测评。</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言语构音测评主要针对声母构音清晰度进行专业化评估，旨在帮助测评人(家长)了解儿童声母构音能力发展情况。本测评不少于50题，可详细测评声母、核心韵母和声调的清晰度，测评完成后系统会自动生成测评报告，并匹配对应的教学视频和交互训练软件。</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韵母构音测评主要针对韵母构音清晰度进行详细的评估，旨在帮助测评人(家长)了解儿童韵母构音能力发展情况。本测评不少于35题，测评时请先听示范录音，每题要求跟读三遍，测评完成后系统会自动生成测评报告，并匹配对应的教学视频和交互训练软件。</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口部运动测评主要针对口部运动功能进行详细的评估，旨在帮助测评人(家长)了解儿童口部运动功能发展情况。本测评共计28题，其中包含下颌运动功能评估，唇运动功能评估，舌运动功能评估，测评完成后系统会自动生成测评报告，并匹配对应的教学视频。</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二、康复训练区</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（一）言语模块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1、可利用交互训练软件对言语构音障碍的儿童进行智能化训练；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通过视频和数字化疗法（交互训练软件）的方式对患者进行康复训练；内嵌不少于100个项言语构音交互训练游戏软件和教学视频，须至少包括：（1）呼吸训练；（2）发音诱导训练；（3）口部运动训练；（4）下颌、唇、舌构音运动的康复训练；（5）声母、韵母等构音康复训练；（6）言语构音训练；（7）连续语音训练。并能记录每次训练的时间。呼吸训练软件、发音诱导训练软件、言语构音训练软件、语音巩固训练软件、语音重复训练软件、语音切换训练软件、语音轮替训练软件、语言理解与表达训练软件--词语言与词组，言语构音、韵母构音、口部运动的训练视频；</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3、通过语音分贝值识别系统，跟进儿童构音能力切换训练模式；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4、按照儿童能力发展阶梯匹配阶梯式构音训练内容模块。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（二）语言认知模块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1、语言认知训练可开展：</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（1）语言理解与表达训练-词语：训练内容包含不少于20类常用名词和3级难度常用动词，通过图片、音频和视频动画等形式进行多维度教学；</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（2）语言理解与表达训练-词组：训练内容至少包括并列、动宾、主谓、介宾和偏正5大常用词组结构，具备多种训练场景进行智能交互训练；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（3）语言沟通-问句：训练内容包含特指问句和是非问句，通过“什么？”、“做什么？”、“谁？”、“在哪里？”等7种常用特指问句和“是/不是”、“有/没有”等是非问句进行问答训练；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（4）语言沟通-短文：通过故事问答、故事排序、看图说话等训练模块帮助儿童练习故事理解与表达的能力；</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（5）认知能力：训练内容至少包含物品功能、物品类别、数量关系等，通过配对、指认、连线、找不同、表达等多种智能交互形式，结合生活场景进行基础认知能力训练。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2、每款训练软件均可根据儿童的能力从训练内容、图片形式、训练难度、展示布局等多维度进行个性化设置，训练完成后系统将自动生成康复训练数据。</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3、教学训练视频，不少于200个主题，交互式训练软件不少于10款100个场景。</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三、硬件组成参数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1、▲主控设备1套：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显示屏尺寸：≥23英寸；CPU：不低于i5；分辨率：1920*1080；内存：≥16G；固态硬盘：≥512G；屏幕比列 16：9。</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2、▲触控设备（嵌入式）1台：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触摸屏尺寸：尺寸≥21英寸；运行内存：≥4G；内存≥64G；多点电容触摸；分辨率：1920*1080。</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3、台车1套：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规格：≥1400*828.76*1034.64mm；材质：冷轧钢板1.5mm，金属烤漆，面板钢化玻璃，独立电源，内部构件电镀，防锈、防磁、防静电。脚轮：超静音材料，转向灵活，轮带卡刹。</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4、彩色喷墨打印机1台：复印，打印，扫描，支持彩色打印，支持无线打印。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5、▲触控设备2套：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尺寸：≥11英寸，特性：触控屏，运行内存：≥8G+128G，分辨率：1920*1200dpi。</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6、椅子1张：</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外形尺寸（直径×高）：≥40×48cm，升降高度≥8-10cm，材质：皮+钢制，高度调节范围≥43～53cm，360°旋转，静音设计万向滚轮。                  </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727BA69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39C3B1A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116B7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1CE9F3B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22AD42D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语言功能评估与训练用具</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18104ED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主要功能要求：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语言功能评估与训练用具应具有语言功能评估功能，包括词语理解能力评估、词组理解评估（并列词组、动宾词组、主谓词组、偏正词组和介宾词组）、句子理解能力评估（存现句、是字句、被字句、把字句）、短文理解能力评估，词句段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产品内容：</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至少包括语言理解能力评估、词语的简单训练、语法的简单训练、句子的简单训练、会话的简单训练。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主要组成：语言康复训练实用手册，语言训练用具：词语篇、语法篇、会话篇。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适用人群：适用于听障、语言发育迟缓、精神发育迟缓、自闭症、脑瘫构音障碍、品性障碍、学习障碍等儿童。</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4DEFD73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B4A0C0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1CF10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1170BB5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185DDF0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言语功能评估及训练用具</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32067A2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主要功能要求：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言语功能评估与训练用具软件应具有言语功能评估功能，包括构音语音功能评估，呼吸、发声、共鸣障碍的促进治疗，口部功能、构音功能、构音语音能力训练。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言语呼吸、发声、共鸣障碍的促进治疗手册，口部、构音、语音训练用具。</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适用于听障、语言发育迟缓、精神发育迟节、自闭症、脑瘫构音障碍、品性障碍、学习障碍等儿童。</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0E30A3A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31D0957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r>
      <w:tr w14:paraId="30618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0E0D16E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7D1B168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心理沙盘游戏</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7CB660F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1.1沙具：包含多种类型沙具，至少包含人物类、动物类、植物类、建筑类、家居与生活用品类、交通类、食物果实类、石头贝壳类、景观与场景类及其他类等不少于9大类，43小类总计不少于1000件。同时为保证咨询效果，材质应包含陶瓷、树脂 、搪胶、木质、塑料、金属、亚克力等多种。沙具独具特色，建筑类至少包含如房子、金字塔、路标、学校、别墅、古埃及方碑等；动物类至少包含如恐龙，蝴蝶，牛，马，羊等；食品类至少包含如粽子，水果，鸡蛋，馒头等，花草类至少包含如太阳花，桃花、牡丹等；交通工具类至少包含如小汽车，单车，吉普车，跑车，越野车，三轮摩托车，火车，船等，人物类至少包含如受伤人物，大学生，婚礼人物，婴儿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1.2沙盘专用天然海沙：细腻圆润，经过多道清洗、筛选、消毒、去尘等工序不少于10kg。</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1.3标准实木沙盘不少于1个：全实木材质，技术规格：≥72×57×7cm  颜色：内侧天蓝色，外侧自然木纹色，表面光滑，含实木支架不少于1套，配件螺丝不少于1包。</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1.4标准实木沙具柜不少于2个：纯实木制造，阶梯搭步式设计，五层九阶（尺寸：≥160*80*30cm）；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1.5心理沙盘指导手册不少于1本：提供了沙盘游戏整个过程的案例及分析。由心理游戏的初阶（沙盘游戏概述，理论深渊，实施过程，象征意义解读，空间配置）、沙盘游戏的进阶（个体咨询案例，家庭治疗的理论，家庭治疗案例）、沙盘游戏的高阶（团体治疗理论，团体治疗的案例，沙盘游戏的督导）等多部分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1.6沙盘辅助配件不少于1套：包含不少于沙耙，沙铲，平行刷等工具，方便来访者操作。</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1.7沙盘视频剪辑光盘不少于1张：包含沙盘操作使用视频，为初学者提供学习的机会。</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032AB81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67F684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r>
      <w:tr w14:paraId="7F7A2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478635E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76D1222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音乐放松椅</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1A96DC6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产品详情：</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1、音乐放松椅尺寸：≥130*110*100（收起）±3cm；≥168*100*78（展开）±3cm；产品重量：≥45KG，电源：220V（50HZ），电动伸展，收缩。</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2、音乐放松椅通过利用心理音乐，心理催眠指导语，心理图片等进行身心放松，自我调节，内置场景调节教学视频。音乐放松椅可用于进行放松冥想，也可用于心理工作者进行心理辅导的辅助设备。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15寸高清LED数字屏打造，系统内置不少于4大类型高清心理视频，视频全程配有文字字幕，方便来访者及心理咨询师观看，（含催眠放松训练真人视频，时长不低于16分钟；肌肉放松训练真人视频，时长不低于11分钟；渐进式催眠训练真人视频，时长不低于16分钟；冥想放松训练真人视频，时长不低于6分钟。）含专业心理催眠图片（错觉图，不可能图形等），包含有α脑波音乐，冥想音乐，中国五行音乐，催眠减压音乐，大自然背景音乐等音乐资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4、搭配高品质音蓝牙音响，触摸控制面板，可控制上一曲，下一曲，音量加，音量减，暂停，双USB接口，用于充电，可蓝牙连接，USB数据线连接，音频线连接播放音乐，触摸控制音响开关按钮等功能。</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5、显示器支架银白色，大气美观，支架可摇摆，可旋转，显示器可360°旋转，可固定在某一个角度，符合心理咨询师的要求。产品具有电动调节功能，方便来访者自由选择坐，卧，躺等最自然，最放松的姿势。</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6、催眠眼罩不少于2个：每个尺寸≥23*7cm，黑色，透风棉质，带耳机通风口，带松紧调节扣。</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7、音乐治疗导手册不少于1份。</w:t>
            </w:r>
          </w:p>
          <w:p w14:paraId="352F0BD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产品组成：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1、标准型音乐放松椅1台；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2、不小于15寸显示屏1套；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3、显示屏支架1套；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4、催眠眼罩2个；</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5、音乐治疗导论1本；</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6、安装工具1套。</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2B853C9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532413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r>
      <w:tr w14:paraId="00A3B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687386A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5FD18E8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触控一体机</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2C65FA3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一、整体设计：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1.整机采用边框与背板一体化冲压成型结构，上左右三边边框与背板非拼接组装结构，连接处无拼缝。整机左、右、下三边框皆具备磁吸功能，边框任意位置可吸附具备磁吸功能的书写笔。</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2.屏幕采用≥86英寸液晶显示器，采用LED液晶A规屏，显示⽐例16:9。显示分辨率3840*2160，可视⻆度≥178°。</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3.侧置输入接口具备≥2路HDMI、1路RS232（RJ45形态）、1路USB接口，1路音频输出、1路触控USB输出；前置输入接口≥3路USB接口（包含1路Type-C、2路USB）。</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4.★整机采用红外触控技术，均支持≥48点触控及书写划线。</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5.整机嵌入式系统，主频≥1.6GHz。</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6.整机设备内置2.2声道扬声器，前朝向发声，12W高音扬声器2个，上朝向30W中低音扬声器2个，最大功率≥80W，全部扬声器无需打开背板即可单独拆卸。</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7.整机内置非独立外扩展的4阵列麦克风，可用于对教室环境音频进行采集，麦克风拾音距离≥11米。</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8.★整机听力模式下具备AI人声语言增强功能，支持三挡强弱调节。扩声系统语言传输指数（STIPA）≥0.75。</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10.整机上边框内置非独立摄像头，采用一体化集成设计，⽀持输出4:3、16:9⽐例的图⽚和视频，支持拍摄＞1600 万像素数的照片和视频，支持输出 4k 分辨率的视频。</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11.整机内置双WiFi6无线网卡（不接受外接），可实现Wi-Fi无线上网连接、AP无线热点发射。Wi-Fi制式支持IEEE 802.11 a/b/g/n/ac/ax；支持版本Wi-Fi6。</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12.★整机支持发出频率为20kHz-22kHz超声波信号，智能手机和笔记本电脑接收超声波信号后可以自动识别附近投屏设备，点击对应设备即可完成投屏操作。</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13.★整机配套教学应用APP可通过wifi直连技术，近场发现附近教学大屏设备，无需扫码、账号密码输入步骤，即可直接连接并登录教学大屏设备，基于统一身份认证机制可实现其他教学软件免登录操作。</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14.整机Windows通道支持文件传输应用，支持通过扫码、超声、wifi直连三种方式与手机进行握手连接，实现文件传输功能。</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15.★整机内置AR授课工具，支持对视频展台所采集的画面中叠加动态的3D 模型。3D模型包括：动物、微生物、人体骨骼、乐器、星球、地形。</w:t>
            </w:r>
          </w:p>
          <w:p w14:paraId="01966D8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16.★整机内置AI智能体（非第三方应用），根据教学和学习需求可快速创建，支持个性化设定角色信息包括角色性格、技能与头像信息，支持语音和文字两种方式与智能体进行对话交互，创建的智能体可上传到本校资源进行共享使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二、插拔式电脑模块：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1.采用按压式卡扣，无需工具即可快速拆卸电脑模块。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2.PC模块和整机的连接采用万兆级接口，传输速率≥10Gbps。</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3.电脑模块CPU要求：主频≥2.0GHz，8核心十二线程；配置要求：不低于 DDR4 8GB内存，256GB SSD硬盘；接口要求：≥1路HDMI，≥3路USB</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三、写字板：</w:t>
            </w:r>
          </w:p>
          <w:p w14:paraId="35397F4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基本尺寸≥4200mm*1240mm，可根据一体机尺寸和用户需求进行调整。左右推拉形式，一体机居中放置；内外双层，内层两块固定板外层两块活动板，使用一体机时将两块活动板分别拉开，活动板闭合后接触面为无边框折边设计无障碍书写。</w:t>
            </w:r>
          </w:p>
          <w:p w14:paraId="3BF8503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书写面材质：采用优质烤漆板，内芯材料：采用高密度泡沫板，背板：采用优质镀锌彩涂板，边框材料：采用铝型材，包角：采用ABS工程塑料。</w:t>
            </w:r>
          </w:p>
          <w:p w14:paraId="36E24CE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注：对★技术参数，中标公示期间须提供有资质的第三方检测机构出具的CMA检测报告扫描件。</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758AAC6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7D0F9B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w:t>
            </w:r>
          </w:p>
        </w:tc>
      </w:tr>
      <w:tr w14:paraId="5F39D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E3E2CC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6CDF1B5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特需儿童专用教学辅具</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6C2739D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（1）感知觉类</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须具备多种类型操作材料，通过感知觉的干预，让特需儿童认识常见的动植物，能注意并发现周围的动植物是多种多样的，课程化教学让儿童感知发现物体和材料的软硬、光滑和粗糙等特性，以及动植物的生长变化等。发展儿童感知觉能力，提升专注力。（包括但不限于彩色的拥抱、神奇的生命、摸一摸等，具有嵌板、动植物生长过程圆片、收纳袋、沙包、积木、透光片、眼镜等操作材料。）</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（2）情绪行为类</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须具备多种类型操作材料，教师通过自身良好的情绪状态影响儿童，利用教学用具引导儿童与人分享自己情绪，并恰当表达和调控情绪，儿童在引导下能缓解情绪减少刻板行为、攻击性行为等不当行为，并通过音乐感知、音乐活动，进行情绪调节等。（包括但不限于叮当音乐会、情绪辨别、这样做对吗等，具有长方体表情积木、椭圆形表情、情绪类操作书、表情底板、行为指导卡、乐器等操作材料。）</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（3）生活适应类</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须具备多种类型操作材料，利用教具开展多种教学活动，鼓励儿童做力所能及的事情，参与日常的生活活动，引导他们学习和掌握生活自理的基本方法，例如穿衣、刷牙、打扫等，教学用具与生活环境相结合，帮助儿童能够提升生活自理的能力，并学习使用简单的劳动工具。（包括但不限于家务小帮手、我会穿衣服、垃圾分类等，具有牙模具、除尘器、扫帚、收纳架等操作材料。）</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（4）精细动作类</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须具备多种类型操作材料，用多种不同操作形式，创建手部精细运动训练专区，通过捏、拿、拧、揉、搓等手部动作操作材料，提升手部精细动作能力和手眼协调能力。（包括但不限于小小修理工、漂亮的篮子、小蘑菇、彩虹糖等，具有操作台、组装推车、花篮、木制箱子、拼插纸、镂空底板、珠子等操作材料。）</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（5）语言与沟通类</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须具备多种类型操作材料，教师可以引导儿童与他人沟通讨论，并运用已习得的语言词汇进行故事叙述、重复等，语言教学贯穿于所有的教学活动，通过更具针对性的教具，开展特色化语言活动，增强儿童的语言表达能力和沟通能力。（包括但不限于故事创作、“皮”一下很有“影”、3个“W”、快乐生活等，具有故事卡片、互动贴、相反木质卡片、干什么操作书、用什么操作书等操作材料。）</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（6）认知发展类</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须具备多种类型操作材料，通过认知类教具进行基本认知教学，例如形状、方向、空间、大小、数量等，通过教具引导儿童认识周边事物的形状，能将物品结合颜色、大小、数量要求有序的进行摆放，引导儿童发现生活中很多问题都会用到这些知识，让儿童将认知与实际生活相结合，提升并巩固他们的认知能力。（包括但不限于藏起来了、这是谁啊、动物学数数等，具有木质动物、积木、动物砝码、场景板、木制小车框、形状柱、形状嵌板、动物题板等操作材料。）</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（7）社会交往类</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须具备多种类型操作材料，将教学用具设计多种互动教学活动，引导儿童与不同的人进行，使他们适应新环境及新的人际关系，并通过教学活动游戏过程，激发他们与人沟通交流，锻炼他们社会交往的能力。（包括但不限于猜猜我是谁、逛超市、动物排排队等，具有动物卡片、不织布文字、智能收银机、购物车、3D立体书、手偶等操作材料。）</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★（8）专用教学辅具包含生活自理、精细动作、认知学习、语言沟通、情绪行为等7类不少于30组操作辅具。</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（9）为了教学方便，产品需配备纸质版特需儿童专用教学辅具课程手册，且在特需儿童专用教学辅具课程手册中找到相应使用教案（教程）。</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注：对★技术参数，中标公示期间须提供有资质的第三方检测机构出具的CMA检测报告扫描件。</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2AAB595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2FE5A1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w:t>
            </w:r>
          </w:p>
        </w:tc>
      </w:tr>
      <w:tr w14:paraId="446E7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743F802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11</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1E4ACE6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椭圆形活动桌</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31839DC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规格：扇形桌：≥116*60*56cm，长方形桌：≥120*50*56cm，1桌8椅，坐高≥28cm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材质：环保实木</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2C8750E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8E8161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w:t>
            </w:r>
          </w:p>
        </w:tc>
      </w:tr>
      <w:tr w14:paraId="61B44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7D34C6E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12</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53341E8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智能融合互动训练系统</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57CF92A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一、功能要求：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1、语言智能训练配有不少于30个语言主题训练课程，主题课程内容由为涂一涂、描一描、分一分等部分组成。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2、逻辑智能训练配有不少于10个逻辑智能主题训练课程，主题课程内容由涂一涂、描一描、分一分等部分组成。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3、内置课程主题均有相应教具的配备。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4、课件可进行教学模式、跟读回放、单选、多选、连线、分类拖拽、区域识别、排列顺序、找不同、涂写、绘画等操作。</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5、为防止刻板重复，课件中训练题目随机出现。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6、训练题目可重复播放，可自动切换练习题目也可手动切换练习题目。</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7、可进行“记录成绩不提示对错”和“不记录成绩提示对错”两种操作模式。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8、训练成绩可现实答对题目和答错题目，同时可计算正确率。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二、硬件配置要求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1.▲交互设备1台：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1.1显示尺寸≥86英寸，分辨率：3840*2160，采用红外触控技术，支持20点同时触控及书写；背光系统支持DC调光方式，多级亮度调节；采用OPS-C 标准的80pin针口设计，屏体与插拔式电脑无单独接线；</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1.2内置电脑</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采用80pin Intel通用标准接口,即插即用，易于维护；CPU：不低于I5处理器；内存：≥8G DDR4；硬盘：≥256G SSD固态硬盘。</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2.写字板1套：</w:t>
            </w:r>
          </w:p>
          <w:p w14:paraId="02F6519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外观基本尺寸：≥420cm*124cm，根据显示屏尺寸和用户需求调整尺寸；书写面材质：材料采用优质烤漆板，内芯材料：高强度泡沫板，背板：材料为优质镀锌彩涂板，边框材料：铝合金，包角材料：ABS工程塑料，结构为一体机居中，两块活动板两块固定板，使用显示屏时将两块活动板分别拉开，活动板闭合后接触面为无边框折边设计无障碍书写。</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2C78D50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CE50A9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r>
      <w:tr w14:paraId="1B5D1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43D6168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13</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7F41097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融合教育互动教学资源系统</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0EFA34B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一、功能要求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1、系统课件与教具资源包内的教具内容一致。</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2、课件可进行教学模式、跟读回放、单选、多选、连线、分类拖拽、区域识别、排列顺序、找不同、记忆闪卡、涂写、绘画、自动语音识别判分等操作。</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3、为防止刻板重复，课件中训练题目随机出现。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4、训练题目可重复播放，可自动切换练习题目也可手动切换练习题目。</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5、可进行“记录成绩不提示对错”和“不记录成绩提示对错”两种操作模式。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6、训练成绩可现实答对题目和答错题目，同时可计算正确率。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7、课件按照初级、中级、高级至少包含110个主题训练内容同时配有相同主题与训练内容的教具。</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初级内容，具有不少于39个主题训练内容；</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中级内容，具有不少于35个主题训练内容；</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高级内容，具有不少于36个主题训练内容。</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二、教具组成：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1、固定操作素材：尺寸≥21cm×29cm；材质≥120g卡纸+15丝塑封；数量≥1200项；</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2、搭配操作素材：尺寸≥5cm×5cm；材质≥0.7mm厚PVC材质；数量≥3000张；</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3、配件：尺寸≥φ1.5cm；数量≥4500对；</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4、收纳袋：尺寸≥38cm×27cm；数量≥110个；</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5、小收纳盒：尺寸≥5.5cm×5.5cm；数量≥200个</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6、大收纳盒：尺寸≥30cm×20cm×6cm；数量≥6个；</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7、收纳箱1个：材质：多层板材+铝合金；尺寸≥42cm×37cm×44cm。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三、硬件配置要求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1.▲交互设备1台：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1.1显示尺寸≥86英寸，分辨率：3840*2160，采用红外触控技术，支持20点同时触控及书写；背光系统支持DC调光方式，多级亮度调节；采用OPS-C 标准的80pin针口设计，屏体与插拔式电脑无单独接线；</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1.2内置电脑</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采用80pin Intel通用标准接口,即插即用，易于维护；CPU：不低于I5处理器；内存：≥8G DDR4；硬盘：≥256G SSD固态硬盘。</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2.写字板1套：</w:t>
            </w:r>
          </w:p>
          <w:p w14:paraId="66DEE02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外观基本尺寸：≥420cm*124cm，根据显示屏尺寸和用户需求调整尺寸；书写面材质：材料采用优质烤漆板，内芯材料：高强度泡沫板，背板：材料为优质镀锌彩涂板，边框材料：铝合金，包角材料：ABS工程塑料，结构为一体机居中，两块活动板两块固定板，使用显示屏时将两块活动板分别拉开，活动板闭合后接触面为无边框折边设计无障碍书写。</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48A0E3E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EE0610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47D6A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1FFF449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14</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7FE18A5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智能沟通训练仪</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18B9A6C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这是一款专门针对各类康复机构设计研发的多媒体专业的听力、语言、认知、沟通训练设备。系统采取互动鼓励为主的强化康复教学训练，并且可进行在线升级更新训练内容，系统搭载了语言识别功能，可进行语音对比，自动判分。同时记录训练成绩，使康复训练更有效。内含：听觉能力训练、辨别能力训练、概念理解训练、认知理解训练、语言表达训练、抽象思维训练、情绪解读训练、生活自理训练、构音训练、社交沟通训练十项能力训练内容。训练题目过万条，内置参考教案，并且训练和参考教案定期更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一、硬件参数要求：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1、▲触控设备1套：屏幕尺寸≥10英寸；分辨率≥1920x1200；内存≥8G；存储容量≥128G；摄像头像素≥500万；平板保护套、触控笔；</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教具包含不限于：彩泥1套：不少于12种颜色；一家六口人木偶1套：至少包含6个人物；切切乐1套：至少包含水果、蔬菜、食物不少于20件物品；情绪配对拼板1套：至少包含底板1块，拼板12块，操作卡15张；木质沙锤≥2个：木质，尺寸≥22CM；益智拼图1套：至少包含水果拼图、交通拼图、动物拼图，共计不少于36款拼图；仿真野生动物1套：PVC材质、不少于20款；捉虫游戏1套：木质、尺寸16*16*7CM±5%、锻炼精细动作和手眼协调；购物清单磁性款1套：商店卡片≥4张、购物清单≥4张、价格卡≥4张、物品卡片≥32张、代币≥43个、购物篮≥2个、购物车≥2个；趣味逻辑钥匙1套：至少包含木质底座1个、木质钥匙1个、双面题卡≥40张；生活自理套装1套：木质、衣服底板≥2张、鞋子底板≥2张、扣子≥10课、鞋带≥4根；配对游戏1套：木质、底座≥1块、积木块≥25块、卡片≥5张；泡泡水5瓶：≥120ML；气球1袋：≥100个，卡通造型，带打气筒1个；装扮医生1套：≥52件；磁性视觉提示套装1套：材质：PVC+铁、底板≥4张（4个主题）、代币≥35片；互动贴纸1套：≥8册，可反复使用；场景教具1套：至少包含卧室、客厅、卫浴、厨房，人物等，总件数不少于25件；互动教具1套：≥3册、≥33主题教学内容；收纳箱1个：材质：板材+铝合金。</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二、软件参数要求：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1、训练板块至少包含：听觉能力训练、辨别能力训练、概念理解训练、认知理解训练、语言表达训练、抽象思维训练、情绪解读训练、生活自理训练、构音训练、社交沟通训练等训练板块。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2、听觉能力训练至少包含：Ling氏六音、初级词汇、中级词汇、高级词汇、泛化训练、综合训练等主题。</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3、辨别能力训练至少包含：分辨不同类物品、分辨同类物品、分辨物品不同形态、分辨隐藏物品、场景中分辨物品、观察能力等主题。</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4、概念理解训练至少包含：理解相对概念、理解最概念、理解反义词、理解数的概念、常见的量等主题。</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5、认识理解训练至少包含：配对、分类、排序、物件功能、形状认知、颜色认知、短语理解、句子理解等主题。</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6、语言表达训练至少包含：回答特指问句、回答特殊问句、短语描述、复杂问句、看图说话、交互式对话、主题对话等主题。</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7、抽象思维训练至少包含：时间观察、空间观察、数学训练、找规律、因果关系、找错误、钱币的使用、加法、减法、数学训练等主题。</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8、情绪解读训练至少包含：初阶训练、中阶训练、高阶训练等主题。</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9、生活自理训练至少包含：穿脱衣服、穿脱裤子、洗漱、其他日常等主题。</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10、构音训练至少包含：韵母、声母、整体认读音节等主题。</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11、社交沟通训练至少包含：观察与推理、换位思考、心智解读、句式练习、礼貌用语、社会规则等主题。</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12、整套系统内容不少于10个训练板块，700个知识点，10000条训练内容。</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13、为防止学生刻板记忆，训练内容可选择按顺序训练，也可选择随训练。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14、训练内容操作方式多样化：具有教学模式、跟读回放、连线操作、分类拖拽、区域识别、单选、多选等操作方式，在增强互动趣味性的同时，锻炼使用者的手部精细动作能力。</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15、训练题目可以重复播放，可进行手动切换、也可进行自动切换。</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16、系统内容与配套教案以及使用说明书可定期更新。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17、成绩排行榜：按区域可分为：全国、省份排行榜，按照时间可分为：月排行、周排行、日排行。</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258E6C6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4FB3DF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r>
      <w:tr w14:paraId="10180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3F2CF79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15</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5B9B44C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蒙台梭利教具</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14D5B6E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组成：蒙氏教具≥88件套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材质：榉木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蒙台梭利教具不少于6大领域，感官教育教具、数学教育教具、语言教育教具、科学文化教育教具、日常生活教育教具及音乐教育教具。在蒙台梭利教具中，最经典的教具为感官教育教具部分，例如：插座圆柱体、粉红塔、棕色梯、长棒等。蒙台梭利教具最大的特点在于，孩子通过自主地操作教具，从中主动地获得大量感官经验及掌握不容易被理解的数理知识。蒙台梭利教具是依据孩子的年龄段而设计的，不同年龄段的孩子适用不同的教具。</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7463005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3B7A9B4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r>
      <w:tr w14:paraId="65614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F7887F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16</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3C0733F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便携式白板</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786B6A0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规格：≥30*40cm</w:t>
            </w:r>
          </w:p>
          <w:p w14:paraId="3052B36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材质：塑料+磁性白板</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56170A1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589CAE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w:t>
            </w:r>
          </w:p>
        </w:tc>
      </w:tr>
      <w:tr w14:paraId="53B66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auto" w:sz="4" w:space="0"/>
              <w:right w:val="single" w:color="000000" w:sz="4" w:space="0"/>
            </w:tcBorders>
            <w:noWrap/>
            <w:vAlign w:val="center"/>
          </w:tcPr>
          <w:p w14:paraId="2F2EC0C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17</w:t>
            </w:r>
          </w:p>
        </w:tc>
        <w:tc>
          <w:tcPr>
            <w:tcW w:w="1416" w:type="dxa"/>
            <w:tcBorders>
              <w:top w:val="single" w:color="000000" w:sz="4" w:space="0"/>
              <w:left w:val="single" w:color="000000" w:sz="4" w:space="0"/>
              <w:bottom w:val="single" w:color="auto" w:sz="4" w:space="0"/>
              <w:right w:val="single" w:color="000000" w:sz="4" w:space="0"/>
            </w:tcBorders>
            <w:noWrap w:val="0"/>
            <w:vAlign w:val="center"/>
          </w:tcPr>
          <w:p w14:paraId="4C259A1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特殊需要儿童筛查评估管理系统</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4DDB33D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一、主要内容要求：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对特殊需要儿童进行筛查评估是掌握其教育需求和康复功能问题的关键所在。通过细致的评估，我们能够深入了解这些儿童的基本信息、认知能力、语言能力以及社交交往能力等关键方面。这些信息对于制定个性化的教育方案和康复计划至关重要。筛查评估的结果能够指导教师为特殊需要儿童提供适宜的学习内容和教学方法。此外，评估和诊断还能为特殊需要儿童的教育和康复工作提供方向，从而有助于提升特殊需要儿童康复教育的质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特殊教育筛查评估管理系统能够记录特殊需要儿童的基本情况、评估结果和个性化教学内容，从而帮助教师更高效地管理特殊需要儿童的档案和教学记录。该系统由信息管理、评估管理、资源管理和IEP拟定四个主要模块组成。教师可以通过系统内的端口上传自定义资源，实现资源共享。系统还具备常模量表端口、特需儿童能力筛查、上传资源、查看资源、新建IEP等功能模块。通过这些模块的协同工作，特殊教育筛查评估管理系统为特殊需要儿童的教育和康复提供了全面管理和支持。</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二、主要功能要求：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信息管理模块允许教师录入和更新儿童的基本信息、修改信息、删除信息、查看信息等，新建信息内容包含儿童至少15项基本情况，包含姓名、出生年月、年级、联系电话、评估筛查结果、言语能力、语言能力、认知能力、发展特长、兴趣爱好等；具有功能障碍信息7项，可进行勾选和自行记录。</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（2）评估管理中提供标准化常模测评量表和七大功能评估内容。教师可以根据特需儿童的实际情况选择合适的内容进行评估，并记录评估结果。</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功能评估包含感知觉、精细动作、语言沟通、认知发展、情绪与行为、社会交往、生活自理七大类。</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感知觉评估内容主要评估儿童视觉、听觉触觉三个范围在注意、反应、辨别和记忆等方面的能力现状、优劣与需求；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精细动作评估内容主要评估儿童摆弄物品、基本操作能力、双手配合、手眼协调以及工具使用的能力现状和需求；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语言沟通评估内容主要评估儿童模仿叠音词、模仿表示动作的词、模仿表示物品的词、名称指令、指认、动作指令、对形容词的理解、理解事物关系、表达要求与回答问题、说短语、说句子和复述等方面的基本能力与需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认知发展评估内容主要评估儿童分类、配对以及时间概念、空间概念、颜色概念、数前概念和数概念等方面的能力、优劣与需求；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情绪与行为评估内容主要评估儿童对情绪的理解、情绪表达与情绪调节的能力、儿童特殊行为等方面所表现出来的情绪行为模式的异常与否，了解他们在情绪和行为方面的需求；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社会交往评估内容主要针对社交前基本能力、社交技巧、社交礼仪等维度，评估儿童在社交中的非口语能力、评价自己、控制自己、与人之间的互动、表示感谢、表示称赞、告别等能力；</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生活自理评估内容主要评估儿童自己用杯子喝水、取食方式、如厕技能、衣物的穿脱等能力。</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功能评估完成后能够生成评估报告，报告中具有评估计分、柱状图、训练建议等，通过评估报告教师了解儿童的发展情况，每次评估后都自动记录在评估记录中，通过评估记录管理所有特需儿童的评估信息。</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资源管理模块旨在为教师提供一个平台，用于上传和管理教学资源，如教案和课件等，便于教师之间进行资源的共享和交流。具有上传资源和查看资源两个版块，可由特殊教育指导中心或本校教师进行所需资料与课件的收集、整合与上传处理，教师可通过查看资源模块直接查看已有资源或其他本地资源。提供书刊文章资源、课件资源、案例资源、音乐资源、训练素材资源等多项特教学习资源，其中训练素材内容不少于300项。</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IEP拟定模块用于IEP课程的安排，教师可以利用该模块制定个别化的课程安排。可以进行新建、修改、删除、查看等功能，教师可以根据特殊儿童的学习习惯、学习需求、功能障碍等新建添加适合的课程安排。提供七大功能版块课程建议，教师根据实际教学需求进行填写。</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三、硬件配置要求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▲主控设备1台：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显示屏尺寸：≥14寸，处理器：不低于i5处理器，内存：运行内存≥16G，硬盘存储≥512G，分辨率1920×1080dpi。</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52B6BDB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F5CC71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r>
      <w:tr w14:paraId="2C3E0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auto" w:sz="4" w:space="0"/>
              <w:left w:val="single" w:color="auto" w:sz="4" w:space="0"/>
              <w:bottom w:val="single" w:color="auto" w:sz="4" w:space="0"/>
              <w:right w:val="single" w:color="auto" w:sz="4" w:space="0"/>
            </w:tcBorders>
            <w:noWrap/>
            <w:vAlign w:val="center"/>
          </w:tcPr>
          <w:p w14:paraId="442DA31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18</w:t>
            </w:r>
          </w:p>
        </w:tc>
        <w:tc>
          <w:tcPr>
            <w:tcW w:w="1416" w:type="dxa"/>
            <w:tcBorders>
              <w:top w:val="single" w:color="auto" w:sz="4" w:space="0"/>
              <w:left w:val="single" w:color="auto" w:sz="4" w:space="0"/>
              <w:bottom w:val="single" w:color="auto" w:sz="4" w:space="0"/>
              <w:right w:val="single" w:color="auto" w:sz="4" w:space="0"/>
            </w:tcBorders>
            <w:noWrap w:val="0"/>
            <w:vAlign w:val="center"/>
          </w:tcPr>
          <w:p w14:paraId="3B0ACE9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认知与美术拓展训练移动版</w:t>
            </w:r>
          </w:p>
        </w:tc>
        <w:tc>
          <w:tcPr>
            <w:tcW w:w="6276" w:type="dxa"/>
            <w:tcBorders>
              <w:top w:val="single" w:color="000000" w:sz="4" w:space="0"/>
              <w:left w:val="single" w:color="auto" w:sz="4" w:space="0"/>
              <w:bottom w:val="single" w:color="000000" w:sz="4" w:space="0"/>
              <w:right w:val="single" w:color="000000" w:sz="4" w:space="0"/>
            </w:tcBorders>
            <w:noWrap w:val="0"/>
            <w:vAlign w:val="center"/>
          </w:tcPr>
          <w:p w14:paraId="7C30347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1、外观材质：智能取色笔外观采用金属机身一体化成型，无喷漆处理，书写端为柔性材质；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2、外观尺寸：长≥170mm，直径≥14.5mm，书写端直径≥7mm，±5%；</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3、取色笔具有无线传输功能，可与专用设备无线连接，蓝牙通信传输速率10KB/s；</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4、设备工作电压5V，充电规格：5V 1A；</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5、可搭载显示：显示部分可搭配LCD高清14英寸屏幕，也可以搭载其他触控屏幕</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★6、实物取色功能要求：智能取色笔具有实物取色功能，取色端通过触碰任何物体即可识别并提取物体颜色；</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7、无线取色传输显示：智能取色笔具有无线传输功能，可与专用设备无线连接，实现实时提取物体颜色并在专用设备屏幕上书写出相应颜色；</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8、自动休眠与关机：设备长时间静置不动，会自动进入休眠状态，直至自动关机；</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★9、唤醒功能要求：设备具有位移感知功能，在休眠状态中，被拿起或者摇晃，即可唤醒设备；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10、震动反馈：实物取色具有震动反馈功能，手指可感受到触感震动；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11、电池防止过载：设备电池具有充放电管理系统，避免过载电流输入和输出；</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12、卡片识别与三维成像功能要求：设备可识别配备的专用卡片，并在屏幕中生成对应的三维影像，影像可静态旋转也可以保持运动；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13、软件：设备配套软件提供多种类素材，涵盖二维、三维与生活常见分类，均可与智能取色笔实时传输联动；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★14、有毒有害物质检测：产品中有毒有害物质元素含量符合我国《电子信息产品中有毒有害物质检测方法》具有X射线谱图可证明不含汞（Hg）、铬（Cr）、溴（Br）等人体有害元素；</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★15、人体接触电流安全：设备安全实验测试结果，接触电流为流过模拟人体阻抗网络的电流≤1.5mA；</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★16、设备安全性：</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1）电源适应性：设备电源接入198V 49Hz、198V 51Hz、220V 50Hz、242V 49Hz、242V 51Hz每种组合运行检查程序，设备工作正常；</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2）抗电强度：L、N保护接地端子，承受AC1500V 60s绝缘不被击穿；</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3）接触电流：在242V与198V电压测试下，设备电流均小于1.5mA</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设备通过环境测试：</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1）低温负荷测试：设备在-10℃低温环境，工作24小时无异常；</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2）高温负荷测试：设备在50℃高温环境，工作24小时无异常；</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3）恒定湿热负荷测试：设备在40℃,90％RH湿度环境，工作24小时无异常；</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17、自由跌落试验：设备通过跌落测试，在2米高度跌落，测试无损坏，软硬件运行均正常。</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注：对★技术参数，中标公示期间须提供有资质的第三方检测机构出具的CMA检测报告扫描件。</w:t>
            </w:r>
          </w:p>
        </w:tc>
        <w:tc>
          <w:tcPr>
            <w:tcW w:w="782" w:type="dxa"/>
            <w:tcBorders>
              <w:top w:val="single" w:color="000000" w:sz="4" w:space="0"/>
              <w:left w:val="single" w:color="auto" w:sz="4" w:space="0"/>
              <w:bottom w:val="single" w:color="000000" w:sz="4" w:space="0"/>
              <w:right w:val="single" w:color="000000" w:sz="4" w:space="0"/>
            </w:tcBorders>
            <w:noWrap w:val="0"/>
            <w:vAlign w:val="center"/>
          </w:tcPr>
          <w:p w14:paraId="3B5C82A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684974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r>
      <w:tr w14:paraId="6B31A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auto" w:sz="4" w:space="0"/>
              <w:left w:val="single" w:color="000000" w:sz="4" w:space="0"/>
              <w:bottom w:val="single" w:color="000000" w:sz="4" w:space="0"/>
              <w:right w:val="single" w:color="000000" w:sz="4" w:space="0"/>
            </w:tcBorders>
            <w:noWrap/>
            <w:vAlign w:val="center"/>
          </w:tcPr>
          <w:p w14:paraId="13F6383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19</w:t>
            </w:r>
          </w:p>
        </w:tc>
        <w:tc>
          <w:tcPr>
            <w:tcW w:w="1416" w:type="dxa"/>
            <w:tcBorders>
              <w:top w:val="single" w:color="auto" w:sz="4" w:space="0"/>
              <w:left w:val="single" w:color="000000" w:sz="4" w:space="0"/>
              <w:bottom w:val="single" w:color="000000" w:sz="4" w:space="0"/>
              <w:right w:val="single" w:color="000000" w:sz="4" w:space="0"/>
            </w:tcBorders>
            <w:noWrap w:val="0"/>
            <w:vAlign w:val="center"/>
          </w:tcPr>
          <w:p w14:paraId="1D22D7C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认知发展课程资源</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760428C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认知发展课程内容设计与游戏紧密相结合，帮助学生更容易建立核心经验，进而在学习中能建构自身解决问题的能力。全套课程资源设计具有趣味性及层次性，游戏材料多样丰富、玩法多元，场景插画细腻且有童趣，不仅可提高学生思维发展，同时能强化学生的动手能力。</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产品适用于：自闭症、智力障碍、发育迟缓或多重障碍的特需学生。</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平面材料和视频：</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（1）平面材料至少包含808 张图卡包含：配对、物品区辨、人物、身体部位、动词、情绪等，呈现形式真实、卡通、简笔画。</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（2）视频：至少包含动词、蔬菜变化、水果变化、眼神和肢体动词等，视频数量不少于152个动态视频。</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立体操作材料：</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（1）互动书（内容包含：关联配对、整体与局部\动物喜好、颜色、形状、多少\大小、高矮\长短\粗细、弯直\干净脏\新旧\冷热\干湿、眼神识别互动书）至少9本。</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（2）立体材料包含（喂熊宝宝、高矮大作战、打地鼠、冷热试管、水果模型、蔬菜模型、仿真洋娃娃、形状触摸盒、镜子等）至少9套。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3、课程资源实施方案：包含完善的教学流程和教学指导。</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0B8F816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8FD9BF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r>
      <w:tr w14:paraId="2B88D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62D64B9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20</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6EEE9ED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逻辑学习练习集</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5A392FB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产品组成：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（1）练习作业本：数学与逻辑思维≥12本，想象力与空间知觉≥4本，语言认知≥12本，专注力与记忆力≥12本，页数≥32页/本。</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（2）逻辑行为训练手册8册：配对本，动作本，语言本，逻辑本。</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认知学习册：认知学习册≥23册，塑料素材卡≥12盒（共2400个）。可选不同类别；每册配有主题符号≥14个，辅助符号；每册配有≥28个磁性素材卡，可选分类为主食、蔬菜、水果、动物1、动物2、动物生长、家庭关系、职业、服装、服饰、日用品、交通工具、地方、文具、教具、校内活动、方位、形状、特征、量词1、量词2、事物来源1、事物来源2。</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（4）逻辑训练手册：内容：配有教学、沟通、日常通用图形≥2350个符号，开本：A5（210mm*140mm）32开，页数：230页。</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（5）组句工作台1台：共≥2000个图形符号，配≥100片组句磁力板，配≥3个组句沟通条，尺寸：≥30*21.5*4cm。</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1D3DF72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390C54E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r>
      <w:tr w14:paraId="403BA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7CDA13E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21</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6ABA926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沟通辅具</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183513C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功能功能：对无言语沟通能力者进行沟通训练与评估以及沟通辅助。结合语音技术及微电脑控制功能，针对言语、语言沟通困难者设计，通过本辅具达到沟通、学习、生活自理的目的。</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技术指标：数据化录音，训练内容制作简单便捷。所录之音不随电源用尽或关机而消失，有音量调节功能；录音总时长：8分钟；可录信息数：录音层数3层，每层12段，共36段；</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1.言语沟通器频响：10kHz：当输入信号频率为100Hz-5kHz时，信号衰减为≤±2.0dB；截止频率处，衰减≥50分贝；</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2.言语沟通器静止噪声≤2mV；控制开关：薄膜开关，版面为3行×4列，可在1-12格任意选择；</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3.隔板区间：正面有12个隔板区间，帮助那些身体障碍，手指无法准确定位的使用者在触摸不同的按键时定位；</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 方便携带：体积小，重量轻，背面有手持松紧带，主机带有吊绳；</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5.外接变压整流器或使用9伏叠层电池，方便更换。</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5B28071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E9EE26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w:t>
            </w:r>
          </w:p>
        </w:tc>
      </w:tr>
      <w:tr w14:paraId="0F6C9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0428CC8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22</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2F677E6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社会行为障碍干预卡片</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433D281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本套训练卡片应包含日常生活的生活自理类、基础认知类、情绪认知调节类、语言表达类、逻辑思维类、注意力类六大类。以行为的动作连续性或生活事件的时间连续性为轴线,按先后顺序将日常动作或生活事件分解为多个步骤,用于培养特殊需要儿童的基本生活自理能力和语言表达能力等，促进早期交往技能的形成。整套训练卡片不少于300张。</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1、生活自理类训练卡提供刷牙、洗脸、如厕、穿衣服、穿裤子等生活连续卡片,通过各种日常生活自理活动的示范训练,培养特殊需要儿童基本的生活自理能力,形成良好的生活习惯。</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2、基础认知类训练卡包括数数、数与量的关系、多与少等。通过训练卡片教学,帮助特殊需要儿童熟悉20以内的数字，了解数与量的关系，学习多少的概念。</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情绪认知调节类训练卡包含情绪表情的认知学习,通过训练卡片，使特殊儿童认识日常生活中的不同表情，进一步通过不同情景中不同人物的表情示范教学,帮助特殊儿童加深对日常生活情绪表情的认识,引导他们认识表情，为调节其情绪做好准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4、语言表达类训练卡片都有语句补充的示例。引导特殊儿童通过扩句的形式，表达训练卡片的含义，提升特殊儿童的语言表达能力和沟通能力。</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5、逻辑思维类训练卡片、注意力类训练卡片通过观察以及动手操作训练孩子的观察能力、注意力和思维能力。</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793A96A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9CBA5A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r>
      <w:tr w14:paraId="3B1E3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C9EE8C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23</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57AA57D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语言与沟通课程资源</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73FBC96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2"/>
                <w:sz w:val="24"/>
                <w:szCs w:val="24"/>
                <w:highlight w:val="none"/>
                <w:u w:val="none"/>
                <w:lang w:val="en-US" w:eastAsia="zh-CN" w:bidi="ar-SA"/>
              </w:rPr>
              <w:t>语言与沟通课程资源适用于语言发育迟缓、孤独症、智力障碍儿童提升语言与沟通能力。应用在融合教育中可以最大限度的开展普特融合活动。</w:t>
            </w:r>
          </w:p>
          <w:p w14:paraId="750ECD1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2"/>
                <w:sz w:val="24"/>
                <w:szCs w:val="24"/>
                <w:highlight w:val="none"/>
                <w:u w:val="none"/>
                <w:lang w:val="en-US" w:eastAsia="zh-CN" w:bidi="ar-SA"/>
              </w:rPr>
              <w:t>主要组成：</w:t>
            </w:r>
            <w:r>
              <w:rPr>
                <w:rFonts w:hint="eastAsia" w:ascii="宋体" w:hAnsi="宋体" w:eastAsia="宋体" w:cs="宋体"/>
                <w:i w:val="0"/>
                <w:iCs w:val="0"/>
                <w:color w:val="000000"/>
                <w:kern w:val="0"/>
                <w:sz w:val="24"/>
                <w:szCs w:val="24"/>
                <w:highlight w:val="none"/>
                <w:u w:val="none"/>
                <w:lang w:val="en-US" w:eastAsia="zh-CN" w:bidi="ar"/>
              </w:rPr>
              <w:t>至少包含</w:t>
            </w:r>
            <w:r>
              <w:rPr>
                <w:rFonts w:hint="eastAsia" w:ascii="宋体" w:hAnsi="宋体" w:eastAsia="宋体" w:cs="宋体"/>
                <w:i w:val="0"/>
                <w:iCs w:val="0"/>
                <w:color w:val="000000"/>
                <w:kern w:val="2"/>
                <w:sz w:val="24"/>
                <w:szCs w:val="24"/>
                <w:highlight w:val="none"/>
                <w:u w:val="none"/>
                <w:lang w:val="en-US" w:eastAsia="zh-CN" w:bidi="ar-SA"/>
              </w:rPr>
              <w:t>13组立体材料、700张图卡、视频音频等。</w:t>
            </w:r>
          </w:p>
          <w:p w14:paraId="2076D07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2"/>
                <w:sz w:val="24"/>
                <w:szCs w:val="24"/>
                <w:highlight w:val="none"/>
                <w:u w:val="none"/>
                <w:lang w:val="en-US" w:eastAsia="zh-CN" w:bidi="ar-SA"/>
              </w:rPr>
              <w:t>立体操作材料：</w:t>
            </w:r>
            <w:r>
              <w:rPr>
                <w:rFonts w:hint="eastAsia" w:ascii="宋体" w:hAnsi="宋体" w:eastAsia="宋体" w:cs="宋体"/>
                <w:i w:val="0"/>
                <w:iCs w:val="0"/>
                <w:color w:val="000000"/>
                <w:kern w:val="0"/>
                <w:sz w:val="24"/>
                <w:szCs w:val="24"/>
                <w:highlight w:val="none"/>
                <w:u w:val="none"/>
                <w:lang w:val="en-US" w:eastAsia="zh-CN" w:bidi="ar"/>
              </w:rPr>
              <w:t>至少包含</w:t>
            </w:r>
            <w:r>
              <w:rPr>
                <w:rFonts w:hint="eastAsia" w:ascii="宋体" w:hAnsi="宋体" w:eastAsia="宋体" w:cs="宋体"/>
                <w:i w:val="0"/>
                <w:iCs w:val="0"/>
                <w:color w:val="000000"/>
                <w:kern w:val="2"/>
                <w:sz w:val="24"/>
                <w:szCs w:val="24"/>
                <w:highlight w:val="none"/>
                <w:u w:val="none"/>
                <w:lang w:val="en-US" w:eastAsia="zh-CN" w:bidi="ar-SA"/>
              </w:rPr>
              <w:t>听觉训练--仔细听、发音准备--快乐发音、欢乐自助餐、小小树屋、曲奇饼干盒、小熊穿衣、形状与颜色、常百变职业、动物模型、我的大家庭、-我的身体、顺序排排看、语因果拉拉看。</w:t>
            </w:r>
          </w:p>
          <w:p w14:paraId="2A3624F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2"/>
                <w:sz w:val="24"/>
                <w:szCs w:val="24"/>
                <w:highlight w:val="none"/>
                <w:u w:val="none"/>
                <w:lang w:val="en-US" w:eastAsia="zh-CN" w:bidi="ar-SA"/>
              </w:rPr>
              <w:t>丰富的立体材料结合点读卡套组及</w:t>
            </w:r>
            <w:r>
              <w:rPr>
                <w:rFonts w:hint="eastAsia" w:ascii="宋体" w:hAnsi="宋体" w:eastAsia="宋体" w:cs="宋体"/>
                <w:i w:val="0"/>
                <w:iCs w:val="0"/>
                <w:color w:val="000000"/>
                <w:kern w:val="0"/>
                <w:sz w:val="24"/>
                <w:szCs w:val="24"/>
                <w:highlight w:val="none"/>
                <w:u w:val="none"/>
                <w:lang w:val="en-US" w:eastAsia="zh-CN" w:bidi="ar"/>
              </w:rPr>
              <w:t>至少</w:t>
            </w:r>
            <w:r>
              <w:rPr>
                <w:rFonts w:hint="eastAsia" w:ascii="宋体" w:hAnsi="宋体" w:eastAsia="宋体" w:cs="宋体"/>
                <w:i w:val="0"/>
                <w:iCs w:val="0"/>
                <w:color w:val="000000"/>
                <w:kern w:val="2"/>
                <w:sz w:val="24"/>
                <w:szCs w:val="24"/>
                <w:highlight w:val="none"/>
                <w:u w:val="none"/>
                <w:lang w:val="en-US" w:eastAsia="zh-CN" w:bidi="ar-SA"/>
              </w:rPr>
              <w:t>8本互动书。以生活为课堂，以游戏为载体，利用充满童趣的操作材料。让孩子们轻松愉快地在反复操作中掌握语言与规则，让表达成为孩子们的自然需求。</w:t>
            </w:r>
          </w:p>
          <w:p w14:paraId="0949326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2"/>
                <w:sz w:val="24"/>
                <w:szCs w:val="24"/>
                <w:highlight w:val="none"/>
                <w:u w:val="none"/>
                <w:lang w:val="en-US" w:eastAsia="zh-CN" w:bidi="ar-SA"/>
              </w:rPr>
              <w:t>课程资源实施方案：包含完善的教学流程和教学指导。</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25645F3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6625AF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2"/>
                <w:sz w:val="24"/>
                <w:szCs w:val="24"/>
                <w:highlight w:val="none"/>
                <w:u w:val="none"/>
                <w:lang w:val="en-US" w:eastAsia="zh-CN" w:bidi="ar-SA"/>
              </w:rPr>
              <w:t>1</w:t>
            </w:r>
          </w:p>
        </w:tc>
      </w:tr>
      <w:tr w14:paraId="48CF9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1C13F3D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24</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25ACB61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视觉训练教具箱</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5B686A8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视觉训练教具箱内容多样性，提高双眼视觉平衡；根据训练方法和所涉及的训练工具，可以将训练分为家庭训练方式和训练室方式。视觉训练教具箱内道具组合各种多变造型,鼓励孩子自行创意表现,乐趣无穷，不同的变化做不同玩法，为孩子提供不同难度的训练，促进视觉注意力的提升。</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35FAD2B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702175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r>
      <w:tr w14:paraId="6B60C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4A7813F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25</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68C5C4D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社交沟通课程资源</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5E8BC1E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主要组成：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1.平面操作材料：至少包含32张场景图卡，22个视频，8张故事图卡。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立体游戏材料：至少包含25组游戏材料，至少包含：啄木鸟捉虫、灭虫大战、小兔拔萝卜、情景配对拼图、叠叠乐、情景剧场、小鸡快跳、花瓣鼓、神奇的帽子等。通过不少于25组游戏材料对游戏活动的设计会让学生感受到参与感的乐趣，可以提升学生的兴趣与主动性，激发沟通的欲望与动机，提高或发展沟通技巧，有助于发展学生的相互调控能力，让学生体会不同感情，从而学会控制自己的情绪。在各种假扮与角色扮演中，学生的思维转换能力得到锻炼。</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课程资源实施方案：包含完善的教学流程和教学指导。</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37C79A2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8D876C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r>
      <w:tr w14:paraId="6CA91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7361C2F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26</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75C2BDA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生活自理课程资源</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78E8B0F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生活自理课程资源》专为智力障碍、孤独症谱系障碍等特殊儿童群体设计，致力于通过系统化课程有效培养儿童的生活自理能力。课程以“教学材料+训练方案”为核心，整合辅助工具、可视化教具及科学训练方法，循序渐进地帮助儿童实现从技能认知、独立操作到巩固提升的全流程发展。</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课程采用三阶段渐进式训练体系：</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技能认知阶段通过实物认知卡、技能认知卡及数位游戏等方式，帮助学生建立对目标技能的初步认知；实践操作阶段提供多维度支持材料，包括学习支持型材料、技能辅助型工具及动作训练型工具，针对操作难点提供专项训练支持；巩固提升阶段通过立体材料游戏和平台游戏，拓展与生活技能相关的知识应用场景，促进能力的内化与泛化。</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产品适用于：孤独症、智力障碍、感统失调、发育迟缓或多重障碍的特需学生。</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产品组主要组成：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立体材料、图卡、智慧教育平台资源、实施说明。</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1.立体操作材料不少于24套，至少包含：辅助工具9套、训练工具9套、延伸材料4组、综合性材料2套；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2.图卡：不少于303张；</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3.智慧平台：游戏资源不少于92个、视频资源不少于28个；</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5.实施说明：内容系统完整，方案参考性强，切实助力教师开展高效教学；</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1）课程设计模块：涵盖活动目标、活动过程与活动延伸三个环节，全面体现课程设计与落地的完整性和可参考性，帮助教师清晰把握教学全局，实现规范化授课。</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2）教学指导支持：在实操阶段明确列出各项技能学习所需的“前置技能”，帮助教师精准预判“学生未能达成目标”的根本原因，实现问题诊断前移；</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3）在每个活动结束后配套提供“针对性指导建议”，明确不同学生的后续辅导策略与调整方向，显著提升教学指导的针对性与有效性，支持教师做好个别化支持。</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774EC99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4B61C77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r>
      <w:tr w14:paraId="2F7AF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39FD910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27</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3EFBCA0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符号沟通板</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5D7ACE9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1、产品组成：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（1）沟通板主机；</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（2）内存TF卡：≥1G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（3）≥16个配对模块；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（4）3种键盘框，分2、4、8个框；</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（5）配仿说基础包，包含≥136配对关联图形符号，≥136种符号声源；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（6）配文字基础包，包含≥400个文字符号、≥400种符号声源、≥80张配对文字符号；</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（7）4节5号电池（1.5V）。</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2、性能要求：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（1）工作时间：待机6天；</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（2）供电方式：DC6V；</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（3）材质：ABS+铝合金；</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（4）可更换不同卡片，供不同能力和年龄阶段人群使用；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（5）具有语音播报、复读、配对、红外遥控功能。</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3、功能要求：用于儿童自闭症人群、智力障碍人群、发育迟缓人群等语言、认知障碍的功能障碍者，帮助语言功能障碍者进行学习与沟通。</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407C146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05A448E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r>
      <w:tr w14:paraId="432D8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6EC68EB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28</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19C3A4F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3D沉浸式智慧康复系统</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2D16732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本产品适用于认知障碍、孤独症谱系障碍、言语语言障碍、听力障碍、注意力缺陷障碍、感统失调等儿童1对1或集体康复训练。基于3D融合投影技术，通过AI主机协同控制多台投影及音频设备，结合视觉、听觉场景融合技术，可在特定空间（如康复教室）中构建出具备沉浸式立体感知效果的虚拟动态场景。集康复训练与情景互动功能为一体，通过创新、丰富的康复模式，实现患者各项机能协同发展，帮助患者在感觉统合、社交沟通、语言表达、情感互动等方面取得良好的康复效果。</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2、软件功能</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2.1认知训练：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2.1.1认知训练应对用户的短时记忆、基本逻辑推理、维持注意的能力、基础生活技能进行康复训练。产品应包含不少于4个子训练模块，如：短时记忆、逻辑推理、注意力训练、生活技能等。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2.1.1.1短时记忆：本子模块要求内置不少于3个训练项目，对用户的短时记忆时间、灵活度进行训练。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2.1.1.2逻辑推理：本子模块要求内置不少于4个训练项目,对用户的基本逻辑能力、归纳总结能力进行训练。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2.1.1.3注意力训练：本子模块要求内置不少于3个训练项目,对用户的注意力持续时间、选择性注意能力、分散性注意等注意维度进行训练。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2.1.1.4生活技能：本子模块要求内置不少于2个训练项目，训练内容应包含用户生活中的多种生活技能。</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2.2 情绪情感：</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2.2.1情绪情感训练应不少于4个子模块：如感受情绪、识别情感、表达情感、抚慰情绪等。以音乐治疗相关理论为指导，让儿童在音乐和视频组合中感受情绪情感的变化，培养对情绪情感的识别力。</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2.2.1.1感受情绪：本模块的视听素材分为积极和消极两部分，本模块的目标是让用户能通过视听素材去识别积极的和消极的情绪情感。</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2.2.1.2识别情绪：本模块的音乐素材需分为五个部分，分别以红色、黄色、绿色、蓝色、紫色五中不同的颜色来划分五类不同的情绪。情绪情感的分类是抽象的，通过不同的颜色让用户更容易更直观地区分不同地情绪情感。</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2.2.1.3表达情绪：本模块以主题划分不同的情绪，根据实际需要准备视听素材（音乐+视频）供用户选择。</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2.2.1.4抚慰情绪：以不同主题设置视听素材（音乐+视频），让用户感受情感抚慰的作用，训练、提升用户对情感抚慰的察知、感受、识别。</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2.3自然科教：</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2.3.1自然科教训练应不少于5个子模块：宇宙奥秘、神奇地球、动物世界、文物古迹、风景名胜。鉴于多场景康复系统构成的沉浸式环境具有现实环境还原度高的特点，本模块内置60个以上的视听素材为用户展示自然风光，鼓励用户在沉浸式环境中与儿童、教室进行社交互动，同时也能作为其它模块的训练背景。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2.3.1.1宇宙奥秘</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本模块要求内置不少于两类视听素材：太空探索、行星与天体等。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2.3.1.2神奇地球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本模块要求内置不少于两大类视听素材：自然景观、四季变化等。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2.3.1.3动物世界</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本模块要求内置不少于四大类视听素材：海洋生物、食草动物、食肉动物、动物观园等。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2.3.1.4文物古迹</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本模块要求内置不少于两大类视听素材：中国古迹、欧洲古迹等。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2.3.1.5风景名胜：</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本模块要求内置不少于四大类视听素材：中国风光、欧洲风光、美洲风景、非洲景观等。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2.4 生活场景：</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2.4.1产品应符合可模拟现实场景演练的目标，包含且不限于了课堂、医院、餐厅、超市、动物园、街道、火灾、天气等8个场景，不同的场景搭配现实生活中的视听素材、图片，使儿童在逼真的环境中熟悉特定的生活场景、学习生活常识、泛化社交技能。</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2.4.1.1课堂：本场景包含安坐、规则、合作等场景，可帮助儿童掌握进入课堂所需的先备技能，提前熟悉课堂基本规则，更快融入课堂环境。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2.4.1.2医院：本场景可辅助儿童了解看病流程，并学习如何在医院的情景中回答个人信息、命名和区分身体部位、了解身体内部构造、进行声音响度练习、学习急救知识等。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2.4.1.3餐厅：本场景通过仿真展示合适和不合适的餐桌行为，可帮助儿童学习餐桌礼仪、养成良好的进食习惯，并在训练中学习餐厅中会出现的人物和职业、练习点餐情景的对话、认识常见食物及其特征、积累描述食物的词汇、鼓励用户谈论食物并表达自己的感受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2.4.1.4超市：本场景可帮助儿童学习购物流程、如何扫码结账、常见物品分类（水果、蔬菜、生活用品等）、主动发起和回应对话等必备的生活和社交技能。</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2.4.1.5动物园：本场包含购票、参观等场景，可通过互动训练任务，辅助儿童熟悉动物园环境、了解游园的基本注意事项、建立安全意识等。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2.4.1.6街道：本场景包含过马路、过马路(无互动)、认盲区等场景，通过仿真现实街道，同时融入了基本的交通规则如：红绿灯变化、车辆行驶的规则、人行道的设置等，让儿童学习如何过马路、学习交通安全知识，同时知晓出现交通意外的严重后果，增强用户的生活自理、出行的能力，在街道场景中泛化基本社交技能。</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2.4.1.7火灾：本场景包含视频+课程，通过仿真展示火的用途、火的危害合适和预防火灾、火灾逃生，让儿童了解火的两面性，可帮助儿童建立“安全用火”和“科学逃生”的意识和能力。</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2.4.1.8天气：本场景包含天气、季节、时间，通过仿真的视频场景，生动直观的街道变化，帮助儿童认知天气、季节和时间，并理解它们如何影响日常生活，从而建立对世界运行规律的基本认识。</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2.5语言训练：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2.5.1本模块要求包含不少于4个子模块：前语言唤醒、声音辨识、语言理解、发声训练、中控平板配套语言训练。通过模仿动作、听口令做动作、强化发音、仿说句子、互动社交等训练方式，促进儿童语言发音能力，使儿童理解语言中的意义以及能够表达。</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2.5.2前语言唤醒：通过游戏的形式，让用户感受语言的发音、音调、音色等基础细节，培养用户对语言的基础感受能力、兴趣，要求内置不少于2款语音识别游戏。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2.5.3语言理解：通过不同的游戏，模拟各种不同的生活场景，训练用户在不同环境下的语言理解能力，要求内置不少于4款语言理解游戏。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2.5.4声音辨识：通过考察、训练用户得声音察知、辨识能力，通过小游戏，让用户熟悉不同声音的区别，培养对感知不同声音的兴趣，要求内置不少于2款语音理解游戏。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2.5.5发声训练：在言语发声过程中，需要瞬间吸入大量的气体并维持平稳的呼气，用较小的气流来维持足够的声门下压，要求呼气运动和吸气运动相互协同和拮抗，要求内置不少于2款呼吸发声训练游戏。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2.5.6中控平板配套语言康复训练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2.5.6.1前语言唤醒：前语言唤醒是通过训练的形式，让用户感受语言的发音、音调、音色等基础细节，培养用户对语言的基础感受能力、兴趣。</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2.5.6.2听能训练：至少包含听觉察知、语音识别训练、听觉记忆训练三大功能。</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2.5.6.3听觉察知应不少于四个功能模块，如：声音启蒙训练、音乐察知、情景察知、听觉基础训练等。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2.5.6.4语音识别训练应不少于四个功能模块，如：韵母识别、声母识别、声调识别、词语识别训练等。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2.5.6.5听觉记忆训练功能：训练应分为低阶、高阶两个阶段，每个阶段不少于5个难度级别，训练内容为每回合训练随机生成，拥有语速调节和背景噪音功能，且不少于3档语速、3种信噪比与4类背景噪声。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★2.5.6.6一项记忆：应至少包含25000个不同的词汇组合；二项记忆：应至少包含300000个不同的词汇组合；三项记忆：应至少包含1000000个不同的词汇组合；四项记忆：应至少包含1000000个不同的词汇组合。</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2.5.6.7 句型训练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★2.5.6.7.1简单句：应至少包含30个句式，5000个例句，训练内容为每回合随机生成，每个句式有不少于20种词汇搭配，具备图片填空与仿说训练功能。</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★2.5.6.7.2复合句：应至少包含50个句式，80000个例句，训练内容为每回合随机生成，每个句式有不少于20种词汇搭配，具备图片填空与仿说训练功能。</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3、安装调试</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3.1支持不同品牌的成像设备组合和排列模式；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3.2应根据用户方提供功能教室，对多场景康复系统进行调试及画面修正，并提供相关调试设备。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3.3可根据不同场地面积对成像设备画面进行旋转、垂直与水平混和等；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4、课程体系</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4.1产品应根据系统中所涵盖的训练模块，提供不少于50项系统课程教案，课程教案应覆盖认知、语言、情绪、自然科教、生活场景等五大内容（提供对应教案佐证（封面和目录等）。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5、硬件配置</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5.1互动交互捕捉雷达设备≥4台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测量半径：0.05-18m(黑色物体8m)，采样频率：32khz；扫描频率：10hz，角度分辨率：0.12°，测距精度：±30mm；测距分辨率：13mm，防护等级：IP65，抗环境能力：＞80000Lux；扫描范围：360°，供电电压：单独供电5V，工作温度：-10℃至50℃；传输接口：支持10/100/1000以太网接口传输。</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5.2康复场景控制设备≥1台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内置中控软件，可远程控制多场景康复系统的开关、音高、播放/暂停等操作。</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5.3激光成像设备≥7套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激光光源技术，固有分辨率：≥1920*1200。投影技术：采用3LCD技术，液晶板尺寸≥0.64英寸。整机功率：正常模式≤300W，重量：≤5.5kg。亮度≥5000流明，对比度≥5000000：1；寿命≥20000小时。</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接口配置：</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输入接口：VGA*1，HDMIin*2，Video*1，Audioin*1,Audioin（RCA*2）*1,USB-A*1，USB-B*1，RJ45*1；</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输出接口：VGA*1，Audioout*1；</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控制接口：RS232*1，USB-B*1，LAN*1；</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整机外壳防护等级试验&gt;=IP5X。</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5.4并行图象处理器≥2台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多核 处理器，8G内存，500G固态硬盘，高分辨率显卡。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5.5短焦镜头≥3台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5.6豆袋4个</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注：对★技术参数，中标公示期间须提供有资质的第三方检测机构出具的CMA检测报告扫描件。</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1BC6D81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B2D78A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1BAAC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047BF9F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29</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701746A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四件套攀爬组合</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230CA88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功能要求：四款不同攀爬器材共同组成的攀爬组件，配合背面魔术粘贴游戏板，可为不同程度感统失调儿童提供多元化及具挑战性的运动觉训练。攀爬过程中，手脚并用，训练儿童四肢协调能力以及小脑平衡能力，增强儿童身体柔软度与协调性，锻炼上下肢、腰腹部肌肉群力量。培养儿童对事物的专注力，发挥身体的自我保护功能，练习伸展和保持平衡，对多动和身体协调不佳的孩子帮助最大。</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1、绳梯：优质木材，精工打磨，搭配高强度尼龙绳。</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2、棍梯：优质木材，精工打磨。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3、网梯：高品质尼龙绳或带。</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4、攀岩墙：优质木材，精工打磨。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5、规格：≥3300*2400mm。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6、单款攀爬器材承重：≥100kg。</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65C6E0B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D095D7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3459A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7D81DFE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30</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0D30F1E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训练保护垫</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0017E4D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功能要求：对康复运动过程中起保护作用；可以释放肌肉的过度紧张，伸展并活化全身肌肉，对本体感的形成帮助很大。</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1、规格：≥1200*1400*100mm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2、材质：外层：优质环保布料，软体：EPE高分子发泡棉。</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4B04E04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05BB68C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27D8C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0CD8B5C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31</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5133109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万象河道</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39667A5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功能要求：可模拟河流场景，在该场景内设有小鱼、小虾、小石块、小贝壳、手掌、脚掌等游戏配件。可利用不同的游戏配件设置出不同的训练游戏，能够提升儿童的手眼协调、空间感知、粗大动作、运动企划、前庭刺激等能力。</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1、爬行地垫1张，≥3000*1000*43mm；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2、小石块不少于8个；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3、小鱼不少于8个；</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4、小虾不少于8个；</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5、小贝壳不少于8个；</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6、手掌贴不少于6双；</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7、脚掌贴不少于6双。</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05C19C0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13F121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3BCC8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0D80390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32</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179AD14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视知觉上下肢协同训练器</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392A3CC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 xml:space="preserve">功能要求：将上下肢训练相结合，能够使儿童获得丰富的视觉、触觉、听觉经验，能够提升儿童认知能力、手眼协调能力、运动企划能力以及发展视知觉和逻辑思维能力。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1.上肢训练模式通过对不同图形的匹配来提升儿童对图形的认知，同时锻炼手眼协调能力以及对匹配关系的理解。创设了“训练模式”、“测评模式”与“记忆模式”，区分不同难度，给予儿童阶梯的训练方式。图形匹配板后内置藏宝洞， 配合不同形状、大小、材质的小物可以训练儿童的触觉认知能力。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2.下肢训练模式通过感受不同材质的触觉区块来丰富儿童的触觉感受与认知。创设了“训练模式” 与“测评模式”，区分不同难度，给予儿童阶梯的训练方式。</w:t>
            </w:r>
          </w:p>
          <w:p w14:paraId="132057E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一、产品组成：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1、上肢触觉主机不少于1个；2、下肢触觉板不少于1个；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二、参数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尺寸：上肢触觉：≥长 900mm*宽 700mm*高 140mm；下肢触觉：≥长 2000mm*宽 1000mm*高 50mmm；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1、功率：小于 20W；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2、输入电压：AC220V 50Hz；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3、信噪比：不小于 80dB；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4、音频频响：20Hz-18KHz；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5、内置1只4欧全音域扬声器；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6、内置不小于4G内存；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7、采用≥10.1寸触摸屏；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8、可使用USB线连接电脑更换主机内音乐，或者插入U盘，主机将优先播放U盘内音乐；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9、箱体材料：上肢触觉主机：ABS 工程塑料，下肢触觉板：木框+软包。</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0AE2375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246B73C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0AF84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7F38CF1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33</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232C7F6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本体目标训练器</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534E9CF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功能要求：遮住双眼通过感应地垫，触摸墙面游戏箱，注入游戏元素：训练模式和引导模式及闯关模式增强儿童兴趣，在游戏中使儿童感知自身身体各部位所处的位置，肢体运动方式、方向、幅度、速度等，训练儿童本体感觉功能。</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1、规格：垫子≥3000*1000*50mm，游戏箱≥900*600*120mm；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2、工作电压：AC220V；</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3、神经康复效能指标：</w:t>
            </w:r>
          </w:p>
          <w:p w14:paraId="27E5984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3.1本体感觉精度提升（关节位置觉误差减少≥42%）；</w:t>
            </w:r>
          </w:p>
          <w:p w14:paraId="4650293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3.2空间记忆增强（目标定位准确率提高≥48%）；</w:t>
            </w:r>
          </w:p>
          <w:p w14:paraId="566A30D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4、本系统基于神经代偿与跨感觉重塑理论，通过结构化感觉剥夺训练，显著改善发育性协调障碍儿童的本体感觉功能与运动控制能力。</w:t>
            </w:r>
          </w:p>
          <w:p w14:paraId="506799F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5、产品有两种模式，训练模式和引导模式。</w:t>
            </w:r>
          </w:p>
          <w:p w14:paraId="1293F19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 xml:space="preserve">6、功率：≥40W； </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66BDB37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3FB2BD0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39610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726D5BD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34</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2DF1342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手势颜色训练器</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37DAE2D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功能要求：本设备是一款便携式的、多功能训练设备。引入了LCD电容触摸屏，实现一键操作的功能。并通过手势感应来训练儿童的视觉的颜色认识、颜色分辨、颜色记忆，通过内置各类音乐或视频来训练听觉，由于本设备引入了音乐疗法，对行为障碍儿童的情绪起到舒缓的作用。由于引入了游戏疗法，让儿童从被动训练转为主法训练，提升了训练效果。</w:t>
            </w:r>
          </w:p>
          <w:p w14:paraId="6549792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 xml:space="preserve">1、操作控制面板可查看产品使用说明书及操作视频，并可进行模式等功能切换。控制面板采用7''触摸LCD液晶屏。                                       </w:t>
            </w:r>
          </w:p>
          <w:p w14:paraId="10A6828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2、系统配置不少于八种专业训练模态：自动媒体播放、手势轨迹跟弹、声阶交互训练、色彩认知建构、色度匹配、蓝牙无线连接、闯关进阶挑战及视觉记忆强化。</w:t>
            </w:r>
          </w:p>
          <w:p w14:paraId="4EE431F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3、模态功能详述：</w:t>
            </w:r>
          </w:p>
          <w:p w14:paraId="027E47F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3.1（自动媒体播放）：支持通过图形化菜单选择预存音视频素材，内含基于中医五音疗法的特需儿童干预内容（适用于ADHD、脑瘫、ASD等群体）。媒体播放时七单元LED矩阵随音频频谱实现多相位光效同步。</w:t>
            </w:r>
          </w:p>
          <w:p w14:paraId="4CA5296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3.2（手势轨迹跟弹）：预载四首标准化曲目，七单元LED分别对应七声音阶。当手势触发光电传感器时激活对应音阶，采用链式点亮机制引导用户完成完整乐曲的轨迹跟随演奏。</w:t>
            </w:r>
          </w:p>
          <w:p w14:paraId="7EFE734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3.3（音阶交互训练）：建立音阶-光阶映射模型，显示屏实时呈现乐谱信息。手势感知触发时对应LED单元激活发光并生成标准音高，实现视觉-听觉跨模态联动。</w:t>
            </w:r>
          </w:p>
          <w:p w14:paraId="17BD153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3.4（色彩认知建构）：采用随机色谱生成算法，七单元LED同步显示目标色值并启动语音标注。当任意传感器检测到手势中断时，系统自动迭代新色值并更新语音提示。</w:t>
            </w:r>
          </w:p>
          <w:p w14:paraId="1FCC054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3.5（色度匹配）：创建动态色彩匹配任务，显示屏呈现目标色样，七感应单元生成差异化色谱。用户需通过手势识别匹配单元，成功时触发正向声学反馈，错误时激活负向提示并开启新一轮次任务。</w:t>
            </w:r>
          </w:p>
          <w:p w14:paraId="031443A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3.6（蓝牙无线连接）：支持蓝牙5.0协议与移动设备建立无线音频传输，七单元LED光效系统实时解析音频流数据并生成对应的光韵波形。</w:t>
            </w:r>
          </w:p>
          <w:p w14:paraId="454A1B5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3.7（闯关进阶挑战）：采用渐进式难度架构，初始化时提示目标色值。音乐启动后色块进入随机点亮序列，用户需快速完成色彩捕捉。系统实时记录正确捕捉、遗漏及错误触发数据，通关后自动提升难度等级并启动语音播报，共设四个进阶阶段。</w:t>
            </w:r>
          </w:p>
          <w:p w14:paraId="3F12A57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3.8（视觉记忆强化）：启动后七单元中随机单点发光，经全矩阵同色频闪后进入视觉遮蔽阶段。用户需在时限内还原目标位点，正确响应激活奖励机制并提升难度（增加色块数量/压缩响应时间），失败时触发成绩评估界面。</w:t>
            </w:r>
          </w:p>
          <w:p w14:paraId="2A82923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参数：</w:t>
            </w:r>
          </w:p>
          <w:p w14:paraId="3BD74D0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4、材质： ABS与PMMA复合材料。</w:t>
            </w:r>
          </w:p>
          <w:p w14:paraId="3DBA76F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5、工艺：一体成型，表面无油漆。</w:t>
            </w:r>
          </w:p>
          <w:p w14:paraId="2868599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6、工作电压：12VDC。</w:t>
            </w:r>
          </w:p>
          <w:p w14:paraId="4E75089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7、额定功率：小于40W。</w:t>
            </w:r>
          </w:p>
          <w:p w14:paraId="775C3E1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8、规格：≥550*400*70mm。                                                                                                                                                                                9、通过游戏化干预机制实现从被动接受到主动参与的训练模式转型，显著提升训练依从性与神经可塑性发展。</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15B1B0B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63A67B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297F1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B4956C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35</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0ABB075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小鱼触摸变色捉灯游戏箱</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2341A2E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功能要求：训练手眼协调，増强视觉感官能力，情绪舒缓。</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1、木质电子箱不少于1件；</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2、软包保护套不少于1件；</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3、输入电压：220VAC，工作电压：12VDC；</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4、额定功率：小于40W；</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5、尺寸：≥1200*900*120mm；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6、产品集成不少于四种渐进式训练模式，通过手掌触控感应面板上的虚拟鱼群实现交互，系统同步提供实时声学反馈。                                                            </w:t>
            </w:r>
          </w:p>
          <w:p w14:paraId="79FF436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7、当持续触控特定目标时，将触发鱼体灯光的渐变色相演变，形成动态视觉强化刺激。</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64AB72E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2703514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0DF14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5ECE157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36</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465BACE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多维统合训练系统</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6C54F59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功能要求：通过多样化的训练模式和个性化的训练设置，为儿童提供了一个充满趣味和挑战的训练平台。在训练过程中会多方面训练儿童的视觉专注力，手眼协调能力，以及视听匹配的反应能力等。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1、尺寸：≥550*400*70mm；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2、工艺：一体成型，表面无油漆，安全环保；</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3、材质： ABS与PMMA复合材料；</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4、操作控制面板采用7寸触摸屏；训练面板采用12寸触摸屏；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5、自动识别卡片功能，当插舒尔特训练卡片，设备智能识别该卡片；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6、输入电压：220VAC，工作电压：12VDC；</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7、额定功率：小于50W；</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8、每种模式下的背景音乐可选，以满足不同使用者的需要。背景音乐数量不少于4种；</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9、配对模式下具有不少于5种难度可调；视觉注意力模式具有计时和倒计时功能；</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10、不少于20张舒尔特训练卡片；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11、设备共有不少于5种训练模式：色彩认知配对模式、视听统合模式、形状认知模式、情感表达认知模式、视觉专注力模式。</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0912846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48B6398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7CF7D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5B432FC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37</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31E8D0B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嗅觉感知训练器</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3A328D6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功能要求：嗅觉模块至少包含4个香味传播器，以训练气味识别为主。通过受训者自己控制按钮使预置的香味飘散出来，激发受训者主动认知事物的兴趣从而训练受训者的嗅觉与物件关系的辨别能力。</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1、输入电压：220VAC，工作电压：12VDC；</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2、规格尺寸：≥600*900*120mm；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3、包含不少于4-6种香味精油；</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4、系统架构：</w:t>
            </w:r>
          </w:p>
          <w:p w14:paraId="02B850C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4.1双模式训练体系：基础辨识模式与高级关联模式</w:t>
            </w:r>
          </w:p>
          <w:p w14:paraId="02AF232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4.2四通道独立控制：每个物理按键对应专用芳香释放单元</w:t>
            </w:r>
          </w:p>
          <w:p w14:paraId="5F360AD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4.3无线集成能力：支持与多媒体感官教学平台的实时数据同步</w:t>
            </w:r>
          </w:p>
          <w:p w14:paraId="0DC1488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5、工作机理：</w:t>
            </w:r>
          </w:p>
          <w:p w14:paraId="37315D1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5.1在芳香释放阶段，将稀释后的香味精油雾化喷出</w:t>
            </w:r>
          </w:p>
          <w:p w14:paraId="04893A2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5.2通过嗅觉-视觉跨模态整合，强化语义记忆编码</w:t>
            </w:r>
          </w:p>
          <w:p w14:paraId="0DD7227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5.3基于操作条件反射原理，建立气味特征与客体概念的永久关联</w:t>
            </w:r>
          </w:p>
          <w:p w14:paraId="1C2C2CC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6、产品共有≥2种模式，共4个按键，每个按键控制一种飘香器的开与关。</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219D1DE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28B2A6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175B6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CA531C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38</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24D8024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多感官创意涂鸦板（荧光画板）</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5F978DE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功能要求：不同颜色丰富视觉感知，锻炼视觉感知能力；增强兴趣和互动积极性，提高运动企划能力、认知能力以及思维能力，提升沟通交际能力。调到合适的灯光模式后，就可以在绘图区域内涂鸦教学。</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1、内置红绿蓝LED灯珠；</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2、模式控制器不少于1个；</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3、配套DC12V1A适配器不少于1个；</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4、输入电压：220VAC  工作电压：12VDC；</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5、额定功率：小于40W；</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6、各色荧光笔1套；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7、产品尺寸：≥650*850*30mm。</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5AEB78B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1DFE3E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592AC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5EA39F8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39</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2A165A2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可爱浪桥</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45D9A02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功能要求：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1.可爱的外观，吸引儿童注意力，激发主动探索的意愿。</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2.儿童可以爬行、行走、跳跃通过浪桥，摆荡的重力不安全感能够训练前庭平衡功能，对前庭觉迟钝、平衡功能不佳、需要练习爬行、行走的儿童有很好的训练效果。</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参数：1、规格：≥2400*1000*1200mm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2、优质木材框架结构，环保填充材料及优质PU布构成。承重：≥100KG。</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38A5933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38805FE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12364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3878CA1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40</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27C4D5E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无线说话方块</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4B5405B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功能要求：不同颜色给予不同视觉反馈，刺激视觉感知，对应响起的音乐刺激听觉感知，通过翻动方块，锻炼上肢肌力、肌耐力及身体协调能力，提升视听感官能力、运动企划能力和对颜色认知、辨识能力。</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1、规格：≥250*250*250mm；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2、电源参数：蓄电池（可充电）；</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3、可以添加图片、符号或照片促进颜色识别，具有自录音功能，可以录制自己的声音；</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4、可无线遥控颜色转换控制面板等配套设备的颜色变换。</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66F4D4A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AFFCA3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38E1F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46EA450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41</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56A7AAD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弹跳床</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6D9D916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规格：跳床直径≥100cm，加上软包后直径≥110cm</w:t>
            </w:r>
          </w:p>
          <w:p w14:paraId="516B376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材质：钢管+尼龙网布+弹簧+软包</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功能：带软包使用安全，提高儿童的弹跳能力和平衡能力。</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38ED555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51BE7A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136CC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57EA550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42</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15C0F13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游戏功能墙垫</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4C60423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功能要求：各种不同主题的情景小豆袋以及魔术背板激发智障及自闭症等儿童潜在认知能力，促进视觉和触觉统合能力。投篮动作可以实现手眼协调训练，增强身体双侧协调能力。不同的档位调节，照顾各个能力层级的儿童需求，增强儿童自信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适用人群：手眼协调不佳，智力障碍，自闭症，触觉不足或敏感。</w:t>
            </w:r>
          </w:p>
          <w:p w14:paraId="6D70FEE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1、可调节高低篮球网：优质木材制作篮板；专业篮球圈带网。可自行调节篮圈高度，共五个档位可调；配≥ø160mm篮球，适合儿童使用。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2、魔术黏贴板：优质木结构制作背板，表面拉毛布；优质木结构制作边框，EPE高分子发泡棉保护，表面PU皮。</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3、PVC镜：优质木结构制作背板，表面高清晰PVC镜面；优质木结构制作边框，EPE高分子发泡棉保护，表面PU皮。</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4、尺寸：可调节高低篮球板：≥300*700*30mm，魔术黏贴板：≥1400*1200*40mm，PVC镜：≥600*1700*40mm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5、小豆袋不少于20个；篮球不少于1个。</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6、最大承重量：20kg。</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6583222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C94EE2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790DA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7DCEC7C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43</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52CA3FB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软体彩虹运动组合</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553150A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 xml:space="preserve">数量：不少于14件套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材质：PU皮+高密度全海绵</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组成：三节跳马不少于1套，钻洞不少于1套(2件)，摇摇船不少于1个，U形底座不少于2个，半圆不少于3个，独木桥不少于1套(3件)，三步梯不少于1个，平衡木不少于1个。</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6850740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017698D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67493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433550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44</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498FA3E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分体大滑梯</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0A40076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规格：≥320*82*55cm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材质：软体PVC+木+海绵</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大滑梯作为一种感统训练常用教具，它的的主要功能在于维持身体姿势的稳定；维持高度的平衡感觉﹔促进身体保护伸展反应的成熟；促进脑干体系的活跃化。</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614BF69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B99BC1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1F690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1DD607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45</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4C0369E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悬吊康复训练系统</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77A78B1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悬吊康复训练器不少于4套：塑钢结构，外形尺寸：≥640*180*70mm，内含两根五米红绳，最大承重250KG且无延展，内含滑锁装置，两根中绳具备任意滑动位置随时锁定的功能，使用过程中，中绳在可滑动范围内可任意调节长度且无间隙化。</w:t>
            </w:r>
          </w:p>
          <w:p w14:paraId="784D327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吊船不少于1套；智力秋千板不少于1套；秋千板不少于1套；平衡凳不少于1套；多功能棒不少于1套；木塔不少于1套；绳梯不少于1套；吊棒不少于1套；悬吊鞋不少于1套；双杠不少于1套；网兜吊缆不少于1套；握手不少于1套；坐板不少于1套；竖抱桶不少于1套；横抱桶不少于1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宽悬带不少于1条：尺寸≥880*248*4.5mm，用于将背部、腰部、胸部、腹部、骨盆放入其中，两头带连接环，与吊绳或弹力绳配合使用。最大承重：≥150公斤，材料：涤棉、PVC网布。正面为光滑面，反面为防滑面。提供较大部位的辅助支撑作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窄悬带不少于2条：尺寸≥930*100*4mm，用于将上肢或下肢放入其中，两头带连接环，与吊绳或弹力绳配合使用。最大承重：≥150公斤，材料：涤棉、PVC网布。正面为光滑面，反面为防滑面。提供较大部位的辅助支撑作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中分带不少于1条：尺寸≥730*100*3mm，用于将头部或颈部放入其中，两头带连接环，与吊绳或弹力绳配合使用。最大承重：≥150公斤，材料：涤棉、PVC网布。正面为光滑面，反面为防滑面。</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窄口手带不少于4条：尺寸≥320*50*3mm，用于将头或脚放入其中，带连接环，与吊绳或弹力绳配合使用。最大承重：≥150公斤，材料：涤棉、PVC网布。正面为光滑面，反面为防滑面。</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胸背带不少于1条：尺寸≥820*80*4mm，用于将胸部或背部放入其中，带连接环，与吊绳或弹力绳配合使用。最大承重：≥150公斤，材料：涤棉、PVC网布。正面为光滑面，反面为防滑面。</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60厘米弹力绳低阻力不少于2根；30厘米弹力绳低阻力不少于2根；60厘米弹力绳中阻力不少于2根；60厘米弹力绳高阻力不少于2根；30厘米弹力绳高阻力不少于2根；1.2米编织绳不少于4根；60厘米编织绳不少于2根；30厘米编织绳不少于2根；以上绳一头锁扣一头钢钩；</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60厘米弹力绳中阻力不少于2根；60厘米弹力绳低阻力不少于2根；1.5米编织绳不少于4根；以上绳两头钢钩；</w:t>
            </w:r>
          </w:p>
          <w:p w14:paraId="50CB64C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握具手柄不少于2个；平衡垫不少于1个；绳夹不少于2个；滚桶不少于1个；挂钩不少于1组。</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40CBF55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62CA40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5BF8A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36FE629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46</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242C32C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滑行车</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3BBB669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尺寸：≥55*40cm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产品功能：强化前庭刺激,有助于平衡感与重力感的发展。</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0E91F99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405431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2DEF0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11CA276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47</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7EB9682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彩虹桶</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6E392C7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材质：PU+木架+海绵</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规格：≥70*60cm，筒口直径≥40cm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做滚筒游戏需要头、手、脚的协作，促进前庭觉的发展和触觉刺激，促进身体协调能力。</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7DA2944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0DE55C6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05023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745144B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48</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57FE545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跳袋</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4C8899B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规格：大中小各1个，大号≥70*100cm，中号≥50*70cm，小号≥50*50cm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功能：训练儿童前庭平衡，身体协调能力。</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1020AE5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3174CA1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r>
      <w:tr w14:paraId="567D7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49A06EC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49</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20052F3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平衡圆</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0A642E3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整圆尺寸：≥133*42cm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材质：环保材料</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特点：进行感觉统合训练能促进大脑功能的发展和成熟，提高孩子的学习技能能和体能。</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033859E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5FA4302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0DFF7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07A8F46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50</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11EF116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颗粒按摩球</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7D4CDC3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尺寸：直径≥100cm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前庭平衡觉训练，身体灵活度不足、姿势不正、双侧协调不佳的调节作用。</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05E7FA0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9C2B1E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07C25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7906BED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51</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6EEAF2C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花生球</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64EC210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尺寸：≥90*45cm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材质：环保塑料</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特点：调节感统失调问题的同时，也可培养团队合作的能力。</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369F8F7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075815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6DEE9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36EAA37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52</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6490687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羊角球</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333B964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尺寸：直径≥45cm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特点：可进行下肢力度训练，也可以进行本体觉训练。</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40BAD88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23B6736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07866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588676C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53</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190A30F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按摩球</w:t>
            </w:r>
          </w:p>
        </w:tc>
        <w:tc>
          <w:tcPr>
            <w:tcW w:w="6276" w:type="dxa"/>
            <w:tcBorders>
              <w:top w:val="single" w:color="000000" w:sz="4" w:space="0"/>
              <w:left w:val="single" w:color="000000" w:sz="4" w:space="0"/>
              <w:bottom w:val="single" w:color="000000" w:sz="4" w:space="0"/>
              <w:right w:val="single" w:color="000000" w:sz="4" w:space="0"/>
            </w:tcBorders>
            <w:noWrap/>
            <w:vAlign w:val="center"/>
          </w:tcPr>
          <w:p w14:paraId="167E2BB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尺寸：直径≥5cm、6cm、7cm、8cm、9cm，每个尺寸各一个</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功能：用于全身按摩，可刺激触觉发展、稳定情绪。透过挤、抓、握、小肌肉及触觉训练。滚动球，可以增强视觉追随，手眼协调的能力。可透过抛、丢、掷游戏，适度促进触觉防御能力发展。做投篮或你丢我捡的游戏，控制大小肌肉及手眼协调。</w:t>
            </w:r>
          </w:p>
        </w:tc>
        <w:tc>
          <w:tcPr>
            <w:tcW w:w="782" w:type="dxa"/>
            <w:tcBorders>
              <w:top w:val="single" w:color="000000" w:sz="4" w:space="0"/>
              <w:left w:val="single" w:color="000000" w:sz="4" w:space="0"/>
              <w:bottom w:val="single" w:color="000000" w:sz="4" w:space="0"/>
              <w:right w:val="single" w:color="000000" w:sz="4" w:space="0"/>
            </w:tcBorders>
            <w:noWrap/>
            <w:vAlign w:val="center"/>
          </w:tcPr>
          <w:p w14:paraId="299499F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53042FC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22442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66269A8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54</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6D8B1D4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触觉座垫</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12463CC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尺寸：直径≥33cm</w:t>
            </w:r>
          </w:p>
          <w:p w14:paraId="6F1AABB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 xml:space="preserve">材质：塑胶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功能：一面可当坐垫，一面可提供触觉按摩刺激，协助端正坐姿，也是触觉刺激的实用工具。</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59D1D26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D17B50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01458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4F87587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55</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2F1AA8A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万象组合套装</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772CDA7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组件种类多,兼顾儿童感官、肌体、前庭平衡，精细动作及创作游戏互动等各种能力资源开发需要。分种组件，分开使用可促进孩子基本动作发展，混合使用时则能增进较多变化的身体协调统合。动作计划，训练更高层次的运动。</w:t>
            </w:r>
          </w:p>
          <w:p w14:paraId="713D7CB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半砖：高级塑胶PP/PE/ABS，数量不少于12个；全砖：高级塑胶PP/PE/ABS，数量不少于8个；平衡桥：高级塑胶PP/PE/ABS，数量不少于4个；体操圈：高级塑胶PP/PE/ABS,直径≥35cm，数量：不少于4个；体操圈：高级塑胶PP/PE/ABS，直径≥59cm，数量：不少于4个；体能棒：高级塑胶PP/PE/ABS，长≥35cm，数量：不少于16根；</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体能棒：高级塑胶PP/PE/ABS，长≥70cm，数量：不少于8根；多功能扣：高级塑胶PP/PE/ABS，数量：不少于24个；豆袋：不少于10个；彩色手脚印不少于24只（手不少于12只、脚不少于12只）。</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2F918A7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2441800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0097E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335EEDB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56</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0CCFACA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平衡鱼</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448BD31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 xml:space="preserve">尺寸：≥长25*宽21cm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路径较浅，无盖子，以鱼眼睛让球在路径运转，尽量保持不掉落。促进手腕稳定操作能力，提升手眼协调能。</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7843CD4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0FB855C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7804F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6313DA9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57</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7C01648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S型平衡木</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1D54C24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规格：≥200*15*24cm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材质：PU皮+木架+海绵</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功能：用于强化行走平衡能力、前庭觉及本体觉训练、全身运动协调性训练。在不规则延伸平衡木上行走，建立身体平衡能力。</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4AB25DF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2161F4F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2E91E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19904E3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58</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4AE6031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双人平衡踩踏车</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7181A4B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规格：≥59*49*52cm。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材质：塑料+钢管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功能：促进动作协调能力，加强腿部大肌肉发展，学会身体控制与方向判断。</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5DD8378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93117E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705E7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584520B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59</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39CDFF1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单人平衡踩踏车</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004EF97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规格：≥41*35*50cm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材质：塑料+钢管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功能：促进动作协调能力，加强腿部大肌肉发展，学会身体控制与方向判断。</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585E43E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0A50AB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2A36E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0339E09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60</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71579FB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纯色地垫</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798BF84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功能要求：保护与整体环境装饰作用，组合地垫采用弹度材质制作，除可减轻地垫厚度及重量；亦确保游戏者的安全外，更同时可保护游戏者在地垫上跑动的稳定。每张地垫采用底层魔术贴拼贴。</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1、规格：≥1000*1000*50mm；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2、材质：外层：PU皮革（或PVC布），软体：EPE高分子发泡棉。</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53DB4B3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CAB473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92</w:t>
            </w:r>
          </w:p>
        </w:tc>
      </w:tr>
      <w:tr w14:paraId="6911F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1254108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61</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0EDE33B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讲桌</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16E5154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规格：≥120*60*105cm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材质：橡胶实木</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298A8D8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49D828C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63B94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46C9796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62</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5F18A38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rPr>
              <w:t>单面绿板</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21184B8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规格：≥122*300cm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材质：面层：烤漆镀锌板；夹层：高密度泡沫板；底层：镀锌板；边框：铝合金。</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68C0F35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个</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255901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w:t>
            </w:r>
          </w:p>
        </w:tc>
      </w:tr>
      <w:tr w14:paraId="38674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1B28196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63</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32C7673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桌椅</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35F214A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规格：桌面≥长80cm*宽60cm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材质：采用实木环保材质。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桌椅高度可调节，根据小孩情况调整到合适高度，保护脊椎正常发育，从小养成良好习惯坐姿。</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可升降靠背椅材质：金属、高密度定型棉、升降方式：气动、脚踏2档可调、高度可调节、座深可调节。</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2517A2D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9843A8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17</w:t>
            </w:r>
          </w:p>
        </w:tc>
      </w:tr>
      <w:tr w14:paraId="76EAA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710911F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64</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5C3ECEB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触控一体机（移动版）</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00C5B85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一、整体设计</w:t>
            </w:r>
          </w:p>
          <w:p w14:paraId="451544F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1.整机采用边框与背板一体化冲压成型结构，上左右三边边框与背板非拼接组装结构，连接处无拼缝。整机左、右、下三边框皆具备磁吸功能，边框任意位置可吸附具备磁吸功能的书写笔。</w:t>
            </w:r>
          </w:p>
          <w:p w14:paraId="20A57FA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2.屏幕采用≥86英寸液晶显示器，采用LED液晶A规屏，显示比例16:9。显示分辨率3840*2160，可视角度≥178°。</w:t>
            </w:r>
          </w:p>
          <w:p w14:paraId="3CD6173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3.侧置输入接口具备≥2路HDMI、1路RS232（RJ45形态）、1路USB接口，1路音频输出、1路触控USB输出；前置输入接口≥3路USB接口（包含1路Type-C、2路USB）。</w:t>
            </w:r>
          </w:p>
          <w:p w14:paraId="0CFFC5C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4.整机采用红外触控技术，支持≥48点触控及书写划线。</w:t>
            </w:r>
          </w:p>
          <w:p w14:paraId="50C60D2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5.整机嵌入式系统，主频≥1.6GHz。</w:t>
            </w:r>
          </w:p>
          <w:p w14:paraId="26F95A4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6.整机设备内置2.2声道扬声器，前朝向发声，12W高音扬声器2个，上朝向30W中低音扬声器2个，最大功率≥80W，全部扬声器无需打开背板即可单独拆卸。</w:t>
            </w:r>
          </w:p>
          <w:p w14:paraId="244AB38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7.整机内置非独立外扩展的4阵列麦克风，可用于对教室环境音频进行采集，麦克风拾音距离≥11米。</w:t>
            </w:r>
          </w:p>
          <w:p w14:paraId="243BCDE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8.整机听力模式下具备AI人声语言增强功能，支持三挡强弱调节。扩声系统语言传输指数（STIPA）≥0.75。</w:t>
            </w:r>
          </w:p>
          <w:p w14:paraId="69FCCEA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p>
          <w:p w14:paraId="5A52D36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10.整机上边框内置非独立摄像头，采用一体化集成设计，支持输出4:3、16:9比例的图片和视频，支持拍摄＞1600 万像素数的照片和视频，支持输出 4k 分辨率的视频。</w:t>
            </w:r>
          </w:p>
          <w:p w14:paraId="5EF885A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11.整机内置双WiFi6无线网卡（不接受外接），可实现Wi-Fi无线上网连接、AP无线热点发射。Wi-Fi制式支持IEEE 802.11 a/b/g/n/ac/ax；支持版本Wi-Fi6。</w:t>
            </w:r>
          </w:p>
          <w:p w14:paraId="275EA03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12.整机支持发出频率为20kHz-22kHz超声波信号，智能手机和笔记本电脑接收超声波信号后可以自动识别附近投屏设备，点击对应设备即可完成投屏操作。</w:t>
            </w:r>
          </w:p>
          <w:p w14:paraId="7BC3E26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13.整机配套教学应用APP可通过wifi直连技术，近场发现附近教学大屏设备，无需扫码、账号密码输入步骤，即可直接连接并登录教学大屏设备，基于统一身份认证机制可实现其他教学软件免登录操作。</w:t>
            </w:r>
          </w:p>
          <w:p w14:paraId="66CF541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14.整机Windows通道支持文件传输应用，支持通过扫码、超声、wifi直连三种方式与手机进行握手连接，实现文件传输功能。</w:t>
            </w:r>
          </w:p>
          <w:p w14:paraId="75CB3D8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15.整机内置AR授课工具，支持对视频展台所采集的画面中叠加动态的3D 模型。3D模型包括：动物、微生物、人体骨骼、乐器、星球、地形。</w:t>
            </w:r>
          </w:p>
          <w:p w14:paraId="6641F19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16.整机内置AI智能体（非第三方应用），根据教学和学习需求可快速创建，支持个性化设定角色信息包括角色性格、技能与头像信息，支持语音和文字两种方式与智能体进行对话交互，创建的智能体可上传到本校资源进行共享使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二、插拔式电脑模块：</w:t>
            </w:r>
          </w:p>
          <w:p w14:paraId="735B22A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1、采用按压式卡扣，无需工具即可快速拆卸电脑模块。</w:t>
            </w:r>
          </w:p>
          <w:p w14:paraId="20EC458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2、PC模块和整机的连接采用万兆级接口，传输速率≥10Gbps。</w:t>
            </w:r>
          </w:p>
          <w:p w14:paraId="3C41366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3、电脑模块CPU要求：主频≥2.0GHz，8核心十二线程；配置要求：不低于 DDR4 8GB内存，256GB SSD硬盘；接口要求：≥1路HDMI，≥3路USB</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三、电动升降架：</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配备万向滑轮，可支持自由移动；升降功能要求：智能一键升降，随心调节；支架材质：铝合金，可承重≥136.4KG；1200-1700mm。 </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470C9A2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245C4F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5D816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73594DA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65</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7B46C5F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唱游与律动音乐教学资源平台</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3367BE0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一、软件功能要求：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教学资源软件应包含但不仅限于四个系统板块：音乐治疗评估、音乐治疗训练、唱游与律动课程教学、音乐鉴赏。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（一）音乐治疗评估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 音乐治疗评估体系构建，平台应采用音乐治疗领域的综合评估技术，能实现基线评估以及持续评估。通过评估工具与临床观察，系统性地采集来访者在音乐感知、社交互动及认知功能等核心领域的能力谱系数据，为制定个体化治疗计划提供循证依据，并实现治疗进程的动态监测与效果追踪。</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 评估与训练的临床技术整合，平台视频演示模块深度融合音乐治疗中的mirroring technique，基于镜像神经元理论设计示范内容，促进来访者的模仿学习与情感共鸣。所有评估与训练环节严格遵循积极行为支持原则（Positive Behavior Support），采用优势导向评估框架（strength-based assessment approach），通过即时正向强化（immediate positive reinforcement），强化来访者的治疗参与动机与自我效能感，实现治疗目标的渐进式达成。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★3、进入初级评估版块，其中应具有智能评估和自主评估两种形式，针对认知、听觉、语言、运动、社交、感知六大能力进行评估，具有的评估项目不少于8项。</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★4、选择智能评估，智能评估活动为不间断的连续性评估，能够针对认知、语言、听觉、运动、感知以及社交六大能力进行评估。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5、具备进入自主评估功能，自定义选择需要评估的功能项目进行评估。评估结果应具有四个等级，可根据学生具体情况，点击选择等级进行评分，评估记录内可以显示评估数据及评估结果。</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6、评估记录的选择应包含智能评估记录和自主评估记录两种，可在评估记录中选择要查阅的评估报告单。</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★7、评估报告单内置应包含基本信息、评估项目、评估结果分析、训练建议等，训练建议中的活动与训练版块的课程内容匹配。</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通过平台播放结构化音乐治疗素材内容，通过动画视觉引导与真人示范（涵盖乐器演奏、声乐表达、律动舞蹈三大核心领域），引导来访者参与多感官音乐体验，通过临床行为观察其在音乐感知、听觉辨别、节奏同步、运动协调、情感表达及社会互动等维度的表现反应，结合平台评估手册标准，实现音乐治疗评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依据《音乐治疗临床培训指南》的标准化评估框架，运用治疗性音乐即兴、音乐聆听反应等专业技术，对来访者的感知觉能力、听觉能力、运动能力、社交沟通能力进行评估。建立个体化治疗档案，为制定阶段性治疗目标与跨学科康复计划提供循证实践依据，实现从评估-干预-跟踪的闭环治疗流程，确保音乐治疗服务的临床有效性与专业规范性。</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（二）音乐治疗训练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1、音乐治疗训练应采用音乐治疗镜像技术，同时评估与训练内容均能采用正向评价原则，进行正向的强化。</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2、音乐治疗训练内使用能够激发学生镜像神经元的框架模式，实现提升学生的认知、语言、粗大动作、精细动作、听觉感知、感知能力七大能力。</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3、音乐治疗训练内认知语言中的语言训练内容，应采用音乐治疗MIT旋律音调治疗技术以及音乐言语治疗技术，利用右脑未受损伤的音乐能力，以此技术实现提升来访者语言水平能力。</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4、音乐治疗训练内社会交往训练内容，包含有同一性、合唱式、结构性非语言轮流、结构性语言轮流四种团体治疗形式。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5、音乐治疗训练内感知觉运动训练内容，应含有治疗性乐器演奏和感觉模式加强技术，能针对感觉、知觉、粗大动作、精细动作四个目标能力，采用同质原则实现感知觉运动能力的提升。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6、音乐治疗训练和音乐治疗评估应实现音乐治疗实施治疗中的SOAP原则以及APIE原则，通过此两个原则实现评估与治疗的统一与针对性。</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音乐治疗训练，应由感知觉运动能力训练、认知语言训练以及社会交往训练三大核心板块构成，含有不少于三十篇的训练方案，每项训练方案提供了不少于两种的长短期目标选项，全面覆盖并强化音乐治疗评估板块所评估出的各项能力。</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8、音乐治疗训练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（1）感知觉训练版块应具有不少于八种训练类型，包含触觉训练、上肢训练、精细动作训练、听觉训练和综合训练等，训练课程内容不少于十节/篇。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★（2）粗大运动训练版块，应包含镜像模仿和粗大训练两种训练，加强特需儿童运动能力。</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★（3）认知语言训练版块应具有不少于六种类型的训练内容，具体包含认知训练、语音训练、类比训练、推理训练等，课程内容不少于十节/篇。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（4）认知训练课程内容配套分辨能力、认知理解、概念理解、抽象思维、数学等训练资源，不少于200道题目。</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语言训练课程融合古诗词学习，通过“唱古诗”“绘本故事”和“朗诵”三大模块展开教学，并借助律动感知、古诗吟唱与智能鼓互动演奏等形式，实现趣味化、多感官的语言学习体验，并涵盖不少于30个古诗词主题。</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★（6）基础言语训练版块能针对特需儿童言语训练呼吸、发声、口部运动等进行训练，训练内容类型不少于四种。</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（7）基础言语训练版块应包含言语训练资源，可覆盖18个韵母及21个声母的专项训练内容。训练内容融入音乐游戏互动设计，以趣味化方式实现对发音的持续强化与巩固。</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（8）以颜色认知训练为例，内容基于再创造音乐治疗技术进行设计，涵盖训练示范、乐器互动、颜色乐谱及泛化训练四大环节。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（三）唱游与律动课程教学</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1、唱游与律动课程教学，课程严格遵循《唱游与律动课程标准》（2016版）设计教案，含感受音乐、音乐演唱、音乐律动、音乐游戏四大板块内容，不少于四十节/篇的唱游与律动课程。</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2、唱游与律动课程教学版块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（1）可以进行感受音乐课程教学，教学素材包含真人录制视频、手偶视频、音乐图谱，真人录制视频不少于六个，课程不少于十节/篇。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（2）教学课程素材内容应包含审美感知和艺术表现等。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★（3）歌曲演唱版块可进行歌曲演唱，应具有滚动歌词和切换原唱伴奏功能，真人录制视频不少于有五个，教学课程不少于十节/篇。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（4）音乐律动教学版块应包含课程内容不少于十节/篇，真人录制视频不少于十五个，可观看慢倍速录制视频并进行交互操作。</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★（5）含某人物的一天，进入课程，应包含真人录制穿衣歌、洗脸刷牙梳头、吃饭饭、上学歌等律动视频，点击播放音乐进行交互。</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（6）可观看真人录制的视频，点击按钮可播放。</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（7）音乐游戏课程内容应包含不少于十个音乐游戏视频，不少于八个律动视频，不少于十节/篇游戏课程。</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（8）可以进行三度音程游戏，具有玩偶视频和真人录制视频。</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（四）音乐鉴赏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★1.音乐鉴赏应包含不少于六类音乐素材（经典传颂、世界名曲、自然声响、一起来跳舞、欢乐童谣、乐曲名曲），不少于100首。</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2.音乐鉴赏模块包含丰富的动画素材资源，内容包含欢乐歌曲、益智歌曲、经典儿歌三个类别，素材总量不少于120个。</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二、硬件参数：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1.▲交互设备1套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1.1显示尺寸≥86英寸，分辨率：3840*2160，采用红外触控技术，支持20点同时触控及书写；背光系统支持DC调光方式，多级亮度调节；采用OPS-C标准的80pin针口设计，屏体与插拔式电脑无单独接线；</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1.2内置电脑</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采用80pin Intel通用标准接口,即插即用，易于维护；CPU：不低于I5处理器；内存：≥8G DDR4；硬盘：≥256G SSD固态硬盘。</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2、电动升降架：</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配备万向滑轮，可支持自由移动；升降功能要求：智能一键升降，随心调节；支架材质：铝合金，可承重≥136.4KG；1200-1700mm。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3、辅助专用教具：</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3.1辅助专用教具根据课程需求分为感受音乐类、歌曲演唱类、音乐律动类、音乐游戏类以及音乐治疗类。</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（1）感受音乐类专用教具共2箱，至少包含《开学啦》、《生日聚会》等，不少于7种。</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（2）歌曲演唱类专用教具共1箱，至少包含《小老鼠上灯台》、《新年好》等，不少于6种。</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（3）音乐律动类专用教具共1箱，至少包含《欢乐动物园》、《池塘月色》等，不少于8种。</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（4）音乐游戏类专用教具共1箱，至少包含《回忆童年》、《斗牛》等，不少于5种。</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（5）音乐治疗类专用教具2箱，至少包含《蓝色花花在哪里？》《情绪小怪兽》等，不少于15种。</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3.2音乐治疗高级评估版块配备的感知能力评估专用教具，支持多样化的评估方式。教师既可在系统中通过触屏交互完成评估，也可借助配套感知教辅具对学生进行能力评估。该教辅具提供不少于7种操作模式选择，既支持单人评估，也可开展多人互动，满足多种评估与教学需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3.3音乐治疗训练版块配备智能音乐鼓。学生可通过观察系统屏幕上的视觉指引，在音乐鼓上进行同步演奏。音乐鼓与系统实时互联，训练内容涵盖安全儿歌、爱国儿歌、童谣儿歌、趣味儿歌及奥尔夫音乐五大主题，共包含不少于40首互动演奏曲目。</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3.4唱游与律动课程配套智能感应玩偶，支持单人及双人互动模式。玩偶内置包括乐曲模式、节奏鼓模式、歌曲模式等在内的六种不同体验模式，引导学生通过互动深入感知音乐旋律与节奏变化。</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4、配套手册说明</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4.1 课程参考手册</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产品配套纸质版唱游与律动音乐课程参考手册，为教师提供系统化的教学支持。手册内含精心设计的课程教案，内容覆盖全面，总数量不少于70篇，便于教师根据实际教学需求灵活选用。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4.2 操作手册</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为帮助教师熟练掌握平台各项功能，产品同时配备详细的操作手册。手册除包含平台使用指南外，亦整合音乐治疗评估评分标准，辅助教师规范开展评估工作。</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注：对★技术参数，中标公示期间须提供有资质的第三方检测机构出具的CMA检测报告扫描件。</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509F9E9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9747D0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6B503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3F28457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66</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10AD40D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音乐互动仪</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710ACD49">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kern w:val="0"/>
                <w:sz w:val="24"/>
                <w:szCs w:val="24"/>
                <w:highlight w:val="none"/>
                <w:lang w:bidi="ar"/>
              </w:rPr>
            </w:pPr>
            <w:r>
              <w:rPr>
                <w:rFonts w:hint="eastAsia" w:ascii="宋体" w:hAnsi="宋体" w:eastAsia="宋体" w:cs="宋体"/>
                <w:kern w:val="0"/>
                <w:sz w:val="24"/>
                <w:szCs w:val="24"/>
                <w:highlight w:val="none"/>
                <w:lang w:bidi="ar"/>
              </w:rPr>
              <w:t>一、产品参数要求</w:t>
            </w:r>
          </w:p>
          <w:p w14:paraId="46CF77B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kern w:val="0"/>
                <w:sz w:val="24"/>
                <w:szCs w:val="24"/>
                <w:highlight w:val="none"/>
                <w:lang w:bidi="ar"/>
              </w:rPr>
            </w:pPr>
            <w:r>
              <w:rPr>
                <w:rFonts w:hint="eastAsia" w:ascii="宋体" w:hAnsi="宋体" w:eastAsia="宋体" w:cs="宋体"/>
                <w:kern w:val="0"/>
                <w:sz w:val="24"/>
                <w:szCs w:val="24"/>
                <w:highlight w:val="none"/>
                <w:lang w:bidi="ar"/>
              </w:rPr>
              <w:t>1、操作方式：全触控式交互设计，灵敏度高；</w:t>
            </w:r>
            <w:r>
              <w:rPr>
                <w:rFonts w:hint="eastAsia" w:ascii="宋体" w:hAnsi="宋体" w:eastAsia="宋体" w:cs="宋体"/>
                <w:kern w:val="0"/>
                <w:sz w:val="24"/>
                <w:szCs w:val="24"/>
                <w:highlight w:val="none"/>
                <w:lang w:bidi="ar"/>
              </w:rPr>
              <w:br w:type="textWrapping"/>
            </w:r>
            <w:r>
              <w:rPr>
                <w:rFonts w:hint="eastAsia" w:ascii="宋体" w:hAnsi="宋体" w:eastAsia="宋体" w:cs="宋体"/>
                <w:kern w:val="0"/>
                <w:sz w:val="24"/>
                <w:szCs w:val="24"/>
                <w:highlight w:val="none"/>
                <w:lang w:bidi="ar"/>
              </w:rPr>
              <w:t>2、颜色：提供黄色或白色两种标准配色（可选）；</w:t>
            </w:r>
            <w:r>
              <w:rPr>
                <w:rFonts w:hint="eastAsia" w:ascii="宋体" w:hAnsi="宋体" w:eastAsia="宋体" w:cs="宋体"/>
                <w:kern w:val="0"/>
                <w:sz w:val="24"/>
                <w:szCs w:val="24"/>
                <w:highlight w:val="none"/>
                <w:lang w:bidi="ar"/>
              </w:rPr>
              <w:br w:type="textWrapping"/>
            </w:r>
            <w:r>
              <w:rPr>
                <w:rFonts w:hint="eastAsia" w:ascii="宋体" w:hAnsi="宋体" w:eastAsia="宋体" w:cs="宋体"/>
                <w:kern w:val="0"/>
                <w:sz w:val="24"/>
                <w:szCs w:val="24"/>
                <w:highlight w:val="none"/>
                <w:lang w:bidi="ar"/>
              </w:rPr>
              <w:t>3、表面处理工艺：环保烤漆工艺，表面光滑细腻，耐磨耐腐蚀；</w:t>
            </w:r>
            <w:r>
              <w:rPr>
                <w:rFonts w:hint="eastAsia" w:ascii="宋体" w:hAnsi="宋体" w:eastAsia="宋体" w:cs="宋体"/>
                <w:kern w:val="0"/>
                <w:sz w:val="24"/>
                <w:szCs w:val="24"/>
                <w:highlight w:val="none"/>
                <w:lang w:bidi="ar"/>
              </w:rPr>
              <w:br w:type="textWrapping"/>
            </w:r>
            <w:r>
              <w:rPr>
                <w:rFonts w:hint="eastAsia" w:ascii="宋体" w:hAnsi="宋体" w:eastAsia="宋体" w:cs="宋体"/>
                <w:kern w:val="0"/>
                <w:sz w:val="24"/>
                <w:szCs w:val="24"/>
                <w:highlight w:val="none"/>
                <w:lang w:bidi="ar"/>
              </w:rPr>
              <w:t>4、材质：应采用高强度玻璃钢（FRP）+ ABS工程塑料复合材质，结构稳固，安全环保；</w:t>
            </w:r>
            <w:r>
              <w:rPr>
                <w:rFonts w:hint="eastAsia" w:ascii="宋体" w:hAnsi="宋体" w:eastAsia="宋体" w:cs="宋体"/>
                <w:kern w:val="0"/>
                <w:sz w:val="24"/>
                <w:szCs w:val="24"/>
                <w:highlight w:val="none"/>
                <w:lang w:bidi="ar"/>
              </w:rPr>
              <w:br w:type="textWrapping"/>
            </w:r>
            <w:r>
              <w:rPr>
                <w:rFonts w:hint="eastAsia" w:ascii="宋体" w:hAnsi="宋体" w:eastAsia="宋体" w:cs="宋体"/>
                <w:kern w:val="0"/>
                <w:sz w:val="24"/>
                <w:szCs w:val="24"/>
                <w:highlight w:val="none"/>
                <w:lang w:bidi="ar"/>
              </w:rPr>
              <w:t>5、灯光系统：支持≥7 种LED色彩显示；触摸区域与引导区域均配置多色动态指示灯，支持可视化乐谱引导；</w:t>
            </w:r>
            <w:r>
              <w:rPr>
                <w:rFonts w:hint="eastAsia" w:ascii="宋体" w:hAnsi="宋体" w:eastAsia="宋体" w:cs="宋体"/>
                <w:kern w:val="0"/>
                <w:sz w:val="24"/>
                <w:szCs w:val="24"/>
                <w:highlight w:val="none"/>
                <w:lang w:bidi="ar"/>
              </w:rPr>
              <w:br w:type="textWrapping"/>
            </w:r>
            <w:r>
              <w:rPr>
                <w:rFonts w:hint="eastAsia" w:ascii="宋体" w:hAnsi="宋体" w:eastAsia="宋体" w:cs="宋体"/>
                <w:kern w:val="0"/>
                <w:sz w:val="24"/>
                <w:szCs w:val="24"/>
                <w:highlight w:val="none"/>
                <w:lang w:bidi="ar"/>
              </w:rPr>
              <w:t>6、应具备多种乐器音色选择：钢琴、吉他、贝斯、长号、单簧管、圆号、二胡、笛子、小提琴、古筝、管风琴；</w:t>
            </w:r>
            <w:r>
              <w:rPr>
                <w:rFonts w:hint="eastAsia" w:ascii="宋体" w:hAnsi="宋体" w:eastAsia="宋体" w:cs="宋体"/>
                <w:kern w:val="0"/>
                <w:sz w:val="24"/>
                <w:szCs w:val="24"/>
                <w:highlight w:val="none"/>
                <w:lang w:bidi="ar"/>
              </w:rPr>
              <w:br w:type="textWrapping"/>
            </w:r>
            <w:r>
              <w:rPr>
                <w:rFonts w:hint="eastAsia" w:ascii="宋体" w:hAnsi="宋体" w:eastAsia="宋体" w:cs="宋体"/>
                <w:kern w:val="0"/>
                <w:sz w:val="24"/>
                <w:szCs w:val="24"/>
                <w:highlight w:val="none"/>
                <w:lang w:bidi="ar"/>
              </w:rPr>
              <w:t>7、应配备中文触摸操控界面，支持功能设置、模式切换及页面上下翻页操作；</w:t>
            </w:r>
          </w:p>
          <w:p w14:paraId="4415B803">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kern w:val="0"/>
                <w:sz w:val="24"/>
                <w:szCs w:val="24"/>
                <w:highlight w:val="none"/>
                <w:lang w:bidi="ar"/>
              </w:rPr>
            </w:pPr>
            <w:r>
              <w:rPr>
                <w:rFonts w:hint="eastAsia" w:ascii="宋体" w:hAnsi="宋体" w:eastAsia="宋体" w:cs="宋体"/>
                <w:kern w:val="0"/>
                <w:sz w:val="24"/>
                <w:szCs w:val="24"/>
                <w:highlight w:val="none"/>
                <w:lang w:bidi="ar"/>
              </w:rPr>
              <w:t>8、设备内置高、中、低三个音区，满足不同音高训练需求；</w:t>
            </w:r>
          </w:p>
          <w:p w14:paraId="6E569E4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kern w:val="0"/>
                <w:sz w:val="24"/>
                <w:szCs w:val="24"/>
                <w:highlight w:val="none"/>
                <w:lang w:bidi="ar"/>
              </w:rPr>
            </w:pPr>
            <w:r>
              <w:rPr>
                <w:rFonts w:hint="eastAsia" w:ascii="宋体" w:hAnsi="宋体" w:eastAsia="宋体" w:cs="宋体"/>
                <w:kern w:val="0"/>
                <w:sz w:val="24"/>
                <w:szCs w:val="24"/>
                <w:highlight w:val="none"/>
                <w:lang w:bidi="ar"/>
              </w:rPr>
              <w:t>9、内置应具备可充电电池组，满电状态下连续工作时间≥3-4 小时。</w:t>
            </w:r>
          </w:p>
          <w:p w14:paraId="501C6083">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kern w:val="0"/>
                <w:sz w:val="24"/>
                <w:szCs w:val="24"/>
                <w:highlight w:val="none"/>
                <w:lang w:bidi="ar"/>
              </w:rPr>
            </w:pPr>
            <w:r>
              <w:rPr>
                <w:rFonts w:hint="eastAsia" w:ascii="宋体" w:hAnsi="宋体" w:eastAsia="宋体" w:cs="宋体"/>
                <w:kern w:val="0"/>
                <w:sz w:val="24"/>
                <w:szCs w:val="24"/>
                <w:highlight w:val="none"/>
                <w:lang w:bidi="ar"/>
              </w:rPr>
              <w:t>10、音乐互动仪内置应具备不少于9个功能模式：引导模式、聆听模式、创造模式、追视模式、音符学习、蓝牙模式、节奏练习、我的音量我做主、解密声音等模块。</w:t>
            </w:r>
          </w:p>
          <w:p w14:paraId="7A23ABC9">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kern w:val="0"/>
                <w:sz w:val="24"/>
                <w:szCs w:val="24"/>
                <w:highlight w:val="none"/>
                <w:lang w:bidi="ar"/>
              </w:rPr>
            </w:pPr>
            <w:r>
              <w:rPr>
                <w:rFonts w:hint="eastAsia" w:ascii="宋体" w:hAnsi="宋体" w:eastAsia="宋体" w:cs="宋体"/>
                <w:kern w:val="0"/>
                <w:sz w:val="24"/>
                <w:szCs w:val="24"/>
                <w:highlight w:val="none"/>
                <w:lang w:bidi="ar"/>
              </w:rPr>
              <w:t>（</w:t>
            </w:r>
            <w:r>
              <w:rPr>
                <w:rFonts w:hint="eastAsia" w:ascii="宋体" w:hAnsi="宋体" w:eastAsia="宋体" w:cs="宋体"/>
                <w:kern w:val="0"/>
                <w:sz w:val="24"/>
                <w:szCs w:val="24"/>
                <w:highlight w:val="none"/>
                <w:lang w:val="en-US" w:eastAsia="zh-CN" w:bidi="ar"/>
              </w:rPr>
              <w:t>1</w:t>
            </w:r>
            <w:r>
              <w:rPr>
                <w:rFonts w:hint="eastAsia" w:ascii="宋体" w:hAnsi="宋体" w:eastAsia="宋体" w:cs="宋体"/>
                <w:kern w:val="0"/>
                <w:sz w:val="24"/>
                <w:szCs w:val="24"/>
                <w:highlight w:val="none"/>
                <w:lang w:bidi="ar"/>
              </w:rPr>
              <w:t>）追视模式：触摸彩灯随机亮起并随触摸改变位置，支持高、中、低三种训练模式选择，锻炼儿童手眼协调能力、视觉追踪能力以及专注力。</w:t>
            </w:r>
          </w:p>
          <w:p w14:paraId="79D0A49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kern w:val="0"/>
                <w:sz w:val="24"/>
                <w:szCs w:val="24"/>
                <w:highlight w:val="none"/>
                <w:lang w:bidi="ar"/>
              </w:rPr>
            </w:pPr>
            <w:r>
              <w:rPr>
                <w:rFonts w:hint="eastAsia" w:ascii="宋体" w:hAnsi="宋体" w:eastAsia="宋体" w:cs="宋体"/>
                <w:kern w:val="0"/>
                <w:sz w:val="24"/>
                <w:szCs w:val="24"/>
                <w:highlight w:val="none"/>
                <w:lang w:bidi="ar"/>
              </w:rPr>
              <w:t>（</w:t>
            </w:r>
            <w:r>
              <w:rPr>
                <w:rFonts w:hint="eastAsia" w:ascii="宋体" w:hAnsi="宋体" w:eastAsia="宋体" w:cs="宋体"/>
                <w:kern w:val="0"/>
                <w:sz w:val="24"/>
                <w:szCs w:val="24"/>
                <w:highlight w:val="none"/>
                <w:lang w:val="en-US" w:eastAsia="zh-CN" w:bidi="ar"/>
              </w:rPr>
              <w:t>2</w:t>
            </w:r>
            <w:r>
              <w:rPr>
                <w:rFonts w:hint="eastAsia" w:ascii="宋体" w:hAnsi="宋体" w:eastAsia="宋体" w:cs="宋体"/>
                <w:kern w:val="0"/>
                <w:sz w:val="24"/>
                <w:szCs w:val="24"/>
                <w:highlight w:val="none"/>
                <w:lang w:bidi="ar"/>
              </w:rPr>
              <w:t>）蓝牙模式：应具备支持移动端蓝牙配对，可任意选择并播放外部音频内容。</w:t>
            </w:r>
          </w:p>
          <w:p w14:paraId="7DE5650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kern w:val="0"/>
                <w:sz w:val="24"/>
                <w:szCs w:val="24"/>
                <w:highlight w:val="none"/>
                <w:lang w:bidi="ar"/>
              </w:rPr>
            </w:pPr>
            <w:r>
              <w:rPr>
                <w:rFonts w:hint="eastAsia" w:ascii="宋体" w:hAnsi="宋体" w:eastAsia="宋体" w:cs="宋体"/>
                <w:kern w:val="0"/>
                <w:sz w:val="24"/>
                <w:szCs w:val="24"/>
                <w:highlight w:val="none"/>
                <w:lang w:bidi="ar"/>
              </w:rPr>
              <w:t>（</w:t>
            </w:r>
            <w:r>
              <w:rPr>
                <w:rFonts w:hint="eastAsia" w:ascii="宋体" w:hAnsi="宋体" w:eastAsia="宋体" w:cs="宋体"/>
                <w:kern w:val="0"/>
                <w:sz w:val="24"/>
                <w:szCs w:val="24"/>
                <w:highlight w:val="none"/>
                <w:lang w:val="en-US" w:eastAsia="zh-CN" w:bidi="ar"/>
              </w:rPr>
              <w:t>3</w:t>
            </w:r>
            <w:r>
              <w:rPr>
                <w:rFonts w:hint="eastAsia" w:ascii="宋体" w:hAnsi="宋体" w:eastAsia="宋体" w:cs="宋体"/>
                <w:kern w:val="0"/>
                <w:sz w:val="24"/>
                <w:szCs w:val="24"/>
                <w:highlight w:val="none"/>
                <w:lang w:bidi="ar"/>
              </w:rPr>
              <w:t>）创造模式：应具备支持自由练习、实时录音（单首时长≥5 分钟）、录音随机回放及选择性删除，本地存储容量≥30 首歌曲。</w:t>
            </w:r>
          </w:p>
          <w:p w14:paraId="6035CC8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kern w:val="0"/>
                <w:sz w:val="24"/>
                <w:szCs w:val="24"/>
                <w:highlight w:val="none"/>
                <w:lang w:bidi="ar"/>
              </w:rPr>
            </w:pPr>
            <w:r>
              <w:rPr>
                <w:rFonts w:hint="eastAsia" w:ascii="宋体" w:hAnsi="宋体" w:eastAsia="宋体" w:cs="宋体"/>
                <w:kern w:val="0"/>
                <w:sz w:val="24"/>
                <w:szCs w:val="24"/>
                <w:highlight w:val="none"/>
                <w:lang w:bidi="ar"/>
              </w:rPr>
              <w:t>（</w:t>
            </w:r>
            <w:r>
              <w:rPr>
                <w:rFonts w:hint="eastAsia" w:ascii="宋体" w:hAnsi="宋体" w:eastAsia="宋体" w:cs="宋体"/>
                <w:kern w:val="0"/>
                <w:sz w:val="24"/>
                <w:szCs w:val="24"/>
                <w:highlight w:val="none"/>
                <w:lang w:val="en-US" w:eastAsia="zh-CN" w:bidi="ar"/>
              </w:rPr>
              <w:t>4</w:t>
            </w:r>
            <w:r>
              <w:rPr>
                <w:rFonts w:hint="eastAsia" w:ascii="宋体" w:hAnsi="宋体" w:eastAsia="宋体" w:cs="宋体"/>
                <w:kern w:val="0"/>
                <w:sz w:val="24"/>
                <w:szCs w:val="24"/>
                <w:highlight w:val="none"/>
                <w:lang w:bidi="ar"/>
              </w:rPr>
              <w:t>）音符学习：应包含全音符、二分音符，四分音符和八分音符的感知训练。</w:t>
            </w:r>
          </w:p>
          <w:p w14:paraId="4EA9648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kern w:val="0"/>
                <w:sz w:val="24"/>
                <w:szCs w:val="24"/>
                <w:highlight w:val="none"/>
                <w:lang w:bidi="ar"/>
              </w:rPr>
            </w:pPr>
            <w:r>
              <w:rPr>
                <w:rFonts w:hint="eastAsia" w:ascii="宋体" w:hAnsi="宋体" w:eastAsia="宋体" w:cs="宋体"/>
                <w:kern w:val="0"/>
                <w:sz w:val="24"/>
                <w:szCs w:val="24"/>
                <w:highlight w:val="none"/>
                <w:lang w:bidi="ar"/>
              </w:rPr>
              <w:t>（</w:t>
            </w:r>
            <w:r>
              <w:rPr>
                <w:rFonts w:hint="eastAsia" w:ascii="宋体" w:hAnsi="宋体" w:eastAsia="宋体" w:cs="宋体"/>
                <w:kern w:val="0"/>
                <w:sz w:val="24"/>
                <w:szCs w:val="24"/>
                <w:highlight w:val="none"/>
                <w:lang w:val="en-US" w:eastAsia="zh-CN" w:bidi="ar"/>
              </w:rPr>
              <w:t>5</w:t>
            </w:r>
            <w:r>
              <w:rPr>
                <w:rFonts w:hint="eastAsia" w:ascii="宋体" w:hAnsi="宋体" w:eastAsia="宋体" w:cs="宋体"/>
                <w:kern w:val="0"/>
                <w:sz w:val="24"/>
                <w:szCs w:val="24"/>
                <w:highlight w:val="none"/>
                <w:lang w:bidi="ar"/>
              </w:rPr>
              <w:t>）节奏练习：内置≥35 条节奏训练曲目，应配套节奏谱音频及灯光联动反馈。</w:t>
            </w:r>
          </w:p>
          <w:p w14:paraId="65B0490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kern w:val="0"/>
                <w:sz w:val="24"/>
                <w:szCs w:val="24"/>
                <w:highlight w:val="none"/>
                <w:lang w:bidi="ar"/>
              </w:rPr>
              <w:t>（</w:t>
            </w:r>
            <w:r>
              <w:rPr>
                <w:rFonts w:hint="eastAsia" w:ascii="宋体" w:hAnsi="宋体" w:eastAsia="宋体" w:cs="宋体"/>
                <w:kern w:val="0"/>
                <w:sz w:val="24"/>
                <w:szCs w:val="24"/>
                <w:highlight w:val="none"/>
                <w:lang w:val="en-US" w:eastAsia="zh-CN" w:bidi="ar"/>
              </w:rPr>
              <w:t>6</w:t>
            </w:r>
            <w:r>
              <w:rPr>
                <w:rFonts w:hint="eastAsia" w:ascii="宋体" w:hAnsi="宋体" w:eastAsia="宋体" w:cs="宋体"/>
                <w:kern w:val="0"/>
                <w:sz w:val="24"/>
                <w:szCs w:val="24"/>
                <w:highlight w:val="none"/>
                <w:lang w:bidi="ar"/>
              </w:rPr>
              <w:t>）解密声音：应含有“生活笔记”和“乐音密码”两种训练模式，难度分为初、中、高三个等级。</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1B7AD95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F1D2BB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2D82E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3B4E69C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67</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5258EDB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电钢琴</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33EDB48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1.外观；烤漆亮面；</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2.颜色分类；烤漆；黑、白；</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3.键盘：88键国际标准尺寸渐进式逐级配重重锤钢琴键盘，又名带榔头键盘。</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4.键盘盖：缓降式翻盖；</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5.喇叭；HIFI全频段3D立体声大功率喇叭、8欧25W*2；</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6.音源主板；Dream系列5系高端音源；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7.复音数；256；</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8.数字功放；具有抗干扰零噪音、零失真、动态范围大、低频震撼等特点；</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9.力度控制：16级触键灵敏度；</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10.三踏板：延音脚踏，弱音脚踏，保持音脚踏；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11.MIDI方口USB插口功能要求：连接手机、电脑、平板等智能设备：（可快速而方便地连接到计算机上或其他MIDI设备进行互动及创作）</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12.音频输入/音频输出；</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13.双耳机接口（6.5mm立体声）；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14.音量旋钮声音大小可任意调节；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15.电源接口：AC220V/50Hz 12V-15V 3A；</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16.电源开关。</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0EA3777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4E3F79D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3069D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58936AA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68</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108547F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奥尔夫乐器套装</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15FC0CD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奥尔夫音乐套装是将节奏，律动，舞蹈，语言，乐器演奏，歌唱，绘画，戏剧表演等融合在一起的综合性教学。</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不仅让幼儿学习音乐，培养幼儿的音乐能力，而且对语言，模仿，创造等多方面有启智性的效果。</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各种乐器共不少于166件，收纳盒不少于16个；组合柜1组，不少于6个，单个柜子尺寸≥1221*341*1015mm，材质：橡胶木。</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5DD0F90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446450B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78015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0076CF6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69</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1DC324F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音乐软凳</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18FA417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规格：≥35*35*35cm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材质：表面PU皮</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73DF930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65C920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r>
      <w:tr w14:paraId="241E3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F88B61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70</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02FA1AD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钢琴地垫</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3141E6F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功能要求：琴键声音刺激听觉神经，不同琴键颜色锻炼颜色辨识能力；提高视听感官能力，增强声音辨识能力，训练身体协调能力、空间控制能力。</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1、控制箱不少于1件，采用ABS与PMMA复合材料，一体成型工艺，表面无油漆，安全环保；</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2、琴键地垫不少于1套(长方形地垫2块共8键)；</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3、AC220V电源线1根；</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4、输入电压：220VAC，工作电压：12VDC；</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5、额定功率：小于40W；</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6、支持USB热插拔，教师可根据训练内容更换音乐；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7、尺寸：地垫：≥1500*400*50mm(2块)，控制箱：550*400*70mm；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8、产品共有不少于3种模式，代表钢琴音高、低、中的三个音阶；通过踩踏琴键就会有相应的琴音响起。</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4134116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E3134A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7A6D7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4575174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71</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0278FD4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圆形坐垫</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69E3BF4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尺寸：≥直径40*厚7cm</w:t>
            </w:r>
          </w:p>
          <w:p w14:paraId="51110C3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材质：内层珍珠棉，外层PU皮，防水易清洗、</w:t>
            </w:r>
          </w:p>
          <w:p w14:paraId="1C50049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外观设计：统一配色定制，圆滑无棱角处理。</w:t>
            </w:r>
          </w:p>
          <w:p w14:paraId="4004952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用途：针对音乐活动中孩子们常见的感统需求、安全防护和互动进行的专业定制坐垫，确保游戏者的安全，为训练时提供足够的保护措施。</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33B7FA9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1B9DEA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r>
      <w:tr w14:paraId="01035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581D4B8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72</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2961535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音响套装</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25A6579C">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1、同轴吸顶喇叭</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eastAsia="宋体" w:cs="宋体"/>
                <w:b w:val="0"/>
                <w:bCs w:val="0"/>
                <w:color w:val="000000"/>
                <w:sz w:val="24"/>
                <w:szCs w:val="24"/>
                <w:highlight w:val="none"/>
                <w:lang w:val="en-US" w:eastAsia="zh-CN"/>
              </w:rPr>
              <w:t>4个</w:t>
            </w:r>
            <w:r>
              <w:rPr>
                <w:rFonts w:hint="eastAsia" w:ascii="宋体" w:hAnsi="宋体" w:eastAsia="宋体" w:cs="宋体"/>
                <w:b w:val="0"/>
                <w:bCs w:val="0"/>
                <w:color w:val="000000"/>
                <w:sz w:val="24"/>
                <w:szCs w:val="24"/>
                <w:highlight w:val="none"/>
                <w:lang w:eastAsia="zh-CN"/>
              </w:rPr>
              <w:t>：</w:t>
            </w:r>
          </w:p>
          <w:p w14:paraId="5102CAC1">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功率：40W/8；输入：70V-100V；频响：90Hz-20KHz；灵敏度：90±3dB；天花板开孔：Φ</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eastAsia="宋体" w:cs="宋体"/>
                <w:b w:val="0"/>
                <w:bCs/>
                <w:color w:val="000000"/>
                <w:sz w:val="24"/>
                <w:szCs w:val="24"/>
                <w:highlight w:val="none"/>
                <w:lang w:eastAsia="zh-CN"/>
              </w:rPr>
              <w:t>250mm；装饰罩尺寸Φ</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eastAsia="宋体" w:cs="宋体"/>
                <w:b w:val="0"/>
                <w:bCs/>
                <w:color w:val="000000"/>
                <w:sz w:val="24"/>
                <w:szCs w:val="24"/>
                <w:highlight w:val="none"/>
                <w:lang w:eastAsia="zh-CN"/>
              </w:rPr>
              <w:t>280*190mm；安装形式：吸顶式；材料：ABS；重量：2.6kg；喇叭单元规格：8"*1+1"*1。</w:t>
            </w:r>
          </w:p>
          <w:p w14:paraId="09CED959">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2、</w:t>
            </w:r>
            <w:r>
              <w:rPr>
                <w:rFonts w:hint="eastAsia" w:ascii="宋体" w:hAnsi="宋体" w:eastAsia="宋体" w:cs="宋体"/>
                <w:b w:val="0"/>
                <w:bCs/>
                <w:color w:val="000000"/>
                <w:sz w:val="24"/>
                <w:szCs w:val="24"/>
                <w:highlight w:val="none"/>
                <w:lang w:eastAsia="zh-CN"/>
              </w:rPr>
              <w:t>功放机</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eastAsia="宋体" w:cs="宋体"/>
                <w:b w:val="0"/>
                <w:bCs/>
                <w:color w:val="000000"/>
                <w:sz w:val="24"/>
                <w:szCs w:val="24"/>
                <w:highlight w:val="none"/>
                <w:lang w:val="en-US" w:eastAsia="zh-CN"/>
              </w:rPr>
              <w:t>1套：</w:t>
            </w:r>
          </w:p>
          <w:p w14:paraId="74AF1B9E">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功率采用AB类，大功率采用3H类拓扑结构的高级产品，结合功率充沛的传统工频电源，整机输出十分充沛；分为5个型号，输出功率8欧时同时带载分别为400W/600W/800W/1100W/1300W，满足大部分场所的应用需求；很低的谐波失真（THD=0.1%）和理想的频响表现（20~20kHz）；新优化机械电源开关，可以采用电源管理器；采用SMT、AI、ICT全自动生产和测试技术，保证标准化生产和产品的一致性；具备超压、过流、短路、超温、直流、VHF等保护，防止人为和环境因素对产品的损坏。</w:t>
            </w:r>
          </w:p>
          <w:p w14:paraId="6DD66A92">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3、8路调音台</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eastAsia="宋体" w:cs="宋体"/>
                <w:b w:val="0"/>
                <w:bCs/>
                <w:color w:val="000000"/>
                <w:sz w:val="24"/>
                <w:szCs w:val="24"/>
                <w:highlight w:val="none"/>
                <w:lang w:val="en-US" w:eastAsia="zh-CN"/>
              </w:rPr>
              <w:t>1套：</w:t>
            </w:r>
          </w:p>
          <w:p w14:paraId="3888C4FD">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8路单声道通道输入，采用低噪声，高精度的麦克风前置放大器，音色清晰动听；每路配有三段EQ均衡器（和一段中心频率扫描控制）；双返回输入，双辅助编组输出；双辅助发送输出（EFFECT/AUX2可切换）；双七段左右声道主控图示均衡器；内置16种DSP混响延时效果器；内置MP3音乐播放器（播放/上一曲/下一曲/系统设置）+48V幻象电源。</w:t>
            </w:r>
          </w:p>
          <w:p w14:paraId="7C1A01B2">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技术参数：</w:t>
            </w:r>
          </w:p>
          <w:p w14:paraId="482D4905">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总谐波失真 Total Harmonic Distortion：0.01%+4dbu 1khz；频率响应 Frequency Response：10hz~60khz±3db；</w:t>
            </w:r>
          </w:p>
          <w:p w14:paraId="11BAA27F">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增益控制 Gain Control： </w:t>
            </w:r>
          </w:p>
          <w:p w14:paraId="0654F9B4">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麦克风输入 Microphone Input：+10db~-60db；线路输入 Line Input:+10db~-4db；输出电平 Maximum Output Level：+22dbu；信噪比 Signal Noise Ratio：-112db；EQ均衡器： 高频High：12khz±15db；中频Mid：250hz~6khz±15db；低频Low：80hz±15db。</w:t>
            </w:r>
          </w:p>
          <w:p w14:paraId="76CC2216">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4、无线话筒（一拖2）</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eastAsia="宋体" w:cs="宋体"/>
                <w:b w:val="0"/>
                <w:bCs/>
                <w:color w:val="000000"/>
                <w:sz w:val="24"/>
                <w:szCs w:val="24"/>
                <w:highlight w:val="none"/>
                <w:lang w:val="en-US" w:eastAsia="zh-CN"/>
              </w:rPr>
              <w:t>1套：</w:t>
            </w:r>
          </w:p>
          <w:p w14:paraId="65F0ED88">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频率范围：UHF520-960MHz；频率稳定度：±0.05%；动态范围：〉90dB；调制方式：FM(调频)、PLL（锁相环频率合成）；频率响应：50Hz~15KHz；信噪比：≥90dB；邻频干扰比：〉80dB；镜像干扰比：〉80dB；使用范围：≥100米 Meters（开阔地）；接收机供电：DC15V-18V。</w:t>
            </w:r>
          </w:p>
          <w:p w14:paraId="5967132A">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发射机参数：</w:t>
            </w:r>
          </w:p>
          <w:p w14:paraId="6FC26AC5">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载波频率：UHF520-960MHz（分频段可调）；频率稳定度：±25KHz；信噪比：〉105dB；动态范围：≥100dB；类型：电容式、动圈式；极性模式：单一指向；频率响应：50Hz-15KHz；话筒敏灵度：-47±38dB@1KHz；电源供应：DC3V  (两节AA型碱性电池）。</w:t>
            </w:r>
          </w:p>
          <w:p w14:paraId="290303D2">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5、反馈抑制器</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eastAsia="宋体" w:cs="宋体"/>
                <w:b w:val="0"/>
                <w:bCs/>
                <w:color w:val="000000"/>
                <w:sz w:val="24"/>
                <w:szCs w:val="24"/>
                <w:highlight w:val="none"/>
                <w:lang w:val="en-US" w:eastAsia="zh-CN"/>
              </w:rPr>
              <w:t>1套：</w:t>
            </w:r>
          </w:p>
          <w:p w14:paraId="40169D86">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超宽频响电路技术，无变音，无金属尾音，强力抑制回声；数字移频技术，超强防啸叫，声音圆润稳定，无发飘和发干等现象；超级稳定：内置晶体振荡，软件算法，稳定性能好，受温度和外界干扰很小；可根据应用场合定制合适音频频谱，从而大幅度提升系统增益。</w:t>
            </w:r>
          </w:p>
          <w:p w14:paraId="32B963DE">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技术参数：</w:t>
            </w:r>
          </w:p>
          <w:p w14:paraId="278C7650">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输入通道数量：2通道(2通道平衡输入或者选择2通道6.35非平衡输入)；幻像供电：2通道24V幻像供电；额定电压： AC~220V±10% 50Hz/60Hz；频率响应：125Hz~15KHz；失真：＜0.1% @ 1KHz；信噪比：＞90dB；输入阻抗：20KΩ；输出阻抗（平衡）：200Ω；温度范围：-10~55℃。</w:t>
            </w:r>
          </w:p>
          <w:p w14:paraId="0CCF3D92">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6、机柜</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eastAsia="宋体" w:cs="宋体"/>
                <w:b w:val="0"/>
                <w:bCs/>
                <w:color w:val="000000"/>
                <w:sz w:val="24"/>
                <w:szCs w:val="24"/>
                <w:highlight w:val="none"/>
                <w:lang w:val="en-US" w:eastAsia="zh-CN"/>
              </w:rPr>
              <w:t>1台：</w:t>
            </w:r>
          </w:p>
          <w:p w14:paraId="31503325">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b w:val="0"/>
                <w:bCs/>
                <w:color w:val="000000"/>
                <w:sz w:val="24"/>
                <w:szCs w:val="24"/>
                <w:highlight w:val="none"/>
                <w:lang w:val="en-US" w:eastAsia="zh-CN"/>
              </w:rPr>
              <w:t>规格：</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eastAsia="宋体" w:cs="宋体"/>
                <w:b w:val="0"/>
                <w:bCs/>
                <w:color w:val="000000"/>
                <w:sz w:val="24"/>
                <w:szCs w:val="24"/>
                <w:highlight w:val="none"/>
                <w:lang w:val="en-US" w:eastAsia="zh-CN"/>
              </w:rPr>
              <w:t>57*55*70cm；材质：高硬度板材 +钢化玻璃；内部层板上下可调节，带U条，带风扇。</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24586E5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2CEC65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p>
        </w:tc>
      </w:tr>
      <w:tr w14:paraId="7B445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4415D74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2"/>
                <w:sz w:val="24"/>
                <w:szCs w:val="24"/>
                <w:highlight w:val="none"/>
                <w:u w:val="none"/>
                <w:lang w:val="en-US" w:eastAsia="zh-CN" w:bidi="ar-SA"/>
              </w:rPr>
              <w:t>73</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6FBDA51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羽毛球网架</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58C3318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一、羽毛球架1套：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1.规格：每付约100公斤。柱高≥1550mm，底座≥600*340*240mm。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2.材质：立柱优质钢管，底座ABS材质。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3.功能：底座平稳无晃动，使用方便，室内室外通用。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4.结构：移动式，由底座和立柱组成。底座配有高档地轮，方便移动。支架顶端加一滑动凹槽，尼龙紧线器，轻松拉紧网绳，不会松动，内侧配有魔术贴方便调节球网高度。</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5.1个网子。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二、羽毛球拍2副：</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1.规格：球拍总长度≥665mm，球拍宽度≥195mm，球拍弦面长度不小于240mm。2个球拍为1副。</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2.材质：铝合金材质。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3.结构：一体式羽毛球拍，由拍头、拍杆、拍柄及拍框组成。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三、羽毛球1盒：</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1.规格：球口外径≥65～68mm，球头直径≥25～27mm，球头高度≥24～26mm，毛片插长≥63～64mm，毛片数量≥16 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2.材质：毛片为天然羽毛，球头为复合软木球头。</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3.结构：天然羽毛配复合软木球头。</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700F6E6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2E7904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p>
        </w:tc>
      </w:tr>
      <w:tr w14:paraId="590AD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04D835D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74</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786111A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可折叠乒乓球桌</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786F977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一、室内乒乓球台1台：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1.规格：长*宽*高≥2740*1525*760mm。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2.材质：台面采用木材厚度≥18mm。球台腿为喷塑、方管，尺寸≥50*50mm。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3.功能：满足乒乓球运动使用，既可以锻炼人体的肌肉力量和耐力，又可以提高人的反应速度和灵活性。</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4.结构：由台面和台腿组成，带网及网架。单折带轮可移动。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二、乒乓球拍1副：</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1.规格：1副两拍，横握拍，拍柄为立式手柄。</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2.材质：采用杨木底板，双面反胶，红色和黑色，胶皮平整，弹性好。</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3.结构：手柄边缘无毛刺，均匀光滑。拍身边缘不得有开胶现象，胶皮粘合度牢固，不开裂。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三、乒乓球10个：</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1.球重：≥2.20g-2.60g。</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2.圆度：≥0.4mm。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3.直径：≥40.0-44.4mm。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4.弹跳：≥220-250mm以上。</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5.材质：ABS材质。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6.结构：接缝整齐，表面不反光。</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6EBE83A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2E5276F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491FE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306F56F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75</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4F97145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可移动篮球架</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4A7AED5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一、升降篮球架1套：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1.升降高度≥1500-3050mm；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2.篮板为钢化玻璃篮板，篮板尺寸为≥1200*800mm；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3.立柱钢管采用≥150*100*厚2.5mm；横梁采用≥40*40*2.0mm方钢管制成，伸臂长≥1200mm；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4.配重箱≥长1200*宽750*高340mm；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5.篮圈采用高弹性材料，内部有钢簧，圈条为直径≥18mm的实心钢,水平固定在篮板上与篮架连接的钢板采用优质钢板。</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6.结构：可拆装箱式架升降式篮球架，由立柱、横梁、箱体、篮板、篮筐等组成。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二、篮球8个：</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1.规格：5号；圆周长≥680～700mm；重量≥480g～500g；圆周差均需≤4.0mm。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2.材质：球体表面选用优质合成革材料。内胆绕线包胶成为一体，绕线应采用一根尼龙线和两根腈纶线合绕。</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3.功能：篮球运动涵盖了跑、跳、投等多种身体运动形式，且运动强度较大，因此，它能全面、有效、综合地促进身体素质和人体机能的全面发展。</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4.结构： 由内胆、缠丝、中胆、表皮、球嘴等组合而成。</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2F6AFAB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4A7A1B6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53864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49EC371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76</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5D4A19B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短跳绳</w:t>
            </w:r>
          </w:p>
        </w:tc>
        <w:tc>
          <w:tcPr>
            <w:tcW w:w="6276" w:type="dxa"/>
            <w:tcBorders>
              <w:top w:val="single" w:color="000000" w:sz="4" w:space="0"/>
              <w:left w:val="single" w:color="000000" w:sz="4" w:space="0"/>
              <w:bottom w:val="single" w:color="000000" w:sz="4" w:space="0"/>
              <w:right w:val="single" w:color="000000" w:sz="4" w:space="0"/>
            </w:tcBorders>
            <w:noWrap/>
            <w:vAlign w:val="center"/>
          </w:tcPr>
          <w:p w14:paraId="199DAB4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1.规格：长度≥3000mm，直径≥5mm，柄长≥133mm，直径≥20mm。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2.材质：海绵柄+胶绳，带轴承。</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3.功能：用于跳绳教学和运动，是一种有氧运动，对预防和改善肥胖有一定的作用。跳绳还能够增强身体免疫力，增强体质，能够增强手部、眼睛、腿部的协调性和灵敏度。</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4.结构：由海绵柄与绳身组成，结实耐用。绳柔软，韧性好，色彩鲜艳，符合学生心理特点。</w:t>
            </w:r>
          </w:p>
        </w:tc>
        <w:tc>
          <w:tcPr>
            <w:tcW w:w="782" w:type="dxa"/>
            <w:tcBorders>
              <w:top w:val="single" w:color="000000" w:sz="4" w:space="0"/>
              <w:left w:val="single" w:color="000000" w:sz="4" w:space="0"/>
              <w:bottom w:val="single" w:color="000000" w:sz="4" w:space="0"/>
              <w:right w:val="single" w:color="000000" w:sz="4" w:space="0"/>
            </w:tcBorders>
            <w:noWrap/>
            <w:vAlign w:val="center"/>
          </w:tcPr>
          <w:p w14:paraId="0E3E4C6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根</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5FE45C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r>
      <w:tr w14:paraId="3ACB7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111D350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77</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66AB05E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呼啦圈</w:t>
            </w:r>
          </w:p>
        </w:tc>
        <w:tc>
          <w:tcPr>
            <w:tcW w:w="6276" w:type="dxa"/>
            <w:tcBorders>
              <w:top w:val="single" w:color="000000" w:sz="4" w:space="0"/>
              <w:left w:val="single" w:color="000000" w:sz="4" w:space="0"/>
              <w:bottom w:val="single" w:color="000000" w:sz="4" w:space="0"/>
              <w:right w:val="single" w:color="000000" w:sz="4" w:space="0"/>
            </w:tcBorders>
            <w:noWrap/>
            <w:vAlign w:val="center"/>
          </w:tcPr>
          <w:p w14:paraId="2F41F30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1.规格：外径≥800mm，管直径≥30mm。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2.材质：彩色加厚PP管。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3.功能：用于呼啦圈运动，有效提高人体腰、髋、 膝关节的灵活性、 柔韧性。</w:t>
            </w:r>
          </w:p>
        </w:tc>
        <w:tc>
          <w:tcPr>
            <w:tcW w:w="782" w:type="dxa"/>
            <w:tcBorders>
              <w:top w:val="single" w:color="000000" w:sz="4" w:space="0"/>
              <w:left w:val="single" w:color="000000" w:sz="4" w:space="0"/>
              <w:bottom w:val="single" w:color="000000" w:sz="4" w:space="0"/>
              <w:right w:val="single" w:color="000000" w:sz="4" w:space="0"/>
            </w:tcBorders>
            <w:noWrap/>
            <w:vAlign w:val="center"/>
          </w:tcPr>
          <w:p w14:paraId="134B4A9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C0F331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r>
      <w:tr w14:paraId="6821A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B2A081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78</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2A308CC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平衡木</w:t>
            </w:r>
          </w:p>
        </w:tc>
        <w:tc>
          <w:tcPr>
            <w:tcW w:w="6276" w:type="dxa"/>
            <w:tcBorders>
              <w:top w:val="single" w:color="000000" w:sz="4" w:space="0"/>
              <w:left w:val="single" w:color="000000" w:sz="4" w:space="0"/>
              <w:bottom w:val="single" w:color="000000" w:sz="4" w:space="0"/>
              <w:right w:val="single" w:color="000000" w:sz="4" w:space="0"/>
            </w:tcBorders>
            <w:noWrap/>
            <w:vAlign w:val="center"/>
          </w:tcPr>
          <w:p w14:paraId="4C3BDDE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材质：实木框架高密度海绵 PU 皮</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规格：≥300*20/30*30cm (±5%）</w:t>
            </w:r>
          </w:p>
        </w:tc>
        <w:tc>
          <w:tcPr>
            <w:tcW w:w="782" w:type="dxa"/>
            <w:tcBorders>
              <w:top w:val="single" w:color="000000" w:sz="4" w:space="0"/>
              <w:left w:val="single" w:color="000000" w:sz="4" w:space="0"/>
              <w:bottom w:val="single" w:color="000000" w:sz="4" w:space="0"/>
              <w:right w:val="single" w:color="000000" w:sz="4" w:space="0"/>
            </w:tcBorders>
            <w:noWrap/>
            <w:vAlign w:val="center"/>
          </w:tcPr>
          <w:p w14:paraId="50A4F4E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4340288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2177C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5B6E7D5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79</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7B031AA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操作桌</w:t>
            </w:r>
          </w:p>
        </w:tc>
        <w:tc>
          <w:tcPr>
            <w:tcW w:w="6276" w:type="dxa"/>
            <w:tcBorders>
              <w:top w:val="single" w:color="000000" w:sz="4" w:space="0"/>
              <w:left w:val="single" w:color="000000" w:sz="4" w:space="0"/>
              <w:bottom w:val="single" w:color="000000" w:sz="4" w:space="0"/>
              <w:right w:val="single" w:color="000000" w:sz="4" w:space="0"/>
            </w:tcBorders>
            <w:noWrap/>
            <w:vAlign w:val="center"/>
          </w:tcPr>
          <w:p w14:paraId="6F1C13A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尺寸：≥240*120*52cm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1.材质：桌面采用≥17mm厚度橡胶木指接板；桌腿采用≥46*46mm优质橡胶木。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2.工艺：桌面为圆边圆角，无毛刺，边缘倒圆角处理；表面光滑、耐磨、耐污。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3.五金：优质五金配件，安装更便捷，整体结构牢固，安全性高。</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4.涂层：优质环保净味水性漆UV辊涂，三底两面，安全无味、耐磨、易清洁。</w:t>
            </w:r>
          </w:p>
        </w:tc>
        <w:tc>
          <w:tcPr>
            <w:tcW w:w="782" w:type="dxa"/>
            <w:tcBorders>
              <w:top w:val="single" w:color="000000" w:sz="4" w:space="0"/>
              <w:left w:val="single" w:color="000000" w:sz="4" w:space="0"/>
              <w:bottom w:val="single" w:color="000000" w:sz="4" w:space="0"/>
              <w:right w:val="single" w:color="000000" w:sz="4" w:space="0"/>
            </w:tcBorders>
            <w:noWrap/>
            <w:vAlign w:val="center"/>
          </w:tcPr>
          <w:p w14:paraId="49A260F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765CB79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2608C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58BCFB4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80</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326B84C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工作凳</w:t>
            </w:r>
          </w:p>
        </w:tc>
        <w:tc>
          <w:tcPr>
            <w:tcW w:w="6276" w:type="dxa"/>
            <w:tcBorders>
              <w:top w:val="single" w:color="000000" w:sz="4" w:space="0"/>
              <w:left w:val="single" w:color="000000" w:sz="4" w:space="0"/>
              <w:bottom w:val="single" w:color="000000" w:sz="4" w:space="0"/>
              <w:right w:val="single" w:color="000000" w:sz="4" w:space="0"/>
            </w:tcBorders>
            <w:noWrap/>
            <w:vAlign w:val="center"/>
          </w:tcPr>
          <w:p w14:paraId="2E08FA4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尺寸：≥29*29*54cm；椅面≥29*29cm；座椅高≥28cm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1.材质：椅面≥17mm厚橡胶木指接板；椅腿采用优质橡胶木。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2.工艺：整体榫卯结构，弧形后背，贴合幼儿身体曲线设计，结构稳固，不易倾翻；表面光滑、耐磨、耐污。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3.五金：优质五金配件，安装更便捷，整体结构牢固安全性高。</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4.涂层：优质环保净味水性漆UV辊涂，三底两面，安全无味、耐磨、易清洁。</w:t>
            </w:r>
          </w:p>
        </w:tc>
        <w:tc>
          <w:tcPr>
            <w:tcW w:w="782" w:type="dxa"/>
            <w:tcBorders>
              <w:top w:val="single" w:color="000000" w:sz="4" w:space="0"/>
              <w:left w:val="single" w:color="000000" w:sz="4" w:space="0"/>
              <w:bottom w:val="single" w:color="000000" w:sz="4" w:space="0"/>
              <w:right w:val="single" w:color="000000" w:sz="4" w:space="0"/>
            </w:tcBorders>
            <w:noWrap/>
            <w:vAlign w:val="center"/>
          </w:tcPr>
          <w:p w14:paraId="291E1D1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57CD736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r>
      <w:tr w14:paraId="5BB1B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96E8FA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81</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6FABD76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幼儿美术综合柜</w:t>
            </w:r>
          </w:p>
        </w:tc>
        <w:tc>
          <w:tcPr>
            <w:tcW w:w="6276" w:type="dxa"/>
            <w:tcBorders>
              <w:top w:val="single" w:color="000000" w:sz="4" w:space="0"/>
              <w:left w:val="single" w:color="000000" w:sz="4" w:space="0"/>
              <w:bottom w:val="single" w:color="000000" w:sz="4" w:space="0"/>
              <w:right w:val="single" w:color="000000" w:sz="4" w:space="0"/>
            </w:tcBorders>
            <w:noWrap/>
            <w:vAlign w:val="center"/>
          </w:tcPr>
          <w:p w14:paraId="74BC612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尺寸：≥100*35*70cm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1.材质：采用≥17mm橡胶木。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2.工艺：整体拆装结构，表面精细打磨，光滑无毛刺无疤结；边缘处全部做圆弧处理，外露钉均使用内嵌式；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3.五金：优质五金配件，安装更便捷，整体结构牢固，安全性高。</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4.涂层：优质环保净味水性漆UV辊涂，三底两面，安全无毒。</w:t>
            </w:r>
          </w:p>
        </w:tc>
        <w:tc>
          <w:tcPr>
            <w:tcW w:w="782" w:type="dxa"/>
            <w:tcBorders>
              <w:top w:val="single" w:color="000000" w:sz="4" w:space="0"/>
              <w:left w:val="single" w:color="000000" w:sz="4" w:space="0"/>
              <w:bottom w:val="single" w:color="000000" w:sz="4" w:space="0"/>
              <w:right w:val="single" w:color="000000" w:sz="4" w:space="0"/>
            </w:tcBorders>
            <w:noWrap/>
            <w:vAlign w:val="center"/>
          </w:tcPr>
          <w:p w14:paraId="4CC8DCF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840" w:type="dxa"/>
            <w:tcBorders>
              <w:top w:val="single" w:color="000000" w:sz="4" w:space="0"/>
              <w:left w:val="single" w:color="000000" w:sz="4" w:space="0"/>
              <w:bottom w:val="single" w:color="auto" w:sz="4" w:space="0"/>
              <w:right w:val="single" w:color="000000" w:sz="4" w:space="0"/>
            </w:tcBorders>
            <w:noWrap/>
            <w:vAlign w:val="center"/>
          </w:tcPr>
          <w:p w14:paraId="4594502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04EC4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6085C8D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82</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6088A2F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边柜</w:t>
            </w:r>
          </w:p>
        </w:tc>
        <w:tc>
          <w:tcPr>
            <w:tcW w:w="6276" w:type="dxa"/>
            <w:tcBorders>
              <w:top w:val="single" w:color="000000" w:sz="4" w:space="0"/>
              <w:left w:val="single" w:color="000000" w:sz="4" w:space="0"/>
              <w:bottom w:val="single" w:color="000000" w:sz="4" w:space="0"/>
              <w:right w:val="single" w:color="auto" w:sz="4" w:space="0"/>
            </w:tcBorders>
            <w:noWrap/>
            <w:vAlign w:val="center"/>
          </w:tcPr>
          <w:p w14:paraId="6795156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尺寸：≥93*30*70cm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1.材质：采用≥17mm橡胶木。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2.工艺：整体拆装结构，表面精细打磨，光滑无毛刺无疤结；边缘处全部做圆弧处理，外露钉均使用内嵌式；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3.五金：优质五金配件，安装更便捷，整体结构牢固，安全性高。</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4.涂层：优质环保净味水性漆UV辊涂，三底两面，安全无毒。</w:t>
            </w:r>
          </w:p>
        </w:tc>
        <w:tc>
          <w:tcPr>
            <w:tcW w:w="782" w:type="dxa"/>
            <w:tcBorders>
              <w:top w:val="single" w:color="000000" w:sz="4" w:space="0"/>
              <w:left w:val="single" w:color="000000" w:sz="4" w:space="0"/>
              <w:bottom w:val="single" w:color="000000" w:sz="4" w:space="0"/>
              <w:right w:val="single" w:color="auto" w:sz="4" w:space="0"/>
            </w:tcBorders>
            <w:noWrap/>
            <w:vAlign w:val="center"/>
          </w:tcPr>
          <w:p w14:paraId="4D6016C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840" w:type="dxa"/>
            <w:tcBorders>
              <w:top w:val="single" w:color="auto" w:sz="4" w:space="0"/>
              <w:left w:val="single" w:color="auto" w:sz="4" w:space="0"/>
              <w:bottom w:val="single" w:color="auto" w:sz="4" w:space="0"/>
              <w:right w:val="single" w:color="auto" w:sz="4" w:space="0"/>
            </w:tcBorders>
            <w:noWrap/>
            <w:vAlign w:val="center"/>
          </w:tcPr>
          <w:p w14:paraId="27137AE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0CDDD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0ADFCFA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83</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0143BC0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美术纸筒柜</w:t>
            </w:r>
          </w:p>
        </w:tc>
        <w:tc>
          <w:tcPr>
            <w:tcW w:w="6276" w:type="dxa"/>
            <w:tcBorders>
              <w:top w:val="single" w:color="000000" w:sz="4" w:space="0"/>
              <w:left w:val="single" w:color="000000" w:sz="4" w:space="0"/>
              <w:bottom w:val="single" w:color="000000" w:sz="4" w:space="0"/>
              <w:right w:val="single" w:color="000000" w:sz="4" w:space="0"/>
            </w:tcBorders>
            <w:noWrap/>
            <w:vAlign w:val="center"/>
          </w:tcPr>
          <w:p w14:paraId="5FF339C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规格：≥40*40*58cm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1.材质：柜体采用≥17mm橡胶木。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2.整体拆装结构，表面精细打磨，光滑无毛刺无疤结。边缘处全部做圆弧处理，外露钉均使用内嵌式；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3.五金：优质五金配件，安装更便捷，整体结构牢固，安全性高；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4.油漆：优质环保净味水性漆UV辊涂，三底两面，安全无毒；</w:t>
            </w:r>
          </w:p>
        </w:tc>
        <w:tc>
          <w:tcPr>
            <w:tcW w:w="782" w:type="dxa"/>
            <w:tcBorders>
              <w:top w:val="single" w:color="000000" w:sz="4" w:space="0"/>
              <w:left w:val="single" w:color="000000" w:sz="4" w:space="0"/>
              <w:bottom w:val="single" w:color="000000" w:sz="4" w:space="0"/>
              <w:right w:val="single" w:color="000000" w:sz="4" w:space="0"/>
            </w:tcBorders>
            <w:noWrap/>
            <w:vAlign w:val="center"/>
          </w:tcPr>
          <w:p w14:paraId="3379510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840" w:type="dxa"/>
            <w:tcBorders>
              <w:top w:val="single" w:color="auto" w:sz="4" w:space="0"/>
              <w:left w:val="single" w:color="000000" w:sz="4" w:space="0"/>
              <w:bottom w:val="single" w:color="000000" w:sz="4" w:space="0"/>
              <w:right w:val="single" w:color="000000" w:sz="4" w:space="0"/>
            </w:tcBorders>
            <w:noWrap/>
            <w:vAlign w:val="center"/>
          </w:tcPr>
          <w:p w14:paraId="006AAD2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67497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692D062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84</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2CC50E7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陈列架</w:t>
            </w:r>
          </w:p>
        </w:tc>
        <w:tc>
          <w:tcPr>
            <w:tcW w:w="6276" w:type="dxa"/>
            <w:tcBorders>
              <w:top w:val="single" w:color="000000" w:sz="4" w:space="0"/>
              <w:left w:val="single" w:color="000000" w:sz="4" w:space="0"/>
              <w:bottom w:val="single" w:color="000000" w:sz="4" w:space="0"/>
              <w:right w:val="single" w:color="000000" w:sz="4" w:space="0"/>
            </w:tcBorders>
            <w:noWrap/>
            <w:vAlign w:val="center"/>
          </w:tcPr>
          <w:p w14:paraId="1E273AC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尺寸：≥100*30*90cm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1.材质：采用≥17mm橡胶木。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2.工艺：整体拆装结构，表面精细打磨，光滑无毛刺无疤结；边缘处全部做圆弧处理，外露钉均使用内嵌式；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3.五金：优质五金配件，安装更便捷，整体结构牢固，安全性高。</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4.涂层：优质环保净味水性漆UV辊涂，三底两面，安全无毒。</w:t>
            </w:r>
          </w:p>
        </w:tc>
        <w:tc>
          <w:tcPr>
            <w:tcW w:w="782" w:type="dxa"/>
            <w:tcBorders>
              <w:top w:val="single" w:color="000000" w:sz="4" w:space="0"/>
              <w:left w:val="single" w:color="000000" w:sz="4" w:space="0"/>
              <w:bottom w:val="single" w:color="000000" w:sz="4" w:space="0"/>
              <w:right w:val="single" w:color="000000" w:sz="4" w:space="0"/>
            </w:tcBorders>
            <w:noWrap/>
            <w:vAlign w:val="center"/>
          </w:tcPr>
          <w:p w14:paraId="6FD739D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7AD2894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7DF1F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A1D67F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85</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56ECBC4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透明绘画架</w:t>
            </w:r>
          </w:p>
        </w:tc>
        <w:tc>
          <w:tcPr>
            <w:tcW w:w="6276" w:type="dxa"/>
            <w:tcBorders>
              <w:top w:val="single" w:color="000000" w:sz="4" w:space="0"/>
              <w:left w:val="single" w:color="000000" w:sz="4" w:space="0"/>
              <w:bottom w:val="single" w:color="000000" w:sz="4" w:space="0"/>
              <w:right w:val="single" w:color="000000" w:sz="4" w:space="0"/>
            </w:tcBorders>
            <w:noWrap/>
            <w:vAlign w:val="center"/>
          </w:tcPr>
          <w:p w14:paraId="7D50720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尺寸：≥50*28*60cm</w:t>
            </w:r>
          </w:p>
          <w:p w14:paraId="18BE8F4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材质：实木，透明亚克力画板，含≥8个塑料杯</w:t>
            </w:r>
          </w:p>
        </w:tc>
        <w:tc>
          <w:tcPr>
            <w:tcW w:w="782" w:type="dxa"/>
            <w:tcBorders>
              <w:top w:val="single" w:color="000000" w:sz="4" w:space="0"/>
              <w:left w:val="single" w:color="000000" w:sz="4" w:space="0"/>
              <w:bottom w:val="single" w:color="000000" w:sz="4" w:space="0"/>
              <w:right w:val="single" w:color="000000" w:sz="4" w:space="0"/>
            </w:tcBorders>
            <w:noWrap/>
            <w:vAlign w:val="center"/>
          </w:tcPr>
          <w:p w14:paraId="49F5B3E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0A572A4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4BDF2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5AD2606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86</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0522085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壁挂式画架</w:t>
            </w:r>
          </w:p>
        </w:tc>
        <w:tc>
          <w:tcPr>
            <w:tcW w:w="6276" w:type="dxa"/>
            <w:tcBorders>
              <w:top w:val="single" w:color="000000" w:sz="4" w:space="0"/>
              <w:left w:val="single" w:color="000000" w:sz="4" w:space="0"/>
              <w:bottom w:val="single" w:color="000000" w:sz="4" w:space="0"/>
              <w:right w:val="single" w:color="000000" w:sz="4" w:space="0"/>
            </w:tcBorders>
            <w:noWrap/>
            <w:vAlign w:val="center"/>
          </w:tcPr>
          <w:p w14:paraId="25C3E77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尺寸：≥52*80*9cm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材质：松木直拼板，含不少于4个塑料杯装于墙面作画。</w:t>
            </w:r>
          </w:p>
        </w:tc>
        <w:tc>
          <w:tcPr>
            <w:tcW w:w="782" w:type="dxa"/>
            <w:tcBorders>
              <w:top w:val="single" w:color="000000" w:sz="4" w:space="0"/>
              <w:left w:val="single" w:color="000000" w:sz="4" w:space="0"/>
              <w:bottom w:val="single" w:color="000000" w:sz="4" w:space="0"/>
              <w:right w:val="single" w:color="000000" w:sz="4" w:space="0"/>
            </w:tcBorders>
            <w:noWrap/>
            <w:vAlign w:val="center"/>
          </w:tcPr>
          <w:p w14:paraId="098135B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3253D14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3F2BB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5AEB763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87</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27B1D86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绘画卷纸</w:t>
            </w:r>
          </w:p>
        </w:tc>
        <w:tc>
          <w:tcPr>
            <w:tcW w:w="6276" w:type="dxa"/>
            <w:tcBorders>
              <w:top w:val="single" w:color="000000" w:sz="4" w:space="0"/>
              <w:left w:val="single" w:color="000000" w:sz="4" w:space="0"/>
              <w:bottom w:val="single" w:color="000000" w:sz="4" w:space="0"/>
              <w:right w:val="single" w:color="000000" w:sz="4" w:space="0"/>
            </w:tcBorders>
            <w:noWrap/>
            <w:vAlign w:val="center"/>
          </w:tcPr>
          <w:p w14:paraId="5AEB21A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规格：小号，规格≥0.29*20m；大号，规格≥0.44*20m，小号大号各4卷。</w:t>
            </w:r>
          </w:p>
        </w:tc>
        <w:tc>
          <w:tcPr>
            <w:tcW w:w="782" w:type="dxa"/>
            <w:tcBorders>
              <w:top w:val="single" w:color="000000" w:sz="4" w:space="0"/>
              <w:left w:val="single" w:color="000000" w:sz="4" w:space="0"/>
              <w:bottom w:val="single" w:color="000000" w:sz="4" w:space="0"/>
              <w:right w:val="single" w:color="000000" w:sz="4" w:space="0"/>
            </w:tcBorders>
            <w:noWrap/>
            <w:vAlign w:val="center"/>
          </w:tcPr>
          <w:p w14:paraId="2232000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卷</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03F01AB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r>
      <w:tr w14:paraId="6CE77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10B8218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88</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0061BB4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滑轨式作品展示墙</w:t>
            </w:r>
          </w:p>
        </w:tc>
        <w:tc>
          <w:tcPr>
            <w:tcW w:w="6276" w:type="dxa"/>
            <w:tcBorders>
              <w:top w:val="single" w:color="000000" w:sz="4" w:space="0"/>
              <w:left w:val="single" w:color="000000" w:sz="4" w:space="0"/>
              <w:bottom w:val="single" w:color="000000" w:sz="4" w:space="0"/>
              <w:right w:val="single" w:color="000000" w:sz="4" w:space="0"/>
            </w:tcBorders>
            <w:noWrap/>
            <w:vAlign w:val="center"/>
          </w:tcPr>
          <w:p w14:paraId="2027261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规格：≥120*6*2cm木条，含不少于8个活动木夹子。</w:t>
            </w:r>
          </w:p>
        </w:tc>
        <w:tc>
          <w:tcPr>
            <w:tcW w:w="782" w:type="dxa"/>
            <w:tcBorders>
              <w:top w:val="single" w:color="000000" w:sz="4" w:space="0"/>
              <w:left w:val="single" w:color="000000" w:sz="4" w:space="0"/>
              <w:bottom w:val="single" w:color="000000" w:sz="4" w:space="0"/>
              <w:right w:val="single" w:color="000000" w:sz="4" w:space="0"/>
            </w:tcBorders>
            <w:noWrap/>
            <w:vAlign w:val="center"/>
          </w:tcPr>
          <w:p w14:paraId="5900E61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条</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44D97B4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11656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1E71038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89</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17FB0E0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教师专用画板</w:t>
            </w:r>
          </w:p>
        </w:tc>
        <w:tc>
          <w:tcPr>
            <w:tcW w:w="6276" w:type="dxa"/>
            <w:tcBorders>
              <w:top w:val="single" w:color="000000" w:sz="4" w:space="0"/>
              <w:left w:val="single" w:color="000000" w:sz="4" w:space="0"/>
              <w:bottom w:val="single" w:color="000000" w:sz="4" w:space="0"/>
              <w:right w:val="single" w:color="000000" w:sz="4" w:space="0"/>
            </w:tcBorders>
            <w:noWrap/>
            <w:vAlign w:val="center"/>
          </w:tcPr>
          <w:p w14:paraId="20F2AF3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规格：4k画板、厚度：≥1.8cm，光滑平整、实木封边、承重力强</w:t>
            </w:r>
          </w:p>
        </w:tc>
        <w:tc>
          <w:tcPr>
            <w:tcW w:w="782" w:type="dxa"/>
            <w:tcBorders>
              <w:top w:val="single" w:color="000000" w:sz="4" w:space="0"/>
              <w:left w:val="single" w:color="000000" w:sz="4" w:space="0"/>
              <w:bottom w:val="single" w:color="000000" w:sz="4" w:space="0"/>
              <w:right w:val="single" w:color="000000" w:sz="4" w:space="0"/>
            </w:tcBorders>
            <w:noWrap/>
            <w:vAlign w:val="center"/>
          </w:tcPr>
          <w:p w14:paraId="43C9143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023629E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67058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0E86FC9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90</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26FCA30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制作收纳工具包</w:t>
            </w:r>
          </w:p>
        </w:tc>
        <w:tc>
          <w:tcPr>
            <w:tcW w:w="6276" w:type="dxa"/>
            <w:tcBorders>
              <w:top w:val="single" w:color="000000" w:sz="4" w:space="0"/>
              <w:left w:val="single" w:color="000000" w:sz="4" w:space="0"/>
              <w:bottom w:val="single" w:color="000000" w:sz="4" w:space="0"/>
              <w:right w:val="single" w:color="000000" w:sz="4" w:space="0"/>
            </w:tcBorders>
            <w:noWrap/>
            <w:vAlign w:val="center"/>
          </w:tcPr>
          <w:p w14:paraId="631865F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1、幼儿专用大号胸章机1套</w:t>
            </w:r>
          </w:p>
          <w:p w14:paraId="6203D98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组成：胸章机+模具+切圆套+胸章配件≥100套+图纸≥100张，塑料瓶包装。</w:t>
            </w:r>
          </w:p>
          <w:p w14:paraId="05334B8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2、桌面工具盒2个</w:t>
            </w:r>
          </w:p>
          <w:p w14:paraId="72C5F88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尺寸：≥20*21*8cm，桌面工具收纳材料盒。</w:t>
            </w:r>
          </w:p>
          <w:p w14:paraId="5FF1D43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3、幼儿美育专用罩衣18件</w:t>
            </w:r>
          </w:p>
          <w:p w14:paraId="5F139F3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材质：防水布，规格：M、L码，米黄色。</w:t>
            </w:r>
          </w:p>
          <w:p w14:paraId="69FFBF0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4、教师围裙2件</w:t>
            </w:r>
          </w:p>
          <w:p w14:paraId="0467985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材质：防水布，米黄色，规格：≥81*63cm，防水效果好。</w:t>
            </w:r>
          </w:p>
          <w:p w14:paraId="6CB69B5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5、布织收纳筐18个</w:t>
            </w:r>
          </w:p>
          <w:p w14:paraId="072E53F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规格：≥38*26*13cm，金属框架，丙丝带编织布料，两侧设计有提手。</w:t>
            </w:r>
          </w:p>
          <w:p w14:paraId="0C76E96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6、幼儿专用彩色压花器套装6套</w:t>
            </w:r>
          </w:p>
          <w:p w14:paraId="1ACB530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材质：ABS+合金，可以用来装饰日记本、DIY贺卡等，组成：一套不少于3个。</w:t>
            </w:r>
          </w:p>
        </w:tc>
        <w:tc>
          <w:tcPr>
            <w:tcW w:w="782" w:type="dxa"/>
            <w:tcBorders>
              <w:top w:val="single" w:color="000000" w:sz="4" w:space="0"/>
              <w:left w:val="single" w:color="000000" w:sz="4" w:space="0"/>
              <w:bottom w:val="single" w:color="000000" w:sz="4" w:space="0"/>
              <w:right w:val="single" w:color="000000" w:sz="4" w:space="0"/>
            </w:tcBorders>
            <w:noWrap/>
            <w:vAlign w:val="center"/>
          </w:tcPr>
          <w:p w14:paraId="4DFBA1A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组</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6FEC8CA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p>
        </w:tc>
      </w:tr>
      <w:tr w14:paraId="4FB5B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743B80D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91</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1FC5304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幼儿专用绘画材料</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4035503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1、幼儿专用安全重彩油画棒6套</w:t>
            </w:r>
          </w:p>
          <w:p w14:paraId="54D3ABA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组成：1套不少于12色。</w:t>
            </w:r>
          </w:p>
          <w:p w14:paraId="4493CC8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2、幼儿专用安全蜡笔6套</w:t>
            </w:r>
          </w:p>
          <w:p w14:paraId="10C3BF7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组成：1套不少于12色。</w:t>
            </w:r>
          </w:p>
          <w:p w14:paraId="04EE778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3、幼儿夜光丙烯套装6件</w:t>
            </w:r>
          </w:p>
          <w:p w14:paraId="4029E4E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色彩鲜艳、质地细腻，适用多种材质，膏体颜料，颜色鲜艳饱和。</w:t>
            </w:r>
          </w:p>
          <w:p w14:paraId="22DC5CB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4、刮画纸6套</w:t>
            </w:r>
          </w:p>
          <w:p w14:paraId="258FF1A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规格：≥10*14cm</w:t>
            </w:r>
          </w:p>
          <w:p w14:paraId="4619F8B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5、中国风白坯挂件6套</w:t>
            </w:r>
          </w:p>
          <w:p w14:paraId="68AF768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尺寸：≥31*29cm，环保原木浆，可以搭配超轻黏土，丙烯颜料等进行创作，提高动手能力和专注力。</w:t>
            </w:r>
          </w:p>
          <w:p w14:paraId="50D1DD4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6、幼儿手指画6瓶</w:t>
            </w:r>
          </w:p>
          <w:p w14:paraId="6391789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尺寸≥18cm，可以水洗颜色多样，可以满足各种DIY手工制作需求，让想象力更加丰富。</w:t>
            </w:r>
          </w:p>
          <w:p w14:paraId="62D4504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7、创意DIY绘画日历1套</w:t>
            </w:r>
          </w:p>
          <w:p w14:paraId="0D7FE3D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尺寸：≥38*53cm，适合水彩笔、油画棒、彩铅、马克笔、毛笔等绘画用笔。</w:t>
            </w:r>
          </w:p>
          <w:p w14:paraId="3B4DDD4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8、石膏涂色包18个</w:t>
            </w:r>
          </w:p>
          <w:p w14:paraId="3AA003A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材质：硬质石膏，让孩子尽情享受涂抹雕塑的快乐。</w:t>
            </w:r>
          </w:p>
          <w:p w14:paraId="5FE5D34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9、幼儿专用安全水溶性水彩笔8套</w:t>
            </w:r>
          </w:p>
          <w:p w14:paraId="6A90247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颜色：1套不少于18色，软头水彩笔、水性可擦洗</w:t>
            </w:r>
          </w:p>
          <w:p w14:paraId="531DD9B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10、幼儿专用安全重彩水彩笔2套</w:t>
            </w:r>
          </w:p>
          <w:p w14:paraId="7232458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颜色：1套不少于18色，重彩水彩笔，效果艳丽</w:t>
            </w:r>
          </w:p>
          <w:p w14:paraId="2416C23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11、DIY手工风筝8支</w:t>
            </w:r>
          </w:p>
          <w:p w14:paraId="77131FF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规格：≥100*131cm</w:t>
            </w:r>
          </w:p>
          <w:p w14:paraId="69585D7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12、蘑菇拓印刷6套</w:t>
            </w:r>
          </w:p>
          <w:p w14:paraId="63A2464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规格：≥4.8*9.8*12cm</w:t>
            </w:r>
          </w:p>
          <w:p w14:paraId="4D9F937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13、幼儿专用安全扎染颜料套组6套</w:t>
            </w:r>
          </w:p>
          <w:p w14:paraId="1A633BB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规格：≥100ml，颜色：1套不少于5色。</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6E44FFD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组</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5C98ECE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r>
      <w:tr w14:paraId="69398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1E14BA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92</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5DAC36D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纸类材料包</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211776D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1、皱纹纸8包</w:t>
            </w:r>
          </w:p>
          <w:p w14:paraId="7E62616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规格：≥30*0.2cm，颜色：1套不少于12色</w:t>
            </w:r>
          </w:p>
          <w:p w14:paraId="00354A4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2、彩卡8包</w:t>
            </w:r>
          </w:p>
          <w:p w14:paraId="38F9792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规格：≥35*52cm，颜色：1套不少于10色</w:t>
            </w:r>
          </w:p>
          <w:p w14:paraId="137B677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3、小眼睛2包</w:t>
            </w:r>
          </w:p>
          <w:p w14:paraId="6268417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环保素材，适合手工制作</w:t>
            </w:r>
          </w:p>
          <w:p w14:paraId="00207C4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4、卡通剪纸8包</w:t>
            </w:r>
          </w:p>
          <w:p w14:paraId="630BD6E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尺寸：≥14*14cm，优质纸张、柔韧性好、无粉尘无杂质、安全环保无毒无味。</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7681056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组</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6C218EE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p>
        </w:tc>
      </w:tr>
      <w:tr w14:paraId="4D62B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496293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93</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08FB94C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美术工具包</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6B06108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1、普通剪刀6个</w:t>
            </w:r>
          </w:p>
          <w:p w14:paraId="0150BF7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规格：长≥121mm</w:t>
            </w:r>
          </w:p>
          <w:p w14:paraId="7ACDC0A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2、花边剪刀6个</w:t>
            </w:r>
          </w:p>
          <w:p w14:paraId="748AD08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规格：长≥136mm</w:t>
            </w:r>
          </w:p>
          <w:p w14:paraId="6D09428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3、大剪刀2个</w:t>
            </w:r>
          </w:p>
          <w:p w14:paraId="37313F8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规格：长≥180mm</w:t>
            </w:r>
          </w:p>
          <w:p w14:paraId="5DBC351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4、热熔枪2把</w:t>
            </w:r>
          </w:p>
          <w:p w14:paraId="17DEA67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每把配不少于30根胶棒</w:t>
            </w:r>
          </w:p>
          <w:p w14:paraId="44B8382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5、打孔器2套</w:t>
            </w:r>
          </w:p>
          <w:p w14:paraId="65004F7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规格：大中小各一个，大号可打35张，中号可打20张，小号可打10张</w:t>
            </w:r>
          </w:p>
          <w:p w14:paraId="2CE1B08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6、封塑机1个</w:t>
            </w:r>
          </w:p>
          <w:p w14:paraId="65BA97B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免预热、防卡膜，A3/A4通用，配50张A3膜、50张A4膜</w:t>
            </w:r>
          </w:p>
          <w:p w14:paraId="038E8B9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7、刻刀笔8支</w:t>
            </w:r>
          </w:p>
          <w:p w14:paraId="7169455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规格：刀尖角度60°以上，刃长≥0.5cm，刀柄长≥14cm，材质：PC</w:t>
            </w:r>
          </w:p>
          <w:p w14:paraId="2FFE98D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8、双面胶8套</w:t>
            </w:r>
          </w:p>
          <w:p w14:paraId="2F3C2A0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规格：1套不少于12卷，每卷宽≥1cm</w:t>
            </w:r>
          </w:p>
          <w:p w14:paraId="466096E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9、固体胶8只</w:t>
            </w:r>
          </w:p>
          <w:p w14:paraId="555E7CA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规格：1套不少于12支，每支≥21克</w:t>
            </w:r>
          </w:p>
          <w:p w14:paraId="7C4D5BE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10、胶水8只</w:t>
            </w:r>
          </w:p>
          <w:p w14:paraId="10CE847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规格：1套不少于12支，每支≥50ml</w:t>
            </w:r>
          </w:p>
          <w:p w14:paraId="7B2BD2D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11、订书机1套</w:t>
            </w:r>
          </w:p>
          <w:p w14:paraId="3893847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规格：大小各1个，小号定30页、大号70页</w:t>
            </w:r>
          </w:p>
          <w:p w14:paraId="32F61D7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12、颜料套装8套</w:t>
            </w:r>
          </w:p>
          <w:p w14:paraId="094F5C3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清单：颜料1套≥18色、17寸多功能工具箱1个、画笔1套、颜料盒1个、折叠水桶1个、大调色盘1个、刮刀1个、勾线笔1个、8k水粉纸20张。</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1A6DACF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组</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0BD4D91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p>
        </w:tc>
      </w:tr>
      <w:tr w14:paraId="26E5C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5CA5AAC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94</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06CFB47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手功能操作桌</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7BF638A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材质：实木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桌子：≥140*70*75cm</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5543D3E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3E5ECC2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6DF20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251FBF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95</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3809A8B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手功能操作椅</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4164416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材质：实木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椅子规格：≥40*30*45cm，1桌4椅</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395919C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3DCE6C8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3F203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67E5AF0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96</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30B0734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书架</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03C5933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规格：≥120*32*88cm</w:t>
            </w:r>
          </w:p>
          <w:p w14:paraId="5841147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材质：实木</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3CA096C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个</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2409BBD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w:t>
            </w:r>
          </w:p>
        </w:tc>
      </w:tr>
      <w:tr w14:paraId="0FF57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B34CD1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97</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2D159D5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圆形沙发</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6BD0247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规格：直径≥200cm、高度≥60cm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材质：橡木+PU皮+海绵</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7EA713C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488EA13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p>
        </w:tc>
      </w:tr>
      <w:tr w14:paraId="5DBD4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798725B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98</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23A0532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六边形桌椅</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2A96101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规格：≥128*145*55cm，椅子坐高≥28cm，1桌6椅</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材质：橡胶木</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705D450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024D11E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p>
        </w:tc>
      </w:tr>
      <w:tr w14:paraId="1AA4B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AAB9A7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99</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3DCF50D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豆袋</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4973164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规格：≥90*100cm。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材质：棉麻布+环保填充粒子，外观形状类似座椅，同时训练了孩子的视觉和触觉。</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23F99A0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C23ABC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w:t>
            </w:r>
          </w:p>
        </w:tc>
      </w:tr>
      <w:tr w14:paraId="52A9D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52518F1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100</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7635C03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休息桌椅</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57BF257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规格：桌子直径≥70cm，高≥68cm，底座直径≥45cm；椅子坐高≥45cm，宽≥60cm，椅背高≥78cm。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配置：1桌3椅</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1AFC529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485BD02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w:t>
            </w:r>
          </w:p>
        </w:tc>
      </w:tr>
      <w:tr w14:paraId="1A590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1AA5C30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101</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73BFBCC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碳化积木组合</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0FDDC5D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材质：采用新西兰松木。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工艺：碳烤、静电喷水性环保油漆、磨圆角、光滑无毛刺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规格：≥23种形状，1套不少于866片。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正方形Ⅰ，120个：≥10*10*5cm；正方形Ⅱ，300个：≥10*10*2.5cm；正方形Ⅱ，50个：≥10*5*5cm；正方形Ⅱ，50个：≥10*5*2.5cm；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长方形Ⅰ，65个：≥20*10*5cm；长方形Ⅱ，170个：≥20*10*2.5cm；长方形Ⅲ，16个：≥40*10*2.5cm；长方形Ⅳ，16个：≥60*10*2.5cm；长方形（开槽）Ⅴ，6个：≥60*10*2.5cm；长方形Ⅵ，4个：≥80*10*2.5cm；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等腰三角形，4个：≥39*20*2.5cm；直角三角形，4个：≥40*20*2.5cm；等腰三角形，6个：≥12*8*5cm；眼睛形，4个：≥18*8*2.5cm；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圆柱积木Ⅰ，2个：≥Φ10*20cm；圆柱积木Ⅱ，2个：≥Φ10*40cm；圆柱积木Ⅲ，18个：≥Φ5*10cm；圆柱积木Ⅳ，8个：≥Φ5*20cm；圆柱积木Ⅴ，2个：≥Φ5*40cm；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半圆环积木，2个：≥30*15*2.5cm；半圆积木，3个：≥15*7.5*2.5cm；1/4圆环积木，2个：≥40*14*2.5cm；扇形积木，4个：≥半径20*2.5cm；Y型，2个：≥40*30*2.5cm；三叉路，2个：≥40*30*2.5cm；锥形，2个：≥10*10*15cm；歌德门，2个：≥16*10*2.5cm。</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189F65B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442E50C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34646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6A14AC7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102</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6C35F95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钻通组合滑梯</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3049914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规格：≥520*380*120cm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材质：木制</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功能要求：通过精心设计的四种不同结构模式，多角度地训练儿童的手眼协调能力，使其在过程中能够更好地配合视觉与手部动作，同时，这些结构还能有效锻炼儿童的重心平衡能力，帮助他们在各种活动中保持身体稳定，从而全面提升其运动协调性和平衡控制能力。</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0BCA877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ABD58A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212E6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156D132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103</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4A71E63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户外城堡滑梯</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39C706F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规格：≥520*230*290cm，平台≥88*88cm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材质：工程塑料、钢管件</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功能要求：集健身娱乐为一体，针对儿童喜欢钻、爬、滑等特点设计的。提供和缓倾度的台阶，在于训练儿童的攀、爬、站、跳、抓、眺望与躲猫猫游戏等动作的能力，并使身体灵活。可增进亲子间的良好相处与互动。</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5EDC4E4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48B78E3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03236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3773C43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104</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5D4BC37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轮胎配收纳架</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3A60BB5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8个轮胎，1个轮胎架，轮胎规格：直径≥50*厚≥16cm，轮胎架规格：≥207*52*52cm</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5334605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F71547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487A6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09EC621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105</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5220D92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乘骑三轮车</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61100D8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规格：≥83*58*65cm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采用厚实的镀锌，坚固、稳重、耐用。轮子采用无缝式密实设计，孩子脚板不会滑入。轮胎宽大，不用打气。</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282A28A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辆</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9C57F8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r>
      <w:tr w14:paraId="1AEFE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364D0B8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106</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41C77B8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跷跷板</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6F7934D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材质：pe板+榉木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规格：≥170*30*46cm</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2983D27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组</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535B09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68908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06BFC96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107</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4CBA70C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推车</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1EEAC9A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规格：≥70*30cm</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005C931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2B4037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r>
      <w:tr w14:paraId="2FF7B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5B2659E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108</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62BAAC4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皮球</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18FA721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规格：≥8.5寸</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材质：PVC</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动物彩印球，拍一拍，踢一踢，滚一滚，多种玩法，运动成长；色彩鲜艳培养色彩识别能力，动物彩印图案清晰加强认知。</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6EBF878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AA1B49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r>
      <w:tr w14:paraId="0E9F1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132DE81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109</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58FF3D0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多人协力车</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3F07126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规格：≥210*25*70cm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感统体能训练器，完美力学设计，环保无毒。玩法多样需要手脚配合，刺激好玩。</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64E3F26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辆</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2483EEA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1EE55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C75CF8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110</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2DC4899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双人摇摇马</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435AE22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规格：≥95*42cm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底板弧度科学，不易到，助力培养平衡感。通过腰腹和四肢力量让摇马前后摆动摇晃，同时锻炼手部抓握和身体控制马促进肌肉骨骼的发育。</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072E9C6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EDD19D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r>
      <w:tr w14:paraId="5C01A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6E958D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111</w:t>
            </w:r>
          </w:p>
        </w:tc>
        <w:tc>
          <w:tcPr>
            <w:tcW w:w="14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51F2B4">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台式</w:t>
            </w:r>
            <w:r>
              <w:rPr>
                <w:rFonts w:hint="eastAsia" w:ascii="宋体" w:hAnsi="宋体" w:cs="宋体"/>
                <w:i w:val="0"/>
                <w:iCs w:val="0"/>
                <w:color w:val="000000"/>
                <w:kern w:val="0"/>
                <w:sz w:val="24"/>
                <w:szCs w:val="24"/>
                <w:highlight w:val="none"/>
                <w:u w:val="none"/>
                <w:lang w:val="en-US" w:eastAsia="zh-CN" w:bidi="ar"/>
              </w:rPr>
              <w:t>电磁</w:t>
            </w:r>
            <w:r>
              <w:rPr>
                <w:rFonts w:hint="eastAsia" w:ascii="宋体" w:hAnsi="宋体" w:eastAsia="宋体" w:cs="宋体"/>
                <w:i w:val="0"/>
                <w:iCs w:val="0"/>
                <w:color w:val="000000"/>
                <w:kern w:val="0"/>
                <w:sz w:val="24"/>
                <w:szCs w:val="24"/>
                <w:highlight w:val="none"/>
                <w:u w:val="none"/>
                <w:lang w:val="en-US" w:eastAsia="zh-CN" w:bidi="ar"/>
              </w:rPr>
              <w:t>煮面炉</w:t>
            </w:r>
          </w:p>
        </w:tc>
        <w:tc>
          <w:tcPr>
            <w:tcW w:w="6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755587">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尺寸：≥600*600*350mm</w:t>
            </w:r>
            <w:r>
              <w:rPr>
                <w:rFonts w:hint="eastAsia" w:ascii="宋体" w:hAnsi="宋体" w:cs="宋体"/>
                <w:i w:val="0"/>
                <w:iCs w:val="0"/>
                <w:color w:val="000000"/>
                <w:kern w:val="0"/>
                <w:sz w:val="24"/>
                <w:szCs w:val="24"/>
                <w:highlight w:val="none"/>
                <w:u w:val="none"/>
                <w:lang w:val="en-US" w:eastAsia="zh-CN" w:bidi="ar"/>
              </w:rPr>
              <w:t>，</w:t>
            </w:r>
          </w:p>
          <w:p w14:paraId="668BEB56">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功率（kw）：≥3.5，</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外壳及内胆采用SUS</w:t>
            </w:r>
            <w:r>
              <w:rPr>
                <w:rFonts w:hint="eastAsia" w:ascii="宋体" w:hAnsi="宋体" w:cs="宋体"/>
                <w:i w:val="0"/>
                <w:iCs w:val="0"/>
                <w:color w:val="000000"/>
                <w:kern w:val="0"/>
                <w:sz w:val="24"/>
                <w:szCs w:val="24"/>
                <w:highlight w:val="none"/>
                <w:u w:val="none"/>
                <w:lang w:val="en-US" w:eastAsia="zh-CN" w:bidi="ar"/>
              </w:rPr>
              <w:t>304</w:t>
            </w:r>
            <w:r>
              <w:rPr>
                <w:rFonts w:hint="eastAsia" w:ascii="宋体" w:hAnsi="宋体" w:eastAsia="宋体" w:cs="宋体"/>
                <w:i w:val="0"/>
                <w:iCs w:val="0"/>
                <w:color w:val="000000"/>
                <w:kern w:val="0"/>
                <w:sz w:val="24"/>
                <w:szCs w:val="24"/>
                <w:highlight w:val="none"/>
                <w:u w:val="none"/>
                <w:lang w:val="en-US" w:eastAsia="zh-CN" w:bidi="ar"/>
              </w:rPr>
              <w:t>不锈钢板，</w:t>
            </w:r>
            <w:r>
              <w:rPr>
                <w:rFonts w:hint="eastAsia" w:ascii="宋体" w:hAnsi="宋体" w:cs="宋体"/>
                <w:i w:val="0"/>
                <w:iCs w:val="0"/>
                <w:color w:val="000000"/>
                <w:kern w:val="0"/>
                <w:sz w:val="24"/>
                <w:szCs w:val="24"/>
                <w:highlight w:val="none"/>
                <w:u w:val="none"/>
                <w:lang w:val="en-US" w:eastAsia="zh-CN" w:bidi="ar"/>
              </w:rPr>
              <w:t>电磁加热</w:t>
            </w:r>
            <w:r>
              <w:rPr>
                <w:rFonts w:hint="eastAsia" w:ascii="宋体" w:hAnsi="宋体" w:eastAsia="宋体" w:cs="宋体"/>
                <w:i w:val="0"/>
                <w:iCs w:val="0"/>
                <w:color w:val="000000"/>
                <w:kern w:val="0"/>
                <w:sz w:val="24"/>
                <w:szCs w:val="24"/>
                <w:highlight w:val="none"/>
                <w:u w:val="none"/>
                <w:lang w:val="en-US" w:eastAsia="zh-CN" w:bidi="ar"/>
              </w:rPr>
              <w:t>，耐用安全，</w:t>
            </w:r>
            <w:r>
              <w:rPr>
                <w:rFonts w:hint="eastAsia" w:ascii="宋体" w:hAnsi="宋体" w:cs="宋体"/>
                <w:i w:val="0"/>
                <w:iCs w:val="0"/>
                <w:color w:val="000000"/>
                <w:kern w:val="0"/>
                <w:sz w:val="24"/>
                <w:szCs w:val="24"/>
                <w:highlight w:val="none"/>
                <w:u w:val="none"/>
                <w:lang w:val="en-US" w:eastAsia="zh-CN" w:bidi="ar"/>
              </w:rPr>
              <w:t>可</w:t>
            </w:r>
            <w:r>
              <w:rPr>
                <w:rFonts w:hint="eastAsia" w:ascii="宋体" w:hAnsi="宋体" w:eastAsia="宋体" w:cs="宋体"/>
                <w:i w:val="0"/>
                <w:iCs w:val="0"/>
                <w:color w:val="000000"/>
                <w:kern w:val="0"/>
                <w:sz w:val="24"/>
                <w:szCs w:val="24"/>
                <w:highlight w:val="none"/>
                <w:u w:val="none"/>
                <w:lang w:val="en-US" w:eastAsia="zh-CN" w:bidi="ar"/>
              </w:rPr>
              <w:t>机械温控，操作简单节能，</w:t>
            </w:r>
            <w:r>
              <w:rPr>
                <w:rFonts w:hint="eastAsia" w:ascii="宋体" w:hAnsi="宋体" w:cs="宋体"/>
                <w:i w:val="0"/>
                <w:iCs w:val="0"/>
                <w:color w:val="000000"/>
                <w:kern w:val="0"/>
                <w:sz w:val="24"/>
                <w:szCs w:val="24"/>
                <w:highlight w:val="none"/>
                <w:u w:val="none"/>
                <w:lang w:val="en-US" w:eastAsia="zh-CN" w:bidi="ar"/>
              </w:rPr>
              <w:t>配备电磁炉专用煮面桶</w:t>
            </w:r>
            <w:r>
              <w:rPr>
                <w:rFonts w:hint="eastAsia" w:ascii="宋体" w:hAnsi="宋体" w:eastAsia="宋体" w:cs="宋体"/>
                <w:i w:val="0"/>
                <w:iCs w:val="0"/>
                <w:color w:val="000000"/>
                <w:kern w:val="0"/>
                <w:sz w:val="24"/>
                <w:szCs w:val="24"/>
                <w:highlight w:val="none"/>
                <w:u w:val="none"/>
                <w:lang w:val="en-US" w:eastAsia="zh-CN" w:bidi="ar"/>
              </w:rPr>
              <w:t>。</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250E418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A21E3A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03D02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15D55C1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112</w:t>
            </w:r>
          </w:p>
        </w:tc>
        <w:tc>
          <w:tcPr>
            <w:tcW w:w="14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E30E1C">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台式</w:t>
            </w:r>
            <w:r>
              <w:rPr>
                <w:rFonts w:hint="eastAsia" w:ascii="宋体" w:hAnsi="宋体" w:cs="宋体"/>
                <w:i w:val="0"/>
                <w:iCs w:val="0"/>
                <w:color w:val="000000"/>
                <w:kern w:val="0"/>
                <w:sz w:val="24"/>
                <w:szCs w:val="24"/>
                <w:highlight w:val="none"/>
                <w:u w:val="none"/>
                <w:lang w:val="en-US" w:eastAsia="zh-CN" w:bidi="ar"/>
              </w:rPr>
              <w:t>电磁</w:t>
            </w:r>
            <w:r>
              <w:rPr>
                <w:rFonts w:hint="eastAsia" w:ascii="宋体" w:hAnsi="宋体" w:eastAsia="宋体" w:cs="宋体"/>
                <w:i w:val="0"/>
                <w:iCs w:val="0"/>
                <w:color w:val="000000"/>
                <w:kern w:val="0"/>
                <w:sz w:val="24"/>
                <w:szCs w:val="24"/>
                <w:highlight w:val="none"/>
                <w:u w:val="none"/>
                <w:lang w:val="en-US" w:eastAsia="zh-CN" w:bidi="ar"/>
              </w:rPr>
              <w:t>炸炉</w:t>
            </w:r>
          </w:p>
        </w:tc>
        <w:tc>
          <w:tcPr>
            <w:tcW w:w="6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9CBD94">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尺寸：≥550*510*410mm</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功率（kw）：≥4</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外壳及内胆采用SUS</w:t>
            </w:r>
            <w:r>
              <w:rPr>
                <w:rFonts w:hint="eastAsia" w:ascii="宋体" w:hAnsi="宋体" w:cs="宋体"/>
                <w:i w:val="0"/>
                <w:iCs w:val="0"/>
                <w:color w:val="000000"/>
                <w:kern w:val="0"/>
                <w:sz w:val="24"/>
                <w:szCs w:val="24"/>
                <w:highlight w:val="none"/>
                <w:u w:val="none"/>
                <w:lang w:val="en-US" w:eastAsia="zh-CN" w:bidi="ar"/>
              </w:rPr>
              <w:t>304</w:t>
            </w:r>
            <w:r>
              <w:rPr>
                <w:rFonts w:hint="eastAsia" w:ascii="宋体" w:hAnsi="宋体" w:eastAsia="宋体" w:cs="宋体"/>
                <w:i w:val="0"/>
                <w:iCs w:val="0"/>
                <w:color w:val="000000"/>
                <w:kern w:val="0"/>
                <w:sz w:val="24"/>
                <w:szCs w:val="24"/>
                <w:highlight w:val="none"/>
                <w:u w:val="none"/>
                <w:lang w:val="en-US" w:eastAsia="zh-CN" w:bidi="ar"/>
              </w:rPr>
              <w:t>不锈钢板，</w:t>
            </w:r>
            <w:r>
              <w:rPr>
                <w:rFonts w:hint="eastAsia" w:ascii="宋体" w:hAnsi="宋体" w:cs="宋体"/>
                <w:i w:val="0"/>
                <w:iCs w:val="0"/>
                <w:color w:val="000000"/>
                <w:kern w:val="0"/>
                <w:sz w:val="24"/>
                <w:szCs w:val="24"/>
                <w:highlight w:val="none"/>
                <w:u w:val="none"/>
                <w:lang w:val="en-US" w:eastAsia="zh-CN" w:bidi="ar"/>
              </w:rPr>
              <w:t>电磁加热</w:t>
            </w:r>
            <w:r>
              <w:rPr>
                <w:rFonts w:hint="eastAsia" w:ascii="宋体" w:hAnsi="宋体" w:eastAsia="宋体" w:cs="宋体"/>
                <w:i w:val="0"/>
                <w:iCs w:val="0"/>
                <w:color w:val="000000"/>
                <w:kern w:val="0"/>
                <w:sz w:val="24"/>
                <w:szCs w:val="24"/>
                <w:highlight w:val="none"/>
                <w:u w:val="none"/>
                <w:lang w:val="en-US" w:eastAsia="zh-CN" w:bidi="ar"/>
              </w:rPr>
              <w:t>，耐用安全，机械温控，操作简单节能，</w:t>
            </w:r>
            <w:r>
              <w:rPr>
                <w:rFonts w:hint="eastAsia" w:ascii="宋体" w:hAnsi="宋体" w:cs="宋体"/>
                <w:i w:val="0"/>
                <w:iCs w:val="0"/>
                <w:color w:val="000000"/>
                <w:kern w:val="0"/>
                <w:sz w:val="24"/>
                <w:szCs w:val="24"/>
                <w:highlight w:val="none"/>
                <w:u w:val="none"/>
                <w:lang w:val="en-US" w:eastAsia="zh-CN" w:bidi="ar"/>
              </w:rPr>
              <w:t>配备食品级304出油阀，食品级430内胆，多重安全防滑，全桥机芯加热，精准空时控温，6组记忆菜单</w:t>
            </w:r>
            <w:r>
              <w:rPr>
                <w:rFonts w:hint="eastAsia" w:ascii="宋体" w:hAnsi="宋体" w:eastAsia="宋体" w:cs="宋体"/>
                <w:i w:val="0"/>
                <w:iCs w:val="0"/>
                <w:color w:val="000000"/>
                <w:kern w:val="0"/>
                <w:sz w:val="24"/>
                <w:szCs w:val="24"/>
                <w:highlight w:val="none"/>
                <w:u w:val="none"/>
                <w:lang w:val="en-US" w:eastAsia="zh-CN" w:bidi="ar"/>
              </w:rPr>
              <w:t>。</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1D3E8BF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35BC3B5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3F55D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71471A2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113</w:t>
            </w:r>
          </w:p>
        </w:tc>
        <w:tc>
          <w:tcPr>
            <w:tcW w:w="14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7472E1">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台式</w:t>
            </w:r>
            <w:r>
              <w:rPr>
                <w:rFonts w:hint="eastAsia" w:ascii="宋体" w:hAnsi="宋体" w:cs="宋体"/>
                <w:i w:val="0"/>
                <w:iCs w:val="0"/>
                <w:color w:val="000000"/>
                <w:kern w:val="0"/>
                <w:sz w:val="24"/>
                <w:szCs w:val="24"/>
                <w:highlight w:val="none"/>
                <w:u w:val="none"/>
                <w:lang w:val="en-US" w:eastAsia="zh-CN" w:bidi="ar"/>
              </w:rPr>
              <w:t>电磁</w:t>
            </w:r>
            <w:r>
              <w:rPr>
                <w:rFonts w:hint="eastAsia" w:ascii="宋体" w:hAnsi="宋体" w:eastAsia="宋体" w:cs="宋体"/>
                <w:i w:val="0"/>
                <w:iCs w:val="0"/>
                <w:color w:val="000000"/>
                <w:kern w:val="0"/>
                <w:sz w:val="24"/>
                <w:szCs w:val="24"/>
                <w:highlight w:val="none"/>
                <w:u w:val="none"/>
                <w:lang w:val="en-US" w:eastAsia="zh-CN" w:bidi="ar"/>
              </w:rPr>
              <w:t>扒炉</w:t>
            </w:r>
          </w:p>
        </w:tc>
        <w:tc>
          <w:tcPr>
            <w:tcW w:w="6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CCF54C">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尺寸：≥730*460*210mm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功率（kw）：≥4.4</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电压（V）：380</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温度范围（℃）：50-300℃</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净重（KG）：≥60.4</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36BCAB7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9C3821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09C92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1435D0D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114</w:t>
            </w:r>
          </w:p>
        </w:tc>
        <w:tc>
          <w:tcPr>
            <w:tcW w:w="14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C734A6">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单通移门柜</w:t>
            </w:r>
          </w:p>
        </w:tc>
        <w:tc>
          <w:tcPr>
            <w:tcW w:w="6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58A2CC">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尺寸：≥1800*700*800mm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整体采用SUS304不锈钢制作；台面厚度1.</w:t>
            </w: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mm，内衬用1.</w:t>
            </w: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mm厚不锈钢板折成加强筋加固；层板、底板、侧板及门面采用1.</w:t>
            </w: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mm厚不锈钢板制作；加强筋厚度1.</w:t>
            </w: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mm；配置不锈钢可调子弹脚。移门为双层结构。</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7CC3A67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3FB0AA5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46157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57890C7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115</w:t>
            </w:r>
          </w:p>
        </w:tc>
        <w:tc>
          <w:tcPr>
            <w:tcW w:w="14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D086B1">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移门荷台柜</w:t>
            </w:r>
          </w:p>
        </w:tc>
        <w:tc>
          <w:tcPr>
            <w:tcW w:w="6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EB3A97">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尺寸：≥1800*800*800mm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整体采用SUS304不锈钢制作；台面厚度1.</w:t>
            </w: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mm，内衬用1.</w:t>
            </w: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mm厚不锈钢板折成加强筋加固；层板、底板、侧板及门面采用1.</w:t>
            </w: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mm厚不锈钢板制作；加强筋厚度1.</w:t>
            </w: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mm；配置不锈钢可调子弹脚。移门为双层结构。</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74029B7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025CB98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r>
      <w:tr w14:paraId="7F3B8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D5B9C8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116</w:t>
            </w:r>
          </w:p>
        </w:tc>
        <w:tc>
          <w:tcPr>
            <w:tcW w:w="14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19567A">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薯条工作站</w:t>
            </w:r>
          </w:p>
        </w:tc>
        <w:tc>
          <w:tcPr>
            <w:tcW w:w="6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A81012">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尺寸：≥600*560*670mm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材料：</w:t>
            </w:r>
            <w:r>
              <w:rPr>
                <w:rFonts w:hint="eastAsia" w:ascii="宋体" w:hAnsi="宋体" w:cs="宋体"/>
                <w:i w:val="0"/>
                <w:iCs w:val="0"/>
                <w:color w:val="000000"/>
                <w:kern w:val="0"/>
                <w:sz w:val="24"/>
                <w:szCs w:val="24"/>
                <w:highlight w:val="none"/>
                <w:u w:val="none"/>
                <w:lang w:val="en-US" w:eastAsia="zh-CN" w:bidi="ar"/>
              </w:rPr>
              <w:t>定制304</w:t>
            </w:r>
            <w:r>
              <w:rPr>
                <w:rFonts w:hint="eastAsia" w:ascii="宋体" w:hAnsi="宋体" w:eastAsia="宋体" w:cs="宋体"/>
                <w:i w:val="0"/>
                <w:iCs w:val="0"/>
                <w:color w:val="000000"/>
                <w:kern w:val="0"/>
                <w:sz w:val="24"/>
                <w:szCs w:val="24"/>
                <w:highlight w:val="none"/>
                <w:u w:val="none"/>
                <w:lang w:val="en-US" w:eastAsia="zh-CN" w:bidi="ar"/>
              </w:rPr>
              <w:t>不锈钢</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功率：0.85kw</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电压：220V</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4DFD384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D86FEB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0CBC9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4A9A14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117</w:t>
            </w:r>
          </w:p>
        </w:tc>
        <w:tc>
          <w:tcPr>
            <w:tcW w:w="14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193E6A">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汉堡机</w:t>
            </w:r>
          </w:p>
        </w:tc>
        <w:tc>
          <w:tcPr>
            <w:tcW w:w="6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3039D2">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尺寸：≥400*400*210mm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材料：</w:t>
            </w:r>
            <w:r>
              <w:rPr>
                <w:rFonts w:hint="eastAsia" w:ascii="宋体" w:hAnsi="宋体" w:cs="宋体"/>
                <w:i w:val="0"/>
                <w:iCs w:val="0"/>
                <w:color w:val="000000"/>
                <w:kern w:val="0"/>
                <w:sz w:val="24"/>
                <w:szCs w:val="24"/>
                <w:highlight w:val="none"/>
                <w:u w:val="none"/>
                <w:lang w:val="en-US" w:eastAsia="zh-CN" w:bidi="ar"/>
              </w:rPr>
              <w:t>定制304</w:t>
            </w:r>
            <w:r>
              <w:rPr>
                <w:rFonts w:hint="eastAsia" w:ascii="宋体" w:hAnsi="宋体" w:eastAsia="宋体" w:cs="宋体"/>
                <w:i w:val="0"/>
                <w:iCs w:val="0"/>
                <w:color w:val="000000"/>
                <w:kern w:val="0"/>
                <w:sz w:val="24"/>
                <w:szCs w:val="24"/>
                <w:highlight w:val="none"/>
                <w:u w:val="none"/>
                <w:lang w:val="en-US" w:eastAsia="zh-CN" w:bidi="ar"/>
              </w:rPr>
              <w:t>不锈钢</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功率：2kw</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电压：220V</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6D7E6E6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4AD18D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56150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1C0C06B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118</w:t>
            </w:r>
          </w:p>
        </w:tc>
        <w:tc>
          <w:tcPr>
            <w:tcW w:w="14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575E8C">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不锈钢消毒保洁柜</w:t>
            </w:r>
          </w:p>
        </w:tc>
        <w:tc>
          <w:tcPr>
            <w:tcW w:w="6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C28E9D">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尺寸：≥1</w:t>
            </w:r>
            <w:r>
              <w:rPr>
                <w:rFonts w:hint="eastAsia" w:ascii="宋体" w:hAnsi="宋体" w:cs="宋体"/>
                <w:i w:val="0"/>
                <w:iCs w:val="0"/>
                <w:color w:val="000000"/>
                <w:kern w:val="0"/>
                <w:sz w:val="24"/>
                <w:szCs w:val="24"/>
                <w:highlight w:val="none"/>
                <w:u w:val="none"/>
                <w:lang w:val="en-US" w:eastAsia="zh-CN" w:bidi="ar"/>
              </w:rPr>
              <w:t>51</w:t>
            </w:r>
            <w:r>
              <w:rPr>
                <w:rFonts w:hint="eastAsia" w:ascii="宋体" w:hAnsi="宋体" w:eastAsia="宋体" w:cs="宋体"/>
                <w:i w:val="0"/>
                <w:iCs w:val="0"/>
                <w:color w:val="000000"/>
                <w:kern w:val="0"/>
                <w:sz w:val="24"/>
                <w:szCs w:val="24"/>
                <w:highlight w:val="none"/>
                <w:u w:val="none"/>
                <w:lang w:val="en-US" w:eastAsia="zh-CN" w:bidi="ar"/>
              </w:rPr>
              <w:t>0*</w:t>
            </w:r>
            <w:r>
              <w:rPr>
                <w:rFonts w:hint="eastAsia" w:ascii="宋体" w:hAnsi="宋体" w:cs="宋体"/>
                <w:i w:val="0"/>
                <w:iCs w:val="0"/>
                <w:color w:val="000000"/>
                <w:kern w:val="0"/>
                <w:sz w:val="24"/>
                <w:szCs w:val="24"/>
                <w:highlight w:val="none"/>
                <w:u w:val="none"/>
                <w:lang w:val="en-US" w:eastAsia="zh-CN" w:bidi="ar"/>
              </w:rPr>
              <w:t>77</w:t>
            </w:r>
            <w:r>
              <w:rPr>
                <w:rFonts w:hint="eastAsia" w:ascii="宋体" w:hAnsi="宋体" w:eastAsia="宋体" w:cs="宋体"/>
                <w:i w:val="0"/>
                <w:iCs w:val="0"/>
                <w:color w:val="000000"/>
                <w:kern w:val="0"/>
                <w:sz w:val="24"/>
                <w:szCs w:val="24"/>
                <w:highlight w:val="none"/>
                <w:u w:val="none"/>
                <w:lang w:val="en-US" w:eastAsia="zh-CN" w:bidi="ar"/>
              </w:rPr>
              <w:t>0*1</w:t>
            </w:r>
            <w:r>
              <w:rPr>
                <w:rFonts w:hint="eastAsia" w:ascii="宋体" w:hAnsi="宋体" w:cs="宋体"/>
                <w:i w:val="0"/>
                <w:iCs w:val="0"/>
                <w:color w:val="000000"/>
                <w:kern w:val="0"/>
                <w:sz w:val="24"/>
                <w:szCs w:val="24"/>
                <w:highlight w:val="none"/>
                <w:u w:val="none"/>
                <w:lang w:val="en-US" w:eastAsia="zh-CN" w:bidi="ar"/>
              </w:rPr>
              <w:t>9</w:t>
            </w:r>
            <w:r>
              <w:rPr>
                <w:rFonts w:hint="eastAsia" w:ascii="宋体" w:hAnsi="宋体" w:eastAsia="宋体" w:cs="宋体"/>
                <w:i w:val="0"/>
                <w:iCs w:val="0"/>
                <w:color w:val="000000"/>
                <w:kern w:val="0"/>
                <w:sz w:val="24"/>
                <w:szCs w:val="24"/>
                <w:highlight w:val="none"/>
                <w:u w:val="none"/>
                <w:lang w:val="en-US" w:eastAsia="zh-CN" w:bidi="ar"/>
              </w:rPr>
              <w:t>80mm</w:t>
            </w:r>
            <w:r>
              <w:rPr>
                <w:rFonts w:hint="eastAsia" w:ascii="宋体" w:hAnsi="宋体" w:cs="宋体"/>
                <w:i w:val="0"/>
                <w:iCs w:val="0"/>
                <w:color w:val="000000"/>
                <w:kern w:val="0"/>
                <w:sz w:val="24"/>
                <w:szCs w:val="24"/>
                <w:highlight w:val="none"/>
                <w:u w:val="none"/>
                <w:lang w:val="en-US" w:eastAsia="zh-CN" w:bidi="ar"/>
              </w:rPr>
              <w:t>，容量：1000L,</w:t>
            </w:r>
            <w:r>
              <w:rPr>
                <w:rFonts w:hint="eastAsia" w:ascii="宋体" w:hAnsi="宋体" w:eastAsia="宋体" w:cs="宋体"/>
                <w:i w:val="0"/>
                <w:iCs w:val="0"/>
                <w:color w:val="000000"/>
                <w:kern w:val="0"/>
                <w:sz w:val="24"/>
                <w:szCs w:val="24"/>
                <w:highlight w:val="none"/>
                <w:u w:val="none"/>
                <w:lang w:val="en-US" w:eastAsia="zh-CN" w:bidi="ar"/>
              </w:rPr>
              <w:t>220V/4.4kW，</w:t>
            </w:r>
          </w:p>
          <w:p w14:paraId="155D21C2">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配8个304不锈钢推车；推车采用≥2mm厚304不锈钢管制作；箱体内外304不锈钢，配电脑触摸屏控制，50℃-150℃，高温热风360°循环杀菌，自动控温/恒温/定时/超温保护，集消毒/存储/温柜功能。</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7422545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4318929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33678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0DF06F1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119</w:t>
            </w:r>
          </w:p>
        </w:tc>
        <w:tc>
          <w:tcPr>
            <w:tcW w:w="14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FF212E">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不锈钢单门发酵箱</w:t>
            </w:r>
          </w:p>
        </w:tc>
        <w:tc>
          <w:tcPr>
            <w:tcW w:w="6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CBDF11">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尺寸：≥800*1290*2040mm</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电压：220v</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功率：2.05kw</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净重：135kg</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基础醒发功能：通过调节温度（通常28-38℃）、湿度（70%-85%），为面包、包子等面团提供适宜的发酵环境，促进酵母活性，让面团膨胀至理想状态，保证成品松软口感。</w:t>
            </w:r>
          </w:p>
          <w:p w14:paraId="4EFFCBEF">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 带制冷的额外作用：可降低温度（如0-10℃），实现“冷藏发酵”，延缓面团发酵速度，适合需要长时间发酵（如隔夜发酵）或控制发酵节奏的场景（如批量生产时调整出餐时间），同时能抑制杂菌滋生，提升面团稳定性。</w:t>
            </w:r>
          </w:p>
          <w:p w14:paraId="3CAE44C6">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- 36盘容量+单门设计：适合中小型批量生产，单门设计减少开关门时的温度波动，插盘式结构方便整齐放置面团烤盘，保证每盘发酵均匀。</w:t>
            </w:r>
          </w:p>
          <w:p w14:paraId="18229BCE">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适合制作的烘焙产品主要是需发酵的面制品，如：</w:t>
            </w:r>
          </w:p>
          <w:p w14:paraId="7440E290">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 各类面包（吐司、餐包、法棍、软欧包等）</w:t>
            </w:r>
          </w:p>
          <w:p w14:paraId="6DC25AF9">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 中式面点（包子、花卷等）</w:t>
            </w:r>
          </w:p>
          <w:p w14:paraId="79D4DA18">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 丹麦酥、可颂等需要基础发酵+冷藏松弛的起酥类产品。</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4162088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0C9F104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3B5D5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34EBC7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120</w:t>
            </w:r>
          </w:p>
        </w:tc>
        <w:tc>
          <w:tcPr>
            <w:tcW w:w="14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30A013">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风冷</w:t>
            </w:r>
            <w:r>
              <w:rPr>
                <w:rFonts w:hint="eastAsia" w:ascii="宋体" w:hAnsi="宋体" w:eastAsia="宋体" w:cs="宋体"/>
                <w:i w:val="0"/>
                <w:iCs w:val="0"/>
                <w:color w:val="000000"/>
                <w:kern w:val="0"/>
                <w:sz w:val="24"/>
                <w:szCs w:val="24"/>
                <w:highlight w:val="none"/>
                <w:u w:val="none"/>
                <w:lang w:val="en-US" w:eastAsia="zh-CN" w:bidi="ar"/>
              </w:rPr>
              <w:t>冷藏操作台</w:t>
            </w:r>
          </w:p>
        </w:tc>
        <w:tc>
          <w:tcPr>
            <w:tcW w:w="6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4D0243">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尺寸：≥1800*800*800mm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采用</w:t>
            </w:r>
            <w:r>
              <w:rPr>
                <w:rFonts w:hint="eastAsia" w:ascii="宋体" w:hAnsi="宋体" w:cs="宋体"/>
                <w:i w:val="0"/>
                <w:iCs w:val="0"/>
                <w:color w:val="000000"/>
                <w:kern w:val="0"/>
                <w:sz w:val="24"/>
                <w:szCs w:val="24"/>
                <w:highlight w:val="none"/>
                <w:u w:val="none"/>
                <w:lang w:val="en-US" w:eastAsia="zh-CN" w:bidi="ar"/>
              </w:rPr>
              <w:t>304</w:t>
            </w:r>
            <w:r>
              <w:rPr>
                <w:rFonts w:hint="eastAsia" w:ascii="宋体" w:hAnsi="宋体" w:eastAsia="宋体" w:cs="宋体"/>
                <w:i w:val="0"/>
                <w:iCs w:val="0"/>
                <w:color w:val="000000"/>
                <w:kern w:val="0"/>
                <w:sz w:val="24"/>
                <w:szCs w:val="24"/>
                <w:highlight w:val="none"/>
                <w:u w:val="none"/>
                <w:lang w:val="en-US" w:eastAsia="zh-CN" w:bidi="ar"/>
              </w:rPr>
              <w:t>不锈钢，</w:t>
            </w:r>
            <w:r>
              <w:rPr>
                <w:rFonts w:hint="eastAsia" w:ascii="宋体" w:hAnsi="宋体" w:cs="宋体"/>
                <w:i w:val="0"/>
                <w:iCs w:val="0"/>
                <w:color w:val="000000"/>
                <w:kern w:val="0"/>
                <w:sz w:val="24"/>
                <w:szCs w:val="24"/>
                <w:highlight w:val="none"/>
                <w:u w:val="none"/>
                <w:lang w:val="en-US" w:eastAsia="zh-CN" w:bidi="ar"/>
              </w:rPr>
              <w:t>台面采用天然原石，</w:t>
            </w:r>
            <w:r>
              <w:rPr>
                <w:rFonts w:hint="eastAsia" w:ascii="宋体" w:hAnsi="宋体" w:eastAsia="宋体" w:cs="宋体"/>
                <w:i w:val="0"/>
                <w:iCs w:val="0"/>
                <w:color w:val="000000"/>
                <w:kern w:val="0"/>
                <w:sz w:val="24"/>
                <w:szCs w:val="24"/>
                <w:highlight w:val="none"/>
                <w:u w:val="none"/>
                <w:lang w:val="en-US" w:eastAsia="zh-CN" w:bidi="ar"/>
              </w:rPr>
              <w:t>内箱圆弧设计；外嵌式蒸发器，外挂防尘网；28cm小机组设计， 3D立体回风系统；顶部斜45°出风设计，360° 风冷无霜循环；冷冻门框加装发热丝；控温类型：电子数字温控；</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制冷剂：冷藏：R134a,冷冻：R404a；压缩机：</w:t>
            </w:r>
            <w:r>
              <w:rPr>
                <w:rFonts w:hint="eastAsia" w:ascii="宋体" w:hAnsi="宋体" w:cs="宋体"/>
                <w:i w:val="0"/>
                <w:iCs w:val="0"/>
                <w:color w:val="000000"/>
                <w:kern w:val="0"/>
                <w:sz w:val="24"/>
                <w:szCs w:val="24"/>
                <w:highlight w:val="none"/>
                <w:u w:val="none"/>
                <w:lang w:val="en-US" w:eastAsia="zh-CN" w:bidi="ar"/>
              </w:rPr>
              <w:t>进口</w:t>
            </w:r>
            <w:r>
              <w:rPr>
                <w:rFonts w:hint="eastAsia" w:ascii="宋体" w:hAnsi="宋体" w:eastAsia="宋体" w:cs="宋体"/>
                <w:i w:val="0"/>
                <w:iCs w:val="0"/>
                <w:color w:val="000000"/>
                <w:kern w:val="0"/>
                <w:sz w:val="24"/>
                <w:szCs w:val="24"/>
                <w:highlight w:val="none"/>
                <w:u w:val="none"/>
                <w:lang w:val="en-US" w:eastAsia="zh-CN" w:bidi="ar"/>
              </w:rPr>
              <w:t>压缩机：制冷稳定，性价比高；压缩机：效率高、噪音低、故障率低、使用寿命长。</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751BA72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D72F50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5AC21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33A2E0D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121</w:t>
            </w:r>
          </w:p>
        </w:tc>
        <w:tc>
          <w:tcPr>
            <w:tcW w:w="14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293A9B">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烤</w:t>
            </w:r>
            <w:r>
              <w:rPr>
                <w:rFonts w:hint="eastAsia" w:ascii="宋体" w:hAnsi="宋体" w:cs="宋体"/>
                <w:i w:val="0"/>
                <w:iCs w:val="0"/>
                <w:color w:val="000000"/>
                <w:kern w:val="0"/>
                <w:sz w:val="24"/>
                <w:szCs w:val="24"/>
                <w:highlight w:val="none"/>
                <w:u w:val="none"/>
                <w:lang w:val="en-US" w:eastAsia="zh-CN" w:bidi="ar"/>
              </w:rPr>
              <w:t>盘</w:t>
            </w:r>
            <w:r>
              <w:rPr>
                <w:rFonts w:hint="eastAsia" w:ascii="宋体" w:hAnsi="宋体" w:eastAsia="宋体" w:cs="宋体"/>
                <w:i w:val="0"/>
                <w:iCs w:val="0"/>
                <w:color w:val="000000"/>
                <w:kern w:val="0"/>
                <w:sz w:val="24"/>
                <w:szCs w:val="24"/>
                <w:highlight w:val="none"/>
                <w:u w:val="none"/>
                <w:lang w:val="en-US" w:eastAsia="zh-CN" w:bidi="ar"/>
              </w:rPr>
              <w:t>架</w:t>
            </w:r>
          </w:p>
        </w:tc>
        <w:tc>
          <w:tcPr>
            <w:tcW w:w="6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C24EE5">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尺寸：≥470*650*1770mm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15层烤盘架整体采用优质SUS304不锈钢制作，厚度</w:t>
            </w: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.0mm；</w:t>
            </w:r>
          </w:p>
          <w:p w14:paraId="2E9BC681">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立柱采用30*30mm不锈钢方管；</w:t>
            </w:r>
          </w:p>
          <w:p w14:paraId="06D4FF5A">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横梁采用25*25mm不锈钢方管</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配置二活二刹4寸防滑轮，胎面宽32mm。</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1BFC062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726395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0B81E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420455F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122</w:t>
            </w:r>
          </w:p>
        </w:tc>
        <w:tc>
          <w:tcPr>
            <w:tcW w:w="14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7A044F">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烤箱</w:t>
            </w:r>
          </w:p>
        </w:tc>
        <w:tc>
          <w:tcPr>
            <w:tcW w:w="6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9FE5EF">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尺寸：≥1720*1290*2200mm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功率：</w:t>
            </w:r>
            <w:r>
              <w:rPr>
                <w:rFonts w:hint="eastAsia" w:ascii="宋体" w:hAnsi="宋体" w:cs="宋体"/>
                <w:i w:val="0"/>
                <w:iCs w:val="0"/>
                <w:color w:val="000000"/>
                <w:kern w:val="0"/>
                <w:sz w:val="24"/>
                <w:szCs w:val="24"/>
                <w:highlight w:val="none"/>
                <w:u w:val="none"/>
                <w:lang w:val="en-US" w:eastAsia="zh-CN" w:bidi="ar"/>
              </w:rPr>
              <w:t>33.5</w:t>
            </w:r>
            <w:r>
              <w:rPr>
                <w:rFonts w:hint="eastAsia" w:ascii="宋体" w:hAnsi="宋体" w:eastAsia="宋体" w:cs="宋体"/>
                <w:i w:val="0"/>
                <w:iCs w:val="0"/>
                <w:color w:val="000000"/>
                <w:kern w:val="0"/>
                <w:sz w:val="24"/>
                <w:szCs w:val="24"/>
                <w:highlight w:val="none"/>
                <w:u w:val="none"/>
                <w:lang w:val="en-US" w:eastAsia="zh-CN" w:bidi="ar"/>
              </w:rPr>
              <w:t>KW</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电压：380V</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重量：</w:t>
            </w:r>
            <w:r>
              <w:rPr>
                <w:rFonts w:hint="eastAsia" w:ascii="宋体" w:hAnsi="宋体" w:cs="宋体"/>
                <w:i w:val="0"/>
                <w:iCs w:val="0"/>
                <w:color w:val="000000"/>
                <w:kern w:val="0"/>
                <w:sz w:val="24"/>
                <w:szCs w:val="24"/>
                <w:highlight w:val="none"/>
                <w:u w:val="none"/>
                <w:lang w:val="en-US" w:eastAsia="zh-CN" w:bidi="ar"/>
              </w:rPr>
              <w:t>96</w:t>
            </w:r>
            <w:r>
              <w:rPr>
                <w:rFonts w:hint="eastAsia" w:ascii="宋体" w:hAnsi="宋体" w:eastAsia="宋体" w:cs="宋体"/>
                <w:i w:val="0"/>
                <w:iCs w:val="0"/>
                <w:color w:val="000000"/>
                <w:kern w:val="0"/>
                <w:sz w:val="24"/>
                <w:szCs w:val="24"/>
                <w:highlight w:val="none"/>
                <w:u w:val="none"/>
                <w:lang w:val="en-US" w:eastAsia="zh-CN" w:bidi="ar"/>
              </w:rPr>
              <w:t>0KG</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规格：1. 分层独立加热：三层结构可同时放置6盘食材（每层2盘），每层可独立控温或统一控温，适合小批量多品类同时烘焙，提高效率。</w:t>
            </w:r>
          </w:p>
          <w:p w14:paraId="7F5AF725">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 上拉门设计：开门时不占用前方空间，操作更节省场地，且能减少开门时的热量流失，保持炉内温度稳定，尤其适合空间有限的烘焙场景（如小型工作室、门店）。</w:t>
            </w:r>
          </w:p>
          <w:p w14:paraId="4D804A56">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 精准控温与加热：通过加热管（多为上下火加热）提供稳定热源，满足烘焙对温度的基础需求，确保食材受热均匀。</w:t>
            </w:r>
          </w:p>
          <w:p w14:paraId="0CF23EA3">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适合制作的烘焙食材</w:t>
            </w:r>
          </w:p>
          <w:p w14:paraId="591FD872">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 面包类：小餐包、汉堡胚、吐司（分层烤可同时处理不同规格）。</w:t>
            </w:r>
          </w:p>
          <w:p w14:paraId="684F0D51">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 糕点类：戚风蛋糕、海绵蛋糕、马芬、纸杯蛋糕等。</w:t>
            </w:r>
          </w:p>
          <w:p w14:paraId="42CB63E0">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 酥脆类：饼干、曲奇、挞皮、酥点（多层同时烤，适合批量生产）。</w:t>
            </w:r>
          </w:p>
          <w:p w14:paraId="176C283A">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 其他：披萨、烤翅、烤蔬菜等（兼顾烘焙与简易烤制需求）。</w:t>
            </w:r>
          </w:p>
          <w:p w14:paraId="0B43A2E4">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这类烤箱兼顾实用性与空间效率，适合中小型烘焙店或家庭作坊的日常生产。</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1306706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250BC9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75999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3C37E2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123</w:t>
            </w:r>
          </w:p>
        </w:tc>
        <w:tc>
          <w:tcPr>
            <w:tcW w:w="14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0A75DD">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起酥机</w:t>
            </w:r>
          </w:p>
        </w:tc>
        <w:tc>
          <w:tcPr>
            <w:tcW w:w="6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86BE99">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尺寸：≥2640*970*1200mm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功率：0.4kw</w:t>
            </w:r>
          </w:p>
          <w:p w14:paraId="7FEFB907">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净重：210kg</w:t>
            </w:r>
          </w:p>
          <w:p w14:paraId="595B02C6">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 xml:space="preserve">输送带宽度：500mm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面团厚度调节范围：1-35</w:t>
            </w:r>
            <w:r>
              <w:rPr>
                <w:rFonts w:hint="eastAsia" w:ascii="宋体" w:hAnsi="宋体" w:cs="宋体"/>
                <w:i w:val="0"/>
                <w:iCs w:val="0"/>
                <w:color w:val="000000"/>
                <w:kern w:val="0"/>
                <w:sz w:val="24"/>
                <w:szCs w:val="24"/>
                <w:highlight w:val="none"/>
                <w:u w:val="none"/>
                <w:lang w:val="en-US" w:eastAsia="zh-CN" w:bidi="ar"/>
              </w:rPr>
              <w:t>。</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4E8BDDE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4CF61D9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3C7FE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0A4D8F7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124</w:t>
            </w:r>
          </w:p>
        </w:tc>
        <w:tc>
          <w:tcPr>
            <w:tcW w:w="14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D9D726">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鲜奶搅拌机</w:t>
            </w:r>
          </w:p>
        </w:tc>
        <w:tc>
          <w:tcPr>
            <w:tcW w:w="6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B0E22B">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容量：8夸脱（约7.6L）不锈钢搅拌桶，带J型防滑手柄</w:t>
            </w:r>
          </w:p>
          <w:p w14:paraId="04A8FBC7">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电机：1.3HP高效直流电机（约500W），PowerCore®智能控速，低发热、长时稳定运行</w:t>
            </w:r>
          </w:p>
          <w:p w14:paraId="05FEBF2E">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传动：全金属精密齿轮传动，59点行星轨迹搅拌，无死角混合</w:t>
            </w:r>
          </w:p>
          <w:p w14:paraId="67B8FE48">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控制：金属旋钮调速（10档+慢搅），带转速保护、升降式桶体设计</w:t>
            </w:r>
          </w:p>
          <w:p w14:paraId="02A2D39B">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材质：全金属压铸机身，304不锈钢搅拌桶/和面钩/搅拌桨/11线打蛋网，可洗碗机清洗</w:t>
            </w:r>
          </w:p>
          <w:p w14:paraId="69625CAF">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安全：NSF商用认证，配不锈钢桶罩，防误启动保护</w:t>
            </w:r>
          </w:p>
          <w:p w14:paraId="04BDC30E">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功能：和面、搅拌、打蛋、打发奶油，支持15+种拓展配件</w:t>
            </w:r>
          </w:p>
          <w:p w14:paraId="077FB4C4">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电源：220V/50Hz，商用级连续工作设计</w:t>
            </w:r>
          </w:p>
          <w:p w14:paraId="7DFC75E8">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尺寸：约380×340×460mm，净重约16kg</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4197242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43CD36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7ED99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1C90EA6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125</w:t>
            </w:r>
          </w:p>
        </w:tc>
        <w:tc>
          <w:tcPr>
            <w:tcW w:w="14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331695">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食物陈列蒸包柜</w:t>
            </w:r>
          </w:p>
        </w:tc>
        <w:tc>
          <w:tcPr>
            <w:tcW w:w="6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0D5879">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尺寸：≥380*400*745mm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功率：1200W</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层数：5层</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62C4F91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44B1D19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0C591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466C57C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126</w:t>
            </w:r>
          </w:p>
        </w:tc>
        <w:tc>
          <w:tcPr>
            <w:tcW w:w="14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65F175">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台式压面机</w:t>
            </w:r>
          </w:p>
        </w:tc>
        <w:tc>
          <w:tcPr>
            <w:tcW w:w="6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77E2F1">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w:t>
            </w:r>
            <w:r>
              <w:rPr>
                <w:rFonts w:hint="eastAsia" w:ascii="宋体" w:hAnsi="宋体" w:cs="宋体"/>
                <w:i w:val="0"/>
                <w:iCs w:val="0"/>
                <w:color w:val="000000"/>
                <w:kern w:val="0"/>
                <w:sz w:val="24"/>
                <w:szCs w:val="24"/>
                <w:highlight w:val="none"/>
                <w:u w:val="none"/>
                <w:lang w:val="en-US" w:eastAsia="zh-CN" w:bidi="ar"/>
              </w:rPr>
              <w:t>520</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24</w:t>
            </w:r>
            <w:r>
              <w:rPr>
                <w:rFonts w:hint="eastAsia" w:ascii="宋体" w:hAnsi="宋体" w:eastAsia="宋体" w:cs="宋体"/>
                <w:i w:val="0"/>
                <w:iCs w:val="0"/>
                <w:color w:val="000000"/>
                <w:kern w:val="0"/>
                <w:sz w:val="24"/>
                <w:szCs w:val="24"/>
                <w:highlight w:val="none"/>
                <w:u w:val="none"/>
                <w:lang w:val="en-US" w:eastAsia="zh-CN" w:bidi="ar"/>
              </w:rPr>
              <w:t>0*</w:t>
            </w:r>
            <w:r>
              <w:rPr>
                <w:rFonts w:hint="eastAsia" w:ascii="宋体" w:hAnsi="宋体" w:cs="宋体"/>
                <w:i w:val="0"/>
                <w:iCs w:val="0"/>
                <w:color w:val="000000"/>
                <w:kern w:val="0"/>
                <w:sz w:val="24"/>
                <w:szCs w:val="24"/>
                <w:highlight w:val="none"/>
                <w:u w:val="none"/>
                <w:lang w:val="en-US" w:eastAsia="zh-CN" w:bidi="ar"/>
              </w:rPr>
              <w:t>70</w:t>
            </w:r>
            <w:r>
              <w:rPr>
                <w:rFonts w:hint="eastAsia" w:ascii="宋体" w:hAnsi="宋体" w:eastAsia="宋体" w:cs="宋体"/>
                <w:i w:val="0"/>
                <w:iCs w:val="0"/>
                <w:color w:val="000000"/>
                <w:kern w:val="0"/>
                <w:sz w:val="24"/>
                <w:szCs w:val="24"/>
                <w:highlight w:val="none"/>
                <w:u w:val="none"/>
                <w:lang w:val="en-US" w:eastAsia="zh-CN" w:bidi="ar"/>
              </w:rPr>
              <w:t>0mm</w:t>
            </w:r>
          </w:p>
          <w:p w14:paraId="596BB6EF">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电压：220V/50HZ</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功率：1</w:t>
            </w:r>
            <w:r>
              <w:rPr>
                <w:rFonts w:hint="eastAsia" w:ascii="宋体" w:hAnsi="宋体" w:cs="宋体"/>
                <w:i w:val="0"/>
                <w:iCs w:val="0"/>
                <w:color w:val="000000"/>
                <w:kern w:val="0"/>
                <w:sz w:val="24"/>
                <w:szCs w:val="24"/>
                <w:highlight w:val="none"/>
                <w:u w:val="none"/>
                <w:lang w:val="en-US" w:eastAsia="zh-CN" w:bidi="ar"/>
              </w:rPr>
              <w:t>100</w:t>
            </w:r>
            <w:r>
              <w:rPr>
                <w:rFonts w:hint="eastAsia" w:ascii="宋体" w:hAnsi="宋体" w:eastAsia="宋体" w:cs="宋体"/>
                <w:i w:val="0"/>
                <w:iCs w:val="0"/>
                <w:color w:val="000000"/>
                <w:kern w:val="0"/>
                <w:sz w:val="24"/>
                <w:szCs w:val="24"/>
                <w:highlight w:val="none"/>
                <w:u w:val="none"/>
                <w:lang w:val="en-US" w:eastAsia="zh-CN" w:bidi="ar"/>
              </w:rPr>
              <w:t>W</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台式高速压面机，整机接触食品部位采用304不锈钢，面辊长度300mm，面皮厚度1-18mm可调；纯铜电机，台式结构，加高安全防护，手摇精准调厚，运行稳定静音，易拆洗，适配包子、馒头、面皮等商用面点制作。</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707FD17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FC1805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1D338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657172E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127</w:t>
            </w:r>
          </w:p>
        </w:tc>
        <w:tc>
          <w:tcPr>
            <w:tcW w:w="14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22AB16">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搅拌机</w:t>
            </w:r>
          </w:p>
        </w:tc>
        <w:tc>
          <w:tcPr>
            <w:tcW w:w="6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95D2BF">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20L行星式搅拌机，容量20L；采用三速排挡/无级变频调速，转速127/287/534rpm，纯铜电机，全金属齿轮传动，运行稳定耐用。</w:t>
            </w:r>
          </w:p>
          <w:p w14:paraId="44449C91">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食品接触部位为304不锈钢，标配搅拌桶、和面钩、拍浆、打蛋网；带安全网罩、急停、机头升降，符合烘焙商用安全标准。</w:t>
            </w:r>
          </w:p>
          <w:p w14:paraId="37100F4B">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电压220V/380V可选，功率0.5-1.1kW，外形尺寸约560×530×820mm，净重≥</w:t>
            </w:r>
            <w:r>
              <w:rPr>
                <w:rFonts w:hint="eastAsia" w:ascii="宋体" w:hAnsi="宋体" w:cs="宋体"/>
                <w:i w:val="0"/>
                <w:iCs w:val="0"/>
                <w:color w:val="000000"/>
                <w:kern w:val="0"/>
                <w:sz w:val="24"/>
                <w:szCs w:val="24"/>
                <w:highlight w:val="none"/>
                <w:u w:val="none"/>
                <w:lang w:val="en-US" w:eastAsia="zh-CN" w:bidi="ar"/>
              </w:rPr>
              <w:t>9</w:t>
            </w:r>
            <w:r>
              <w:rPr>
                <w:rFonts w:hint="eastAsia" w:ascii="宋体" w:hAnsi="宋体" w:eastAsia="宋体" w:cs="宋体"/>
                <w:i w:val="0"/>
                <w:iCs w:val="0"/>
                <w:color w:val="000000"/>
                <w:kern w:val="0"/>
                <w:sz w:val="24"/>
                <w:szCs w:val="24"/>
                <w:highlight w:val="none"/>
                <w:u w:val="none"/>
                <w:lang w:val="en-US" w:eastAsia="zh-CN" w:bidi="ar"/>
              </w:rPr>
              <w:t>5kg，适配面点搅拌、打蛋、和面。</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4884209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33ADED8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6C02C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74E0DAD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128</w:t>
            </w:r>
          </w:p>
        </w:tc>
        <w:tc>
          <w:tcPr>
            <w:tcW w:w="14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B4491E">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双层工作台带靠背</w:t>
            </w:r>
          </w:p>
        </w:tc>
        <w:tc>
          <w:tcPr>
            <w:tcW w:w="6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7E3B1B">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尺寸：≥1500*600*800+100mm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整体采用SUS304不锈钢制作；台面厚度1.0mm，内衬15mm防水机制板并用1.0mm厚不锈钢板折成加强筋加固；下层板厚度1.0mm；脚管采用Ф48*1.0mm厚不锈钢圆管；配不锈钢可调子弹脚。</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490B89F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29782B2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49F03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4DF59E5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129</w:t>
            </w:r>
          </w:p>
        </w:tc>
        <w:tc>
          <w:tcPr>
            <w:tcW w:w="14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1B9DAD">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三星盆水池</w:t>
            </w:r>
          </w:p>
        </w:tc>
        <w:tc>
          <w:tcPr>
            <w:tcW w:w="6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4BEB8F">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尺寸：≥1800*600*800+100mm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整体采用SUS304不锈钢制作，台面厚1.</w:t>
            </w: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mm；星盆斗厚1.</w:t>
            </w: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mm，星盆斗尺寸：500*500*280mm，配置提篮式不锈钢下水器；立柱采用48*1.</w:t>
            </w: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mm圆通，配不锈钢可调子弹脚；横撑采用32*1.</w:t>
            </w: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mm圆通。</w:t>
            </w:r>
          </w:p>
          <w:p w14:paraId="487F3B7E">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台式混水龙头，3个：</w:t>
            </w:r>
          </w:p>
          <w:p w14:paraId="5EB0DC1B">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sz w:val="24"/>
                <w:szCs w:val="24"/>
                <w:highlight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尺寸：≥315*345*253mm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台面安装孔直径：≥25mm*2mm，-12" 摆动式水嘴。</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3F5CF2D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0BB5276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25F7A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3DF49E3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130</w:t>
            </w:r>
          </w:p>
        </w:tc>
        <w:tc>
          <w:tcPr>
            <w:tcW w:w="14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45D9A3">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油烟净化一体机</w:t>
            </w:r>
          </w:p>
        </w:tc>
        <w:tc>
          <w:tcPr>
            <w:tcW w:w="6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260F3C">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油烟净化一体机技术参数</w:t>
            </w:r>
          </w:p>
          <w:p w14:paraId="151BB8A0">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规格参数</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处理风量：单台≥4000m³/h</w:t>
            </w:r>
          </w:p>
          <w:p w14:paraId="50BB4DD0">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外形尺寸：</w:t>
            </w:r>
            <w:r>
              <w:rPr>
                <w:rFonts w:hint="eastAsia" w:ascii="宋体" w:hAnsi="宋体" w:cs="宋体"/>
                <w:i w:val="0"/>
                <w:iCs w:val="0"/>
                <w:color w:val="000000"/>
                <w:kern w:val="0"/>
                <w:sz w:val="24"/>
                <w:szCs w:val="24"/>
                <w:highlight w:val="none"/>
                <w:u w:val="none"/>
                <w:lang w:val="en-US" w:eastAsia="zh-CN" w:bidi="ar"/>
              </w:rPr>
              <w:t>2400</w:t>
            </w:r>
            <w:r>
              <w:rPr>
                <w:rFonts w:hint="eastAsia" w:ascii="宋体" w:hAnsi="宋体" w:eastAsia="宋体" w:cs="宋体"/>
                <w:i w:val="0"/>
                <w:iCs w:val="0"/>
                <w:color w:val="000000"/>
                <w:kern w:val="0"/>
                <w:sz w:val="24"/>
                <w:szCs w:val="24"/>
                <w:highlight w:val="none"/>
                <w:u w:val="none"/>
                <w:lang w:val="en-US" w:eastAsia="zh-CN" w:bidi="ar"/>
              </w:rPr>
              <w:t>×1300×1600mm</w:t>
            </w:r>
          </w:p>
          <w:p w14:paraId="24CFF813">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电源：380V 三相五线制</w:t>
            </w:r>
          </w:p>
          <w:p w14:paraId="2F190EB9">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总功率：≤4kW（电机≥1.5kW，净化箱≤0.5kW）</w:t>
            </w:r>
          </w:p>
          <w:p w14:paraId="21730FCF">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全压：≥450Pa</w:t>
            </w:r>
          </w:p>
          <w:p w14:paraId="2E2E13F9">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噪音：约70dB</w:t>
            </w:r>
          </w:p>
          <w:p w14:paraId="021E74C1">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材质结构</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板材：</w:t>
            </w:r>
            <w:r>
              <w:rPr>
                <w:rFonts w:hint="eastAsia" w:ascii="宋体" w:hAnsi="宋体" w:cs="宋体"/>
                <w:i w:val="0"/>
                <w:iCs w:val="0"/>
                <w:color w:val="000000"/>
                <w:kern w:val="0"/>
                <w:sz w:val="24"/>
                <w:szCs w:val="24"/>
                <w:highlight w:val="none"/>
                <w:u w:val="none"/>
                <w:lang w:val="en-US" w:eastAsia="zh-CN" w:bidi="ar"/>
              </w:rPr>
              <w:t>整体304</w:t>
            </w:r>
            <w:r>
              <w:rPr>
                <w:rFonts w:hint="eastAsia" w:ascii="宋体" w:hAnsi="宋体" w:eastAsia="宋体" w:cs="宋体"/>
                <w:i w:val="0"/>
                <w:iCs w:val="0"/>
                <w:color w:val="000000"/>
                <w:kern w:val="0"/>
                <w:sz w:val="24"/>
                <w:szCs w:val="24"/>
                <w:highlight w:val="none"/>
                <w:u w:val="none"/>
                <w:lang w:val="en-US" w:eastAsia="zh-CN" w:bidi="ar"/>
              </w:rPr>
              <w:t>不锈钢，厚度≥1.</w:t>
            </w: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mm</w:t>
            </w:r>
            <w:r>
              <w:rPr>
                <w:rFonts w:hint="eastAsia" w:ascii="宋体" w:hAnsi="宋体" w:cs="宋体"/>
                <w:i w:val="0"/>
                <w:iCs w:val="0"/>
                <w:color w:val="000000"/>
                <w:kern w:val="0"/>
                <w:sz w:val="24"/>
                <w:szCs w:val="24"/>
                <w:highlight w:val="none"/>
                <w:u w:val="none"/>
                <w:lang w:val="en-US" w:eastAsia="zh-CN" w:bidi="ar"/>
              </w:rPr>
              <w:t>，管道：不锈钢304材质，管道壁厚1.5mm，长度2m含2个直角弯头，管道口径400×400mm整体无缝满焊，密封性及结构强度达标。</w:t>
            </w:r>
          </w:p>
          <w:p w14:paraId="2D78F47F">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结构：烟罩、净化器、风机集成一体，各单元独立组合、组装式安装</w:t>
            </w:r>
          </w:p>
          <w:p w14:paraId="4CFA526E">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配置：专利油烟屏蔽器，具备免清洗功能</w:t>
            </w:r>
          </w:p>
          <w:p w14:paraId="2D5668ED">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八级净化系统</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一级Z型钢网：去除大颗粒油烟</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二级动态拦截：离心分离大油滴</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三级金属过滤：多层波纹丝网均流过滤</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四级高低压电场：高效吸附细微油烟，净化率98%以上</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五级UV光解：120W双波段紫外灯，裂解油脂、臭氧除味</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六级高效过滤：对≥0.3μm颗粒过滤效率99.9%以上</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七级活性炭吸附：蜂窝高碘值活性炭，除味率约95%</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八级热交换降温：空调级换热，自动控温，出风口降温约30℃，余热可回收利用</w:t>
            </w:r>
            <w:r>
              <w:rPr>
                <w:rFonts w:hint="eastAsia" w:ascii="宋体" w:hAnsi="宋体" w:cs="宋体"/>
                <w:i w:val="0"/>
                <w:iCs w:val="0"/>
                <w:color w:val="000000"/>
                <w:kern w:val="0"/>
                <w:sz w:val="24"/>
                <w:szCs w:val="24"/>
                <w:highlight w:val="none"/>
                <w:u w:val="none"/>
                <w:lang w:val="en-US" w:eastAsia="zh-CN" w:bidi="ar"/>
              </w:rPr>
              <w:t>。</w:t>
            </w:r>
          </w:p>
          <w:p w14:paraId="208377C7">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整体性能</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四级净化后油烟净化率≥99%，净烟率99%，净味率95%</w:t>
            </w:r>
          </w:p>
          <w:p w14:paraId="206A6BD6">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排烟能力：约2000m³/h·m</w:t>
            </w:r>
          </w:p>
          <w:p w14:paraId="6CF4BF69">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特点：维护简便，防火节能，省电约50%，出风口无油烟味</w:t>
            </w:r>
            <w:r>
              <w:rPr>
                <w:rFonts w:hint="eastAsia" w:ascii="宋体" w:hAnsi="宋体" w:cs="宋体"/>
                <w:i w:val="0"/>
                <w:iCs w:val="0"/>
                <w:color w:val="000000"/>
                <w:kern w:val="0"/>
                <w:sz w:val="24"/>
                <w:szCs w:val="24"/>
                <w:highlight w:val="none"/>
                <w:u w:val="none"/>
                <w:lang w:val="en-US" w:eastAsia="zh-CN" w:bidi="ar"/>
              </w:rPr>
              <w:t>。</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7677B7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09A48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p>
        </w:tc>
      </w:tr>
      <w:tr w14:paraId="1695F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30916EB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131</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6D20D8D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肢体康复训练器</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70B59F5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主要技术指标和参数：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1）外形尺寸（长*宽*高）：≥520*460*560mm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2）拉手杆高度调节距离：≥330mm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3）曲柄调节角度：80°</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4）扶手/脚踏的额定承载：200N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5）扶手额定承载:1000N（垂直力）、500N（水平力）</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产品特性：</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1）配有脚轮及可调式拉手杆，方便移动。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2）阻力可调，以适应不同肌力人群使用。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3）配有电子表显示时间等训练数据。</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4）可进行上下肢训练。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产品用途：适用于对关节功能障碍患者进行康复训练。</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2E12140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371A3E2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w:t>
            </w:r>
          </w:p>
        </w:tc>
      </w:tr>
      <w:tr w14:paraId="672D1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697B616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132</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42D587D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髋关节训练器</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62E62ED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产品组成：由靠背、椅座、腿垫及固定带、下肢支架、脚轮、配重块组成。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主要技术指标和参数：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1）外形尺寸（长*宽*高）：≥1440*750*880mm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2）座位高度：高≥500mm，座位宽度≥550mm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3）下肢支架长度：≥600mm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4）下肢支架外展角度：≥45°</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5）哑铃片质量及数量：4磅/块，共10块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6）座位额定承载：2000N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7）靠背垫额定承载：750N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产品用途：适用于对关节功能障碍患者进行康复训练。</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54D7AC3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C3E19A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4C799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3ECBC95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133</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7B20ECA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踝关节训练器</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5734B77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产品组成：由靠背垫、操纵杆、座位垫、脚踏板及绑带、底座组成。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主要技术指标和参数：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1）外形尺寸（长*宽*高）：≥1120*670*805mm；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2）座位：高度450mm，宽度≥500mm；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3）座垫前后可调距离：≥100mm；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4）脚踏板背屈跖屈转动角度：85°；</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5）靠背垫额定承载：750N；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6）座位垫额定承载：2000N。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产品特性：</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1）坐垫前后距离可调，以适应不同身高体型的人群使用。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2）可通过手柄的前后运动带动脚踏板运动，进行踝关节训练。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产品用途：适用于对关节功能障碍患者进行康复训练。</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36EB0DB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4F5DE81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32586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FB4B68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134</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6997A7B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股四头肌训练椅</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123AB9F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产品组成：由椅架、固定带、靠背、分度盘、分度定位销、小腿支架、卡箍、配重块、扶手、椅座、配重支架、升降支架、辅助手柄、小腿托组成。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主要技术指标和参数：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1）外形尺寸（长*宽*高）：≥1128*1110*1070mm；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2）座面高度：≥620mm；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3）座面深度：≥480mm；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4）座面宽度：≥540mm；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5）升降支架可调距离：≥150mm；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5）小腿垫可调距离：≥435mm；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6）助力手柄可调距离：≥285mm；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7）手柄直径：≥Φ30mm；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8）小腿支架摆动角度：≥120°；</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9）座垫额定承载：2000N；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10）靠背垫额定承载：750N；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11）哑铃片质量及数量：4磅/片 10片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产品特性：</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1）小腿支架摆动范围可调。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2）运动阻力可通过哑铃片进行调节。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3）靠背垫有坐式和躺式两种状态，可以座姿和卧姿进行训练。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4）小腿支架高度、小腿垫高度、助力手柄高度可调，适合不同身高人群进行训练。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产品用途：适用于对关节功能障碍患者进行康复训练。</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7B74519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EA459B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384AA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5502F3B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135</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71A6BC8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高级防潮软垫</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0330DEB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主要技术指标和参数：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外形尺寸：≥2000*1200*100mm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产品用途：适用于各种垫上运动，包括关节活动度、坐位平衡、卧位体操及卧位肌力训练。</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1322E28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368562B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71CCB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55D8074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136</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4C4947F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体位垫</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6036184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主要技术指标和参数：四种规格任选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 角度：15°，外形尺寸：≥600*510*150mm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 角度：20°，外形尺寸：≥600*510*200mm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 角度：30°，外形尺寸：≥600*510*300mm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 角度：45°，外形尺寸：≥600*420*420mm</w:t>
            </w:r>
          </w:p>
          <w:p w14:paraId="6FE6956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产品用途：适用于对人体躯干、四肢、头部等部位的支撑。</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5BA24BD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0CBC649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728FC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98A41B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137</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7935A05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滚桶</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116C4C3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主要技术指标和参数：四种规格任选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1）外形尺寸（直径*高）：≥Φ160*800mm、≥Φ220*800mm、≥Φ250*800mm、≥Φ300*800mm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2）额定承载：2000N</w:t>
            </w:r>
          </w:p>
          <w:p w14:paraId="3AF8E6D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产品用途：适用于平衡功能及协调功能训练。</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168643F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9D526D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61286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6CA6293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138</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5ACE806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橡筋手指练习器</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33C4F14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主要技术指标和参数：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1）外形尺寸（长*宽*高）：≥610*420*500mm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2）搁手垫尺寸（长*宽）：≥570*220mm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3）橡筋框尺寸（长*宽）：≥530*380mm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4）橡筋拉伸长度/cm：≥100～150mm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5）橡筋框额定承载：450N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产品用途：通过训练提高手指的主动屈伸活动能力。</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27BAB26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F2A0A1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146A4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7E3935D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139</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284D8CD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下肢功率车</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68491CC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主要技术指标和参数：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1）外形尺寸：≥1150*505*1250mm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2）座位上下调节范围：≥730～980mm(9档)</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3）阻尼调节档数：8档</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4）座垫额定承载：2000N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产品特性：</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1）采用类自行车踩踏运动锻炼下肢关节活动功能。</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2）运动阻力可调。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3）前扶手架角度及座位上下高度可调，可进行骑式训练，并适合不同身高人群使用。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4）可显示训练时间、速度、距离、热量等数据。</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产品用途：用于健身和康复，训练腿部肌肉和腿部关节的活动能力，增强腿部力量。</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3D46C41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辆</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3EDC5B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6C03A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07DAA7A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140</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4B1A351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站立架</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61576AB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产品组成：由支脚、支撑托、支撑架组成。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主要技术指标和参数：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1）外形尺寸（长*宽*高）：≥740*800*950mm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2）台面高度调节距离：≥200mm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3）胸托架前后调节距离：≥60mm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4）背托架前后调节距离：≥200mm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5）膝部托架调节距离：≥170mm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6）臀部垫额定承载：1000N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7）绑带额定承载：1000N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8）脚踏板额定承载：2000N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产品特性：</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1）台面高度、胸托和背托前后可调，方便不同身高和体型的人群使用。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2）受训者双臂可放在台面上，训练的同时可进行书写阅读等活动。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产品用途：适用于行动障碍患者的辅助行走或站立，进行康复训练。</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7385E7A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4A71050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044BF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568ACB4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141</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6650FF6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平行杠</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5AF84B2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产品组成：由扶手杆、宽度调节支架、升降管柱、固定管柱、缓冲斜坡、底架组合、矫正板组成。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主要技术指标和参数：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1）外形尺寸（长*宽*高）：≥3350*855*780mm；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2）两扶手杆中心调节范围：≥310～650mm；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3）扶手杆直径：≥φ38mm；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4）脚踏板安全工作载荷：100 kg；</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5）矫正板踩踏面相对于水平面的夹角：15°。</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产品特性：</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1）扶手杆高度可调，适合不同身高人群进行训练。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2）扶手杆宽度可调，适用于不同体型人群进行训练。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3）底座两端设计有斜坡，方便受训者上下。                                      </w:t>
            </w:r>
          </w:p>
          <w:p w14:paraId="13D796F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产品用途：用于体育训练场和医院康复科步行康复训练。</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18BD389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DF5EFA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0612B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660260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142</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525F695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训练用阶梯</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7A9F11D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产品组成：由阶梯架、阶梯、阶梯扶手、平台支架、平台、平台扶手、扶手座组成。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主要技术指标和参数：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1）外形尺寸（长*宽*高）：≥3320*800*1360mm；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2）梯面高度：≥100mm、120mm；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3）扶手高度调节范围：≥0～310mm；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4）阶梯踏板安全工作载荷：100㎏。</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产品特性：</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1）扶手高度可调，适合不同身高人群进行训练。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2）配合矫正镜，可进行步态矫正训练。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产品用途：适用于提高患者日常上下楼梯的功能训练。</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2A8BA9B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4E58C7C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77F5F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0088DB3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143</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725270E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助行器</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351C165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1.产品用途：辅助代步用具，可折叠。</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2.产品为差动框式助行器，适合1.55—1.80m人群使用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3.助行器主架采用高强度铝合金管焊接而成，管材壁厚为：Ф25*1.2，助行架表面采用雾银氧化处理；</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4.助行架利用伸缩管中的弹珠打开助行架即可使用，助行器可扭动式、固定式行走，整体可折叠，方便携带，握把采用EVA无毒无害，易清洗材料，舒适度强，支脚耐磨、有弹性、表面摩擦系数高；</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5.主要参数：大架长：≥52-55cm，宽：≥48-52.5cm，折叠宽度：≥10cm，高：≥73-91cm，脚管8档调节。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6.扶手承重：100Kg。</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1BBDDA8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1C8576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64CC4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613F995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144</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4985200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系列沙袋（绑式）</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7C3D73C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产品组成：由绑式沙袋、搁架、脚轮组成。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主要技术指标和参数：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1）外形尺寸（长*宽*高）：≥668*415*750mm（不含沙袋）</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2）沙袋质量及数量：0.5kg/2个、0.75kg/2个、1.0kg/2个、1.5kg/2个、2.0kg/2个、2.5kg/2个，共12个</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产品用途：适用于辅助患者进行肌力训练。</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751F624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42DEAE4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339D5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0C83EBC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145</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50E25E1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髋关节训练器（旋转）</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51D2EB6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外形尺寸：≥123*46*（91～129）cm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扶手高度调节范围：≥91～129cm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活动脚踏板及转盘转动角度：0°～360°</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扶手额定承载：750N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转盘额定承载：750N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产品用途：通过足的旋转运动，改善髋关节的旋转功能。</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6F479CA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22AE3D9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3BA68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23B265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146</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468E9B9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液压踏步器</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05DE797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产品组成：由电子表、扶手、油缸、脚踏板、机架组成。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主要技术指标和参数：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1）外形尺寸（长*宽*高）：≥820*780*1300mm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2）两扶手中心距离：≥630mm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3）扶手高端中心离地高度：≥1020mm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4）两踏脚板中心距离：≥210mm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5）踏板安全工作载荷：100㎏</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6）油缸力值调节档数：12档</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7）油缸的工作行程：80mm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产品特性：</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1）运动阻力分12档可调，适应不同肌力人群使用。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2）可显示训练时间、速度等训练数据，方便了解训练情况。</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产品用途：用于对脚部（及腿部）肌肉力量进行训练，使训练者下肢力量得到加强或者恢复。</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047C1C5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4F0D2BA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45CA3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118DBF8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147</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5813E18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OT桌</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08AEC04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主要技术指标和参数：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1）外形尺寸（长*宽*高）：≥1200*800*605mm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2）桌面升降范围：≥605～845mm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3）桌面尺寸（长*宽）：≥1200*800mm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4）手柄转动力矩：≤10 N•m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产品特性：</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1）桌面高度可调，适合不同身高人群使用。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2）配模拟作业工具，可进行手工作业训练。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产品用途：作业训练用桌，桌面高度可按需进行调节，配模拟作业工具1套。</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0AC151E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3C7BCF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67A20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6EBACF7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148</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490C05F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系列沙袋（提式）</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0A06452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主要技术指标和参数：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1）外形尺寸（长*宽*高）：≥668*415*750mm（不含沙袋）</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2）沙袋质量及数量：1.0kg/2个、1.5kg/2个、2.0kg/2个、2.5kg/2个、3.0kg/2个、5.0kg/2个，共12个</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产品用途：通过负重进行上下肢肌力训练。</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300AE20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23FB17E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13876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4C4C529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149</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0A85D49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手功能组合训练箱</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4BA3730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产品组成：主要由木插棍、玻璃球、铁插棍、螺栓、螺母、握力圈、握力器、防盗扣、箱搭扣、模拟插头插座、锁搭扣及挂锁、台锁、窗插销、窗钩等14种训练用具组成。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主要技术指标和参数：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1）外形尺寸（长*宽*高）：≥550*400*140mm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2）木插棍外形尺寸及数量：（大：Φ≥26mm，3根）、（中：Φ≥18mm，4根）、（小：Φ≥13mm，5根）</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3）玻璃球数量：大（4个）、中（5个）、小（5个）</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4）铁插棍外形尺寸及数量：（大：≥Φ8*60mm）、（中：≥Φ6*60mm）、（小：≥Φ4*60mm），各21个</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5）螺栓外形尺寸及数量：M8*40（5只）、M6*40（3只）</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6）螺母外形尺寸及数量：M8（6只）、M6（6只）</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产品用途：适用于眼、手协调功能训练。</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3FC9D01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4EF4F12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75BC5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400036A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150</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725BA0B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矫正镜</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1AABEED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产品组成：由镜面玻璃、框架、三角支架、脚轮组成。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主要技术指标和参数：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1）外形尺寸：≥850*670*1900mm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2）镜面玻璃厚度：≥5mm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产品用途：用于各种姿势或表情的矫正训练。</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79BCEA2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F167C1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44167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322167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151</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7BA437C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OT综合训练工作台</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1DEF123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产品组成：主要由上肢协调功能练习器、分指板、分指板（弧形）、铁棍插板、木插板、套圈、木制图形插板（认知）、木制图形插板（几何）、模拟作业工具、上螺丝、上螺母、磁性钮等组成。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主要技术指标和参数：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1）侧板展开时外形尺寸（长*宽*高）：≥1840*1035*910mm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2）侧板高度调节范围：≥345～735mm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3）侧板角度调节范围：0°～90°</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产品特性：</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1）侧板高度可调，适合不同身高人群使用。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2）侧板可快速拆卸，节省存放空间。</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3）配有带刹脚轮，方便移动。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4）12套训练器材组合搭配，可进行综合训练。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5）训练结束后各器具可整理、收集在柜中，节约放置空间。</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产品用途：适用于改善手指功能、提高眼手协调功能，训练感知能力及大脑对图形的识别能力，训练上肢稳定性、协调性，提高上肢日常活动能力。</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56D92E4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D0BE00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1043C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66D894D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152</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1C47CBC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上肢推举训练器</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485FCDF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主要技术指标和参数：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1）外形尺寸（长*宽*高）：≥845*480*515mm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2）支架与底座可调角度：≥60°</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3）手柄推拉距离：410mm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产品用途：适用于对关节功能障碍患者进行康复训练。</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17B872C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3628D8B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655D8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145607A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153</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2EC6B1C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平衡板</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6226A8D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主要技术指标和参数：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1）外形尺寸（长*宽*高）：≥800*600*220mm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2）面板摆动角度：-17°～+17°</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3）额定载荷：2000N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产品用途：适用于平衡及协调功能的训练。</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3DDD948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4C96C59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06367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53B3CB0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154</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5971CF0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坐姿矫正椅</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6F6EFC6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产品组成：主要由头枕、椅架、靠背垫、裆垫、手臂托盘、固定带、脚踏板、脚轮等组成。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主要技术指标和参数：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1）外形尺寸（长*宽*高）：≥600*600*900mm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2)手臂托盘尺寸：≥600*530mm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3)头枕升降调节范围：≥0～130mm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4)裆垫前后调节范围：≥0～100mm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5)脚踏板高度可调，座垫至脚踏板最大距离≥190mm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6)手臂托盘的台面至座垫距离≥200mm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产品特性：</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1）坐姿矫正椅可触及表面不得有毛刺、锐角和明显损伤；</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2）椅架、手臂托盘、脚踏板采用实木及高密度夹板制作，加工表面不得有明显崩茬和刀痕，无虫眼、节疤、裂纹，表面清水漆色泽均匀，无露底、起泡、流挂、剥落等现象；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3）头枕、靠背垫、裆垫采用海绵及环保面料制作，外形饱满，与背部贴合舒适，缝边牢固规整，无跳线、褪色等现象；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4）固定带采用五点式安全带，扣合方便且牢靠；</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5）底座配万向脚轮，转动灵活；</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6）脚踏板高度可调；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7）座位能承载600N额定载荷，卸载后无任何裂纹、破损和明显的永久性变形。</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产品用途：用于2～6岁的脑瘫儿童进行坐位保持、坐位平衡、矫正姿势等。</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4B5106B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0C2AA2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53306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884906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155</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7E31CDD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矫正椅</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336A50E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主要技术指标和参数：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1）外形尺寸（长*宽*高）：≥680*600*（880～965）mm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2）座位垫宽度：≥350mm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3）座位垫深度：≥350mm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4）头部靠垫高度：≥100mm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5）头部靠垫可调高度：≥0～85mm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6）桌面板长*宽：≥600*400mm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7）桌面板离座垫高：≥200mm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8）踏脚板长*宽：≥345*240mm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9）踏脚板上下调节范围：≥130mm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10）扶手前后可调距离：≥150mm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11）整体仰角：0°～30°</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12）额定承载：60kg</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13）配件：护心型固定绑带（1条）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14）大腿绑带（1条）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15）脚绑带（2条）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产品用途：用于1～7岁的脑瘫儿童进行坐位保持、坐位平衡、矫正坐姿、防止和治疗畸形。</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447352B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36589B4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5178F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543B24D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156</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30602C0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PT训练床</w:t>
            </w:r>
          </w:p>
        </w:tc>
        <w:tc>
          <w:tcPr>
            <w:tcW w:w="6276" w:type="dxa"/>
            <w:tcBorders>
              <w:top w:val="single" w:color="000000" w:sz="4" w:space="0"/>
              <w:left w:val="single" w:color="000000" w:sz="4" w:space="0"/>
              <w:bottom w:val="single" w:color="000000" w:sz="4" w:space="0"/>
              <w:right w:val="single" w:color="000000" w:sz="4" w:space="0"/>
            </w:tcBorders>
            <w:noWrap w:val="0"/>
            <w:vAlign w:val="center"/>
          </w:tcPr>
          <w:p w14:paraId="37A86EA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产品组成：由床面、床架、枕组成。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主要技术指标和参数：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1）外形尺寸（长*宽*高）：≥2050*1230*480mm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2）床面高度：≥480mm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3）安全工作载荷：100kg</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产品用途：为受训者提供安全的多体位训练平台，便于康复治疗师开展多种方式训练。</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产品特性：床脚配有高度微调支脚，着地稳固。</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7C9E2F2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481D56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bl>
    <w:p w14:paraId="2AF30342">
      <w:pPr>
        <w:jc w:val="left"/>
        <w:rPr>
          <w:rFonts w:hint="eastAsia" w:ascii="宋体" w:hAnsi="宋体" w:eastAsia="宋体" w:cs="宋体"/>
          <w:highlight w:val="none"/>
          <w:lang w:val="en-US" w:eastAsia="zh-CN"/>
        </w:rPr>
        <w:sectPr>
          <w:pgSz w:w="11906" w:h="16838"/>
          <w:pgMar w:top="1440" w:right="1800" w:bottom="1440" w:left="1800" w:header="851" w:footer="992" w:gutter="0"/>
          <w:cols w:space="425" w:num="1"/>
          <w:docGrid w:linePitch="360" w:charSpace="0"/>
        </w:sectPr>
      </w:pPr>
      <w:r>
        <w:rPr>
          <w:rFonts w:hint="eastAsia" w:ascii="宋体" w:hAnsi="宋体" w:eastAsia="宋体" w:cs="宋体"/>
          <w:highlight w:val="none"/>
          <w:lang w:val="en-US" w:eastAsia="zh-CN"/>
        </w:rPr>
        <w:t>注：“</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eastAsia="宋体" w:cs="宋体"/>
          <w:highlight w:val="none"/>
          <w:lang w:val="en-US" w:eastAsia="zh-CN"/>
        </w:rPr>
        <w:t>”</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eastAsia="宋体"/>
          <w:sz w:val="24"/>
          <w:highlight w:val="none"/>
        </w:rPr>
        <w:t>投标产品属于财政部、国家发改委公布的“节能产品品目清单”范围内的，投标人提供国家确定的认证机构出具的、处于有效期之内的该节能产品认证证书</w:t>
      </w:r>
      <w:r>
        <w:rPr>
          <w:rFonts w:hint="eastAsia" w:ascii="宋体" w:hAnsi="宋体" w:eastAsia="宋体"/>
          <w:sz w:val="24"/>
          <w:highlight w:val="none"/>
          <w:lang w:val="en-US" w:eastAsia="zh-CN"/>
        </w:rPr>
        <w:t>扫描件；</w:t>
      </w:r>
      <w:r>
        <w:rPr>
          <w:rFonts w:hint="eastAsia" w:ascii="宋体" w:hAnsi="宋体" w:eastAsia="宋体"/>
          <w:sz w:val="24"/>
          <w:highlight w:val="none"/>
        </w:rPr>
        <w:t>投标产品属于财政部、生态环境部公布的“环境标志产品品目清单”范围内的，投标人提供国家确定的认证机构出具的、处于有效期内的该环保产品认证证书</w:t>
      </w:r>
      <w:r>
        <w:rPr>
          <w:rFonts w:hint="eastAsia" w:ascii="宋体" w:hAnsi="宋体" w:eastAsia="宋体"/>
          <w:sz w:val="24"/>
          <w:highlight w:val="none"/>
          <w:lang w:val="en-US" w:eastAsia="zh-CN"/>
        </w:rPr>
        <w:t>扫描件。</w:t>
      </w:r>
    </w:p>
    <w:p w14:paraId="1CB0ACF6">
      <w:pPr>
        <w:pStyle w:val="32"/>
        <w:spacing w:beforeAutospacing="0" w:afterAutospacing="0" w:line="480" w:lineRule="exact"/>
        <w:jc w:val="both"/>
        <w:rPr>
          <w:rFonts w:hint="eastAsia" w:ascii="宋体" w:hAnsi="宋体" w:eastAsia="宋体" w:cs="宋体"/>
          <w:color w:val="auto"/>
          <w:highlight w:val="none"/>
        </w:rPr>
      </w:pPr>
      <w:r>
        <w:rPr>
          <w:rFonts w:hint="eastAsia" w:cs="宋体"/>
          <w:b/>
          <w:bCs/>
          <w:color w:val="auto"/>
          <w:highlight w:val="none"/>
        </w:rPr>
        <w:t>六</w:t>
      </w:r>
      <w:r>
        <w:rPr>
          <w:rFonts w:hint="eastAsia" w:ascii="宋体" w:hAnsi="宋体" w:eastAsia="宋体" w:cs="宋体"/>
          <w:b/>
          <w:bCs/>
          <w:color w:val="auto"/>
          <w:highlight w:val="none"/>
        </w:rPr>
        <w:t>、采购标的对应的中小企业划分标准所属行业一览表</w:t>
      </w:r>
    </w:p>
    <w:tbl>
      <w:tblPr>
        <w:tblStyle w:val="34"/>
        <w:tblW w:w="8174" w:type="dxa"/>
        <w:jc w:val="center"/>
        <w:tblCellSpacing w:w="0" w:type="dxa"/>
        <w:tblLayout w:type="fixed"/>
        <w:tblCellMar>
          <w:top w:w="0" w:type="dxa"/>
          <w:left w:w="108" w:type="dxa"/>
          <w:bottom w:w="0" w:type="dxa"/>
          <w:right w:w="108" w:type="dxa"/>
        </w:tblCellMar>
      </w:tblPr>
      <w:tblGrid>
        <w:gridCol w:w="4398"/>
        <w:gridCol w:w="3776"/>
      </w:tblGrid>
      <w:tr w14:paraId="43E682DA">
        <w:trPr>
          <w:trHeight w:val="616" w:hRule="atLeast"/>
          <w:tblCellSpacing w:w="0" w:type="dxa"/>
          <w:jc w:val="center"/>
        </w:trPr>
        <w:tc>
          <w:tcPr>
            <w:tcW w:w="4398" w:type="dxa"/>
            <w:tcBorders>
              <w:top w:val="single" w:color="auto" w:sz="4" w:space="0"/>
              <w:left w:val="single" w:color="auto" w:sz="4" w:space="0"/>
              <w:bottom w:val="single" w:color="auto" w:sz="4" w:space="0"/>
              <w:right w:val="single" w:color="auto" w:sz="4" w:space="0"/>
            </w:tcBorders>
            <w:noWrap/>
            <w:vAlign w:val="center"/>
          </w:tcPr>
          <w:p w14:paraId="53F09037">
            <w:pPr>
              <w:pStyle w:val="32"/>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采购标的</w:t>
            </w:r>
          </w:p>
        </w:tc>
        <w:tc>
          <w:tcPr>
            <w:tcW w:w="3776" w:type="dxa"/>
            <w:tcBorders>
              <w:top w:val="single" w:color="auto" w:sz="4" w:space="0"/>
              <w:left w:val="single" w:color="auto" w:sz="4" w:space="0"/>
              <w:bottom w:val="single" w:color="auto" w:sz="4" w:space="0"/>
              <w:right w:val="single" w:color="auto" w:sz="4" w:space="0"/>
            </w:tcBorders>
            <w:noWrap/>
            <w:vAlign w:val="center"/>
          </w:tcPr>
          <w:p w14:paraId="4831DC00">
            <w:pPr>
              <w:pStyle w:val="32"/>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对应中小企业划分标准所属行业</w:t>
            </w:r>
          </w:p>
        </w:tc>
      </w:tr>
      <w:tr w14:paraId="67015CC5">
        <w:tblPrEx>
          <w:tblCellMar>
            <w:top w:w="0" w:type="dxa"/>
            <w:left w:w="108" w:type="dxa"/>
            <w:bottom w:w="0" w:type="dxa"/>
            <w:right w:w="108" w:type="dxa"/>
          </w:tblCellMar>
        </w:tblPrEx>
        <w:trPr>
          <w:trHeight w:val="616" w:hRule="atLeast"/>
          <w:tblCellSpacing w:w="0" w:type="dxa"/>
          <w:jc w:val="center"/>
        </w:trPr>
        <w:tc>
          <w:tcPr>
            <w:tcW w:w="4398" w:type="dxa"/>
            <w:tcBorders>
              <w:top w:val="single" w:color="auto" w:sz="4" w:space="0"/>
              <w:left w:val="single" w:color="auto" w:sz="4" w:space="0"/>
              <w:bottom w:val="single" w:color="auto" w:sz="4" w:space="0"/>
              <w:right w:val="single" w:color="auto" w:sz="4" w:space="0"/>
            </w:tcBorders>
            <w:noWrap/>
            <w:vAlign w:val="center"/>
          </w:tcPr>
          <w:p w14:paraId="4CB4DFE8">
            <w:pPr>
              <w:pStyle w:val="32"/>
              <w:spacing w:beforeAutospacing="0" w:afterAutospacing="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东台市残疾人综合服务中心专业设备设施采购项目</w:t>
            </w:r>
          </w:p>
        </w:tc>
        <w:tc>
          <w:tcPr>
            <w:tcW w:w="3776" w:type="dxa"/>
            <w:tcBorders>
              <w:top w:val="single" w:color="auto" w:sz="4" w:space="0"/>
              <w:left w:val="single" w:color="auto" w:sz="4" w:space="0"/>
              <w:bottom w:val="single" w:color="auto" w:sz="4" w:space="0"/>
              <w:right w:val="single" w:color="auto" w:sz="4" w:space="0"/>
            </w:tcBorders>
            <w:noWrap/>
            <w:vAlign w:val="center"/>
          </w:tcPr>
          <w:p w14:paraId="43EC92FA">
            <w:pPr>
              <w:pStyle w:val="32"/>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工业</w:t>
            </w:r>
          </w:p>
        </w:tc>
      </w:tr>
    </w:tbl>
    <w:p w14:paraId="79FDB4B6">
      <w:pPr>
        <w:pStyle w:val="32"/>
        <w:spacing w:beforeAutospacing="0" w:afterAutospacing="0" w:line="0" w:lineRule="atLeast"/>
        <w:ind w:firstLine="480"/>
        <w:jc w:val="both"/>
        <w:rPr>
          <w:rFonts w:hint="eastAsia" w:ascii="宋体" w:hAnsi="宋体" w:eastAsia="宋体" w:cs="宋体"/>
          <w:color w:val="auto"/>
          <w:highlight w:val="none"/>
        </w:rPr>
      </w:pPr>
    </w:p>
    <w:p w14:paraId="2F684650">
      <w:pPr>
        <w:pStyle w:val="32"/>
        <w:spacing w:beforeAutospacing="0" w:afterAutospacing="0" w:line="0" w:lineRule="atLeast"/>
        <w:ind w:firstLine="480"/>
        <w:jc w:val="both"/>
        <w:rPr>
          <w:rFonts w:hint="default" w:ascii="宋体" w:hAnsi="宋体" w:eastAsia="宋体" w:cs="宋体"/>
          <w:color w:val="auto"/>
          <w:sz w:val="24"/>
          <w:highlight w:val="none"/>
          <w:lang w:val="en-US" w:eastAsia="zh-CN"/>
        </w:rPr>
      </w:pPr>
      <w:r>
        <w:rPr>
          <w:rFonts w:hint="eastAsia" w:ascii="宋体" w:hAnsi="宋体" w:eastAsia="宋体" w:cs="宋体"/>
          <w:color w:val="auto"/>
          <w:highlight w:val="none"/>
        </w:rPr>
        <w:t>  </w:t>
      </w:r>
      <w:r>
        <w:rPr>
          <w:rFonts w:hint="eastAsia" w:ascii="宋体" w:hAnsi="宋体" w:eastAsia="宋体" w:cs="宋体"/>
          <w:color w:val="auto"/>
          <w:sz w:val="24"/>
          <w:highlight w:val="none"/>
        </w:rPr>
        <w:t> </w:t>
      </w:r>
      <w:r>
        <w:rPr>
          <w:rFonts w:hint="eastAsia" w:ascii="宋体" w:hAnsi="宋体" w:eastAsia="宋体" w:cs="宋体"/>
          <w:color w:val="auto"/>
          <w:sz w:val="24"/>
          <w:highlight w:val="none"/>
          <w:lang w:val="en-US" w:eastAsia="zh-CN"/>
        </w:rPr>
        <w:t>注：本项目所有标的所属行业均为工业。</w:t>
      </w:r>
    </w:p>
    <w:p w14:paraId="28BB11A3">
      <w:pPr>
        <w:pStyle w:val="3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58673AD">
      <w:pPr>
        <w:pStyle w:val="32"/>
        <w:tabs>
          <w:tab w:val="left" w:pos="6205"/>
        </w:tabs>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7B5DFCC">
      <w:pPr>
        <w:pStyle w:val="32"/>
        <w:keepNext/>
        <w:spacing w:beforeAutospacing="0" w:afterAutospacing="0"/>
        <w:jc w:val="center"/>
        <w:rPr>
          <w:rFonts w:hint="eastAsia" w:ascii="宋体" w:hAnsi="宋体" w:eastAsia="宋体" w:cs="宋体"/>
          <w:color w:val="auto"/>
          <w:highlight w:val="none"/>
        </w:rPr>
      </w:pPr>
      <w:bookmarkStart w:id="177" w:name="_Toc120614281"/>
      <w:r>
        <w:rPr>
          <w:rFonts w:hint="eastAsia" w:ascii="宋体" w:hAnsi="宋体" w:eastAsia="宋体" w:cs="宋体"/>
          <w:color w:val="auto"/>
          <w:highlight w:val="none"/>
        </w:rPr>
        <w:t> </w:t>
      </w:r>
    </w:p>
    <w:p w14:paraId="3A27AC42">
      <w:pPr>
        <w:pStyle w:val="3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7A7BCCD">
      <w:pPr>
        <w:pStyle w:val="32"/>
        <w:spacing w:beforeAutospacing="0" w:afterAutospacing="0"/>
        <w:jc w:val="both"/>
        <w:rPr>
          <w:color w:val="auto"/>
          <w:highlight w:val="none"/>
        </w:rPr>
      </w:pPr>
    </w:p>
    <w:p w14:paraId="64087FFB">
      <w:pPr>
        <w:pStyle w:val="32"/>
        <w:spacing w:beforeAutospacing="0" w:afterAutospacing="0"/>
        <w:jc w:val="both"/>
        <w:rPr>
          <w:color w:val="auto"/>
          <w:highlight w:val="none"/>
        </w:rPr>
      </w:pPr>
    </w:p>
    <w:p w14:paraId="6428F358">
      <w:pPr>
        <w:pStyle w:val="32"/>
        <w:spacing w:beforeAutospacing="0" w:afterAutospacing="0"/>
        <w:jc w:val="both"/>
        <w:rPr>
          <w:color w:val="auto"/>
          <w:highlight w:val="none"/>
        </w:rPr>
      </w:pPr>
    </w:p>
    <w:p w14:paraId="6892669B">
      <w:pPr>
        <w:pStyle w:val="32"/>
        <w:spacing w:beforeAutospacing="0" w:afterAutospacing="0"/>
        <w:jc w:val="both"/>
        <w:rPr>
          <w:color w:val="auto"/>
          <w:highlight w:val="none"/>
        </w:rPr>
      </w:pPr>
    </w:p>
    <w:p w14:paraId="1F7FC680">
      <w:pPr>
        <w:pStyle w:val="32"/>
        <w:spacing w:beforeAutospacing="0" w:afterAutospacing="0"/>
        <w:jc w:val="both"/>
        <w:rPr>
          <w:color w:val="auto"/>
          <w:highlight w:val="none"/>
        </w:rPr>
      </w:pPr>
    </w:p>
    <w:p w14:paraId="58549376">
      <w:pPr>
        <w:pStyle w:val="32"/>
        <w:spacing w:beforeAutospacing="0" w:afterAutospacing="0"/>
        <w:jc w:val="both"/>
        <w:rPr>
          <w:color w:val="auto"/>
          <w:highlight w:val="none"/>
        </w:rPr>
      </w:pPr>
    </w:p>
    <w:p w14:paraId="305F3AEE">
      <w:pPr>
        <w:pStyle w:val="32"/>
        <w:spacing w:beforeAutospacing="0" w:afterAutospacing="0"/>
        <w:jc w:val="both"/>
        <w:rPr>
          <w:color w:val="auto"/>
          <w:highlight w:val="none"/>
        </w:rPr>
      </w:pPr>
    </w:p>
    <w:p w14:paraId="56FD33F3">
      <w:pPr>
        <w:pStyle w:val="32"/>
        <w:spacing w:beforeAutospacing="0" w:afterAutospacing="0"/>
        <w:jc w:val="both"/>
        <w:rPr>
          <w:color w:val="auto"/>
          <w:highlight w:val="none"/>
        </w:rPr>
      </w:pPr>
    </w:p>
    <w:p w14:paraId="76E6004C">
      <w:pPr>
        <w:pStyle w:val="32"/>
        <w:spacing w:beforeAutospacing="0" w:afterAutospacing="0"/>
        <w:jc w:val="both"/>
        <w:rPr>
          <w:color w:val="auto"/>
          <w:highlight w:val="none"/>
        </w:rPr>
      </w:pPr>
    </w:p>
    <w:p w14:paraId="68BAC895">
      <w:pPr>
        <w:pStyle w:val="32"/>
        <w:spacing w:beforeAutospacing="0" w:afterAutospacing="0"/>
        <w:jc w:val="both"/>
        <w:rPr>
          <w:color w:val="auto"/>
          <w:highlight w:val="none"/>
        </w:rPr>
      </w:pPr>
    </w:p>
    <w:p w14:paraId="53BBA235">
      <w:pPr>
        <w:pStyle w:val="32"/>
        <w:spacing w:beforeAutospacing="0" w:afterAutospacing="0"/>
        <w:jc w:val="both"/>
        <w:rPr>
          <w:color w:val="auto"/>
          <w:highlight w:val="none"/>
        </w:rPr>
      </w:pPr>
    </w:p>
    <w:p w14:paraId="2FA37B0D">
      <w:pPr>
        <w:pStyle w:val="32"/>
        <w:spacing w:beforeAutospacing="0" w:afterAutospacing="0"/>
        <w:jc w:val="both"/>
        <w:rPr>
          <w:color w:val="auto"/>
          <w:highlight w:val="none"/>
        </w:rPr>
      </w:pPr>
    </w:p>
    <w:p w14:paraId="398BC1CE">
      <w:pPr>
        <w:pStyle w:val="32"/>
        <w:spacing w:beforeAutospacing="0" w:afterAutospacing="0"/>
        <w:jc w:val="both"/>
        <w:rPr>
          <w:color w:val="auto"/>
          <w:highlight w:val="none"/>
        </w:rPr>
      </w:pPr>
    </w:p>
    <w:p w14:paraId="544FC98F">
      <w:pPr>
        <w:pStyle w:val="32"/>
        <w:spacing w:beforeAutospacing="0" w:afterAutospacing="0"/>
        <w:jc w:val="both"/>
        <w:rPr>
          <w:color w:val="auto"/>
          <w:highlight w:val="none"/>
        </w:rPr>
      </w:pPr>
    </w:p>
    <w:p w14:paraId="58294F3E">
      <w:pPr>
        <w:pStyle w:val="32"/>
        <w:spacing w:beforeAutospacing="0" w:afterAutospacing="0"/>
        <w:jc w:val="both"/>
        <w:rPr>
          <w:color w:val="auto"/>
          <w:highlight w:val="none"/>
        </w:rPr>
      </w:pPr>
    </w:p>
    <w:p w14:paraId="28E31C92">
      <w:pPr>
        <w:pStyle w:val="32"/>
        <w:spacing w:beforeAutospacing="0" w:afterAutospacing="0"/>
        <w:jc w:val="both"/>
        <w:rPr>
          <w:color w:val="auto"/>
          <w:highlight w:val="none"/>
        </w:rPr>
      </w:pPr>
    </w:p>
    <w:p w14:paraId="1B836C0E">
      <w:pPr>
        <w:pStyle w:val="32"/>
        <w:spacing w:beforeAutospacing="0" w:afterAutospacing="0"/>
        <w:jc w:val="both"/>
        <w:rPr>
          <w:color w:val="auto"/>
          <w:highlight w:val="none"/>
        </w:rPr>
      </w:pPr>
    </w:p>
    <w:p w14:paraId="1E93DBAF">
      <w:pPr>
        <w:pStyle w:val="32"/>
        <w:spacing w:beforeAutospacing="0" w:afterAutospacing="0"/>
        <w:jc w:val="both"/>
        <w:rPr>
          <w:color w:val="auto"/>
          <w:highlight w:val="none"/>
        </w:rPr>
      </w:pPr>
    </w:p>
    <w:p w14:paraId="3C275CD8">
      <w:pPr>
        <w:pStyle w:val="32"/>
        <w:spacing w:beforeAutospacing="0" w:afterAutospacing="0"/>
        <w:jc w:val="both"/>
        <w:rPr>
          <w:color w:val="auto"/>
          <w:highlight w:val="none"/>
        </w:rPr>
      </w:pPr>
    </w:p>
    <w:p w14:paraId="10FA1D57">
      <w:pPr>
        <w:pStyle w:val="32"/>
        <w:spacing w:beforeAutospacing="0" w:afterAutospacing="0"/>
        <w:jc w:val="both"/>
        <w:rPr>
          <w:color w:val="auto"/>
          <w:highlight w:val="none"/>
        </w:rPr>
      </w:pPr>
    </w:p>
    <w:p w14:paraId="7954E750">
      <w:pPr>
        <w:pStyle w:val="32"/>
        <w:spacing w:beforeAutospacing="0" w:afterAutospacing="0"/>
        <w:jc w:val="both"/>
        <w:rPr>
          <w:color w:val="auto"/>
          <w:highlight w:val="none"/>
        </w:rPr>
      </w:pPr>
    </w:p>
    <w:p w14:paraId="4EA99E19">
      <w:pPr>
        <w:pStyle w:val="32"/>
        <w:spacing w:beforeAutospacing="0" w:afterAutospacing="0"/>
        <w:jc w:val="both"/>
        <w:rPr>
          <w:color w:val="auto"/>
          <w:highlight w:val="none"/>
        </w:rPr>
      </w:pPr>
    </w:p>
    <w:p w14:paraId="279C6EFD">
      <w:pPr>
        <w:pStyle w:val="32"/>
        <w:spacing w:beforeAutospacing="0" w:afterAutospacing="0"/>
        <w:jc w:val="both"/>
        <w:rPr>
          <w:color w:val="auto"/>
          <w:highlight w:val="none"/>
        </w:rPr>
      </w:pPr>
    </w:p>
    <w:p w14:paraId="5035CE3C">
      <w:pPr>
        <w:pStyle w:val="32"/>
        <w:spacing w:beforeAutospacing="0" w:afterAutospacing="0"/>
        <w:jc w:val="both"/>
        <w:rPr>
          <w:color w:val="auto"/>
          <w:highlight w:val="none"/>
        </w:rPr>
      </w:pPr>
    </w:p>
    <w:p w14:paraId="58D06980">
      <w:pPr>
        <w:pStyle w:val="32"/>
        <w:spacing w:beforeAutospacing="0" w:afterAutospacing="0"/>
        <w:jc w:val="both"/>
        <w:rPr>
          <w:color w:val="auto"/>
          <w:highlight w:val="none"/>
        </w:rPr>
      </w:pPr>
    </w:p>
    <w:p w14:paraId="72F52830">
      <w:pPr>
        <w:pStyle w:val="32"/>
        <w:spacing w:beforeAutospacing="0" w:afterAutospacing="0"/>
        <w:jc w:val="both"/>
        <w:rPr>
          <w:color w:val="auto"/>
          <w:highlight w:val="none"/>
        </w:rPr>
      </w:pPr>
    </w:p>
    <w:p w14:paraId="2BCB0D5B">
      <w:pPr>
        <w:pStyle w:val="32"/>
        <w:spacing w:beforeAutospacing="0" w:afterAutospacing="0"/>
        <w:jc w:val="both"/>
        <w:rPr>
          <w:color w:val="auto"/>
          <w:highlight w:val="none"/>
        </w:rPr>
      </w:pPr>
    </w:p>
    <w:p w14:paraId="46DB04F7">
      <w:pPr>
        <w:pStyle w:val="32"/>
        <w:spacing w:beforeAutospacing="0" w:afterAutospacing="0"/>
        <w:jc w:val="both"/>
        <w:rPr>
          <w:color w:val="auto"/>
          <w:highlight w:val="none"/>
        </w:rPr>
      </w:pPr>
    </w:p>
    <w:p w14:paraId="00360C66">
      <w:pPr>
        <w:pStyle w:val="32"/>
        <w:spacing w:beforeAutospacing="0" w:afterAutospacing="0"/>
        <w:jc w:val="both"/>
        <w:rPr>
          <w:color w:val="auto"/>
          <w:highlight w:val="none"/>
        </w:rPr>
      </w:pPr>
    </w:p>
    <w:p w14:paraId="3B203301">
      <w:pPr>
        <w:pStyle w:val="32"/>
        <w:spacing w:beforeAutospacing="0" w:afterAutospacing="0"/>
        <w:jc w:val="both"/>
        <w:rPr>
          <w:color w:val="auto"/>
          <w:highlight w:val="none"/>
        </w:rPr>
      </w:pPr>
    </w:p>
    <w:p w14:paraId="2ED98D18">
      <w:pPr>
        <w:pStyle w:val="32"/>
        <w:spacing w:beforeAutospacing="0" w:afterAutospacing="0"/>
        <w:jc w:val="both"/>
        <w:rPr>
          <w:color w:val="auto"/>
          <w:highlight w:val="none"/>
        </w:rPr>
      </w:pPr>
    </w:p>
    <w:p w14:paraId="32A41298">
      <w:pPr>
        <w:pStyle w:val="32"/>
        <w:spacing w:beforeAutospacing="0" w:afterAutospacing="0"/>
        <w:jc w:val="both"/>
        <w:rPr>
          <w:color w:val="auto"/>
          <w:highlight w:val="none"/>
        </w:rPr>
      </w:pPr>
    </w:p>
    <w:p w14:paraId="2EC9176E">
      <w:pPr>
        <w:pStyle w:val="32"/>
        <w:spacing w:beforeAutospacing="0" w:afterAutospacing="0"/>
        <w:jc w:val="both"/>
        <w:rPr>
          <w:color w:val="auto"/>
          <w:highlight w:val="none"/>
        </w:rPr>
      </w:pPr>
    </w:p>
    <w:p w14:paraId="000EE5AC">
      <w:pPr>
        <w:pStyle w:val="32"/>
        <w:keepNext/>
        <w:spacing w:beforeAutospacing="0" w:afterAutospacing="0"/>
        <w:ind w:firstLine="880"/>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评标方法与评标标准</w:t>
      </w:r>
    </w:p>
    <w:p w14:paraId="0FE6E5EF">
      <w:pPr>
        <w:pStyle w:val="32"/>
        <w:spacing w:beforeAutospacing="0" w:afterAutospacing="0"/>
        <w:jc w:val="both"/>
        <w:rPr>
          <w:color w:val="auto"/>
          <w:highlight w:val="none"/>
        </w:rPr>
      </w:pPr>
      <w:r>
        <w:rPr>
          <w:color w:val="auto"/>
          <w:highlight w:val="none"/>
        </w:rPr>
        <w:t> </w:t>
      </w:r>
    </w:p>
    <w:p w14:paraId="27C317EE">
      <w:pPr>
        <w:spacing w:line="48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一、定标原则</w:t>
      </w:r>
    </w:p>
    <w:p w14:paraId="05028E05">
      <w:pPr>
        <w:spacing w:line="48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本项目采用</w:t>
      </w:r>
      <w:r>
        <w:rPr>
          <w:rFonts w:hint="eastAsia" w:ascii="宋体" w:hAnsi="宋体" w:eastAsia="宋体" w:cs="宋体"/>
          <w:bCs/>
          <w:color w:val="auto"/>
          <w:sz w:val="24"/>
          <w:highlight w:val="none"/>
          <w:u w:val="single"/>
        </w:rPr>
        <w:t xml:space="preserve"> 综合评分 </w:t>
      </w:r>
      <w:r>
        <w:rPr>
          <w:rFonts w:hint="eastAsia" w:ascii="宋体" w:hAnsi="宋体" w:eastAsia="宋体" w:cs="宋体"/>
          <w:bCs/>
          <w:color w:val="auto"/>
          <w:sz w:val="24"/>
          <w:highlight w:val="none"/>
        </w:rPr>
        <w:t>法。</w:t>
      </w:r>
      <w:r>
        <w:rPr>
          <w:rFonts w:hint="eastAsia" w:ascii="宋体" w:hAnsi="宋体" w:eastAsia="宋体" w:cs="宋体"/>
          <w:color w:val="auto"/>
          <w:sz w:val="24"/>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61D1C543">
      <w:pPr>
        <w:pStyle w:val="32"/>
        <w:spacing w:beforeAutospacing="0" w:afterAutospacing="0" w:line="480" w:lineRule="exact"/>
        <w:ind w:firstLine="482"/>
        <w:rPr>
          <w:rFonts w:hint="eastAsia" w:ascii="宋体" w:hAnsi="宋体" w:eastAsia="宋体" w:cs="宋体"/>
          <w:color w:val="auto"/>
          <w:highlight w:val="none"/>
        </w:rPr>
      </w:pPr>
      <w:r>
        <w:rPr>
          <w:rFonts w:hint="eastAsia" w:ascii="宋体" w:hAnsi="宋体" w:eastAsia="宋体" w:cs="宋体"/>
          <w:b/>
          <w:color w:val="auto"/>
          <w:highlight w:val="none"/>
        </w:rPr>
        <w:t>政府采购政策功能落实</w:t>
      </w:r>
    </w:p>
    <w:p w14:paraId="58569346">
      <w:pPr>
        <w:pStyle w:val="32"/>
        <w:spacing w:beforeAutospacing="0" w:afterAutospacing="0" w:line="48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1.小微型企业价格扣除</w:t>
      </w:r>
    </w:p>
    <w:p w14:paraId="21C07F54">
      <w:pPr>
        <w:pStyle w:val="192"/>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（1）本项目若不专门面向中小企业采购，对符合规定的小型和微型企业报价给予20%的扣除价格，用扣除后的价格参与评审；若专门面向中小企业采购，不再对小型和微型企业报价给予价格扣除。</w:t>
      </w:r>
    </w:p>
    <w:p w14:paraId="165CC0D5">
      <w:pPr>
        <w:pStyle w:val="32"/>
        <w:spacing w:beforeAutospacing="0" w:afterAutospacing="0" w:line="48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（2）供应商需按照采购文件的要求提供相应的《中小企业声明函》。</w:t>
      </w:r>
    </w:p>
    <w:p w14:paraId="610A3965">
      <w:pPr>
        <w:pStyle w:val="32"/>
        <w:spacing w:beforeAutospacing="0" w:afterAutospacing="0" w:line="48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（3）企业标准请参照《关于印发中小企业划型标准规定的通知》（工信部联企业〔2011〕300号）文件规定自行填写。</w:t>
      </w:r>
    </w:p>
    <w:p w14:paraId="22F26E18">
      <w:pPr>
        <w:pStyle w:val="32"/>
        <w:spacing w:beforeAutospacing="0" w:afterAutospacing="0" w:line="48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2.残疾人福利单位价格扣除</w:t>
      </w:r>
    </w:p>
    <w:p w14:paraId="73E46A9A">
      <w:pPr>
        <w:pStyle w:val="32"/>
        <w:spacing w:beforeAutospacing="0" w:afterAutospacing="0" w:line="480" w:lineRule="exact"/>
        <w:ind w:firstLine="480"/>
        <w:rPr>
          <w:rFonts w:hint="eastAsia" w:ascii="宋体" w:hAnsi="宋体" w:eastAsia="宋体" w:cs="宋体"/>
          <w:color w:val="auto"/>
          <w:highlight w:val="none"/>
          <w:u w:val="single"/>
        </w:rPr>
      </w:pPr>
      <w:r>
        <w:rPr>
          <w:rFonts w:hint="eastAsia" w:ascii="宋体" w:hAnsi="宋体" w:eastAsia="宋体" w:cs="宋体"/>
          <w:color w:val="auto"/>
          <w:highlight w:val="none"/>
        </w:rPr>
        <w:t>（1）本项目对残疾人福利性单位视同小型、微型企业，给予</w:t>
      </w:r>
      <w:r>
        <w:rPr>
          <w:rFonts w:hint="eastAsia" w:ascii="宋体" w:hAnsi="宋体" w:eastAsia="宋体" w:cs="宋体"/>
          <w:color w:val="auto"/>
          <w:highlight w:val="none"/>
          <w:u w:val="single"/>
        </w:rPr>
        <w:t>20%的价格扣除。</w:t>
      </w:r>
    </w:p>
    <w:p w14:paraId="2D4A44FE">
      <w:pPr>
        <w:pStyle w:val="32"/>
        <w:spacing w:beforeAutospacing="0" w:afterAutospacing="0" w:line="48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（2）残疾人福利单位需按照采购文件的要求提供《残疾人福利性单位声明函》。</w:t>
      </w:r>
    </w:p>
    <w:p w14:paraId="06E7C76D">
      <w:pPr>
        <w:pStyle w:val="32"/>
        <w:spacing w:beforeAutospacing="0" w:afterAutospacing="0" w:line="48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（3）残疾人福利单位标准请参照《关于促进残疾人就业政府采购政策的通知》（财库〔2017〕141号）。</w:t>
      </w:r>
    </w:p>
    <w:p w14:paraId="3793C547">
      <w:pPr>
        <w:pStyle w:val="32"/>
        <w:spacing w:beforeAutospacing="0" w:afterAutospacing="0" w:line="48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3.监狱和戒毒企业价格扣除</w:t>
      </w:r>
      <w:bookmarkStart w:id="194" w:name="_GoBack"/>
      <w:bookmarkEnd w:id="194"/>
    </w:p>
    <w:p w14:paraId="4747EB54">
      <w:pPr>
        <w:pStyle w:val="32"/>
        <w:spacing w:beforeAutospacing="0" w:afterAutospacing="0" w:line="480" w:lineRule="exact"/>
        <w:ind w:firstLine="480"/>
        <w:rPr>
          <w:rFonts w:hint="eastAsia" w:ascii="宋体" w:hAnsi="宋体" w:eastAsia="宋体" w:cs="宋体"/>
          <w:color w:val="auto"/>
          <w:highlight w:val="none"/>
          <w:u w:val="single"/>
        </w:rPr>
      </w:pPr>
      <w:r>
        <w:rPr>
          <w:rFonts w:hint="eastAsia" w:ascii="宋体" w:hAnsi="宋体" w:eastAsia="宋体" w:cs="宋体"/>
          <w:color w:val="auto"/>
          <w:highlight w:val="none"/>
        </w:rPr>
        <w:t>（1）本项目对监狱和戒毒企业（简称监狱企业）视同小型、微型企业，给予</w:t>
      </w:r>
      <w:r>
        <w:rPr>
          <w:rFonts w:hint="eastAsia" w:ascii="宋体" w:hAnsi="宋体" w:eastAsia="宋体" w:cs="宋体"/>
          <w:color w:val="auto"/>
          <w:highlight w:val="none"/>
          <w:u w:val="single"/>
        </w:rPr>
        <w:t>20%的价格扣除。</w:t>
      </w:r>
    </w:p>
    <w:p w14:paraId="676E6A2B">
      <w:pPr>
        <w:pStyle w:val="32"/>
        <w:spacing w:beforeAutospacing="0" w:afterAutospacing="0" w:line="48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（2）监狱企业参加政府采购活动时，需提供由省级以上监狱管理局、戒毒管理局（含新疆生产建设兵团）出具的属于监狱企业的证明文件。供应商如不提供上述证明文件，价格将不做相应扣除。</w:t>
      </w:r>
    </w:p>
    <w:p w14:paraId="4ED72629">
      <w:pPr>
        <w:pStyle w:val="32"/>
        <w:spacing w:beforeAutospacing="0" w:afterAutospacing="0" w:line="48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（3）监狱企业标准请参照《关于政府采购支持监狱企业发展有关问题的通知》（财库〔2014〕68号）。</w:t>
      </w:r>
    </w:p>
    <w:p w14:paraId="5E21DBC4">
      <w:pPr>
        <w:pStyle w:val="32"/>
        <w:spacing w:beforeAutospacing="0" w:afterAutospacing="0" w:line="48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4.残疾人福利单位、监狱企业属于小型、微型企业的，不重复享受政策。</w:t>
      </w:r>
    </w:p>
    <w:p w14:paraId="4E5E76EF">
      <w:pPr>
        <w:pStyle w:val="32"/>
        <w:spacing w:beforeAutospacing="0" w:afterAutospacing="0" w:line="48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6%</w:t>
      </w:r>
      <w:r>
        <w:rPr>
          <w:rFonts w:hint="eastAsia" w:ascii="宋体" w:hAnsi="宋体" w:eastAsia="宋体" w:cs="宋体"/>
          <w:color w:val="auto"/>
          <w:highlight w:val="none"/>
        </w:rPr>
        <w:t>的价格扣除，用扣除后的价格参与评审。</w:t>
      </w:r>
    </w:p>
    <w:p w14:paraId="54C48807">
      <w:pPr>
        <w:pStyle w:val="32"/>
        <w:spacing w:beforeAutospacing="0" w:afterAutospacing="0" w:line="480" w:lineRule="exact"/>
        <w:ind w:firstLine="480"/>
        <w:rPr>
          <w:rFonts w:hint="eastAsia" w:ascii="宋体" w:hAnsi="宋体" w:eastAsia="宋体" w:cs="宋体"/>
          <w:color w:val="auto"/>
          <w:highlight w:val="none"/>
          <w:u w:val="single"/>
        </w:rPr>
      </w:pPr>
      <w:r>
        <w:rPr>
          <w:rFonts w:hint="eastAsia" w:ascii="宋体" w:hAnsi="宋体" w:eastAsia="宋体" w:cs="宋体"/>
          <w:color w:val="auto"/>
          <w:highlight w:val="none"/>
        </w:rPr>
        <w:t>6.联合体各方均为小型、微型企业（残疾人福利单位、监狱企业）的，联合体享受</w:t>
      </w:r>
      <w:r>
        <w:rPr>
          <w:rFonts w:hint="eastAsia" w:ascii="宋体" w:hAnsi="宋体" w:eastAsia="宋体" w:cs="宋体"/>
          <w:color w:val="auto"/>
          <w:highlight w:val="none"/>
          <w:u w:val="single"/>
        </w:rPr>
        <w:t>20%的价格扣除。</w:t>
      </w:r>
    </w:p>
    <w:p w14:paraId="4DF9B50B">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p>
    <w:p w14:paraId="6A367A7A">
      <w:pPr>
        <w:pStyle w:val="32"/>
        <w:spacing w:beforeAutospacing="0" w:afterAutospacing="0" w:line="480" w:lineRule="exact"/>
        <w:ind w:firstLine="482"/>
        <w:rPr>
          <w:rFonts w:hint="eastAsia" w:ascii="宋体" w:hAnsi="宋体" w:eastAsia="宋体" w:cs="宋体"/>
          <w:color w:val="auto"/>
          <w:highlight w:val="none"/>
        </w:rPr>
      </w:pPr>
      <w:r>
        <w:rPr>
          <w:rFonts w:hint="eastAsia" w:ascii="宋体" w:hAnsi="宋体" w:eastAsia="宋体" w:cs="宋体"/>
          <w:b/>
          <w:color w:val="auto"/>
          <w:highlight w:val="none"/>
        </w:rPr>
        <w:t>评标方法与评标标准</w:t>
      </w:r>
    </w:p>
    <w:tbl>
      <w:tblPr>
        <w:tblStyle w:val="35"/>
        <w:tblpPr w:leftFromText="180" w:rightFromText="180" w:vertAnchor="text" w:tblpXSpec="center" w:tblpY="1"/>
        <w:tblOverlap w:val="never"/>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4"/>
        <w:gridCol w:w="2062"/>
        <w:gridCol w:w="4530"/>
        <w:gridCol w:w="986"/>
      </w:tblGrid>
      <w:tr w14:paraId="1C0F9C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0" w:hRule="atLeast"/>
          <w:tblHeader/>
        </w:trPr>
        <w:tc>
          <w:tcPr>
            <w:tcW w:w="944" w:type="dxa"/>
            <w:noWrap w:val="0"/>
            <w:vAlign w:val="center"/>
          </w:tcPr>
          <w:p w14:paraId="0A0EE7FE">
            <w:pPr>
              <w:keepNext/>
              <w:snapToGrid w:val="0"/>
              <w:spacing w:after="0" w:line="240" w:lineRule="auto"/>
              <w:ind w:left="0" w:leftChars="0" w:right="0" w:rightChars="0" w:firstLine="0" w:firstLineChars="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2062" w:type="dxa"/>
            <w:noWrap w:val="0"/>
            <w:vAlign w:val="center"/>
          </w:tcPr>
          <w:p w14:paraId="2E02E388">
            <w:pPr>
              <w:keepNext/>
              <w:snapToGrid w:val="0"/>
              <w:spacing w:after="0" w:line="240" w:lineRule="auto"/>
              <w:ind w:left="0" w:leftChars="0" w:right="0" w:rightChars="0" w:firstLine="0" w:firstLineChars="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评审项目</w:t>
            </w:r>
          </w:p>
        </w:tc>
        <w:tc>
          <w:tcPr>
            <w:tcW w:w="4531" w:type="dxa"/>
            <w:noWrap w:val="0"/>
            <w:vAlign w:val="center"/>
          </w:tcPr>
          <w:p w14:paraId="49A8B300">
            <w:pPr>
              <w:keepNext/>
              <w:snapToGrid w:val="0"/>
              <w:spacing w:after="0" w:line="240" w:lineRule="auto"/>
              <w:ind w:left="0" w:leftChars="0" w:right="0" w:rightChars="0" w:firstLine="0" w:firstLineChars="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评审细则</w:t>
            </w:r>
          </w:p>
        </w:tc>
        <w:tc>
          <w:tcPr>
            <w:tcW w:w="986" w:type="dxa"/>
            <w:noWrap w:val="0"/>
            <w:vAlign w:val="center"/>
          </w:tcPr>
          <w:p w14:paraId="017D4A0C">
            <w:pPr>
              <w:keepNext/>
              <w:snapToGrid w:val="0"/>
              <w:spacing w:after="0" w:line="240" w:lineRule="auto"/>
              <w:ind w:left="0" w:leftChars="0" w:right="0" w:rightChars="0" w:firstLine="0" w:firstLineChars="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分值</w:t>
            </w:r>
          </w:p>
        </w:tc>
      </w:tr>
      <w:tr w14:paraId="52B01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944" w:type="dxa"/>
            <w:noWrap w:val="0"/>
            <w:vAlign w:val="center"/>
          </w:tcPr>
          <w:p w14:paraId="43AA86E0">
            <w:pPr>
              <w:keepNext/>
              <w:snapToGrid w:val="0"/>
              <w:spacing w:after="0"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062" w:type="dxa"/>
            <w:noWrap w:val="0"/>
            <w:vAlign w:val="center"/>
          </w:tcPr>
          <w:p w14:paraId="4AFF8E7F">
            <w:pPr>
              <w:keepNext/>
              <w:snapToGrid w:val="0"/>
              <w:spacing w:after="0"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价格部分</w:t>
            </w:r>
          </w:p>
        </w:tc>
        <w:tc>
          <w:tcPr>
            <w:tcW w:w="4531" w:type="dxa"/>
            <w:noWrap w:val="0"/>
            <w:vAlign w:val="center"/>
          </w:tcPr>
          <w:p w14:paraId="6063F424">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评标总价是指通过“投标文件初审”的投标人的经商务性评审（修正、小微企业扣除等）后的总价。</w:t>
            </w:r>
          </w:p>
          <w:p w14:paraId="5B98B022">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评标基准价=评标总价中的最低总价。</w:t>
            </w:r>
          </w:p>
          <w:p w14:paraId="580365B8">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当投标人的评标总价等于评标基准价的得30分，其他投标人的价格分按照下列公式计算：评标总价得分=（评标基准价/评标总价）×30分（计算结果保留2位小数，第三位四舍五入）。</w:t>
            </w:r>
          </w:p>
        </w:tc>
        <w:tc>
          <w:tcPr>
            <w:tcW w:w="986" w:type="dxa"/>
            <w:noWrap w:val="0"/>
            <w:vAlign w:val="center"/>
          </w:tcPr>
          <w:p w14:paraId="5B05BC81">
            <w:pPr>
              <w:keepNext/>
              <w:snapToGrid w:val="0"/>
              <w:spacing w:after="0" w:line="240" w:lineRule="auto"/>
              <w:ind w:left="0" w:leftChars="0" w:right="0" w:rightChars="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30</w:t>
            </w:r>
            <w:bookmarkStart w:id="178" w:name="OLE_LINK70"/>
            <w:r>
              <w:rPr>
                <w:rFonts w:hint="eastAsia" w:ascii="宋体" w:hAnsi="宋体" w:eastAsia="宋体" w:cs="宋体"/>
                <w:sz w:val="24"/>
                <w:szCs w:val="24"/>
                <w:highlight w:val="none"/>
              </w:rPr>
              <w:t>分</w:t>
            </w:r>
            <w:bookmarkEnd w:id="178"/>
          </w:p>
        </w:tc>
      </w:tr>
      <w:tr w14:paraId="2414C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944" w:type="dxa"/>
            <w:noWrap w:val="0"/>
            <w:vAlign w:val="center"/>
          </w:tcPr>
          <w:p w14:paraId="65D09FA6">
            <w:pPr>
              <w:keepNext/>
              <w:snapToGrid w:val="0"/>
              <w:spacing w:after="0"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2062" w:type="dxa"/>
            <w:noWrap w:val="0"/>
            <w:vAlign w:val="center"/>
          </w:tcPr>
          <w:p w14:paraId="32863B2A">
            <w:pPr>
              <w:keepNext/>
              <w:snapToGrid w:val="0"/>
              <w:spacing w:after="0"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技术部分</w:t>
            </w:r>
          </w:p>
        </w:tc>
        <w:tc>
          <w:tcPr>
            <w:tcW w:w="4531" w:type="dxa"/>
            <w:noWrap w:val="0"/>
            <w:vAlign w:val="center"/>
          </w:tcPr>
          <w:p w14:paraId="4636BE68">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满足招标文件第四章项目需求中技术参数要求的得满分</w:t>
            </w:r>
            <w:r>
              <w:rPr>
                <w:rFonts w:hint="eastAsia" w:ascii="宋体" w:hAnsi="宋体" w:eastAsia="宋体" w:cs="宋体"/>
                <w:color w:val="000000"/>
                <w:sz w:val="24"/>
                <w:szCs w:val="24"/>
                <w:highlight w:val="none"/>
                <w:lang w:val="en-US" w:eastAsia="zh-CN"/>
              </w:rPr>
              <w:t>16</w:t>
            </w:r>
            <w:r>
              <w:rPr>
                <w:rFonts w:hint="eastAsia" w:ascii="宋体" w:hAnsi="宋体" w:eastAsia="宋体" w:cs="宋体"/>
                <w:color w:val="000000"/>
                <w:sz w:val="24"/>
                <w:szCs w:val="24"/>
                <w:highlight w:val="none"/>
              </w:rPr>
              <w:t>分，每有一条负偏离扣</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分，扣完为止。</w:t>
            </w:r>
          </w:p>
          <w:p w14:paraId="436117E8">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★技术参数，中标公示期间须提供有资质的第三方检测机构出具的CMA检测报告扫描件。</w:t>
            </w:r>
          </w:p>
          <w:p w14:paraId="6F0E2FA9">
            <w:pPr>
              <w:keepNext/>
              <w:keepLines w:val="0"/>
              <w:pageBreakBefore w:val="0"/>
              <w:widowControl w:val="0"/>
              <w:numPr>
                <w:ilvl w:val="0"/>
                <w:numId w:val="0"/>
              </w:numPr>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注：偏离表中的内容须是投标人投标产品的真实反映，投标人在投标时不得虚假响应和虚假承诺，否则将取消其投标资格；已中标的，将取消其中标资格。</w:t>
            </w:r>
          </w:p>
        </w:tc>
        <w:tc>
          <w:tcPr>
            <w:tcW w:w="986" w:type="dxa"/>
            <w:noWrap w:val="0"/>
            <w:vAlign w:val="center"/>
          </w:tcPr>
          <w:p w14:paraId="4D3FC2CB">
            <w:pPr>
              <w:keepNext/>
              <w:snapToGrid w:val="0"/>
              <w:spacing w:after="0" w:line="240" w:lineRule="auto"/>
              <w:ind w:left="0" w:leftChars="0" w:right="0" w:rightChars="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16</w:t>
            </w:r>
            <w:r>
              <w:rPr>
                <w:rFonts w:hint="eastAsia" w:ascii="宋体" w:hAnsi="宋体" w:eastAsia="宋体" w:cs="宋体"/>
                <w:sz w:val="24"/>
                <w:szCs w:val="24"/>
                <w:highlight w:val="none"/>
              </w:rPr>
              <w:t>分</w:t>
            </w:r>
          </w:p>
        </w:tc>
      </w:tr>
      <w:tr w14:paraId="70C9B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944" w:type="dxa"/>
            <w:noWrap w:val="0"/>
            <w:vAlign w:val="center"/>
          </w:tcPr>
          <w:p w14:paraId="3A30DD55">
            <w:pPr>
              <w:keepNext/>
              <w:snapToGrid w:val="0"/>
              <w:spacing w:after="0" w:line="240" w:lineRule="auto"/>
              <w:ind w:left="0" w:leftChars="0" w:right="0" w:rightChars="0" w:firstLine="0" w:firstLineChars="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3</w:t>
            </w:r>
          </w:p>
        </w:tc>
        <w:tc>
          <w:tcPr>
            <w:tcW w:w="2062" w:type="dxa"/>
            <w:noWrap w:val="0"/>
            <w:vAlign w:val="center"/>
          </w:tcPr>
          <w:p w14:paraId="6EE13D5B">
            <w:pPr>
              <w:keepNext/>
              <w:snapToGrid w:val="0"/>
              <w:spacing w:after="0" w:line="24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视频演示</w:t>
            </w:r>
          </w:p>
        </w:tc>
        <w:tc>
          <w:tcPr>
            <w:tcW w:w="4531" w:type="dxa"/>
            <w:shd w:val="clear" w:color="auto" w:fill="auto"/>
            <w:noWrap w:val="0"/>
            <w:vAlign w:val="center"/>
          </w:tcPr>
          <w:p w14:paraId="10172D3A">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招标文件中</w:t>
            </w:r>
            <w:r>
              <w:rPr>
                <w:rFonts w:hint="eastAsia" w:ascii="宋体" w:hAnsi="宋体" w:eastAsia="宋体" w:cs="宋体"/>
                <w:color w:val="000000"/>
                <w:sz w:val="24"/>
                <w:szCs w:val="24"/>
                <w:highlight w:val="none"/>
                <w:lang w:val="en-US" w:eastAsia="zh-CN"/>
              </w:rPr>
              <w:t>以下产品视频演示：</w:t>
            </w:r>
          </w:p>
          <w:p w14:paraId="5A159321">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default"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rPr>
              <w:t>演示产品型号须与所投产品型号一致，投标人需按照招标文件规定的演示内容制作演示视频文件，系统演示统一采用视频录制方式进行功能演示</w:t>
            </w:r>
            <w:r>
              <w:rPr>
                <w:rFonts w:hint="eastAsia" w:ascii="宋体" w:hAnsi="宋体" w:eastAsia="宋体" w:cs="宋体"/>
                <w:b/>
                <w:bCs/>
                <w:color w:val="000000"/>
                <w:sz w:val="24"/>
                <w:szCs w:val="24"/>
                <w:highlight w:val="none"/>
              </w:rPr>
              <w:t>（视频画面须清晰</w:t>
            </w:r>
            <w:r>
              <w:rPr>
                <w:rFonts w:hint="eastAsia" w:ascii="宋体" w:hAnsi="宋体" w:eastAsia="宋体" w:cs="宋体"/>
                <w:b/>
                <w:bCs/>
                <w:color w:val="000000"/>
                <w:sz w:val="24"/>
                <w:szCs w:val="24"/>
                <w:highlight w:val="none"/>
                <w:lang w:val="en-US" w:eastAsia="zh-CN"/>
              </w:rPr>
              <w:t>且能清楚体现下列每个功能</w:t>
            </w:r>
            <w:r>
              <w:rPr>
                <w:rFonts w:hint="eastAsia" w:ascii="宋体" w:hAnsi="宋体" w:eastAsia="宋体" w:cs="宋体"/>
                <w:b/>
                <w:bCs/>
                <w:color w:val="000000"/>
                <w:sz w:val="24"/>
                <w:szCs w:val="24"/>
                <w:highlight w:val="none"/>
              </w:rPr>
              <w:t>，视频中可以录制声音）</w:t>
            </w:r>
            <w:r>
              <w:rPr>
                <w:rFonts w:hint="eastAsia" w:ascii="宋体" w:hAnsi="宋体" w:eastAsia="宋体" w:cs="宋体"/>
                <w:color w:val="000000"/>
                <w:sz w:val="24"/>
                <w:szCs w:val="24"/>
                <w:highlight w:val="none"/>
              </w:rPr>
              <w:t>，总时长不超过15分钟，超过15分钟的部分评委不再评审，单个视频不超过50M</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最多上传6个视频。投标人将演示内容制作成视频文件（MP4格式、AVI格式、WMV格式、3GP格式、MPG格式常用视频播放格式）。</w:t>
            </w:r>
            <w:r>
              <w:rPr>
                <w:rFonts w:hint="eastAsia" w:ascii="宋体" w:hAnsi="宋体" w:eastAsia="宋体" w:cs="宋体"/>
                <w:b/>
                <w:bCs/>
                <w:color w:val="000000"/>
                <w:sz w:val="24"/>
                <w:szCs w:val="24"/>
                <w:highlight w:val="none"/>
                <w:lang w:val="en-US" w:eastAsia="zh-CN"/>
              </w:rPr>
              <w:t>下面系统功能共计19项，每有一项得1分，没有不得分。本项最高分19分。</w:t>
            </w:r>
          </w:p>
          <w:p w14:paraId="7A8C7BCE">
            <w:pPr>
              <w:keepNext/>
              <w:keepLines w:val="0"/>
              <w:pageBreakBefore w:val="0"/>
              <w:widowControl w:val="0"/>
              <w:numPr>
                <w:ilvl w:val="0"/>
                <w:numId w:val="4"/>
              </w:numPr>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多维统合训练系统，针对每一个进行功能演示：</w:t>
            </w:r>
          </w:p>
          <w:p w14:paraId="07E9283D">
            <w:pPr>
              <w:keepNext/>
              <w:keepLines w:val="0"/>
              <w:pageBreakBefore w:val="0"/>
              <w:widowControl w:val="0"/>
              <w:numPr>
                <w:numId w:val="0"/>
              </w:numPr>
              <w:kinsoku/>
              <w:wordWrap/>
              <w:overflowPunct/>
              <w:topLinePunct w:val="0"/>
              <w:autoSpaceDE/>
              <w:autoSpaceDN/>
              <w:bidi w:val="0"/>
              <w:adjustRightInd/>
              <w:snapToGrid w:val="0"/>
              <w:spacing w:after="0" w:line="240" w:lineRule="auto"/>
              <w:ind w:leftChars="0" w:right="0" w:rightChars="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1）视听统合模式</w:t>
            </w:r>
            <w:r>
              <w:rPr>
                <w:rFonts w:hint="eastAsia" w:ascii="宋体" w:hAnsi="宋体" w:eastAsia="宋体" w:cs="宋体"/>
                <w:color w:val="000000"/>
                <w:sz w:val="24"/>
                <w:szCs w:val="24"/>
                <w:highlight w:val="none"/>
                <w:lang w:val="en-US" w:eastAsia="zh-CN"/>
              </w:rPr>
              <w:br w:type="textWrapping"/>
            </w:r>
            <w:r>
              <w:rPr>
                <w:rFonts w:hint="eastAsia" w:ascii="宋体" w:hAnsi="宋体" w:eastAsia="宋体" w:cs="宋体"/>
                <w:color w:val="000000"/>
                <w:sz w:val="24"/>
                <w:szCs w:val="24"/>
                <w:highlight w:val="none"/>
                <w:lang w:val="en-US" w:eastAsia="zh-CN"/>
              </w:rPr>
              <w:t>舒尔特卡片同时显示多个图案(动物、交通工具、乐器等)，然后系统随机播放声音。儿童需要听声音并找到对应的图案进行点击触控。当成功配对声音与图案时，播放音效作为奖励。如果匹配的声音与图案不成功时，则没有反应或进行错误操作提示语音，已达到孩子在自己探索时，增加试错空间，从而自己找到准确的配对，增强儿童的听觉辨识能力、视觉与听觉的整合能力以及手眼协调能力。</w:t>
            </w:r>
            <w:r>
              <w:rPr>
                <w:rFonts w:hint="eastAsia" w:ascii="宋体" w:hAnsi="宋体" w:eastAsia="宋体" w:cs="宋体"/>
                <w:color w:val="000000"/>
                <w:sz w:val="24"/>
                <w:szCs w:val="24"/>
                <w:highlight w:val="none"/>
                <w:lang w:val="en-US" w:eastAsia="zh-CN"/>
              </w:rPr>
              <w:br w:type="textWrapping"/>
            </w:r>
            <w:r>
              <w:rPr>
                <w:rFonts w:hint="eastAsia" w:ascii="宋体" w:hAnsi="宋体" w:eastAsia="宋体" w:cs="宋体"/>
                <w:color w:val="000000"/>
                <w:sz w:val="24"/>
                <w:szCs w:val="24"/>
                <w:highlight w:val="none"/>
                <w:lang w:val="en-US" w:eastAsia="zh-CN"/>
              </w:rPr>
              <w:t>2）情感表达认知模式</w:t>
            </w:r>
            <w:r>
              <w:rPr>
                <w:rFonts w:hint="eastAsia" w:ascii="宋体" w:hAnsi="宋体" w:eastAsia="宋体" w:cs="宋体"/>
                <w:color w:val="000000"/>
                <w:sz w:val="24"/>
                <w:szCs w:val="24"/>
                <w:highlight w:val="none"/>
                <w:lang w:val="en-US" w:eastAsia="zh-CN"/>
              </w:rPr>
              <w:br w:type="textWrapping"/>
            </w:r>
            <w:r>
              <w:rPr>
                <w:rFonts w:hint="eastAsia" w:ascii="宋体" w:hAnsi="宋体" w:eastAsia="宋体" w:cs="宋体"/>
                <w:color w:val="000000"/>
                <w:sz w:val="24"/>
                <w:szCs w:val="24"/>
                <w:highlight w:val="none"/>
                <w:lang w:val="en-US" w:eastAsia="zh-CN"/>
              </w:rPr>
              <w:t>舒尔特卡片上多个不同表情图标。当按下时会播放一段与该情感相符的音乐或音效，让儿童更好的理解表情含义。为了加强孩子的认知，会加大难度，根据播放的音乐和音效来找出对应的表情图标，帮助儿童识别和表达情感，增强情感认知和共情能力。</w:t>
            </w:r>
          </w:p>
          <w:p w14:paraId="26B33C9C">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2、唱游与律动音乐教学资源平台，针对每一个进行功能演示：</w:t>
            </w:r>
          </w:p>
          <w:p w14:paraId="49C6CC25">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lang w:val="en-US" w:eastAsia="zh"/>
              </w:rPr>
              <w:t>进入</w:t>
            </w:r>
            <w:r>
              <w:rPr>
                <w:rFonts w:hint="eastAsia" w:ascii="宋体" w:hAnsi="宋体" w:eastAsia="宋体" w:cs="宋体"/>
                <w:color w:val="000000"/>
                <w:sz w:val="24"/>
                <w:szCs w:val="24"/>
                <w:highlight w:val="none"/>
                <w:lang w:val="en-US" w:eastAsia="zh-CN"/>
              </w:rPr>
              <w:t>高级</w:t>
            </w:r>
            <w:r>
              <w:rPr>
                <w:rFonts w:hint="eastAsia" w:ascii="宋体" w:hAnsi="宋体" w:eastAsia="宋体" w:cs="宋体"/>
                <w:color w:val="000000"/>
                <w:sz w:val="24"/>
                <w:szCs w:val="24"/>
                <w:highlight w:val="none"/>
                <w:lang w:val="en-US" w:eastAsia="zh"/>
              </w:rPr>
              <w:t>评估</w:t>
            </w:r>
            <w:r>
              <w:rPr>
                <w:rFonts w:hint="eastAsia" w:ascii="宋体" w:hAnsi="宋体" w:eastAsia="宋体" w:cs="宋体"/>
                <w:color w:val="000000"/>
                <w:sz w:val="24"/>
                <w:szCs w:val="24"/>
                <w:highlight w:val="none"/>
                <w:lang w:val="en-US" w:eastAsia="zh-CN"/>
              </w:rPr>
              <w:t>版块</w:t>
            </w:r>
            <w:r>
              <w:rPr>
                <w:rFonts w:hint="eastAsia" w:ascii="宋体" w:hAnsi="宋体" w:eastAsia="宋体" w:cs="宋体"/>
                <w:color w:val="000000"/>
                <w:sz w:val="24"/>
                <w:szCs w:val="24"/>
                <w:highlight w:val="none"/>
                <w:lang w:val="en-US" w:eastAsia="zh"/>
              </w:rPr>
              <w:t>，</w:t>
            </w:r>
            <w:r>
              <w:rPr>
                <w:rFonts w:hint="eastAsia" w:ascii="宋体" w:hAnsi="宋体" w:eastAsia="宋体" w:cs="宋体"/>
                <w:color w:val="000000"/>
                <w:sz w:val="24"/>
                <w:szCs w:val="24"/>
                <w:highlight w:val="none"/>
                <w:lang w:val="en-US" w:eastAsia="zh-CN"/>
              </w:rPr>
              <w:t>应具有智能评估和自主评估两种形式，能针对认知、听觉、语言、运动、社交、感知六大能力进行评估，具有的评估项目不少于10项。</w:t>
            </w:r>
          </w:p>
          <w:p w14:paraId="7238CB44">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2）智能评估记录所有功能评估项目的结果，自主评估记录所选项目的结果，利用柱状图形展现评估数据。</w:t>
            </w:r>
          </w:p>
          <w:p w14:paraId="7093BFDE">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3）社会交往训练版块应具有不少于六种类型的训练内容，包含团体协作、戏剧治疗、情绪体验、社交互动等，训练课程不少于十节/篇。</w:t>
            </w:r>
          </w:p>
          <w:p w14:paraId="39905F4F">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lang w:val="en-US" w:eastAsia="zh"/>
              </w:rPr>
              <w:t>）</w:t>
            </w:r>
            <w:r>
              <w:rPr>
                <w:rFonts w:hint="eastAsia" w:ascii="宋体" w:hAnsi="宋体" w:eastAsia="宋体" w:cs="宋体"/>
                <w:color w:val="000000"/>
                <w:sz w:val="24"/>
                <w:szCs w:val="24"/>
                <w:highlight w:val="none"/>
                <w:lang w:val="en-US" w:eastAsia="zh-CN"/>
              </w:rPr>
              <w:t>根据倾听的歌曲进行演唱，也可选择歌曲伴奏，能进行音阶练习、跳音练习、气息练习等训练。</w:t>
            </w:r>
          </w:p>
          <w:p w14:paraId="38CEC94C">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color w:val="000000"/>
                <w:sz w:val="24"/>
                <w:szCs w:val="24"/>
                <w:highlight w:val="none"/>
                <w:lang w:val="en-US" w:eastAsia="zh"/>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lang w:val="en-US" w:eastAsia="zh"/>
              </w:rPr>
              <w:t>）课程融入劳动教育主题，将日常劳动动作转化为律动教学素材，并配套创编不少于3套主题律动组合，让学生在韵律中体验劳动。</w:t>
            </w:r>
          </w:p>
          <w:p w14:paraId="207B0E9E">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color w:val="000000"/>
                <w:sz w:val="24"/>
                <w:szCs w:val="24"/>
                <w:highlight w:val="none"/>
                <w:lang w:val="en-US" w:eastAsia="zh"/>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lang w:val="en-US" w:eastAsia="zh"/>
              </w:rPr>
              <w:t>）课程融入体育教育主题，其中包含以篮球运动为基础动作创编的课程内容，亦有将武术元素融入教学活动设计的相关内容。</w:t>
            </w:r>
          </w:p>
          <w:p w14:paraId="40AD8315">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3、3D沉浸式智慧康复系统，针对每一个进行功能演示：</w:t>
            </w:r>
          </w:p>
          <w:p w14:paraId="3C9B4AA1">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1）“课堂、超市、动物园、医院、餐厅、街道”场景实拍，支持可现实场景演练，使用户在逼真的环境中熟悉特定的生活场景、学习生活常识、泛化社交技能。</w:t>
            </w:r>
          </w:p>
          <w:p w14:paraId="5F37510F">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提供感受情绪、识别情感、表达情感、抚慰情绪功能实拍,支持利用投影系统构成的沉浸式环境，以音乐治疗相关理论为指导，让儿童在精心挑选的音乐和视频组合中感受情绪情感的变化，培养对情绪情感的识别力。</w:t>
            </w:r>
          </w:p>
          <w:p w14:paraId="0A2EAE41">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4、</w:t>
            </w:r>
            <w:r>
              <w:rPr>
                <w:rFonts w:hint="eastAsia" w:ascii="宋体" w:hAnsi="宋体" w:eastAsia="宋体" w:cs="宋体"/>
                <w:b/>
                <w:bCs/>
                <w:sz w:val="24"/>
                <w:szCs w:val="24"/>
                <w:highlight w:val="none"/>
                <w:lang w:val="en-US" w:eastAsia="zh-CN"/>
              </w:rPr>
              <w:t>音乐互动仪</w:t>
            </w:r>
            <w:r>
              <w:rPr>
                <w:rFonts w:hint="eastAsia" w:ascii="宋体" w:hAnsi="宋体" w:eastAsia="宋体" w:cs="宋体"/>
                <w:b/>
                <w:bCs/>
                <w:color w:val="000000"/>
                <w:sz w:val="24"/>
                <w:szCs w:val="24"/>
                <w:highlight w:val="none"/>
                <w:lang w:val="en-US" w:eastAsia="zh-CN"/>
              </w:rPr>
              <w:t>，针对每一个进行功能演示：</w:t>
            </w:r>
          </w:p>
          <w:p w14:paraId="657A5616">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1）引导模式：提供简谱与和弦两种演奏训练方式，通过灯光指引完成乐曲演奏，并支持至少11种乐器音色切换。</w:t>
            </w:r>
          </w:p>
          <w:p w14:paraId="1BB9E897">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2）我的音量我做主模式：包含学习模式与训练模式，在不少于五个音量等级中匹配不同生活与教学场景，提升声音调控意识。</w:t>
            </w:r>
          </w:p>
          <w:p w14:paraId="0D864583">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3）聆听模式：含有音乐欣赏和音乐盲盒两个模块，音乐欣赏包含不少于5个主题的音乐素材，音乐盲盒提供至少4类随机触发的视听主题音乐素材，增强听觉体验的趣味性与探索性。</w:t>
            </w:r>
          </w:p>
          <w:p w14:paraId="681E54D1">
            <w:pPr>
              <w:pStyle w:val="4"/>
              <w:keepNext/>
              <w:keepLines/>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5、儿童康复综合服务平台，针对每一个进行功能演示：</w:t>
            </w:r>
          </w:p>
          <w:p w14:paraId="016985F3">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儿童康复综合服务平台至少包含康复训练端、康复师小程序端、家长端、云后台管理端，四个端口。云后台管理端包含工作看台、组织架构、学员管理、评估管理、教务管理、综合记录、活动管理、运营数据、角色管理、人员管理等版块。</w:t>
            </w:r>
          </w:p>
          <w:p w14:paraId="098AA13B">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2）可在评估管理版块中自定义选择某几项分项测评的评估报告生成综合评估报告，根据教师实际需求生成更智能化与便捷。</w:t>
            </w:r>
          </w:p>
          <w:p w14:paraId="5ECB17ED">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活动管理版块可新建活动，新建活动至少包含活动头图、活动标题、运营工具、工具详情、显示结果和活动有效期等版块。活动发布后自动生成活动数据报表（当日新增测评人数、累计测评人数、活动分享次数、当日新增参与人数、累计活动参与人数）、活动评估报告（报告可导出）、生成活动专属二维码等。</w:t>
            </w:r>
          </w:p>
          <w:p w14:paraId="2448A165">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康复师小程序端具有工作台和数据中心两个核心模块。工作看台包含教务管理、运营工具、审核管理，数据中心包含本日统计、机构管理、机构统计、学生统计。教师通过小程序端口可管理班级、学生、课表、康复记录、作业管理（可布置作业），可在教案中心查看机构教案、平台教案和我的教案，可自定义添加其他教案。可在康复记录中添加学生训练记录，包含课程名称、课程学生、课程时间、训练内容、完成内容和其他内容。记录均可上传图片和视频。</w:t>
            </w:r>
          </w:p>
          <w:p w14:paraId="218E6BC9">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可视化数据看板包括：包含老师在职人数、学员累计人数、活跃用户趋势、评测累计数量、评测转化率和复测率、病症类型人数统计、排课累计数量、课时累计数量、康复记录发布累计数、家训累计总时长、家训时长趋势图、教案使用率、排课消课趋势、考勤请假趋势等。可满足康复中心教学数据分析功能。</w:t>
            </w:r>
          </w:p>
          <w:p w14:paraId="5EF2D35F">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6）感统能力评估智能生成评估结果，含评估总体结果、维度详细分析、训练计划、推荐课程（真人教学视频），推荐课程内容可在评估报告中直接点击跳转。</w:t>
            </w:r>
          </w:p>
        </w:tc>
        <w:tc>
          <w:tcPr>
            <w:tcW w:w="986" w:type="dxa"/>
            <w:noWrap w:val="0"/>
            <w:vAlign w:val="center"/>
          </w:tcPr>
          <w:p w14:paraId="5A75438D">
            <w:pPr>
              <w:keepNext/>
              <w:snapToGrid w:val="0"/>
              <w:spacing w:after="0" w:line="240" w:lineRule="auto"/>
              <w:ind w:left="0" w:leftChars="0" w:right="0" w:rightChars="0" w:firstLine="0" w:firstLineChars="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19分</w:t>
            </w:r>
          </w:p>
        </w:tc>
      </w:tr>
      <w:tr w14:paraId="051D6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944" w:type="dxa"/>
            <w:noWrap w:val="0"/>
            <w:vAlign w:val="center"/>
          </w:tcPr>
          <w:p w14:paraId="4D47D53E">
            <w:pPr>
              <w:keepNext/>
              <w:snapToGrid w:val="0"/>
              <w:spacing w:after="0" w:line="240" w:lineRule="auto"/>
              <w:ind w:left="0" w:leftChars="0" w:right="0" w:rightChars="0" w:firstLine="0" w:firstLineChars="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4</w:t>
            </w:r>
          </w:p>
        </w:tc>
        <w:tc>
          <w:tcPr>
            <w:tcW w:w="2062" w:type="dxa"/>
            <w:noWrap w:val="0"/>
            <w:vAlign w:val="center"/>
          </w:tcPr>
          <w:p w14:paraId="2E84B2A0">
            <w:pPr>
              <w:keepNext/>
              <w:snapToGrid w:val="0"/>
              <w:spacing w:after="0"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项目业绩</w:t>
            </w:r>
          </w:p>
        </w:tc>
        <w:tc>
          <w:tcPr>
            <w:tcW w:w="4531" w:type="dxa"/>
            <w:noWrap w:val="0"/>
            <w:vAlign w:val="center"/>
          </w:tcPr>
          <w:p w14:paraId="2A15B6BB">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sz w:val="24"/>
                <w:szCs w:val="24"/>
                <w:highlight w:val="none"/>
              </w:rPr>
              <w:t>投标人</w:t>
            </w:r>
            <w:r>
              <w:rPr>
                <w:rFonts w:hint="eastAsia" w:ascii="宋体" w:hAnsi="宋体" w:eastAsia="宋体" w:cs="宋体"/>
                <w:b w:val="0"/>
                <w:bCs w:val="0"/>
                <w:color w:val="000000"/>
                <w:sz w:val="24"/>
                <w:szCs w:val="24"/>
                <w:highlight w:val="none"/>
              </w:rPr>
              <w:t>自2022年1月1日（以签订合同时间为准）以来，承担过类似项目业绩的，有1项得</w:t>
            </w:r>
            <w:r>
              <w:rPr>
                <w:rFonts w:hint="eastAsia" w:ascii="宋体" w:hAnsi="宋体" w:eastAsia="宋体" w:cs="宋体"/>
                <w:b w:val="0"/>
                <w:bCs w:val="0"/>
                <w:color w:val="000000"/>
                <w:sz w:val="24"/>
                <w:szCs w:val="24"/>
                <w:highlight w:val="none"/>
                <w:lang w:val="en-US" w:eastAsia="zh-CN"/>
              </w:rPr>
              <w:t>1</w:t>
            </w:r>
            <w:r>
              <w:rPr>
                <w:rFonts w:hint="eastAsia" w:ascii="宋体" w:hAnsi="宋体" w:eastAsia="宋体" w:cs="宋体"/>
                <w:b w:val="0"/>
                <w:bCs w:val="0"/>
                <w:color w:val="000000"/>
                <w:sz w:val="24"/>
                <w:szCs w:val="24"/>
                <w:highlight w:val="none"/>
              </w:rPr>
              <w:t>分，本项最多得</w:t>
            </w:r>
            <w:r>
              <w:rPr>
                <w:rFonts w:hint="eastAsia" w:ascii="宋体" w:hAnsi="宋体" w:eastAsia="宋体" w:cs="宋体"/>
                <w:b w:val="0"/>
                <w:bCs w:val="0"/>
                <w:color w:val="000000"/>
                <w:sz w:val="24"/>
                <w:szCs w:val="24"/>
                <w:highlight w:val="none"/>
                <w:lang w:val="en-US" w:eastAsia="zh-CN"/>
              </w:rPr>
              <w:t>4</w:t>
            </w:r>
            <w:r>
              <w:rPr>
                <w:rFonts w:hint="eastAsia" w:ascii="宋体" w:hAnsi="宋体" w:eastAsia="宋体" w:cs="宋体"/>
                <w:b w:val="0"/>
                <w:bCs w:val="0"/>
                <w:color w:val="000000"/>
                <w:sz w:val="24"/>
                <w:szCs w:val="24"/>
                <w:highlight w:val="none"/>
              </w:rPr>
              <w:t>分。</w:t>
            </w:r>
          </w:p>
          <w:p w14:paraId="2F3CE2EA">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投标时提供合同</w:t>
            </w:r>
            <w:r>
              <w:rPr>
                <w:rFonts w:hint="eastAsia" w:ascii="宋体" w:hAnsi="宋体" w:eastAsia="宋体" w:cs="宋体"/>
                <w:b w:val="0"/>
                <w:bCs w:val="0"/>
                <w:color w:val="000000"/>
                <w:sz w:val="24"/>
                <w:szCs w:val="24"/>
                <w:highlight w:val="none"/>
                <w:lang w:val="en-US" w:eastAsia="zh-CN"/>
              </w:rPr>
              <w:t>完整</w:t>
            </w:r>
            <w:r>
              <w:rPr>
                <w:rFonts w:hint="eastAsia" w:ascii="宋体" w:hAnsi="宋体" w:eastAsia="宋体" w:cs="宋体"/>
                <w:b w:val="0"/>
                <w:bCs w:val="0"/>
                <w:color w:val="000000"/>
                <w:sz w:val="24"/>
                <w:szCs w:val="24"/>
                <w:highlight w:val="none"/>
              </w:rPr>
              <w:t>扫描件，未提供或提供不全不得分。</w:t>
            </w:r>
          </w:p>
        </w:tc>
        <w:tc>
          <w:tcPr>
            <w:tcW w:w="986" w:type="dxa"/>
            <w:noWrap w:val="0"/>
            <w:vAlign w:val="center"/>
          </w:tcPr>
          <w:p w14:paraId="4B2FAF24">
            <w:pPr>
              <w:keepNext/>
              <w:snapToGrid w:val="0"/>
              <w:spacing w:after="0" w:line="240" w:lineRule="auto"/>
              <w:ind w:left="0" w:leftChars="0" w:right="0" w:rightChars="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分</w:t>
            </w:r>
          </w:p>
        </w:tc>
      </w:tr>
      <w:tr w14:paraId="118FB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944" w:type="dxa"/>
            <w:noWrap w:val="0"/>
            <w:vAlign w:val="center"/>
          </w:tcPr>
          <w:p w14:paraId="2D4B684A">
            <w:pPr>
              <w:keepNext/>
              <w:snapToGrid w:val="0"/>
              <w:spacing w:after="0" w:line="240" w:lineRule="auto"/>
              <w:ind w:left="0" w:leftChars="0" w:right="0" w:rightChars="0" w:firstLine="0" w:firstLineChars="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5</w:t>
            </w:r>
          </w:p>
        </w:tc>
        <w:tc>
          <w:tcPr>
            <w:tcW w:w="2062" w:type="dxa"/>
            <w:noWrap w:val="0"/>
            <w:vAlign w:val="center"/>
          </w:tcPr>
          <w:p w14:paraId="2D539D37">
            <w:pPr>
              <w:keepNext/>
              <w:snapToGrid w:val="0"/>
              <w:spacing w:after="0" w:line="240" w:lineRule="auto"/>
              <w:ind w:left="0" w:leftChars="0" w:right="0" w:rightChars="0" w:firstLine="0" w:firstLineChars="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人员证书</w:t>
            </w:r>
          </w:p>
        </w:tc>
        <w:tc>
          <w:tcPr>
            <w:tcW w:w="4531" w:type="dxa"/>
            <w:noWrap w:val="0"/>
            <w:vAlign w:val="center"/>
          </w:tcPr>
          <w:p w14:paraId="2F58C845">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供应商或制造商的培训师具备感统教育指导师证书、蒙氏训练指导证书、</w:t>
            </w:r>
            <w:r>
              <w:rPr>
                <w:rFonts w:hint="eastAsia" w:ascii="宋体" w:hAnsi="宋体" w:eastAsia="宋体" w:cs="宋体"/>
                <w:b w:val="0"/>
                <w:bCs w:val="0"/>
                <w:color w:val="000000"/>
                <w:sz w:val="24"/>
                <w:szCs w:val="24"/>
                <w:highlight w:val="none"/>
                <w:lang w:val="en-US" w:eastAsia="zh-CN"/>
              </w:rPr>
              <w:t>多元智能训练指导证书、</w:t>
            </w:r>
            <w:r>
              <w:rPr>
                <w:rFonts w:hint="eastAsia" w:ascii="宋体" w:hAnsi="宋体" w:eastAsia="宋体" w:cs="宋体"/>
                <w:b w:val="0"/>
                <w:bCs w:val="0"/>
                <w:color w:val="000000"/>
                <w:sz w:val="24"/>
                <w:szCs w:val="24"/>
                <w:highlight w:val="none"/>
              </w:rPr>
              <w:t>音乐治疗指导师初级及以上证书、听力语言技术师证书，</w:t>
            </w:r>
            <w:r>
              <w:rPr>
                <w:rFonts w:hint="eastAsia" w:ascii="宋体" w:hAnsi="宋体" w:eastAsia="宋体" w:cs="宋体"/>
                <w:b w:val="0"/>
                <w:bCs w:val="0"/>
                <w:color w:val="000000"/>
                <w:sz w:val="24"/>
                <w:szCs w:val="24"/>
                <w:highlight w:val="none"/>
                <w:lang w:val="en-US" w:eastAsia="zh-CN"/>
              </w:rPr>
              <w:t>提供</w:t>
            </w:r>
            <w:r>
              <w:rPr>
                <w:rFonts w:hint="eastAsia" w:ascii="宋体" w:hAnsi="宋体" w:eastAsia="宋体" w:cs="宋体"/>
                <w:b w:val="0"/>
                <w:bCs w:val="0"/>
                <w:color w:val="000000"/>
                <w:sz w:val="24"/>
                <w:szCs w:val="24"/>
                <w:highlight w:val="none"/>
              </w:rPr>
              <w:t>1</w:t>
            </w:r>
            <w:r>
              <w:rPr>
                <w:rFonts w:hint="eastAsia" w:ascii="宋体" w:hAnsi="宋体" w:eastAsia="宋体" w:cs="宋体"/>
                <w:b w:val="0"/>
                <w:bCs w:val="0"/>
                <w:color w:val="000000"/>
                <w:sz w:val="24"/>
                <w:szCs w:val="24"/>
                <w:highlight w:val="none"/>
                <w:lang w:val="en-US" w:eastAsia="zh-CN"/>
              </w:rPr>
              <w:t>种</w:t>
            </w:r>
            <w:r>
              <w:rPr>
                <w:rFonts w:hint="eastAsia" w:ascii="宋体" w:hAnsi="宋体" w:eastAsia="宋体" w:cs="宋体"/>
                <w:b w:val="0"/>
                <w:bCs w:val="0"/>
                <w:color w:val="000000"/>
                <w:sz w:val="24"/>
                <w:szCs w:val="24"/>
                <w:highlight w:val="none"/>
              </w:rPr>
              <w:t>得1分，最多得</w:t>
            </w:r>
            <w:r>
              <w:rPr>
                <w:rFonts w:hint="eastAsia" w:ascii="宋体" w:hAnsi="宋体" w:eastAsia="宋体" w:cs="宋体"/>
                <w:b w:val="0"/>
                <w:bCs w:val="0"/>
                <w:color w:val="000000"/>
                <w:sz w:val="24"/>
                <w:szCs w:val="24"/>
                <w:highlight w:val="none"/>
                <w:lang w:val="en-US" w:eastAsia="zh-CN"/>
              </w:rPr>
              <w:t>5</w:t>
            </w:r>
            <w:r>
              <w:rPr>
                <w:rFonts w:hint="eastAsia" w:ascii="宋体" w:hAnsi="宋体" w:eastAsia="宋体" w:cs="宋体"/>
                <w:b w:val="0"/>
                <w:bCs w:val="0"/>
                <w:color w:val="000000"/>
                <w:sz w:val="24"/>
                <w:szCs w:val="24"/>
                <w:highlight w:val="none"/>
              </w:rPr>
              <w:t>分。</w:t>
            </w:r>
          </w:p>
          <w:p w14:paraId="0F24C253">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投标时须提供有资质的认证机构出具的处于有效期内的认证证书扫描件，未提供不得分。</w:t>
            </w:r>
          </w:p>
        </w:tc>
        <w:tc>
          <w:tcPr>
            <w:tcW w:w="986" w:type="dxa"/>
            <w:noWrap w:val="0"/>
            <w:vAlign w:val="center"/>
          </w:tcPr>
          <w:p w14:paraId="11E87689">
            <w:pPr>
              <w:keepNext/>
              <w:snapToGrid w:val="0"/>
              <w:spacing w:after="0" w:line="240" w:lineRule="auto"/>
              <w:ind w:left="0" w:leftChars="0" w:right="0" w:rightChars="0" w:firstLine="0" w:firstLineChars="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w:t>
            </w:r>
          </w:p>
        </w:tc>
      </w:tr>
      <w:tr w14:paraId="11753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944" w:type="dxa"/>
            <w:noWrap w:val="0"/>
            <w:vAlign w:val="center"/>
          </w:tcPr>
          <w:p w14:paraId="6442D101">
            <w:pPr>
              <w:keepNext/>
              <w:snapToGrid w:val="0"/>
              <w:spacing w:after="0" w:line="240" w:lineRule="auto"/>
              <w:ind w:left="0" w:leftChars="0" w:right="0" w:rightChars="0" w:firstLine="0" w:firstLineChars="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6</w:t>
            </w:r>
          </w:p>
        </w:tc>
        <w:tc>
          <w:tcPr>
            <w:tcW w:w="2062" w:type="dxa"/>
            <w:noWrap w:val="0"/>
            <w:vAlign w:val="center"/>
          </w:tcPr>
          <w:p w14:paraId="17D079A0">
            <w:pPr>
              <w:keepNext/>
              <w:snapToGrid w:val="0"/>
              <w:spacing w:after="0" w:line="240" w:lineRule="auto"/>
              <w:ind w:left="0" w:leftChars="0" w:right="0" w:rightChars="0" w:firstLine="0" w:firstLineChars="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项目实施方案</w:t>
            </w:r>
          </w:p>
        </w:tc>
        <w:tc>
          <w:tcPr>
            <w:tcW w:w="4531" w:type="dxa"/>
            <w:noWrap w:val="0"/>
            <w:vAlign w:val="center"/>
          </w:tcPr>
          <w:p w14:paraId="17ED8ADA">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根据投标人提供的方案进行评审，方案需包含：（1）</w:t>
            </w:r>
            <w:r>
              <w:rPr>
                <w:rFonts w:hint="eastAsia" w:ascii="宋体" w:hAnsi="宋体" w:eastAsia="宋体" w:cs="宋体"/>
                <w:sz w:val="24"/>
                <w:szCs w:val="24"/>
                <w:highlight w:val="none"/>
                <w:lang w:val="en-US" w:eastAsia="zh-CN"/>
              </w:rPr>
              <w:t>供货方案，</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）安装调试方案，（</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）质量保证措施，（</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）应急预案；</w:t>
            </w:r>
          </w:p>
          <w:p w14:paraId="6BCCC8C2">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针对方案描述内容进行评定，符合项目需求得8分；基本符合项目需求得6分；与项目需求响应度低得4分。未提供或提供不全的不得分。</w:t>
            </w:r>
          </w:p>
        </w:tc>
        <w:tc>
          <w:tcPr>
            <w:tcW w:w="986" w:type="dxa"/>
            <w:noWrap w:val="0"/>
            <w:vAlign w:val="center"/>
          </w:tcPr>
          <w:p w14:paraId="2A7873AF">
            <w:pPr>
              <w:keepNext/>
              <w:snapToGrid w:val="0"/>
              <w:spacing w:after="0" w:line="240" w:lineRule="auto"/>
              <w:ind w:left="0" w:leftChars="0" w:right="0" w:rightChars="0" w:firstLine="0" w:firstLineChars="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分</w:t>
            </w:r>
          </w:p>
        </w:tc>
      </w:tr>
      <w:tr w14:paraId="23B3C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944" w:type="dxa"/>
            <w:noWrap w:val="0"/>
            <w:vAlign w:val="center"/>
          </w:tcPr>
          <w:p w14:paraId="22A594FC">
            <w:pPr>
              <w:keepNext/>
              <w:snapToGrid w:val="0"/>
              <w:spacing w:after="0" w:line="240" w:lineRule="auto"/>
              <w:ind w:left="0" w:leftChars="0" w:right="0" w:rightChars="0" w:firstLine="0" w:firstLineChars="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7</w:t>
            </w:r>
          </w:p>
        </w:tc>
        <w:tc>
          <w:tcPr>
            <w:tcW w:w="2062" w:type="dxa"/>
            <w:noWrap w:val="0"/>
            <w:vAlign w:val="center"/>
          </w:tcPr>
          <w:p w14:paraId="00D2DA88">
            <w:pPr>
              <w:keepNext/>
              <w:snapToGrid w:val="0"/>
              <w:spacing w:after="0" w:line="240" w:lineRule="auto"/>
              <w:ind w:left="0" w:leftChars="0" w:right="0" w:rightChars="0" w:firstLine="0" w:firstLineChars="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进度计划方案</w:t>
            </w:r>
          </w:p>
        </w:tc>
        <w:tc>
          <w:tcPr>
            <w:tcW w:w="4531" w:type="dxa"/>
            <w:noWrap w:val="0"/>
            <w:vAlign w:val="center"/>
          </w:tcPr>
          <w:p w14:paraId="056014AF">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根据投标人提供的方案进行评审，方案需包含：（1）备货及运输计划，（2）</w:t>
            </w:r>
            <w:r>
              <w:rPr>
                <w:rFonts w:hint="eastAsia" w:ascii="宋体" w:hAnsi="宋体" w:eastAsia="宋体" w:cs="宋体"/>
                <w:sz w:val="24"/>
                <w:szCs w:val="24"/>
                <w:highlight w:val="none"/>
                <w:lang w:val="en-US" w:eastAsia="zh-CN"/>
              </w:rPr>
              <w:t>供货周期</w:t>
            </w:r>
            <w:r>
              <w:rPr>
                <w:rFonts w:hint="eastAsia" w:ascii="宋体" w:hAnsi="宋体" w:eastAsia="宋体" w:cs="宋体"/>
                <w:sz w:val="24"/>
                <w:szCs w:val="24"/>
                <w:highlight w:val="none"/>
              </w:rPr>
              <w:t>，（3）安装进度计划；</w:t>
            </w:r>
          </w:p>
          <w:p w14:paraId="1EAAD20D">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针对方案描述内容进行评定，符合项目需求得6分；基本符合项目需求得4分；与项目需求响应度低得2分。未提供或提供不全的不得分。</w:t>
            </w:r>
          </w:p>
        </w:tc>
        <w:tc>
          <w:tcPr>
            <w:tcW w:w="986" w:type="dxa"/>
            <w:noWrap w:val="0"/>
            <w:vAlign w:val="center"/>
          </w:tcPr>
          <w:p w14:paraId="1C9C9557">
            <w:pPr>
              <w:keepNext/>
              <w:snapToGrid w:val="0"/>
              <w:spacing w:after="0" w:line="240" w:lineRule="auto"/>
              <w:ind w:left="0" w:leftChars="0" w:right="0" w:rightChars="0" w:firstLine="0" w:firstLineChars="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p>
        </w:tc>
      </w:tr>
      <w:tr w14:paraId="4A9DF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944" w:type="dxa"/>
            <w:noWrap w:val="0"/>
            <w:vAlign w:val="center"/>
          </w:tcPr>
          <w:p w14:paraId="1C3B9CE9">
            <w:pPr>
              <w:keepNext/>
              <w:snapToGrid w:val="0"/>
              <w:spacing w:after="0" w:line="240" w:lineRule="auto"/>
              <w:ind w:left="0" w:leftChars="0" w:right="0" w:rightChars="0" w:firstLine="0" w:firstLineChars="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8</w:t>
            </w:r>
          </w:p>
        </w:tc>
        <w:tc>
          <w:tcPr>
            <w:tcW w:w="2062" w:type="dxa"/>
            <w:noWrap w:val="0"/>
            <w:vAlign w:val="center"/>
          </w:tcPr>
          <w:p w14:paraId="61774129">
            <w:pPr>
              <w:keepNext/>
              <w:snapToGrid w:val="0"/>
              <w:spacing w:after="0" w:line="240" w:lineRule="auto"/>
              <w:ind w:left="0" w:leftChars="0" w:right="0" w:rightChars="0" w:firstLine="0" w:firstLineChars="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售后服务方案</w:t>
            </w:r>
          </w:p>
        </w:tc>
        <w:tc>
          <w:tcPr>
            <w:tcW w:w="4531" w:type="dxa"/>
            <w:noWrap w:val="0"/>
            <w:vAlign w:val="center"/>
          </w:tcPr>
          <w:p w14:paraId="6575C8A8">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根据投标人提供的方案进行评审，方案需包含：（1）故障处理保障措施，（2）备机备件</w:t>
            </w:r>
            <w:r>
              <w:rPr>
                <w:rFonts w:hint="eastAsia" w:ascii="宋体" w:hAnsi="宋体" w:eastAsia="宋体" w:cs="宋体"/>
                <w:sz w:val="24"/>
                <w:szCs w:val="24"/>
                <w:highlight w:val="none"/>
                <w:lang w:val="en-US" w:eastAsia="zh-CN"/>
              </w:rPr>
              <w:t>供应保障措施</w:t>
            </w:r>
            <w:r>
              <w:rPr>
                <w:rFonts w:hint="eastAsia" w:ascii="宋体" w:hAnsi="宋体" w:eastAsia="宋体" w:cs="宋体"/>
                <w:sz w:val="24"/>
                <w:szCs w:val="24"/>
                <w:highlight w:val="none"/>
              </w:rPr>
              <w:t>，（3）售后服务</w:t>
            </w:r>
            <w:r>
              <w:rPr>
                <w:rFonts w:hint="eastAsia" w:ascii="宋体" w:hAnsi="宋体" w:eastAsia="宋体" w:cs="宋体"/>
                <w:sz w:val="24"/>
                <w:szCs w:val="24"/>
                <w:highlight w:val="none"/>
                <w:lang w:val="en-US" w:eastAsia="zh-CN"/>
              </w:rPr>
              <w:t>响应时间</w:t>
            </w:r>
            <w:r>
              <w:rPr>
                <w:rFonts w:hint="eastAsia" w:ascii="宋体" w:hAnsi="宋体" w:eastAsia="宋体" w:cs="宋体"/>
                <w:sz w:val="24"/>
                <w:szCs w:val="24"/>
                <w:highlight w:val="none"/>
              </w:rPr>
              <w:t>；</w:t>
            </w:r>
          </w:p>
          <w:p w14:paraId="7970E386">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针对方案描述内容进行评定，符合项目需求得6分；基本符合项目需求得4分；与项目需求响应度低得2分。未提供或提供不全的不得分。</w:t>
            </w:r>
          </w:p>
        </w:tc>
        <w:tc>
          <w:tcPr>
            <w:tcW w:w="986" w:type="dxa"/>
            <w:noWrap w:val="0"/>
            <w:vAlign w:val="center"/>
          </w:tcPr>
          <w:p w14:paraId="12BEBE22">
            <w:pPr>
              <w:keepNext/>
              <w:snapToGrid w:val="0"/>
              <w:spacing w:after="0" w:line="240" w:lineRule="auto"/>
              <w:ind w:left="0" w:leftChars="0" w:right="0" w:rightChars="0" w:firstLine="0" w:firstLineChars="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p>
        </w:tc>
      </w:tr>
      <w:tr w14:paraId="2831E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944" w:type="dxa"/>
            <w:noWrap w:val="0"/>
            <w:vAlign w:val="center"/>
          </w:tcPr>
          <w:p w14:paraId="7F27E63F">
            <w:pPr>
              <w:keepNext/>
              <w:snapToGrid w:val="0"/>
              <w:spacing w:after="0" w:line="24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w:t>
            </w:r>
          </w:p>
        </w:tc>
        <w:tc>
          <w:tcPr>
            <w:tcW w:w="2062" w:type="dxa"/>
            <w:noWrap w:val="0"/>
            <w:vAlign w:val="center"/>
          </w:tcPr>
          <w:p w14:paraId="541998C6">
            <w:pPr>
              <w:keepNext/>
              <w:snapToGrid w:val="0"/>
              <w:spacing w:after="0" w:line="240" w:lineRule="auto"/>
              <w:ind w:left="0" w:leftChars="0" w:right="0" w:rightChars="0" w:firstLine="0" w:firstLineChars="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培训方案</w:t>
            </w:r>
          </w:p>
        </w:tc>
        <w:tc>
          <w:tcPr>
            <w:tcW w:w="4531" w:type="dxa"/>
            <w:noWrap w:val="0"/>
            <w:vAlign w:val="center"/>
          </w:tcPr>
          <w:p w14:paraId="2838ADAB">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评委根据供应商提供的培训方案进行评分，包括：培训人员数量；培训时间与次数；</w:t>
            </w:r>
            <w:r>
              <w:rPr>
                <w:rFonts w:hint="eastAsia" w:ascii="宋体" w:hAnsi="宋体" w:eastAsia="宋体" w:cs="宋体"/>
                <w:b w:val="0"/>
                <w:bCs w:val="0"/>
                <w:color w:val="000000"/>
                <w:sz w:val="24"/>
                <w:szCs w:val="24"/>
                <w:highlight w:val="none"/>
                <w:lang w:val="en-US" w:eastAsia="zh-CN"/>
              </w:rPr>
              <w:t>培训时长、</w:t>
            </w:r>
            <w:r>
              <w:rPr>
                <w:rFonts w:hint="eastAsia" w:ascii="宋体" w:hAnsi="宋体" w:eastAsia="宋体" w:cs="宋体"/>
                <w:b w:val="0"/>
                <w:bCs w:val="0"/>
                <w:color w:val="000000"/>
                <w:sz w:val="24"/>
                <w:szCs w:val="24"/>
                <w:highlight w:val="none"/>
              </w:rPr>
              <w:t>培训课程合理性</w:t>
            </w:r>
            <w:r>
              <w:rPr>
                <w:rFonts w:hint="eastAsia" w:ascii="宋体" w:hAnsi="宋体" w:eastAsia="宋体" w:cs="宋体"/>
                <w:b w:val="0"/>
                <w:bCs w:val="0"/>
                <w:color w:val="000000"/>
                <w:sz w:val="24"/>
                <w:szCs w:val="24"/>
                <w:highlight w:val="none"/>
                <w:lang w:val="en-US" w:eastAsia="zh-CN"/>
              </w:rPr>
              <w:t>等</w:t>
            </w:r>
            <w:r>
              <w:rPr>
                <w:rFonts w:hint="eastAsia" w:ascii="宋体" w:hAnsi="宋体" w:eastAsia="宋体" w:cs="宋体"/>
                <w:b w:val="0"/>
                <w:bCs w:val="0"/>
                <w:color w:val="000000"/>
                <w:sz w:val="24"/>
                <w:szCs w:val="24"/>
                <w:highlight w:val="none"/>
              </w:rPr>
              <w:t>；</w:t>
            </w:r>
            <w:r>
              <w:rPr>
                <w:rFonts w:hint="eastAsia" w:ascii="宋体" w:hAnsi="宋体" w:eastAsia="宋体" w:cs="宋体"/>
                <w:b w:val="0"/>
                <w:bCs w:val="0"/>
                <w:color w:val="000000"/>
                <w:sz w:val="24"/>
                <w:szCs w:val="24"/>
                <w:highlight w:val="none"/>
                <w:lang w:val="en-US" w:eastAsia="zh-CN"/>
              </w:rPr>
              <w:t>针对方案描述内容进行评定，</w:t>
            </w:r>
            <w:r>
              <w:rPr>
                <w:rFonts w:hint="eastAsia" w:ascii="宋体" w:hAnsi="宋体" w:eastAsia="宋体" w:cs="宋体"/>
                <w:color w:val="000000"/>
                <w:sz w:val="24"/>
                <w:szCs w:val="24"/>
                <w:highlight w:val="none"/>
                <w:lang w:val="en-US" w:eastAsia="zh-CN"/>
              </w:rPr>
              <w:t>符合项目需求得6分；基本符合项目需求得4分；与项目需求响应度低得2分。未提供或提供不全的不得分。</w:t>
            </w:r>
          </w:p>
        </w:tc>
        <w:tc>
          <w:tcPr>
            <w:tcW w:w="986" w:type="dxa"/>
            <w:noWrap w:val="0"/>
            <w:vAlign w:val="center"/>
          </w:tcPr>
          <w:p w14:paraId="515D67EA">
            <w:pPr>
              <w:keepNext/>
              <w:snapToGrid w:val="0"/>
              <w:spacing w:after="0" w:line="240" w:lineRule="auto"/>
              <w:ind w:left="0" w:leftChars="0" w:right="0" w:rightChars="0" w:firstLine="0" w:firstLineChars="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p>
        </w:tc>
      </w:tr>
    </w:tbl>
    <w:p w14:paraId="366221F3">
      <w:pPr>
        <w:pStyle w:val="32"/>
        <w:spacing w:beforeAutospacing="0" w:afterAutospacing="0" w:line="48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注：1、每部分的得分保留小数点后两位，合计得分保留小数点后两位。</w:t>
      </w:r>
    </w:p>
    <w:p w14:paraId="16EC215E">
      <w:pPr>
        <w:pStyle w:val="32"/>
        <w:spacing w:beforeAutospacing="0" w:afterAutospacing="0" w:line="48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2.所有提供的材料复印件应清晰。若证明材料复印件因模糊等原因，导致评标专家无法判定，最终造成得分不予计取的后果由投标供应商自行承担。</w:t>
      </w:r>
    </w:p>
    <w:p w14:paraId="7CDB8DAC">
      <w:pPr>
        <w:pStyle w:val="32"/>
        <w:spacing w:beforeAutospacing="0" w:afterAutospacing="0"/>
        <w:jc w:val="both"/>
        <w:rPr>
          <w:color w:val="auto"/>
          <w:highlight w:val="none"/>
        </w:rPr>
      </w:pPr>
      <w:r>
        <w:rPr>
          <w:rFonts w:hint="eastAsia" w:ascii="宋体" w:hAnsi="宋体" w:eastAsia="宋体" w:cs="宋体"/>
          <w:color w:val="auto"/>
          <w:highlight w:val="none"/>
        </w:rPr>
        <w:t> </w:t>
      </w:r>
      <w:r>
        <w:rPr>
          <w:color w:val="auto"/>
          <w:highlight w:val="none"/>
        </w:rPr>
        <w:t> </w:t>
      </w:r>
    </w:p>
    <w:bookmarkEnd w:id="31"/>
    <w:bookmarkEnd w:id="45"/>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68"/>
    <w:bookmarkEnd w:id="177"/>
    <w:p w14:paraId="72CA80CB">
      <w:pPr>
        <w:pStyle w:val="32"/>
        <w:spacing w:beforeAutospacing="0" w:afterAutospacing="0"/>
        <w:jc w:val="both"/>
        <w:rPr>
          <w:color w:val="auto"/>
          <w:highlight w:val="none"/>
        </w:rPr>
      </w:pPr>
    </w:p>
    <w:p w14:paraId="525C37C4">
      <w:pPr>
        <w:pStyle w:val="32"/>
        <w:spacing w:beforeAutospacing="0" w:afterAutospacing="0"/>
        <w:jc w:val="both"/>
        <w:rPr>
          <w:color w:val="auto"/>
          <w:highlight w:val="none"/>
        </w:rPr>
      </w:pPr>
    </w:p>
    <w:p w14:paraId="32F32E9B">
      <w:pPr>
        <w:pStyle w:val="32"/>
        <w:spacing w:beforeAutospacing="0" w:afterAutospacing="0"/>
        <w:jc w:val="both"/>
        <w:rPr>
          <w:color w:val="auto"/>
          <w:highlight w:val="none"/>
        </w:rPr>
      </w:pPr>
    </w:p>
    <w:p w14:paraId="167B12C8">
      <w:pPr>
        <w:pStyle w:val="32"/>
        <w:spacing w:beforeAutospacing="0" w:afterAutospacing="0"/>
        <w:jc w:val="both"/>
        <w:rPr>
          <w:color w:val="auto"/>
          <w:highlight w:val="none"/>
        </w:rPr>
      </w:pPr>
    </w:p>
    <w:p w14:paraId="7D7045EA">
      <w:pPr>
        <w:pStyle w:val="32"/>
        <w:spacing w:beforeAutospacing="0" w:afterAutospacing="0"/>
        <w:jc w:val="both"/>
        <w:rPr>
          <w:color w:val="auto"/>
          <w:highlight w:val="none"/>
        </w:rPr>
      </w:pPr>
    </w:p>
    <w:p w14:paraId="6DF8AEB5">
      <w:pPr>
        <w:pStyle w:val="32"/>
        <w:spacing w:beforeAutospacing="0" w:afterAutospacing="0"/>
        <w:jc w:val="both"/>
        <w:rPr>
          <w:color w:val="auto"/>
          <w:highlight w:val="none"/>
        </w:rPr>
      </w:pPr>
    </w:p>
    <w:p w14:paraId="5BC46098">
      <w:pPr>
        <w:pStyle w:val="32"/>
        <w:spacing w:beforeAutospacing="0" w:afterAutospacing="0"/>
        <w:jc w:val="both"/>
        <w:rPr>
          <w:color w:val="auto"/>
          <w:highlight w:val="none"/>
        </w:rPr>
      </w:pPr>
    </w:p>
    <w:p w14:paraId="03EF75B8">
      <w:pPr>
        <w:pStyle w:val="32"/>
        <w:spacing w:beforeAutospacing="0" w:afterAutospacing="0"/>
        <w:jc w:val="both"/>
        <w:rPr>
          <w:color w:val="auto"/>
          <w:highlight w:val="none"/>
        </w:rPr>
      </w:pPr>
    </w:p>
    <w:p w14:paraId="2FD95A42">
      <w:pPr>
        <w:pStyle w:val="32"/>
        <w:spacing w:beforeAutospacing="0" w:afterAutospacing="0"/>
        <w:jc w:val="both"/>
        <w:rPr>
          <w:color w:val="auto"/>
          <w:highlight w:val="none"/>
        </w:rPr>
      </w:pPr>
    </w:p>
    <w:p w14:paraId="6924ACB6">
      <w:pPr>
        <w:pStyle w:val="32"/>
        <w:spacing w:beforeAutospacing="0" w:afterAutospacing="0"/>
        <w:jc w:val="both"/>
        <w:rPr>
          <w:color w:val="auto"/>
          <w:highlight w:val="none"/>
        </w:rPr>
      </w:pPr>
    </w:p>
    <w:p w14:paraId="06DCA690">
      <w:pPr>
        <w:pStyle w:val="32"/>
        <w:spacing w:beforeAutospacing="0" w:afterAutospacing="0"/>
        <w:jc w:val="both"/>
        <w:rPr>
          <w:color w:val="auto"/>
          <w:highlight w:val="none"/>
        </w:rPr>
      </w:pPr>
    </w:p>
    <w:p w14:paraId="11B839E8">
      <w:pPr>
        <w:pStyle w:val="32"/>
        <w:spacing w:beforeAutospacing="0" w:afterAutospacing="0"/>
        <w:jc w:val="both"/>
        <w:rPr>
          <w:color w:val="auto"/>
          <w:highlight w:val="none"/>
        </w:rPr>
      </w:pPr>
    </w:p>
    <w:p w14:paraId="4E133B31">
      <w:pPr>
        <w:pStyle w:val="32"/>
        <w:spacing w:beforeAutospacing="0" w:afterAutospacing="0"/>
        <w:jc w:val="both"/>
        <w:rPr>
          <w:color w:val="auto"/>
          <w:highlight w:val="none"/>
        </w:rPr>
      </w:pPr>
    </w:p>
    <w:p w14:paraId="79CB166A">
      <w:pPr>
        <w:pStyle w:val="32"/>
        <w:spacing w:beforeAutospacing="0" w:afterAutospacing="0"/>
        <w:jc w:val="both"/>
        <w:rPr>
          <w:color w:val="auto"/>
          <w:highlight w:val="none"/>
        </w:rPr>
      </w:pPr>
    </w:p>
    <w:p w14:paraId="3CE8A1CB">
      <w:pPr>
        <w:pStyle w:val="32"/>
        <w:spacing w:beforeAutospacing="0" w:afterAutospacing="0"/>
        <w:jc w:val="both"/>
        <w:rPr>
          <w:color w:val="auto"/>
          <w:highlight w:val="none"/>
        </w:rPr>
      </w:pPr>
    </w:p>
    <w:p w14:paraId="1A477DFF">
      <w:pPr>
        <w:pStyle w:val="32"/>
        <w:spacing w:beforeAutospacing="0" w:afterAutospacing="0"/>
        <w:jc w:val="both"/>
        <w:rPr>
          <w:color w:val="auto"/>
          <w:highlight w:val="none"/>
        </w:rPr>
      </w:pPr>
    </w:p>
    <w:p w14:paraId="3248F23C">
      <w:pPr>
        <w:pStyle w:val="32"/>
        <w:spacing w:beforeAutospacing="0" w:afterAutospacing="0"/>
        <w:jc w:val="both"/>
        <w:rPr>
          <w:color w:val="auto"/>
          <w:highlight w:val="none"/>
        </w:rPr>
      </w:pPr>
    </w:p>
    <w:p w14:paraId="79C8A29E">
      <w:pPr>
        <w:pStyle w:val="32"/>
        <w:spacing w:beforeAutospacing="0" w:afterAutospacing="0"/>
        <w:jc w:val="both"/>
        <w:rPr>
          <w:color w:val="auto"/>
          <w:highlight w:val="none"/>
        </w:rPr>
      </w:pPr>
    </w:p>
    <w:p w14:paraId="420210E6">
      <w:pPr>
        <w:pStyle w:val="32"/>
        <w:spacing w:beforeAutospacing="0" w:afterAutospacing="0"/>
        <w:jc w:val="both"/>
        <w:rPr>
          <w:color w:val="auto"/>
          <w:highlight w:val="none"/>
        </w:rPr>
      </w:pPr>
    </w:p>
    <w:p w14:paraId="05879B70">
      <w:pPr>
        <w:pStyle w:val="32"/>
        <w:spacing w:beforeAutospacing="0" w:afterAutospacing="0"/>
        <w:jc w:val="both"/>
        <w:rPr>
          <w:color w:val="auto"/>
          <w:highlight w:val="none"/>
        </w:rPr>
      </w:pPr>
    </w:p>
    <w:p w14:paraId="4600505D">
      <w:pPr>
        <w:pStyle w:val="32"/>
        <w:spacing w:beforeAutospacing="0" w:afterAutospacing="0"/>
        <w:jc w:val="both"/>
        <w:rPr>
          <w:color w:val="auto"/>
          <w:highlight w:val="none"/>
        </w:rPr>
      </w:pPr>
    </w:p>
    <w:p w14:paraId="428E75E2">
      <w:pPr>
        <w:pStyle w:val="32"/>
        <w:spacing w:beforeAutospacing="0" w:afterAutospacing="0"/>
        <w:jc w:val="both"/>
        <w:rPr>
          <w:color w:val="auto"/>
          <w:highlight w:val="none"/>
        </w:rPr>
      </w:pPr>
    </w:p>
    <w:p w14:paraId="518F8603">
      <w:pPr>
        <w:pStyle w:val="32"/>
        <w:spacing w:beforeAutospacing="0" w:afterAutospacing="0"/>
        <w:jc w:val="both"/>
        <w:rPr>
          <w:color w:val="auto"/>
          <w:highlight w:val="none"/>
        </w:rPr>
      </w:pPr>
    </w:p>
    <w:p w14:paraId="35639796">
      <w:pPr>
        <w:pStyle w:val="32"/>
        <w:spacing w:beforeAutospacing="0" w:afterAutospacing="0"/>
        <w:jc w:val="both"/>
        <w:rPr>
          <w:color w:val="auto"/>
          <w:highlight w:val="none"/>
        </w:rPr>
      </w:pPr>
    </w:p>
    <w:p w14:paraId="10D156A5">
      <w:pPr>
        <w:pStyle w:val="32"/>
        <w:spacing w:beforeAutospacing="0" w:afterAutospacing="0"/>
        <w:jc w:val="both"/>
        <w:rPr>
          <w:color w:val="auto"/>
          <w:highlight w:val="none"/>
        </w:rPr>
      </w:pPr>
    </w:p>
    <w:p w14:paraId="2529DD07">
      <w:pPr>
        <w:pStyle w:val="32"/>
        <w:spacing w:beforeAutospacing="0" w:afterAutospacing="0"/>
        <w:jc w:val="both"/>
        <w:rPr>
          <w:color w:val="auto"/>
          <w:highlight w:val="none"/>
        </w:rPr>
      </w:pPr>
    </w:p>
    <w:p w14:paraId="2B260060">
      <w:pPr>
        <w:pStyle w:val="32"/>
        <w:spacing w:beforeAutospacing="0" w:afterAutospacing="0"/>
        <w:jc w:val="both"/>
        <w:rPr>
          <w:color w:val="auto"/>
          <w:highlight w:val="none"/>
        </w:rPr>
      </w:pPr>
      <w:r>
        <w:rPr>
          <w:color w:val="auto"/>
          <w:highlight w:val="none"/>
        </w:rPr>
        <w:t> </w:t>
      </w:r>
    </w:p>
    <w:p w14:paraId="4EC764A4">
      <w:pPr>
        <w:pStyle w:val="32"/>
        <w:keepNext/>
        <w:spacing w:beforeAutospacing="0" w:afterAutospacing="0"/>
        <w:ind w:firstLine="880"/>
        <w:jc w:val="center"/>
        <w:rPr>
          <w:color w:val="auto"/>
          <w:highlight w:val="none"/>
        </w:rPr>
      </w:pPr>
      <w:r>
        <w:rPr>
          <w:rFonts w:hint="eastAsia" w:ascii="黑体" w:hAnsi="宋体" w:eastAsia="黑体" w:cs="黑体"/>
          <w:color w:val="auto"/>
          <w:sz w:val="44"/>
          <w:szCs w:val="44"/>
          <w:highlight w:val="none"/>
        </w:rPr>
        <w:t xml:space="preserve">第六章  投标文件格式 </w:t>
      </w:r>
    </w:p>
    <w:p w14:paraId="35BA5B06">
      <w:pPr>
        <w:pStyle w:val="32"/>
        <w:spacing w:beforeAutospacing="0" w:afterAutospacing="0"/>
        <w:ind w:firstLine="1446"/>
        <w:jc w:val="center"/>
        <w:rPr>
          <w:rFonts w:hint="eastAsia" w:ascii="宋体" w:hAnsi="宋体" w:eastAsia="宋体" w:cs="宋体"/>
          <w:b/>
          <w:color w:val="auto"/>
          <w:sz w:val="72"/>
          <w:szCs w:val="72"/>
          <w:highlight w:val="none"/>
        </w:rPr>
      </w:pPr>
      <w:bookmarkStart w:id="179" w:name="_Toc26554094"/>
      <w:bookmarkEnd w:id="179"/>
      <w:bookmarkStart w:id="180" w:name="_Hlt26955039"/>
      <w:bookmarkEnd w:id="180"/>
      <w:bookmarkStart w:id="181" w:name="_Hlt26671244"/>
      <w:bookmarkEnd w:id="181"/>
      <w:bookmarkStart w:id="182" w:name="_Toc49090576"/>
      <w:bookmarkStart w:id="183" w:name="_Toc120614282"/>
    </w:p>
    <w:p w14:paraId="3B405203">
      <w:pPr>
        <w:pStyle w:val="32"/>
        <w:spacing w:beforeAutospacing="0" w:afterAutospacing="0"/>
        <w:ind w:firstLine="1446"/>
        <w:jc w:val="center"/>
        <w:rPr>
          <w:color w:val="auto"/>
          <w:highlight w:val="none"/>
        </w:rPr>
      </w:pPr>
      <w:r>
        <w:rPr>
          <w:rFonts w:hint="eastAsia" w:ascii="宋体" w:hAnsi="宋体" w:eastAsia="宋体" w:cs="宋体"/>
          <w:b/>
          <w:color w:val="auto"/>
          <w:sz w:val="72"/>
          <w:szCs w:val="72"/>
          <w:highlight w:val="none"/>
        </w:rPr>
        <w:t>投  标  文  件</w:t>
      </w:r>
    </w:p>
    <w:p w14:paraId="1169FEBC">
      <w:pPr>
        <w:pStyle w:val="32"/>
        <w:spacing w:beforeAutospacing="0" w:afterAutospacing="0"/>
        <w:jc w:val="center"/>
        <w:rPr>
          <w:color w:val="auto"/>
          <w:highlight w:val="none"/>
        </w:rPr>
      </w:pPr>
      <w:r>
        <w:rPr>
          <w:color w:val="auto"/>
          <w:highlight w:val="none"/>
        </w:rPr>
        <w:t> </w:t>
      </w:r>
    </w:p>
    <w:p w14:paraId="1F6C893F">
      <w:pPr>
        <w:pStyle w:val="32"/>
        <w:spacing w:beforeAutospacing="0" w:afterAutospacing="0"/>
        <w:jc w:val="center"/>
        <w:rPr>
          <w:color w:val="auto"/>
          <w:highlight w:val="none"/>
        </w:rPr>
      </w:pPr>
      <w:r>
        <w:rPr>
          <w:color w:val="auto"/>
          <w:highlight w:val="none"/>
        </w:rPr>
        <w:t> </w:t>
      </w:r>
    </w:p>
    <w:p w14:paraId="057678D4">
      <w:pPr>
        <w:pStyle w:val="32"/>
        <w:spacing w:beforeAutospacing="0" w:afterAutospacing="0"/>
        <w:jc w:val="center"/>
        <w:rPr>
          <w:color w:val="auto"/>
          <w:highlight w:val="none"/>
        </w:rPr>
      </w:pPr>
      <w:r>
        <w:rPr>
          <w:color w:val="auto"/>
          <w:highlight w:val="none"/>
        </w:rPr>
        <w:t> </w:t>
      </w:r>
    </w:p>
    <w:p w14:paraId="16DE70F8">
      <w:pPr>
        <w:pStyle w:val="32"/>
        <w:spacing w:beforeAutospacing="0" w:afterAutospacing="0"/>
        <w:jc w:val="center"/>
        <w:rPr>
          <w:color w:val="auto"/>
          <w:highlight w:val="none"/>
        </w:rPr>
      </w:pPr>
      <w:r>
        <w:rPr>
          <w:color w:val="auto"/>
          <w:highlight w:val="none"/>
        </w:rPr>
        <w:t> </w:t>
      </w:r>
    </w:p>
    <w:p w14:paraId="2FBF83E0">
      <w:pPr>
        <w:pStyle w:val="32"/>
        <w:spacing w:beforeAutospacing="0" w:afterAutospacing="0"/>
        <w:jc w:val="center"/>
        <w:rPr>
          <w:color w:val="auto"/>
          <w:highlight w:val="none"/>
        </w:rPr>
      </w:pPr>
      <w:r>
        <w:rPr>
          <w:color w:val="auto"/>
          <w:highlight w:val="none"/>
        </w:rPr>
        <w:t> </w:t>
      </w:r>
    </w:p>
    <w:p w14:paraId="4F5FFE49">
      <w:pPr>
        <w:pStyle w:val="32"/>
        <w:spacing w:beforeAutospacing="0" w:afterAutospacing="0"/>
        <w:ind w:firstLine="723"/>
        <w:jc w:val="both"/>
        <w:rPr>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10E3F8B8">
      <w:pPr>
        <w:pStyle w:val="32"/>
        <w:spacing w:beforeAutospacing="0" w:afterAutospacing="0"/>
        <w:ind w:firstLine="723"/>
        <w:jc w:val="both"/>
        <w:rPr>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389AD5FB">
      <w:pPr>
        <w:pStyle w:val="32"/>
        <w:spacing w:beforeAutospacing="0" w:afterAutospacing="0"/>
        <w:ind w:firstLine="723"/>
        <w:jc w:val="both"/>
        <w:rPr>
          <w:color w:val="auto"/>
          <w:highlight w:val="none"/>
        </w:rPr>
      </w:pPr>
      <w:r>
        <w:rPr>
          <w:rFonts w:hint="eastAsia" w:ascii="宋体" w:hAnsi="宋体" w:eastAsia="宋体" w:cs="宋体"/>
          <w:b/>
          <w:color w:val="auto"/>
          <w:sz w:val="36"/>
          <w:szCs w:val="36"/>
          <w:highlight w:val="none"/>
        </w:rPr>
        <w:t>投标人名称：</w:t>
      </w:r>
      <w:r>
        <w:rPr>
          <w:rFonts w:hint="eastAsia" w:ascii="宋体" w:hAnsi="宋体" w:eastAsia="宋体" w:cs="宋体"/>
          <w:b/>
          <w:color w:val="auto"/>
          <w:sz w:val="36"/>
          <w:szCs w:val="36"/>
          <w:highlight w:val="none"/>
          <w:u w:val="single"/>
        </w:rPr>
        <w:t xml:space="preserve">（加盖CA电子公章）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p>
    <w:p w14:paraId="7F4B5F8F">
      <w:pPr>
        <w:pStyle w:val="32"/>
        <w:spacing w:beforeAutospacing="0" w:afterAutospacing="0"/>
        <w:ind w:firstLine="723"/>
        <w:jc w:val="both"/>
        <w:rPr>
          <w:color w:val="auto"/>
          <w:highlight w:val="none"/>
        </w:rPr>
      </w:pPr>
      <w:r>
        <w:rPr>
          <w:rFonts w:hint="eastAsia" w:ascii="宋体" w:hAnsi="宋体" w:eastAsia="宋体" w:cs="宋体"/>
          <w:b/>
          <w:color w:val="auto"/>
          <w:sz w:val="36"/>
          <w:szCs w:val="36"/>
          <w:highlight w:val="none"/>
        </w:rPr>
        <w:t>日      期：</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p>
    <w:p w14:paraId="4BD0AA74">
      <w:pPr>
        <w:pStyle w:val="32"/>
        <w:spacing w:beforeAutospacing="0" w:afterAutospacing="0" w:line="0" w:lineRule="atLeast"/>
        <w:jc w:val="center"/>
        <w:rPr>
          <w:color w:val="auto"/>
          <w:highlight w:val="none"/>
        </w:rPr>
      </w:pPr>
      <w:r>
        <w:rPr>
          <w:color w:val="auto"/>
          <w:highlight w:val="none"/>
        </w:rPr>
        <w:t> </w:t>
      </w:r>
    </w:p>
    <w:p w14:paraId="76AE67AF">
      <w:pPr>
        <w:pStyle w:val="32"/>
        <w:spacing w:beforeAutospacing="0" w:afterAutospacing="0" w:line="0" w:lineRule="atLeast"/>
        <w:jc w:val="both"/>
        <w:rPr>
          <w:color w:val="auto"/>
          <w:highlight w:val="none"/>
        </w:rPr>
      </w:pPr>
      <w:r>
        <w:rPr>
          <w:color w:val="auto"/>
          <w:highlight w:val="none"/>
        </w:rPr>
        <w:t> </w:t>
      </w:r>
    </w:p>
    <w:p w14:paraId="11A3B57B">
      <w:pPr>
        <w:pStyle w:val="32"/>
        <w:spacing w:beforeAutospacing="0" w:afterAutospacing="0" w:line="0" w:lineRule="atLeast"/>
        <w:ind w:firstLine="723"/>
        <w:jc w:val="center"/>
        <w:rPr>
          <w:rFonts w:hint="eastAsia" w:ascii="宋体" w:hAnsi="宋体" w:eastAsia="宋体" w:cs="宋体"/>
          <w:b/>
          <w:color w:val="auto"/>
          <w:sz w:val="36"/>
          <w:szCs w:val="36"/>
          <w:highlight w:val="none"/>
          <w:u w:val="single"/>
        </w:rPr>
      </w:pPr>
    </w:p>
    <w:p w14:paraId="5D615F21">
      <w:pPr>
        <w:pStyle w:val="32"/>
        <w:spacing w:beforeAutospacing="0" w:afterAutospacing="0" w:line="0" w:lineRule="atLeast"/>
        <w:ind w:firstLine="723"/>
        <w:jc w:val="center"/>
        <w:rPr>
          <w:rFonts w:hint="eastAsia" w:ascii="宋体" w:hAnsi="宋体" w:eastAsia="宋体" w:cs="宋体"/>
          <w:b/>
          <w:color w:val="auto"/>
          <w:sz w:val="36"/>
          <w:szCs w:val="36"/>
          <w:highlight w:val="none"/>
          <w:u w:val="single"/>
        </w:rPr>
      </w:pPr>
    </w:p>
    <w:p w14:paraId="5780C85E">
      <w:pPr>
        <w:pStyle w:val="32"/>
        <w:spacing w:beforeAutospacing="0" w:afterAutospacing="0" w:line="0" w:lineRule="atLeast"/>
        <w:ind w:firstLine="723"/>
        <w:jc w:val="center"/>
        <w:rPr>
          <w:rFonts w:hint="eastAsia" w:ascii="宋体" w:hAnsi="宋体" w:eastAsia="宋体" w:cs="宋体"/>
          <w:b/>
          <w:color w:val="auto"/>
          <w:sz w:val="36"/>
          <w:szCs w:val="36"/>
          <w:highlight w:val="none"/>
          <w:u w:val="single"/>
        </w:rPr>
      </w:pPr>
    </w:p>
    <w:p w14:paraId="74319551">
      <w:pPr>
        <w:pStyle w:val="32"/>
        <w:spacing w:beforeAutospacing="0" w:afterAutospacing="0" w:line="0" w:lineRule="atLeast"/>
        <w:ind w:firstLine="723"/>
        <w:jc w:val="center"/>
        <w:rPr>
          <w:rFonts w:hint="eastAsia" w:ascii="宋体" w:hAnsi="宋体" w:eastAsia="宋体" w:cs="宋体"/>
          <w:b/>
          <w:color w:val="auto"/>
          <w:sz w:val="36"/>
          <w:szCs w:val="36"/>
          <w:highlight w:val="none"/>
          <w:u w:val="single"/>
        </w:rPr>
      </w:pPr>
    </w:p>
    <w:p w14:paraId="0FB70954">
      <w:pPr>
        <w:pStyle w:val="32"/>
        <w:spacing w:beforeAutospacing="0" w:afterAutospacing="0" w:line="0" w:lineRule="atLeast"/>
        <w:ind w:firstLine="723"/>
        <w:jc w:val="center"/>
        <w:rPr>
          <w:rFonts w:hint="eastAsia" w:ascii="宋体" w:hAnsi="宋体" w:eastAsia="宋体" w:cs="宋体"/>
          <w:b/>
          <w:color w:val="auto"/>
          <w:sz w:val="36"/>
          <w:szCs w:val="36"/>
          <w:highlight w:val="none"/>
          <w:u w:val="single"/>
        </w:rPr>
      </w:pPr>
    </w:p>
    <w:p w14:paraId="36D61E16">
      <w:pPr>
        <w:pStyle w:val="32"/>
        <w:spacing w:beforeAutospacing="0" w:afterAutospacing="0" w:line="0" w:lineRule="atLeast"/>
        <w:ind w:firstLine="723"/>
        <w:jc w:val="center"/>
        <w:rPr>
          <w:rFonts w:hint="eastAsia" w:ascii="宋体" w:hAnsi="宋体" w:eastAsia="宋体" w:cs="宋体"/>
          <w:b/>
          <w:color w:val="auto"/>
          <w:sz w:val="36"/>
          <w:szCs w:val="36"/>
          <w:highlight w:val="none"/>
          <w:u w:val="single"/>
        </w:rPr>
      </w:pPr>
    </w:p>
    <w:p w14:paraId="412E5F83">
      <w:pPr>
        <w:pStyle w:val="32"/>
        <w:spacing w:beforeAutospacing="0" w:afterAutospacing="0" w:line="0" w:lineRule="atLeast"/>
        <w:ind w:firstLine="723"/>
        <w:jc w:val="center"/>
        <w:rPr>
          <w:rFonts w:hint="eastAsia" w:ascii="宋体" w:hAnsi="宋体" w:eastAsia="宋体" w:cs="宋体"/>
          <w:b/>
          <w:color w:val="auto"/>
          <w:sz w:val="36"/>
          <w:szCs w:val="36"/>
          <w:highlight w:val="none"/>
          <w:u w:val="single"/>
        </w:rPr>
      </w:pPr>
    </w:p>
    <w:p w14:paraId="074AAF61">
      <w:pPr>
        <w:pStyle w:val="32"/>
        <w:spacing w:beforeAutospacing="0" w:afterAutospacing="0" w:line="0" w:lineRule="atLeast"/>
        <w:ind w:firstLine="723"/>
        <w:jc w:val="center"/>
        <w:rPr>
          <w:rFonts w:hint="eastAsia" w:ascii="宋体" w:hAnsi="宋体" w:eastAsia="宋体" w:cs="宋体"/>
          <w:b/>
          <w:color w:val="auto"/>
          <w:sz w:val="36"/>
          <w:szCs w:val="36"/>
          <w:highlight w:val="none"/>
          <w:u w:val="single"/>
        </w:rPr>
      </w:pPr>
    </w:p>
    <w:p w14:paraId="1D3F3CEE">
      <w:pPr>
        <w:pStyle w:val="32"/>
        <w:spacing w:beforeAutospacing="0" w:afterAutospacing="0" w:line="0" w:lineRule="atLeast"/>
        <w:ind w:firstLine="723"/>
        <w:jc w:val="center"/>
        <w:rPr>
          <w:rFonts w:hint="eastAsia" w:ascii="宋体" w:hAnsi="宋体" w:eastAsia="宋体" w:cs="宋体"/>
          <w:b/>
          <w:color w:val="auto"/>
          <w:sz w:val="36"/>
          <w:szCs w:val="36"/>
          <w:highlight w:val="none"/>
          <w:u w:val="single"/>
        </w:rPr>
      </w:pPr>
    </w:p>
    <w:p w14:paraId="5CE29F2F">
      <w:pPr>
        <w:pStyle w:val="32"/>
        <w:spacing w:beforeAutospacing="0" w:afterAutospacing="0" w:line="0" w:lineRule="atLeast"/>
        <w:ind w:firstLine="723"/>
        <w:jc w:val="center"/>
        <w:rPr>
          <w:rFonts w:hint="eastAsia" w:ascii="宋体" w:hAnsi="宋体" w:eastAsia="宋体" w:cs="宋体"/>
          <w:b/>
          <w:color w:val="auto"/>
          <w:sz w:val="36"/>
          <w:szCs w:val="36"/>
          <w:highlight w:val="none"/>
          <w:u w:val="single"/>
        </w:rPr>
      </w:pPr>
    </w:p>
    <w:p w14:paraId="54C38673">
      <w:pPr>
        <w:pStyle w:val="32"/>
        <w:spacing w:beforeAutospacing="0" w:afterAutospacing="0" w:line="0" w:lineRule="atLeast"/>
        <w:ind w:firstLine="723"/>
        <w:jc w:val="center"/>
        <w:rPr>
          <w:rFonts w:hint="eastAsia" w:ascii="宋体" w:hAnsi="宋体" w:eastAsia="宋体" w:cs="宋体"/>
          <w:b/>
          <w:color w:val="auto"/>
          <w:sz w:val="36"/>
          <w:szCs w:val="36"/>
          <w:highlight w:val="none"/>
          <w:u w:val="single"/>
        </w:rPr>
      </w:pPr>
    </w:p>
    <w:p w14:paraId="146332B4">
      <w:pPr>
        <w:pStyle w:val="32"/>
        <w:spacing w:beforeAutospacing="0" w:afterAutospacing="0" w:line="0" w:lineRule="atLeast"/>
        <w:ind w:firstLine="723"/>
        <w:jc w:val="center"/>
        <w:rPr>
          <w:rFonts w:hint="eastAsia" w:ascii="宋体" w:hAnsi="宋体" w:eastAsia="宋体" w:cs="宋体"/>
          <w:b/>
          <w:color w:val="auto"/>
          <w:sz w:val="36"/>
          <w:szCs w:val="36"/>
          <w:highlight w:val="none"/>
          <w:u w:val="single"/>
        </w:rPr>
      </w:pPr>
    </w:p>
    <w:p w14:paraId="4693A9E8">
      <w:pPr>
        <w:pStyle w:val="32"/>
        <w:spacing w:beforeAutospacing="0" w:afterAutospacing="0" w:line="0" w:lineRule="atLeast"/>
        <w:ind w:firstLine="723"/>
        <w:jc w:val="center"/>
        <w:rPr>
          <w:rFonts w:hint="eastAsia" w:ascii="宋体" w:hAnsi="宋体" w:eastAsia="宋体" w:cs="宋体"/>
          <w:b/>
          <w:color w:val="auto"/>
          <w:sz w:val="36"/>
          <w:szCs w:val="36"/>
          <w:highlight w:val="none"/>
          <w:u w:val="single"/>
        </w:rPr>
      </w:pPr>
    </w:p>
    <w:p w14:paraId="0F993938">
      <w:pPr>
        <w:pStyle w:val="32"/>
        <w:spacing w:beforeAutospacing="0" w:afterAutospacing="0" w:line="0" w:lineRule="atLeast"/>
        <w:ind w:firstLine="723"/>
        <w:jc w:val="center"/>
        <w:rPr>
          <w:rFonts w:hint="eastAsia" w:ascii="宋体" w:hAnsi="宋体" w:eastAsia="宋体" w:cs="宋体"/>
          <w:b/>
          <w:color w:val="auto"/>
          <w:sz w:val="36"/>
          <w:szCs w:val="36"/>
          <w:highlight w:val="none"/>
          <w:u w:val="single"/>
        </w:rPr>
      </w:pPr>
    </w:p>
    <w:p w14:paraId="4E5B7A46">
      <w:pPr>
        <w:pStyle w:val="32"/>
        <w:spacing w:beforeAutospacing="0" w:afterAutospacing="0" w:line="0" w:lineRule="atLeast"/>
        <w:ind w:firstLine="643"/>
        <w:jc w:val="center"/>
        <w:rPr>
          <w:color w:val="auto"/>
          <w:highlight w:val="none"/>
        </w:rPr>
      </w:pPr>
      <w:r>
        <w:rPr>
          <w:rFonts w:hint="eastAsia" w:ascii="宋体" w:hAnsi="宋体" w:eastAsia="宋体" w:cs="宋体"/>
          <w:b/>
          <w:color w:val="auto"/>
          <w:sz w:val="32"/>
          <w:szCs w:val="32"/>
          <w:highlight w:val="none"/>
        </w:rPr>
        <w:t>投标文件目录</w:t>
      </w:r>
    </w:p>
    <w:p w14:paraId="5329545F">
      <w:pPr>
        <w:pStyle w:val="32"/>
        <w:spacing w:beforeAutospacing="0" w:afterAutospacing="0" w:line="0" w:lineRule="atLeast"/>
        <w:jc w:val="center"/>
        <w:rPr>
          <w:color w:val="auto"/>
          <w:highlight w:val="none"/>
        </w:rPr>
      </w:pPr>
      <w:r>
        <w:rPr>
          <w:color w:val="auto"/>
          <w:highlight w:val="none"/>
        </w:rPr>
        <w:t> </w:t>
      </w:r>
    </w:p>
    <w:p w14:paraId="193DA5A6">
      <w:pPr>
        <w:pStyle w:val="32"/>
        <w:spacing w:beforeAutospacing="0" w:afterAutospacing="0" w:line="480" w:lineRule="exac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一、法人或者其他组织的营业执照等证明文件，自然人的身份证明</w:t>
      </w:r>
    </w:p>
    <w:p w14:paraId="21ACE2C4">
      <w:pPr>
        <w:tabs>
          <w:tab w:val="left" w:pos="1331"/>
        </w:tabs>
        <w:spacing w:line="480" w:lineRule="exact"/>
        <w:ind w:firstLine="480"/>
        <w:jc w:val="left"/>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二、上一年度或上上年度的财务状况报表（至少提供资产负债表、利润表、现金流量表，投标人成立不满一年无需提供）</w:t>
      </w:r>
    </w:p>
    <w:p w14:paraId="0A7DEE72">
      <w:pPr>
        <w:pStyle w:val="32"/>
        <w:spacing w:beforeAutospacing="0" w:afterAutospacing="0" w:line="480" w:lineRule="exac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三、具备履行合同所必需的设备和专业技术能力的书面声明</w:t>
      </w:r>
    </w:p>
    <w:p w14:paraId="7CB276A5">
      <w:pPr>
        <w:pStyle w:val="32"/>
        <w:spacing w:beforeAutospacing="0" w:afterAutospacing="0" w:line="480" w:lineRule="exac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7B691018">
      <w:pPr>
        <w:pStyle w:val="32"/>
        <w:spacing w:beforeAutospacing="0" w:afterAutospacing="0" w:line="480" w:lineRule="exac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五、参加政府采购活动前 3 年内在经营活动中没有重大违法记录的书面声明</w:t>
      </w:r>
    </w:p>
    <w:p w14:paraId="251FCDF3">
      <w:pPr>
        <w:pStyle w:val="32"/>
        <w:spacing w:beforeAutospacing="0" w:afterAutospacing="0" w:line="480" w:lineRule="exac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六、供应商法定代表人身份证明和投标文件签署授权委托书（另附法定代表人和被授权人的身份证复印件）</w:t>
      </w:r>
    </w:p>
    <w:p w14:paraId="174D917A">
      <w:pPr>
        <w:pStyle w:val="32"/>
        <w:spacing w:beforeAutospacing="0" w:afterAutospacing="0" w:line="480" w:lineRule="exac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七、供应商为被授权人缴纳的社会养老保险证明</w:t>
      </w:r>
    </w:p>
    <w:p w14:paraId="3AC1CB33">
      <w:pPr>
        <w:pStyle w:val="32"/>
        <w:spacing w:beforeAutospacing="0" w:afterAutospacing="0" w:line="480" w:lineRule="exac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八、资质证书</w:t>
      </w:r>
    </w:p>
    <w:p w14:paraId="72D48221">
      <w:pPr>
        <w:pStyle w:val="32"/>
        <w:spacing w:beforeAutospacing="0" w:afterAutospacing="0" w:line="480" w:lineRule="exac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九、投标函</w:t>
      </w:r>
    </w:p>
    <w:p w14:paraId="24ECBB6E">
      <w:pPr>
        <w:pStyle w:val="32"/>
        <w:spacing w:beforeAutospacing="0" w:afterAutospacing="0" w:line="480" w:lineRule="exac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十、中小企业声明函</w:t>
      </w:r>
    </w:p>
    <w:p w14:paraId="04EBDBC8">
      <w:pPr>
        <w:pStyle w:val="32"/>
        <w:spacing w:beforeAutospacing="0" w:afterAutospacing="0" w:line="480" w:lineRule="exac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十一、残疾人福利性单位声明函</w:t>
      </w:r>
    </w:p>
    <w:p w14:paraId="5BA8A63B">
      <w:pPr>
        <w:pStyle w:val="32"/>
        <w:spacing w:beforeAutospacing="0" w:afterAutospacing="0" w:line="480" w:lineRule="exac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十二、投标报价表</w:t>
      </w:r>
    </w:p>
    <w:p w14:paraId="6CBA877F">
      <w:pPr>
        <w:pStyle w:val="32"/>
        <w:spacing w:beforeAutospacing="0" w:afterAutospacing="0" w:line="480" w:lineRule="exac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十三、盐城市政府采购事前信用承诺书</w:t>
      </w:r>
    </w:p>
    <w:p w14:paraId="2A149096">
      <w:pPr>
        <w:pStyle w:val="32"/>
        <w:spacing w:beforeAutospacing="0" w:afterAutospacing="0" w:line="480" w:lineRule="exac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十四、与评审有关的其他资料</w:t>
      </w:r>
    </w:p>
    <w:p w14:paraId="5A56CAC8">
      <w:pPr>
        <w:pStyle w:val="32"/>
        <w:spacing w:beforeAutospacing="0" w:afterAutospacing="0" w:line="0" w:lineRule="atLeast"/>
        <w:ind w:firstLine="480"/>
        <w:jc w:val="both"/>
        <w:rPr>
          <w:rFonts w:hint="eastAsia" w:ascii="宋体" w:hAnsi="宋体" w:eastAsia="宋体" w:cs="宋体"/>
          <w:color w:val="auto"/>
          <w:highlight w:val="none"/>
        </w:rPr>
      </w:pPr>
    </w:p>
    <w:p w14:paraId="070BAF9E">
      <w:pPr>
        <w:pStyle w:val="32"/>
        <w:spacing w:beforeAutospacing="0" w:afterAutospacing="0" w:line="0" w:lineRule="atLeast"/>
        <w:ind w:firstLine="480"/>
        <w:jc w:val="both"/>
        <w:rPr>
          <w:rFonts w:hint="eastAsia" w:ascii="宋体" w:hAnsi="宋体" w:eastAsia="宋体" w:cs="宋体"/>
          <w:color w:val="auto"/>
          <w:highlight w:val="none"/>
        </w:rPr>
      </w:pPr>
    </w:p>
    <w:p w14:paraId="73DF8381">
      <w:pPr>
        <w:pStyle w:val="32"/>
        <w:spacing w:beforeAutospacing="0" w:afterAutospacing="0" w:line="0" w:lineRule="atLeast"/>
        <w:ind w:firstLine="480"/>
        <w:jc w:val="both"/>
        <w:rPr>
          <w:color w:val="auto"/>
          <w:highlight w:val="none"/>
        </w:rPr>
      </w:pPr>
      <w:r>
        <w:rPr>
          <w:color w:val="auto"/>
          <w:highlight w:val="none"/>
        </w:rPr>
        <w:t> </w:t>
      </w:r>
    </w:p>
    <w:p w14:paraId="2C6ABF94">
      <w:pPr>
        <w:pStyle w:val="32"/>
        <w:spacing w:beforeAutospacing="0" w:afterAutospacing="0" w:line="0" w:lineRule="atLeast"/>
        <w:ind w:firstLine="480"/>
        <w:jc w:val="both"/>
        <w:rPr>
          <w:color w:val="auto"/>
          <w:highlight w:val="none"/>
        </w:rPr>
      </w:pPr>
      <w:r>
        <w:rPr>
          <w:color w:val="auto"/>
          <w:highlight w:val="none"/>
        </w:rPr>
        <w:t> </w:t>
      </w:r>
    </w:p>
    <w:p w14:paraId="23351499">
      <w:pPr>
        <w:pStyle w:val="32"/>
        <w:spacing w:beforeAutospacing="0" w:afterAutospacing="0" w:line="0" w:lineRule="atLeast"/>
        <w:ind w:firstLine="480"/>
        <w:jc w:val="both"/>
        <w:rPr>
          <w:color w:val="auto"/>
          <w:highlight w:val="none"/>
        </w:rPr>
      </w:pPr>
      <w:r>
        <w:rPr>
          <w:color w:val="auto"/>
          <w:highlight w:val="none"/>
        </w:rPr>
        <w:t> </w:t>
      </w:r>
    </w:p>
    <w:p w14:paraId="4990F0B8">
      <w:pPr>
        <w:pStyle w:val="32"/>
        <w:spacing w:beforeAutospacing="0" w:afterAutospacing="0" w:line="0" w:lineRule="atLeast"/>
        <w:ind w:firstLine="480"/>
        <w:jc w:val="both"/>
        <w:rPr>
          <w:color w:val="auto"/>
          <w:highlight w:val="none"/>
        </w:rPr>
      </w:pPr>
      <w:r>
        <w:rPr>
          <w:color w:val="auto"/>
          <w:highlight w:val="none"/>
        </w:rPr>
        <w:t> </w:t>
      </w:r>
    </w:p>
    <w:p w14:paraId="40DC69FD">
      <w:pPr>
        <w:pStyle w:val="32"/>
        <w:spacing w:beforeAutospacing="0" w:afterAutospacing="0" w:line="0" w:lineRule="atLeast"/>
        <w:ind w:firstLine="480"/>
        <w:jc w:val="both"/>
        <w:rPr>
          <w:color w:val="auto"/>
          <w:highlight w:val="none"/>
        </w:rPr>
      </w:pPr>
    </w:p>
    <w:p w14:paraId="5D930DB1">
      <w:pPr>
        <w:pStyle w:val="32"/>
        <w:spacing w:beforeAutospacing="0" w:afterAutospacing="0" w:line="0" w:lineRule="atLeast"/>
        <w:ind w:firstLine="480"/>
        <w:jc w:val="both"/>
        <w:rPr>
          <w:color w:val="auto"/>
          <w:highlight w:val="none"/>
        </w:rPr>
      </w:pPr>
    </w:p>
    <w:p w14:paraId="73A8CD64">
      <w:pPr>
        <w:pStyle w:val="32"/>
        <w:spacing w:beforeAutospacing="0" w:afterAutospacing="0" w:line="0" w:lineRule="atLeast"/>
        <w:ind w:firstLine="480"/>
        <w:jc w:val="both"/>
        <w:rPr>
          <w:color w:val="auto"/>
          <w:highlight w:val="none"/>
        </w:rPr>
      </w:pPr>
    </w:p>
    <w:p w14:paraId="615740FB">
      <w:pPr>
        <w:pStyle w:val="32"/>
        <w:spacing w:beforeAutospacing="0" w:afterAutospacing="0" w:line="0" w:lineRule="atLeast"/>
        <w:ind w:firstLine="480"/>
        <w:jc w:val="both"/>
        <w:rPr>
          <w:color w:val="auto"/>
          <w:highlight w:val="none"/>
        </w:rPr>
      </w:pPr>
    </w:p>
    <w:p w14:paraId="41B1644B">
      <w:pPr>
        <w:pStyle w:val="32"/>
        <w:spacing w:beforeAutospacing="0" w:afterAutospacing="0" w:line="0" w:lineRule="atLeast"/>
        <w:ind w:firstLine="480"/>
        <w:jc w:val="both"/>
        <w:rPr>
          <w:color w:val="auto"/>
          <w:highlight w:val="none"/>
        </w:rPr>
      </w:pPr>
    </w:p>
    <w:p w14:paraId="0A24146E">
      <w:pPr>
        <w:pStyle w:val="32"/>
        <w:spacing w:beforeAutospacing="0" w:afterAutospacing="0" w:line="0" w:lineRule="atLeast"/>
        <w:ind w:firstLine="480"/>
        <w:jc w:val="both"/>
        <w:rPr>
          <w:color w:val="auto"/>
          <w:highlight w:val="none"/>
        </w:rPr>
      </w:pPr>
    </w:p>
    <w:p w14:paraId="3A56DD87">
      <w:pPr>
        <w:pStyle w:val="32"/>
        <w:spacing w:beforeAutospacing="0" w:afterAutospacing="0" w:line="0" w:lineRule="atLeast"/>
        <w:ind w:firstLine="480"/>
        <w:jc w:val="both"/>
        <w:rPr>
          <w:color w:val="auto"/>
          <w:highlight w:val="none"/>
        </w:rPr>
      </w:pPr>
    </w:p>
    <w:p w14:paraId="463ED738">
      <w:pPr>
        <w:pStyle w:val="32"/>
        <w:spacing w:beforeAutospacing="0" w:afterAutospacing="0"/>
        <w:ind w:firstLine="64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54482C28">
      <w:pPr>
        <w:pStyle w:val="32"/>
        <w:spacing w:beforeAutospacing="0" w:afterAutospacing="0" w:line="0" w:lineRule="atLeast"/>
        <w:ind w:firstLine="480"/>
        <w:jc w:val="both"/>
        <w:rPr>
          <w:color w:val="auto"/>
          <w:highlight w:val="none"/>
        </w:rPr>
      </w:pPr>
      <w:r>
        <w:rPr>
          <w:color w:val="auto"/>
          <w:highlight w:val="none"/>
        </w:rPr>
        <w:t> </w:t>
      </w:r>
    </w:p>
    <w:p w14:paraId="089C0792">
      <w:pPr>
        <w:pStyle w:val="32"/>
        <w:spacing w:beforeAutospacing="0" w:afterAutospacing="0"/>
        <w:ind w:firstLine="640"/>
        <w:jc w:val="both"/>
        <w:rPr>
          <w:rFonts w:eastAsia="黑体"/>
          <w:color w:val="auto"/>
          <w:highlight w:val="none"/>
        </w:rPr>
      </w:pPr>
      <w:r>
        <w:rPr>
          <w:rFonts w:hint="eastAsia" w:ascii="黑体" w:hAnsi="宋体" w:eastAsia="黑体" w:cs="黑体"/>
          <w:i/>
          <w:color w:val="auto"/>
          <w:sz w:val="32"/>
          <w:szCs w:val="32"/>
          <w:highlight w:val="none"/>
          <w:u w:val="single"/>
        </w:rPr>
        <w:t>二、上一年度的财务状况报表</w:t>
      </w:r>
    </w:p>
    <w:p w14:paraId="5A2A2FEC">
      <w:pPr>
        <w:pStyle w:val="32"/>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投标人成立不满一年不需提供</w:t>
      </w:r>
    </w:p>
    <w:p w14:paraId="723BE7FA">
      <w:pPr>
        <w:pStyle w:val="32"/>
        <w:spacing w:beforeAutospacing="0" w:afterAutospacing="0"/>
        <w:jc w:val="both"/>
        <w:rPr>
          <w:color w:val="auto"/>
          <w:highlight w:val="none"/>
        </w:rPr>
      </w:pPr>
      <w:r>
        <w:rPr>
          <w:color w:val="auto"/>
          <w:highlight w:val="none"/>
        </w:rPr>
        <w:t> </w:t>
      </w:r>
    </w:p>
    <w:p w14:paraId="5C1D191D">
      <w:pPr>
        <w:pStyle w:val="32"/>
        <w:spacing w:beforeAutospacing="0" w:afterAutospacing="0"/>
        <w:jc w:val="both"/>
        <w:rPr>
          <w:color w:val="auto"/>
          <w:highlight w:val="none"/>
        </w:rPr>
      </w:pPr>
      <w:r>
        <w:rPr>
          <w:color w:val="auto"/>
          <w:highlight w:val="none"/>
        </w:rPr>
        <w:t> </w:t>
      </w:r>
    </w:p>
    <w:p w14:paraId="28E0352C">
      <w:pPr>
        <w:pStyle w:val="32"/>
        <w:spacing w:beforeAutospacing="0" w:afterAutospacing="0"/>
        <w:ind w:firstLine="640"/>
        <w:jc w:val="both"/>
        <w:rPr>
          <w:color w:val="auto"/>
          <w:highlight w:val="none"/>
        </w:rPr>
      </w:pPr>
      <w:r>
        <w:rPr>
          <w:rFonts w:hint="eastAsia" w:ascii="黑体" w:hAnsi="宋体" w:eastAsia="黑体" w:cs="黑体"/>
          <w:i/>
          <w:color w:val="auto"/>
          <w:sz w:val="32"/>
          <w:szCs w:val="32"/>
          <w:highlight w:val="none"/>
          <w:u w:val="single"/>
        </w:rPr>
        <w:t>三、具备履行合同所必需的设备和专业技术能力的书面声明</w:t>
      </w:r>
    </w:p>
    <w:p w14:paraId="21B6B96F">
      <w:pPr>
        <w:pStyle w:val="32"/>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21AE7109">
      <w:pPr>
        <w:pStyle w:val="32"/>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5A5A3DB6">
      <w:pPr>
        <w:pStyle w:val="3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1BE1535">
      <w:pPr>
        <w:pStyle w:val="32"/>
        <w:spacing w:beforeAutospacing="0" w:afterAutospacing="0"/>
        <w:ind w:firstLine="640"/>
        <w:jc w:val="both"/>
        <w:rPr>
          <w:color w:val="auto"/>
          <w:highlight w:val="none"/>
        </w:rPr>
      </w:pPr>
      <w:r>
        <w:rPr>
          <w:rFonts w:hint="eastAsia" w:ascii="黑体" w:hAnsi="宋体" w:eastAsia="黑体" w:cs="黑体"/>
          <w:i/>
          <w:color w:val="auto"/>
          <w:sz w:val="32"/>
          <w:szCs w:val="32"/>
          <w:highlight w:val="none"/>
          <w:u w:val="single"/>
        </w:rPr>
        <w:t>四、依法缴纳税收和社会保障资金的相关材料</w:t>
      </w:r>
    </w:p>
    <w:p w14:paraId="2E000CAF">
      <w:pPr>
        <w:pStyle w:val="32"/>
        <w:spacing w:beforeAutospacing="0" w:afterAutospacing="0"/>
        <w:ind w:firstLine="480"/>
        <w:jc w:val="both"/>
        <w:rPr>
          <w:color w:val="auto"/>
          <w:highlight w:val="none"/>
        </w:rPr>
      </w:pPr>
      <w:bookmarkStart w:id="184" w:name="_Toc120614284"/>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bookmarkEnd w:id="184"/>
    </w:p>
    <w:p w14:paraId="34CCE78D">
      <w:pPr>
        <w:pStyle w:val="32"/>
        <w:spacing w:beforeAutospacing="0" w:afterAutospacing="0"/>
        <w:ind w:firstLine="64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242496A5">
      <w:pPr>
        <w:pStyle w:val="32"/>
        <w:spacing w:beforeAutospacing="0" w:afterAutospacing="0" w:line="0" w:lineRule="atLeast"/>
        <w:ind w:firstLine="883"/>
        <w:jc w:val="both"/>
        <w:rPr>
          <w:color w:val="auto"/>
          <w:highlight w:val="none"/>
        </w:rPr>
      </w:pPr>
      <w:r>
        <w:rPr>
          <w:rFonts w:hint="eastAsia" w:ascii="宋体" w:hAnsi="宋体" w:eastAsia="宋体" w:cs="宋体"/>
          <w:b/>
          <w:color w:val="auto"/>
          <w:sz w:val="44"/>
          <w:szCs w:val="44"/>
          <w:highlight w:val="none"/>
        </w:rPr>
        <w:t>       声  明</w:t>
      </w:r>
    </w:p>
    <w:p w14:paraId="6F766835">
      <w:pPr>
        <w:pStyle w:val="32"/>
        <w:spacing w:beforeAutospacing="0" w:afterAutospacing="0" w:line="0" w:lineRule="atLeast"/>
        <w:ind w:firstLine="482"/>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1825EAEB">
      <w:pPr>
        <w:pStyle w:val="32"/>
        <w:spacing w:beforeAutospacing="0" w:afterAutospacing="0"/>
        <w:jc w:val="both"/>
        <w:rPr>
          <w:color w:val="auto"/>
          <w:highlight w:val="none"/>
        </w:rPr>
      </w:pPr>
      <w:r>
        <w:rPr>
          <w:color w:val="auto"/>
          <w:highlight w:val="none"/>
        </w:rPr>
        <w:t> </w:t>
      </w:r>
    </w:p>
    <w:p w14:paraId="22EB9C1E">
      <w:pPr>
        <w:pStyle w:val="32"/>
        <w:spacing w:beforeAutospacing="0" w:afterAutospacing="0"/>
        <w:ind w:firstLine="640"/>
        <w:jc w:val="both"/>
        <w:rPr>
          <w:rFonts w:hint="eastAsia" w:ascii="黑体" w:hAnsi="宋体" w:eastAsia="黑体" w:cs="黑体"/>
          <w:i/>
          <w:color w:val="auto"/>
          <w:sz w:val="32"/>
          <w:szCs w:val="32"/>
          <w:highlight w:val="none"/>
          <w:u w:val="single"/>
        </w:rPr>
      </w:pPr>
    </w:p>
    <w:p w14:paraId="1F61E053">
      <w:pPr>
        <w:pStyle w:val="32"/>
        <w:spacing w:beforeAutospacing="0" w:afterAutospacing="0"/>
        <w:ind w:firstLine="640"/>
        <w:jc w:val="both"/>
        <w:rPr>
          <w:rFonts w:hint="eastAsia" w:ascii="黑体" w:hAnsi="宋体" w:eastAsia="黑体" w:cs="黑体"/>
          <w:i/>
          <w:color w:val="auto"/>
          <w:sz w:val="32"/>
          <w:szCs w:val="32"/>
          <w:highlight w:val="none"/>
          <w:u w:val="single"/>
        </w:rPr>
      </w:pPr>
    </w:p>
    <w:p w14:paraId="1BF559B1">
      <w:pPr>
        <w:pStyle w:val="32"/>
        <w:spacing w:beforeAutospacing="0" w:afterAutospacing="0"/>
        <w:ind w:firstLine="640"/>
        <w:jc w:val="both"/>
        <w:rPr>
          <w:rFonts w:hint="eastAsia" w:ascii="黑体" w:hAnsi="宋体" w:eastAsia="黑体" w:cs="黑体"/>
          <w:i/>
          <w:color w:val="auto"/>
          <w:sz w:val="32"/>
          <w:szCs w:val="32"/>
          <w:highlight w:val="none"/>
          <w:u w:val="single"/>
        </w:rPr>
      </w:pPr>
    </w:p>
    <w:p w14:paraId="264B6FFB">
      <w:pPr>
        <w:pStyle w:val="32"/>
        <w:spacing w:beforeAutospacing="0" w:afterAutospacing="0"/>
        <w:ind w:firstLine="640"/>
        <w:jc w:val="both"/>
        <w:rPr>
          <w:rFonts w:hint="eastAsia" w:ascii="黑体" w:hAnsi="宋体" w:eastAsia="黑体" w:cs="黑体"/>
          <w:i/>
          <w:color w:val="auto"/>
          <w:sz w:val="32"/>
          <w:szCs w:val="32"/>
          <w:highlight w:val="none"/>
          <w:u w:val="single"/>
        </w:rPr>
      </w:pPr>
    </w:p>
    <w:p w14:paraId="215565CD">
      <w:pPr>
        <w:pStyle w:val="32"/>
        <w:spacing w:beforeAutospacing="0" w:afterAutospacing="0"/>
        <w:ind w:firstLine="640"/>
        <w:jc w:val="both"/>
        <w:rPr>
          <w:rFonts w:hint="eastAsia" w:ascii="黑体" w:hAnsi="宋体" w:eastAsia="黑体" w:cs="黑体"/>
          <w:bCs/>
          <w:i/>
          <w:color w:val="auto"/>
          <w:sz w:val="32"/>
          <w:szCs w:val="32"/>
          <w:highlight w:val="none"/>
          <w:u w:val="single"/>
        </w:rPr>
      </w:pPr>
    </w:p>
    <w:p w14:paraId="4FE132F5">
      <w:pPr>
        <w:pStyle w:val="32"/>
        <w:spacing w:beforeAutospacing="0" w:afterAutospacing="0"/>
        <w:ind w:firstLine="640"/>
        <w:jc w:val="both"/>
        <w:rPr>
          <w:rFonts w:hint="eastAsia" w:ascii="黑体" w:hAnsi="宋体" w:eastAsia="黑体" w:cs="黑体"/>
          <w:bCs/>
          <w:i/>
          <w:color w:val="auto"/>
          <w:sz w:val="32"/>
          <w:szCs w:val="32"/>
          <w:highlight w:val="none"/>
          <w:u w:val="single"/>
        </w:rPr>
      </w:pPr>
    </w:p>
    <w:p w14:paraId="25C7403A">
      <w:pPr>
        <w:pStyle w:val="32"/>
        <w:spacing w:beforeAutospacing="0" w:afterAutospacing="0"/>
        <w:ind w:firstLine="640"/>
        <w:jc w:val="both"/>
        <w:rPr>
          <w:rFonts w:hint="eastAsia" w:ascii="黑体" w:hAnsi="宋体" w:eastAsia="黑体" w:cs="黑体"/>
          <w:bCs/>
          <w:i/>
          <w:color w:val="auto"/>
          <w:sz w:val="32"/>
          <w:szCs w:val="32"/>
          <w:highlight w:val="none"/>
          <w:u w:val="single"/>
        </w:rPr>
      </w:pPr>
    </w:p>
    <w:p w14:paraId="68EA0B80">
      <w:pPr>
        <w:pStyle w:val="32"/>
        <w:spacing w:beforeAutospacing="0" w:afterAutospacing="0"/>
        <w:ind w:firstLine="640"/>
        <w:jc w:val="both"/>
        <w:rPr>
          <w:rFonts w:hint="eastAsia" w:ascii="黑体" w:hAnsi="宋体" w:eastAsia="黑体" w:cs="黑体"/>
          <w:bCs/>
          <w:i/>
          <w:color w:val="auto"/>
          <w:sz w:val="32"/>
          <w:szCs w:val="32"/>
          <w:highlight w:val="none"/>
          <w:u w:val="single"/>
        </w:rPr>
      </w:pPr>
    </w:p>
    <w:p w14:paraId="34AD43E7">
      <w:pPr>
        <w:pStyle w:val="32"/>
        <w:spacing w:beforeAutospacing="0" w:afterAutospacing="0"/>
        <w:ind w:firstLine="640"/>
        <w:jc w:val="both"/>
        <w:rPr>
          <w:rFonts w:hint="eastAsia" w:ascii="黑体" w:hAnsi="宋体" w:eastAsia="黑体" w:cs="黑体"/>
          <w:bCs/>
          <w:i/>
          <w:color w:val="auto"/>
          <w:sz w:val="32"/>
          <w:szCs w:val="32"/>
          <w:highlight w:val="none"/>
          <w:u w:val="single"/>
        </w:rPr>
      </w:pPr>
    </w:p>
    <w:p w14:paraId="6C617A9F">
      <w:pPr>
        <w:pStyle w:val="32"/>
        <w:spacing w:beforeAutospacing="0" w:afterAutospacing="0"/>
        <w:ind w:firstLine="640"/>
        <w:jc w:val="both"/>
        <w:rPr>
          <w:rFonts w:hint="eastAsia" w:ascii="黑体" w:hAnsi="宋体" w:eastAsia="黑体" w:cs="黑体"/>
          <w:bCs/>
          <w:i/>
          <w:color w:val="auto"/>
          <w:sz w:val="32"/>
          <w:szCs w:val="32"/>
          <w:highlight w:val="none"/>
          <w:u w:val="single"/>
        </w:rPr>
      </w:pPr>
    </w:p>
    <w:p w14:paraId="1BD6118F">
      <w:pPr>
        <w:pStyle w:val="32"/>
        <w:spacing w:beforeAutospacing="0" w:afterAutospacing="0"/>
        <w:ind w:firstLine="640"/>
        <w:jc w:val="both"/>
        <w:rPr>
          <w:rFonts w:hint="eastAsia" w:ascii="黑体" w:hAnsi="宋体" w:eastAsia="黑体" w:cs="黑体"/>
          <w:bCs/>
          <w:i/>
          <w:color w:val="auto"/>
          <w:sz w:val="32"/>
          <w:szCs w:val="32"/>
          <w:highlight w:val="none"/>
          <w:u w:val="single"/>
        </w:rPr>
      </w:pPr>
    </w:p>
    <w:p w14:paraId="0B2F3E0C">
      <w:pPr>
        <w:pStyle w:val="32"/>
        <w:spacing w:beforeAutospacing="0" w:afterAutospacing="0"/>
        <w:ind w:firstLine="640"/>
        <w:jc w:val="both"/>
        <w:rPr>
          <w:rFonts w:hint="eastAsia" w:ascii="黑体" w:hAnsi="宋体" w:eastAsia="黑体" w:cs="黑体"/>
          <w:i/>
          <w:color w:val="auto"/>
          <w:sz w:val="32"/>
          <w:szCs w:val="32"/>
          <w:highlight w:val="none"/>
          <w:u w:val="single"/>
        </w:rPr>
      </w:pPr>
    </w:p>
    <w:p w14:paraId="1B248731">
      <w:pPr>
        <w:pStyle w:val="32"/>
        <w:spacing w:beforeAutospacing="0" w:afterAutospacing="0"/>
        <w:ind w:firstLine="640"/>
        <w:jc w:val="both"/>
        <w:rPr>
          <w:rFonts w:hint="eastAsia" w:ascii="黑体" w:hAnsi="宋体" w:eastAsia="黑体" w:cs="黑体"/>
          <w:i/>
          <w:color w:val="auto"/>
          <w:sz w:val="32"/>
          <w:szCs w:val="32"/>
          <w:highlight w:val="none"/>
          <w:u w:val="single"/>
        </w:rPr>
      </w:pPr>
    </w:p>
    <w:p w14:paraId="728CB371">
      <w:pPr>
        <w:pStyle w:val="32"/>
        <w:spacing w:beforeAutospacing="0" w:afterAutospacing="0"/>
        <w:ind w:firstLine="640"/>
        <w:jc w:val="both"/>
        <w:rPr>
          <w:rFonts w:hint="eastAsia" w:ascii="宋体" w:hAnsi="宋体" w:eastAsia="宋体" w:cs="宋体"/>
          <w:color w:val="auto"/>
          <w:highlight w:val="none"/>
        </w:rPr>
      </w:pPr>
      <w:bookmarkStart w:id="185" w:name="_Hlt26671380"/>
      <w:bookmarkStart w:id="186" w:name="_格式3__银行出具的资信证明"/>
      <w:bookmarkStart w:id="187" w:name="_Hlt26955070"/>
      <w:r>
        <w:rPr>
          <w:rFonts w:hint="eastAsia" w:ascii="宋体" w:hAnsi="宋体" w:eastAsia="宋体" w:cs="宋体"/>
          <w:i/>
          <w:color w:val="auto"/>
          <w:sz w:val="32"/>
          <w:szCs w:val="32"/>
          <w:highlight w:val="none"/>
          <w:u w:val="single"/>
        </w:rPr>
        <w:t>六、供应商法定代表人身份证明和投标文件签署授权委托书（另附法定代表人和被授权人的身份证复印件）</w:t>
      </w:r>
    </w:p>
    <w:p w14:paraId="093706AD">
      <w:pPr>
        <w:spacing w:line="600" w:lineRule="exact"/>
        <w:jc w:val="center"/>
        <w:outlineLvl w:val="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法定代表人身份证明书</w:t>
      </w:r>
    </w:p>
    <w:p w14:paraId="0691119E">
      <w:pPr>
        <w:spacing w:line="600" w:lineRule="exact"/>
        <w:jc w:val="center"/>
        <w:rPr>
          <w:rFonts w:hint="eastAsia" w:ascii="宋体" w:hAnsi="宋体" w:eastAsia="宋体" w:cs="宋体"/>
          <w:b/>
          <w:color w:val="auto"/>
          <w:sz w:val="28"/>
          <w:highlight w:val="none"/>
        </w:rPr>
      </w:pPr>
    </w:p>
    <w:p w14:paraId="3D4E5448">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：（采购人名称）</w:t>
      </w:r>
    </w:p>
    <w:p w14:paraId="0C32ACE1">
      <w:pPr>
        <w:spacing w:line="6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在</w:t>
      </w:r>
      <w:r>
        <w:rPr>
          <w:rFonts w:hint="eastAsia" w:ascii="宋体" w:hAnsi="宋体" w:eastAsia="宋体" w:cs="宋体"/>
          <w:color w:val="auto"/>
          <w:sz w:val="24"/>
          <w:highlight w:val="none"/>
          <w:u w:val="single"/>
        </w:rPr>
        <w:t xml:space="preserve">     （供应商名称）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（职务名称）</w:t>
      </w:r>
      <w:r>
        <w:rPr>
          <w:rFonts w:hint="eastAsia" w:ascii="宋体" w:hAnsi="宋体" w:eastAsia="宋体" w:cs="宋体"/>
          <w:color w:val="auto"/>
          <w:sz w:val="24"/>
          <w:highlight w:val="none"/>
        </w:rPr>
        <w:t>职务，是</w:t>
      </w:r>
      <w:r>
        <w:rPr>
          <w:rFonts w:hint="eastAsia" w:ascii="宋体" w:hAnsi="宋体" w:eastAsia="宋体" w:cs="宋体"/>
          <w:color w:val="auto"/>
          <w:sz w:val="24"/>
          <w:highlight w:val="none"/>
          <w:u w:val="single"/>
        </w:rPr>
        <w:t xml:space="preserve">        （供应商名称）      </w:t>
      </w:r>
      <w:r>
        <w:rPr>
          <w:rFonts w:hint="eastAsia" w:ascii="宋体" w:hAnsi="宋体" w:eastAsia="宋体" w:cs="宋体"/>
          <w:color w:val="auto"/>
          <w:sz w:val="24"/>
          <w:highlight w:val="none"/>
        </w:rPr>
        <w:t>的法定代表人，联系电话（手机号码）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3B9A719">
      <w:pPr>
        <w:spacing w:line="600" w:lineRule="exact"/>
        <w:rPr>
          <w:rFonts w:hint="eastAsia" w:ascii="宋体" w:hAnsi="宋体" w:eastAsia="宋体" w:cs="宋体"/>
          <w:color w:val="auto"/>
          <w:sz w:val="24"/>
          <w:highlight w:val="none"/>
        </w:rPr>
      </w:pPr>
    </w:p>
    <w:p w14:paraId="2AD2BEA4">
      <w:pPr>
        <w:spacing w:line="6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67C72A54">
      <w:pPr>
        <w:spacing w:line="600" w:lineRule="exact"/>
        <w:ind w:firstLine="456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供应商（盖单位公章）      </w:t>
      </w:r>
    </w:p>
    <w:p w14:paraId="79D8AC97">
      <w:pPr>
        <w:spacing w:line="600" w:lineRule="exact"/>
        <w:ind w:firstLine="1200"/>
        <w:rPr>
          <w:rFonts w:hint="eastAsia" w:ascii="宋体" w:hAnsi="宋体" w:eastAsia="宋体" w:cs="宋体"/>
          <w:color w:val="auto"/>
          <w:sz w:val="24"/>
          <w:highlight w:val="none"/>
        </w:rPr>
      </w:pPr>
    </w:p>
    <w:p w14:paraId="18BED59F">
      <w:pPr>
        <w:spacing w:line="600" w:lineRule="exact"/>
        <w:ind w:firstLine="2126"/>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p>
    <w:p w14:paraId="6AAB66AE">
      <w:pPr>
        <w:spacing w:line="600" w:lineRule="exact"/>
        <w:jc w:val="left"/>
        <w:rPr>
          <w:rFonts w:hint="eastAsia" w:ascii="宋体" w:hAnsi="宋体" w:eastAsia="宋体" w:cs="宋体"/>
          <w:b/>
          <w:bCs/>
          <w:color w:val="auto"/>
          <w:sz w:val="24"/>
          <w:highlight w:val="none"/>
        </w:rPr>
      </w:pPr>
    </w:p>
    <w:p w14:paraId="3554411D">
      <w:pPr>
        <w:spacing w:line="6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（附：法定代表人身份证正反面复印件）</w:t>
      </w:r>
    </w:p>
    <w:p w14:paraId="087CB43D">
      <w:pPr>
        <w:jc w:val="left"/>
        <w:rPr>
          <w:rFonts w:hint="eastAsia" w:ascii="宋体" w:hAnsi="宋体" w:eastAsia="宋体" w:cs="宋体"/>
          <w:color w:val="auto"/>
          <w:sz w:val="24"/>
          <w:highlight w:val="none"/>
        </w:rPr>
      </w:pPr>
    </w:p>
    <w:p w14:paraId="2BADC63B">
      <w:pPr>
        <w:spacing w:line="400" w:lineRule="exact"/>
        <w:jc w:val="center"/>
        <w:rPr>
          <w:rFonts w:hint="eastAsia" w:ascii="宋体" w:hAnsi="宋体" w:eastAsia="宋体" w:cs="宋体"/>
          <w:color w:val="auto"/>
          <w:sz w:val="28"/>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2"/>
          <w:szCs w:val="32"/>
          <w:highlight w:val="none"/>
        </w:rPr>
        <w:t>投标文件签署授权委托书</w:t>
      </w:r>
    </w:p>
    <w:p w14:paraId="55843446">
      <w:pPr>
        <w:spacing w:line="400" w:lineRule="exact"/>
        <w:jc w:val="center"/>
        <w:rPr>
          <w:rFonts w:hint="eastAsia" w:ascii="宋体" w:hAnsi="宋体" w:eastAsia="宋体" w:cs="宋体"/>
          <w:b/>
          <w:color w:val="auto"/>
          <w:sz w:val="28"/>
          <w:highlight w:val="none"/>
        </w:rPr>
      </w:pPr>
    </w:p>
    <w:p w14:paraId="6FFAC52C">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本授权委托书声明：我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（供应商名称）        </w:t>
      </w:r>
      <w:r>
        <w:rPr>
          <w:rFonts w:hint="eastAsia" w:ascii="宋体" w:hAnsi="宋体" w:eastAsia="宋体" w:cs="宋体"/>
          <w:color w:val="auto"/>
          <w:sz w:val="24"/>
          <w:highlight w:val="none"/>
        </w:rPr>
        <w:t xml:space="preserve"> 的法定代表人，现授权</w:t>
      </w:r>
      <w:r>
        <w:rPr>
          <w:rFonts w:hint="eastAsia" w:ascii="宋体" w:hAnsi="宋体" w:eastAsia="宋体" w:cs="宋体"/>
          <w:color w:val="auto"/>
          <w:sz w:val="24"/>
          <w:highlight w:val="none"/>
          <w:u w:val="single"/>
        </w:rPr>
        <w:t xml:space="preserve">         （供应商名称）</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为我公司签署本项目的投标文件的法定代表人授权委托代理人，我承认被授权人全权代表我所签署的本项目的投标文件的内容。</w:t>
      </w:r>
    </w:p>
    <w:p w14:paraId="7BB4C8EA">
      <w:pPr>
        <w:spacing w:line="400" w:lineRule="exact"/>
        <w:rPr>
          <w:rFonts w:hint="eastAsia" w:ascii="宋体" w:hAnsi="宋体" w:eastAsia="宋体" w:cs="宋体"/>
          <w:color w:val="auto"/>
          <w:sz w:val="24"/>
          <w:highlight w:val="none"/>
        </w:rPr>
      </w:pPr>
    </w:p>
    <w:p w14:paraId="78F0D2EA">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特此委托。</w:t>
      </w:r>
    </w:p>
    <w:p w14:paraId="795A91E7">
      <w:pPr>
        <w:spacing w:line="400" w:lineRule="exact"/>
        <w:ind w:firstLine="480"/>
        <w:rPr>
          <w:rFonts w:hint="eastAsia" w:ascii="宋体" w:hAnsi="宋体" w:eastAsia="宋体" w:cs="宋体"/>
          <w:color w:val="auto"/>
          <w:sz w:val="24"/>
          <w:highlight w:val="none"/>
        </w:rPr>
      </w:pPr>
    </w:p>
    <w:p w14:paraId="310B7A95">
      <w:pPr>
        <w:spacing w:line="400" w:lineRule="exact"/>
        <w:ind w:firstLine="480"/>
        <w:rPr>
          <w:rFonts w:hint="eastAsia" w:ascii="宋体" w:hAnsi="宋体" w:eastAsia="宋体" w:cs="宋体"/>
          <w:color w:val="auto"/>
          <w:sz w:val="24"/>
          <w:highlight w:val="none"/>
        </w:rPr>
      </w:pPr>
    </w:p>
    <w:p w14:paraId="543B1573">
      <w:pPr>
        <w:spacing w:line="400" w:lineRule="exact"/>
        <w:ind w:firstLine="212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代理人（被授权人）：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u w:val="single"/>
        </w:rPr>
        <w:t xml:space="preserve">          </w:t>
      </w:r>
    </w:p>
    <w:p w14:paraId="4DFB0D0C">
      <w:pPr>
        <w:spacing w:line="400" w:lineRule="exact"/>
        <w:ind w:firstLine="2126"/>
        <w:rPr>
          <w:rFonts w:hint="eastAsia" w:ascii="宋体" w:hAnsi="宋体" w:eastAsia="宋体" w:cs="宋体"/>
          <w:color w:val="auto"/>
          <w:sz w:val="24"/>
          <w:highlight w:val="none"/>
          <w:u w:val="single"/>
        </w:rPr>
      </w:pPr>
    </w:p>
    <w:p w14:paraId="522A3E68">
      <w:pPr>
        <w:spacing w:line="400" w:lineRule="exact"/>
        <w:ind w:firstLine="212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职务：</w:t>
      </w:r>
      <w:r>
        <w:rPr>
          <w:rFonts w:hint="eastAsia" w:ascii="宋体" w:hAnsi="宋体" w:eastAsia="宋体" w:cs="宋体"/>
          <w:color w:val="auto"/>
          <w:sz w:val="24"/>
          <w:highlight w:val="none"/>
          <w:u w:val="single"/>
        </w:rPr>
        <w:t xml:space="preserve">        </w:t>
      </w:r>
    </w:p>
    <w:p w14:paraId="0254082F">
      <w:pPr>
        <w:pStyle w:val="189"/>
        <w:rPr>
          <w:rFonts w:hint="eastAsia" w:hAnsi="宋体" w:eastAsia="宋体"/>
          <w:color w:val="auto"/>
          <w:highlight w:val="none"/>
        </w:rPr>
      </w:pPr>
    </w:p>
    <w:p w14:paraId="466F3209">
      <w:pPr>
        <w:spacing w:line="400" w:lineRule="exact"/>
        <w:ind w:firstLine="2126"/>
        <w:rPr>
          <w:rFonts w:hint="eastAsia" w:ascii="宋体" w:hAnsi="宋体" w:eastAsia="宋体" w:cs="宋体"/>
          <w:color w:val="auto"/>
          <w:sz w:val="24"/>
          <w:highlight w:val="none"/>
          <w:u w:val="single"/>
        </w:rPr>
      </w:pPr>
      <w:r>
        <w:rPr>
          <w:rFonts w:hint="eastAsia" w:ascii="宋体" w:hAnsi="宋体" w:eastAsia="宋体" w:cs="宋体"/>
          <w:color w:val="auto"/>
          <w:sz w:val="24"/>
          <w:szCs w:val="22"/>
          <w:highlight w:val="none"/>
        </w:rPr>
        <w:t>联系号码（手机号码）；</w:t>
      </w:r>
      <w:r>
        <w:rPr>
          <w:rFonts w:hint="eastAsia" w:ascii="宋体" w:hAnsi="宋体" w:eastAsia="宋体" w:cs="宋体"/>
          <w:color w:val="auto"/>
          <w:sz w:val="24"/>
          <w:highlight w:val="none"/>
          <w:u w:val="single"/>
        </w:rPr>
        <w:t xml:space="preserve">                               </w:t>
      </w:r>
    </w:p>
    <w:p w14:paraId="66EB6AE7">
      <w:pPr>
        <w:spacing w:line="400" w:lineRule="exact"/>
        <w:ind w:firstLine="2126"/>
        <w:rPr>
          <w:rFonts w:hint="eastAsia" w:ascii="宋体" w:hAnsi="宋体" w:eastAsia="宋体" w:cs="宋体"/>
          <w:color w:val="auto"/>
          <w:sz w:val="24"/>
          <w:highlight w:val="none"/>
          <w:u w:val="single"/>
        </w:rPr>
      </w:pPr>
    </w:p>
    <w:p w14:paraId="4C6EDA16">
      <w:pPr>
        <w:spacing w:line="400" w:lineRule="exact"/>
        <w:ind w:firstLine="2126"/>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（盖单位公章）</w:t>
      </w:r>
    </w:p>
    <w:p w14:paraId="2BB54E8D">
      <w:pPr>
        <w:spacing w:line="400" w:lineRule="exact"/>
        <w:ind w:firstLine="2126"/>
        <w:rPr>
          <w:rFonts w:hint="eastAsia" w:ascii="宋体" w:hAnsi="宋体" w:eastAsia="宋体" w:cs="宋体"/>
          <w:color w:val="auto"/>
          <w:sz w:val="24"/>
          <w:highlight w:val="none"/>
        </w:rPr>
      </w:pPr>
    </w:p>
    <w:p w14:paraId="5B1FC864">
      <w:pPr>
        <w:spacing w:line="400" w:lineRule="exact"/>
        <w:ind w:firstLine="212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（盖章）</w:t>
      </w:r>
    </w:p>
    <w:p w14:paraId="7EDBD35F">
      <w:pPr>
        <w:spacing w:line="400" w:lineRule="exact"/>
        <w:ind w:firstLine="2126"/>
        <w:rPr>
          <w:rFonts w:hint="eastAsia" w:ascii="宋体" w:hAnsi="宋体" w:eastAsia="宋体" w:cs="宋体"/>
          <w:color w:val="auto"/>
          <w:sz w:val="24"/>
          <w:highlight w:val="none"/>
          <w:u w:val="single"/>
        </w:rPr>
      </w:pPr>
    </w:p>
    <w:p w14:paraId="3122EB9E">
      <w:pPr>
        <w:spacing w:line="400" w:lineRule="exact"/>
        <w:ind w:firstLine="2126"/>
        <w:rPr>
          <w:rFonts w:hint="eastAsia" w:ascii="宋体" w:hAnsi="宋体" w:eastAsia="宋体" w:cs="宋体"/>
          <w:color w:val="auto"/>
          <w:sz w:val="24"/>
          <w:highlight w:val="none"/>
        </w:rPr>
      </w:pPr>
      <w:r>
        <w:rPr>
          <w:rFonts w:hint="eastAsia" w:ascii="宋体" w:hAnsi="宋体" w:eastAsia="宋体" w:cs="宋体"/>
          <w:color w:val="auto"/>
          <w:sz w:val="24"/>
          <w:highlight w:val="none"/>
        </w:rPr>
        <w:t>授权委托日期：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6544AB28">
      <w:pPr>
        <w:spacing w:line="400" w:lineRule="exact"/>
        <w:ind w:firstLine="2126"/>
        <w:rPr>
          <w:rFonts w:hint="eastAsia" w:ascii="宋体" w:hAnsi="宋体" w:eastAsia="宋体" w:cs="宋体"/>
          <w:color w:val="auto"/>
          <w:sz w:val="24"/>
          <w:highlight w:val="none"/>
        </w:rPr>
      </w:pPr>
    </w:p>
    <w:p w14:paraId="444E91C0">
      <w:pPr>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（附：被授权人身份证正反面复印件）</w:t>
      </w:r>
    </w:p>
    <w:p w14:paraId="67691186">
      <w:pPr>
        <w:jc w:val="left"/>
        <w:rPr>
          <w:rFonts w:hint="eastAsia" w:ascii="宋体" w:hAnsi="宋体" w:eastAsia="宋体" w:cs="宋体"/>
          <w:color w:val="auto"/>
          <w:sz w:val="24"/>
          <w:highlight w:val="none"/>
        </w:rPr>
      </w:pPr>
    </w:p>
    <w:p w14:paraId="4A9C29E7">
      <w:pPr>
        <w:jc w:val="left"/>
        <w:rPr>
          <w:rFonts w:hint="eastAsia" w:ascii="宋体" w:hAnsi="宋体" w:eastAsia="宋体" w:cs="宋体"/>
          <w:color w:val="auto"/>
          <w:sz w:val="24"/>
          <w:highlight w:val="none"/>
        </w:rPr>
      </w:pPr>
    </w:p>
    <w:p w14:paraId="6C432FA1">
      <w:pPr>
        <w:jc w:val="left"/>
        <w:rPr>
          <w:rFonts w:hint="eastAsia" w:ascii="宋体" w:hAnsi="宋体" w:eastAsia="宋体" w:cs="宋体"/>
          <w:color w:val="auto"/>
          <w:sz w:val="24"/>
          <w:highlight w:val="none"/>
        </w:rPr>
      </w:pPr>
    </w:p>
    <w:p w14:paraId="7A56E484">
      <w:pPr>
        <w:jc w:val="center"/>
        <w:rPr>
          <w:rFonts w:hint="eastAsia" w:ascii="宋体" w:hAnsi="宋体" w:eastAsia="宋体" w:cs="宋体"/>
          <w:color w:val="auto"/>
          <w:sz w:val="28"/>
          <w:highlight w:val="none"/>
        </w:rPr>
      </w:pPr>
    </w:p>
    <w:p w14:paraId="5A395194">
      <w:pPr>
        <w:jc w:val="center"/>
        <w:rPr>
          <w:rFonts w:hint="eastAsia" w:ascii="宋体" w:hAnsi="宋体" w:eastAsia="宋体" w:cs="宋体"/>
          <w:color w:val="auto"/>
          <w:sz w:val="28"/>
          <w:szCs w:val="28"/>
          <w:highlight w:val="none"/>
        </w:rPr>
      </w:pPr>
    </w:p>
    <w:p w14:paraId="592C117B">
      <w:pPr>
        <w:jc w:val="center"/>
        <w:rPr>
          <w:rFonts w:hint="eastAsia" w:ascii="宋体" w:hAnsi="宋体" w:eastAsia="宋体" w:cs="宋体"/>
          <w:color w:val="auto"/>
          <w:sz w:val="28"/>
          <w:szCs w:val="28"/>
          <w:highlight w:val="none"/>
        </w:rPr>
      </w:pPr>
    </w:p>
    <w:p w14:paraId="15852ED5">
      <w:pPr>
        <w:jc w:val="center"/>
        <w:rPr>
          <w:rFonts w:hint="eastAsia" w:ascii="宋体" w:hAnsi="宋体" w:eastAsia="宋体" w:cs="宋体"/>
          <w:color w:val="auto"/>
          <w:sz w:val="28"/>
          <w:szCs w:val="28"/>
          <w:highlight w:val="none"/>
        </w:rPr>
      </w:pPr>
    </w:p>
    <w:p w14:paraId="73F080C2">
      <w:pPr>
        <w:jc w:val="center"/>
        <w:rPr>
          <w:rFonts w:hint="eastAsia" w:ascii="宋体" w:hAnsi="宋体" w:eastAsia="宋体" w:cs="宋体"/>
          <w:color w:val="auto"/>
          <w:sz w:val="28"/>
          <w:szCs w:val="28"/>
          <w:highlight w:val="none"/>
        </w:rPr>
      </w:pPr>
    </w:p>
    <w:p w14:paraId="7FA8E750">
      <w:pPr>
        <w:jc w:val="center"/>
        <w:rPr>
          <w:rFonts w:hint="eastAsia" w:ascii="宋体" w:hAnsi="宋体" w:eastAsia="宋体" w:cs="宋体"/>
          <w:color w:val="auto"/>
          <w:sz w:val="28"/>
          <w:szCs w:val="28"/>
          <w:highlight w:val="none"/>
        </w:rPr>
      </w:pPr>
    </w:p>
    <w:p w14:paraId="7DBE4B0E">
      <w:pPr>
        <w:jc w:val="center"/>
        <w:rPr>
          <w:rFonts w:hint="eastAsia" w:ascii="宋体" w:hAnsi="宋体" w:eastAsia="宋体" w:cs="宋体"/>
          <w:color w:val="auto"/>
          <w:sz w:val="28"/>
          <w:highlight w:val="none"/>
        </w:rPr>
      </w:pPr>
    </w:p>
    <w:p w14:paraId="27545110">
      <w:pPr>
        <w:pStyle w:val="189"/>
        <w:rPr>
          <w:rFonts w:hint="eastAsia" w:hAnsi="宋体" w:eastAsia="宋体"/>
          <w:color w:val="auto"/>
          <w:highlight w:val="none"/>
        </w:rPr>
      </w:pPr>
    </w:p>
    <w:p w14:paraId="4514847C">
      <w:pPr>
        <w:jc w:val="center"/>
        <w:rPr>
          <w:rFonts w:hint="eastAsia" w:ascii="宋体" w:hAnsi="宋体" w:eastAsia="宋体" w:cs="宋体"/>
          <w:color w:val="auto"/>
          <w:sz w:val="28"/>
          <w:highlight w:val="none"/>
        </w:rPr>
      </w:pPr>
    </w:p>
    <w:p w14:paraId="1B5E24F5">
      <w:pPr>
        <w:pStyle w:val="32"/>
        <w:spacing w:beforeAutospacing="0" w:afterAutospacing="0" w:line="0" w:lineRule="atLeast"/>
        <w:jc w:val="both"/>
        <w:rPr>
          <w:rFonts w:hint="eastAsia" w:ascii="黑体" w:hAnsi="宋体" w:eastAsia="黑体" w:cs="黑体"/>
          <w:b/>
          <w:color w:val="auto"/>
          <w:sz w:val="32"/>
          <w:szCs w:val="32"/>
          <w:highlight w:val="none"/>
        </w:rPr>
      </w:pPr>
    </w:p>
    <w:p w14:paraId="615E20F4">
      <w:pPr>
        <w:pStyle w:val="32"/>
        <w:spacing w:beforeAutospacing="0" w:afterAutospacing="0" w:line="0" w:lineRule="atLeast"/>
        <w:ind w:firstLine="643"/>
        <w:jc w:val="center"/>
        <w:rPr>
          <w:rFonts w:hint="eastAsia" w:ascii="黑体" w:hAnsi="宋体" w:eastAsia="黑体" w:cs="黑体"/>
          <w:b/>
          <w:color w:val="auto"/>
          <w:sz w:val="32"/>
          <w:szCs w:val="32"/>
          <w:highlight w:val="none"/>
        </w:rPr>
      </w:pPr>
    </w:p>
    <w:p w14:paraId="16F0B296">
      <w:pPr>
        <w:pStyle w:val="32"/>
        <w:spacing w:beforeAutospacing="0" w:afterAutospacing="0" w:line="0" w:lineRule="atLeast"/>
        <w:ind w:firstLine="643"/>
        <w:jc w:val="center"/>
        <w:rPr>
          <w:rFonts w:hint="eastAsia" w:ascii="黑体" w:hAnsi="宋体" w:eastAsia="黑体" w:cs="黑体"/>
          <w:b/>
          <w:color w:val="auto"/>
          <w:sz w:val="32"/>
          <w:szCs w:val="32"/>
          <w:highlight w:val="none"/>
        </w:rPr>
      </w:pPr>
    </w:p>
    <w:p w14:paraId="0F3CD314">
      <w:pPr>
        <w:pStyle w:val="32"/>
        <w:spacing w:beforeAutospacing="0" w:afterAutospacing="0" w:line="0" w:lineRule="atLeast"/>
        <w:ind w:firstLine="643"/>
        <w:jc w:val="cente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rPr>
        <w:t>八</w:t>
      </w:r>
      <w:r>
        <w:rPr>
          <w:rFonts w:hint="eastAsia" w:ascii="黑体" w:hAnsi="宋体" w:eastAsia="黑体" w:cs="黑体"/>
          <w:b/>
          <w:color w:val="auto"/>
          <w:sz w:val="32"/>
          <w:szCs w:val="32"/>
          <w:highlight w:val="none"/>
        </w:rPr>
        <w:t>、投标函</w:t>
      </w:r>
    </w:p>
    <w:p w14:paraId="1572182C">
      <w:pPr>
        <w:pStyle w:val="32"/>
        <w:spacing w:beforeAutospacing="0" w:afterAutospacing="0" w:line="480" w:lineRule="exact"/>
        <w:rPr>
          <w:rFonts w:eastAsia="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 xml:space="preserve">   （采购人名称）   </w:t>
      </w:r>
    </w:p>
    <w:p w14:paraId="03408A2A">
      <w:pPr>
        <w:pStyle w:val="32"/>
        <w:spacing w:beforeAutospacing="0" w:afterAutospacing="0" w:line="480" w:lineRule="exact"/>
        <w:ind w:firstLine="480"/>
        <w:rPr>
          <w:color w:val="auto"/>
          <w:highlight w:val="none"/>
        </w:rPr>
      </w:pPr>
      <w:r>
        <w:rPr>
          <w:rFonts w:hint="eastAsia" w:ascii="宋体" w:hAnsi="宋体" w:eastAsia="宋体" w:cs="宋体"/>
          <w:color w:val="auto"/>
          <w:highlight w:val="none"/>
        </w:rPr>
        <w:t>根据贵方编号为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项目的招标文件，正式授权下述签字人______（姓名）代表我方______________（投标人的名称），全权处理本次项目投标的有关事宜。</w:t>
      </w:r>
    </w:p>
    <w:p w14:paraId="76DAD3D8">
      <w:pPr>
        <w:pStyle w:val="32"/>
        <w:spacing w:beforeAutospacing="0" w:afterAutospacing="0" w:line="480" w:lineRule="exact"/>
        <w:ind w:firstLine="480"/>
        <w:rPr>
          <w:color w:val="auto"/>
          <w:highlight w:val="none"/>
        </w:rPr>
      </w:pPr>
      <w:r>
        <w:rPr>
          <w:rFonts w:hint="eastAsia" w:ascii="宋体" w:hAnsi="宋体" w:eastAsia="宋体" w:cs="宋体"/>
          <w:color w:val="auto"/>
          <w:highlight w:val="none"/>
        </w:rPr>
        <w:t>据此函，__________签字人兹宣布同意如下：</w:t>
      </w:r>
    </w:p>
    <w:p w14:paraId="0117A7FB">
      <w:pPr>
        <w:pStyle w:val="32"/>
        <w:spacing w:beforeAutospacing="0" w:afterAutospacing="0" w:line="480" w:lineRule="exact"/>
        <w:ind w:firstLine="480"/>
        <w:rPr>
          <w:color w:val="auto"/>
          <w:highlight w:val="none"/>
        </w:rPr>
      </w:pPr>
      <w:r>
        <w:rPr>
          <w:rFonts w:hint="eastAsia" w:ascii="宋体" w:hAnsi="宋体" w:eastAsia="宋体" w:cs="宋体"/>
          <w:color w:val="auto"/>
          <w:highlight w:val="none"/>
        </w:rPr>
        <w:t>1.按招标文件规定的各项要求，向买方提供所需服务（包含与服务相关的货物）。</w:t>
      </w:r>
    </w:p>
    <w:p w14:paraId="386F0478">
      <w:pPr>
        <w:pStyle w:val="32"/>
        <w:spacing w:beforeAutospacing="0" w:afterAutospacing="0" w:line="480" w:lineRule="exact"/>
        <w:ind w:firstLine="480"/>
        <w:rPr>
          <w:color w:val="auto"/>
          <w:highlight w:val="none"/>
        </w:rPr>
      </w:pPr>
      <w:r>
        <w:rPr>
          <w:rFonts w:hint="eastAsia" w:ascii="宋体" w:hAnsi="宋体" w:eastAsia="宋体" w:cs="宋体"/>
          <w:color w:val="auto"/>
          <w:highlight w:val="none"/>
        </w:rPr>
        <w:t>2.我们完全理解贵方不一定将合同授予最低报价的投标人。</w:t>
      </w:r>
    </w:p>
    <w:p w14:paraId="2F1F7757">
      <w:pPr>
        <w:pStyle w:val="32"/>
        <w:spacing w:beforeAutospacing="0" w:afterAutospacing="0" w:line="480" w:lineRule="exact"/>
        <w:ind w:firstLine="480"/>
        <w:rPr>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40812603">
      <w:pPr>
        <w:pStyle w:val="32"/>
        <w:spacing w:beforeAutospacing="0" w:afterAutospacing="0" w:line="480" w:lineRule="exact"/>
        <w:ind w:firstLine="480"/>
        <w:rPr>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32E9A8EE">
      <w:pPr>
        <w:pStyle w:val="32"/>
        <w:spacing w:beforeAutospacing="0" w:afterAutospacing="0" w:line="480" w:lineRule="exact"/>
        <w:ind w:firstLine="480"/>
        <w:rPr>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79B01F82">
      <w:pPr>
        <w:pStyle w:val="32"/>
        <w:spacing w:beforeAutospacing="0" w:afterAutospacing="0" w:line="480" w:lineRule="exact"/>
        <w:ind w:firstLine="480"/>
        <w:rPr>
          <w:color w:val="auto"/>
          <w:highlight w:val="none"/>
        </w:rPr>
      </w:pPr>
      <w:r>
        <w:rPr>
          <w:rFonts w:hint="eastAsia" w:ascii="宋体" w:hAnsi="宋体" w:eastAsia="宋体" w:cs="宋体"/>
          <w:color w:val="auto"/>
          <w:highlight w:val="none"/>
        </w:rPr>
        <w:t>6.一旦我方中标，我方将根据招标文件的规定，严格履行合同的责任和义务，并保证在招标文件规定的时间内完成项目，交付买方验收、使用。</w:t>
      </w:r>
    </w:p>
    <w:p w14:paraId="4A8CEC49">
      <w:pPr>
        <w:pStyle w:val="32"/>
        <w:spacing w:beforeAutospacing="0" w:afterAutospacing="0" w:line="480" w:lineRule="exact"/>
        <w:ind w:firstLine="480"/>
        <w:rPr>
          <w:color w:val="auto"/>
          <w:highlight w:val="none"/>
        </w:rPr>
      </w:pPr>
      <w:r>
        <w:rPr>
          <w:rFonts w:hint="eastAsia" w:ascii="宋体" w:hAnsi="宋体" w:eastAsia="宋体" w:cs="宋体"/>
          <w:color w:val="auto"/>
          <w:highlight w:val="none"/>
        </w:rPr>
        <w:t>7.与本投标有关的正式通讯地址为：</w:t>
      </w:r>
    </w:p>
    <w:p w14:paraId="45AF3335">
      <w:pPr>
        <w:pStyle w:val="32"/>
        <w:spacing w:beforeAutospacing="0" w:afterAutospacing="0" w:line="480" w:lineRule="exact"/>
        <w:ind w:left="420" w:firstLine="480"/>
        <w:rPr>
          <w:color w:val="auto"/>
          <w:highlight w:val="none"/>
        </w:rPr>
      </w:pPr>
      <w:r>
        <w:rPr>
          <w:rFonts w:hint="eastAsia" w:ascii="宋体" w:hAnsi="宋体" w:eastAsia="宋体" w:cs="宋体"/>
          <w:color w:val="auto"/>
          <w:highlight w:val="none"/>
        </w:rPr>
        <w:t>地          址：</w:t>
      </w:r>
    </w:p>
    <w:p w14:paraId="0411B55D">
      <w:pPr>
        <w:pStyle w:val="32"/>
        <w:spacing w:beforeAutospacing="0" w:afterAutospacing="0" w:line="480" w:lineRule="exact"/>
        <w:ind w:left="420" w:firstLine="480"/>
        <w:rPr>
          <w:color w:val="auto"/>
          <w:highlight w:val="none"/>
        </w:rPr>
      </w:pPr>
      <w:r>
        <w:rPr>
          <w:rFonts w:hint="eastAsia" w:ascii="宋体" w:hAnsi="宋体" w:eastAsia="宋体" w:cs="宋体"/>
          <w:color w:val="auto"/>
          <w:highlight w:val="none"/>
        </w:rPr>
        <w:t>邮          编：</w:t>
      </w:r>
    </w:p>
    <w:p w14:paraId="34F31A33">
      <w:pPr>
        <w:pStyle w:val="32"/>
        <w:spacing w:beforeAutospacing="0" w:afterAutospacing="0" w:line="480" w:lineRule="exact"/>
        <w:ind w:left="420" w:firstLine="480"/>
        <w:rPr>
          <w:color w:val="auto"/>
          <w:highlight w:val="none"/>
        </w:rPr>
      </w:pPr>
      <w:r>
        <w:rPr>
          <w:rFonts w:hint="eastAsia" w:ascii="宋体" w:hAnsi="宋体" w:eastAsia="宋体" w:cs="宋体"/>
          <w:color w:val="auto"/>
          <w:highlight w:val="none"/>
        </w:rPr>
        <w:t>电          话：</w:t>
      </w:r>
    </w:p>
    <w:p w14:paraId="20EC2A9E">
      <w:pPr>
        <w:pStyle w:val="32"/>
        <w:spacing w:beforeAutospacing="0" w:afterAutospacing="0" w:line="480" w:lineRule="exact"/>
        <w:ind w:left="420" w:firstLine="480"/>
        <w:rPr>
          <w:color w:val="auto"/>
          <w:highlight w:val="none"/>
        </w:rPr>
      </w:pPr>
      <w:r>
        <w:rPr>
          <w:rFonts w:hint="eastAsia" w:ascii="宋体" w:hAnsi="宋体" w:eastAsia="宋体" w:cs="宋体"/>
          <w:color w:val="auto"/>
          <w:highlight w:val="none"/>
        </w:rPr>
        <w:t>传          真：</w:t>
      </w:r>
    </w:p>
    <w:p w14:paraId="347BAE45">
      <w:pPr>
        <w:pStyle w:val="32"/>
        <w:spacing w:beforeAutospacing="0" w:afterAutospacing="0" w:line="480" w:lineRule="exact"/>
        <w:ind w:left="420" w:firstLine="480"/>
        <w:rPr>
          <w:color w:val="auto"/>
          <w:highlight w:val="none"/>
        </w:rPr>
      </w:pPr>
      <w:r>
        <w:rPr>
          <w:rFonts w:hint="eastAsia" w:ascii="宋体" w:hAnsi="宋体" w:eastAsia="宋体" w:cs="宋体"/>
          <w:color w:val="auto"/>
          <w:highlight w:val="none"/>
        </w:rPr>
        <w:t>投标人开户行：</w:t>
      </w:r>
    </w:p>
    <w:p w14:paraId="6A1AB3C4">
      <w:pPr>
        <w:pStyle w:val="32"/>
        <w:spacing w:beforeAutospacing="0" w:afterAutospacing="0" w:line="480" w:lineRule="exact"/>
        <w:ind w:left="420" w:firstLine="480"/>
        <w:rPr>
          <w:color w:val="auto"/>
          <w:highlight w:val="none"/>
        </w:rPr>
      </w:pPr>
      <w:r>
        <w:rPr>
          <w:rFonts w:hint="eastAsia" w:ascii="宋体" w:hAnsi="宋体" w:eastAsia="宋体" w:cs="宋体"/>
          <w:color w:val="auto"/>
          <w:highlight w:val="none"/>
        </w:rPr>
        <w:t xml:space="preserve">账          号： </w:t>
      </w:r>
    </w:p>
    <w:p w14:paraId="2685F3D9">
      <w:pPr>
        <w:pStyle w:val="32"/>
        <w:spacing w:beforeAutospacing="0" w:afterAutospacing="0" w:line="480" w:lineRule="exact"/>
        <w:ind w:left="420" w:firstLine="480"/>
        <w:rPr>
          <w:color w:val="auto"/>
          <w:highlight w:val="none"/>
        </w:rPr>
      </w:pPr>
      <w:r>
        <w:rPr>
          <w:rFonts w:hint="eastAsia" w:ascii="宋体" w:hAnsi="宋体" w:eastAsia="宋体" w:cs="宋体"/>
          <w:color w:val="auto"/>
          <w:highlight w:val="none"/>
        </w:rPr>
        <w:t>日           期：________年____月____日</w:t>
      </w:r>
    </w:p>
    <w:p w14:paraId="7D35422B">
      <w:pPr>
        <w:pStyle w:val="32"/>
        <w:spacing w:beforeAutospacing="0" w:afterAutospacing="0" w:line="0" w:lineRule="atLeast"/>
        <w:ind w:firstLine="480"/>
        <w:jc w:val="center"/>
        <w:rPr>
          <w:color w:val="auto"/>
          <w:highlight w:val="none"/>
        </w:rPr>
      </w:pPr>
      <w:r>
        <w:rPr>
          <w:color w:val="auto"/>
          <w:highlight w:val="none"/>
        </w:rPr>
        <w:t> </w:t>
      </w:r>
    </w:p>
    <w:p w14:paraId="7C3D5EAB">
      <w:pPr>
        <w:pStyle w:val="32"/>
        <w:spacing w:beforeAutospacing="0" w:afterAutospacing="0" w:line="0" w:lineRule="atLeast"/>
        <w:ind w:firstLine="480"/>
        <w:jc w:val="center"/>
        <w:rPr>
          <w:color w:val="auto"/>
          <w:highlight w:val="none"/>
        </w:rPr>
      </w:pPr>
      <w:r>
        <w:rPr>
          <w:color w:val="auto"/>
          <w:highlight w:val="none"/>
        </w:rPr>
        <w:t> </w:t>
      </w:r>
    </w:p>
    <w:p w14:paraId="3886D40F">
      <w:pPr>
        <w:pStyle w:val="32"/>
        <w:spacing w:beforeAutospacing="0" w:afterAutospacing="0" w:line="0" w:lineRule="atLeast"/>
        <w:ind w:firstLine="480"/>
        <w:jc w:val="center"/>
        <w:rPr>
          <w:color w:val="auto"/>
          <w:highlight w:val="none"/>
        </w:rPr>
      </w:pPr>
      <w:r>
        <w:rPr>
          <w:color w:val="auto"/>
          <w:highlight w:val="none"/>
        </w:rPr>
        <w:t> </w:t>
      </w:r>
    </w:p>
    <w:p w14:paraId="015A5BB3">
      <w:pPr>
        <w:pStyle w:val="32"/>
        <w:spacing w:beforeAutospacing="0" w:afterAutospacing="0" w:line="0" w:lineRule="atLeast"/>
        <w:ind w:firstLine="480"/>
        <w:jc w:val="center"/>
        <w:rPr>
          <w:color w:val="auto"/>
          <w:highlight w:val="none"/>
        </w:rPr>
      </w:pPr>
      <w:r>
        <w:rPr>
          <w:color w:val="auto"/>
          <w:highlight w:val="none"/>
        </w:rPr>
        <w:t> </w:t>
      </w:r>
    </w:p>
    <w:p w14:paraId="686FFC1A">
      <w:pPr>
        <w:pStyle w:val="32"/>
        <w:spacing w:beforeAutospacing="0" w:afterAutospacing="0" w:line="0" w:lineRule="atLeast"/>
        <w:ind w:firstLine="480"/>
        <w:jc w:val="center"/>
        <w:rPr>
          <w:color w:val="auto"/>
          <w:highlight w:val="none"/>
        </w:rPr>
      </w:pPr>
      <w:r>
        <w:rPr>
          <w:color w:val="auto"/>
          <w:highlight w:val="none"/>
        </w:rPr>
        <w:t> </w:t>
      </w:r>
    </w:p>
    <w:p w14:paraId="059B48CE">
      <w:pPr>
        <w:pStyle w:val="32"/>
        <w:spacing w:beforeAutospacing="0" w:afterAutospacing="0" w:line="0" w:lineRule="atLeast"/>
        <w:ind w:firstLine="480"/>
        <w:jc w:val="center"/>
        <w:rPr>
          <w:color w:val="auto"/>
          <w:highlight w:val="none"/>
        </w:rPr>
      </w:pPr>
    </w:p>
    <w:p w14:paraId="744C1DDF">
      <w:pPr>
        <w:pStyle w:val="32"/>
        <w:spacing w:beforeAutospacing="0" w:afterAutospacing="0" w:line="0" w:lineRule="atLeast"/>
        <w:ind w:firstLine="643"/>
        <w:jc w:val="center"/>
        <w:rPr>
          <w:color w:val="auto"/>
          <w:highlight w:val="none"/>
        </w:rPr>
      </w:pPr>
      <w:r>
        <w:rPr>
          <w:rFonts w:hint="eastAsia" w:ascii="黑体" w:hAnsi="宋体" w:eastAsia="黑体" w:cs="黑体"/>
          <w:b/>
          <w:color w:val="auto"/>
          <w:sz w:val="32"/>
          <w:szCs w:val="32"/>
          <w:highlight w:val="none"/>
          <w:lang w:val="en-US" w:eastAsia="zh-CN"/>
        </w:rPr>
        <w:t>九</w:t>
      </w:r>
      <w:r>
        <w:rPr>
          <w:rFonts w:hint="eastAsia" w:ascii="黑体" w:hAnsi="宋体" w:eastAsia="黑体" w:cs="黑体"/>
          <w:b/>
          <w:color w:val="auto"/>
          <w:sz w:val="32"/>
          <w:szCs w:val="32"/>
          <w:highlight w:val="none"/>
        </w:rPr>
        <w:t>、中小企业声明函（服务）</w:t>
      </w:r>
    </w:p>
    <w:p w14:paraId="34F4697C">
      <w:pPr>
        <w:spacing w:line="480" w:lineRule="exact"/>
        <w:ind w:firstLine="480"/>
        <w:rPr>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color w:val="auto"/>
          <w:sz w:val="24"/>
          <w:highlight w:val="none"/>
          <w:u w:val="single"/>
        </w:rPr>
        <w:t xml:space="preserve"> （采购人名称） </w:t>
      </w:r>
      <w:r>
        <w:rPr>
          <w:rFonts w:hint="eastAsia"/>
          <w:color w:val="auto"/>
          <w:sz w:val="24"/>
          <w:highlight w:val="none"/>
        </w:rPr>
        <w:t>组织的采购编号为</w:t>
      </w:r>
      <w:r>
        <w:rPr>
          <w:rFonts w:hint="eastAsia"/>
          <w:color w:val="auto"/>
          <w:sz w:val="24"/>
          <w:highlight w:val="none"/>
          <w:u w:val="single"/>
        </w:rPr>
        <w:t xml:space="preserve">     </w:t>
      </w:r>
      <w:r>
        <w:rPr>
          <w:rFonts w:hint="eastAsia"/>
          <w:color w:val="auto"/>
          <w:sz w:val="24"/>
          <w:highlight w:val="none"/>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2D945D1D">
      <w:pPr>
        <w:numPr>
          <w:ilvl w:val="0"/>
          <w:numId w:val="1"/>
        </w:numPr>
        <w:spacing w:line="480" w:lineRule="exact"/>
        <w:ind w:firstLine="480"/>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215EBA09">
      <w:pPr>
        <w:numPr>
          <w:ilvl w:val="0"/>
          <w:numId w:val="1"/>
        </w:numPr>
        <w:spacing w:line="480" w:lineRule="exact"/>
        <w:ind w:firstLine="480"/>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4FD9DCAC">
      <w:pPr>
        <w:spacing w:line="480" w:lineRule="exact"/>
        <w:ind w:firstLine="480"/>
        <w:rPr>
          <w:color w:val="auto"/>
          <w:sz w:val="24"/>
          <w:highlight w:val="none"/>
        </w:rPr>
      </w:pPr>
      <w:r>
        <w:rPr>
          <w:rFonts w:hint="eastAsia"/>
          <w:color w:val="auto"/>
          <w:sz w:val="24"/>
          <w:highlight w:val="none"/>
        </w:rPr>
        <w:t>……</w:t>
      </w:r>
    </w:p>
    <w:p w14:paraId="6894D285">
      <w:pPr>
        <w:spacing w:line="480" w:lineRule="exact"/>
        <w:ind w:firstLine="480"/>
        <w:rPr>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783C687">
      <w:pPr>
        <w:spacing w:line="480" w:lineRule="exact"/>
        <w:ind w:firstLine="480"/>
        <w:rPr>
          <w:color w:val="auto"/>
          <w:sz w:val="24"/>
          <w:highlight w:val="none"/>
        </w:rPr>
      </w:pPr>
      <w:r>
        <w:rPr>
          <w:rFonts w:hint="eastAsia"/>
          <w:color w:val="auto"/>
          <w:sz w:val="24"/>
          <w:highlight w:val="none"/>
        </w:rPr>
        <w:t>本企业对上述声明内容的真实性负责。如有虚假，将依法承担相应责任。</w:t>
      </w:r>
    </w:p>
    <w:p w14:paraId="11AF47F3">
      <w:pPr>
        <w:pStyle w:val="32"/>
        <w:spacing w:beforeAutospacing="0" w:afterAutospacing="0" w:line="480" w:lineRule="exact"/>
        <w:ind w:right="720"/>
        <w:jc w:val="both"/>
        <w:rPr>
          <w:color w:val="auto"/>
          <w:highlight w:val="none"/>
        </w:rPr>
      </w:pPr>
      <w:r>
        <w:rPr>
          <w:color w:val="auto"/>
          <w:highlight w:val="none"/>
        </w:rPr>
        <w:t> </w:t>
      </w:r>
    </w:p>
    <w:p w14:paraId="623358E2">
      <w:pPr>
        <w:pStyle w:val="32"/>
        <w:spacing w:beforeAutospacing="0" w:afterAutospacing="0" w:line="480" w:lineRule="exact"/>
        <w:ind w:right="180" w:firstLine="480"/>
        <w:jc w:val="right"/>
        <w:rPr>
          <w:color w:val="auto"/>
          <w:highlight w:val="none"/>
        </w:rPr>
      </w:pPr>
      <w:r>
        <w:rPr>
          <w:rFonts w:hint="eastAsia" w:ascii="宋体" w:hAnsi="宋体" w:eastAsia="宋体" w:cs="宋体"/>
          <w:color w:val="auto"/>
          <w:highlight w:val="none"/>
        </w:rPr>
        <w:t>企业名称（加盖CA电子公章）：</w:t>
      </w:r>
    </w:p>
    <w:p w14:paraId="56AB488A">
      <w:pPr>
        <w:pStyle w:val="32"/>
        <w:spacing w:beforeAutospacing="0" w:afterAutospacing="0" w:line="480" w:lineRule="exact"/>
        <w:ind w:right="480" w:firstLine="480"/>
        <w:jc w:val="both"/>
        <w:rPr>
          <w:color w:val="auto"/>
          <w:highlight w:val="none"/>
        </w:rPr>
      </w:pPr>
      <w:r>
        <w:rPr>
          <w:rFonts w:hint="eastAsia" w:ascii="宋体" w:hAnsi="宋体" w:eastAsia="宋体" w:cs="宋体"/>
          <w:color w:val="auto"/>
          <w:highlight w:val="none"/>
        </w:rPr>
        <w:t>日  期：</w:t>
      </w:r>
    </w:p>
    <w:p w14:paraId="02B6C4A0">
      <w:pPr>
        <w:pStyle w:val="32"/>
        <w:spacing w:beforeAutospacing="0" w:afterAutospacing="0" w:line="480" w:lineRule="exact"/>
        <w:ind w:firstLine="480"/>
        <w:jc w:val="both"/>
        <w:rPr>
          <w:color w:val="auto"/>
          <w:highlight w:val="none"/>
        </w:rPr>
      </w:pPr>
      <w:r>
        <w:rPr>
          <w:color w:val="auto"/>
          <w:highlight w:val="none"/>
        </w:rPr>
        <w:t> </w:t>
      </w:r>
    </w:p>
    <w:p w14:paraId="0256408D">
      <w:pPr>
        <w:pStyle w:val="32"/>
        <w:spacing w:beforeAutospacing="0" w:afterAutospacing="0" w:line="480" w:lineRule="exac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7A501DA">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备注2：供应商如不提供此声明函，价格将不做相应扣除（如项目全面面向中小企业，则资格审查不通过）。</w:t>
      </w:r>
    </w:p>
    <w:p w14:paraId="28224D1A">
      <w:pPr>
        <w:pStyle w:val="32"/>
        <w:spacing w:beforeAutospacing="0" w:afterAutospacing="0" w:line="480" w:lineRule="exact"/>
        <w:ind w:firstLine="48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备注3：本项目标的所涉及的清单所有产品均需明确。</w:t>
      </w:r>
    </w:p>
    <w:p w14:paraId="1BF85E63">
      <w:pPr>
        <w:pStyle w:val="32"/>
        <w:spacing w:beforeAutospacing="0" w:afterAutospacing="0" w:line="0" w:lineRule="atLeast"/>
        <w:ind w:firstLine="643"/>
        <w:jc w:val="center"/>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十、残疾人福利性单位声明函（分包号：**）</w:t>
      </w:r>
    </w:p>
    <w:p w14:paraId="04247BB4">
      <w:pPr>
        <w:pStyle w:val="32"/>
        <w:spacing w:beforeAutospacing="0" w:afterAutospacing="0" w:line="0" w:lineRule="atLeast"/>
        <w:ind w:firstLine="480"/>
        <w:jc w:val="both"/>
        <w:rPr>
          <w:rFonts w:hint="eastAsia" w:ascii="宋体" w:hAnsi="宋体" w:eastAsia="宋体" w:cs="宋体"/>
          <w:color w:val="auto"/>
          <w:highlight w:val="none"/>
        </w:rPr>
      </w:pPr>
    </w:p>
    <w:p w14:paraId="0FCFE606">
      <w:pPr>
        <w:pStyle w:val="32"/>
        <w:spacing w:beforeAutospacing="0" w:afterAutospacing="0" w:line="480" w:lineRule="exact"/>
        <w:ind w:firstLine="480"/>
        <w:jc w:val="both"/>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项目（分包号：**）采购活动由本单位提供服务。</w:t>
      </w:r>
    </w:p>
    <w:p w14:paraId="6C390FFE">
      <w:pPr>
        <w:pStyle w:val="32"/>
        <w:spacing w:beforeAutospacing="0" w:afterAutospacing="0" w:line="480" w:lineRule="exact"/>
        <w:ind w:firstLine="480"/>
        <w:jc w:val="both"/>
        <w:rPr>
          <w:color w:val="auto"/>
          <w:highlight w:val="none"/>
        </w:rPr>
      </w:pPr>
      <w:r>
        <w:rPr>
          <w:rFonts w:hint="eastAsia" w:ascii="宋体" w:hAnsi="宋体" w:eastAsia="宋体" w:cs="宋体"/>
          <w:color w:val="auto"/>
          <w:highlight w:val="none"/>
        </w:rPr>
        <w:t>本单位对上述声明的真实性负责。如有虚假，将依法承担相应责任。</w:t>
      </w:r>
    </w:p>
    <w:p w14:paraId="3F8CED2F">
      <w:pPr>
        <w:pStyle w:val="32"/>
        <w:spacing w:beforeAutospacing="0" w:afterAutospacing="0" w:line="480" w:lineRule="exact"/>
        <w:ind w:firstLine="480"/>
        <w:jc w:val="both"/>
        <w:rPr>
          <w:color w:val="auto"/>
          <w:highlight w:val="none"/>
        </w:rPr>
      </w:pPr>
      <w:r>
        <w:rPr>
          <w:color w:val="auto"/>
          <w:highlight w:val="none"/>
        </w:rPr>
        <w:t> </w:t>
      </w:r>
    </w:p>
    <w:p w14:paraId="0B7A7647">
      <w:pPr>
        <w:pStyle w:val="32"/>
        <w:spacing w:beforeAutospacing="0" w:afterAutospacing="0" w:line="480" w:lineRule="exact"/>
        <w:ind w:firstLine="480"/>
        <w:jc w:val="both"/>
        <w:rPr>
          <w:rFonts w:eastAsia="宋体"/>
          <w:color w:val="auto"/>
          <w:highlight w:val="none"/>
        </w:rPr>
      </w:pPr>
      <w:r>
        <w:rPr>
          <w:rFonts w:hint="eastAsia" w:ascii="宋体" w:hAnsi="宋体" w:eastAsia="宋体" w:cs="宋体"/>
          <w:color w:val="auto"/>
          <w:highlight w:val="none"/>
        </w:rPr>
        <w:t>备注：1、供应商如不提供此声明函，价格将不做相应扣除（如项目全面面向中小企业，则资格审查不通过）。</w:t>
      </w:r>
    </w:p>
    <w:p w14:paraId="662FDBB3">
      <w:pPr>
        <w:pStyle w:val="32"/>
        <w:spacing w:beforeAutospacing="0" w:afterAutospacing="0" w:line="480" w:lineRule="exact"/>
        <w:ind w:firstLine="480"/>
        <w:jc w:val="both"/>
        <w:rPr>
          <w:color w:val="auto"/>
          <w:highlight w:val="none"/>
        </w:rPr>
      </w:pPr>
      <w:r>
        <w:rPr>
          <w:rFonts w:hint="eastAsia" w:ascii="宋体" w:hAnsi="宋体" w:eastAsia="宋体" w:cs="宋体"/>
          <w:color w:val="auto"/>
          <w:highlight w:val="none"/>
        </w:rPr>
        <w:t>2.中标人为残疾人福利单位的，此声明函将随中标结果同时公告，接受社会监督</w:t>
      </w:r>
    </w:p>
    <w:p w14:paraId="126BD30D">
      <w:pPr>
        <w:pStyle w:val="32"/>
        <w:spacing w:beforeAutospacing="0" w:afterAutospacing="0" w:line="480" w:lineRule="exact"/>
        <w:ind w:firstLine="480"/>
        <w:jc w:val="both"/>
        <w:rPr>
          <w:color w:val="auto"/>
          <w:highlight w:val="none"/>
        </w:rPr>
      </w:pPr>
      <w:r>
        <w:rPr>
          <w:color w:val="auto"/>
          <w:highlight w:val="none"/>
        </w:rPr>
        <w:t> </w:t>
      </w:r>
    </w:p>
    <w:p w14:paraId="5CC25BA4">
      <w:pPr>
        <w:pStyle w:val="32"/>
        <w:tabs>
          <w:tab w:val="left" w:pos="4864"/>
        </w:tabs>
        <w:spacing w:beforeAutospacing="0" w:afterAutospacing="0" w:line="480" w:lineRule="exact"/>
        <w:ind w:right="1560" w:firstLine="600"/>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供应商全称（加盖CA电子公章）：</w:t>
      </w:r>
    </w:p>
    <w:p w14:paraId="04E0DC49">
      <w:pPr>
        <w:pStyle w:val="32"/>
        <w:tabs>
          <w:tab w:val="left" w:pos="4864"/>
        </w:tabs>
        <w:spacing w:beforeAutospacing="0" w:afterAutospacing="0" w:line="480" w:lineRule="exact"/>
        <w:ind w:right="1560"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5635F73C">
      <w:pPr>
        <w:pStyle w:val="32"/>
        <w:tabs>
          <w:tab w:val="left" w:pos="4864"/>
        </w:tabs>
        <w:spacing w:beforeAutospacing="0" w:afterAutospacing="0" w:line="480" w:lineRule="exact"/>
        <w:ind w:right="1560" w:firstLine="480"/>
        <w:jc w:val="center"/>
        <w:rPr>
          <w:color w:val="auto"/>
          <w:highlight w:val="none"/>
        </w:rPr>
      </w:pPr>
      <w:r>
        <w:rPr>
          <w:rFonts w:hint="eastAsia" w:ascii="宋体" w:hAnsi="宋体" w:eastAsia="宋体" w:cs="宋体"/>
          <w:color w:val="auto"/>
          <w:highlight w:val="none"/>
        </w:rPr>
        <w:t xml:space="preserve">                                      日      期：</w:t>
      </w:r>
    </w:p>
    <w:p w14:paraId="00FCF486">
      <w:pPr>
        <w:pStyle w:val="32"/>
        <w:spacing w:beforeAutospacing="0" w:afterAutospacing="0" w:line="0" w:lineRule="atLeast"/>
        <w:jc w:val="center"/>
        <w:rPr>
          <w:color w:val="auto"/>
          <w:highlight w:val="none"/>
        </w:rPr>
      </w:pPr>
      <w:r>
        <w:rPr>
          <w:color w:val="auto"/>
          <w:highlight w:val="none"/>
        </w:rPr>
        <w:t> </w:t>
      </w:r>
    </w:p>
    <w:p w14:paraId="28C75FE0">
      <w:pPr>
        <w:pStyle w:val="32"/>
        <w:spacing w:beforeAutospacing="0" w:afterAutospacing="0" w:line="0" w:lineRule="atLeast"/>
        <w:jc w:val="center"/>
        <w:rPr>
          <w:color w:val="auto"/>
          <w:highlight w:val="none"/>
        </w:rPr>
      </w:pPr>
      <w:r>
        <w:rPr>
          <w:color w:val="auto"/>
          <w:highlight w:val="none"/>
        </w:rPr>
        <w:t> </w:t>
      </w:r>
    </w:p>
    <w:p w14:paraId="536B1C03">
      <w:pPr>
        <w:pStyle w:val="32"/>
        <w:spacing w:beforeAutospacing="0" w:afterAutospacing="0" w:line="0" w:lineRule="atLeast"/>
        <w:jc w:val="center"/>
        <w:rPr>
          <w:color w:val="auto"/>
          <w:highlight w:val="none"/>
        </w:rPr>
      </w:pPr>
      <w:r>
        <w:rPr>
          <w:color w:val="auto"/>
          <w:highlight w:val="none"/>
        </w:rPr>
        <w:t> </w:t>
      </w:r>
    </w:p>
    <w:p w14:paraId="5D1150EF">
      <w:pPr>
        <w:pStyle w:val="32"/>
        <w:spacing w:beforeAutospacing="0" w:afterAutospacing="0" w:line="0" w:lineRule="atLeast"/>
        <w:jc w:val="center"/>
        <w:rPr>
          <w:color w:val="auto"/>
          <w:highlight w:val="none"/>
        </w:rPr>
      </w:pPr>
      <w:r>
        <w:rPr>
          <w:color w:val="auto"/>
          <w:highlight w:val="none"/>
        </w:rPr>
        <w:t> </w:t>
      </w:r>
    </w:p>
    <w:p w14:paraId="56B06824">
      <w:pPr>
        <w:pStyle w:val="32"/>
        <w:spacing w:beforeAutospacing="0" w:afterAutospacing="0" w:line="0" w:lineRule="atLeast"/>
        <w:jc w:val="center"/>
        <w:rPr>
          <w:color w:val="auto"/>
          <w:highlight w:val="none"/>
        </w:rPr>
      </w:pPr>
      <w:r>
        <w:rPr>
          <w:color w:val="auto"/>
          <w:highlight w:val="none"/>
        </w:rPr>
        <w:t> </w:t>
      </w:r>
    </w:p>
    <w:p w14:paraId="36681B8C">
      <w:pPr>
        <w:pStyle w:val="32"/>
        <w:spacing w:beforeAutospacing="0" w:afterAutospacing="0" w:line="0" w:lineRule="atLeast"/>
        <w:jc w:val="center"/>
        <w:rPr>
          <w:color w:val="auto"/>
          <w:highlight w:val="none"/>
        </w:rPr>
      </w:pPr>
      <w:r>
        <w:rPr>
          <w:color w:val="auto"/>
          <w:highlight w:val="none"/>
        </w:rPr>
        <w:t> </w:t>
      </w:r>
    </w:p>
    <w:p w14:paraId="33B16064">
      <w:pPr>
        <w:pStyle w:val="32"/>
        <w:spacing w:beforeAutospacing="0" w:afterAutospacing="0" w:line="0" w:lineRule="atLeast"/>
        <w:jc w:val="center"/>
        <w:rPr>
          <w:color w:val="auto"/>
          <w:highlight w:val="none"/>
        </w:rPr>
      </w:pPr>
      <w:r>
        <w:rPr>
          <w:color w:val="auto"/>
          <w:highlight w:val="none"/>
        </w:rPr>
        <w:t> </w:t>
      </w:r>
    </w:p>
    <w:p w14:paraId="5DBF4173">
      <w:pPr>
        <w:pStyle w:val="32"/>
        <w:spacing w:beforeAutospacing="0" w:afterAutospacing="0" w:line="0" w:lineRule="atLeast"/>
        <w:jc w:val="center"/>
        <w:rPr>
          <w:color w:val="auto"/>
          <w:highlight w:val="none"/>
        </w:rPr>
      </w:pPr>
      <w:r>
        <w:rPr>
          <w:color w:val="auto"/>
          <w:highlight w:val="none"/>
        </w:rPr>
        <w:t> </w:t>
      </w:r>
    </w:p>
    <w:p w14:paraId="48FE3133">
      <w:pPr>
        <w:pStyle w:val="32"/>
        <w:spacing w:beforeAutospacing="0" w:afterAutospacing="0" w:line="0" w:lineRule="atLeast"/>
        <w:jc w:val="center"/>
        <w:rPr>
          <w:color w:val="auto"/>
          <w:highlight w:val="none"/>
        </w:rPr>
      </w:pPr>
    </w:p>
    <w:p w14:paraId="76817797">
      <w:pPr>
        <w:pStyle w:val="32"/>
        <w:spacing w:beforeAutospacing="0" w:afterAutospacing="0" w:line="0" w:lineRule="atLeast"/>
        <w:jc w:val="center"/>
        <w:rPr>
          <w:color w:val="auto"/>
          <w:highlight w:val="none"/>
        </w:rPr>
      </w:pPr>
    </w:p>
    <w:p w14:paraId="0366EBD1">
      <w:pPr>
        <w:pStyle w:val="32"/>
        <w:spacing w:beforeAutospacing="0" w:afterAutospacing="0" w:line="0" w:lineRule="atLeast"/>
        <w:jc w:val="center"/>
        <w:rPr>
          <w:color w:val="auto"/>
          <w:highlight w:val="none"/>
        </w:rPr>
      </w:pPr>
    </w:p>
    <w:p w14:paraId="1709181A">
      <w:pPr>
        <w:pStyle w:val="32"/>
        <w:spacing w:beforeAutospacing="0" w:afterAutospacing="0" w:line="0" w:lineRule="atLeast"/>
        <w:jc w:val="center"/>
        <w:rPr>
          <w:color w:val="auto"/>
          <w:highlight w:val="none"/>
        </w:rPr>
      </w:pPr>
    </w:p>
    <w:p w14:paraId="227700B5">
      <w:pPr>
        <w:pStyle w:val="32"/>
        <w:spacing w:beforeAutospacing="0" w:afterAutospacing="0" w:line="0" w:lineRule="atLeast"/>
        <w:jc w:val="center"/>
        <w:rPr>
          <w:color w:val="auto"/>
          <w:highlight w:val="none"/>
        </w:rPr>
      </w:pPr>
    </w:p>
    <w:p w14:paraId="4A5C5D5A">
      <w:pPr>
        <w:pStyle w:val="32"/>
        <w:spacing w:beforeAutospacing="0" w:afterAutospacing="0" w:line="0" w:lineRule="atLeast"/>
        <w:jc w:val="center"/>
        <w:rPr>
          <w:color w:val="auto"/>
          <w:highlight w:val="none"/>
        </w:rPr>
      </w:pPr>
    </w:p>
    <w:p w14:paraId="5C63157C">
      <w:pPr>
        <w:pStyle w:val="32"/>
        <w:spacing w:beforeAutospacing="0" w:afterAutospacing="0" w:line="0" w:lineRule="atLeast"/>
        <w:jc w:val="center"/>
        <w:rPr>
          <w:color w:val="auto"/>
          <w:highlight w:val="none"/>
        </w:rPr>
      </w:pPr>
    </w:p>
    <w:p w14:paraId="36FD2386">
      <w:pPr>
        <w:pStyle w:val="32"/>
        <w:spacing w:beforeAutospacing="0" w:afterAutospacing="0" w:line="0" w:lineRule="atLeast"/>
        <w:jc w:val="center"/>
        <w:rPr>
          <w:color w:val="auto"/>
          <w:highlight w:val="none"/>
        </w:rPr>
      </w:pPr>
    </w:p>
    <w:p w14:paraId="7F9F145C">
      <w:pPr>
        <w:pStyle w:val="32"/>
        <w:spacing w:beforeAutospacing="0" w:afterAutospacing="0" w:line="0" w:lineRule="atLeast"/>
        <w:jc w:val="center"/>
        <w:rPr>
          <w:color w:val="auto"/>
          <w:highlight w:val="none"/>
        </w:rPr>
      </w:pPr>
    </w:p>
    <w:p w14:paraId="5EE3A56B">
      <w:pPr>
        <w:pStyle w:val="32"/>
        <w:spacing w:beforeAutospacing="0" w:afterAutospacing="0" w:line="0" w:lineRule="atLeast"/>
        <w:jc w:val="center"/>
        <w:rPr>
          <w:color w:val="auto"/>
          <w:highlight w:val="none"/>
        </w:rPr>
      </w:pPr>
    </w:p>
    <w:p w14:paraId="214D3116">
      <w:pPr>
        <w:pStyle w:val="32"/>
        <w:spacing w:beforeAutospacing="0" w:afterAutospacing="0" w:line="0" w:lineRule="atLeast"/>
        <w:jc w:val="center"/>
        <w:rPr>
          <w:color w:val="auto"/>
          <w:highlight w:val="none"/>
        </w:rPr>
      </w:pPr>
    </w:p>
    <w:p w14:paraId="2D7BE7B1">
      <w:pPr>
        <w:pStyle w:val="32"/>
        <w:spacing w:beforeAutospacing="0" w:afterAutospacing="0" w:line="0" w:lineRule="atLeast"/>
        <w:jc w:val="center"/>
        <w:rPr>
          <w:color w:val="auto"/>
          <w:highlight w:val="none"/>
        </w:rPr>
      </w:pPr>
    </w:p>
    <w:p w14:paraId="3AC833BD">
      <w:pPr>
        <w:pStyle w:val="32"/>
        <w:spacing w:beforeAutospacing="0" w:afterAutospacing="0" w:line="0" w:lineRule="atLeast"/>
        <w:jc w:val="center"/>
        <w:rPr>
          <w:color w:val="auto"/>
          <w:highlight w:val="none"/>
        </w:rPr>
      </w:pPr>
    </w:p>
    <w:p w14:paraId="637B8BE4">
      <w:pPr>
        <w:pStyle w:val="32"/>
        <w:spacing w:beforeAutospacing="0" w:afterAutospacing="0" w:line="0" w:lineRule="atLeast"/>
        <w:jc w:val="center"/>
        <w:rPr>
          <w:color w:val="auto"/>
          <w:highlight w:val="none"/>
        </w:rPr>
      </w:pPr>
    </w:p>
    <w:p w14:paraId="5C991EE7">
      <w:pPr>
        <w:pStyle w:val="32"/>
        <w:spacing w:beforeAutospacing="0" w:afterAutospacing="0" w:line="0" w:lineRule="atLeast"/>
        <w:ind w:firstLine="643"/>
        <w:jc w:val="cente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一</w:t>
      </w:r>
      <w:r>
        <w:rPr>
          <w:rFonts w:hint="eastAsia" w:ascii="黑体" w:hAnsi="宋体" w:eastAsia="黑体" w:cs="黑体"/>
          <w:b/>
          <w:color w:val="auto"/>
          <w:sz w:val="32"/>
          <w:szCs w:val="32"/>
          <w:highlight w:val="none"/>
        </w:rPr>
        <w:t>、</w:t>
      </w:r>
      <w:bookmarkStart w:id="188" w:name="_Hlt26609389"/>
      <w:bookmarkStart w:id="189" w:name="_格式2__法定代表人授权书"/>
      <w:bookmarkStart w:id="190" w:name="_Toc462564146"/>
      <w:bookmarkStart w:id="191" w:name="_Hlt26955066"/>
      <w:bookmarkStart w:id="192" w:name="_Hlt26955054"/>
      <w:bookmarkStart w:id="193" w:name="_Hlt26671374"/>
      <w:r>
        <w:rPr>
          <w:rFonts w:hint="eastAsia" w:ascii="黑体" w:hAnsi="宋体" w:eastAsia="黑体" w:cs="黑体"/>
          <w:b/>
          <w:color w:val="auto"/>
          <w:sz w:val="32"/>
          <w:szCs w:val="32"/>
          <w:highlight w:val="none"/>
        </w:rPr>
        <w:t>投标报价表</w:t>
      </w:r>
    </w:p>
    <w:p w14:paraId="18B91E76">
      <w:pPr>
        <w:pStyle w:val="32"/>
        <w:spacing w:beforeAutospacing="0" w:afterAutospacing="0" w:line="480" w:lineRule="exact"/>
        <w:ind w:firstLine="480"/>
        <w:jc w:val="both"/>
        <w:rPr>
          <w:color w:val="auto"/>
          <w:highlight w:val="none"/>
        </w:rPr>
      </w:pPr>
      <w:r>
        <w:rPr>
          <w:rFonts w:hint="eastAsia" w:ascii="宋体" w:hAnsi="宋体" w:eastAsia="宋体" w:cs="宋体"/>
          <w:color w:val="auto"/>
          <w:highlight w:val="none"/>
        </w:rPr>
        <w:t>投标人全称（加盖CA电子签章）：</w:t>
      </w:r>
    </w:p>
    <w:p w14:paraId="2D4BB736">
      <w:pPr>
        <w:pStyle w:val="32"/>
        <w:spacing w:beforeAutospacing="0" w:afterAutospacing="0" w:line="480" w:lineRule="exact"/>
        <w:ind w:firstLine="480"/>
        <w:jc w:val="both"/>
        <w:rPr>
          <w:color w:val="auto"/>
          <w:highlight w:val="none"/>
        </w:rPr>
      </w:pPr>
      <w:r>
        <w:rPr>
          <w:rFonts w:hint="eastAsia" w:ascii="宋体" w:hAnsi="宋体" w:eastAsia="宋体" w:cs="宋体"/>
          <w:color w:val="auto"/>
          <w:highlight w:val="none"/>
        </w:rPr>
        <w:t>项目名称：</w:t>
      </w:r>
    </w:p>
    <w:p w14:paraId="5CC1B77A">
      <w:pPr>
        <w:pStyle w:val="32"/>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项目编号：</w:t>
      </w:r>
    </w:p>
    <w:p w14:paraId="0ED9D9FE">
      <w:pPr>
        <w:pStyle w:val="32"/>
        <w:spacing w:beforeAutospacing="0" w:afterAutospacing="0" w:line="480" w:lineRule="exact"/>
        <w:ind w:firstLine="480"/>
        <w:jc w:val="both"/>
        <w:rPr>
          <w:color w:val="auto"/>
          <w:highlight w:val="none"/>
        </w:rPr>
      </w:pPr>
      <w:r>
        <w:rPr>
          <w:rFonts w:hint="eastAsia" w:ascii="宋体" w:hAnsi="宋体" w:eastAsia="宋体" w:cs="宋体"/>
          <w:color w:val="auto"/>
          <w:highlight w:val="none"/>
        </w:rPr>
        <w:t>分包号：</w:t>
      </w:r>
    </w:p>
    <w:tbl>
      <w:tblPr>
        <w:tblStyle w:val="34"/>
        <w:tblW w:w="8206" w:type="dxa"/>
        <w:tblCellSpacing w:w="0" w:type="dxa"/>
        <w:tblInd w:w="118" w:type="dxa"/>
        <w:tblLayout w:type="fixed"/>
        <w:tblCellMar>
          <w:top w:w="0" w:type="dxa"/>
          <w:left w:w="108" w:type="dxa"/>
          <w:bottom w:w="0" w:type="dxa"/>
          <w:right w:w="108" w:type="dxa"/>
        </w:tblCellMar>
      </w:tblPr>
      <w:tblGrid>
        <w:gridCol w:w="8206"/>
      </w:tblGrid>
      <w:tr w14:paraId="1D96A904">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4137A7A1">
            <w:pPr>
              <w:pStyle w:val="32"/>
              <w:spacing w:beforeAutospacing="0" w:afterAutospacing="0"/>
              <w:jc w:val="center"/>
              <w:rPr>
                <w:color w:val="auto"/>
                <w:highlight w:val="none"/>
              </w:rPr>
            </w:pPr>
            <w:r>
              <w:rPr>
                <w:rFonts w:hint="eastAsia" w:ascii="宋体" w:hAnsi="宋体" w:eastAsia="宋体" w:cs="宋体"/>
                <w:color w:val="auto"/>
                <w:highlight w:val="none"/>
              </w:rPr>
              <w:t>投标报价</w:t>
            </w:r>
          </w:p>
        </w:tc>
      </w:tr>
      <w:tr w14:paraId="2639F128">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2ECC207F">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      </w:t>
            </w:r>
            <w:r>
              <w:rPr>
                <w:rFonts w:hint="eastAsia" w:ascii="宋体" w:hAnsi="宋体" w:eastAsia="宋体" w:cs="宋体"/>
                <w:color w:val="auto"/>
                <w:highlight w:val="none"/>
                <w:lang w:val="en-US" w:eastAsia="zh-CN"/>
              </w:rPr>
              <w:t>优惠率</w:t>
            </w:r>
            <w:r>
              <w:rPr>
                <w:rFonts w:hint="eastAsia" w:ascii="宋体" w:hAnsi="宋体" w:eastAsia="宋体" w:cs="宋体"/>
                <w:color w:val="auto"/>
                <w:highlight w:val="none"/>
              </w:rPr>
              <w:t>：</w:t>
            </w:r>
            <w:r>
              <w:rPr>
                <w:rFonts w:hint="eastAsia" w:ascii="宋体" w:hAnsi="宋体" w:eastAsia="宋体" w:cs="宋体"/>
                <w:color w:val="auto"/>
                <w:highlight w:val="none"/>
                <w:u w:val="single"/>
              </w:rPr>
              <w:t>                       </w:t>
            </w:r>
            <w:r>
              <w:rPr>
                <w:rFonts w:hint="eastAsia" w:ascii="宋体" w:hAnsi="宋体" w:eastAsia="宋体" w:cs="宋体"/>
                <w:color w:val="auto"/>
                <w:highlight w:val="none"/>
              </w:rPr>
              <w:t xml:space="preserve"> %</w:t>
            </w:r>
          </w:p>
        </w:tc>
      </w:tr>
    </w:tbl>
    <w:p w14:paraId="021939FB">
      <w:pPr>
        <w:pStyle w:val="32"/>
        <w:spacing w:beforeAutospacing="0" w:afterAutospacing="0"/>
        <w:jc w:val="both"/>
        <w:rPr>
          <w:color w:val="auto"/>
          <w:highlight w:val="none"/>
        </w:rPr>
      </w:pPr>
      <w:r>
        <w:rPr>
          <w:color w:val="auto"/>
          <w:highlight w:val="none"/>
        </w:rPr>
        <w:t> </w:t>
      </w:r>
    </w:p>
    <w:p w14:paraId="399E5F09">
      <w:pPr>
        <w:pStyle w:val="32"/>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E1542FB">
      <w:pPr>
        <w:pStyle w:val="32"/>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AD201FD">
      <w:pPr>
        <w:pStyle w:val="32"/>
        <w:spacing w:beforeAutospacing="0" w:afterAutospacing="0"/>
        <w:ind w:firstLine="480"/>
        <w:jc w:val="both"/>
        <w:rPr>
          <w:color w:val="auto"/>
          <w:highlight w:val="none"/>
        </w:rPr>
      </w:pPr>
      <w:r>
        <w:rPr>
          <w:color w:val="auto"/>
          <w:highlight w:val="none"/>
        </w:rPr>
        <w:t> </w:t>
      </w:r>
    </w:p>
    <w:p w14:paraId="61E7F4F7">
      <w:pPr>
        <w:widowControl/>
        <w:spacing w:before="50" w:after="50"/>
        <w:jc w:val="center"/>
        <w:rPr>
          <w:color w:val="auto"/>
          <w:highlight w:val="none"/>
        </w:rPr>
      </w:pPr>
    </w:p>
    <w:p w14:paraId="4F71B4DA">
      <w:pPr>
        <w:widowControl/>
        <w:spacing w:before="50" w:after="50"/>
        <w:jc w:val="center"/>
        <w:rPr>
          <w:color w:val="auto"/>
          <w:highlight w:val="none"/>
        </w:rPr>
      </w:pPr>
    </w:p>
    <w:p w14:paraId="72EDC63A">
      <w:pPr>
        <w:pStyle w:val="189"/>
        <w:rPr>
          <w:color w:val="auto"/>
          <w:highlight w:val="none"/>
        </w:rPr>
      </w:pPr>
    </w:p>
    <w:p w14:paraId="2CB2F5D6">
      <w:pPr>
        <w:pStyle w:val="189"/>
        <w:rPr>
          <w:color w:val="auto"/>
          <w:highlight w:val="none"/>
        </w:rPr>
      </w:pPr>
    </w:p>
    <w:p w14:paraId="0BF36375">
      <w:pPr>
        <w:widowControl/>
        <w:spacing w:before="50" w:after="50"/>
        <w:jc w:val="center"/>
        <w:rPr>
          <w:color w:val="auto"/>
          <w:highlight w:val="none"/>
        </w:rPr>
      </w:pPr>
    </w:p>
    <w:p w14:paraId="7730C01E">
      <w:pPr>
        <w:widowControl/>
        <w:spacing w:before="50" w:after="50"/>
        <w:jc w:val="center"/>
        <w:rPr>
          <w:color w:val="auto"/>
          <w:highlight w:val="none"/>
        </w:rPr>
      </w:pPr>
    </w:p>
    <w:p w14:paraId="37DA8C82">
      <w:pPr>
        <w:widowControl/>
        <w:spacing w:before="50" w:after="50"/>
        <w:jc w:val="center"/>
        <w:rPr>
          <w:color w:val="auto"/>
          <w:highlight w:val="none"/>
        </w:rPr>
      </w:pPr>
    </w:p>
    <w:p w14:paraId="52387CD1">
      <w:pPr>
        <w:widowControl/>
        <w:spacing w:before="50" w:after="50"/>
        <w:jc w:val="center"/>
        <w:rPr>
          <w:color w:val="auto"/>
          <w:highlight w:val="none"/>
        </w:rPr>
      </w:pPr>
    </w:p>
    <w:p w14:paraId="4F51AA72">
      <w:pPr>
        <w:widowControl/>
        <w:spacing w:before="50" w:after="50"/>
        <w:jc w:val="center"/>
        <w:rPr>
          <w:color w:val="auto"/>
          <w:highlight w:val="none"/>
        </w:rPr>
      </w:pPr>
    </w:p>
    <w:p w14:paraId="223025F6">
      <w:pPr>
        <w:widowControl/>
        <w:spacing w:before="50" w:after="50"/>
        <w:jc w:val="center"/>
        <w:rPr>
          <w:color w:val="auto"/>
          <w:highlight w:val="none"/>
        </w:rPr>
      </w:pPr>
    </w:p>
    <w:p w14:paraId="70FD9DBF">
      <w:pPr>
        <w:widowControl/>
        <w:spacing w:before="50" w:after="50"/>
        <w:jc w:val="center"/>
        <w:rPr>
          <w:color w:val="auto"/>
          <w:highlight w:val="none"/>
        </w:rPr>
      </w:pPr>
    </w:p>
    <w:p w14:paraId="17DD944A">
      <w:pPr>
        <w:widowControl/>
        <w:spacing w:before="50" w:after="50"/>
        <w:jc w:val="center"/>
        <w:rPr>
          <w:color w:val="auto"/>
          <w:highlight w:val="none"/>
        </w:rPr>
      </w:pPr>
    </w:p>
    <w:p w14:paraId="1E3797A9">
      <w:pPr>
        <w:widowControl/>
        <w:spacing w:before="50" w:after="50"/>
        <w:jc w:val="center"/>
        <w:rPr>
          <w:color w:val="auto"/>
          <w:highlight w:val="none"/>
        </w:rPr>
      </w:pPr>
    </w:p>
    <w:p w14:paraId="41D66C8E">
      <w:pPr>
        <w:widowControl/>
        <w:spacing w:before="50" w:after="50"/>
        <w:jc w:val="center"/>
        <w:rPr>
          <w:color w:val="auto"/>
          <w:highlight w:val="none"/>
        </w:rPr>
      </w:pPr>
    </w:p>
    <w:p w14:paraId="0560E743">
      <w:pPr>
        <w:widowControl/>
        <w:spacing w:before="50" w:after="50"/>
        <w:jc w:val="center"/>
        <w:rPr>
          <w:color w:val="auto"/>
          <w:highlight w:val="none"/>
        </w:rPr>
      </w:pPr>
    </w:p>
    <w:p w14:paraId="05666621">
      <w:pPr>
        <w:widowControl/>
        <w:spacing w:before="50" w:after="50"/>
        <w:jc w:val="center"/>
        <w:rPr>
          <w:color w:val="auto"/>
          <w:highlight w:val="none"/>
        </w:rPr>
      </w:pPr>
    </w:p>
    <w:p w14:paraId="4440DF1C">
      <w:pPr>
        <w:widowControl/>
        <w:spacing w:before="50" w:after="50"/>
        <w:jc w:val="center"/>
        <w:rPr>
          <w:color w:val="auto"/>
          <w:highlight w:val="none"/>
        </w:rPr>
      </w:pPr>
    </w:p>
    <w:p w14:paraId="77B7E274">
      <w:pPr>
        <w:widowControl/>
        <w:spacing w:before="50" w:after="50"/>
        <w:jc w:val="center"/>
        <w:rPr>
          <w:color w:val="auto"/>
          <w:highlight w:val="none"/>
        </w:rPr>
      </w:pPr>
    </w:p>
    <w:p w14:paraId="1B2F5E28">
      <w:pPr>
        <w:pStyle w:val="189"/>
        <w:rPr>
          <w:color w:val="auto"/>
          <w:highlight w:val="none"/>
        </w:rPr>
      </w:pPr>
    </w:p>
    <w:p w14:paraId="7FC5B9D5">
      <w:pPr>
        <w:widowControl/>
        <w:spacing w:before="50" w:after="50"/>
        <w:jc w:val="center"/>
        <w:rPr>
          <w:color w:val="auto"/>
          <w:highlight w:val="none"/>
        </w:rPr>
      </w:pPr>
    </w:p>
    <w:p w14:paraId="67332EBD">
      <w:pPr>
        <w:widowControl/>
        <w:spacing w:before="50" w:after="50"/>
        <w:jc w:val="center"/>
        <w:rPr>
          <w:color w:val="auto"/>
          <w:highlight w:val="none"/>
        </w:rPr>
      </w:pPr>
    </w:p>
    <w:p w14:paraId="562385F1">
      <w:pPr>
        <w:widowControl/>
        <w:spacing w:before="50" w:after="50"/>
        <w:jc w:val="center"/>
        <w:rPr>
          <w:color w:val="auto"/>
          <w:highlight w:val="none"/>
        </w:rPr>
      </w:pPr>
    </w:p>
    <w:p w14:paraId="55364430">
      <w:pPr>
        <w:widowControl/>
        <w:spacing w:before="50" w:after="50"/>
        <w:jc w:val="center"/>
        <w:rPr>
          <w:color w:val="auto"/>
          <w:highlight w:val="none"/>
        </w:rPr>
      </w:pPr>
    </w:p>
    <w:p w14:paraId="3D299374">
      <w:pPr>
        <w:widowControl/>
        <w:spacing w:before="50" w:after="50"/>
        <w:jc w:val="center"/>
        <w:rPr>
          <w:color w:val="auto"/>
          <w:highlight w:val="none"/>
        </w:rPr>
      </w:pPr>
    </w:p>
    <w:p w14:paraId="0CA3C8D8">
      <w:pPr>
        <w:widowControl/>
        <w:spacing w:before="50" w:after="50"/>
        <w:jc w:val="center"/>
        <w:rPr>
          <w:color w:val="auto"/>
          <w:highlight w:val="none"/>
        </w:rPr>
      </w:pPr>
    </w:p>
    <w:p w14:paraId="31C71BD5">
      <w:pPr>
        <w:widowControl/>
        <w:spacing w:before="50" w:after="50"/>
        <w:jc w:val="center"/>
        <w:rPr>
          <w:color w:val="auto"/>
          <w:highlight w:val="none"/>
        </w:rPr>
      </w:pPr>
    </w:p>
    <w:p w14:paraId="6C1F4F4B">
      <w:pPr>
        <w:widowControl/>
        <w:spacing w:before="50" w:after="50"/>
        <w:jc w:val="center"/>
        <w:rPr>
          <w:color w:val="auto"/>
          <w:highlight w:val="none"/>
        </w:rPr>
      </w:pPr>
    </w:p>
    <w:p w14:paraId="313AFD10">
      <w:pPr>
        <w:widowControl/>
        <w:spacing w:before="50" w:after="50"/>
        <w:jc w:val="center"/>
        <w:rPr>
          <w:color w:val="auto"/>
          <w:highlight w:val="none"/>
        </w:rPr>
      </w:pPr>
    </w:p>
    <w:p w14:paraId="3CA6DE85">
      <w:pPr>
        <w:widowControl/>
        <w:spacing w:line="499" w:lineRule="atLeast"/>
        <w:ind w:firstLine="1600"/>
        <w:rPr>
          <w:rFonts w:hint="eastAsia" w:ascii="宋体" w:hAnsi="宋体" w:eastAsia="宋体" w:cs="宋体"/>
          <w:b/>
          <w:bCs/>
          <w:color w:val="auto"/>
          <w:sz w:val="24"/>
          <w:highlight w:val="none"/>
        </w:rPr>
      </w:pPr>
      <w:r>
        <w:rPr>
          <w:rFonts w:hint="eastAsia" w:ascii="宋体" w:hAnsi="宋体" w:eastAsia="宋体" w:cs="宋体"/>
          <w:b/>
          <w:bCs/>
          <w:color w:val="auto"/>
          <w:sz w:val="32"/>
          <w:szCs w:val="32"/>
          <w:highlight w:val="none"/>
        </w:rPr>
        <w:t>十</w:t>
      </w:r>
      <w:r>
        <w:rPr>
          <w:rFonts w:hint="eastAsia" w:ascii="宋体" w:hAnsi="宋体" w:eastAsia="宋体" w:cs="宋体"/>
          <w:b/>
          <w:bCs/>
          <w:color w:val="auto"/>
          <w:sz w:val="32"/>
          <w:szCs w:val="32"/>
          <w:highlight w:val="none"/>
          <w:lang w:val="en-US" w:eastAsia="zh-CN"/>
        </w:rPr>
        <w:t>二</w:t>
      </w:r>
      <w:r>
        <w:rPr>
          <w:rFonts w:hint="eastAsia" w:ascii="宋体" w:hAnsi="宋体" w:eastAsia="宋体" w:cs="宋体"/>
          <w:b/>
          <w:bCs/>
          <w:color w:val="auto"/>
          <w:sz w:val="32"/>
          <w:szCs w:val="32"/>
          <w:highlight w:val="none"/>
        </w:rPr>
        <w:t>、盐城市政府采购事前信用承诺书</w:t>
      </w:r>
    </w:p>
    <w:p w14:paraId="175AE1A8">
      <w:pPr>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2161B691">
      <w:pPr>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70DE35AE">
      <w:pPr>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BDAC1F9">
      <w:pPr>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p>
    <w:p w14:paraId="7D8D3844">
      <w:pPr>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（四）严格遵守即时信息公示规定，及时维护和更新盐城市政府采购网中与本单位相关的信息；</w:t>
      </w:r>
    </w:p>
    <w:p w14:paraId="6DD62760">
      <w:pPr>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17FBFB0A">
      <w:pPr>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（六）自觉接受政府、行业组织、社会公众、新闻舆论的监督；</w:t>
      </w:r>
    </w:p>
    <w:p w14:paraId="57949CFB">
      <w:pPr>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EC53283">
      <w:pPr>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（八）本人已认真阅读了上述承诺，并向本单位员工做了宣传教育。</w:t>
      </w:r>
    </w:p>
    <w:p w14:paraId="463A0599">
      <w:pPr>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1CEF6E54">
      <w:pPr>
        <w:widowControl/>
        <w:spacing w:line="480" w:lineRule="exact"/>
        <w:ind w:firstLine="4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法定代表人（签名或盖章）：</w:t>
      </w:r>
    </w:p>
    <w:p w14:paraId="63E985A2">
      <w:pPr>
        <w:widowControl/>
        <w:spacing w:line="480" w:lineRule="exact"/>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4E78A302">
      <w:pPr>
        <w:widowControl/>
        <w:spacing w:line="480" w:lineRule="exact"/>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p>
    <w:p w14:paraId="3D67C573">
      <w:pPr>
        <w:widowControl/>
        <w:spacing w:line="480" w:lineRule="exact"/>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210854BE">
      <w:pPr>
        <w:widowControl/>
        <w:spacing w:line="480" w:lineRule="exact"/>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bookmarkEnd w:id="182"/>
    <w:bookmarkEnd w:id="183"/>
    <w:bookmarkEnd w:id="185"/>
    <w:bookmarkEnd w:id="186"/>
    <w:bookmarkEnd w:id="187"/>
    <w:bookmarkEnd w:id="188"/>
    <w:bookmarkEnd w:id="189"/>
    <w:bookmarkEnd w:id="190"/>
    <w:bookmarkEnd w:id="191"/>
    <w:bookmarkEnd w:id="192"/>
    <w:bookmarkEnd w:id="193"/>
    <w:p w14:paraId="62FCE855">
      <w:pPr>
        <w:pStyle w:val="32"/>
        <w:spacing w:beforeAutospacing="0" w:afterAutospacing="0"/>
        <w:jc w:val="center"/>
        <w:rPr>
          <w:color w:val="auto"/>
          <w:highlight w:val="none"/>
        </w:rPr>
      </w:pPr>
    </w:p>
    <w:p w14:paraId="159F21D6">
      <w:pPr>
        <w:rPr>
          <w:color w:val="auto"/>
          <w:highlight w:val="none"/>
        </w:rPr>
      </w:pPr>
    </w:p>
    <w:p w14:paraId="702A7A7B">
      <w:pPr>
        <w:pStyle w:val="32"/>
        <w:spacing w:beforeAutospacing="0" w:afterAutospacing="0"/>
        <w:ind w:firstLine="643"/>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十</w:t>
      </w:r>
      <w:r>
        <w:rPr>
          <w:rFonts w:hint="eastAsia" w:ascii="宋体" w:hAnsi="宋体" w:eastAsia="宋体" w:cs="宋体"/>
          <w:b/>
          <w:bCs/>
          <w:color w:val="auto"/>
          <w:sz w:val="32"/>
          <w:szCs w:val="32"/>
          <w:highlight w:val="none"/>
          <w:lang w:val="en-US" w:eastAsia="zh-CN"/>
        </w:rPr>
        <w:t>三</w:t>
      </w:r>
      <w:r>
        <w:rPr>
          <w:rFonts w:hint="eastAsia" w:ascii="宋体" w:hAnsi="宋体" w:eastAsia="宋体" w:cs="宋体"/>
          <w:b/>
          <w:bCs/>
          <w:color w:val="auto"/>
          <w:sz w:val="32"/>
          <w:szCs w:val="32"/>
          <w:highlight w:val="none"/>
        </w:rPr>
        <w:t>、与评审有关的其他资料</w:t>
      </w:r>
    </w:p>
    <w:p w14:paraId="25657105">
      <w:pPr>
        <w:pStyle w:val="32"/>
        <w:spacing w:beforeAutospacing="0" w:afterAutospacing="0"/>
        <w:ind w:firstLine="643"/>
        <w:jc w:val="center"/>
        <w:rPr>
          <w:rFonts w:hint="eastAsia" w:ascii="宋体" w:hAnsi="宋体" w:eastAsia="宋体" w:cs="宋体"/>
          <w:b/>
          <w:color w:val="auto"/>
          <w:sz w:val="32"/>
          <w:szCs w:val="32"/>
          <w:highlight w:val="none"/>
        </w:rPr>
      </w:pPr>
    </w:p>
    <w:p w14:paraId="08D04A1B">
      <w:pPr>
        <w:pStyle w:val="32"/>
        <w:spacing w:beforeAutospacing="0" w:afterAutospacing="0"/>
        <w:ind w:firstLine="643"/>
        <w:jc w:val="center"/>
        <w:rPr>
          <w:rFonts w:hint="eastAsia" w:ascii="宋体" w:hAnsi="宋体" w:eastAsia="宋体" w:cs="宋体"/>
          <w:b/>
          <w:color w:val="auto"/>
          <w:sz w:val="32"/>
          <w:szCs w:val="32"/>
          <w:highlight w:val="none"/>
        </w:rPr>
      </w:pPr>
    </w:p>
    <w:p w14:paraId="6FDE28B5">
      <w:pPr>
        <w:pStyle w:val="32"/>
        <w:spacing w:beforeAutospacing="0" w:afterAutospacing="0"/>
        <w:ind w:firstLine="643"/>
        <w:jc w:val="center"/>
        <w:rPr>
          <w:rFonts w:hint="eastAsia" w:ascii="宋体" w:hAnsi="宋体" w:eastAsia="宋体" w:cs="宋体"/>
          <w:b/>
          <w:color w:val="auto"/>
          <w:sz w:val="32"/>
          <w:szCs w:val="32"/>
          <w:highlight w:val="none"/>
        </w:rPr>
      </w:pPr>
    </w:p>
    <w:p w14:paraId="7B0FC1B3">
      <w:pPr>
        <w:pStyle w:val="32"/>
        <w:spacing w:beforeAutospacing="0" w:afterAutospacing="0"/>
        <w:ind w:firstLine="643"/>
        <w:jc w:val="center"/>
        <w:rPr>
          <w:rFonts w:hint="eastAsia" w:ascii="宋体" w:hAnsi="宋体" w:eastAsia="宋体" w:cs="宋体"/>
          <w:b/>
          <w:color w:val="auto"/>
          <w:sz w:val="32"/>
          <w:szCs w:val="32"/>
          <w:highlight w:val="none"/>
        </w:rPr>
      </w:pPr>
    </w:p>
    <w:p w14:paraId="15D4857F">
      <w:pPr>
        <w:pStyle w:val="32"/>
        <w:spacing w:beforeAutospacing="0" w:afterAutospacing="0"/>
        <w:ind w:firstLine="643"/>
        <w:jc w:val="center"/>
        <w:rPr>
          <w:rFonts w:hint="eastAsia" w:ascii="宋体" w:hAnsi="宋体" w:eastAsia="宋体" w:cs="宋体"/>
          <w:b/>
          <w:color w:val="auto"/>
          <w:sz w:val="32"/>
          <w:szCs w:val="32"/>
          <w:highlight w:val="none"/>
        </w:rPr>
      </w:pPr>
    </w:p>
    <w:p w14:paraId="6EF40978">
      <w:pPr>
        <w:pStyle w:val="32"/>
        <w:spacing w:beforeAutospacing="0" w:afterAutospacing="0"/>
        <w:ind w:firstLine="643"/>
        <w:jc w:val="center"/>
        <w:rPr>
          <w:rFonts w:hint="eastAsia" w:ascii="宋体" w:hAnsi="宋体" w:eastAsia="宋体" w:cs="宋体"/>
          <w:b/>
          <w:color w:val="auto"/>
          <w:sz w:val="32"/>
          <w:szCs w:val="32"/>
          <w:highlight w:val="none"/>
        </w:rPr>
      </w:pPr>
    </w:p>
    <w:p w14:paraId="39E2041C">
      <w:pPr>
        <w:pStyle w:val="32"/>
        <w:spacing w:beforeAutospacing="0" w:afterAutospacing="0"/>
        <w:ind w:firstLine="643"/>
        <w:jc w:val="center"/>
        <w:rPr>
          <w:rFonts w:hint="eastAsia" w:ascii="宋体" w:hAnsi="宋体" w:eastAsia="宋体" w:cs="宋体"/>
          <w:b/>
          <w:color w:val="auto"/>
          <w:sz w:val="32"/>
          <w:szCs w:val="32"/>
          <w:highlight w:val="none"/>
        </w:rPr>
      </w:pPr>
    </w:p>
    <w:p w14:paraId="3DE16F3A">
      <w:pPr>
        <w:pStyle w:val="32"/>
        <w:spacing w:beforeAutospacing="0" w:afterAutospacing="0"/>
        <w:ind w:firstLine="643"/>
        <w:jc w:val="center"/>
        <w:rPr>
          <w:rFonts w:hint="eastAsia" w:ascii="宋体" w:hAnsi="宋体" w:eastAsia="宋体" w:cs="宋体"/>
          <w:b/>
          <w:color w:val="auto"/>
          <w:sz w:val="32"/>
          <w:szCs w:val="32"/>
          <w:highlight w:val="none"/>
        </w:rPr>
      </w:pPr>
    </w:p>
    <w:p w14:paraId="27382310">
      <w:pPr>
        <w:pStyle w:val="32"/>
        <w:spacing w:beforeAutospacing="0" w:afterAutospacing="0"/>
        <w:ind w:firstLine="643"/>
        <w:jc w:val="center"/>
        <w:rPr>
          <w:rFonts w:hint="eastAsia" w:ascii="宋体" w:hAnsi="宋体" w:eastAsia="宋体" w:cs="宋体"/>
          <w:b/>
          <w:color w:val="auto"/>
          <w:sz w:val="32"/>
          <w:szCs w:val="32"/>
          <w:highlight w:val="none"/>
        </w:rPr>
      </w:pPr>
    </w:p>
    <w:p w14:paraId="1638D25A">
      <w:pPr>
        <w:pStyle w:val="32"/>
        <w:spacing w:beforeAutospacing="0" w:afterAutospacing="0"/>
        <w:ind w:firstLine="643"/>
        <w:jc w:val="center"/>
        <w:rPr>
          <w:rFonts w:hint="eastAsia" w:ascii="宋体" w:hAnsi="宋体" w:eastAsia="宋体" w:cs="宋体"/>
          <w:b/>
          <w:color w:val="auto"/>
          <w:sz w:val="32"/>
          <w:szCs w:val="32"/>
          <w:highlight w:val="none"/>
        </w:rPr>
      </w:pPr>
    </w:p>
    <w:p w14:paraId="533FF7A8">
      <w:pPr>
        <w:pStyle w:val="32"/>
        <w:spacing w:beforeAutospacing="0" w:afterAutospacing="0"/>
        <w:ind w:firstLine="643"/>
        <w:jc w:val="center"/>
        <w:rPr>
          <w:rFonts w:hint="eastAsia" w:ascii="宋体" w:hAnsi="宋体" w:eastAsia="宋体" w:cs="宋体"/>
          <w:b/>
          <w:color w:val="auto"/>
          <w:sz w:val="32"/>
          <w:szCs w:val="32"/>
          <w:highlight w:val="none"/>
        </w:rPr>
      </w:pPr>
    </w:p>
    <w:p w14:paraId="08CF6DA9">
      <w:pPr>
        <w:pStyle w:val="32"/>
        <w:spacing w:beforeAutospacing="0" w:afterAutospacing="0"/>
        <w:ind w:firstLine="643"/>
        <w:jc w:val="center"/>
        <w:rPr>
          <w:rFonts w:hint="eastAsia" w:ascii="宋体" w:hAnsi="宋体" w:eastAsia="宋体" w:cs="宋体"/>
          <w:b/>
          <w:color w:val="auto"/>
          <w:sz w:val="32"/>
          <w:szCs w:val="32"/>
          <w:highlight w:val="none"/>
        </w:rPr>
      </w:pPr>
    </w:p>
    <w:p w14:paraId="55944D56">
      <w:pPr>
        <w:pStyle w:val="32"/>
        <w:spacing w:beforeAutospacing="0" w:afterAutospacing="0"/>
        <w:ind w:firstLine="643"/>
        <w:jc w:val="center"/>
        <w:rPr>
          <w:rFonts w:hint="eastAsia" w:ascii="宋体" w:hAnsi="宋体" w:eastAsia="宋体" w:cs="宋体"/>
          <w:b/>
          <w:color w:val="auto"/>
          <w:sz w:val="32"/>
          <w:szCs w:val="32"/>
          <w:highlight w:val="none"/>
        </w:rPr>
      </w:pPr>
    </w:p>
    <w:p w14:paraId="303E8EF2">
      <w:pPr>
        <w:pStyle w:val="32"/>
        <w:spacing w:beforeAutospacing="0" w:afterAutospacing="0"/>
        <w:ind w:firstLine="643"/>
        <w:jc w:val="center"/>
        <w:rPr>
          <w:rFonts w:hint="eastAsia" w:ascii="宋体" w:hAnsi="宋体" w:eastAsia="宋体" w:cs="宋体"/>
          <w:b/>
          <w:color w:val="auto"/>
          <w:sz w:val="32"/>
          <w:szCs w:val="32"/>
          <w:highlight w:val="none"/>
        </w:rPr>
      </w:pPr>
    </w:p>
    <w:p w14:paraId="61D641FF">
      <w:pPr>
        <w:pStyle w:val="32"/>
        <w:spacing w:beforeAutospacing="0" w:afterAutospacing="0"/>
        <w:ind w:firstLine="643"/>
        <w:jc w:val="center"/>
        <w:rPr>
          <w:rFonts w:hint="eastAsia" w:ascii="宋体" w:hAnsi="宋体" w:eastAsia="宋体" w:cs="宋体"/>
          <w:b/>
          <w:color w:val="auto"/>
          <w:sz w:val="32"/>
          <w:szCs w:val="32"/>
          <w:highlight w:val="none"/>
        </w:rPr>
      </w:pPr>
    </w:p>
    <w:p w14:paraId="197ED79B">
      <w:pPr>
        <w:pStyle w:val="32"/>
        <w:spacing w:beforeAutospacing="0" w:afterAutospacing="0"/>
        <w:ind w:firstLine="643"/>
        <w:jc w:val="center"/>
        <w:rPr>
          <w:rFonts w:hint="eastAsia" w:ascii="宋体" w:hAnsi="宋体" w:eastAsia="宋体" w:cs="宋体"/>
          <w:b/>
          <w:bCs/>
          <w:color w:val="auto"/>
          <w:sz w:val="32"/>
          <w:szCs w:val="32"/>
          <w:highlight w:val="none"/>
        </w:rPr>
      </w:pPr>
    </w:p>
    <w:p w14:paraId="75980086">
      <w:pPr>
        <w:pStyle w:val="32"/>
        <w:spacing w:beforeAutospacing="0" w:afterAutospacing="0"/>
        <w:ind w:firstLine="643"/>
        <w:jc w:val="center"/>
        <w:rPr>
          <w:rFonts w:hint="eastAsia" w:ascii="宋体" w:hAnsi="宋体" w:eastAsia="宋体" w:cs="宋体"/>
          <w:b/>
          <w:bCs/>
          <w:color w:val="auto"/>
          <w:sz w:val="32"/>
          <w:szCs w:val="32"/>
          <w:highlight w:val="none"/>
        </w:rPr>
      </w:pPr>
    </w:p>
    <w:p w14:paraId="6B81A39A">
      <w:pPr>
        <w:pStyle w:val="32"/>
        <w:spacing w:beforeAutospacing="0" w:afterAutospacing="0"/>
        <w:ind w:firstLine="643"/>
        <w:jc w:val="center"/>
        <w:rPr>
          <w:rFonts w:hint="eastAsia" w:ascii="宋体" w:hAnsi="宋体" w:eastAsia="宋体" w:cs="宋体"/>
          <w:b/>
          <w:bCs/>
          <w:color w:val="auto"/>
          <w:sz w:val="32"/>
          <w:szCs w:val="32"/>
          <w:highlight w:val="none"/>
        </w:rPr>
      </w:pPr>
    </w:p>
    <w:p w14:paraId="5FCB2FE0">
      <w:pPr>
        <w:pStyle w:val="32"/>
        <w:spacing w:beforeAutospacing="0" w:afterAutospacing="0"/>
        <w:ind w:firstLine="643"/>
        <w:jc w:val="center"/>
        <w:rPr>
          <w:rFonts w:hint="eastAsia" w:ascii="宋体" w:hAnsi="宋体" w:eastAsia="宋体" w:cs="宋体"/>
          <w:b/>
          <w:bCs/>
          <w:color w:val="auto"/>
          <w:sz w:val="32"/>
          <w:szCs w:val="32"/>
          <w:highlight w:val="none"/>
        </w:rPr>
      </w:pPr>
    </w:p>
    <w:p w14:paraId="6A46C436">
      <w:pPr>
        <w:pStyle w:val="32"/>
        <w:spacing w:beforeAutospacing="0" w:afterAutospacing="0"/>
        <w:ind w:firstLine="643"/>
        <w:jc w:val="center"/>
        <w:rPr>
          <w:rFonts w:hint="eastAsia" w:ascii="宋体" w:hAnsi="宋体" w:eastAsia="宋体" w:cs="宋体"/>
          <w:b/>
          <w:bCs/>
          <w:color w:val="auto"/>
          <w:sz w:val="32"/>
          <w:szCs w:val="32"/>
          <w:highlight w:val="none"/>
        </w:rPr>
      </w:pPr>
    </w:p>
    <w:p w14:paraId="64988137">
      <w:pPr>
        <w:pStyle w:val="32"/>
        <w:spacing w:beforeAutospacing="0" w:afterAutospacing="0"/>
        <w:ind w:firstLine="643"/>
        <w:jc w:val="center"/>
        <w:rPr>
          <w:rFonts w:hint="eastAsia" w:ascii="宋体" w:hAnsi="宋体" w:eastAsia="宋体" w:cs="宋体"/>
          <w:b/>
          <w:bCs/>
          <w:color w:val="auto"/>
          <w:sz w:val="32"/>
          <w:szCs w:val="32"/>
          <w:highlight w:val="none"/>
        </w:rPr>
      </w:pPr>
    </w:p>
    <w:p w14:paraId="059B79DF">
      <w:pPr>
        <w:pStyle w:val="32"/>
        <w:spacing w:beforeAutospacing="0" w:afterAutospacing="0"/>
        <w:ind w:firstLine="643"/>
        <w:jc w:val="center"/>
        <w:rPr>
          <w:rFonts w:hint="eastAsia" w:ascii="宋体" w:hAnsi="宋体" w:eastAsia="宋体" w:cs="宋体"/>
          <w:b/>
          <w:bCs/>
          <w:color w:val="auto"/>
          <w:sz w:val="32"/>
          <w:szCs w:val="32"/>
          <w:highlight w:val="none"/>
        </w:rPr>
      </w:pPr>
    </w:p>
    <w:p w14:paraId="18C452E7">
      <w:pPr>
        <w:pStyle w:val="32"/>
        <w:spacing w:beforeAutospacing="0" w:afterAutospacing="0"/>
        <w:ind w:firstLine="643"/>
        <w:jc w:val="center"/>
        <w:rPr>
          <w:rFonts w:hint="eastAsia" w:ascii="宋体" w:hAnsi="宋体" w:eastAsia="宋体" w:cs="宋体"/>
          <w:b/>
          <w:bCs/>
          <w:color w:val="auto"/>
          <w:sz w:val="32"/>
          <w:szCs w:val="32"/>
          <w:highlight w:val="none"/>
        </w:rPr>
      </w:pPr>
    </w:p>
    <w:p w14:paraId="501B2E66">
      <w:pPr>
        <w:pStyle w:val="32"/>
        <w:spacing w:beforeAutospacing="0" w:afterAutospacing="0"/>
        <w:ind w:firstLine="643"/>
        <w:jc w:val="center"/>
        <w:rPr>
          <w:rFonts w:hint="eastAsia" w:ascii="宋体" w:hAnsi="宋体" w:eastAsia="宋体" w:cs="宋体"/>
          <w:b/>
          <w:bCs/>
          <w:color w:val="auto"/>
          <w:sz w:val="32"/>
          <w:szCs w:val="32"/>
          <w:highlight w:val="none"/>
        </w:rPr>
      </w:pPr>
    </w:p>
    <w:p w14:paraId="4579E170">
      <w:pPr>
        <w:pStyle w:val="32"/>
        <w:spacing w:beforeAutospacing="0" w:afterAutospacing="0"/>
        <w:ind w:firstLine="643"/>
        <w:jc w:val="center"/>
        <w:rPr>
          <w:rFonts w:hint="eastAsia" w:ascii="宋体" w:hAnsi="宋体" w:eastAsia="宋体" w:cs="宋体"/>
          <w:b/>
          <w:bCs/>
          <w:color w:val="auto"/>
          <w:sz w:val="32"/>
          <w:szCs w:val="32"/>
          <w:highlight w:val="none"/>
        </w:rPr>
      </w:pPr>
    </w:p>
    <w:p w14:paraId="11716D51">
      <w:pPr>
        <w:pStyle w:val="32"/>
        <w:spacing w:beforeAutospacing="0" w:afterAutospacing="0"/>
        <w:ind w:firstLine="643"/>
        <w:jc w:val="center"/>
        <w:rPr>
          <w:rFonts w:hint="eastAsia" w:ascii="宋体" w:hAnsi="宋体" w:eastAsia="宋体" w:cs="宋体"/>
          <w:b/>
          <w:bCs/>
          <w:color w:val="auto"/>
          <w:sz w:val="32"/>
          <w:szCs w:val="32"/>
          <w:highlight w:val="none"/>
        </w:rPr>
      </w:pPr>
    </w:p>
    <w:p w14:paraId="171FBE35">
      <w:pPr>
        <w:pStyle w:val="32"/>
        <w:spacing w:beforeAutospacing="0" w:afterAutospacing="0"/>
        <w:ind w:firstLine="643"/>
        <w:jc w:val="center"/>
        <w:rPr>
          <w:rFonts w:hint="eastAsia" w:ascii="宋体" w:hAnsi="宋体" w:eastAsia="宋体" w:cs="宋体"/>
          <w:b/>
          <w:bCs/>
          <w:color w:val="auto"/>
          <w:sz w:val="32"/>
          <w:szCs w:val="32"/>
          <w:highlight w:val="none"/>
        </w:rPr>
      </w:pPr>
    </w:p>
    <w:p w14:paraId="3E98370D">
      <w:pPr>
        <w:pStyle w:val="32"/>
        <w:spacing w:beforeAutospacing="0" w:afterAutospacing="0"/>
        <w:ind w:firstLine="643"/>
        <w:jc w:val="center"/>
        <w:rPr>
          <w:rFonts w:hint="eastAsia" w:ascii="宋体" w:hAnsi="宋体" w:eastAsia="宋体" w:cs="宋体"/>
          <w:b/>
          <w:bCs/>
          <w:color w:val="auto"/>
          <w:sz w:val="32"/>
          <w:szCs w:val="32"/>
          <w:highlight w:val="none"/>
        </w:rPr>
      </w:pPr>
    </w:p>
    <w:p w14:paraId="60F22D41">
      <w:pPr>
        <w:pStyle w:val="32"/>
        <w:spacing w:beforeAutospacing="0" w:afterAutospacing="0"/>
        <w:ind w:firstLine="643"/>
        <w:jc w:val="center"/>
        <w:rPr>
          <w:rFonts w:hint="eastAsia" w:ascii="宋体" w:hAnsi="宋体" w:eastAsia="宋体" w:cs="宋体"/>
          <w:b/>
          <w:color w:val="auto"/>
          <w:sz w:val="32"/>
          <w:szCs w:val="32"/>
          <w:highlight w:val="none"/>
        </w:rPr>
      </w:pPr>
    </w:p>
    <w:p w14:paraId="5FA8C4C9">
      <w:pPr>
        <w:pStyle w:val="32"/>
        <w:spacing w:beforeAutospacing="0" w:afterAutospacing="0"/>
        <w:ind w:firstLine="643"/>
        <w:jc w:val="center"/>
        <w:rPr>
          <w:rFonts w:hint="eastAsia" w:ascii="宋体" w:hAnsi="宋体" w:eastAsia="宋体" w:cs="宋体"/>
          <w:b/>
          <w:color w:val="auto"/>
          <w:sz w:val="32"/>
          <w:szCs w:val="32"/>
          <w:highlight w:val="none"/>
        </w:rPr>
      </w:pPr>
    </w:p>
    <w:p w14:paraId="05F607D5">
      <w:pPr>
        <w:pStyle w:val="32"/>
        <w:spacing w:beforeAutospacing="0" w:afterAutospacing="0"/>
        <w:ind w:firstLine="643"/>
        <w:jc w:val="center"/>
        <w:rPr>
          <w:rFonts w:hint="eastAsia" w:ascii="宋体" w:hAnsi="宋体" w:eastAsia="宋体" w:cs="宋体"/>
          <w:b/>
          <w:color w:val="auto"/>
          <w:sz w:val="32"/>
          <w:szCs w:val="32"/>
          <w:highlight w:val="none"/>
        </w:rPr>
      </w:pPr>
    </w:p>
    <w:p w14:paraId="75C4C889">
      <w:pPr>
        <w:pStyle w:val="32"/>
        <w:spacing w:beforeAutospacing="0" w:afterAutospacing="0"/>
        <w:ind w:firstLine="643"/>
        <w:jc w:val="center"/>
        <w:rPr>
          <w:rFonts w:hint="eastAsia" w:ascii="宋体" w:hAnsi="宋体" w:eastAsia="宋体" w:cs="宋体"/>
          <w:b/>
          <w:color w:val="auto"/>
          <w:sz w:val="32"/>
          <w:szCs w:val="32"/>
          <w:highlight w:val="none"/>
        </w:rPr>
      </w:pPr>
    </w:p>
    <w:p w14:paraId="6E383B5C">
      <w:pPr>
        <w:pStyle w:val="32"/>
        <w:spacing w:beforeAutospacing="0" w:afterAutospacing="0"/>
        <w:ind w:firstLine="643"/>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753436D6">
      <w:pPr>
        <w:pStyle w:val="32"/>
        <w:spacing w:before="290" w:beforeAutospacing="0" w:afterAutospacing="0" w:line="48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一、质疑供应商基本信息</w:t>
      </w:r>
    </w:p>
    <w:p w14:paraId="09C33820">
      <w:pPr>
        <w:pStyle w:val="32"/>
        <w:spacing w:beforeAutospacing="0" w:afterAutospacing="0" w:line="48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28CE0BD">
      <w:pPr>
        <w:pStyle w:val="32"/>
        <w:spacing w:beforeAutospacing="0" w:afterAutospacing="0" w:line="480" w:lineRule="exact"/>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52FDDDB7">
      <w:pPr>
        <w:pStyle w:val="32"/>
        <w:spacing w:beforeAutospacing="0" w:afterAutospacing="0" w:line="48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F77DB3D">
      <w:pPr>
        <w:pStyle w:val="32"/>
        <w:spacing w:beforeAutospacing="0" w:afterAutospacing="0" w:line="480" w:lineRule="exact"/>
        <w:jc w:val="both"/>
        <w:rPr>
          <w:rFonts w:hint="eastAsia"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D475246">
      <w:pPr>
        <w:pStyle w:val="32"/>
        <w:spacing w:beforeAutospacing="0" w:afterAutospacing="0" w:line="48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5E67CCEF">
      <w:pPr>
        <w:pStyle w:val="32"/>
        <w:spacing w:beforeAutospacing="0" w:afterAutospacing="0" w:line="48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2C552F3">
      <w:pPr>
        <w:pStyle w:val="32"/>
        <w:spacing w:beforeAutospacing="0" w:afterAutospacing="0" w:line="48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CC6E36E">
      <w:pPr>
        <w:pStyle w:val="32"/>
        <w:spacing w:beforeAutospacing="0" w:afterAutospacing="0" w:line="480" w:lineRule="exact"/>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F6CC4D4">
      <w:pPr>
        <w:pStyle w:val="32"/>
        <w:spacing w:beforeAutospacing="0" w:afterAutospacing="0" w:line="48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2E25D454">
      <w:pPr>
        <w:pStyle w:val="32"/>
        <w:spacing w:beforeAutospacing="0" w:afterAutospacing="0" w:line="48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二、质疑项目基本情况</w:t>
      </w:r>
    </w:p>
    <w:p w14:paraId="080490C6">
      <w:pPr>
        <w:pStyle w:val="32"/>
        <w:spacing w:beforeAutospacing="0" w:afterAutospacing="0" w:line="48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0AE6E50B">
      <w:pPr>
        <w:pStyle w:val="32"/>
        <w:spacing w:beforeAutospacing="0" w:afterAutospacing="0" w:line="480" w:lineRule="exact"/>
        <w:jc w:val="both"/>
        <w:rPr>
          <w:rFonts w:hint="eastAsia"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002E6489">
      <w:pPr>
        <w:pStyle w:val="32"/>
        <w:spacing w:beforeAutospacing="0" w:afterAutospacing="0" w:line="48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A2AD496">
      <w:pPr>
        <w:pStyle w:val="32"/>
        <w:spacing w:beforeAutospacing="0" w:afterAutospacing="0" w:line="48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0B12AA63">
      <w:pPr>
        <w:pStyle w:val="32"/>
        <w:spacing w:beforeAutospacing="0" w:afterAutospacing="0" w:line="48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75FAE5C6">
      <w:pPr>
        <w:pStyle w:val="32"/>
        <w:spacing w:beforeAutospacing="0" w:afterAutospacing="0" w:line="48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三、质疑事项具体内容</w:t>
      </w:r>
    </w:p>
    <w:p w14:paraId="7D0D1E81">
      <w:pPr>
        <w:pStyle w:val="32"/>
        <w:spacing w:beforeAutospacing="0" w:afterAutospacing="0" w:line="48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47E6101B">
      <w:pPr>
        <w:pStyle w:val="32"/>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29D85E0E">
      <w:pPr>
        <w:pStyle w:val="32"/>
        <w:spacing w:beforeAutospacing="0" w:afterAutospacing="0" w:line="48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4E248AA6">
      <w:pPr>
        <w:pStyle w:val="32"/>
        <w:spacing w:beforeAutospacing="0" w:afterAutospacing="0" w:line="48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质疑事项2</w:t>
      </w:r>
    </w:p>
    <w:p w14:paraId="2496D53A">
      <w:pPr>
        <w:pStyle w:val="32"/>
        <w:spacing w:beforeAutospacing="0" w:afterAutospacing="0" w:line="48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w:t>
      </w:r>
    </w:p>
    <w:p w14:paraId="7E809526">
      <w:pPr>
        <w:pStyle w:val="32"/>
        <w:spacing w:beforeAutospacing="0" w:afterAutospacing="0" w:line="48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55665BBF">
      <w:pPr>
        <w:pStyle w:val="32"/>
        <w:spacing w:beforeAutospacing="0" w:afterAutospacing="0" w:line="48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79CF35B8">
      <w:pPr>
        <w:pStyle w:val="32"/>
        <w:spacing w:beforeAutospacing="0" w:afterAutospacing="0" w:line="48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378B9141">
      <w:pPr>
        <w:pStyle w:val="32"/>
        <w:spacing w:beforeAutospacing="0" w:afterAutospacing="0" w:line="480" w:lineRule="exact"/>
        <w:ind w:firstLine="482"/>
        <w:jc w:val="both"/>
        <w:rPr>
          <w:rFonts w:hint="eastAsia" w:ascii="宋体" w:hAnsi="宋体" w:eastAsia="宋体" w:cs="宋体"/>
          <w:color w:val="auto"/>
          <w:highlight w:val="none"/>
        </w:rPr>
      </w:pPr>
      <w:r>
        <w:rPr>
          <w:rFonts w:hint="eastAsia" w:ascii="宋体" w:hAnsi="宋体" w:eastAsia="宋体" w:cs="宋体"/>
          <w:b/>
          <w:color w:val="auto"/>
          <w:highlight w:val="none"/>
        </w:rPr>
        <w:t>质疑函制作说明：</w:t>
      </w:r>
    </w:p>
    <w:p w14:paraId="2DFEF16A">
      <w:pPr>
        <w:pStyle w:val="32"/>
        <w:widowControl/>
        <w:spacing w:beforeAutospacing="0" w:afterAutospacing="0" w:line="48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63EF60CC">
      <w:pPr>
        <w:pStyle w:val="32"/>
        <w:widowControl/>
        <w:spacing w:beforeAutospacing="0" w:afterAutospacing="0" w:line="48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E794E47">
      <w:pPr>
        <w:pStyle w:val="32"/>
        <w:widowControl/>
        <w:spacing w:beforeAutospacing="0" w:afterAutospacing="0" w:line="48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1663FB00">
      <w:pPr>
        <w:pStyle w:val="32"/>
        <w:widowControl/>
        <w:spacing w:beforeAutospacing="0" w:afterAutospacing="0" w:line="48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2509B2FD">
      <w:pPr>
        <w:pStyle w:val="32"/>
        <w:widowControl/>
        <w:spacing w:beforeAutospacing="0" w:afterAutospacing="0" w:line="48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15BC8207">
      <w:pPr>
        <w:pStyle w:val="32"/>
        <w:widowControl/>
        <w:spacing w:beforeAutospacing="0" w:afterAutospacing="0" w:line="48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57AD7CF8">
      <w:pPr>
        <w:pStyle w:val="32"/>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7C9A26A">
      <w:pPr>
        <w:rPr>
          <w:color w:val="auto"/>
          <w:highlight w:val="none"/>
        </w:rPr>
      </w:pPr>
    </w:p>
    <w:p w14:paraId="567F3179">
      <w:pPr>
        <w:rPr>
          <w:color w:val="auto"/>
          <w:highlight w:val="none"/>
        </w:rPr>
      </w:pPr>
    </w:p>
    <w:sectPr>
      <w:footerReference r:id="rId4" w:type="default"/>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华文楷体">
    <w:altName w:val="宋体"/>
    <w:panose1 w:val="02010600040101010101"/>
    <w:charset w:val="86"/>
    <w:family w:val="auto"/>
    <w:pitch w:val="default"/>
    <w:sig w:usb0="00000000" w:usb1="00000000" w:usb2="00000000" w:usb3="00000000" w:csb0="0004009F" w:csb1="DFD7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649371">
    <w:pPr>
      <w:pStyle w:val="19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3739F44A">
                          <w:pPr>
                            <w:pStyle w:val="22"/>
                          </w:pPr>
                          <w:r>
                            <w:t xml:space="preserve">第 </w:t>
                          </w:r>
                          <w:r>
                            <w:fldChar w:fldCharType="begin"/>
                          </w:r>
                          <w:r>
                            <w:instrText xml:space="preserve"> PAGE  \* MERGEFORMAT </w:instrText>
                          </w:r>
                          <w:r>
                            <w:fldChar w:fldCharType="separate"/>
                          </w:r>
                          <w:r>
                            <w:t>27</w:t>
                          </w:r>
                          <w:r>
                            <w:fldChar w:fldCharType="end"/>
                          </w:r>
                          <w:r>
                            <w:t xml:space="preserve"> 页 共 </w:t>
                          </w:r>
                          <w:r>
                            <w:fldChar w:fldCharType="begin"/>
                          </w:r>
                          <w:r>
                            <w:instrText xml:space="preserve"> NUMPAGES  \* MERGEFORMAT </w:instrText>
                          </w:r>
                          <w:r>
                            <w:fldChar w:fldCharType="separate"/>
                          </w:r>
                          <w:r>
                            <w:t>42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Ik5yjo8AgAAcQQAAA4AAAAAAAAAAQAgAAAAHwEAAGRycy9lMm9E&#10;b2MueG1sUEsFBgAAAAAGAAYAWQEAAM0FAAAAAA==&#10;">
              <v:fill on="f" focussize="0,0"/>
              <v:stroke on="f" weight="0.5pt"/>
              <v:imagedata o:title=""/>
              <o:lock v:ext="edit" aspectratio="f"/>
              <v:textbox inset="0mm,0mm,0mm,0mm" style="mso-fit-shape-to-text:t;">
                <w:txbxContent>
                  <w:p w14:paraId="3739F44A">
                    <w:pPr>
                      <w:pStyle w:val="22"/>
                    </w:pPr>
                    <w:r>
                      <w:t xml:space="preserve">第 </w:t>
                    </w:r>
                    <w:r>
                      <w:fldChar w:fldCharType="begin"/>
                    </w:r>
                    <w:r>
                      <w:instrText xml:space="preserve"> PAGE  \* MERGEFORMAT </w:instrText>
                    </w:r>
                    <w:r>
                      <w:fldChar w:fldCharType="separate"/>
                    </w:r>
                    <w:r>
                      <w:t>27</w:t>
                    </w:r>
                    <w:r>
                      <w:fldChar w:fldCharType="end"/>
                    </w:r>
                    <w:r>
                      <w:t xml:space="preserve"> 页 共 </w:t>
                    </w:r>
                    <w:r>
                      <w:fldChar w:fldCharType="begin"/>
                    </w:r>
                    <w:r>
                      <w:instrText xml:space="preserve"> NUMPAGES  \* MERGEFORMAT </w:instrText>
                    </w:r>
                    <w:r>
                      <w:fldChar w:fldCharType="separate"/>
                    </w:r>
                    <w:r>
                      <w:t>42</w:t>
                    </w:r>
                    <w:r>
                      <w:fldChar w:fldCharType="end"/>
                    </w:r>
                    <w:r>
                      <w:t xml:space="preserve"> 页</w:t>
                    </w:r>
                  </w:p>
                </w:txbxContent>
              </v:textbox>
            </v:shape>
          </w:pict>
        </mc:Fallback>
      </mc:AlternateContent>
    </w:r>
  </w:p>
  <w:p w14:paraId="641BE54B">
    <w:pPr>
      <w:pStyle w:val="19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CC157">
    <w:pPr>
      <w:pStyle w:val="2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2CF44196">
                          <w:pPr>
                            <w:pStyle w:val="2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46</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bfyT5TsCAABxBAAADgAAAAAAAAABACAAAAAfAQAAZHJzL2Uyb0Rv&#10;Yy54bWxQSwUGAAAAAAYABgBZAQAAzAUAAAAA&#10;">
              <v:fill on="f" focussize="0,0"/>
              <v:stroke on="f" weight="0.5pt"/>
              <v:imagedata o:title=""/>
              <o:lock v:ext="edit" aspectratio="f"/>
              <v:textbox inset="0mm,0mm,0mm,0mm" style="mso-fit-shape-to-text:t;">
                <w:txbxContent>
                  <w:p w14:paraId="2CF44196">
                    <w:pPr>
                      <w:pStyle w:val="2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46</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9ADCABA"/>
    <w:multiLevelType w:val="multilevel"/>
    <w:tmpl w:val="59ADCABA"/>
    <w:lvl w:ilvl="0" w:tentative="0">
      <w:start w:val="23"/>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7E8F5975"/>
    <w:multiLevelType w:val="singleLevel"/>
    <w:tmpl w:val="7E8F5975"/>
    <w:lvl w:ilvl="0" w:tentative="0">
      <w:start w:val="1"/>
      <w:numFmt w:val="decimal"/>
      <w:suff w:val="nothing"/>
      <w:lvlText w:val="%1、"/>
      <w:lvlJc w:val="left"/>
    </w:lvl>
  </w:abstractNum>
  <w:num w:numId="1">
    <w:abstractNumId w:val="1"/>
  </w:num>
  <w:num w:numId="2">
    <w:abstractNumId w:val="0"/>
  </w:num>
  <w:num w:numId="3">
    <w:abstractNumId w:val="2"/>
    <w:lvlOverride w:ilvl="0">
      <w:startOverride w:val="23"/>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4C70B4"/>
    <w:rsid w:val="1B9A1D16"/>
    <w:rsid w:val="1D3D2A02"/>
    <w:rsid w:val="2005382A"/>
    <w:rsid w:val="28D67AC0"/>
    <w:rsid w:val="35227DE6"/>
    <w:rsid w:val="4DC2700E"/>
    <w:rsid w:val="57245971"/>
    <w:rsid w:val="57A37214"/>
    <w:rsid w:val="59722ECC"/>
    <w:rsid w:val="7B78566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3">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2">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annotation text"/>
    <w:basedOn w:val="1"/>
    <w:qFormat/>
    <w:uiPriority w:val="0"/>
    <w:pPr>
      <w:jc w:val="left"/>
    </w:pPr>
  </w:style>
  <w:style w:type="paragraph" w:styleId="14">
    <w:name w:val="Body Text"/>
    <w:basedOn w:val="1"/>
    <w:next w:val="1"/>
    <w:qFormat/>
    <w:uiPriority w:val="0"/>
    <w:pPr>
      <w:spacing w:after="120"/>
    </w:pPr>
  </w:style>
  <w:style w:type="paragraph" w:styleId="15">
    <w:name w:val="Body Text Indent"/>
    <w:basedOn w:val="1"/>
    <w:next w:val="16"/>
    <w:qFormat/>
    <w:uiPriority w:val="0"/>
    <w:pPr>
      <w:spacing w:line="360" w:lineRule="auto"/>
      <w:ind w:firstLine="600"/>
    </w:pPr>
    <w:rPr>
      <w:rFonts w:ascii="仿宋_GB2312" w:eastAsia="仿宋_GB2312"/>
      <w:sz w:val="30"/>
    </w:rPr>
  </w:style>
  <w:style w:type="paragraph" w:styleId="16">
    <w:name w:val="envelope return"/>
    <w:basedOn w:val="1"/>
    <w:qFormat/>
    <w:uiPriority w:val="0"/>
    <w:rPr>
      <w:rFonts w:ascii="Arial" w:hAnsi="Arial"/>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unhideWhenUsed/>
    <w:qFormat/>
    <w:uiPriority w:val="0"/>
    <w:rPr>
      <w:rFonts w:ascii="宋体" w:hAnsi="Courier New" w:cs="Courier New"/>
      <w:szCs w:val="21"/>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7"/>
    <w:semiHidden/>
    <w:unhideWhenUsed/>
    <w:qFormat/>
    <w:uiPriority w:val="99"/>
    <w:pPr>
      <w:spacing w:after="0" w:line="240" w:lineRule="auto"/>
    </w:pPr>
    <w:rPr>
      <w:sz w:val="20"/>
    </w:rPr>
  </w:style>
  <w:style w:type="paragraph" w:styleId="22">
    <w:name w:val="footer"/>
    <w:basedOn w:val="1"/>
    <w:link w:val="191"/>
    <w:qFormat/>
    <w:uiPriority w:val="0"/>
    <w:pPr>
      <w:tabs>
        <w:tab w:val="center" w:pos="4153"/>
        <w:tab w:val="right" w:pos="8306"/>
      </w:tabs>
      <w:jc w:val="left"/>
    </w:pPr>
    <w:rPr>
      <w:sz w:val="18"/>
      <w:szCs w:val="18"/>
    </w:rPr>
  </w:style>
  <w:style w:type="paragraph" w:styleId="23">
    <w:name w:val="header"/>
    <w:basedOn w:val="1"/>
    <w:link w:val="190"/>
    <w:qFormat/>
    <w:uiPriority w:val="0"/>
    <w:pPr>
      <w:pBdr>
        <w:bottom w:val="single" w:color="auto" w:sz="6" w:space="1"/>
      </w:pBdr>
      <w:tabs>
        <w:tab w:val="center" w:pos="4153"/>
        <w:tab w:val="right" w:pos="8306"/>
      </w:tabs>
      <w:jc w:val="center"/>
    </w:pPr>
    <w:rPr>
      <w:sz w:val="18"/>
      <w:szCs w:val="18"/>
    </w:r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3"/>
    <w:qFormat/>
    <w:uiPriority w:val="11"/>
    <w:pPr>
      <w:spacing w:before="200" w:after="200"/>
    </w:pPr>
    <w:rPr>
      <w:sz w:val="24"/>
      <w:szCs w:val="24"/>
    </w:rPr>
  </w:style>
  <w:style w:type="paragraph" w:styleId="27">
    <w:name w:val="footnote text"/>
    <w:basedOn w:val="1"/>
    <w:link w:val="186"/>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qFormat/>
    <w:uiPriority w:val="0"/>
    <w:pPr>
      <w:spacing w:beforeAutospacing="1" w:afterAutospacing="1"/>
      <w:jc w:val="left"/>
    </w:pPr>
    <w:rPr>
      <w:rFonts w:cs="Times New Roman"/>
      <w:sz w:val="24"/>
    </w:rPr>
  </w:style>
  <w:style w:type="paragraph" w:styleId="33">
    <w:name w:val="Title"/>
    <w:basedOn w:val="1"/>
    <w:next w:val="1"/>
    <w:link w:val="52"/>
    <w:qFormat/>
    <w:uiPriority w:val="10"/>
    <w:pPr>
      <w:spacing w:before="300" w:after="200"/>
      <w:contextualSpacing/>
    </w:pPr>
    <w:rPr>
      <w:sz w:val="48"/>
      <w:szCs w:val="48"/>
    </w:rPr>
  </w:style>
  <w:style w:type="table" w:styleId="35">
    <w:name w:val="Table Grid"/>
    <w:basedOn w:val="34"/>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basedOn w:val="36"/>
    <w:semiHidden/>
    <w:unhideWhenUsed/>
    <w:qFormat/>
    <w:uiPriority w:val="99"/>
    <w:rPr>
      <w:vertAlign w:val="superscript"/>
    </w:rPr>
  </w:style>
  <w:style w:type="character" w:styleId="38">
    <w:name w:val="Emphasis"/>
    <w:basedOn w:val="36"/>
    <w:qFormat/>
    <w:uiPriority w:val="0"/>
    <w:rPr>
      <w:i/>
    </w:rPr>
  </w:style>
  <w:style w:type="character" w:styleId="39">
    <w:name w:val="Hyperlink"/>
    <w:unhideWhenUsed/>
    <w:qFormat/>
    <w:uiPriority w:val="99"/>
    <w:rPr>
      <w:color w:val="0563C1" w:themeColor="hyperlink"/>
      <w:u w:val="single"/>
      <w14:textFill>
        <w14:solidFill>
          <w14:schemeClr w14:val="hlink"/>
        </w14:solidFill>
      </w14:textFill>
    </w:rPr>
  </w:style>
  <w:style w:type="character" w:styleId="40">
    <w:name w:val="footnote reference"/>
    <w:basedOn w:val="36"/>
    <w:unhideWhenUsed/>
    <w:qFormat/>
    <w:uiPriority w:val="99"/>
    <w:rPr>
      <w:vertAlign w:val="superscript"/>
    </w:rPr>
  </w:style>
  <w:style w:type="character" w:customStyle="1" w:styleId="41">
    <w:name w:val="Heading 1 Char"/>
    <w:basedOn w:val="36"/>
    <w:link w:val="3"/>
    <w:qFormat/>
    <w:uiPriority w:val="9"/>
    <w:rPr>
      <w:rFonts w:ascii="Arial" w:hAnsi="Arial" w:eastAsia="Arial" w:cs="Arial"/>
      <w:sz w:val="40"/>
      <w:szCs w:val="40"/>
    </w:rPr>
  </w:style>
  <w:style w:type="character" w:customStyle="1" w:styleId="42">
    <w:name w:val="Heading 2 Char"/>
    <w:basedOn w:val="36"/>
    <w:qFormat/>
    <w:uiPriority w:val="9"/>
    <w:rPr>
      <w:rFonts w:ascii="Arial" w:hAnsi="Arial" w:eastAsia="Arial" w:cs="Arial"/>
      <w:sz w:val="34"/>
    </w:rPr>
  </w:style>
  <w:style w:type="character" w:customStyle="1" w:styleId="43">
    <w:name w:val="Heading 3 Char"/>
    <w:basedOn w:val="36"/>
    <w:link w:val="4"/>
    <w:qFormat/>
    <w:uiPriority w:val="9"/>
    <w:rPr>
      <w:rFonts w:ascii="Arial" w:hAnsi="Arial" w:eastAsia="Arial" w:cs="Arial"/>
      <w:sz w:val="30"/>
      <w:szCs w:val="30"/>
    </w:rPr>
  </w:style>
  <w:style w:type="character" w:customStyle="1" w:styleId="44">
    <w:name w:val="Heading 4 Char"/>
    <w:basedOn w:val="36"/>
    <w:link w:val="5"/>
    <w:qFormat/>
    <w:uiPriority w:val="9"/>
    <w:rPr>
      <w:rFonts w:ascii="Arial" w:hAnsi="Arial" w:eastAsia="Arial" w:cs="Arial"/>
      <w:b/>
      <w:bCs/>
      <w:sz w:val="26"/>
      <w:szCs w:val="26"/>
    </w:rPr>
  </w:style>
  <w:style w:type="character" w:customStyle="1" w:styleId="45">
    <w:name w:val="Heading 5 Char"/>
    <w:basedOn w:val="36"/>
    <w:link w:val="6"/>
    <w:qFormat/>
    <w:uiPriority w:val="9"/>
    <w:rPr>
      <w:rFonts w:ascii="Arial" w:hAnsi="Arial" w:eastAsia="Arial" w:cs="Arial"/>
      <w:b/>
      <w:bCs/>
      <w:sz w:val="24"/>
      <w:szCs w:val="24"/>
    </w:rPr>
  </w:style>
  <w:style w:type="character" w:customStyle="1" w:styleId="46">
    <w:name w:val="Heading 6 Char"/>
    <w:basedOn w:val="36"/>
    <w:link w:val="7"/>
    <w:qFormat/>
    <w:uiPriority w:val="9"/>
    <w:rPr>
      <w:rFonts w:ascii="Arial" w:hAnsi="Arial" w:eastAsia="Arial" w:cs="Arial"/>
      <w:b/>
      <w:bCs/>
      <w:sz w:val="22"/>
      <w:szCs w:val="22"/>
    </w:rPr>
  </w:style>
  <w:style w:type="character" w:customStyle="1" w:styleId="47">
    <w:name w:val="Heading 7 Char"/>
    <w:basedOn w:val="36"/>
    <w:link w:val="8"/>
    <w:qFormat/>
    <w:uiPriority w:val="9"/>
    <w:rPr>
      <w:rFonts w:ascii="Arial" w:hAnsi="Arial" w:eastAsia="Arial" w:cs="Arial"/>
      <w:b/>
      <w:bCs/>
      <w:i/>
      <w:iCs/>
      <w:sz w:val="22"/>
      <w:szCs w:val="22"/>
    </w:rPr>
  </w:style>
  <w:style w:type="character" w:customStyle="1" w:styleId="48">
    <w:name w:val="Heading 8 Char"/>
    <w:basedOn w:val="36"/>
    <w:link w:val="9"/>
    <w:qFormat/>
    <w:uiPriority w:val="9"/>
    <w:rPr>
      <w:rFonts w:ascii="Arial" w:hAnsi="Arial" w:eastAsia="Arial" w:cs="Arial"/>
      <w:i/>
      <w:iCs/>
      <w:sz w:val="22"/>
      <w:szCs w:val="22"/>
    </w:rPr>
  </w:style>
  <w:style w:type="character" w:customStyle="1" w:styleId="49">
    <w:name w:val="Heading 9 Char"/>
    <w:basedOn w:val="36"/>
    <w:link w:val="10"/>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basedOn w:val="36"/>
    <w:link w:val="33"/>
    <w:qFormat/>
    <w:uiPriority w:val="10"/>
    <w:rPr>
      <w:sz w:val="48"/>
      <w:szCs w:val="48"/>
    </w:rPr>
  </w:style>
  <w:style w:type="character" w:customStyle="1" w:styleId="53">
    <w:name w:val="Subtitle Char"/>
    <w:basedOn w:val="36"/>
    <w:link w:val="26"/>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basedOn w:val="36"/>
    <w:qFormat/>
    <w:uiPriority w:val="99"/>
  </w:style>
  <w:style w:type="character" w:customStyle="1" w:styleId="59">
    <w:name w:val="Footer Char"/>
    <w:basedOn w:val="36"/>
    <w:qFormat/>
    <w:uiPriority w:val="99"/>
  </w:style>
  <w:style w:type="character" w:customStyle="1" w:styleId="60">
    <w:name w:val="Caption Char"/>
    <w:qFormat/>
    <w:uiPriority w:val="99"/>
  </w:style>
  <w:style w:type="table" w:customStyle="1" w:styleId="61">
    <w:name w:val="Table Grid Light"/>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3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3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3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3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3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basedOn w:val="34"/>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9">
    <w:name w:val="Grid Table 1 Light - Accent 2"/>
    <w:basedOn w:val="34"/>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0">
    <w:name w:val="Grid Table 1 Light - Accent 3"/>
    <w:basedOn w:val="34"/>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1">
    <w:name w:val="Grid Table 1 Light - Accent 4"/>
    <w:basedOn w:val="34"/>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2">
    <w:name w:val="Grid Table 1 Light - Accent 5"/>
    <w:basedOn w:val="34"/>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3">
    <w:name w:val="Grid Table 1 Light - Accent 6"/>
    <w:basedOn w:val="34"/>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4">
    <w:name w:val="Grid Table 2"/>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basedOn w:val="34"/>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6">
    <w:name w:val="Grid Table 2 - Accent 2"/>
    <w:basedOn w:val="34"/>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7">
    <w:name w:val="Grid Table 2 - Accent 3"/>
    <w:basedOn w:val="34"/>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8">
    <w:name w:val="Grid Table 2 - Accent 4"/>
    <w:basedOn w:val="34"/>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9">
    <w:name w:val="Grid Table 2 - Accent 5"/>
    <w:basedOn w:val="34"/>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0">
    <w:name w:val="Grid Table 2 - Accent 6"/>
    <w:basedOn w:val="34"/>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1">
    <w:name w:val="Grid Table 3"/>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basedOn w:val="34"/>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3">
    <w:name w:val="Grid Table 3 - Accent 2"/>
    <w:basedOn w:val="34"/>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4">
    <w:name w:val="Grid Table 3 - Accent 3"/>
    <w:basedOn w:val="34"/>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5">
    <w:name w:val="Grid Table 3 - Accent 4"/>
    <w:basedOn w:val="34"/>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6">
    <w:name w:val="Grid Table 3 - Accent 5"/>
    <w:basedOn w:val="34"/>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7">
    <w:name w:val="Grid Table 3 - Accent 6"/>
    <w:basedOn w:val="34"/>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8">
    <w:name w:val="Grid Table 4"/>
    <w:basedOn w:val="3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basedOn w:val="34"/>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0">
    <w:name w:val="Grid Table 4 - Accent 2"/>
    <w:basedOn w:val="34"/>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4 - Accent 3"/>
    <w:basedOn w:val="34"/>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4 - Accent 4"/>
    <w:basedOn w:val="34"/>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4 - Accent 5"/>
    <w:basedOn w:val="34"/>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4">
    <w:name w:val="Grid Table 4 - Accent 6"/>
    <w:basedOn w:val="34"/>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Grid Table 5 Dark"/>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7">
    <w:name w:val="Grid Table 5 Dark - Accent 2"/>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8">
    <w:name w:val="Grid Table 5 Dark - Accent 3"/>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9">
    <w:name w:val="Grid Table 5 Dark- Accent 4"/>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0">
    <w:name w:val="Grid Table 5 Dark - Accent 5"/>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1">
    <w:name w:val="Grid Table 5 Dark - Accent 6"/>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2">
    <w:name w:val="Grid Table 6 Colorful"/>
    <w:basedOn w:val="3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basedOn w:val="34"/>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basedOn w:val="34"/>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basedOn w:val="34"/>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basedOn w:val="34"/>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basedOn w:val="34"/>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8">
    <w:name w:val="Grid Table 6 Colorful - Accent 6"/>
    <w:basedOn w:val="34"/>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9">
    <w:name w:val="Grid Table 7 Colorful"/>
    <w:basedOn w:val="3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basedOn w:val="34"/>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basedOn w:val="34"/>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basedOn w:val="34"/>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basedOn w:val="34"/>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basedOn w:val="34"/>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5">
    <w:name w:val="Grid Table 7 Colorful - Accent 6"/>
    <w:basedOn w:val="34"/>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6">
    <w:name w:val="List Table 1 Light"/>
    <w:basedOn w:val="3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basedOn w:val="34"/>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8">
    <w:name w:val="List Table 1 Light - Accent 2"/>
    <w:basedOn w:val="34"/>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9">
    <w:name w:val="List Table 1 Light - Accent 3"/>
    <w:basedOn w:val="34"/>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0">
    <w:name w:val="List Table 1 Light - Accent 4"/>
    <w:basedOn w:val="34"/>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1">
    <w:name w:val="List Table 1 Light - Accent 5"/>
    <w:basedOn w:val="34"/>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2">
    <w:name w:val="List Table 1 Light - Accent 6"/>
    <w:basedOn w:val="34"/>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3">
    <w:name w:val="List Table 2"/>
    <w:basedOn w:val="3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basedOn w:val="34"/>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5">
    <w:name w:val="List Table 2 - Accent 2"/>
    <w:basedOn w:val="34"/>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6">
    <w:name w:val="List Table 2 - Accent 3"/>
    <w:basedOn w:val="34"/>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7">
    <w:name w:val="List Table 2 - Accent 4"/>
    <w:basedOn w:val="34"/>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8">
    <w:name w:val="List Table 2 - Accent 5"/>
    <w:basedOn w:val="34"/>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9">
    <w:name w:val="List Table 2 - Accent 6"/>
    <w:basedOn w:val="34"/>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0">
    <w:name w:val="List Table 3"/>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basedOn w:val="34"/>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2">
    <w:name w:val="List Table 3 - Accent 2"/>
    <w:basedOn w:val="34"/>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3">
    <w:name w:val="List Table 3 - Accent 3"/>
    <w:basedOn w:val="34"/>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4">
    <w:name w:val="List Table 3 - Accent 4"/>
    <w:basedOn w:val="34"/>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5">
    <w:name w:val="List Table 3 - Accent 5"/>
    <w:basedOn w:val="34"/>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6">
    <w:name w:val="List Table 3 - Accent 6"/>
    <w:basedOn w:val="34"/>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7">
    <w:name w:val="List Table 4"/>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basedOn w:val="34"/>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9">
    <w:name w:val="List Table 4 - Accent 2"/>
    <w:basedOn w:val="34"/>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0">
    <w:name w:val="List Table 4 - Accent 3"/>
    <w:basedOn w:val="34"/>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1">
    <w:name w:val="List Table 4 - Accent 4"/>
    <w:basedOn w:val="34"/>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2">
    <w:name w:val="List Table 4 - Accent 5"/>
    <w:basedOn w:val="34"/>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3">
    <w:name w:val="List Table 4 - Accent 6"/>
    <w:basedOn w:val="34"/>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4">
    <w:name w:val="List Table 5 Dark"/>
    <w:basedOn w:val="3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basedOn w:val="34"/>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6">
    <w:name w:val="List Table 5 Dark - Accent 2"/>
    <w:basedOn w:val="34"/>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7">
    <w:name w:val="List Table 5 Dark - Accent 3"/>
    <w:basedOn w:val="34"/>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8">
    <w:name w:val="List Table 5 Dark - Accent 4"/>
    <w:basedOn w:val="34"/>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9">
    <w:name w:val="List Table 5 Dark - Accent 5"/>
    <w:basedOn w:val="34"/>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0">
    <w:name w:val="List Table 5 Dark - Accent 6"/>
    <w:basedOn w:val="34"/>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1">
    <w:name w:val="List Table 6 Colorful"/>
    <w:basedOn w:val="3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basedOn w:val="34"/>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3">
    <w:name w:val="List Table 6 Colorful - Accent 2"/>
    <w:basedOn w:val="34"/>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basedOn w:val="34"/>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basedOn w:val="34"/>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basedOn w:val="34"/>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basedOn w:val="34"/>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8">
    <w:name w:val="List Table 7 Colorful"/>
    <w:basedOn w:val="3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basedOn w:val="34"/>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0">
    <w:name w:val="List Table 7 Colorful - Accent 2"/>
    <w:basedOn w:val="34"/>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basedOn w:val="34"/>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basedOn w:val="34"/>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basedOn w:val="34"/>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basedOn w:val="34"/>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5">
    <w:name w:val="Lined - Accent"/>
    <w:basedOn w:val="3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basedOn w:val="34"/>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7">
    <w:name w:val="Lined - Accent 2"/>
    <w:basedOn w:val="34"/>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8">
    <w:name w:val="Lined - Accent 3"/>
    <w:basedOn w:val="34"/>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9">
    <w:name w:val="Lined - Accent 4"/>
    <w:basedOn w:val="34"/>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0">
    <w:name w:val="Lined - Accent 5"/>
    <w:basedOn w:val="34"/>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1">
    <w:name w:val="Lined - Accent 6"/>
    <w:basedOn w:val="34"/>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2">
    <w:name w:val="Bordered &amp; Lined - Accent"/>
    <w:basedOn w:val="3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basedOn w:val="34"/>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4">
    <w:name w:val="Bordered &amp; Lined - Accent 2"/>
    <w:basedOn w:val="34"/>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5">
    <w:name w:val="Bordered &amp; Lined - Accent 3"/>
    <w:basedOn w:val="34"/>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6">
    <w:name w:val="Bordered &amp; Lined - Accent 4"/>
    <w:basedOn w:val="34"/>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7">
    <w:name w:val="Bordered &amp; Lined - Accent 5"/>
    <w:basedOn w:val="34"/>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8">
    <w:name w:val="Bordered &amp; Lined - Accent 6"/>
    <w:basedOn w:val="34"/>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9">
    <w:name w:val="Bordered"/>
    <w:basedOn w:val="3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basedOn w:val="34"/>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1">
    <w:name w:val="Bordered - Accent 2"/>
    <w:basedOn w:val="34"/>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2">
    <w:name w:val="Bordered - Accent 3"/>
    <w:basedOn w:val="34"/>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3">
    <w:name w:val="Bordered - Accent 4"/>
    <w:basedOn w:val="34"/>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4">
    <w:name w:val="Bordered - Accent 5"/>
    <w:basedOn w:val="34"/>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5">
    <w:name w:val="Bordered - Accent 6"/>
    <w:basedOn w:val="34"/>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6">
    <w:name w:val="Footnote Text Char"/>
    <w:link w:val="27"/>
    <w:qFormat/>
    <w:uiPriority w:val="99"/>
    <w:rPr>
      <w:sz w:val="18"/>
    </w:rPr>
  </w:style>
  <w:style w:type="character" w:customStyle="1" w:styleId="187">
    <w:name w:val="Endnote Text Char"/>
    <w:link w:val="21"/>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paragraph" w:customStyle="1" w:styleId="189">
    <w:name w:val="Default"/>
    <w:basedOn w:val="1"/>
    <w:semiHidden/>
    <w:qFormat/>
    <w:uiPriority w:val="0"/>
    <w:pPr>
      <w:jc w:val="left"/>
    </w:pPr>
    <w:rPr>
      <w:rFonts w:ascii="宋体" w:hAnsi="Calibri" w:cs="宋体"/>
      <w:color w:val="000000"/>
      <w:sz w:val="24"/>
    </w:rPr>
  </w:style>
  <w:style w:type="character" w:customStyle="1" w:styleId="190">
    <w:name w:val="页眉 字符"/>
    <w:basedOn w:val="36"/>
    <w:link w:val="23"/>
    <w:qFormat/>
    <w:uiPriority w:val="0"/>
    <w:rPr>
      <w:rFonts w:asciiTheme="minorHAnsi" w:hAnsiTheme="minorHAnsi" w:eastAsiaTheme="minorEastAsia" w:cstheme="minorBidi"/>
      <w:sz w:val="18"/>
      <w:szCs w:val="18"/>
    </w:rPr>
  </w:style>
  <w:style w:type="character" w:customStyle="1" w:styleId="191">
    <w:name w:val="页脚 字符"/>
    <w:basedOn w:val="36"/>
    <w:link w:val="22"/>
    <w:qFormat/>
    <w:uiPriority w:val="0"/>
    <w:rPr>
      <w:rFonts w:asciiTheme="minorHAnsi" w:hAnsiTheme="minorHAnsi" w:eastAsiaTheme="minorEastAsia" w:cstheme="minorBidi"/>
      <w:sz w:val="18"/>
      <w:szCs w:val="18"/>
    </w:rPr>
  </w:style>
  <w:style w:type="paragraph" w:customStyle="1" w:styleId="192">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193">
    <w:name w:val="正文首行缩进 21"/>
    <w:basedOn w:val="194"/>
    <w:qFormat/>
    <w:uiPriority w:val="0"/>
    <w:pPr>
      <w:ind w:firstLine="420"/>
    </w:pPr>
  </w:style>
  <w:style w:type="paragraph" w:customStyle="1" w:styleId="194">
    <w:name w:val="正文文本缩进1"/>
    <w:basedOn w:val="1"/>
    <w:qFormat/>
    <w:uiPriority w:val="0"/>
    <w:pPr>
      <w:spacing w:after="120"/>
      <w:ind w:left="420"/>
    </w:pPr>
  </w:style>
  <w:style w:type="paragraph" w:customStyle="1" w:styleId="195">
    <w:name w:val="正文首行缩进1"/>
    <w:basedOn w:val="14"/>
    <w:qFormat/>
    <w:uiPriority w:val="0"/>
    <w:pPr>
      <w:spacing w:line="360" w:lineRule="auto"/>
      <w:ind w:firstLine="200"/>
    </w:pPr>
    <w:rPr>
      <w:rFonts w:ascii="仿宋_GB2312" w:hAnsi="仿宋_GB2312" w:eastAsia="仿宋_GB2312"/>
      <w:sz w:val="30"/>
      <w:szCs w:val="30"/>
    </w:rPr>
  </w:style>
  <w:style w:type="paragraph" w:customStyle="1" w:styleId="196">
    <w:name w:val="小节标题"/>
    <w:basedOn w:val="1"/>
    <w:next w:val="1"/>
    <w:qFormat/>
    <w:uiPriority w:val="0"/>
    <w:pPr>
      <w:widowControl/>
      <w:spacing w:before="175" w:after="102" w:line="351" w:lineRule="atLeast"/>
    </w:pPr>
    <w:rPr>
      <w:rFonts w:eastAsia="黑体"/>
      <w:color w:val="000000"/>
    </w:rPr>
  </w:style>
  <w:style w:type="paragraph" w:customStyle="1" w:styleId="197">
    <w:name w:val="正文1"/>
    <w:next w:val="1"/>
    <w:qFormat/>
    <w:uiPriority w:val="0"/>
    <w:pPr>
      <w:jc w:val="both"/>
    </w:pPr>
    <w:rPr>
      <w:rFonts w:hint="default" w:ascii="Times New Roman" w:hAnsi="Times New Roman" w:eastAsia="宋体" w:cs="Times New Roman"/>
      <w:sz w:val="21"/>
      <w:szCs w:val="21"/>
      <w:lang w:val="en-US" w:eastAsia="zh-CN" w:bidi="ar-SA"/>
    </w:rPr>
  </w:style>
  <w:style w:type="paragraph" w:customStyle="1" w:styleId="198">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199">
    <w:name w:val="页脚1"/>
    <w:basedOn w:val="1"/>
    <w:unhideWhenUsed/>
    <w:qFormat/>
    <w:uiPriority w:val="99"/>
    <w:pPr>
      <w:tabs>
        <w:tab w:val="center" w:pos="4153"/>
        <w:tab w:val="right" w:pos="8306"/>
      </w:tabs>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f945cab1-4b50-49f9-b3a2-607c90c011aa</errorID>
      <errorWord>万</errorWord>
      <group>L1_Word</group>
      <groupName>字词问题</groupName>
      <ability>L2_Typo</ability>
      <abilityName>字词错误</abilityName>
      <candidateList>
        <item>万元</item>
      </candidateList>
      <explain/>
      <paraID>1B456FCC</paraID>
      <start>29</start>
      <end>31</end>
      <status>modified</status>
      <modifiedWord>万元</modifiedWord>
      <trackRevisions>false</trackRevisions>
    </reviewItem>
    <reviewItem>
      <errorID>c78f8d7e-1327-499b-83b1-fd528d678f6c</errorID>
      <errorWord>万</errorWord>
      <group>L1_Word</group>
      <groupName>字词问题</groupName>
      <ability>L2_Typo</ability>
      <abilityName>字词错误</abilityName>
      <candidateList>
        <item>万元</item>
      </candidateList>
      <explain/>
      <paraID>1B456FCC</paraID>
      <start>38</start>
      <end>40</end>
      <status>modified</status>
      <modifiedWord>万元</modifiedWord>
      <trackRevisions>false</trackRevisions>
    </reviewItem>
    <reviewItem>
      <errorID>177f32be-4457-46e5-9f37-33f4deaf215f</errorID>
      <errorWord>m</errorWord>
      <group>L1_AI</group>
      <groupName>深度校对</groupName>
      <ability>L2_AI_Punc</ability>
      <abilityName>标点纠错</abilityName>
      <candidateList>
        <item>/m</item>
      </candidateList>
      <explain/>
      <paraID>60DFB04A</paraID>
      <start>2</start>
      <end>4</end>
      <status>modified</status>
      <modifiedWord>/m</modifiedWord>
      <trackRevisions>false</trackRevisions>
    </reviewItem>
    <reviewItem>
      <errorID>ae82837d-0439-4893-9c1a-d7b25a7ac663</errorID>
      <errorWord>合同</errorWord>
      <group>L1_AI</group>
      <groupName>深度校对</groupName>
      <ability>L2_AI_Word</ability>
      <abilityName>字词纠错</abilityName>
      <candidateList>
        <item>自合同</item>
      </candidateList>
      <explain/>
      <paraID>78E73288</paraID>
      <start>9</start>
      <end>12</end>
      <status>modified</status>
      <modifiedWord>自合同</modifiedWord>
      <trackRevisions>false</trackRevisions>
    </reviewItem>
    <reviewItem>
      <errorID>d13076f5-39b3-4db5-bd75-0f6f19af2efe</errorID>
      <errorWord>、</errorWord>
      <group>L1_AI</group>
      <groupName>深度校对</groupName>
      <ability>L2_AI_Punc</ability>
      <abilityName>标点纠错</abilityName>
      <candidateList>
        <item>；</item>
      </candidateList>
      <explain/>
      <paraID>5884DE60</paraID>
      <start>113</start>
      <end>114</end>
      <status>modified</status>
      <modifiedWord>；</modifiedWord>
      <trackRevisions>false</trackRevisions>
    </reviewItem>
    <reviewItem>
      <errorID>bbc7e832-5cb3-41f7-8e93-a31a2ef0c590</errorID>
      <errorWord>-</errorWord>
      <group>L1_Format</group>
      <groupName>格式问题</groupName>
      <ability>L2_HalfPunc</ability>
      <abilityName>全半角检查</abilityName>
      <candidateList>
        <item>－</item>
      </candidateList>
      <explain>文本全半角错误。</explain>
      <paraID>676F42F3</paraID>
      <start>14</start>
      <end>15</end>
      <status>ignored</status>
      <modifiedWord/>
      <trackRevisions>false</trackRevisions>
    </reviewItem>
    <reviewItem>
      <errorID>022d83ec-3c50-4bc5-b236-098022fad350</errorID>
      <errorWord>-</errorWord>
      <group>L1_Format</group>
      <groupName>格式问题</groupName>
      <ability>L2_HalfPunc</ability>
      <abilityName>全半角检查</abilityName>
      <candidateList>
        <item>－</item>
      </candidateList>
      <explain>文本全半角错误。</explain>
      <paraID>676F42F3</paraID>
      <start>15</start>
      <end>16</end>
      <status>ignored</status>
      <modifiedWord/>
      <trackRevisions>false</trackRevisions>
    </reviewItem>
    <reviewItem>
      <errorID>aff1750b-44de-4716-9417-5b07c9701290</errorID>
      <errorWord>“.</errorWord>
      <group>L1_Punc</group>
      <groupName>标点问题</groupName>
      <ability>L2_Punc</ability>
      <abilityName>标点符号检查</abilityName>
      <candidateList>
        <item>“</item>
      </candidateList>
      <explain/>
      <paraID>676F42F3</paraID>
      <start>57</start>
      <end>59</end>
      <status>ignored</status>
      <modifiedWord/>
      <trackRevisions>false</trackRevisions>
    </reviewItem>
    <reviewItem>
      <errorID>bd5c93bc-81a8-4a52-88fd-517f7b266a04</errorID>
      <errorWord>“.</errorWord>
      <group>L1_Punc</group>
      <groupName>标点问题</groupName>
      <ability>L2_Punc</ability>
      <abilityName>标点符号检查</abilityName>
      <candidateList>
        <item>“</item>
      </candidateList>
      <explain/>
      <paraID>676F42F3</paraID>
      <start>72</start>
      <end>74</end>
      <status>ignored</status>
      <modifiedWord/>
      <trackRevisions>false</trackRevisions>
    </reviewItem>
    <reviewItem>
      <errorID>f027e030-8216-4a17-af5b-5a9ca4a341de</errorID>
      <errorWord>-</errorWord>
      <group>L1_Format</group>
      <groupName>格式问题</groupName>
      <ability>L2_HalfPunc</ability>
      <abilityName>全半角检查</abilityName>
      <candidateList>
        <item>－</item>
      </candidateList>
      <explain>文本全半角错误。</explain>
      <paraID>676F42F3</paraID>
      <start>95</start>
      <end>96</end>
      <status>ignored</status>
      <modifiedWord/>
      <trackRevisions>false</trackRevisions>
    </reviewItem>
    <reviewItem>
      <errorID>a58f6f59-8c60-446e-8934-da39ec0ada48</errorID>
      <errorWord>-</errorWord>
      <group>L1_Format</group>
      <groupName>格式问题</groupName>
      <ability>L2_HalfPunc</ability>
      <abilityName>全半角检查</abilityName>
      <candidateList>
        <item>－</item>
      </candidateList>
      <explain>文本全半角错误。</explain>
      <paraID>676F42F3</paraID>
      <start>96</start>
      <end>97</end>
      <status>ignored</status>
      <modifiedWord/>
      <trackRevisions>false</trackRevisions>
    </reviewItem>
    <reviewItem>
      <errorID>545eb6fe-86c2-4932-b575-7398c69b101e</errorID>
      <errorWord>-</errorWord>
      <group>L1_Format</group>
      <groupName>格式问题</groupName>
      <ability>L2_HalfPunc</ability>
      <abilityName>全半角检查</abilityName>
      <candidateList>
        <item>－</item>
      </candidateList>
      <explain>文本全半角错误。</explain>
      <paraID>676F42F3</paraID>
      <start>103</start>
      <end>104</end>
      <status>ignored</status>
      <modifiedWord/>
      <trackRevisions>false</trackRevisions>
    </reviewItem>
    <reviewItem>
      <errorID>4dd53013-d6bd-4db6-93cb-23b33b336b95</errorID>
      <errorWord>-</errorWord>
      <group>L1_Format</group>
      <groupName>格式问题</groupName>
      <ability>L2_HalfPunc</ability>
      <abilityName>全半角检查</abilityName>
      <candidateList>
        <item>－</item>
      </candidateList>
      <explain>文本全半角错误。</explain>
      <paraID>676F42F3</paraID>
      <start>104</start>
      <end>105</end>
      <status>ignored</status>
      <modifiedWord/>
      <trackRevisions>false</trackRevisions>
    </reviewItem>
    <reviewItem>
      <errorID>d0ca76b4-e23e-4ff8-83ac-f8efc786f464</errorID>
      <errorWord>-</errorWord>
      <group>L1_Format</group>
      <groupName>格式问题</groupName>
      <ability>L2_HalfPunc</ability>
      <abilityName>全半角检查</abilityName>
      <candidateList>
        <item>－</item>
      </candidateList>
      <explain>文本全半角错误。</explain>
      <paraID>676F42F3</paraID>
      <start>175</start>
      <end>176</end>
      <status>ignored</status>
      <modifiedWord/>
      <trackRevisions>false</trackRevisions>
    </reviewItem>
    <reviewItem>
      <errorID>e40fd09a-ef66-481c-b88f-5c95ff826eb6</errorID>
      <errorWord>-</errorWord>
      <group>L1_Format</group>
      <groupName>格式问题</groupName>
      <ability>L2_HalfPunc</ability>
      <abilityName>全半角检查</abilityName>
      <candidateList>
        <item>－</item>
      </candidateList>
      <explain>文本全半角错误。</explain>
      <paraID>373E39E6</paraID>
      <start>31</start>
      <end>32</end>
      <status>ignored</status>
      <modifiedWord/>
      <trackRevisions>false</trackRevisions>
    </reviewItem>
    <reviewItem>
      <errorID>ce86e198-1baf-4c37-9000-9f3192a9d567</errorID>
      <errorWord>“.</errorWord>
      <group>L1_Punc</group>
      <groupName>标点问题</groupName>
      <ability>L2_Punc</ability>
      <abilityName>标点符号检查</abilityName>
      <candidateList>
        <item>“</item>
      </candidateList>
      <explain/>
      <paraID>206CF32C</paraID>
      <start>13</start>
      <end>15</end>
      <status>ignored</status>
      <modifiedWord/>
      <trackRevisions>false</trackRevisions>
    </reviewItem>
    <reviewItem>
      <errorID>b05a21b9-9003-41c0-b138-627acbdf71a2</errorID>
      <errorWord>供应商</errorWord>
      <group>L1_AI</group>
      <groupName>深度校对</groupName>
      <ability>L2_AI_Word</ability>
      <abilityName>字词纠错</abilityName>
      <candidateList>
        <item>对供应商</item>
      </candidateList>
      <explain/>
      <paraID> 3BBC83E</paraID>
      <start>10</start>
      <end>14</end>
      <status>modified</status>
      <modifiedWord>对供应商</modifiedWord>
      <trackRevisions>false</trackRevisions>
    </reviewItem>
    <reviewItem>
      <errorID>e4976a36-c51b-4a7b-ac7c-b75c3375f170</errorID>
      <errorWord>要求的</errorWord>
      <group>L1_AI</group>
      <groupName>深度校对</groupName>
      <ability>L2_AI_Word</ability>
      <abilityName>字词纠错</abilityName>
      <candidateList>
        <item>要求</item>
      </candidateList>
      <explain/>
      <paraID> 3BBC83E</paraID>
      <start>17</start>
      <end>19</end>
      <status>modified</status>
      <modifiedWord>要求</modifiedWord>
      <trackRevisions>false</trackRevisions>
    </reviewItem>
    <reviewItem>
      <errorID>011c706b-3127-4d8c-89e6-8bf1afd5ea7f</errorID>
      <errorWord>实质性</errorWord>
      <group>L1_AI</group>
      <groupName>深度校对</groupName>
      <ability>L2_AI_Word</ability>
      <abilityName>字词纠错</abilityName>
      <candidateList>
        <item>对实质性</item>
      </candidateList>
      <explain/>
      <paraID>6C219DCB</paraID>
      <start>8</start>
      <end>12</end>
      <status>modified</status>
      <modifiedWord>对实质性</modifiedWord>
      <trackRevisions>false</trackRevisions>
    </reviewItem>
    <reviewItem>
      <errorID>e244af98-385d-4fba-aa1b-db1d87bc5035</errorID>
      <errorWord>的法律法规</errorWord>
      <group>L1_AI</group>
      <groupName>深度校对</groupName>
      <ability>L2_AI_Word</ability>
      <abilityName>字词纠错</abilityName>
      <candidateList>
        <item>法律法规的</item>
      </candidateList>
      <explain/>
      <paraID>7158B2D2</paraID>
      <start>25</start>
      <end>30</end>
      <status>modified</status>
      <modifiedWord>法律法规的</modifiedWord>
      <trackRevisions>false</trackRevisions>
    </reviewItem>
    <reviewItem>
      <errorID>98a1005e-859c-47f0-b15f-af7b3c3a0242</errorID>
      <errorWord>&lt;</errorWord>
      <group>L1_Format</group>
      <groupName>格式问题</groupName>
      <ability>L2_HalfPunc</ability>
      <abilityName>全半角检查</abilityName>
      <candidateList>
        <item>〈</item>
      </candidateList>
      <explain>文本全半角错误。</explain>
      <paraID>4519EC91</paraID>
      <start>22</start>
      <end>23</end>
      <status>ignored</status>
      <modifiedWord/>
      <trackRevisions>false</trackRevisions>
    </reviewItem>
    <reviewItem>
      <errorID>0a3afb08-1941-4337-b67c-acfd0df4b62e</errorID>
      <errorWord>現</errorWord>
      <group>L1_Word</group>
      <groupName>字词问题</groupName>
      <ability>L2_Fanti</ability>
      <abilityName>繁转简</abilityName>
      <candidateList>
        <item>现</item>
      </candidateList>
      <explain/>
      <paraID>4F39B624</paraID>
      <start>16</start>
      <end>17</end>
      <status>modified</status>
      <modifiedWord>现</modifiedWord>
      <trackRevisions>false</trackRevisions>
    </reviewItem>
    <reviewItem>
      <errorID>96d62b1c-4c80-42b3-b187-d5f8a2531ac8</errorID>
      <errorWord>30%-100%</errorWord>
      <group>L1_Knowledge</group>
      <groupName>知识性问题</groupName>
      <ability>L2_Knowledge</ability>
      <abilityName>其他知识</abilityName>
      <candidateList>
        <item>30%—100%</item>
      </candidateList>
      <explain>1. “30%-100%”中的单位“%”仅出现在后一个数字上，容易引起歧义；根据《现代汉语标点符号数字用法规范手册》，数字表示范围两边需要使用统一的格式。2.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19B47040</paraID>
      <start>159</start>
      <end>167</end>
      <status>modified</status>
      <modifiedWord>30%—100%</modifiedWord>
      <trackRevisions>false</trackRevisions>
    </reviewItem>
    <reviewItem>
      <errorID>ed374fc1-a2f9-4caf-b65f-7f98f08c5d90</errorID>
      <errorWord>弄虛</errorWord>
      <group>L1_Word</group>
      <groupName>字词问题</groupName>
      <ability>L2_Fanti</ability>
      <abilityName>繁转简</abilityName>
      <candidateList>
        <item>弄虚</item>
      </candidateList>
      <explain/>
      <paraID>134193BC</paraID>
      <start>40</start>
      <end>42</end>
      <status>modified</status>
      <modifiedWord>弄虚</modifiedWord>
      <trackRevisions>false</trackRevisions>
    </reviewItem>
    <reviewItem>
      <errorID>3cdc1ab8-dbca-41f8-803c-012ede90959e</errorID>
      <errorWord>[2023]234号</errorWord>
      <group>L1_Knowledge</group>
      <groupName>知识性问题</groupName>
      <ability>L2_Knowledge</ability>
      <abilityName>其他知识</abilityName>
      <candidateList>
        <item>〔2023〕234号</item>
      </candidateList>
      <explain>发文字号格式错误。</explain>
      <paraID>4C75EB77</paraID>
      <start>32</start>
      <end>42</end>
      <status>modified</status>
      <modifiedWord>〔2023〕234号</modifiedWord>
      <trackRevisions>false</trackRevisions>
    </reviewItem>
    <reviewItem>
      <errorID>7fef53ad-f133-435d-907e-1c3dbc97f130</errorID>
      <errorWord>工做</errorWord>
      <group>L1_Word</group>
      <groupName>字词问题</groupName>
      <ability>L2_Typo</ability>
      <abilityName>字词错误</abilityName>
      <candidateList>
        <item>工作</item>
      </candidateList>
      <explain>存在发音相同字词的误用。</explain>
      <paraID>17E8A388</paraID>
      <start>22</start>
      <end>24</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547EC8-38A9-47B0-81AD-FDEF604807A8}">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129</Pages>
  <Words>10795</Words>
  <Characters>11635</Characters>
  <TotalTime>20</TotalTime>
  <ScaleCrop>false</ScaleCrop>
  <LinksUpToDate>false</LinksUpToDate>
  <CharactersWithSpaces>11816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2026-03-05T06:51:00Z</dcterms:created>
  <dc:creator>正式环境陈艳测试账号</dc:creator>
  <cp:lastModifiedBy>孙大宝</cp:lastModifiedBy>
  <cp:lastPrinted>2026-04-16T03:42:00Z</cp:lastPrinted>
  <dcterms:modified xsi:type="dcterms:W3CDTF">2026-04-21T08:49:29Z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1F227EDDB06C480080ADC5A3F6A26B27_13</vt:lpwstr>
  </property>
  <property fmtid="{D5CDD505-2E9C-101B-9397-08002B2CF9AE}" pid="4" name="KSOTemplateDocerSaveRecord">
    <vt:lpwstr>eyJoZGlkIjoiMWNiOTUzOGY5YTNlMmI3MzAyOWRjNTZjOTI3ZTJlMWUiLCJ1c2VySWQiOiIyNDQxMjYyNTkifQ==</vt:lpwstr>
  </property>
</Properties>
</file>