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24"/>
        <w:jc w:val="center"/>
        <w:rPr>
          <w:rFonts w:eastAsia="黑体"/>
          <w:color w:val="000000"/>
          <w:sz w:val="36"/>
          <w:highlight w:val="none"/>
        </w:rPr>
      </w:pPr>
      <w:r>
        <w:rPr>
          <w:rFonts w:eastAsia="黑体"/>
          <w:color w:val="000000"/>
          <w:sz w:val="36"/>
          <w:highlight w:val="none"/>
        </w:rPr>
      </w:r>
      <w:r/>
    </w:p>
    <w:p>
      <w:pPr>
        <w:pStyle w:val="1024"/>
        <w:jc w:val="center"/>
        <w:rPr>
          <w:b/>
          <w:color w:val="000000"/>
          <w:sz w:val="84"/>
          <w:highlight w:val="none"/>
        </w:rPr>
      </w:pPr>
      <w:r>
        <w:rPr>
          <w:b/>
          <w:color w:val="000000"/>
          <w:sz w:val="84"/>
          <w:highlight w:val="none"/>
        </w:rPr>
      </w:r>
      <w:r/>
    </w:p>
    <w:p>
      <w:pPr>
        <w:pStyle w:val="1024"/>
        <w:jc w:val="center"/>
        <w:rPr>
          <w:b/>
          <w:color w:val="000000"/>
          <w:sz w:val="84"/>
          <w:highlight w:val="none"/>
        </w:rPr>
      </w:pPr>
      <w:r>
        <w:rPr>
          <w:rFonts w:hint="eastAsia"/>
          <w:b/>
          <w:color w:val="000000"/>
          <w:sz w:val="84"/>
          <w:highlight w:val="none"/>
        </w:rPr>
        <w:t xml:space="preserve">招 标 文 件</w:t>
      </w:r>
      <w:r>
        <w:rPr>
          <w:b/>
          <w:color w:val="000000"/>
          <w:sz w:val="84"/>
          <w:highlight w:val="none"/>
        </w:rPr>
      </w:r>
      <w:r/>
    </w:p>
    <w:p>
      <w:pPr>
        <w:pStyle w:val="1024"/>
        <w:rPr>
          <w:rFonts w:eastAsia="黑体"/>
          <w:b/>
          <w:color w:val="000000"/>
          <w:sz w:val="32"/>
          <w:highlight w:val="none"/>
        </w:rPr>
      </w:pPr>
      <w:r>
        <w:rPr>
          <w:rFonts w:eastAsia="黑体"/>
          <w:b/>
          <w:color w:val="000000"/>
          <w:sz w:val="32"/>
          <w:highlight w:val="none"/>
        </w:rPr>
      </w:r>
      <w:r/>
    </w:p>
    <w:p>
      <w:pPr>
        <w:pStyle w:val="1077"/>
        <w:ind w:firstLine="600"/>
        <w:rPr>
          <w:color w:val="000000"/>
          <w:highlight w:val="none"/>
        </w:rPr>
      </w:pPr>
      <w:r>
        <w:rPr>
          <w:color w:val="000000"/>
          <w:highlight w:val="none"/>
        </w:rPr>
      </w:r>
      <w:r/>
    </w:p>
    <w:p>
      <w:pPr>
        <w:pStyle w:val="1024"/>
        <w:jc w:val="center"/>
        <w:rPr>
          <w:rFonts w:eastAsia="黑体"/>
          <w:b/>
          <w:color w:val="000000"/>
          <w:sz w:val="32"/>
          <w:highlight w:val="none"/>
        </w:rPr>
      </w:pPr>
      <w:r>
        <w:rPr>
          <w:rFonts w:eastAsia="黑体"/>
          <w:b/>
          <w:color w:val="000000"/>
          <w:sz w:val="32"/>
          <w:highlight w:val="none"/>
        </w:rPr>
      </w:r>
      <w:r/>
    </w:p>
    <w:p>
      <w:pPr>
        <w:pStyle w:val="1024"/>
        <w:jc w:val="center"/>
        <w:rPr>
          <w:rFonts w:hint="eastAsia" w:ascii="宋体" w:hAnsi="宋体" w:eastAsia="宋体" w:cs="宋体"/>
          <w:b/>
          <w:color w:val="000000"/>
          <w:sz w:val="36"/>
          <w:szCs w:val="36"/>
          <w:highlight w:val="none"/>
        </w:rPr>
      </w:pPr>
      <w:r>
        <w:rPr>
          <w:rFonts w:hint="eastAsia" w:ascii="宋体" w:hAnsi="宋体" w:cs="宋体"/>
          <w:b/>
          <w:color w:val="000000"/>
          <w:sz w:val="36"/>
          <w:szCs w:val="36"/>
          <w:highlight w:val="none"/>
        </w:rPr>
        <w:t xml:space="preserve">项目编号</w:t>
      </w:r>
      <w:r>
        <w:rPr>
          <w:rFonts w:hint="eastAsia" w:ascii="宋体" w:hAnsi="宋体" w:eastAsia="宋体" w:cs="宋体"/>
          <w:b/>
          <w:color w:val="000000"/>
          <w:sz w:val="36"/>
          <w:szCs w:val="36"/>
          <w:highlight w:val="none"/>
        </w:rPr>
        <w:t xml:space="preserve">：JSZC-320900-SZDL-G2026-0015</w:t>
      </w:r>
      <w:r>
        <w:rPr>
          <w:rFonts w:hint="eastAsia" w:ascii="宋体" w:hAnsi="宋体" w:eastAsia="宋体" w:cs="宋体"/>
          <w:b/>
          <w:color w:val="000000"/>
          <w:sz w:val="36"/>
          <w:szCs w:val="36"/>
          <w:highlight w:val="none"/>
        </w:rPr>
      </w:r>
      <w:r/>
    </w:p>
    <w:p>
      <w:pPr>
        <w:pStyle w:val="1024"/>
        <w:jc w:val="center"/>
        <w:rPr>
          <w:rFonts w:hint="eastAsia" w:ascii="宋体" w:hAnsi="宋体" w:cs="宋体"/>
          <w:b/>
          <w:color w:val="000000"/>
          <w:sz w:val="36"/>
          <w:szCs w:val="36"/>
          <w:highlight w:val="none"/>
        </w:rPr>
      </w:pPr>
      <w:r>
        <w:rPr>
          <w:rFonts w:hint="eastAsia" w:ascii="宋体" w:hAnsi="宋体" w:cs="宋体"/>
          <w:b/>
          <w:color w:val="000000"/>
          <w:sz w:val="36"/>
          <w:szCs w:val="36"/>
          <w:highlight w:val="none"/>
        </w:rPr>
        <w:t xml:space="preserve">项目名称：2026年盐城市普通国省道小修保养及应急养护工程全过程造价控制及竣工决算审计</w:t>
      </w:r>
      <w:r>
        <w:rPr>
          <w:rFonts w:hint="eastAsia" w:ascii="宋体" w:hAnsi="宋体" w:cs="宋体"/>
          <w:b/>
          <w:color w:val="000000"/>
          <w:sz w:val="36"/>
          <w:szCs w:val="36"/>
          <w:highlight w:val="none"/>
        </w:rPr>
      </w:r>
      <w:r/>
    </w:p>
    <w:p>
      <w:pPr>
        <w:pStyle w:val="1024"/>
        <w:rPr>
          <w:rFonts w:ascii="宋体"/>
          <w:b/>
          <w:color w:val="000000"/>
          <w:sz w:val="32"/>
          <w:highlight w:val="none"/>
        </w:rPr>
      </w:pPr>
      <w:r>
        <w:rPr>
          <w:rFonts w:ascii="宋体"/>
          <w:b/>
          <w:color w:val="000000"/>
          <w:sz w:val="32"/>
          <w:highlight w:val="none"/>
        </w:rPr>
      </w:r>
      <w:r/>
    </w:p>
    <w:p>
      <w:pPr>
        <w:pStyle w:val="1024"/>
        <w:rPr>
          <w:rFonts w:ascii="宋体"/>
          <w:b/>
          <w:color w:val="000000"/>
          <w:sz w:val="32"/>
          <w:highlight w:val="none"/>
        </w:rPr>
      </w:pPr>
      <w:r>
        <w:rPr>
          <w:rFonts w:ascii="宋体"/>
          <w:b/>
          <w:color w:val="000000"/>
          <w:sz w:val="32"/>
          <w:highlight w:val="none"/>
        </w:rPr>
      </w:r>
      <w:r/>
    </w:p>
    <w:p>
      <w:pPr>
        <w:pStyle w:val="1109"/>
        <w:ind w:firstLine="643"/>
        <w:rPr>
          <w:b/>
          <w:color w:val="000000"/>
          <w:sz w:val="32"/>
          <w:highlight w:val="none"/>
        </w:rPr>
      </w:pPr>
      <w:r>
        <w:rPr>
          <w:b/>
          <w:color w:val="000000"/>
          <w:sz w:val="32"/>
          <w:highlight w:val="none"/>
        </w:rPr>
      </w:r>
      <w:r/>
    </w:p>
    <w:p>
      <w:pPr>
        <w:pStyle w:val="1108"/>
        <w:rPr>
          <w:rFonts w:ascii="宋体" w:eastAsia="宋体"/>
          <w:b/>
          <w:color w:val="000000"/>
          <w:sz w:val="32"/>
          <w:highlight w:val="none"/>
        </w:rPr>
      </w:pPr>
      <w:r>
        <w:rPr>
          <w:rFonts w:ascii="宋体" w:eastAsia="宋体"/>
          <w:b/>
          <w:color w:val="000000"/>
          <w:sz w:val="32"/>
          <w:highlight w:val="none"/>
        </w:rPr>
      </w:r>
      <w:r/>
    </w:p>
    <w:p>
      <w:pPr>
        <w:pStyle w:val="1108"/>
        <w:rPr>
          <w:b/>
          <w:color w:val="000000"/>
          <w:sz w:val="32"/>
          <w:highlight w:val="none"/>
        </w:rPr>
      </w:pPr>
      <w:r>
        <w:rPr>
          <w:b/>
          <w:color w:val="000000"/>
          <w:sz w:val="32"/>
          <w:highlight w:val="none"/>
        </w:rPr>
      </w:r>
      <w:r/>
    </w:p>
    <w:p>
      <w:pPr>
        <w:pStyle w:val="1109"/>
        <w:ind w:firstLine="643"/>
        <w:rPr>
          <w:b/>
          <w:color w:val="000000"/>
          <w:sz w:val="32"/>
          <w:highlight w:val="none"/>
        </w:rPr>
      </w:pPr>
      <w:r>
        <w:rPr>
          <w:b/>
          <w:color w:val="000000"/>
          <w:sz w:val="32"/>
          <w:highlight w:val="none"/>
        </w:rPr>
      </w:r>
      <w:r/>
    </w:p>
    <w:p>
      <w:pPr>
        <w:pStyle w:val="1108"/>
        <w:rPr>
          <w:color w:val="000000"/>
          <w:highlight w:val="none"/>
        </w:rPr>
      </w:pPr>
      <w:r>
        <w:rPr>
          <w:color w:val="000000"/>
          <w:highlight w:val="none"/>
        </w:rPr>
      </w:r>
      <w:r/>
    </w:p>
    <w:p>
      <w:pPr>
        <w:pStyle w:val="1108"/>
        <w:rPr>
          <w:color w:val="000000"/>
          <w:highlight w:val="none"/>
        </w:rPr>
      </w:pPr>
      <w:r>
        <w:rPr>
          <w:color w:val="000000"/>
          <w:highlight w:val="none"/>
        </w:rPr>
      </w:r>
      <w:r/>
    </w:p>
    <w:p>
      <w:pPr>
        <w:pStyle w:val="1109"/>
        <w:ind w:firstLine="420"/>
        <w:rPr>
          <w:color w:val="000000"/>
          <w:highlight w:val="none"/>
        </w:rPr>
      </w:pPr>
      <w:r>
        <w:rPr>
          <w:color w:val="000000"/>
          <w:highlight w:val="none"/>
        </w:rPr>
      </w:r>
      <w:r/>
    </w:p>
    <w:p>
      <w:pPr>
        <w:pStyle w:val="1057"/>
        <w:ind w:left="0" w:firstLine="0"/>
        <w:jc w:val="center"/>
        <w:spacing w:line="700" w:lineRule="exact"/>
        <w:rPr>
          <w:rFonts w:ascii="黑体" w:hAnsi="黑体" w:eastAsia="黑体" w:cs="宋体"/>
          <w:bCs/>
          <w:color w:val="000000"/>
          <w:sz w:val="36"/>
          <w:szCs w:val="36"/>
          <w:highlight w:val="none"/>
        </w:rPr>
      </w:pPr>
      <w:r>
        <w:rPr>
          <w:rFonts w:hint="eastAsia" w:ascii="黑体" w:hAnsi="黑体" w:eastAsia="黑体" w:cs="宋体"/>
          <w:bCs/>
          <w:color w:val="000000"/>
          <w:sz w:val="36"/>
          <w:szCs w:val="36"/>
          <w:highlight w:val="none"/>
        </w:rPr>
        <w:t xml:space="preserve">盐城市公路事业发展中心</w:t>
      </w:r>
      <w:r>
        <w:rPr>
          <w:rFonts w:ascii="黑体" w:hAnsi="黑体" w:eastAsia="黑体" w:cs="宋体"/>
          <w:bCs/>
          <w:color w:val="000000"/>
          <w:sz w:val="36"/>
          <w:szCs w:val="36"/>
          <w:highlight w:val="none"/>
        </w:rPr>
      </w:r>
      <w:r/>
    </w:p>
    <w:p>
      <w:pPr>
        <w:pStyle w:val="1057"/>
        <w:ind w:left="0" w:firstLine="0"/>
        <w:jc w:val="center"/>
        <w:spacing w:line="700" w:lineRule="exact"/>
        <w:rPr>
          <w:rFonts w:eastAsia="黑体"/>
          <w:color w:val="000000"/>
          <w:highlight w:val="none"/>
        </w:rPr>
      </w:pPr>
      <w:r>
        <w:rPr>
          <w:rFonts w:hint="eastAsia" w:ascii="黑体" w:hAnsi="黑体" w:eastAsia="黑体" w:cs="宋体"/>
          <w:bCs/>
          <w:color w:val="000000"/>
          <w:sz w:val="36"/>
          <w:szCs w:val="36"/>
          <w:highlight w:val="none"/>
        </w:rPr>
        <w:t xml:space="preserve">盐城市招标代理有限公司</w:t>
      </w:r>
      <w:r>
        <w:rPr>
          <w:rFonts w:eastAsia="黑体"/>
          <w:color w:val="000000"/>
          <w:highlight w:val="none"/>
        </w:rPr>
      </w:r>
      <w:r/>
    </w:p>
    <w:p>
      <w:pPr>
        <w:pStyle w:val="1024"/>
        <w:jc w:val="center"/>
        <w:spacing w:line="700" w:lineRule="exact"/>
        <w:rPr>
          <w:rFonts w:ascii="黑体" w:eastAsia="黑体"/>
          <w:color w:val="000000"/>
          <w:sz w:val="36"/>
          <w:szCs w:val="36"/>
          <w:highlight w:val="none"/>
        </w:rPr>
      </w:pPr>
      <w:r>
        <w:rPr>
          <w:rFonts w:hint="eastAsia" w:ascii="黑体" w:eastAsia="黑体"/>
          <w:color w:val="000000"/>
          <w:sz w:val="36"/>
          <w:szCs w:val="36"/>
          <w:highlight w:val="none"/>
        </w:rPr>
        <w:t xml:space="preserve">2026</w:t>
      </w:r>
      <w:r>
        <w:rPr>
          <w:rFonts w:ascii="黑体" w:eastAsia="黑体"/>
          <w:color w:val="000000"/>
          <w:sz w:val="36"/>
          <w:szCs w:val="36"/>
          <w:highlight w:val="none"/>
        </w:rPr>
        <w:t xml:space="preserve">年9</w:t>
      </w:r>
      <w:r>
        <w:rPr>
          <w:rFonts w:ascii="黑体" w:eastAsia="黑体"/>
          <w:color w:val="000000"/>
          <w:sz w:val="36"/>
          <w:szCs w:val="36"/>
          <w:highlight w:val="none"/>
        </w:rPr>
        <w:t xml:space="preserve">月</w:t>
      </w:r>
      <w:r>
        <w:rPr>
          <w:rFonts w:ascii="黑体" w:eastAsia="黑体"/>
          <w:color w:val="000000"/>
          <w:sz w:val="36"/>
          <w:szCs w:val="36"/>
          <w:highlight w:val="none"/>
        </w:rPr>
      </w:r>
      <w:r/>
    </w:p>
    <w:p>
      <w:pPr>
        <w:pStyle w:val="1024"/>
        <w:jc w:val="center"/>
        <w:spacing w:line="480" w:lineRule="auto"/>
        <w:rPr>
          <w:rFonts w:ascii="黑体" w:hAnsi="Arial" w:eastAsia="黑体"/>
          <w:b/>
          <w:color w:val="000000"/>
          <w:sz w:val="44"/>
          <w:highlight w:val="none"/>
        </w:rPr>
        <w:sectPr>
          <w:headerReference w:type="default" r:id="rId9"/>
          <w:headerReference w:type="first" r:id="rId10"/>
          <w:footnotePr/>
          <w:endnotePr/>
          <w:type w:val="nextPage"/>
          <w:pgSz w:w="11906" w:h="16838" w:orient="portrait"/>
          <w:pgMar w:top="1440" w:right="1800" w:bottom="1440" w:left="1800" w:header="851" w:footer="992" w:gutter="0"/>
          <w:pgNumType w:start="1"/>
          <w:cols w:num="1" w:sep="0" w:space="1701" w:equalWidth="1"/>
          <w:docGrid w:linePitch="360"/>
        </w:sectPr>
        <w:outlineLvl w:val="0"/>
      </w:pPr>
      <w:r/>
      <w:bookmarkStart w:id="0" w:name="_Toc120614210"/>
      <w:r/>
      <w:bookmarkStart w:id="1" w:name="_Toc523127445"/>
      <w:r/>
      <w:bookmarkStart w:id="2" w:name="_Toc513029200"/>
      <w:r/>
      <w:bookmarkStart w:id="3" w:name="_Toc16938516"/>
      <w:r/>
      <w:bookmarkStart w:id="4" w:name="_Toc20823272"/>
      <w:r/>
      <w:bookmarkStart w:id="5" w:name="_Toc479757206"/>
      <w:r>
        <w:rPr>
          <w:rFonts w:ascii="黑体" w:hAnsi="Arial" w:eastAsia="黑体"/>
          <w:b/>
          <w:color w:val="000000"/>
          <w:sz w:val="44"/>
          <w:highlight w:val="none"/>
        </w:rPr>
      </w:r>
      <w:r/>
    </w:p>
    <w:p>
      <w:pPr>
        <w:pStyle w:val="1024"/>
        <w:jc w:val="center"/>
        <w:spacing w:line="480" w:lineRule="auto"/>
        <w:rPr>
          <w:rFonts w:ascii="方正小标宋_GBK" w:hAnsi="Arial" w:eastAsia="方正小标宋_GBK"/>
          <w:b/>
          <w:color w:val="000000"/>
          <w:sz w:val="44"/>
          <w:highlight w:val="none"/>
        </w:rPr>
        <w:outlineLvl w:val="0"/>
      </w:pPr>
      <w:r>
        <w:rPr>
          <w:rFonts w:hint="eastAsia" w:ascii="方正小标宋_GBK" w:hAnsi="Arial" w:eastAsia="方正小标宋_GBK"/>
          <w:b/>
          <w:color w:val="000000"/>
          <w:sz w:val="44"/>
          <w:highlight w:val="none"/>
        </w:rPr>
        <w:t xml:space="preserve">总</w:t>
      </w:r>
      <w:r>
        <w:rPr>
          <w:rFonts w:ascii="方正小标宋_GBK" w:hAnsi="Arial" w:eastAsia="方正小标宋_GBK"/>
          <w:b/>
          <w:color w:val="000000"/>
          <w:sz w:val="44"/>
          <w:highlight w:val="none"/>
        </w:rPr>
        <w:t xml:space="preserve">  </w:t>
      </w:r>
      <w:r>
        <w:rPr>
          <w:rFonts w:hint="eastAsia" w:ascii="方正小标宋_GBK" w:hAnsi="Arial" w:eastAsia="方正小标宋_GBK"/>
          <w:b/>
          <w:color w:val="000000"/>
          <w:sz w:val="44"/>
          <w:highlight w:val="none"/>
        </w:rPr>
        <w:t xml:space="preserve">目</w:t>
      </w:r>
      <w:r>
        <w:rPr>
          <w:rFonts w:ascii="方正小标宋_GBK" w:hAnsi="Arial" w:eastAsia="方正小标宋_GBK"/>
          <w:b/>
          <w:color w:val="000000"/>
          <w:sz w:val="44"/>
          <w:highlight w:val="none"/>
        </w:rPr>
        <w:t xml:space="preserve">  </w:t>
      </w:r>
      <w:r>
        <w:rPr>
          <w:rFonts w:hint="eastAsia" w:ascii="方正小标宋_GBK" w:hAnsi="Arial" w:eastAsia="方正小标宋_GBK"/>
          <w:b/>
          <w:color w:val="000000"/>
          <w:sz w:val="44"/>
          <w:highlight w:val="none"/>
        </w:rPr>
        <w:t xml:space="preserve">录</w:t>
      </w:r>
      <w:r>
        <w:rPr>
          <w:rFonts w:ascii="方正小标宋_GBK" w:hAnsi="Arial" w:eastAsia="方正小标宋_GBK"/>
          <w:b/>
          <w:color w:val="000000"/>
          <w:sz w:val="44"/>
          <w:highlight w:val="none"/>
        </w:rPr>
      </w:r>
      <w:r/>
    </w:p>
    <w:p>
      <w:pPr>
        <w:pStyle w:val="1024"/>
        <w:spacing w:line="480" w:lineRule="auto"/>
        <w:rPr>
          <w:rFonts w:ascii="仿宋_GB2312" w:hAnsi="Arial" w:eastAsia="仿宋_GB2312"/>
          <w:b/>
          <w:color w:val="000000"/>
          <w:sz w:val="28"/>
          <w:highlight w:val="none"/>
        </w:rPr>
      </w:pPr>
      <w:r>
        <w:rPr>
          <w:rFonts w:ascii="仿宋_GB2312" w:hAnsi="Arial" w:eastAsia="仿宋_GB2312"/>
          <w:b/>
          <w:color w:val="000000"/>
          <w:sz w:val="28"/>
          <w:highlight w:val="none"/>
        </w:rPr>
      </w:r>
      <w:r/>
    </w:p>
    <w:p>
      <w:pPr>
        <w:pStyle w:val="1024"/>
        <w:numPr>
          <w:ilvl w:val="0"/>
          <w:numId w:val="5"/>
        </w:numPr>
        <w:jc w:val="left"/>
        <w:tabs>
          <w:tab w:val="left" w:pos="1581" w:leader="none"/>
        </w:tabs>
        <w:rPr>
          <w:rFonts w:ascii="方正小标宋_GBK" w:hAnsi="Showcard Gothic" w:eastAsia="方正小标宋_GBK"/>
          <w:color w:val="000000"/>
          <w:sz w:val="32"/>
          <w:highlight w:val="none"/>
        </w:rPr>
        <w:outlineLvl w:val="0"/>
      </w:pPr>
      <w:r>
        <w:rPr>
          <w:rFonts w:hint="eastAsia" w:ascii="方正小标宋_GBK" w:hAnsi="宋体" w:eastAsia="方正小标宋_GBK"/>
          <w:color w:val="000000"/>
          <w:sz w:val="36"/>
          <w:highlight w:val="none"/>
        </w:rPr>
        <w:t xml:space="preserve">招标公告</w:t>
      </w:r>
      <w:r>
        <w:rPr>
          <w:rFonts w:hint="eastAsia" w:ascii="方正小标宋_GBK" w:hAnsi="Showcard Gothic" w:eastAsia="方正小标宋_GBK"/>
          <w:color w:val="000000"/>
          <w:sz w:val="36"/>
          <w:highlight w:val="none"/>
        </w:rPr>
        <w:t xml:space="preserve">…………………………………………</w:t>
      </w:r>
      <w:r>
        <w:rPr>
          <w:rFonts w:hint="eastAsia" w:eastAsia="方正小标宋_GBK"/>
          <w:color w:val="000000"/>
          <w:sz w:val="36"/>
          <w:highlight w:val="none"/>
        </w:rPr>
        <w:t xml:space="preserve">2</w:t>
      </w:r>
      <w:r>
        <w:rPr>
          <w:rFonts w:ascii="方正小标宋_GBK" w:hAnsi="Showcard Gothic" w:eastAsia="方正小标宋_GBK"/>
          <w:color w:val="000000"/>
          <w:sz w:val="32"/>
          <w:highlight w:val="none"/>
        </w:rPr>
      </w:r>
      <w:r/>
    </w:p>
    <w:p>
      <w:pPr>
        <w:pStyle w:val="1024"/>
        <w:numPr>
          <w:ilvl w:val="0"/>
          <w:numId w:val="5"/>
        </w:numPr>
        <w:jc w:val="left"/>
        <w:tabs>
          <w:tab w:val="left" w:pos="1581" w:leader="none"/>
        </w:tabs>
        <w:rPr>
          <w:rFonts w:ascii="方正小标宋_GBK" w:hAnsi="Showcard Gothic" w:eastAsia="方正小标宋_GBK"/>
          <w:color w:val="000000"/>
          <w:sz w:val="36"/>
          <w:highlight w:val="none"/>
        </w:rPr>
        <w:outlineLvl w:val="0"/>
      </w:pPr>
      <w:r>
        <w:rPr>
          <w:rFonts w:hint="eastAsia" w:ascii="方正小标宋_GBK" w:hAnsi="宋体" w:eastAsia="方正小标宋_GBK"/>
          <w:bCs/>
          <w:color w:val="000000"/>
          <w:sz w:val="36"/>
          <w:szCs w:val="36"/>
          <w:highlight w:val="none"/>
        </w:rPr>
        <w:t xml:space="preserve">投标人须知</w:t>
      </w:r>
      <w:r>
        <w:rPr>
          <w:rFonts w:hint="eastAsia" w:ascii="方正小标宋_GBK" w:hAnsi="Showcard Gothic" w:eastAsia="方正小标宋_GBK"/>
          <w:color w:val="000000"/>
          <w:sz w:val="36"/>
          <w:szCs w:val="36"/>
          <w:highlight w:val="none"/>
        </w:rPr>
        <w:t xml:space="preserve">…</w:t>
      </w:r>
      <w:r>
        <w:rPr>
          <w:rFonts w:hint="eastAsia" w:ascii="方正小标宋_GBK" w:hAnsi="Showcard Gothic" w:eastAsia="方正小标宋_GBK"/>
          <w:color w:val="000000"/>
          <w:sz w:val="36"/>
          <w:highlight w:val="none"/>
        </w:rPr>
        <w:t xml:space="preserve">……………………………………</w:t>
      </w:r>
      <w:r>
        <w:rPr>
          <w:rFonts w:hint="eastAsia" w:eastAsia="方正小标宋_GBK"/>
          <w:color w:val="000000"/>
          <w:sz w:val="36"/>
          <w:highlight w:val="none"/>
        </w:rPr>
        <w:t xml:space="preserve">5</w:t>
      </w:r>
      <w:r>
        <w:rPr>
          <w:rFonts w:ascii="方正小标宋_GBK" w:hAnsi="Showcard Gothic" w:eastAsia="方正小标宋_GBK"/>
          <w:color w:val="000000"/>
          <w:sz w:val="36"/>
          <w:highlight w:val="none"/>
        </w:rPr>
      </w:r>
      <w:r/>
    </w:p>
    <w:p>
      <w:pPr>
        <w:pStyle w:val="1024"/>
        <w:numPr>
          <w:ilvl w:val="0"/>
          <w:numId w:val="5"/>
        </w:numPr>
        <w:jc w:val="left"/>
        <w:tabs>
          <w:tab w:val="left" w:pos="1581" w:leader="none"/>
        </w:tabs>
        <w:rPr>
          <w:rFonts w:ascii="方正小标宋_GBK" w:hAnsi="Showcard Gothic" w:eastAsia="方正小标宋_GBK"/>
          <w:color w:val="000000"/>
          <w:sz w:val="36"/>
          <w:highlight w:val="none"/>
        </w:rPr>
        <w:outlineLvl w:val="0"/>
      </w:pPr>
      <w:r>
        <w:rPr>
          <w:rFonts w:hint="eastAsia" w:ascii="方正小标宋_GBK" w:hAnsi="宋体" w:eastAsia="方正小标宋_GBK"/>
          <w:color w:val="000000"/>
          <w:sz w:val="36"/>
          <w:highlight w:val="none"/>
        </w:rPr>
        <w:t xml:space="preserve">合同条款及格式</w:t>
      </w:r>
      <w:r>
        <w:rPr>
          <w:rFonts w:hint="eastAsia" w:ascii="方正小标宋_GBK" w:hAnsi="Showcard Gothic" w:eastAsia="方正小标宋_GBK"/>
          <w:color w:val="000000"/>
          <w:sz w:val="36"/>
          <w:highlight w:val="none"/>
        </w:rPr>
        <w:t xml:space="preserve">…………………………………</w:t>
      </w:r>
      <w:r>
        <w:rPr>
          <w:rFonts w:hint="eastAsia" w:eastAsia="方正小标宋_GBK"/>
          <w:color w:val="000000"/>
          <w:sz w:val="36"/>
          <w:highlight w:val="none"/>
        </w:rPr>
        <w:t xml:space="preserve">22</w:t>
      </w:r>
      <w:r>
        <w:rPr>
          <w:rFonts w:ascii="方正小标宋_GBK" w:hAnsi="Showcard Gothic" w:eastAsia="方正小标宋_GBK"/>
          <w:color w:val="000000"/>
          <w:sz w:val="36"/>
          <w:highlight w:val="none"/>
        </w:rPr>
      </w:r>
      <w:r/>
    </w:p>
    <w:p>
      <w:pPr>
        <w:pStyle w:val="1024"/>
        <w:numPr>
          <w:ilvl w:val="0"/>
          <w:numId w:val="5"/>
        </w:numPr>
        <w:jc w:val="left"/>
        <w:tabs>
          <w:tab w:val="left" w:pos="1581" w:leader="none"/>
        </w:tabs>
        <w:rPr>
          <w:rFonts w:ascii="方正小标宋_GBK" w:hAnsi="Showcard Gothic" w:eastAsia="方正小标宋_GBK"/>
          <w:color w:val="000000"/>
          <w:sz w:val="36"/>
          <w:highlight w:val="none"/>
        </w:rPr>
        <w:outlineLvl w:val="0"/>
      </w:pPr>
      <w:r>
        <w:rPr>
          <w:rFonts w:hint="eastAsia" w:ascii="方正小标宋_GBK" w:hAnsi="宋体" w:eastAsia="方正小标宋_GBK"/>
          <w:color w:val="000000"/>
          <w:sz w:val="36"/>
          <w:highlight w:val="none"/>
        </w:rPr>
        <w:t xml:space="preserve">项目需求</w:t>
      </w:r>
      <w:r>
        <w:rPr>
          <w:rFonts w:hint="eastAsia" w:ascii="方正小标宋_GBK" w:hAnsi="Showcard Gothic" w:eastAsia="方正小标宋_GBK"/>
          <w:color w:val="000000"/>
          <w:sz w:val="36"/>
          <w:highlight w:val="none"/>
        </w:rPr>
        <w:t xml:space="preserve">…………………………………………</w:t>
      </w:r>
      <w:r>
        <w:rPr>
          <w:rFonts w:hint="eastAsia" w:eastAsia="方正小标宋_GBK"/>
          <w:color w:val="000000"/>
          <w:sz w:val="36"/>
          <w:highlight w:val="none"/>
        </w:rPr>
        <w:t xml:space="preserve">33</w:t>
      </w:r>
      <w:r>
        <w:rPr>
          <w:rFonts w:ascii="方正小标宋_GBK" w:hAnsi="Showcard Gothic" w:eastAsia="方正小标宋_GBK"/>
          <w:color w:val="000000"/>
          <w:sz w:val="36"/>
          <w:highlight w:val="none"/>
        </w:rPr>
      </w:r>
      <w:r/>
    </w:p>
    <w:p>
      <w:pPr>
        <w:pStyle w:val="1024"/>
        <w:numPr>
          <w:ilvl w:val="0"/>
          <w:numId w:val="5"/>
        </w:numPr>
        <w:jc w:val="left"/>
        <w:tabs>
          <w:tab w:val="left" w:pos="1581" w:leader="none"/>
        </w:tabs>
        <w:rPr>
          <w:rFonts w:ascii="方正小标宋_GBK" w:hAnsi="Showcard Gothic" w:eastAsia="方正小标宋_GBK"/>
          <w:color w:val="000000"/>
          <w:sz w:val="36"/>
          <w:highlight w:val="none"/>
        </w:rPr>
        <w:outlineLvl w:val="0"/>
      </w:pPr>
      <w:r>
        <w:rPr>
          <w:rFonts w:hint="eastAsia" w:ascii="方正小标宋_GBK" w:hAnsi="宋体" w:eastAsia="方正小标宋_GBK"/>
          <w:bCs/>
          <w:color w:val="000000"/>
          <w:sz w:val="36"/>
          <w:szCs w:val="36"/>
          <w:highlight w:val="none"/>
        </w:rPr>
        <w:t xml:space="preserve">评标方法与评标标准</w:t>
      </w:r>
      <w:r>
        <w:rPr>
          <w:rFonts w:hint="eastAsia" w:ascii="方正小标宋_GBK" w:hAnsi="Showcard Gothic" w:eastAsia="方正小标宋_GBK"/>
          <w:color w:val="000000"/>
          <w:sz w:val="36"/>
          <w:highlight w:val="none"/>
        </w:rPr>
        <w:t xml:space="preserve">……………………………</w:t>
      </w:r>
      <w:r>
        <w:rPr>
          <w:rFonts w:hint="eastAsia" w:eastAsia="方正小标宋_GBK"/>
          <w:color w:val="000000"/>
          <w:sz w:val="36"/>
          <w:highlight w:val="none"/>
        </w:rPr>
        <w:t xml:space="preserve">42</w:t>
      </w:r>
      <w:r>
        <w:rPr>
          <w:rFonts w:ascii="方正小标宋_GBK" w:hAnsi="Showcard Gothic" w:eastAsia="方正小标宋_GBK"/>
          <w:color w:val="000000"/>
          <w:sz w:val="36"/>
          <w:highlight w:val="none"/>
        </w:rPr>
      </w:r>
      <w:r/>
    </w:p>
    <w:p>
      <w:pPr>
        <w:pStyle w:val="1024"/>
        <w:numPr>
          <w:ilvl w:val="0"/>
          <w:numId w:val="5"/>
        </w:numPr>
        <w:jc w:val="left"/>
        <w:tabs>
          <w:tab w:val="left" w:pos="1581" w:leader="none"/>
        </w:tabs>
        <w:rPr>
          <w:rFonts w:ascii="方正小标宋_GBK" w:hAnsi="Showcard Gothic" w:eastAsia="方正小标宋_GBK"/>
          <w:color w:val="000000"/>
          <w:sz w:val="36"/>
          <w:highlight w:val="none"/>
        </w:rPr>
        <w:outlineLvl w:val="0"/>
      </w:pPr>
      <w:r>
        <w:rPr>
          <w:rFonts w:hint="eastAsia" w:ascii="方正小标宋_GBK" w:hAnsi="宋体" w:eastAsia="方正小标宋_GBK"/>
          <w:color w:val="000000"/>
          <w:sz w:val="36"/>
          <w:highlight w:val="none"/>
        </w:rPr>
        <w:t xml:space="preserve">投标文件格式</w:t>
      </w:r>
      <w:r>
        <w:rPr>
          <w:rFonts w:hint="eastAsia" w:ascii="方正小标宋_GBK" w:hAnsi="Showcard Gothic" w:eastAsia="方正小标宋_GBK"/>
          <w:color w:val="000000"/>
          <w:sz w:val="36"/>
          <w:highlight w:val="none"/>
        </w:rPr>
        <w:t xml:space="preserve">……………………………………</w:t>
      </w:r>
      <w:r>
        <w:rPr>
          <w:rFonts w:hint="eastAsia" w:eastAsia="方正小标宋_GBK"/>
          <w:color w:val="000000"/>
          <w:sz w:val="36"/>
          <w:highlight w:val="none"/>
        </w:rPr>
        <w:t xml:space="preserve">46</w:t>
      </w:r>
      <w:r>
        <w:rPr>
          <w:rFonts w:ascii="方正小标宋_GBK" w:hAnsi="Showcard Gothic" w:eastAsia="方正小标宋_GBK"/>
          <w:color w:val="000000"/>
          <w:sz w:val="36"/>
          <w:highlight w:val="none"/>
        </w:rPr>
      </w:r>
      <w:r/>
    </w:p>
    <w:p>
      <w:pPr>
        <w:pStyle w:val="1025"/>
        <w:rPr>
          <w:rFonts w:ascii="黑体" w:eastAsia="黑体"/>
          <w:bCs/>
          <w:color w:val="000000"/>
          <w:sz w:val="44"/>
          <w:highlight w:val="none"/>
        </w:rPr>
      </w:pPr>
      <w:r>
        <w:rPr>
          <w:rFonts w:ascii="黑体" w:eastAsia="黑体"/>
          <w:bCs/>
          <w:color w:val="000000"/>
          <w:sz w:val="44"/>
          <w:highlight w:val="none"/>
        </w:rPr>
      </w:r>
      <w:r/>
    </w:p>
    <w:p>
      <w:pPr>
        <w:pStyle w:val="1025"/>
        <w:rPr>
          <w:rFonts w:ascii="黑体" w:eastAsia="黑体"/>
          <w:bCs/>
          <w:color w:val="000000"/>
          <w:sz w:val="44"/>
          <w:highlight w:val="none"/>
        </w:rPr>
      </w:pPr>
      <w:r>
        <w:rPr>
          <w:rFonts w:ascii="黑体" w:eastAsia="黑体"/>
          <w:bCs/>
          <w:color w:val="000000"/>
          <w:sz w:val="44"/>
          <w:highlight w:val="none"/>
        </w:rPr>
      </w:r>
      <w:r/>
    </w:p>
    <w:p>
      <w:pPr>
        <w:pStyle w:val="1024"/>
        <w:rPr>
          <w:color w:val="000000"/>
          <w:highlight w:val="none"/>
        </w:rPr>
      </w:pPr>
      <w:r>
        <w:rPr>
          <w:color w:val="000000"/>
          <w:highlight w:val="none"/>
        </w:rPr>
      </w:r>
      <w:r/>
    </w:p>
    <w:p>
      <w:pPr>
        <w:pStyle w:val="1024"/>
        <w:rPr>
          <w:color w:val="000000"/>
          <w:highlight w:val="none"/>
        </w:rPr>
      </w:pPr>
      <w:r>
        <w:rPr>
          <w:color w:val="000000"/>
          <w:highlight w:val="none"/>
        </w:rPr>
      </w:r>
      <w:r/>
    </w:p>
    <w:p>
      <w:pPr>
        <w:pStyle w:val="1024"/>
        <w:rPr>
          <w:color w:val="000000"/>
          <w:highlight w:val="none"/>
        </w:rPr>
      </w:pPr>
      <w:r>
        <w:rPr>
          <w:color w:val="000000"/>
          <w:highlight w:val="none"/>
        </w:rPr>
      </w:r>
      <w:r/>
    </w:p>
    <w:p>
      <w:pPr>
        <w:pStyle w:val="1024"/>
        <w:rPr>
          <w:color w:val="000000"/>
          <w:highlight w:val="none"/>
        </w:rPr>
      </w:pPr>
      <w:r>
        <w:rPr>
          <w:color w:val="000000"/>
          <w:highlight w:val="none"/>
        </w:rPr>
      </w:r>
      <w:r/>
    </w:p>
    <w:p>
      <w:pPr>
        <w:pStyle w:val="1024"/>
        <w:rPr>
          <w:color w:val="000000"/>
          <w:highlight w:val="none"/>
        </w:rPr>
      </w:pPr>
      <w:r>
        <w:rPr>
          <w:color w:val="000000"/>
          <w:highlight w:val="none"/>
        </w:rPr>
      </w:r>
      <w:r/>
    </w:p>
    <w:p>
      <w:pPr>
        <w:pStyle w:val="1024"/>
        <w:rPr>
          <w:color w:val="000000"/>
          <w:highlight w:val="none"/>
        </w:rPr>
      </w:pPr>
      <w:r>
        <w:rPr>
          <w:color w:val="000000"/>
          <w:highlight w:val="none"/>
        </w:rPr>
      </w:r>
      <w:r/>
    </w:p>
    <w:p>
      <w:pPr>
        <w:pStyle w:val="1024"/>
        <w:rPr>
          <w:color w:val="000000"/>
          <w:highlight w:val="none"/>
        </w:rPr>
      </w:pPr>
      <w:r>
        <w:rPr>
          <w:color w:val="000000"/>
          <w:highlight w:val="none"/>
        </w:rPr>
      </w:r>
      <w:r/>
    </w:p>
    <w:p>
      <w:pPr>
        <w:pStyle w:val="1024"/>
        <w:rPr>
          <w:color w:val="000000"/>
          <w:highlight w:val="none"/>
        </w:rPr>
        <w:sectPr>
          <w:headerReference w:type="default" r:id="rId11"/>
          <w:footerReference w:type="default" r:id="rId13"/>
          <w:footerReference w:type="first" r:id="rId14"/>
          <w:footnotePr/>
          <w:endnotePr/>
          <w:type w:val="nextPage"/>
          <w:pgSz w:w="11906" w:h="16838" w:orient="portrait"/>
          <w:pgMar w:top="1440" w:right="1083" w:bottom="1440" w:left="1083" w:header="851" w:footer="907" w:gutter="0"/>
          <w:pgNumType w:start="1"/>
          <w:cols w:num="1" w:sep="0" w:space="1701" w:equalWidth="1"/>
          <w:docGrid w:linePitch="360"/>
        </w:sectPr>
      </w:pPr>
      <w:r>
        <w:rPr>
          <w:color w:val="000000"/>
          <w:highlight w:val="none"/>
        </w:rPr>
      </w:r>
      <w:r/>
    </w:p>
    <w:p>
      <w:pPr>
        <w:pStyle w:val="1025"/>
        <w:rPr>
          <w:rFonts w:ascii="黑体" w:eastAsia="黑体"/>
          <w:bCs/>
          <w:color w:val="000000"/>
          <w:sz w:val="44"/>
          <w:szCs w:val="44"/>
          <w:highlight w:val="none"/>
        </w:rPr>
      </w:pPr>
      <w:r>
        <w:rPr>
          <w:rFonts w:hint="eastAsia" w:ascii="黑体" w:eastAsia="黑体"/>
          <w:color w:val="000000"/>
          <w:sz w:val="44"/>
          <w:szCs w:val="44"/>
          <w:highlight w:val="none"/>
        </w:rPr>
        <w:t xml:space="preserve">第一章  </w:t>
      </w:r>
      <w:bookmarkEnd w:id="0"/>
      <w:r>
        <w:rPr>
          <w:rFonts w:hint="eastAsia" w:ascii="黑体" w:eastAsia="黑体"/>
          <w:color w:val="000000"/>
          <w:sz w:val="44"/>
          <w:szCs w:val="44"/>
          <w:highlight w:val="none"/>
        </w:rPr>
        <w:t xml:space="preserve">招标公告</w:t>
      </w:r>
      <w:r>
        <w:rPr>
          <w:rFonts w:ascii="黑体" w:eastAsia="黑体"/>
          <w:bCs/>
          <w:color w:val="000000"/>
          <w:sz w:val="44"/>
          <w:szCs w:val="44"/>
          <w:highlight w:val="none"/>
        </w:rPr>
      </w:r>
      <w:r/>
    </w:p>
    <w:p>
      <w:pPr>
        <w:pStyle w:val="1024"/>
        <w:ind w:firstLine="480"/>
        <w:spacing w:line="460" w:lineRule="exact"/>
        <w:rPr>
          <w:rFonts w:ascii="宋体" w:hAnsi="宋体" w:cs="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szCs w:val="24"/>
          <w:highlight w:val="none"/>
        </w:rPr>
        <w:t xml:space="preserve">项目概况</w:t>
      </w:r>
      <w:r>
        <w:rPr>
          <w:rFonts w:ascii="宋体" w:hAnsi="宋体" w:cs="宋体"/>
          <w:color w:val="000000"/>
          <w:sz w:val="24"/>
          <w:szCs w:val="24"/>
          <w:highlight w:val="none"/>
        </w:rPr>
      </w:r>
      <w:r/>
    </w:p>
    <w:p>
      <w:pPr>
        <w:pStyle w:val="1024"/>
        <w:ind w:firstLine="480"/>
        <w:spacing w:line="460" w:lineRule="exact"/>
        <w:rPr>
          <w:rFonts w:ascii="宋体" w:hAnsi="宋体" w:cs="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Cs/>
          <w:color w:val="000000"/>
          <w:sz w:val="24"/>
          <w:szCs w:val="24"/>
          <w:highlight w:val="none"/>
          <w:u w:val="single"/>
        </w:rPr>
        <w:t xml:space="preserve">2026年盐城市普通国省道小修保养及应急养护工程全过程造价控制及竣工决算审计</w:t>
      </w:r>
      <w:r>
        <w:rPr>
          <w:rFonts w:hint="eastAsia" w:ascii="宋体" w:hAnsi="宋体" w:cs="宋体"/>
          <w:color w:val="000000"/>
          <w:sz w:val="24"/>
          <w:szCs w:val="24"/>
          <w:highlight w:val="none"/>
        </w:rPr>
        <w:t xml:space="preserve">的潜在投标人应在</w:t>
      </w:r>
      <w:r>
        <w:rPr>
          <w:rFonts w:hint="eastAsia" w:ascii="宋体" w:hAnsi="宋体" w:cs="宋体"/>
          <w:color w:val="000000"/>
          <w:sz w:val="24"/>
          <w:szCs w:val="24"/>
          <w:highlight w:val="none"/>
          <w:u w:val="single"/>
        </w:rPr>
        <w:t xml:space="preserve">“</w:t>
      </w:r>
      <w:r>
        <w:rPr>
          <w:rFonts w:hint="eastAsia" w:ascii="宋体" w:hAnsi="宋体" w:cs="宋体"/>
          <w:bCs/>
          <w:color w:val="000000"/>
          <w:sz w:val="24"/>
          <w:szCs w:val="24"/>
          <w:highlight w:val="none"/>
          <w:u w:val="single"/>
        </w:rPr>
        <w:t xml:space="preserve">苏采云”系统内免费下载（投标人必须在苏采云系统中获取采购文件，方能参与政府采购项目）</w:t>
      </w:r>
      <w:r>
        <w:rPr>
          <w:rFonts w:hint="eastAsia" w:ascii="宋体" w:hAnsi="宋体" w:cs="宋体"/>
          <w:color w:val="000000"/>
          <w:sz w:val="24"/>
          <w:szCs w:val="24"/>
          <w:highlight w:val="none"/>
        </w:rPr>
        <w:t xml:space="preserve">获取招标文件，并于</w:t>
      </w:r>
      <w:r>
        <w:rPr>
          <w:rFonts w:hint="eastAsia" w:ascii="宋体" w:hAnsi="宋体" w:cs="宋体"/>
          <w:b/>
          <w:bCs/>
          <w:color w:val="000000"/>
          <w:sz w:val="24"/>
          <w:szCs w:val="24"/>
          <w:highlight w:val="none"/>
          <w:u w:val="single"/>
        </w:rPr>
        <w:t xml:space="preserve">2026年</w:t>
      </w:r>
      <w:r>
        <w:rPr>
          <w:rFonts w:hint="eastAsia" w:ascii="宋体" w:hAnsi="宋体" w:cs="宋体"/>
          <w:b/>
          <w:bCs/>
          <w:color w:val="000000"/>
          <w:sz w:val="24"/>
          <w:szCs w:val="24"/>
          <w:highlight w:val="none"/>
          <w:u w:val="single"/>
          <w:lang w:val="en-US" w:eastAsia="zh-CN"/>
        </w:rPr>
        <w:t xml:space="preserve">9</w:t>
      </w:r>
      <w:r>
        <w:rPr>
          <w:rFonts w:hint="eastAsia" w:ascii="宋体" w:hAnsi="宋体" w:cs="宋体"/>
          <w:b/>
          <w:bCs/>
          <w:color w:val="000000"/>
          <w:sz w:val="24"/>
          <w:szCs w:val="24"/>
          <w:highlight w:val="none"/>
          <w:u w:val="single"/>
        </w:rPr>
        <w:t xml:space="preserve">月</w:t>
      </w:r>
      <w:r>
        <w:rPr>
          <w:rFonts w:hint="eastAsia" w:ascii="宋体" w:hAnsi="宋体" w:cs="宋体"/>
          <w:b/>
          <w:bCs/>
          <w:color w:val="000000"/>
          <w:sz w:val="24"/>
          <w:szCs w:val="24"/>
          <w:highlight w:val="none"/>
          <w:u w:val="single"/>
          <w:lang w:val="en-US" w:eastAsia="zh-CN"/>
        </w:rPr>
        <w:t xml:space="preserve">23</w:t>
      </w:r>
      <w:r>
        <w:rPr>
          <w:rFonts w:hint="eastAsia" w:ascii="宋体" w:hAnsi="宋体" w:cs="宋体"/>
          <w:b/>
          <w:bCs/>
          <w:color w:val="000000"/>
          <w:sz w:val="24"/>
          <w:szCs w:val="24"/>
          <w:highlight w:val="none"/>
          <w:u w:val="single"/>
        </w:rPr>
        <w:t xml:space="preserve">日</w:t>
      </w:r>
      <w:r>
        <w:rPr>
          <w:rFonts w:hint="eastAsia" w:ascii="宋体" w:hAnsi="宋体" w:cs="宋体"/>
          <w:b/>
          <w:bCs/>
          <w:color w:val="000000"/>
          <w:sz w:val="24"/>
          <w:szCs w:val="24"/>
          <w:highlight w:val="none"/>
          <w:u w:val="single"/>
          <w:lang w:val="en-US" w:eastAsia="zh-CN"/>
        </w:rPr>
        <w:t xml:space="preserve">1</w:t>
      </w:r>
      <w:r>
        <w:rPr>
          <w:rFonts w:hint="eastAsia" w:ascii="宋体" w:hAnsi="宋体" w:cs="宋体"/>
          <w:b/>
          <w:bCs/>
          <w:color w:val="000000"/>
          <w:sz w:val="24"/>
          <w:szCs w:val="24"/>
          <w:highlight w:val="none"/>
          <w:u w:val="single"/>
          <w:lang w:val="en-US" w:eastAsia="zh-CN"/>
        </w:rPr>
        <w:t xml:space="preserve">5</w:t>
      </w:r>
      <w:r>
        <w:rPr>
          <w:rFonts w:hint="eastAsia" w:ascii="宋体" w:hAnsi="宋体" w:cs="宋体"/>
          <w:b/>
          <w:bCs/>
          <w:color w:val="000000"/>
          <w:sz w:val="24"/>
          <w:szCs w:val="24"/>
          <w:highlight w:val="none"/>
          <w:u w:val="single"/>
        </w:rPr>
        <w:t xml:space="preserve">时 00 分</w:t>
      </w:r>
      <w:r>
        <w:rPr>
          <w:rFonts w:hint="eastAsia" w:ascii="宋体" w:hAnsi="宋体" w:cs="宋体"/>
          <w:bCs/>
          <w:color w:val="000000"/>
          <w:sz w:val="24"/>
          <w:szCs w:val="24"/>
          <w:highlight w:val="none"/>
          <w:u w:val="single"/>
        </w:rPr>
        <w:t xml:space="preserve">（北京时间）</w:t>
      </w:r>
      <w:r>
        <w:rPr>
          <w:rFonts w:hint="eastAsia" w:ascii="宋体" w:hAnsi="宋体" w:cs="宋体"/>
          <w:bCs/>
          <w:color w:val="000000"/>
          <w:sz w:val="24"/>
          <w:szCs w:val="24"/>
          <w:highlight w:val="none"/>
        </w:rPr>
        <w:t xml:space="preserve">前递交投标文件</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r>
      <w:r/>
    </w:p>
    <w:p>
      <w:pPr>
        <w:pStyle w:val="1025"/>
        <w:jc w:val="left"/>
        <w:spacing w:line="460" w:lineRule="exact"/>
        <w:tabs>
          <w:tab w:val="left" w:pos="0" w:leader="none"/>
          <w:tab w:val="left" w:pos="3165" w:leader="none"/>
          <w:tab w:val="center" w:pos="4153" w:leader="none"/>
        </w:tabs>
        <w:rPr>
          <w:rFonts w:ascii="宋体" w:hAnsi="宋体" w:eastAsia="宋体" w:cs="宋体"/>
          <w:b/>
          <w:bCs/>
          <w:color w:val="000000"/>
          <w:sz w:val="24"/>
          <w:szCs w:val="24"/>
          <w:highlight w:val="none"/>
        </w:rPr>
      </w:pPr>
      <w:r/>
      <w:bookmarkStart w:id="6" w:name="_Toc35393621"/>
      <w:r/>
      <w:bookmarkStart w:id="7" w:name="_Toc35393790"/>
      <w:r/>
      <w:bookmarkStart w:id="8" w:name="_Toc28359079"/>
      <w:r/>
      <w:bookmarkStart w:id="9" w:name="_Toc28359002"/>
      <w:r/>
      <w:bookmarkStart w:id="10" w:name="_Hlk24379207"/>
      <w:r>
        <w:rPr>
          <w:rFonts w:hint="eastAsia" w:ascii="宋体" w:hAnsi="宋体" w:eastAsia="宋体" w:cs="宋体"/>
          <w:b/>
          <w:bCs/>
          <w:color w:val="000000"/>
          <w:sz w:val="24"/>
          <w:szCs w:val="24"/>
          <w:highlight w:val="none"/>
        </w:rPr>
        <w:t xml:space="preserve">一、项目基本情况</w:t>
      </w:r>
      <w:bookmarkEnd w:id="6"/>
      <w:r/>
      <w:bookmarkEnd w:id="7"/>
      <w:r/>
      <w:bookmarkEnd w:id="8"/>
      <w:r/>
      <w:bookmarkEnd w:id="9"/>
      <w:r>
        <w:rPr>
          <w:rFonts w:ascii="宋体" w:hAnsi="宋体" w:eastAsia="宋体" w:cs="宋体"/>
          <w:b/>
          <w:bCs/>
          <w:color w:val="000000"/>
          <w:sz w:val="24"/>
          <w:szCs w:val="24"/>
          <w:highlight w:val="none"/>
        </w:rPr>
      </w:r>
      <w:r/>
    </w:p>
    <w:p>
      <w:pPr>
        <w:pStyle w:val="1024"/>
        <w:ind w:firstLine="360"/>
        <w:spacing w:line="460" w:lineRule="exact"/>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rPr>
        <w:t xml:space="preserve">1.项目编号</w:t>
      </w:r>
      <w:r>
        <w:rPr>
          <w:rFonts w:hint="eastAsia" w:ascii="宋体" w:hAnsi="宋体" w:eastAsia="宋体" w:cs="宋体"/>
          <w:color w:val="000000"/>
          <w:sz w:val="24"/>
          <w:szCs w:val="24"/>
          <w:highlight w:val="none"/>
        </w:rPr>
        <w:t xml:space="preserve">：</w:t>
      </w:r>
      <w:bookmarkEnd w:id="10"/>
      <w:r>
        <w:rPr>
          <w:rFonts w:hint="eastAsia" w:ascii="宋体" w:hAnsi="宋体" w:eastAsia="宋体" w:cs="宋体"/>
          <w:color w:val="000000"/>
          <w:sz w:val="24"/>
          <w:szCs w:val="24"/>
          <w:highlight w:val="none"/>
        </w:rPr>
        <w:t xml:space="preserve">JSZC-320900-SZDL-G2026-0015</w:t>
      </w:r>
      <w:r>
        <w:rPr>
          <w:rFonts w:hint="eastAsia" w:ascii="宋体" w:hAnsi="宋体" w:eastAsia="宋体" w:cs="宋体"/>
          <w:color w:val="000000"/>
          <w:sz w:val="24"/>
          <w:szCs w:val="24"/>
          <w:highlight w:val="none"/>
        </w:rPr>
      </w:r>
      <w:r/>
    </w:p>
    <w:p>
      <w:pPr>
        <w:pStyle w:val="1024"/>
        <w:ind w:firstLine="36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2.项目名称：2026年盐城市普通国省道小修保养及应急养护工程全过程造价控制及竣工决算审计</w:t>
      </w:r>
      <w:r>
        <w:rPr>
          <w:rFonts w:hint="eastAsia" w:ascii="宋体" w:hAnsi="宋体" w:cs="宋体"/>
          <w:color w:val="000000"/>
          <w:sz w:val="24"/>
          <w:szCs w:val="24"/>
          <w:highlight w:val="none"/>
        </w:rPr>
      </w:r>
      <w:r/>
    </w:p>
    <w:p>
      <w:pPr>
        <w:pStyle w:val="1024"/>
        <w:ind w:firstLine="36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3.采购方式：公开招标</w:t>
      </w:r>
      <w:r>
        <w:rPr>
          <w:rFonts w:ascii="宋体" w:hAnsi="宋体" w:cs="宋体"/>
          <w:color w:val="000000"/>
          <w:sz w:val="24"/>
          <w:szCs w:val="24"/>
          <w:highlight w:val="none"/>
        </w:rPr>
      </w:r>
      <w:r/>
    </w:p>
    <w:p>
      <w:pPr>
        <w:pStyle w:val="1024"/>
        <w:ind w:firstLine="36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4.预算金额：153.7万元（采购包1：51.6万元；采购包2：54.1万元；采购包3：48万元）。</w:t>
      </w:r>
      <w:r>
        <w:rPr>
          <w:rFonts w:hint="eastAsia" w:ascii="宋体" w:hAnsi="宋体" w:cs="宋体"/>
          <w:color w:val="000000"/>
          <w:sz w:val="24"/>
          <w:szCs w:val="24"/>
          <w:highlight w:val="none"/>
        </w:rPr>
      </w:r>
      <w:r/>
    </w:p>
    <w:p>
      <w:pPr>
        <w:pStyle w:val="1024"/>
        <w:ind w:firstLine="360"/>
        <w:spacing w:line="460" w:lineRule="exact"/>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rPr>
        <w:t xml:space="preserve">5.最高</w:t>
      </w:r>
      <w:r>
        <w:rPr>
          <w:rFonts w:hint="eastAsia" w:ascii="宋体" w:hAnsi="宋体" w:eastAsia="宋体" w:cs="宋体"/>
          <w:color w:val="000000"/>
          <w:sz w:val="24"/>
          <w:szCs w:val="24"/>
          <w:highlight w:val="none"/>
        </w:rPr>
        <w:t xml:space="preserve">限价：采购标包1最高限价48.6万元；采购标包2最高限价48.5万元；采购标包3最高限价38.3万元。报价超过最高限价的为无效报价，按照无效响应处理。</w:t>
      </w:r>
      <w:r>
        <w:rPr>
          <w:rFonts w:hint="eastAsia" w:ascii="宋体" w:hAnsi="宋体" w:eastAsia="宋体" w:cs="宋体"/>
          <w:color w:val="000000"/>
          <w:sz w:val="24"/>
          <w:szCs w:val="24"/>
          <w:highlight w:val="none"/>
        </w:rPr>
      </w:r>
      <w:r/>
    </w:p>
    <w:p>
      <w:pPr>
        <w:pStyle w:val="1024"/>
        <w:ind w:firstLine="36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采购内容：本项目为2026年盐城市普通国省道小修保养及应急养护工程全过程跟踪审核（含结算审核）服务，项目主要建设内容包括公路日常巡查、桥梁日常巡查、边坡整修、路肩割草、路面清扫保洁等基价类项目和路基、路面、桥梁、沿线设施、绿化等养护单价类项目以及应急养护工程，总投资约2.1178亿元。供应商负责独立公正地开展协审工作，协审内容主要为全过程跟踪审核（含结算审核）。具体详见招标文件“第四章 项目需求”。</w:t>
      </w:r>
      <w:r>
        <w:rPr>
          <w:rFonts w:hint="eastAsia" w:ascii="宋体" w:hAnsi="宋体" w:eastAsia="宋体" w:cs="宋体"/>
          <w:color w:val="000000"/>
          <w:sz w:val="24"/>
          <w:szCs w:val="24"/>
          <w:highlight w:val="none"/>
        </w:rPr>
      </w:r>
      <w:r/>
    </w:p>
    <w:p>
      <w:pPr>
        <w:pStyle w:val="1024"/>
        <w:ind w:firstLine="360"/>
        <w:spacing w:line="460" w:lineRule="exact"/>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rPr>
        <w:t xml:space="preserve">7.合同履行期限（服务期）：施工工期约为365天，从合同签订</w:t>
      </w:r>
      <w:r>
        <w:rPr>
          <w:rFonts w:hint="eastAsia" w:ascii="宋体" w:hAnsi="宋体" w:cs="宋体"/>
          <w:color w:val="000000"/>
          <w:sz w:val="24"/>
          <w:szCs w:val="24"/>
          <w:highlight w:val="none"/>
        </w:rPr>
        <w:t xml:space="preserve">之日起至整个项目竣工验收合格，同时移交全部审计资料至采购人为止。</w:t>
      </w:r>
      <w:r>
        <w:rPr>
          <w:rFonts w:hint="eastAsia" w:ascii="宋体" w:hAnsi="宋体" w:cs="宋体"/>
          <w:color w:val="000000"/>
          <w:sz w:val="24"/>
          <w:szCs w:val="24"/>
          <w:highlight w:val="none"/>
        </w:rPr>
      </w:r>
      <w:r/>
    </w:p>
    <w:p>
      <w:pPr>
        <w:pStyle w:val="1024"/>
        <w:ind w:firstLine="36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8.本项目</w:t>
      </w:r>
      <w:r>
        <w:rPr>
          <w:rFonts w:hint="eastAsia" w:ascii="宋体" w:hAnsi="宋体" w:cs="宋体"/>
          <w:color w:val="000000"/>
          <w:sz w:val="24"/>
          <w:szCs w:val="24"/>
          <w:highlight w:val="none"/>
          <w:u w:val="single"/>
        </w:rPr>
        <w:t xml:space="preserve">不接受</w:t>
      </w:r>
      <w:r>
        <w:rPr>
          <w:rFonts w:hint="eastAsia" w:ascii="宋体" w:hAnsi="宋体" w:cs="宋体"/>
          <w:color w:val="000000"/>
          <w:sz w:val="24"/>
          <w:szCs w:val="24"/>
          <w:highlight w:val="none"/>
        </w:rPr>
        <w:t xml:space="preserve">联合体投标。</w:t>
      </w:r>
      <w:r>
        <w:rPr>
          <w:rFonts w:ascii="宋体" w:hAnsi="宋体" w:cs="宋体"/>
          <w:color w:val="000000"/>
          <w:sz w:val="24"/>
          <w:szCs w:val="24"/>
          <w:highlight w:val="none"/>
        </w:rPr>
      </w:r>
      <w:r/>
    </w:p>
    <w:p>
      <w:pPr>
        <w:pStyle w:val="1025"/>
        <w:jc w:val="left"/>
        <w:spacing w:line="460" w:lineRule="exact"/>
        <w:tabs>
          <w:tab w:val="left" w:pos="0" w:leader="none"/>
          <w:tab w:val="left" w:pos="3165" w:leader="none"/>
          <w:tab w:val="center" w:pos="4153" w:leader="none"/>
        </w:tabs>
        <w:rPr>
          <w:rFonts w:ascii="宋体" w:hAnsi="宋体" w:eastAsia="宋体" w:cs="宋体"/>
          <w:b/>
          <w:bCs/>
          <w:color w:val="000000"/>
          <w:sz w:val="24"/>
          <w:szCs w:val="24"/>
          <w:highlight w:val="none"/>
        </w:rPr>
      </w:pPr>
      <w:r/>
      <w:bookmarkStart w:id="11" w:name="_Toc35393791"/>
      <w:r/>
      <w:bookmarkStart w:id="12" w:name="_Toc35393622"/>
      <w:r/>
      <w:bookmarkStart w:id="13" w:name="_Toc28359080"/>
      <w:r/>
      <w:bookmarkStart w:id="14" w:name="_Toc28359003"/>
      <w:r>
        <w:rPr>
          <w:rFonts w:hint="eastAsia" w:ascii="宋体" w:hAnsi="宋体" w:eastAsia="宋体" w:cs="宋体"/>
          <w:b/>
          <w:bCs/>
          <w:color w:val="000000"/>
          <w:sz w:val="24"/>
          <w:szCs w:val="24"/>
          <w:highlight w:val="none"/>
        </w:rPr>
        <w:t xml:space="preserve">二、投标人的资格要求：</w:t>
      </w:r>
      <w:bookmarkEnd w:id="11"/>
      <w:r/>
      <w:bookmarkEnd w:id="12"/>
      <w:r/>
      <w:bookmarkEnd w:id="13"/>
      <w:r/>
      <w:bookmarkEnd w:id="14"/>
      <w:r>
        <w:rPr>
          <w:rFonts w:ascii="宋体" w:hAnsi="宋体" w:eastAsia="宋体" w:cs="宋体"/>
          <w:b/>
          <w:bCs/>
          <w:color w:val="000000"/>
          <w:sz w:val="24"/>
          <w:szCs w:val="24"/>
          <w:highlight w:val="none"/>
        </w:rPr>
      </w:r>
      <w:r/>
    </w:p>
    <w:p>
      <w:pPr>
        <w:pStyle w:val="1024"/>
        <w:ind w:firstLine="480"/>
        <w:spacing w:line="460" w:lineRule="exact"/>
        <w:rPr>
          <w:rFonts w:hint="eastAsia" w:ascii="宋体" w:hAnsi="宋体" w:cs="宋体"/>
          <w:color w:val="000000"/>
          <w:sz w:val="24"/>
          <w:szCs w:val="24"/>
          <w:highlight w:val="none"/>
        </w:rPr>
      </w:pPr>
      <w:r/>
      <w:bookmarkStart w:id="15" w:name="_Toc35393792"/>
      <w:r/>
      <w:bookmarkStart w:id="16" w:name="_Toc28359004"/>
      <w:r/>
      <w:bookmarkStart w:id="17" w:name="_Toc28359081"/>
      <w:r/>
      <w:bookmarkStart w:id="18" w:name="_Toc35393623"/>
      <w:r>
        <w:rPr>
          <w:rFonts w:hint="eastAsia" w:ascii="宋体" w:hAnsi="宋体" w:cs="宋体"/>
          <w:color w:val="000000"/>
          <w:sz w:val="24"/>
          <w:szCs w:val="24"/>
          <w:highlight w:val="none"/>
        </w:rPr>
        <w:t xml:space="preserve">（一）满足《中华人民共和国政府采购法》第二十二条规定，并提供下列材料；</w:t>
      </w:r>
      <w:r>
        <w:rPr>
          <w:rFonts w:hint="eastAsia" w:ascii="宋体" w:hAnsi="宋体" w:cs="宋体"/>
          <w:color w:val="000000"/>
          <w:sz w:val="24"/>
          <w:szCs w:val="24"/>
          <w:highlight w:val="none"/>
        </w:rPr>
      </w:r>
      <w:r/>
    </w:p>
    <w:p>
      <w:pPr>
        <w:pStyle w:val="1024"/>
        <w:ind w:firstLine="60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1.法人或者其他组织的营业执照等证明文件，自然人的身份证明。</w:t>
      </w:r>
      <w:r>
        <w:rPr>
          <w:rFonts w:hint="eastAsia" w:ascii="宋体" w:hAnsi="宋体" w:cs="宋体"/>
          <w:color w:val="000000"/>
          <w:sz w:val="24"/>
          <w:szCs w:val="24"/>
          <w:highlight w:val="none"/>
        </w:rPr>
      </w:r>
      <w:r/>
    </w:p>
    <w:p>
      <w:pPr>
        <w:pStyle w:val="1024"/>
        <w:ind w:firstLine="60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2.上一年度的财务状况报告（成立不满一年不需提供）。</w:t>
      </w:r>
      <w:r>
        <w:rPr>
          <w:rFonts w:hint="eastAsia" w:ascii="宋体" w:hAnsi="宋体" w:cs="宋体"/>
          <w:color w:val="000000"/>
          <w:sz w:val="24"/>
          <w:szCs w:val="24"/>
          <w:highlight w:val="none"/>
        </w:rPr>
      </w:r>
      <w:r/>
    </w:p>
    <w:p>
      <w:pPr>
        <w:pStyle w:val="1024"/>
        <w:ind w:firstLine="60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3.具备履行合同所必需的设备和专业技术能力的书面声明。</w:t>
      </w:r>
      <w:r>
        <w:rPr>
          <w:rFonts w:hint="eastAsia" w:ascii="宋体" w:hAnsi="宋体" w:cs="宋体"/>
          <w:color w:val="000000"/>
          <w:sz w:val="24"/>
          <w:szCs w:val="24"/>
          <w:highlight w:val="none"/>
        </w:rPr>
      </w:r>
      <w:r/>
    </w:p>
    <w:p>
      <w:pPr>
        <w:pStyle w:val="1024"/>
        <w:ind w:firstLine="60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4.依法缴纳税收和社会保障资金的相关材料。（提供提交投标文件截止时间前一年内至少一个月依法缴纳税收及缴纳社会保障资金的证明材料。供应商依法享受缓缴、免缴税收、社会保障资金的提供证明材料。）</w:t>
      </w:r>
      <w:r>
        <w:rPr>
          <w:rFonts w:hint="eastAsia" w:ascii="宋体" w:hAnsi="宋体" w:cs="宋体"/>
          <w:color w:val="000000"/>
          <w:sz w:val="24"/>
          <w:szCs w:val="24"/>
          <w:highlight w:val="none"/>
        </w:rPr>
      </w:r>
      <w:r/>
    </w:p>
    <w:p>
      <w:pPr>
        <w:pStyle w:val="1024"/>
        <w:ind w:firstLine="60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5.参加政府采购活动前3年内在经营活动中没有重大违法记录的书面声明。</w:t>
      </w:r>
      <w:r>
        <w:rPr>
          <w:rFonts w:hint="eastAsia" w:ascii="宋体" w:hAnsi="宋体" w:cs="宋体"/>
          <w:color w:val="000000"/>
          <w:sz w:val="24"/>
          <w:szCs w:val="24"/>
          <w:highlight w:val="none"/>
        </w:rPr>
      </w:r>
      <w:r/>
    </w:p>
    <w:p>
      <w:pPr>
        <w:pStyle w:val="1024"/>
        <w:ind w:firstLine="60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6.法律、行政法规规定的其他条件。</w:t>
      </w:r>
      <w:r>
        <w:rPr>
          <w:rFonts w:hint="eastAsia" w:ascii="宋体" w:hAnsi="宋体" w:cs="宋体"/>
          <w:color w:val="000000"/>
          <w:sz w:val="24"/>
          <w:szCs w:val="24"/>
          <w:highlight w:val="none"/>
        </w:rPr>
      </w:r>
      <w:r/>
    </w:p>
    <w:p>
      <w:pPr>
        <w:pStyle w:val="1024"/>
        <w:ind w:firstLine="60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宋体" w:hAnsi="宋体" w:cs="宋体"/>
          <w:color w:val="000000"/>
          <w:sz w:val="24"/>
          <w:szCs w:val="24"/>
          <w:highlight w:val="none"/>
        </w:rPr>
      </w:r>
      <w:r/>
    </w:p>
    <w:p>
      <w:pPr>
        <w:pStyle w:val="1024"/>
        <w:ind w:firstLine="60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8.单位负责人为同一人或者存在直接控股、管理关系的不同投标人，不得参加同一合同项下的政府采购活动（投标人自行对照，投标时无需提供相关证明材料）。</w:t>
      </w:r>
      <w:r>
        <w:rPr>
          <w:rFonts w:hint="eastAsia" w:ascii="宋体" w:hAnsi="宋体" w:cs="宋体"/>
          <w:color w:val="000000"/>
          <w:sz w:val="24"/>
          <w:szCs w:val="24"/>
          <w:highlight w:val="none"/>
        </w:rPr>
      </w:r>
      <w:r/>
    </w:p>
    <w:p>
      <w:pPr>
        <w:pStyle w:val="1024"/>
        <w:ind w:firstLine="600"/>
        <w:spacing w:line="460" w:lineRule="exact"/>
        <w:rPr>
          <w:rFonts w:ascii="宋体" w:hAnsi="宋体" w:cs="宋体"/>
          <w:b/>
          <w:bCs/>
          <w:color w:val="000000"/>
          <w:sz w:val="24"/>
          <w:szCs w:val="24"/>
          <w:highlight w:val="none"/>
        </w:rPr>
      </w:pPr>
      <w:r>
        <w:rPr>
          <w:rFonts w:hint="eastAsia" w:ascii="宋体" w:hAnsi="宋体" w:cs="宋体"/>
          <w:color w:val="000000"/>
          <w:sz w:val="24"/>
          <w:szCs w:val="24"/>
          <w:highlight w:val="none"/>
        </w:rPr>
        <w:t xml:space="preserve">（二）落实政府采购政策需满足的资格要求：</w:t>
      </w:r>
      <w:r>
        <w:rPr>
          <w:rFonts w:hint="eastAsia" w:ascii="宋体" w:hAnsi="宋体" w:cs="宋体"/>
          <w:b/>
          <w:bCs/>
          <w:color w:val="000000"/>
          <w:sz w:val="24"/>
          <w:szCs w:val="24"/>
          <w:highlight w:val="none"/>
        </w:rPr>
        <w:t xml:space="preserve">本项目专门面向中小企业采购。采购标的的所属行业为</w:t>
      </w:r>
      <w:r>
        <w:rPr>
          <w:rFonts w:hint="eastAsia" w:ascii="宋体" w:hAnsi="宋体" w:cs="宋体"/>
          <w:b/>
          <w:bCs/>
          <w:color w:val="000000"/>
          <w:sz w:val="24"/>
          <w:szCs w:val="24"/>
          <w:highlight w:val="none"/>
          <w:u w:val="single"/>
        </w:rPr>
        <w:t xml:space="preserve">其他未列明行业</w:t>
      </w:r>
      <w:r>
        <w:rPr>
          <w:rFonts w:hint="eastAsia" w:ascii="宋体" w:hAnsi="宋体" w:cs="宋体"/>
          <w:b/>
          <w:bCs/>
          <w:color w:val="000000"/>
          <w:sz w:val="24"/>
          <w:szCs w:val="24"/>
          <w:highlight w:val="none"/>
        </w:rPr>
        <w:t xml:space="preserve">，投标人需按照采购文件的要求提供相应的《中小企业声明函》。企业标准请参照《关于印发中小企业划型标准规定的通知》（工信部联企业[2011]300号）文件规定自行填写。</w:t>
      </w:r>
      <w:r>
        <w:rPr>
          <w:rFonts w:ascii="宋体" w:hAnsi="宋体" w:cs="宋体"/>
          <w:b/>
          <w:bCs/>
          <w:color w:val="000000"/>
          <w:sz w:val="24"/>
          <w:szCs w:val="24"/>
          <w:highlight w:val="none"/>
        </w:rPr>
      </w:r>
      <w:r/>
    </w:p>
    <w:p>
      <w:pPr>
        <w:pStyle w:val="1024"/>
        <w:ind w:firstLine="60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（三）本项目的特定资格要求：无。</w:t>
      </w:r>
      <w:r>
        <w:rPr>
          <w:rFonts w:hint="eastAsia" w:ascii="宋体" w:hAnsi="宋体" w:cs="宋体"/>
          <w:color w:val="000000"/>
          <w:sz w:val="24"/>
          <w:szCs w:val="24"/>
          <w:highlight w:val="none"/>
        </w:rPr>
      </w:r>
      <w:r/>
    </w:p>
    <w:p>
      <w:pPr>
        <w:pStyle w:val="1025"/>
        <w:jc w:val="left"/>
        <w:spacing w:line="460" w:lineRule="exact"/>
        <w:tabs>
          <w:tab w:val="left" w:pos="0" w:leader="none"/>
          <w:tab w:val="left" w:pos="3165" w:leader="none"/>
          <w:tab w:val="center" w:pos="4153" w:leader="none"/>
        </w:tabs>
        <w:rPr>
          <w:rFonts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三、获取招标文件</w:t>
      </w:r>
      <w:bookmarkEnd w:id="15"/>
      <w:r/>
      <w:bookmarkEnd w:id="16"/>
      <w:r/>
      <w:bookmarkEnd w:id="17"/>
      <w:r/>
      <w:bookmarkEnd w:id="18"/>
      <w:r>
        <w:rPr>
          <w:rFonts w:ascii="宋体" w:hAnsi="宋体" w:eastAsia="宋体" w:cs="宋体"/>
          <w:color w:val="000000"/>
          <w:sz w:val="24"/>
          <w:szCs w:val="24"/>
          <w:highlight w:val="none"/>
        </w:rPr>
      </w:r>
      <w:r/>
    </w:p>
    <w:p>
      <w:pPr>
        <w:pStyle w:val="1024"/>
        <w:ind w:firstLine="600"/>
        <w:spacing w:line="460" w:lineRule="exact"/>
        <w:rPr>
          <w:rFonts w:hint="eastAsia" w:ascii="宋体" w:hAnsi="宋体" w:cs="宋体"/>
          <w:color w:val="000000"/>
          <w:sz w:val="24"/>
          <w:szCs w:val="24"/>
          <w:highlight w:val="none"/>
        </w:rPr>
      </w:pPr>
      <w:r/>
      <w:bookmarkStart w:id="19" w:name="_Toc28359082"/>
      <w:r/>
      <w:bookmarkStart w:id="20" w:name="_Toc28359005"/>
      <w:r/>
      <w:bookmarkStart w:id="21" w:name="_Toc35393624"/>
      <w:r/>
      <w:bookmarkStart w:id="22" w:name="_Toc35393793"/>
      <w:r>
        <w:rPr>
          <w:rFonts w:hint="eastAsia" w:ascii="宋体" w:hAnsi="宋体" w:cs="宋体"/>
          <w:color w:val="000000"/>
          <w:sz w:val="24"/>
          <w:szCs w:val="24"/>
          <w:highlight w:val="none"/>
        </w:rPr>
        <w:t xml:space="preserve">1.时间：自招标文件公告发布之日起5个工作日。</w:t>
      </w:r>
      <w:r>
        <w:rPr>
          <w:rFonts w:hint="eastAsia" w:ascii="宋体" w:hAnsi="宋体" w:cs="宋体"/>
          <w:color w:val="000000"/>
          <w:sz w:val="24"/>
          <w:szCs w:val="24"/>
          <w:highlight w:val="none"/>
        </w:rPr>
      </w:r>
      <w:r/>
    </w:p>
    <w:p>
      <w:pPr>
        <w:pStyle w:val="1024"/>
        <w:ind w:firstLine="60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2.地点：“苏采云”系统内免费下载（投标人必须在苏采云系统中获取采购文件，方能参与政府采购项目）</w:t>
      </w:r>
      <w:r>
        <w:rPr>
          <w:rFonts w:hint="eastAsia" w:ascii="宋体" w:hAnsi="宋体" w:cs="宋体"/>
          <w:color w:val="000000"/>
          <w:sz w:val="24"/>
          <w:szCs w:val="24"/>
          <w:highlight w:val="none"/>
        </w:rPr>
      </w:r>
      <w:r/>
    </w:p>
    <w:p>
      <w:pPr>
        <w:pStyle w:val="1024"/>
        <w:ind w:firstLine="60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3.方式：本项目采用网上注册登记方式。</w:t>
      </w:r>
      <w:r>
        <w:rPr>
          <w:rFonts w:hint="eastAsia" w:ascii="宋体" w:hAnsi="宋体" w:cs="宋体"/>
          <w:color w:val="000000"/>
          <w:sz w:val="24"/>
          <w:szCs w:val="24"/>
          <w:highlight w:val="none"/>
        </w:rPr>
      </w:r>
      <w:r/>
    </w:p>
    <w:p>
      <w:pPr>
        <w:pStyle w:val="1024"/>
        <w:ind w:firstLine="60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4.售价：0元。</w:t>
      </w:r>
      <w:r>
        <w:rPr>
          <w:rFonts w:hint="eastAsia" w:ascii="宋体" w:hAnsi="宋体" w:cs="宋体"/>
          <w:color w:val="000000"/>
          <w:sz w:val="24"/>
          <w:szCs w:val="24"/>
          <w:highlight w:val="none"/>
        </w:rPr>
      </w:r>
      <w:r/>
    </w:p>
    <w:p>
      <w:pPr>
        <w:pStyle w:val="1025"/>
        <w:jc w:val="left"/>
        <w:spacing w:line="460" w:lineRule="exact"/>
        <w:tabs>
          <w:tab w:val="left" w:pos="0" w:leader="none"/>
          <w:tab w:val="left" w:pos="3165" w:leader="none"/>
          <w:tab w:val="center" w:pos="4153" w:leader="none"/>
        </w:tabs>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四、提交投标文件</w:t>
      </w:r>
      <w:bookmarkEnd w:id="19"/>
      <w:r/>
      <w:bookmarkEnd w:id="20"/>
      <w:r>
        <w:rPr>
          <w:rFonts w:hint="eastAsia" w:ascii="宋体" w:hAnsi="宋体" w:eastAsia="宋体" w:cs="宋体"/>
          <w:b/>
          <w:bCs/>
          <w:color w:val="000000"/>
          <w:sz w:val="24"/>
          <w:szCs w:val="24"/>
          <w:highlight w:val="none"/>
        </w:rPr>
        <w:t xml:space="preserve">截止时间、开标时间和地点</w:t>
      </w:r>
      <w:bookmarkEnd w:id="21"/>
      <w:r/>
      <w:bookmarkEnd w:id="22"/>
      <w:r>
        <w:rPr>
          <w:rFonts w:ascii="宋体" w:hAnsi="宋体" w:eastAsia="宋体" w:cs="宋体"/>
          <w:b/>
          <w:bCs/>
          <w:color w:val="000000"/>
          <w:sz w:val="24"/>
          <w:szCs w:val="24"/>
          <w:highlight w:val="none"/>
        </w:rPr>
      </w:r>
      <w:r/>
    </w:p>
    <w:p>
      <w:pPr>
        <w:pStyle w:val="1024"/>
        <w:ind w:firstLine="60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1.时间：</w:t>
      </w:r>
      <w:r>
        <w:rPr>
          <w:rFonts w:hint="eastAsia" w:ascii="宋体" w:hAnsi="宋体" w:cs="宋体"/>
          <w:b/>
          <w:bCs/>
          <w:color w:val="000000"/>
          <w:sz w:val="24"/>
          <w:szCs w:val="24"/>
          <w:highlight w:val="none"/>
          <w:u w:val="single"/>
        </w:rPr>
        <w:t xml:space="preserve">2026年</w:t>
      </w:r>
      <w:r>
        <w:rPr>
          <w:rFonts w:hint="eastAsia" w:ascii="宋体" w:hAnsi="宋体" w:cs="宋体"/>
          <w:b/>
          <w:bCs/>
          <w:color w:val="000000"/>
          <w:sz w:val="24"/>
          <w:szCs w:val="24"/>
          <w:highlight w:val="none"/>
          <w:u w:val="single"/>
          <w:lang w:val="en-US" w:eastAsia="zh-CN"/>
        </w:rPr>
        <w:t xml:space="preserve">9</w:t>
      </w:r>
      <w:r>
        <w:rPr>
          <w:rFonts w:hint="eastAsia" w:ascii="宋体" w:hAnsi="宋体" w:cs="宋体"/>
          <w:b/>
          <w:bCs/>
          <w:color w:val="000000"/>
          <w:sz w:val="24"/>
          <w:szCs w:val="24"/>
          <w:highlight w:val="none"/>
          <w:u w:val="single"/>
        </w:rPr>
        <w:t xml:space="preserve">月</w:t>
      </w:r>
      <w:r>
        <w:rPr>
          <w:rFonts w:hint="eastAsia" w:ascii="宋体" w:hAnsi="宋体" w:cs="宋体"/>
          <w:b/>
          <w:bCs/>
          <w:color w:val="000000"/>
          <w:sz w:val="24"/>
          <w:szCs w:val="24"/>
          <w:highlight w:val="none"/>
          <w:u w:val="single"/>
          <w:lang w:val="en-US" w:eastAsia="zh-CN"/>
        </w:rPr>
        <w:t xml:space="preserve">23</w:t>
      </w:r>
      <w:r>
        <w:rPr>
          <w:rFonts w:hint="eastAsia" w:ascii="宋体" w:hAnsi="宋体" w:cs="宋体"/>
          <w:b/>
          <w:bCs/>
          <w:color w:val="000000"/>
          <w:sz w:val="24"/>
          <w:szCs w:val="24"/>
          <w:highlight w:val="none"/>
          <w:u w:val="single"/>
        </w:rPr>
        <w:t xml:space="preserve">日</w:t>
      </w:r>
      <w:r>
        <w:rPr>
          <w:rFonts w:hint="eastAsia" w:ascii="宋体" w:hAnsi="宋体" w:cs="宋体"/>
          <w:b/>
          <w:bCs/>
          <w:color w:val="000000"/>
          <w:sz w:val="24"/>
          <w:szCs w:val="24"/>
          <w:highlight w:val="none"/>
          <w:u w:val="single"/>
          <w:lang w:val="en-US" w:eastAsia="zh-CN"/>
        </w:rPr>
        <w:t xml:space="preserve">1</w:t>
      </w:r>
      <w:r>
        <w:rPr>
          <w:rFonts w:hint="eastAsia" w:ascii="宋体" w:hAnsi="宋体" w:cs="宋体"/>
          <w:b/>
          <w:bCs/>
          <w:color w:val="000000"/>
          <w:sz w:val="24"/>
          <w:szCs w:val="24"/>
          <w:highlight w:val="none"/>
          <w:u w:val="single"/>
          <w:lang w:val="en-US" w:eastAsia="zh-CN"/>
        </w:rPr>
        <w:t xml:space="preserve">5</w:t>
      </w:r>
      <w:r>
        <w:rPr>
          <w:rFonts w:hint="eastAsia" w:ascii="宋体" w:hAnsi="宋体" w:cs="宋体"/>
          <w:b/>
          <w:bCs/>
          <w:color w:val="000000"/>
          <w:sz w:val="24"/>
          <w:szCs w:val="24"/>
          <w:highlight w:val="none"/>
          <w:u w:val="single"/>
        </w:rPr>
        <w:t xml:space="preserve">时00分（北京时间）</w:t>
      </w:r>
      <w:r>
        <w:rPr>
          <w:rFonts w:hint="eastAsia" w:ascii="宋体" w:hAnsi="宋体" w:cs="宋体"/>
          <w:color w:val="000000"/>
          <w:sz w:val="24"/>
          <w:szCs w:val="24"/>
          <w:highlight w:val="none"/>
        </w:rPr>
      </w:r>
      <w:r/>
    </w:p>
    <w:p>
      <w:pPr>
        <w:pStyle w:val="1024"/>
        <w:ind w:firstLine="60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2.地点：苏采云“不见面”开标大厅。</w:t>
      </w:r>
      <w:r>
        <w:rPr>
          <w:rFonts w:ascii="宋体" w:hAnsi="宋体" w:cs="宋体"/>
          <w:color w:val="000000"/>
          <w:sz w:val="24"/>
          <w:szCs w:val="24"/>
          <w:highlight w:val="none"/>
        </w:rPr>
      </w:r>
      <w:r/>
    </w:p>
    <w:p>
      <w:pPr>
        <w:pStyle w:val="1025"/>
        <w:jc w:val="left"/>
        <w:spacing w:line="460" w:lineRule="exact"/>
        <w:tabs>
          <w:tab w:val="left" w:pos="0" w:leader="none"/>
          <w:tab w:val="left" w:pos="3165" w:leader="none"/>
          <w:tab w:val="center" w:pos="4153" w:leader="none"/>
        </w:tabs>
        <w:rPr>
          <w:rFonts w:ascii="宋体" w:hAnsi="宋体" w:eastAsia="宋体" w:cs="宋体"/>
          <w:b/>
          <w:bCs/>
          <w:color w:val="000000"/>
          <w:sz w:val="24"/>
          <w:szCs w:val="24"/>
          <w:highlight w:val="none"/>
        </w:rPr>
      </w:pPr>
      <w:r/>
      <w:bookmarkStart w:id="23" w:name="_Toc35393794"/>
      <w:r/>
      <w:bookmarkStart w:id="24" w:name="_Toc35393625"/>
      <w:r/>
      <w:bookmarkStart w:id="25" w:name="_Toc28359084"/>
      <w:r/>
      <w:bookmarkStart w:id="26" w:name="_Toc28359007"/>
      <w:r>
        <w:rPr>
          <w:rFonts w:hint="eastAsia" w:ascii="宋体" w:hAnsi="宋体" w:eastAsia="宋体" w:cs="宋体"/>
          <w:b/>
          <w:bCs/>
          <w:color w:val="000000"/>
          <w:sz w:val="24"/>
          <w:szCs w:val="24"/>
          <w:highlight w:val="none"/>
        </w:rPr>
        <w:t xml:space="preserve">五、公告期限</w:t>
      </w:r>
      <w:bookmarkEnd w:id="23"/>
      <w:r/>
      <w:bookmarkEnd w:id="24"/>
      <w:r/>
      <w:bookmarkEnd w:id="25"/>
      <w:r/>
      <w:bookmarkEnd w:id="26"/>
      <w:r>
        <w:rPr>
          <w:rFonts w:ascii="宋体" w:hAnsi="宋体" w:eastAsia="宋体" w:cs="宋体"/>
          <w:b/>
          <w:bCs/>
          <w:color w:val="000000"/>
          <w:sz w:val="24"/>
          <w:szCs w:val="24"/>
          <w:highlight w:val="none"/>
        </w:rPr>
      </w:r>
      <w:r/>
    </w:p>
    <w:p>
      <w:pPr>
        <w:pStyle w:val="1024"/>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自本公告发布之日起5个工作日。</w:t>
      </w:r>
      <w:r>
        <w:rPr>
          <w:rFonts w:ascii="宋体" w:hAnsi="宋体" w:cs="宋体"/>
          <w:color w:val="000000"/>
          <w:sz w:val="24"/>
          <w:szCs w:val="24"/>
          <w:highlight w:val="none"/>
        </w:rPr>
      </w:r>
      <w:r/>
    </w:p>
    <w:p>
      <w:pPr>
        <w:pStyle w:val="1025"/>
        <w:jc w:val="left"/>
        <w:spacing w:line="460" w:lineRule="exact"/>
        <w:tabs>
          <w:tab w:val="left" w:pos="0" w:leader="none"/>
          <w:tab w:val="left" w:pos="3165" w:leader="none"/>
          <w:tab w:val="center" w:pos="4153" w:leader="none"/>
        </w:tabs>
        <w:rPr>
          <w:rFonts w:ascii="宋体" w:hAnsi="宋体" w:eastAsia="宋体" w:cs="宋体"/>
          <w:b/>
          <w:bCs/>
          <w:color w:val="000000"/>
          <w:sz w:val="24"/>
          <w:szCs w:val="24"/>
          <w:highlight w:val="none"/>
        </w:rPr>
      </w:pPr>
      <w:r/>
      <w:bookmarkStart w:id="27" w:name="_Toc35393795"/>
      <w:r/>
      <w:bookmarkStart w:id="28" w:name="_Toc35393626"/>
      <w:r>
        <w:rPr>
          <w:rFonts w:hint="eastAsia" w:ascii="宋体" w:hAnsi="宋体" w:eastAsia="宋体" w:cs="宋体"/>
          <w:b/>
          <w:bCs/>
          <w:color w:val="000000"/>
          <w:sz w:val="24"/>
          <w:szCs w:val="24"/>
          <w:highlight w:val="none"/>
        </w:rPr>
        <w:t xml:space="preserve">六、其他补充事宜</w:t>
      </w:r>
      <w:bookmarkEnd w:id="27"/>
      <w:r/>
      <w:bookmarkEnd w:id="28"/>
      <w:r>
        <w:rPr>
          <w:rFonts w:ascii="宋体" w:hAnsi="宋体" w:eastAsia="宋体" w:cs="宋体"/>
          <w:b/>
          <w:bCs/>
          <w:color w:val="000000"/>
          <w:sz w:val="24"/>
          <w:szCs w:val="24"/>
          <w:highlight w:val="none"/>
        </w:rPr>
      </w:r>
      <w:r/>
    </w:p>
    <w:p>
      <w:pPr>
        <w:pStyle w:val="1024"/>
        <w:ind w:firstLine="600"/>
        <w:spacing w:line="460" w:lineRule="exact"/>
        <w:rPr>
          <w:rFonts w:hint="eastAsia" w:ascii="宋体" w:hAnsi="宋体" w:cs="宋体"/>
          <w:color w:val="000000"/>
          <w:sz w:val="24"/>
          <w:szCs w:val="24"/>
          <w:highlight w:val="none"/>
        </w:rPr>
      </w:pPr>
      <w:r/>
      <w:bookmarkStart w:id="29" w:name="_Toc28359085"/>
      <w:r/>
      <w:bookmarkStart w:id="30" w:name="_Toc35393796"/>
      <w:r/>
      <w:bookmarkStart w:id="31" w:name="_Toc35393627"/>
      <w:r/>
      <w:bookmarkStart w:id="32" w:name="_Toc28359008"/>
      <w:r>
        <w:rPr>
          <w:rFonts w:hint="eastAsia" w:ascii="宋体" w:hAnsi="宋体" w:cs="宋体"/>
          <w:color w:val="000000"/>
          <w:sz w:val="24"/>
          <w:szCs w:val="24"/>
          <w:highlight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rPr>
          <w:rFonts w:hint="eastAsia" w:ascii="宋体" w:hAnsi="宋体" w:cs="宋体"/>
          <w:color w:val="000000"/>
          <w:sz w:val="24"/>
          <w:szCs w:val="24"/>
          <w:highlight w:val="none"/>
        </w:rPr>
      </w:r>
      <w:r/>
    </w:p>
    <w:p>
      <w:pPr>
        <w:pStyle w:val="1024"/>
        <w:ind w:firstLine="60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领取CA和办理电子签章（请至盐城市府西路1号盐城市公共资源交易中心四楼大厅10号，11号窗口办理，联系电话：15051556883，办理邮箱：yancheng@ideabank.net.cn，具体系统操作见《苏采云系统供应商操作手册》（以下简称《操作手册》））、进行注册并按《操作手册》要求制作、上传电子投标文件,《苏采云系统供应商操作手册》，手册下载地址：苏采云系统-右侧消息通知栏。</w:t>
      </w:r>
      <w:r>
        <w:rPr>
          <w:rFonts w:hint="eastAsia" w:ascii="宋体" w:hAnsi="宋体" w:cs="宋体"/>
          <w:color w:val="000000"/>
          <w:sz w:val="24"/>
          <w:szCs w:val="24"/>
          <w:highlight w:val="none"/>
        </w:rPr>
      </w:r>
      <w:r/>
    </w:p>
    <w:p>
      <w:pPr>
        <w:pStyle w:val="1024"/>
        <w:ind w:firstLine="60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2.潜在供应商访问电子招标响应交易平台的网络地址和方法：</w:t>
      </w:r>
      <w:r>
        <w:rPr>
          <w:rFonts w:hint="eastAsia" w:ascii="宋体" w:hAnsi="宋体" w:cs="宋体"/>
          <w:color w:val="000000"/>
          <w:sz w:val="24"/>
          <w:szCs w:val="24"/>
          <w:highlight w:val="none"/>
        </w:rPr>
      </w:r>
      <w:r/>
    </w:p>
    <w:p>
      <w:pPr>
        <w:pStyle w:val="1024"/>
        <w:ind w:firstLine="60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w:t>
      </w:r>
      <w:r>
        <w:rPr>
          <w:rFonts w:hint="eastAsia" w:ascii="宋体" w:hAnsi="宋体" w:cs="宋体"/>
          <w:color w:val="000000"/>
          <w:sz w:val="24"/>
          <w:szCs w:val="24"/>
          <w:highlight w:val="none"/>
        </w:rPr>
      </w:r>
      <w:r/>
    </w:p>
    <w:p>
      <w:pPr>
        <w:pStyle w:val="1024"/>
        <w:ind w:firstLine="60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2.2 潜在投标人访问“苏采云”系统方法：江苏省政府采购网首页-“苏采云”链接。</w:t>
      </w:r>
      <w:r>
        <w:rPr>
          <w:rFonts w:hint="eastAsia" w:ascii="宋体" w:hAnsi="宋体" w:cs="宋体"/>
          <w:color w:val="000000"/>
          <w:sz w:val="24"/>
          <w:szCs w:val="24"/>
          <w:highlight w:val="none"/>
        </w:rPr>
      </w:r>
      <w:r/>
    </w:p>
    <w:p>
      <w:pPr>
        <w:pStyle w:val="1024"/>
        <w:ind w:firstLine="60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2.3 采购文件（后缀名为“.kedt”）、供应商操作手册及政府采购客户端 工具可通过“苏采云”系统相应链接进行下载。</w:t>
      </w:r>
      <w:r>
        <w:rPr>
          <w:rFonts w:hint="eastAsia" w:ascii="宋体" w:hAnsi="宋体" w:cs="宋体"/>
          <w:color w:val="000000"/>
          <w:sz w:val="24"/>
          <w:szCs w:val="24"/>
          <w:highlight w:val="none"/>
        </w:rPr>
      </w:r>
      <w:r/>
    </w:p>
    <w:p>
      <w:pPr>
        <w:pStyle w:val="1024"/>
        <w:ind w:firstLine="60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2.4 采购代理机构将数据电文形式的采购文件加载至“苏采云”系统，供潜在供应商下载或者查阅。</w:t>
      </w:r>
      <w:r>
        <w:rPr>
          <w:rFonts w:hint="eastAsia" w:ascii="宋体" w:hAnsi="宋体" w:cs="宋体"/>
          <w:color w:val="000000"/>
          <w:sz w:val="24"/>
          <w:szCs w:val="24"/>
          <w:highlight w:val="none"/>
        </w:rPr>
      </w:r>
      <w:r/>
    </w:p>
    <w:p>
      <w:pPr>
        <w:pStyle w:val="1024"/>
        <w:ind w:firstLine="60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2.5 请潜在投标单位提前安装相应的控件（详见《“苏采云”系统供应商操作手册》）并使用谷歌浏览器登录“苏采云”系统参与不见面开评标。</w:t>
      </w:r>
      <w:r>
        <w:rPr>
          <w:rFonts w:hint="eastAsia" w:ascii="宋体" w:hAnsi="宋体" w:cs="宋体"/>
          <w:color w:val="000000"/>
          <w:sz w:val="24"/>
          <w:szCs w:val="24"/>
          <w:highlight w:val="none"/>
        </w:rPr>
      </w:r>
      <w:r/>
    </w:p>
    <w:p>
      <w:pPr>
        <w:pStyle w:val="1024"/>
        <w:ind w:firstLine="60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如潜在投标人未按上述要求操作，将自行承担所产生的风险。</w:t>
      </w:r>
      <w:r>
        <w:rPr>
          <w:rFonts w:hint="eastAsia" w:ascii="宋体" w:hAnsi="宋体" w:cs="宋体"/>
          <w:color w:val="000000"/>
          <w:sz w:val="24"/>
          <w:szCs w:val="24"/>
          <w:highlight w:val="none"/>
        </w:rPr>
      </w:r>
      <w:r/>
    </w:p>
    <w:p>
      <w:pPr>
        <w:pStyle w:val="1024"/>
        <w:ind w:firstLine="60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3.有关本次招标的事项若存在变动或修改，敬请及时关注采购代理机构在“中国政府采购网”、“江苏政府采购网”“盐城市政府采购网”发布的更正公告。</w:t>
      </w:r>
      <w:r>
        <w:rPr>
          <w:rFonts w:hint="eastAsia" w:ascii="宋体" w:hAnsi="宋体" w:cs="宋体"/>
          <w:color w:val="000000"/>
          <w:sz w:val="24"/>
          <w:szCs w:val="24"/>
          <w:highlight w:val="none"/>
        </w:rPr>
      </w:r>
      <w:r/>
    </w:p>
    <w:p>
      <w:pPr>
        <w:pStyle w:val="1024"/>
        <w:ind w:firstLine="48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4.本次招标不收取投标保证金，不收取质量保证金</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025"/>
        <w:jc w:val="left"/>
        <w:spacing w:line="460" w:lineRule="exact"/>
        <w:tabs>
          <w:tab w:val="left" w:pos="0" w:leader="none"/>
          <w:tab w:val="left" w:pos="3165" w:leader="none"/>
          <w:tab w:val="center" w:pos="4153" w:leader="none"/>
        </w:tabs>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七、对本次招标提出询问，请按以下方式联系</w:t>
      </w:r>
      <w:bookmarkEnd w:id="29"/>
      <w:r/>
      <w:bookmarkEnd w:id="30"/>
      <w:r/>
      <w:bookmarkEnd w:id="31"/>
      <w:r/>
      <w:bookmarkEnd w:id="32"/>
      <w:r>
        <w:rPr>
          <w:rFonts w:ascii="宋体" w:hAnsi="宋体" w:eastAsia="宋体" w:cs="宋体"/>
          <w:b/>
          <w:bCs/>
          <w:color w:val="000000"/>
          <w:sz w:val="24"/>
          <w:szCs w:val="24"/>
          <w:highlight w:val="none"/>
        </w:rPr>
      </w:r>
      <w:r/>
    </w:p>
    <w:p>
      <w:pPr>
        <w:pStyle w:val="1026"/>
        <w:jc w:val="both"/>
        <w:spacing w:line="460" w:lineRule="exact"/>
        <w:rPr>
          <w:rFonts w:ascii="宋体" w:hAnsi="宋体" w:eastAsia="宋体" w:cs="宋体"/>
          <w:b w:val="0"/>
          <w:color w:val="000000"/>
          <w:sz w:val="24"/>
          <w:szCs w:val="24"/>
          <w:highlight w:val="none"/>
        </w:rPr>
      </w:pPr>
      <w:r/>
      <w:bookmarkStart w:id="33" w:name="_Toc28359096"/>
      <w:r/>
      <w:bookmarkStart w:id="34" w:name="_Toc35393637"/>
      <w:r/>
      <w:bookmarkStart w:id="35" w:name="_Toc28359019"/>
      <w:r/>
      <w:bookmarkStart w:id="36" w:name="_Toc35393806"/>
      <w:r>
        <w:rPr>
          <w:rFonts w:hint="eastAsia" w:ascii="宋体" w:hAnsi="宋体" w:eastAsia="宋体" w:cs="宋体"/>
          <w:b w:val="0"/>
          <w:color w:val="000000"/>
          <w:sz w:val="24"/>
          <w:szCs w:val="24"/>
          <w:highlight w:val="none"/>
        </w:rPr>
        <w:t xml:space="preserve">1.招标人信息</w:t>
      </w:r>
      <w:bookmarkEnd w:id="33"/>
      <w:r/>
      <w:bookmarkEnd w:id="34"/>
      <w:r/>
      <w:bookmarkEnd w:id="35"/>
      <w:r/>
      <w:bookmarkEnd w:id="36"/>
      <w:r>
        <w:rPr>
          <w:rFonts w:ascii="宋体" w:hAnsi="宋体" w:eastAsia="宋体" w:cs="宋体"/>
          <w:b w:val="0"/>
          <w:color w:val="000000"/>
          <w:sz w:val="24"/>
          <w:szCs w:val="24"/>
          <w:highlight w:val="none"/>
        </w:rPr>
      </w:r>
      <w:r/>
    </w:p>
    <w:p>
      <w:pPr>
        <w:pStyle w:val="1024"/>
        <w:ind w:left="1079" w:hanging="300"/>
        <w:jc w:val="left"/>
        <w:spacing w:line="460" w:lineRule="exact"/>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名    称：</w:t>
      </w:r>
      <w:r>
        <w:rPr>
          <w:rFonts w:hint="eastAsia" w:ascii="宋体" w:hAnsi="宋体" w:cs="宋体"/>
          <w:color w:val="000000"/>
          <w:sz w:val="24"/>
          <w:szCs w:val="24"/>
          <w:highlight w:val="none"/>
          <w:u w:val="single"/>
        </w:rPr>
        <w:t xml:space="preserve">盐城市公路事业发展中心</w:t>
      </w:r>
      <w:r>
        <w:rPr>
          <w:rFonts w:ascii="宋体" w:hAnsi="宋体" w:cs="宋体"/>
          <w:color w:val="000000"/>
          <w:sz w:val="24"/>
          <w:szCs w:val="24"/>
          <w:highlight w:val="none"/>
          <w:u w:val="single"/>
        </w:rPr>
      </w:r>
      <w:r/>
    </w:p>
    <w:p>
      <w:pPr>
        <w:pStyle w:val="1024"/>
        <w:ind w:left="1079" w:hanging="300"/>
        <w:jc w:val="left"/>
        <w:spacing w:line="460" w:lineRule="exact"/>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地    址：</w:t>
      </w:r>
      <w:r>
        <w:rPr>
          <w:rFonts w:hint="eastAsia" w:ascii="宋体" w:hAnsi="宋体" w:cs="宋体"/>
          <w:color w:val="000000"/>
          <w:sz w:val="24"/>
          <w:szCs w:val="24"/>
          <w:highlight w:val="none"/>
          <w:u w:val="single"/>
        </w:rPr>
        <w:t xml:space="preserve">盐城市青年中路8号</w:t>
      </w:r>
      <w:r>
        <w:rPr>
          <w:rFonts w:ascii="宋体" w:hAnsi="宋体" w:cs="宋体"/>
          <w:color w:val="000000"/>
          <w:sz w:val="24"/>
          <w:szCs w:val="24"/>
          <w:highlight w:val="none"/>
          <w:u w:val="single"/>
        </w:rPr>
      </w:r>
      <w:r/>
    </w:p>
    <w:p>
      <w:pPr>
        <w:pStyle w:val="1024"/>
        <w:ind w:left="1079" w:hanging="300"/>
        <w:jc w:val="left"/>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联 系 人：</w:t>
      </w:r>
      <w:r>
        <w:rPr>
          <w:rFonts w:hint="eastAsia" w:ascii="宋体" w:hAnsi="宋体" w:cs="宋体"/>
          <w:color w:val="000000"/>
          <w:sz w:val="24"/>
          <w:szCs w:val="24"/>
          <w:highlight w:val="none"/>
          <w:u w:val="single"/>
        </w:rPr>
        <w:t xml:space="preserve">蒋女士</w:t>
      </w: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p>
      <w:pPr>
        <w:pStyle w:val="1024"/>
        <w:ind w:left="1079" w:hanging="300"/>
        <w:jc w:val="left"/>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联系电话：</w:t>
      </w:r>
      <w:r>
        <w:rPr>
          <w:rFonts w:hint="eastAsia" w:ascii="宋体" w:hAnsi="宋体" w:cs="宋体"/>
          <w:color w:val="000000"/>
          <w:sz w:val="24"/>
          <w:szCs w:val="24"/>
          <w:highlight w:val="none"/>
          <w:u w:val="single"/>
        </w:rPr>
        <w:t xml:space="preserve">0515-88886305</w:t>
      </w:r>
      <w:r>
        <w:rPr>
          <w:rFonts w:ascii="宋体" w:hAnsi="宋体" w:cs="宋体"/>
          <w:color w:val="000000"/>
          <w:sz w:val="24"/>
          <w:szCs w:val="24"/>
          <w:highlight w:val="none"/>
        </w:rPr>
      </w:r>
      <w:r/>
    </w:p>
    <w:p>
      <w:pPr>
        <w:pStyle w:val="1026"/>
        <w:jc w:val="both"/>
        <w:spacing w:line="460" w:lineRule="exact"/>
        <w:rPr>
          <w:rFonts w:ascii="宋体" w:hAnsi="宋体" w:eastAsia="宋体" w:cs="宋体"/>
          <w:b w:val="0"/>
          <w:color w:val="000000"/>
          <w:sz w:val="24"/>
          <w:szCs w:val="24"/>
          <w:highlight w:val="none"/>
        </w:rPr>
      </w:pPr>
      <w:r/>
      <w:bookmarkStart w:id="37" w:name="_Toc35393807"/>
      <w:r/>
      <w:bookmarkStart w:id="38" w:name="_Toc35393638"/>
      <w:r/>
      <w:bookmarkStart w:id="39" w:name="_Toc28359020"/>
      <w:r/>
      <w:bookmarkStart w:id="40" w:name="_Toc28359097"/>
      <w:r>
        <w:rPr>
          <w:rFonts w:hint="eastAsia" w:ascii="宋体" w:hAnsi="宋体" w:eastAsia="宋体" w:cs="宋体"/>
          <w:b w:val="0"/>
          <w:color w:val="000000"/>
          <w:sz w:val="24"/>
          <w:szCs w:val="24"/>
          <w:highlight w:val="none"/>
        </w:rPr>
        <w:t xml:space="preserve">2.招标代理机构信息</w:t>
      </w:r>
      <w:bookmarkEnd w:id="37"/>
      <w:r/>
      <w:bookmarkEnd w:id="38"/>
      <w:r/>
      <w:bookmarkEnd w:id="39"/>
      <w:r/>
      <w:bookmarkEnd w:id="40"/>
      <w:r>
        <w:rPr>
          <w:rFonts w:ascii="宋体" w:hAnsi="宋体" w:eastAsia="宋体" w:cs="宋体"/>
          <w:b w:val="0"/>
          <w:color w:val="000000"/>
          <w:sz w:val="24"/>
          <w:szCs w:val="24"/>
          <w:highlight w:val="none"/>
        </w:rPr>
      </w:r>
      <w:r/>
    </w:p>
    <w:p>
      <w:pPr>
        <w:pStyle w:val="1024"/>
        <w:ind w:firstLine="72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名    称：</w:t>
      </w:r>
      <w:r>
        <w:rPr>
          <w:rFonts w:hint="eastAsia" w:ascii="宋体" w:hAnsi="宋体" w:cs="宋体"/>
          <w:color w:val="000000"/>
          <w:sz w:val="24"/>
          <w:szCs w:val="24"/>
          <w:highlight w:val="none"/>
          <w:u w:val="single"/>
        </w:rPr>
        <w:t xml:space="preserve">盐城市招标代理有限公司</w:t>
      </w:r>
      <w:r>
        <w:rPr>
          <w:rFonts w:ascii="宋体" w:hAnsi="宋体" w:cs="宋体"/>
          <w:color w:val="000000"/>
          <w:sz w:val="24"/>
          <w:szCs w:val="24"/>
          <w:highlight w:val="none"/>
        </w:rPr>
      </w:r>
      <w:r/>
    </w:p>
    <w:p>
      <w:pPr>
        <w:pStyle w:val="1024"/>
        <w:ind w:firstLine="72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地　　址：</w:t>
      </w:r>
      <w:r>
        <w:rPr>
          <w:rFonts w:hint="eastAsia" w:ascii="宋体" w:hAnsi="宋体" w:cs="宋体"/>
          <w:color w:val="000000"/>
          <w:sz w:val="24"/>
          <w:szCs w:val="24"/>
          <w:highlight w:val="none"/>
          <w:u w:val="single"/>
        </w:rPr>
        <w:t xml:space="preserve">盐城市青年路钱江财富广场西区A座4楼</w:t>
      </w:r>
      <w:r>
        <w:rPr>
          <w:rFonts w:ascii="宋体" w:hAnsi="宋体" w:cs="宋体"/>
          <w:color w:val="000000"/>
          <w:sz w:val="24"/>
          <w:szCs w:val="24"/>
          <w:highlight w:val="none"/>
        </w:rPr>
      </w:r>
      <w:r/>
    </w:p>
    <w:p>
      <w:pPr>
        <w:pStyle w:val="1024"/>
        <w:ind w:firstLine="720"/>
        <w:jc w:val="left"/>
        <w:spacing w:line="460" w:lineRule="exact"/>
        <w:rPr>
          <w:rFonts w:ascii="宋体" w:hAnsi="宋体" w:cs="宋体"/>
          <w:color w:val="000000"/>
          <w:sz w:val="24"/>
          <w:szCs w:val="24"/>
          <w:highlight w:val="none"/>
        </w:rPr>
      </w:pPr>
      <w:r/>
      <w:bookmarkStart w:id="41" w:name="_Toc35393639"/>
      <w:r/>
      <w:bookmarkStart w:id="42" w:name="_Toc28359021"/>
      <w:r/>
      <w:bookmarkStart w:id="43" w:name="_Toc35393808"/>
      <w:r/>
      <w:bookmarkStart w:id="44" w:name="_Toc28359098"/>
      <w:r>
        <w:rPr>
          <w:rFonts w:hint="eastAsia" w:ascii="宋体" w:hAnsi="宋体" w:cs="宋体"/>
          <w:color w:val="000000"/>
          <w:sz w:val="24"/>
          <w:szCs w:val="24"/>
          <w:highlight w:val="none"/>
        </w:rPr>
        <w:t xml:space="preserve">联 系 人：</w:t>
      </w:r>
      <w:r>
        <w:rPr>
          <w:rFonts w:hint="eastAsia" w:ascii="宋体" w:hAnsi="宋体" w:cs="宋体"/>
          <w:color w:val="000000"/>
          <w:sz w:val="24"/>
          <w:szCs w:val="24"/>
          <w:highlight w:val="none"/>
          <w:u w:val="single"/>
        </w:rPr>
        <w:t xml:space="preserve">滕先生</w:t>
      </w: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p>
      <w:pPr>
        <w:pStyle w:val="1024"/>
        <w:ind w:firstLine="720"/>
        <w:jc w:val="left"/>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联系电话：</w:t>
      </w:r>
      <w:r>
        <w:rPr>
          <w:rFonts w:hint="eastAsia" w:ascii="宋体" w:hAnsi="宋体" w:cs="宋体"/>
          <w:color w:val="000000"/>
          <w:sz w:val="24"/>
          <w:szCs w:val="24"/>
          <w:highlight w:val="none"/>
          <w:u w:val="single"/>
        </w:rPr>
        <w:t xml:space="preserve">18082164456</w:t>
      </w:r>
      <w:r>
        <w:rPr>
          <w:rFonts w:ascii="宋体" w:hAnsi="宋体" w:cs="宋体"/>
          <w:color w:val="000000"/>
          <w:sz w:val="24"/>
          <w:szCs w:val="24"/>
          <w:highlight w:val="none"/>
        </w:rPr>
      </w:r>
      <w:r/>
    </w:p>
    <w:p>
      <w:pPr>
        <w:pStyle w:val="1026"/>
        <w:jc w:val="both"/>
        <w:spacing w:line="460" w:lineRule="exact"/>
        <w:rPr>
          <w:rFonts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3.项目联系方式</w:t>
      </w:r>
      <w:bookmarkEnd w:id="41"/>
      <w:r/>
      <w:bookmarkEnd w:id="42"/>
      <w:r/>
      <w:bookmarkEnd w:id="43"/>
      <w:r/>
      <w:bookmarkEnd w:id="44"/>
      <w:r>
        <w:rPr>
          <w:rFonts w:ascii="宋体" w:hAnsi="宋体" w:eastAsia="宋体" w:cs="宋体"/>
          <w:b w:val="0"/>
          <w:color w:val="000000"/>
          <w:sz w:val="24"/>
          <w:szCs w:val="24"/>
          <w:highlight w:val="none"/>
        </w:rPr>
      </w:r>
      <w:r/>
    </w:p>
    <w:p>
      <w:pPr>
        <w:pStyle w:val="1053"/>
        <w:ind w:firstLine="720"/>
        <w:spacing w:line="460" w:lineRule="exact"/>
        <w:rPr>
          <w:rFonts w:hAnsi="宋体" w:cs="宋体"/>
          <w:color w:val="000000"/>
          <w:sz w:val="24"/>
          <w:szCs w:val="24"/>
          <w:highlight w:val="none"/>
        </w:rPr>
      </w:pPr>
      <w:r>
        <w:rPr>
          <w:rFonts w:hint="eastAsia" w:hAnsi="宋体" w:cs="宋体"/>
          <w:color w:val="000000"/>
          <w:sz w:val="24"/>
          <w:szCs w:val="24"/>
          <w:highlight w:val="none"/>
        </w:rPr>
        <w:t xml:space="preserve">项目联系人：</w:t>
      </w:r>
      <w:r>
        <w:rPr>
          <w:rFonts w:hint="eastAsia" w:hAnsi="宋体" w:cs="宋体"/>
          <w:color w:val="000000"/>
          <w:sz w:val="24"/>
          <w:szCs w:val="24"/>
          <w:highlight w:val="none"/>
          <w:u w:val="single"/>
        </w:rPr>
        <w:t xml:space="preserve">蒋女士</w:t>
      </w:r>
      <w:r>
        <w:rPr>
          <w:rFonts w:hAnsi="宋体" w:cs="宋体"/>
          <w:color w:val="000000"/>
          <w:sz w:val="24"/>
          <w:szCs w:val="24"/>
          <w:highlight w:val="none"/>
        </w:rPr>
      </w:r>
      <w:r/>
    </w:p>
    <w:p>
      <w:pPr>
        <w:pStyle w:val="1024"/>
        <w:ind w:firstLine="720"/>
        <w:spacing w:line="460" w:lineRule="exact"/>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电　　 话：</w:t>
      </w:r>
      <w:r>
        <w:rPr>
          <w:rFonts w:hint="eastAsia" w:ascii="宋体" w:hAnsi="宋体" w:cs="宋体"/>
          <w:color w:val="000000"/>
          <w:sz w:val="24"/>
          <w:szCs w:val="24"/>
          <w:highlight w:val="none"/>
          <w:u w:val="single"/>
        </w:rPr>
        <w:t xml:space="preserve">18905109128</w:t>
      </w:r>
      <w:r>
        <w:rPr>
          <w:rFonts w:ascii="宋体" w:hAnsi="宋体" w:cs="宋体"/>
          <w:color w:val="000000"/>
          <w:sz w:val="24"/>
          <w:szCs w:val="24"/>
          <w:highlight w:val="none"/>
          <w:u w:val="single"/>
        </w:rPr>
      </w:r>
      <w:r/>
    </w:p>
    <w:p>
      <w:pPr>
        <w:pStyle w:val="1024"/>
        <w:jc w:val="left"/>
        <w:spacing w:line="440" w:lineRule="exact"/>
        <w:widowControl/>
        <w:rPr>
          <w:rFonts w:ascii="仿宋" w:hAnsi="仿宋" w:eastAsia="仿宋"/>
          <w:color w:val="000000"/>
          <w:sz w:val="28"/>
          <w:szCs w:val="28"/>
          <w:highlight w:val="none"/>
        </w:rPr>
      </w:pPr>
      <w:r>
        <w:rPr>
          <w:rFonts w:ascii="仿宋" w:hAnsi="仿宋" w:eastAsia="仿宋"/>
          <w:color w:val="000000"/>
          <w:sz w:val="28"/>
          <w:szCs w:val="28"/>
          <w:highlight w:val="none"/>
        </w:rPr>
      </w:r>
      <w:r/>
    </w:p>
    <w:p>
      <w:pPr>
        <w:pStyle w:val="1026"/>
        <w:spacing w:line="440" w:lineRule="exact"/>
        <w:rPr>
          <w:rFonts w:ascii="黑体" w:eastAsia="黑体"/>
          <w:b w:val="0"/>
          <w:bCs w:val="0"/>
          <w:color w:val="000000"/>
          <w:highlight w:val="none"/>
        </w:rPr>
      </w:pPr>
      <w:r/>
      <w:bookmarkStart w:id="45" w:name="_Toc120614211"/>
      <w:r>
        <w:rPr>
          <w:rFonts w:hint="eastAsia" w:ascii="黑体" w:eastAsia="黑体"/>
          <w:color w:val="000000"/>
          <w:highlight w:val="none"/>
        </w:rPr>
        <w:br w:type="page" w:clear="all"/>
      </w:r>
      <w:r>
        <w:rPr>
          <w:rFonts w:hint="eastAsia" w:ascii="黑体" w:eastAsia="黑体"/>
          <w:b w:val="0"/>
          <w:bCs w:val="0"/>
          <w:color w:val="000000"/>
          <w:highlight w:val="none"/>
        </w:rPr>
        <w:t xml:space="preserve">第二章  </w:t>
      </w:r>
      <w:bookmarkEnd w:id="1"/>
      <w:r/>
      <w:bookmarkEnd w:id="2"/>
      <w:r/>
      <w:bookmarkEnd w:id="3"/>
      <w:r/>
      <w:bookmarkEnd w:id="4"/>
      <w:r/>
      <w:bookmarkEnd w:id="5"/>
      <w:r/>
      <w:bookmarkEnd w:id="45"/>
      <w:r/>
      <w:bookmarkStart w:id="46" w:name="_Toc16938518"/>
      <w:r/>
      <w:bookmarkStart w:id="47" w:name="_Toc20823274"/>
      <w:r/>
      <w:bookmarkStart w:id="48" w:name="_Toc120614213"/>
      <w:r/>
      <w:bookmarkStart w:id="49" w:name="_Toc513029202"/>
      <w:r>
        <w:rPr>
          <w:rFonts w:hint="eastAsia" w:ascii="黑体" w:eastAsia="黑体"/>
          <w:b w:val="0"/>
          <w:bCs w:val="0"/>
          <w:color w:val="000000"/>
          <w:highlight w:val="none"/>
        </w:rPr>
        <w:t xml:space="preserve">投标人须知</w:t>
      </w:r>
      <w:bookmarkEnd w:id="46"/>
      <w:r/>
      <w:bookmarkEnd w:id="47"/>
      <w:r/>
      <w:bookmarkEnd w:id="48"/>
      <w:r/>
      <w:bookmarkEnd w:id="49"/>
      <w:r>
        <w:rPr>
          <w:rFonts w:ascii="黑体" w:eastAsia="黑体"/>
          <w:b w:val="0"/>
          <w:bCs w:val="0"/>
          <w:color w:val="000000"/>
          <w:highlight w:val="none"/>
        </w:rPr>
      </w:r>
      <w:r/>
    </w:p>
    <w:p>
      <w:pPr>
        <w:pStyle w:val="1027"/>
        <w:ind w:firstLine="321"/>
        <w:spacing w:before="156" w:after="156" w:line="360" w:lineRule="auto"/>
        <w:rPr>
          <w:rFonts w:ascii="宋体" w:hAnsi="宋体" w:cs="宋体"/>
          <w:color w:val="000000"/>
          <w:highlight w:val="none"/>
        </w:rPr>
      </w:pPr>
      <w:r/>
      <w:bookmarkStart w:id="50" w:name="_Toc16938519"/>
      <w:r/>
      <w:bookmarkStart w:id="51" w:name="_Toc20823275"/>
      <w:r/>
      <w:bookmarkStart w:id="52" w:name="_Toc513029203"/>
      <w:r/>
      <w:bookmarkStart w:id="53" w:name="_Toc120614214"/>
      <w:r>
        <w:rPr>
          <w:rFonts w:hint="eastAsia" w:ascii="黑体" w:hAnsi="黑体" w:eastAsia="黑体" w:cs="黑体"/>
          <w:color w:val="000000"/>
          <w:highlight w:val="none"/>
        </w:rPr>
        <w:t xml:space="preserve">一、总则</w:t>
      </w:r>
      <w:bookmarkEnd w:id="50"/>
      <w:r/>
      <w:bookmarkEnd w:id="51"/>
      <w:r/>
      <w:bookmarkEnd w:id="52"/>
      <w:r/>
      <w:bookmarkEnd w:id="53"/>
      <w:r>
        <w:rPr>
          <w:rFonts w:ascii="宋体" w:hAnsi="宋体" w:cs="宋体"/>
          <w:color w:val="000000"/>
          <w:highlight w:val="none"/>
        </w:rPr>
      </w:r>
      <w:r/>
    </w:p>
    <w:p>
      <w:pPr>
        <w:pStyle w:val="1024"/>
        <w:ind w:firstLine="241"/>
        <w:rPr>
          <w:rFonts w:hint="eastAsia" w:ascii="宋体" w:hAnsi="宋体" w:cs="宋体"/>
          <w:b/>
          <w:bCs/>
          <w:color w:val="000000"/>
          <w:sz w:val="24"/>
          <w:szCs w:val="24"/>
          <w:highlight w:val="none"/>
        </w:rPr>
      </w:pPr>
      <w:r/>
      <w:bookmarkStart w:id="54" w:name="_Hlt16619475"/>
      <w:r/>
      <w:bookmarkEnd w:id="54"/>
      <w:r/>
      <w:bookmarkStart w:id="55" w:name="_Toc458694821"/>
      <w:r/>
      <w:bookmarkStart w:id="56" w:name="_Toc20823276"/>
      <w:r/>
      <w:bookmarkStart w:id="57" w:name="_Toc513029204"/>
      <w:r/>
      <w:bookmarkStart w:id="58" w:name="_Toc16938520"/>
      <w:r>
        <w:rPr>
          <w:rFonts w:hint="eastAsia" w:ascii="宋体" w:hAnsi="宋体" w:cs="宋体"/>
          <w:b/>
          <w:bCs/>
          <w:color w:val="000000"/>
          <w:sz w:val="24"/>
          <w:szCs w:val="24"/>
          <w:highlight w:val="none"/>
        </w:rPr>
        <w:t xml:space="preserve">1</w:t>
      </w:r>
      <w:bookmarkEnd w:id="55"/>
      <w:r>
        <w:rPr>
          <w:rFonts w:hint="eastAsia" w:ascii="宋体" w:hAnsi="宋体" w:cs="宋体"/>
          <w:b/>
          <w:bCs/>
          <w:color w:val="000000"/>
          <w:sz w:val="24"/>
          <w:szCs w:val="24"/>
          <w:highlight w:val="none"/>
        </w:rPr>
        <w:t xml:space="preserve">、招标方式</w:t>
      </w:r>
      <w:bookmarkEnd w:id="56"/>
      <w:r/>
      <w:bookmarkEnd w:id="57"/>
      <w:r/>
      <w:bookmarkEnd w:id="58"/>
      <w:r>
        <w:rPr>
          <w:rFonts w:hint="eastAsia" w:ascii="宋体" w:hAnsi="宋体" w:cs="宋体"/>
          <w:b/>
          <w:bCs/>
          <w:color w:val="000000"/>
          <w:sz w:val="24"/>
          <w:szCs w:val="24"/>
          <w:highlight w:val="none"/>
        </w:rPr>
      </w:r>
      <w:r/>
    </w:p>
    <w:p>
      <w:pPr>
        <w:pStyle w:val="1024"/>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1.1 本次招标采取公开招标方式，本招标文件仅适用于招标公告中所述项目。</w:t>
      </w:r>
      <w:r>
        <w:rPr>
          <w:rFonts w:ascii="宋体" w:hAnsi="宋体" w:cs="宋体"/>
          <w:color w:val="000000"/>
          <w:sz w:val="24"/>
          <w:highlight w:val="none"/>
        </w:rPr>
      </w:r>
      <w:r/>
    </w:p>
    <w:p>
      <w:pPr>
        <w:pStyle w:val="1024"/>
        <w:ind w:firstLine="241"/>
        <w:rPr>
          <w:rFonts w:hint="eastAsia" w:ascii="宋体" w:hAnsi="宋体" w:cs="宋体"/>
          <w:b/>
          <w:bCs/>
          <w:color w:val="000000"/>
          <w:sz w:val="24"/>
          <w:szCs w:val="24"/>
          <w:highlight w:val="none"/>
        </w:rPr>
      </w:pPr>
      <w:r/>
      <w:bookmarkStart w:id="59" w:name="_Toc513029205"/>
      <w:r/>
      <w:bookmarkStart w:id="60" w:name="_Toc16938521"/>
      <w:r/>
      <w:bookmarkStart w:id="61" w:name="_Toc20823277"/>
      <w:r>
        <w:rPr>
          <w:rFonts w:hint="eastAsia" w:ascii="宋体" w:hAnsi="宋体" w:cs="宋体"/>
          <w:b/>
          <w:bCs/>
          <w:color w:val="000000"/>
          <w:sz w:val="24"/>
          <w:szCs w:val="24"/>
          <w:highlight w:val="none"/>
        </w:rPr>
        <w:t xml:space="preserve">2、合格的</w:t>
      </w:r>
      <w:bookmarkEnd w:id="59"/>
      <w:r/>
      <w:bookmarkEnd w:id="60"/>
      <w:r/>
      <w:bookmarkEnd w:id="61"/>
      <w:r>
        <w:rPr>
          <w:rFonts w:hint="eastAsia" w:ascii="宋体" w:hAnsi="宋体" w:cs="宋体"/>
          <w:b/>
          <w:bCs/>
          <w:color w:val="000000"/>
          <w:sz w:val="24"/>
          <w:szCs w:val="24"/>
          <w:highlight w:val="none"/>
        </w:rPr>
        <w:t xml:space="preserve">投标人</w:t>
      </w:r>
      <w:r>
        <w:rPr>
          <w:rFonts w:hint="eastAsia" w:ascii="宋体" w:hAnsi="宋体" w:cs="宋体"/>
          <w:b/>
          <w:bCs/>
          <w:color w:val="000000"/>
          <w:sz w:val="24"/>
          <w:szCs w:val="24"/>
          <w:highlight w:val="none"/>
        </w:rPr>
      </w:r>
      <w:r/>
    </w:p>
    <w:p>
      <w:pPr>
        <w:pStyle w:val="1024"/>
        <w:ind w:firstLine="480"/>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2.1满足招标公告中投标人的资格要求的规定。</w:t>
      </w:r>
      <w:r>
        <w:rPr>
          <w:rFonts w:ascii="宋体" w:hAnsi="宋体" w:cs="宋体"/>
          <w:color w:val="000000"/>
          <w:sz w:val="24"/>
          <w:szCs w:val="24"/>
          <w:highlight w:val="none"/>
        </w:rPr>
      </w:r>
      <w:r/>
    </w:p>
    <w:p>
      <w:pPr>
        <w:pStyle w:val="1024"/>
        <w:ind w:firstLine="480"/>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2.2 满足本文件实质性条款的规定。</w:t>
      </w:r>
      <w:r>
        <w:rPr>
          <w:rFonts w:ascii="宋体" w:hAnsi="宋体" w:cs="宋体"/>
          <w:color w:val="000000"/>
          <w:sz w:val="24"/>
          <w:szCs w:val="24"/>
          <w:highlight w:val="none"/>
        </w:rPr>
      </w:r>
      <w:r/>
    </w:p>
    <w:p>
      <w:pPr>
        <w:pStyle w:val="1024"/>
        <w:ind w:firstLine="241"/>
        <w:rPr>
          <w:rFonts w:hint="eastAsia" w:ascii="宋体" w:hAnsi="宋体" w:cs="宋体"/>
          <w:b/>
          <w:bCs/>
          <w:color w:val="000000"/>
          <w:sz w:val="24"/>
          <w:szCs w:val="24"/>
          <w:highlight w:val="none"/>
        </w:rPr>
      </w:pPr>
      <w:r/>
      <w:bookmarkStart w:id="62" w:name="_Toc16938522"/>
      <w:r/>
      <w:bookmarkStart w:id="63" w:name="_Toc20823278"/>
      <w:r/>
      <w:bookmarkStart w:id="64" w:name="_Toc513029206"/>
      <w:r>
        <w:rPr>
          <w:rFonts w:hint="eastAsia" w:ascii="宋体" w:hAnsi="宋体" w:cs="宋体"/>
          <w:b/>
          <w:bCs/>
          <w:color w:val="000000"/>
          <w:sz w:val="24"/>
          <w:szCs w:val="24"/>
          <w:highlight w:val="none"/>
        </w:rPr>
        <w:t xml:space="preserve">3、适用法律</w:t>
      </w:r>
      <w:bookmarkEnd w:id="62"/>
      <w:r/>
      <w:bookmarkEnd w:id="63"/>
      <w:r/>
      <w:bookmarkEnd w:id="64"/>
      <w:r>
        <w:rPr>
          <w:rFonts w:hint="eastAsia" w:ascii="宋体" w:hAnsi="宋体" w:cs="宋体"/>
          <w:b/>
          <w:bCs/>
          <w:color w:val="000000"/>
          <w:sz w:val="24"/>
          <w:szCs w:val="24"/>
          <w:highlight w:val="none"/>
        </w:rPr>
      </w:r>
      <w:r/>
    </w:p>
    <w:p>
      <w:pPr>
        <w:pStyle w:val="1024"/>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3.1 本次招标及由此产生的合同受中华人民共和国有关的法律法规制约和保护。</w:t>
      </w:r>
      <w:r>
        <w:rPr>
          <w:rFonts w:ascii="宋体" w:hAnsi="宋体" w:cs="宋体"/>
          <w:color w:val="000000"/>
          <w:sz w:val="24"/>
          <w:highlight w:val="none"/>
        </w:rPr>
      </w:r>
      <w:r/>
    </w:p>
    <w:p>
      <w:pPr>
        <w:pStyle w:val="1024"/>
        <w:ind w:firstLine="241"/>
        <w:rPr>
          <w:rFonts w:hint="eastAsia" w:ascii="宋体" w:hAnsi="宋体" w:cs="宋体"/>
          <w:b/>
          <w:bCs/>
          <w:color w:val="000000"/>
          <w:sz w:val="24"/>
          <w:szCs w:val="24"/>
          <w:highlight w:val="none"/>
        </w:rPr>
      </w:pPr>
      <w:r/>
      <w:bookmarkStart w:id="65" w:name="_Toc513029207"/>
      <w:r/>
      <w:bookmarkStart w:id="66" w:name="_Toc20823279"/>
      <w:r/>
      <w:bookmarkStart w:id="67" w:name="_Toc16938523"/>
      <w:r/>
      <w:bookmarkStart w:id="68" w:name="_Toc462564067"/>
      <w:r>
        <w:rPr>
          <w:rFonts w:hint="eastAsia" w:ascii="宋体" w:hAnsi="宋体" w:cs="宋体"/>
          <w:b/>
          <w:bCs/>
          <w:color w:val="000000"/>
          <w:sz w:val="24"/>
          <w:szCs w:val="24"/>
          <w:highlight w:val="none"/>
        </w:rPr>
        <w:t xml:space="preserve">4、投标费用</w:t>
      </w:r>
      <w:bookmarkEnd w:id="65"/>
      <w:r/>
      <w:bookmarkEnd w:id="66"/>
      <w:r/>
      <w:bookmarkEnd w:id="67"/>
      <w:r/>
      <w:bookmarkEnd w:id="68"/>
      <w:r>
        <w:rPr>
          <w:rFonts w:hint="eastAsia" w:ascii="宋体" w:hAnsi="宋体" w:cs="宋体"/>
          <w:b/>
          <w:bCs/>
          <w:color w:val="000000"/>
          <w:sz w:val="24"/>
          <w:szCs w:val="24"/>
          <w:highlight w:val="none"/>
        </w:rPr>
      </w:r>
      <w:r/>
    </w:p>
    <w:p>
      <w:pPr>
        <w:pStyle w:val="1024"/>
        <w:ind w:firstLine="480"/>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4.1 投标人应自行承担所有与参加投标有关的费用，无论投标过程中的做法和结果如何，盐城市招标代理有限公司（以下简称“招标代理机构”）在任何情况下均无义务和责任承担这些费用。</w:t>
      </w:r>
      <w:r>
        <w:rPr>
          <w:rFonts w:hint="eastAsia" w:ascii="宋体" w:hAnsi="宋体" w:cs="宋体"/>
          <w:color w:val="000000"/>
          <w:sz w:val="24"/>
          <w:highlight w:val="none"/>
        </w:rPr>
      </w:r>
      <w:r/>
    </w:p>
    <w:p>
      <w:pPr>
        <w:pStyle w:val="1024"/>
        <w:ind w:firstLine="480"/>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4.2本次招标招标人和“招标代理机构”不收取标书工本费。</w:t>
      </w:r>
      <w:r>
        <w:rPr>
          <w:rFonts w:hint="eastAsia" w:ascii="宋体" w:hAnsi="宋体" w:cs="宋体"/>
          <w:color w:val="000000"/>
          <w:sz w:val="24"/>
          <w:highlight w:val="none"/>
        </w:rPr>
      </w:r>
      <w:r/>
    </w:p>
    <w:p>
      <w:pPr>
        <w:pStyle w:val="1024"/>
        <w:ind w:firstLine="480"/>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4.3本项目招标代理服务费由招标人支付，按《江苏省招标代理服务收费的指导意见》（苏招协[2022]002）的收费标准的0.01%计取，项目代理费用计算少于5000元，按5000元结算。各投标人在投标报价无需考虑该项费用。</w:t>
      </w:r>
      <w:r>
        <w:rPr>
          <w:rFonts w:hint="eastAsia" w:ascii="宋体" w:hAnsi="宋体" w:cs="宋体"/>
          <w:color w:val="000000"/>
          <w:sz w:val="24"/>
          <w:highlight w:val="none"/>
        </w:rPr>
      </w:r>
      <w:r/>
    </w:p>
    <w:p>
      <w:pPr>
        <w:pStyle w:val="1024"/>
        <w:ind w:firstLine="241"/>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5、招标文件的约束力</w:t>
      </w:r>
      <w:r>
        <w:rPr>
          <w:rFonts w:hint="eastAsia" w:ascii="宋体" w:hAnsi="宋体" w:cs="宋体"/>
          <w:b/>
          <w:bCs/>
          <w:color w:val="000000"/>
          <w:sz w:val="24"/>
          <w:szCs w:val="24"/>
          <w:highlight w:val="none"/>
        </w:rPr>
      </w:r>
      <w:r/>
    </w:p>
    <w:p>
      <w:pPr>
        <w:pStyle w:val="1024"/>
        <w:ind w:firstLine="480"/>
        <w:spacing w:line="400" w:lineRule="exact"/>
        <w:rPr>
          <w:rFonts w:hint="eastAsia" w:ascii="宋体" w:hAnsi="宋体" w:cs="宋体"/>
          <w:color w:val="000000"/>
          <w:sz w:val="24"/>
          <w:highlight w:val="none"/>
        </w:rPr>
      </w:pPr>
      <w:r/>
      <w:bookmarkStart w:id="69" w:name="_Toc16938525"/>
      <w:r/>
      <w:bookmarkStart w:id="70" w:name="_Toc513029209"/>
      <w:r/>
      <w:bookmarkStart w:id="71" w:name="_Toc20823281"/>
      <w:r/>
      <w:bookmarkStart w:id="72" w:name="_Toc120614215"/>
      <w:r>
        <w:rPr>
          <w:rFonts w:hint="eastAsia" w:ascii="宋体" w:hAnsi="宋体" w:cs="宋体"/>
          <w:color w:val="000000"/>
          <w:sz w:val="24"/>
          <w:highlight w:val="none"/>
        </w:rPr>
        <w:t xml:space="preserve">5.1投标人一旦参加本项目采购活动，即被认为接受了本招标文件的规定和约束。</w:t>
      </w:r>
      <w:r>
        <w:rPr>
          <w:rFonts w:hint="eastAsia" w:ascii="宋体" w:hAnsi="宋体" w:cs="宋体"/>
          <w:color w:val="000000"/>
          <w:sz w:val="24"/>
          <w:highlight w:val="none"/>
        </w:rPr>
      </w:r>
      <w:r/>
    </w:p>
    <w:p>
      <w:pPr>
        <w:pStyle w:val="1027"/>
        <w:ind w:firstLine="321"/>
        <w:spacing w:before="156" w:after="156" w:line="360" w:lineRule="auto"/>
        <w:rPr>
          <w:rFonts w:ascii="黑体" w:hAnsi="黑体" w:eastAsia="黑体" w:cs="黑体"/>
          <w:color w:val="000000"/>
          <w:highlight w:val="none"/>
        </w:rPr>
      </w:pPr>
      <w:r>
        <w:rPr>
          <w:rFonts w:hint="eastAsia" w:ascii="黑体" w:hAnsi="黑体" w:eastAsia="黑体" w:cs="黑体"/>
          <w:color w:val="000000"/>
          <w:highlight w:val="none"/>
        </w:rPr>
        <w:t xml:space="preserve">二、招标文件</w:t>
      </w:r>
      <w:bookmarkEnd w:id="69"/>
      <w:r/>
      <w:bookmarkEnd w:id="70"/>
      <w:r/>
      <w:bookmarkEnd w:id="71"/>
      <w:r/>
      <w:bookmarkEnd w:id="72"/>
      <w:r>
        <w:rPr>
          <w:rFonts w:ascii="黑体" w:hAnsi="黑体" w:eastAsia="黑体" w:cs="黑体"/>
          <w:color w:val="000000"/>
          <w:highlight w:val="none"/>
        </w:rPr>
      </w:r>
      <w:r/>
    </w:p>
    <w:p>
      <w:pPr>
        <w:pStyle w:val="1024"/>
        <w:ind w:firstLine="241"/>
        <w:rPr>
          <w:rFonts w:hint="eastAsia" w:ascii="宋体" w:hAnsi="宋体" w:cs="宋体"/>
          <w:b/>
          <w:bCs/>
          <w:color w:val="000000"/>
          <w:sz w:val="24"/>
          <w:szCs w:val="24"/>
          <w:highlight w:val="none"/>
        </w:rPr>
      </w:pPr>
      <w:r/>
      <w:bookmarkStart w:id="73" w:name="_Toc16938526"/>
      <w:r/>
      <w:bookmarkStart w:id="74" w:name="_Toc513029210"/>
      <w:r/>
      <w:bookmarkStart w:id="75" w:name="_Toc20823282"/>
      <w:r/>
      <w:bookmarkStart w:id="76" w:name="_Toc513029213"/>
      <w:r/>
      <w:bookmarkStart w:id="77" w:name="_Toc462564072"/>
      <w:r/>
      <w:bookmarkStart w:id="78" w:name="_Toc16938529"/>
      <w:r/>
      <w:bookmarkStart w:id="79" w:name="_Toc20823285"/>
      <w:r/>
      <w:bookmarkStart w:id="80" w:name="_Toc120614216"/>
      <w:r>
        <w:rPr>
          <w:rFonts w:hint="eastAsia" w:ascii="宋体" w:hAnsi="宋体" w:cs="宋体"/>
          <w:b/>
          <w:bCs/>
          <w:color w:val="000000"/>
          <w:sz w:val="24"/>
          <w:szCs w:val="24"/>
          <w:highlight w:val="none"/>
        </w:rPr>
        <w:t xml:space="preserve">6、招标文件构成</w:t>
      </w:r>
      <w:bookmarkEnd w:id="73"/>
      <w:r/>
      <w:bookmarkEnd w:id="74"/>
      <w:r/>
      <w:bookmarkEnd w:id="75"/>
      <w:r>
        <w:rPr>
          <w:rFonts w:hint="eastAsia" w:ascii="宋体" w:hAnsi="宋体" w:cs="宋体"/>
          <w:b/>
          <w:bCs/>
          <w:color w:val="000000"/>
          <w:sz w:val="24"/>
          <w:szCs w:val="24"/>
          <w:highlight w:val="none"/>
        </w:rPr>
      </w:r>
      <w:r/>
    </w:p>
    <w:p>
      <w:pPr>
        <w:pStyle w:val="1024"/>
        <w:ind w:firstLine="480"/>
        <w:spacing w:line="500" w:lineRule="exact"/>
        <w:rPr>
          <w:rFonts w:hint="eastAsia" w:ascii="宋体" w:hAnsi="宋体" w:cs="宋体"/>
          <w:color w:val="000000"/>
          <w:sz w:val="24"/>
          <w:highlight w:val="none"/>
        </w:rPr>
      </w:pPr>
      <w:r>
        <w:rPr>
          <w:rFonts w:hint="eastAsia" w:ascii="宋体" w:hAnsi="宋体" w:cs="宋体"/>
          <w:bCs/>
          <w:color w:val="000000"/>
          <w:sz w:val="24"/>
          <w:highlight w:val="none"/>
        </w:rPr>
        <w:t xml:space="preserve">6.1</w:t>
      </w:r>
      <w:r>
        <w:rPr>
          <w:rFonts w:hint="eastAsia" w:ascii="宋体" w:hAnsi="宋体" w:cs="宋体"/>
          <w:color w:val="000000"/>
          <w:sz w:val="24"/>
          <w:highlight w:val="none"/>
        </w:rPr>
        <w:t xml:space="preserve"> 招标文件有以下部分组成：</w:t>
      </w:r>
      <w:r>
        <w:rPr>
          <w:rFonts w:hint="eastAsia" w:ascii="宋体" w:hAnsi="宋体" w:cs="宋体"/>
          <w:color w:val="000000"/>
          <w:sz w:val="24"/>
          <w:highlight w:val="none"/>
        </w:rPr>
      </w:r>
      <w:r/>
    </w:p>
    <w:p>
      <w:pPr>
        <w:pStyle w:val="1024"/>
        <w:ind w:firstLine="480"/>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（1）招标公告</w:t>
      </w:r>
      <w:r>
        <w:rPr>
          <w:rFonts w:hint="eastAsia" w:ascii="宋体" w:hAnsi="宋体" w:cs="宋体"/>
          <w:color w:val="000000"/>
          <w:sz w:val="24"/>
          <w:szCs w:val="24"/>
          <w:highlight w:val="none"/>
        </w:rPr>
      </w:r>
      <w:r/>
    </w:p>
    <w:p>
      <w:pPr>
        <w:pStyle w:val="1024"/>
        <w:ind w:firstLine="480"/>
        <w:spacing w:line="500" w:lineRule="exact"/>
        <w:rPr>
          <w:rFonts w:hint="eastAsia" w:ascii="宋体" w:hAnsi="宋体" w:cs="宋体"/>
          <w:color w:val="000000"/>
          <w:sz w:val="24"/>
          <w:highlight w:val="none"/>
        </w:rPr>
      </w:pPr>
      <w:r>
        <w:rPr>
          <w:rFonts w:hint="eastAsia" w:ascii="宋体" w:hAnsi="宋体" w:cs="宋体"/>
          <w:color w:val="000000"/>
          <w:sz w:val="24"/>
          <w:szCs w:val="24"/>
          <w:highlight w:val="none"/>
        </w:rPr>
        <w:t xml:space="preserve">（2）投标人</w:t>
      </w:r>
      <w:r>
        <w:rPr>
          <w:rFonts w:hint="eastAsia" w:ascii="宋体" w:hAnsi="宋体" w:cs="宋体"/>
          <w:color w:val="000000"/>
          <w:sz w:val="24"/>
          <w:highlight w:val="none"/>
        </w:rPr>
        <w:t xml:space="preserve">须知</w:t>
      </w:r>
      <w:r>
        <w:rPr>
          <w:rFonts w:hint="eastAsia" w:ascii="宋体" w:hAnsi="宋体" w:cs="宋体"/>
          <w:color w:val="000000"/>
          <w:sz w:val="24"/>
          <w:highlight w:val="none"/>
        </w:rPr>
      </w:r>
      <w:r/>
    </w:p>
    <w:p>
      <w:pPr>
        <w:pStyle w:val="1024"/>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（3）合同条款及格式</w:t>
      </w:r>
      <w:r>
        <w:rPr>
          <w:rFonts w:hint="eastAsia" w:ascii="宋体" w:hAnsi="宋体" w:cs="宋体"/>
          <w:color w:val="000000"/>
          <w:sz w:val="24"/>
          <w:highlight w:val="none"/>
        </w:rPr>
      </w:r>
      <w:r/>
    </w:p>
    <w:p>
      <w:pPr>
        <w:pStyle w:val="1024"/>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（4）项目需求</w:t>
      </w:r>
      <w:r>
        <w:rPr>
          <w:rFonts w:hint="eastAsia" w:ascii="宋体" w:hAnsi="宋体" w:cs="宋体"/>
          <w:color w:val="000000"/>
          <w:sz w:val="24"/>
          <w:highlight w:val="none"/>
        </w:rPr>
      </w:r>
      <w:r/>
    </w:p>
    <w:p>
      <w:pPr>
        <w:pStyle w:val="1024"/>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（5）评标方法与评标标准</w:t>
      </w:r>
      <w:r>
        <w:rPr>
          <w:rFonts w:hint="eastAsia" w:ascii="宋体" w:hAnsi="宋体" w:cs="宋体"/>
          <w:color w:val="000000"/>
          <w:sz w:val="24"/>
          <w:highlight w:val="none"/>
        </w:rPr>
      </w:r>
      <w:r/>
    </w:p>
    <w:p>
      <w:pPr>
        <w:pStyle w:val="1024"/>
        <w:ind w:firstLine="480"/>
        <w:spacing w:line="500" w:lineRule="exact"/>
        <w:rPr>
          <w:rFonts w:hint="eastAsia" w:ascii="宋体" w:hAnsi="宋体" w:cs="宋体"/>
          <w:color w:val="000000"/>
          <w:sz w:val="24"/>
          <w:szCs w:val="24"/>
          <w:highlight w:val="none"/>
        </w:rPr>
      </w:pPr>
      <w:r>
        <w:rPr>
          <w:rFonts w:hint="eastAsia" w:ascii="宋体" w:hAnsi="宋体" w:cs="宋体"/>
          <w:color w:val="000000"/>
          <w:sz w:val="24"/>
          <w:highlight w:val="none"/>
        </w:rPr>
        <w:t xml:space="preserve">（6）投标文件格式</w:t>
      </w:r>
      <w:r>
        <w:rPr>
          <w:rFonts w:hint="eastAsia" w:ascii="宋体" w:hAnsi="宋体" w:cs="宋体"/>
          <w:color w:val="000000"/>
          <w:sz w:val="24"/>
          <w:szCs w:val="24"/>
          <w:highlight w:val="none"/>
        </w:rPr>
      </w:r>
      <w:r/>
    </w:p>
    <w:p>
      <w:pPr>
        <w:pStyle w:val="1024"/>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请仔细检查招标文件是否齐全，如有缺漏请立即与招标代理机构联系解决。</w:t>
      </w:r>
      <w:r>
        <w:rPr>
          <w:rFonts w:hint="eastAsia" w:ascii="宋体" w:hAnsi="宋体" w:cs="宋体"/>
          <w:color w:val="000000"/>
          <w:sz w:val="24"/>
          <w:highlight w:val="none"/>
        </w:rPr>
      </w:r>
      <w:r/>
    </w:p>
    <w:p>
      <w:pPr>
        <w:pStyle w:val="1024"/>
        <w:ind w:firstLine="480"/>
        <w:spacing w:line="500" w:lineRule="exact"/>
        <w:rPr>
          <w:rFonts w:hint="eastAsia" w:ascii="宋体" w:hAnsi="宋体" w:cs="宋体"/>
          <w:color w:val="000000"/>
          <w:sz w:val="24"/>
          <w:highlight w:val="none"/>
        </w:rPr>
      </w:pPr>
      <w:r>
        <w:rPr>
          <w:rFonts w:hint="eastAsia" w:ascii="宋体" w:hAnsi="宋体" w:cs="宋体"/>
          <w:bCs/>
          <w:color w:val="000000"/>
          <w:sz w:val="24"/>
          <w:highlight w:val="none"/>
        </w:rPr>
        <w:t xml:space="preserve">6.2</w:t>
      </w:r>
      <w:r>
        <w:rPr>
          <w:rFonts w:hint="eastAsia" w:ascii="宋体" w:hAnsi="宋体" w:cs="宋体"/>
          <w:color w:val="000000"/>
          <w:sz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s="宋体"/>
          <w:color w:val="000000"/>
          <w:sz w:val="24"/>
          <w:highlight w:val="none"/>
        </w:rPr>
      </w:r>
      <w:r/>
    </w:p>
    <w:p>
      <w:pPr>
        <w:pStyle w:val="1024"/>
        <w:ind w:firstLine="241"/>
        <w:rPr>
          <w:rFonts w:hint="eastAsia" w:ascii="宋体" w:hAnsi="宋体" w:cs="宋体"/>
          <w:b/>
          <w:bCs/>
          <w:color w:val="000000"/>
          <w:sz w:val="24"/>
          <w:szCs w:val="24"/>
          <w:highlight w:val="none"/>
        </w:rPr>
      </w:pPr>
      <w:r/>
      <w:bookmarkStart w:id="81" w:name="_Toc20823283"/>
      <w:r/>
      <w:bookmarkStart w:id="82" w:name="_Toc513029211"/>
      <w:r/>
      <w:bookmarkStart w:id="83" w:name="_Toc462564070"/>
      <w:r/>
      <w:bookmarkStart w:id="84" w:name="_Toc16938527"/>
      <w:r>
        <w:rPr>
          <w:rFonts w:hint="eastAsia" w:ascii="宋体" w:hAnsi="宋体" w:cs="宋体"/>
          <w:b/>
          <w:bCs/>
          <w:color w:val="000000"/>
          <w:sz w:val="24"/>
          <w:szCs w:val="24"/>
          <w:highlight w:val="none"/>
        </w:rPr>
        <w:t xml:space="preserve">7、招标文件的</w:t>
      </w:r>
      <w:bookmarkEnd w:id="81"/>
      <w:r/>
      <w:bookmarkEnd w:id="82"/>
      <w:r/>
      <w:bookmarkEnd w:id="83"/>
      <w:r/>
      <w:bookmarkEnd w:id="84"/>
      <w:r>
        <w:rPr>
          <w:rFonts w:hint="eastAsia" w:ascii="宋体" w:hAnsi="宋体" w:cs="宋体"/>
          <w:b/>
          <w:bCs/>
          <w:color w:val="000000"/>
          <w:sz w:val="24"/>
          <w:szCs w:val="24"/>
          <w:highlight w:val="none"/>
        </w:rPr>
        <w:t xml:space="preserve">澄清</w:t>
      </w:r>
      <w:r>
        <w:rPr>
          <w:rFonts w:hint="eastAsia" w:ascii="宋体" w:hAnsi="宋体" w:cs="宋体"/>
          <w:b/>
          <w:bCs/>
          <w:color w:val="000000"/>
          <w:sz w:val="24"/>
          <w:szCs w:val="24"/>
          <w:highlight w:val="none"/>
        </w:rPr>
      </w:r>
      <w:r/>
    </w:p>
    <w:p>
      <w:pPr>
        <w:pStyle w:val="1024"/>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7.1 任何要求对招标文件进行澄清的投标人，应在投标截止日期</w:t>
      </w:r>
      <w:r>
        <w:rPr>
          <w:rFonts w:hint="eastAsia" w:ascii="宋体" w:hAnsi="宋体" w:cs="宋体"/>
          <w:b/>
          <w:bCs/>
          <w:color w:val="000000"/>
          <w:sz w:val="24"/>
          <w:highlight w:val="none"/>
        </w:rPr>
        <w:t xml:space="preserve">十日</w:t>
      </w:r>
      <w:r>
        <w:rPr>
          <w:rFonts w:hint="eastAsia" w:ascii="宋体" w:hAnsi="宋体" w:cs="宋体"/>
          <w:color w:val="000000"/>
          <w:sz w:val="24"/>
          <w:highlight w:val="none"/>
        </w:rPr>
        <w:t xml:space="preserve">前按招标公告中的通讯地址，以书面形式通知招标代理机构。</w:t>
      </w:r>
      <w:r>
        <w:rPr>
          <w:rFonts w:hint="eastAsia" w:ascii="宋体" w:hAnsi="宋体" w:cs="宋体"/>
          <w:color w:val="000000"/>
          <w:sz w:val="24"/>
          <w:highlight w:val="none"/>
        </w:rPr>
      </w:r>
      <w:r/>
    </w:p>
    <w:p>
      <w:pPr>
        <w:pStyle w:val="1024"/>
        <w:ind w:firstLine="241"/>
        <w:rPr>
          <w:rFonts w:hint="eastAsia" w:ascii="宋体" w:hAnsi="宋体" w:cs="宋体"/>
          <w:b/>
          <w:bCs/>
          <w:color w:val="000000"/>
          <w:sz w:val="24"/>
          <w:szCs w:val="24"/>
          <w:highlight w:val="none"/>
        </w:rPr>
      </w:pPr>
      <w:r/>
      <w:bookmarkStart w:id="85" w:name="_Toc20823284"/>
      <w:r/>
      <w:bookmarkStart w:id="86" w:name="_Toc513029212"/>
      <w:r/>
      <w:bookmarkStart w:id="87" w:name="_Toc16938528"/>
      <w:r/>
      <w:bookmarkStart w:id="88" w:name="_Toc462564071"/>
      <w:r>
        <w:rPr>
          <w:rFonts w:hint="eastAsia" w:ascii="宋体" w:hAnsi="宋体" w:cs="宋体"/>
          <w:b/>
          <w:bCs/>
          <w:color w:val="000000"/>
          <w:sz w:val="24"/>
          <w:szCs w:val="24"/>
          <w:highlight w:val="none"/>
        </w:rPr>
        <w:t xml:space="preserve">8、招标文件的修改</w:t>
      </w:r>
      <w:bookmarkEnd w:id="85"/>
      <w:r/>
      <w:bookmarkEnd w:id="86"/>
      <w:r/>
      <w:bookmarkEnd w:id="87"/>
      <w:r/>
      <w:bookmarkEnd w:id="88"/>
      <w:r>
        <w:rPr>
          <w:rFonts w:hint="eastAsia" w:ascii="宋体" w:hAnsi="宋体" w:cs="宋体"/>
          <w:b/>
          <w:bCs/>
          <w:color w:val="000000"/>
          <w:sz w:val="24"/>
          <w:szCs w:val="24"/>
          <w:highlight w:val="none"/>
        </w:rPr>
      </w:r>
      <w:r/>
    </w:p>
    <w:p>
      <w:pPr>
        <w:pStyle w:val="1024"/>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8.1 在投标截止时间前，招标人可以对招标文件进行修改。</w:t>
      </w:r>
      <w:r>
        <w:rPr>
          <w:rFonts w:hint="eastAsia" w:ascii="宋体" w:hAnsi="宋体" w:cs="宋体"/>
          <w:color w:val="000000"/>
          <w:sz w:val="24"/>
          <w:highlight w:val="none"/>
        </w:rPr>
      </w:r>
      <w:r/>
    </w:p>
    <w:p>
      <w:pPr>
        <w:pStyle w:val="1024"/>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8.2招标人和招标代理机构有权按照法定的要求推迟投标截止日期和开标日期。</w:t>
      </w:r>
      <w:r>
        <w:rPr>
          <w:rFonts w:hint="eastAsia" w:ascii="宋体" w:hAnsi="宋体" w:cs="宋体"/>
          <w:color w:val="000000"/>
          <w:sz w:val="24"/>
          <w:highlight w:val="none"/>
        </w:rPr>
      </w:r>
      <w:r/>
    </w:p>
    <w:p>
      <w:pPr>
        <w:pStyle w:val="1024"/>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8.3招标文件的修改将在中国政府采购网、江苏政府采购网、盐城市政府采购网公布，补充文件将作为招标文件的组成部分，并对投标人具有约束力。</w:t>
      </w:r>
      <w:r>
        <w:rPr>
          <w:rFonts w:hint="eastAsia" w:ascii="宋体" w:hAnsi="宋体" w:cs="宋体"/>
          <w:color w:val="000000"/>
          <w:sz w:val="24"/>
          <w:highlight w:val="none"/>
        </w:rPr>
      </w:r>
      <w:r/>
    </w:p>
    <w:p>
      <w:pPr>
        <w:pStyle w:val="1027"/>
        <w:ind w:firstLine="321"/>
        <w:spacing w:before="156" w:after="156" w:line="360" w:lineRule="auto"/>
        <w:rPr>
          <w:rFonts w:ascii="黑体" w:hAnsi="黑体" w:eastAsia="黑体" w:cs="黑体"/>
          <w:color w:val="000000"/>
          <w:highlight w:val="none"/>
        </w:rPr>
      </w:pPr>
      <w:r>
        <w:rPr>
          <w:rFonts w:hint="eastAsia" w:ascii="黑体" w:hAnsi="黑体" w:eastAsia="黑体" w:cs="黑体"/>
          <w:color w:val="000000"/>
          <w:highlight w:val="none"/>
        </w:rPr>
        <w:t xml:space="preserve">三、投标文件的编制</w:t>
      </w:r>
      <w:bookmarkEnd w:id="76"/>
      <w:r/>
      <w:bookmarkEnd w:id="77"/>
      <w:r/>
      <w:bookmarkEnd w:id="78"/>
      <w:r/>
      <w:bookmarkEnd w:id="79"/>
      <w:r/>
      <w:bookmarkEnd w:id="80"/>
      <w:r>
        <w:rPr>
          <w:rFonts w:ascii="黑体" w:hAnsi="黑体" w:eastAsia="黑体" w:cs="黑体"/>
          <w:color w:val="000000"/>
          <w:highlight w:val="none"/>
        </w:rPr>
      </w:r>
      <w:r/>
    </w:p>
    <w:p>
      <w:pPr>
        <w:pStyle w:val="1024"/>
        <w:ind w:firstLine="241"/>
        <w:rPr>
          <w:rFonts w:hint="eastAsia" w:ascii="宋体" w:hAnsi="宋体" w:cs="宋体"/>
          <w:b/>
          <w:bCs/>
          <w:color w:val="000000"/>
          <w:sz w:val="24"/>
          <w:szCs w:val="24"/>
          <w:highlight w:val="none"/>
        </w:rPr>
      </w:pPr>
      <w:r/>
      <w:bookmarkStart w:id="89" w:name="_Toc513029214"/>
      <w:r/>
      <w:bookmarkStart w:id="90" w:name="_Toc462564073"/>
      <w:r/>
      <w:bookmarkStart w:id="91" w:name="_Toc20823286"/>
      <w:r/>
      <w:bookmarkStart w:id="92" w:name="_Toc16938530"/>
      <w:r/>
      <w:bookmarkStart w:id="93" w:name="_Toc120614217"/>
      <w:r/>
      <w:bookmarkStart w:id="94" w:name="_Toc16938540"/>
      <w:r/>
      <w:bookmarkStart w:id="95" w:name="_Toc20823296"/>
      <w:r/>
      <w:bookmarkStart w:id="96" w:name="_Toc513029224"/>
      <w:r>
        <w:rPr>
          <w:rFonts w:hint="eastAsia" w:ascii="宋体" w:hAnsi="宋体" w:cs="宋体"/>
          <w:b/>
          <w:bCs/>
          <w:color w:val="000000"/>
          <w:sz w:val="24"/>
          <w:szCs w:val="24"/>
          <w:highlight w:val="none"/>
        </w:rPr>
        <w:t xml:space="preserve">9、投标文件的语言及度量衡单位</w:t>
      </w:r>
      <w:bookmarkEnd w:id="89"/>
      <w:r/>
      <w:bookmarkEnd w:id="90"/>
      <w:r/>
      <w:bookmarkEnd w:id="91"/>
      <w:r/>
      <w:bookmarkEnd w:id="92"/>
      <w:r>
        <w:rPr>
          <w:rFonts w:hint="eastAsia" w:ascii="宋体" w:hAnsi="宋体" w:cs="宋体"/>
          <w:b/>
          <w:bCs/>
          <w:color w:val="000000"/>
          <w:sz w:val="24"/>
          <w:szCs w:val="24"/>
          <w:highlight w:val="none"/>
        </w:rPr>
      </w:r>
      <w:r/>
    </w:p>
    <w:p>
      <w:pPr>
        <w:pStyle w:val="1024"/>
        <w:ind w:firstLine="480"/>
        <w:spacing w:line="500" w:lineRule="exact"/>
        <w:rPr>
          <w:rFonts w:hint="eastAsia" w:ascii="宋体" w:hAnsi="宋体" w:cs="宋体"/>
          <w:color w:val="000000"/>
          <w:sz w:val="24"/>
          <w:highlight w:val="none"/>
        </w:rPr>
      </w:pPr>
      <w:r>
        <w:rPr>
          <w:rFonts w:hint="eastAsia" w:ascii="宋体" w:hAnsi="宋体" w:cs="宋体"/>
          <w:bCs/>
          <w:color w:val="000000"/>
          <w:sz w:val="24"/>
          <w:highlight w:val="none"/>
        </w:rPr>
        <w:t xml:space="preserve">9.1</w:t>
      </w:r>
      <w:r>
        <w:rPr>
          <w:rFonts w:hint="eastAsia" w:ascii="宋体" w:hAnsi="宋体" w:cs="宋体"/>
          <w:color w:val="000000"/>
          <w:sz w:val="24"/>
          <w:highlight w:val="none"/>
        </w:rPr>
        <w:t xml:space="preserve"> 投标人提交的投标文件以及投标人与招标人、招标代理机构就有关投标的所有来往通知、函件和文件均应使用</w:t>
      </w:r>
      <w:r>
        <w:rPr>
          <w:rFonts w:hint="eastAsia" w:ascii="宋体" w:hAnsi="宋体" w:cs="宋体"/>
          <w:b/>
          <w:bCs/>
          <w:color w:val="000000"/>
          <w:sz w:val="24"/>
          <w:highlight w:val="none"/>
        </w:rPr>
        <w:t xml:space="preserve">简体中文</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24"/>
        <w:ind w:firstLine="480"/>
        <w:spacing w:line="500" w:lineRule="exact"/>
        <w:rPr>
          <w:rFonts w:hint="eastAsia" w:ascii="宋体" w:hAnsi="宋体" w:cs="宋体"/>
          <w:color w:val="000000"/>
          <w:sz w:val="24"/>
          <w:highlight w:val="none"/>
        </w:rPr>
      </w:pPr>
      <w:r>
        <w:rPr>
          <w:rFonts w:hint="eastAsia" w:ascii="宋体" w:hAnsi="宋体" w:cs="宋体"/>
          <w:bCs/>
          <w:color w:val="000000"/>
          <w:sz w:val="24"/>
          <w:highlight w:val="none"/>
        </w:rPr>
        <w:t xml:space="preserve">9.2</w:t>
      </w:r>
      <w:r>
        <w:rPr>
          <w:rFonts w:hint="eastAsia" w:ascii="宋体" w:hAnsi="宋体" w:cs="宋体"/>
          <w:color w:val="000000"/>
          <w:sz w:val="24"/>
          <w:highlight w:val="none"/>
        </w:rPr>
        <w:t xml:space="preserve"> 除技术性能另有规定外，投标文件所使用的度量衡单位，均须采用国家法定计量单位。</w:t>
      </w:r>
      <w:r>
        <w:rPr>
          <w:rFonts w:hint="eastAsia" w:ascii="宋体" w:hAnsi="宋体" w:cs="宋体"/>
          <w:color w:val="000000"/>
          <w:sz w:val="24"/>
          <w:highlight w:val="none"/>
        </w:rPr>
      </w:r>
      <w:r/>
    </w:p>
    <w:p>
      <w:pPr>
        <w:pStyle w:val="1024"/>
        <w:ind w:firstLine="241"/>
        <w:rPr>
          <w:rFonts w:hint="eastAsia" w:ascii="宋体" w:hAnsi="宋体" w:cs="宋体"/>
          <w:b/>
          <w:bCs/>
          <w:color w:val="000000"/>
          <w:sz w:val="24"/>
          <w:szCs w:val="24"/>
          <w:highlight w:val="none"/>
        </w:rPr>
      </w:pPr>
      <w:r/>
      <w:bookmarkStart w:id="97" w:name="_Toc462564074"/>
      <w:r/>
      <w:bookmarkStart w:id="98" w:name="_Toc20823287"/>
      <w:r/>
      <w:bookmarkStart w:id="99" w:name="_Toc16938531"/>
      <w:r/>
      <w:bookmarkStart w:id="100" w:name="_Toc513029215"/>
      <w:r>
        <w:rPr>
          <w:rFonts w:hint="eastAsia" w:ascii="宋体" w:hAnsi="宋体" w:cs="宋体"/>
          <w:b/>
          <w:bCs/>
          <w:color w:val="000000"/>
          <w:sz w:val="24"/>
          <w:szCs w:val="24"/>
          <w:highlight w:val="none"/>
        </w:rPr>
        <w:t xml:space="preserve">10、投标文件构成</w:t>
      </w:r>
      <w:bookmarkEnd w:id="97"/>
      <w:r/>
      <w:bookmarkEnd w:id="98"/>
      <w:r/>
      <w:bookmarkEnd w:id="99"/>
      <w:r/>
      <w:bookmarkEnd w:id="100"/>
      <w:r>
        <w:rPr>
          <w:rFonts w:hint="eastAsia" w:ascii="宋体" w:hAnsi="宋体" w:cs="宋体"/>
          <w:b/>
          <w:bCs/>
          <w:color w:val="000000"/>
          <w:sz w:val="24"/>
          <w:szCs w:val="24"/>
          <w:highlight w:val="none"/>
        </w:rPr>
      </w:r>
      <w:r/>
    </w:p>
    <w:p>
      <w:pPr>
        <w:pStyle w:val="1024"/>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10.1 投标人编写的投标文件应包括资格证明文件、符合性证明文件、投标分项报价表、技术要求响应及偏离表、商务要求响应及偏离表、其他证明文件、投标函、开标一览表等部分。</w:t>
      </w:r>
      <w:r>
        <w:rPr>
          <w:rFonts w:hint="eastAsia" w:ascii="宋体" w:hAnsi="宋体" w:cs="宋体"/>
          <w:color w:val="000000"/>
          <w:sz w:val="24"/>
          <w:highlight w:val="none"/>
        </w:rPr>
      </w:r>
      <w:r/>
    </w:p>
    <w:p>
      <w:pPr>
        <w:pStyle w:val="1024"/>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10.2 如标书制作工具中格式和内容与“中国政府采购网”、“江苏政府采购网”、“盐城市政府采购网”发布的招标文件不一致，请以“中国政府采购网”、“江苏政府采购网”、“盐城市政府采购网”发布的招标文件为准。</w:t>
      </w:r>
      <w:r>
        <w:rPr>
          <w:rFonts w:hint="eastAsia" w:ascii="宋体" w:hAnsi="宋体" w:cs="宋体"/>
          <w:color w:val="000000"/>
          <w:sz w:val="24"/>
          <w:highlight w:val="none"/>
        </w:rPr>
      </w:r>
      <w:r/>
    </w:p>
    <w:p>
      <w:pPr>
        <w:pStyle w:val="1024"/>
        <w:ind w:firstLine="241"/>
        <w:rPr>
          <w:rFonts w:hint="eastAsia" w:ascii="宋体" w:hAnsi="宋体" w:cs="宋体"/>
          <w:b/>
          <w:bCs/>
          <w:color w:val="000000"/>
          <w:sz w:val="24"/>
          <w:szCs w:val="24"/>
          <w:highlight w:val="none"/>
        </w:rPr>
      </w:pPr>
      <w:r/>
      <w:bookmarkStart w:id="101" w:name="_Toc49090509"/>
      <w:r/>
      <w:bookmarkStart w:id="102" w:name="_Toc513029219"/>
      <w:r/>
      <w:bookmarkStart w:id="103" w:name="_Toc14577357"/>
      <w:r/>
      <w:bookmarkStart w:id="104" w:name="_Toc14577354"/>
      <w:r/>
      <w:bookmarkStart w:id="105" w:name="_Toc513029216"/>
      <w:r/>
      <w:bookmarkStart w:id="106" w:name="_Toc49090507"/>
      <w:r/>
      <w:bookmarkStart w:id="107" w:name="_Hlt26668975"/>
      <w:r/>
      <w:bookmarkEnd w:id="107"/>
      <w:r/>
      <w:bookmarkStart w:id="108" w:name="_Hlt26954838"/>
      <w:r/>
      <w:bookmarkEnd w:id="108"/>
      <w:r/>
      <w:bookmarkStart w:id="109" w:name="_Hlt26670360"/>
      <w:r/>
      <w:bookmarkEnd w:id="109"/>
      <w:r>
        <w:rPr>
          <w:rFonts w:hint="eastAsia" w:ascii="宋体" w:hAnsi="宋体" w:cs="宋体"/>
          <w:b/>
          <w:bCs/>
          <w:color w:val="000000"/>
          <w:sz w:val="24"/>
          <w:szCs w:val="24"/>
          <w:highlight w:val="none"/>
        </w:rPr>
        <w:t xml:space="preserve">11、证明投标人资格及符合招标文件规定的文件</w:t>
      </w:r>
      <w:bookmarkEnd w:id="101"/>
      <w:r/>
      <w:bookmarkEnd w:id="102"/>
      <w:r/>
      <w:bookmarkEnd w:id="103"/>
      <w:r>
        <w:rPr>
          <w:rFonts w:hint="eastAsia" w:ascii="宋体" w:hAnsi="宋体" w:cs="宋体"/>
          <w:b/>
          <w:bCs/>
          <w:color w:val="000000"/>
          <w:sz w:val="24"/>
          <w:szCs w:val="24"/>
          <w:highlight w:val="none"/>
        </w:rPr>
      </w:r>
      <w:r/>
    </w:p>
    <w:p>
      <w:pPr>
        <w:pStyle w:val="1024"/>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11.1</w:t>
      </w:r>
      <w:bookmarkStart w:id="110" w:name="_Hlt26668999"/>
      <w:r/>
      <w:bookmarkEnd w:id="110"/>
      <w:r>
        <w:rPr>
          <w:rFonts w:hint="eastAsia" w:ascii="宋体" w:hAnsi="宋体" w:cs="宋体"/>
          <w:color w:val="000000"/>
          <w:sz w:val="24"/>
          <w:highlight w:val="none"/>
        </w:rPr>
        <w:t xml:space="preserve">投标人应按照法律、法规、规章和规范性文件以及招标文件要求提交证明文件，证明其及投标标的符合招标文件规定。</w:t>
      </w:r>
      <w:r>
        <w:rPr>
          <w:rFonts w:hint="eastAsia" w:ascii="宋体" w:hAnsi="宋体" w:cs="宋体"/>
          <w:color w:val="000000"/>
          <w:sz w:val="24"/>
          <w:highlight w:val="none"/>
        </w:rPr>
      </w:r>
      <w:r/>
    </w:p>
    <w:p>
      <w:pPr>
        <w:pStyle w:val="1024"/>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11.2</w:t>
      </w:r>
      <w:bookmarkEnd w:id="104"/>
      <w:r/>
      <w:bookmarkEnd w:id="105"/>
      <w:r/>
      <w:bookmarkEnd w:id="106"/>
      <w:r/>
      <w:bookmarkStart w:id="111" w:name="_Toc49090508"/>
      <w:r/>
      <w:bookmarkStart w:id="112" w:name="_Toc14577355"/>
      <w:r>
        <w:rPr>
          <w:rFonts w:hint="eastAsia" w:ascii="宋体" w:hAnsi="宋体" w:cs="宋体"/>
          <w:color w:val="000000"/>
          <w:sz w:val="24"/>
          <w:highlight w:val="none"/>
        </w:rPr>
        <w:t xml:space="preserve">招标文件对证明文件无明确形式要求的，证明文件可以以文字资料、图纸和数据等形式提交。</w:t>
      </w:r>
      <w:r>
        <w:rPr>
          <w:rFonts w:hint="eastAsia" w:ascii="宋体" w:hAnsi="宋体" w:cs="宋体"/>
          <w:color w:val="000000"/>
          <w:sz w:val="24"/>
          <w:highlight w:val="none"/>
        </w:rPr>
      </w:r>
      <w:r/>
    </w:p>
    <w:p>
      <w:pPr>
        <w:pStyle w:val="1024"/>
        <w:ind w:firstLine="241"/>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12、</w:t>
      </w:r>
      <w:bookmarkEnd w:id="111"/>
      <w:r/>
      <w:bookmarkEnd w:id="112"/>
      <w:r>
        <w:rPr>
          <w:rFonts w:hint="eastAsia" w:ascii="宋体" w:hAnsi="宋体" w:cs="宋体"/>
          <w:b/>
          <w:bCs/>
          <w:color w:val="000000"/>
          <w:sz w:val="24"/>
          <w:szCs w:val="24"/>
          <w:highlight w:val="none"/>
        </w:rPr>
        <w:t xml:space="preserve">投标分项报价表</w:t>
      </w:r>
      <w:r>
        <w:rPr>
          <w:rFonts w:hint="eastAsia" w:ascii="宋体" w:hAnsi="宋体" w:cs="宋体"/>
          <w:b/>
          <w:bCs/>
          <w:color w:val="000000"/>
          <w:sz w:val="24"/>
          <w:szCs w:val="24"/>
          <w:highlight w:val="none"/>
        </w:rPr>
      </w:r>
      <w:r/>
    </w:p>
    <w:p>
      <w:pPr>
        <w:pStyle w:val="1024"/>
        <w:ind w:firstLine="480"/>
        <w:spacing w:line="500" w:lineRule="exact"/>
        <w:rPr>
          <w:rFonts w:hint="eastAsia" w:ascii="宋体" w:hAnsi="宋体" w:cs="宋体"/>
          <w:color w:val="000000"/>
          <w:sz w:val="24"/>
          <w:highlight w:val="none"/>
        </w:rPr>
      </w:pPr>
      <w:r/>
      <w:bookmarkStart w:id="113" w:name="_Hlt26954846"/>
      <w:r/>
      <w:bookmarkEnd w:id="113"/>
      <w:r/>
      <w:bookmarkStart w:id="114" w:name="_Hlt26954848"/>
      <w:r/>
      <w:bookmarkEnd w:id="114"/>
      <w:r/>
      <w:bookmarkStart w:id="115" w:name="_Hlt26670486"/>
      <w:r/>
      <w:bookmarkEnd w:id="115"/>
      <w:r/>
      <w:bookmarkStart w:id="116" w:name="_Hlt26954731"/>
      <w:r/>
      <w:bookmarkEnd w:id="116"/>
      <w:r/>
      <w:bookmarkStart w:id="117" w:name="_Hlt26670482"/>
      <w:r/>
      <w:bookmarkEnd w:id="117"/>
      <w:r>
        <w:rPr>
          <w:rFonts w:hint="eastAsia" w:ascii="宋体" w:hAnsi="宋体" w:cs="宋体"/>
          <w:color w:val="000000"/>
          <w:sz w:val="24"/>
          <w:highlight w:val="none"/>
        </w:rPr>
        <w:t xml:space="preserve">12.1投标人应按照招标文件规定格式填报投标分项报价表。</w:t>
      </w:r>
      <w:r>
        <w:rPr>
          <w:rFonts w:hint="eastAsia" w:ascii="宋体" w:hAnsi="宋体" w:cs="宋体"/>
          <w:color w:val="000000"/>
          <w:sz w:val="24"/>
          <w:highlight w:val="none"/>
        </w:rPr>
      </w:r>
      <w:r/>
    </w:p>
    <w:p>
      <w:pPr>
        <w:pStyle w:val="1024"/>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12.2投标货币。投标文件中的单价和总价无特殊规定的，采用人民币报价，以元为单位标注。招标文件中另有规定的按规定执行。</w:t>
      </w:r>
      <w:r>
        <w:rPr>
          <w:rFonts w:hint="eastAsia" w:ascii="宋体" w:hAnsi="宋体" w:cs="宋体"/>
          <w:color w:val="000000"/>
          <w:sz w:val="24"/>
          <w:highlight w:val="none"/>
        </w:rPr>
      </w:r>
      <w:r/>
    </w:p>
    <w:p>
      <w:pPr>
        <w:pStyle w:val="1024"/>
        <w:ind w:firstLine="241"/>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13、技术参数响应及偏离表、商务条款响应及偏离表</w:t>
      </w:r>
      <w:r>
        <w:rPr>
          <w:rFonts w:hint="eastAsia" w:ascii="宋体" w:hAnsi="宋体" w:cs="宋体"/>
          <w:b/>
          <w:bCs/>
          <w:color w:val="000000"/>
          <w:sz w:val="24"/>
          <w:szCs w:val="24"/>
          <w:highlight w:val="none"/>
        </w:rPr>
      </w:r>
      <w:r/>
    </w:p>
    <w:p>
      <w:pPr>
        <w:pStyle w:val="1024"/>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13.1投标人需对招标文件中的技术要求与商务要求逐项作出响应或偏离，并说明原因。</w:t>
      </w:r>
      <w:r>
        <w:rPr>
          <w:rFonts w:hint="eastAsia" w:ascii="宋体" w:hAnsi="宋体" w:cs="宋体"/>
          <w:color w:val="000000"/>
          <w:sz w:val="24"/>
          <w:highlight w:val="none"/>
        </w:rPr>
      </w:r>
      <w:r/>
    </w:p>
    <w:p>
      <w:pPr>
        <w:pStyle w:val="1024"/>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13.2投标人可在投标文件中提供认为需要的其他技术文件或说明。</w:t>
      </w:r>
      <w:r>
        <w:rPr>
          <w:rFonts w:hint="eastAsia" w:ascii="宋体" w:hAnsi="宋体" w:cs="宋体"/>
          <w:color w:val="000000"/>
          <w:sz w:val="24"/>
          <w:highlight w:val="none"/>
        </w:rPr>
      </w:r>
      <w:r/>
    </w:p>
    <w:p>
      <w:pPr>
        <w:pStyle w:val="1024"/>
        <w:ind w:firstLine="241"/>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14、投标函和开标一览表</w:t>
      </w:r>
      <w:r>
        <w:rPr>
          <w:rFonts w:hint="eastAsia" w:ascii="宋体" w:hAnsi="宋体" w:cs="宋体"/>
          <w:b/>
          <w:bCs/>
          <w:color w:val="000000"/>
          <w:sz w:val="24"/>
          <w:szCs w:val="24"/>
          <w:highlight w:val="none"/>
        </w:rPr>
      </w:r>
      <w:r/>
    </w:p>
    <w:p>
      <w:pPr>
        <w:pStyle w:val="1024"/>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14.1投标人应按照招标文件中提供的格式完整、正确填写投标函、开标一览表。</w:t>
      </w:r>
      <w:r>
        <w:rPr>
          <w:rFonts w:hint="eastAsia" w:ascii="宋体" w:hAnsi="宋体" w:cs="宋体"/>
          <w:color w:val="000000"/>
          <w:sz w:val="24"/>
          <w:highlight w:val="none"/>
        </w:rPr>
      </w:r>
      <w:r/>
    </w:p>
    <w:p>
      <w:pPr>
        <w:pStyle w:val="1024"/>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14.2对于采用货币报价的项目，开标一览表中的投标总报价应与投标分项报价表中的投标总报价一致，如不一致，不作为无效投标处理，但评标时按开标一览表中价格为准。</w:t>
      </w:r>
      <w:r>
        <w:rPr>
          <w:rFonts w:ascii="宋体" w:hAnsi="宋体" w:cs="宋体"/>
          <w:color w:val="000000"/>
          <w:sz w:val="24"/>
          <w:highlight w:val="none"/>
        </w:rPr>
      </w:r>
      <w:r/>
    </w:p>
    <w:p>
      <w:pPr>
        <w:pStyle w:val="1024"/>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14.3投标文件的大写金额和小写金额不一致的，以大写金额为准；对不同文字文本投标的解释发生异议的，以中文文本为准。</w:t>
      </w:r>
      <w:r>
        <w:rPr>
          <w:rFonts w:hint="eastAsia" w:ascii="宋体" w:hAnsi="宋体" w:cs="宋体"/>
          <w:color w:val="000000"/>
          <w:sz w:val="24"/>
          <w:highlight w:val="none"/>
        </w:rPr>
      </w:r>
      <w:r/>
    </w:p>
    <w:p>
      <w:pPr>
        <w:pStyle w:val="1024"/>
        <w:ind w:firstLine="241"/>
        <w:rPr>
          <w:rFonts w:hint="eastAsia" w:ascii="宋体" w:hAnsi="宋体" w:cs="宋体"/>
          <w:b/>
          <w:bCs/>
          <w:color w:val="000000"/>
          <w:sz w:val="24"/>
          <w:szCs w:val="24"/>
          <w:highlight w:val="none"/>
        </w:rPr>
      </w:pPr>
      <w:r/>
      <w:bookmarkStart w:id="118" w:name="_Toc14577359"/>
      <w:r/>
      <w:bookmarkStart w:id="119" w:name="_Toc49090510"/>
      <w:r>
        <w:rPr>
          <w:rFonts w:hint="eastAsia" w:ascii="宋体" w:hAnsi="宋体" w:cs="宋体"/>
          <w:b/>
          <w:bCs/>
          <w:color w:val="000000"/>
          <w:sz w:val="24"/>
          <w:szCs w:val="24"/>
          <w:highlight w:val="none"/>
        </w:rPr>
        <w:t xml:space="preserve">15、投标有效期</w:t>
      </w:r>
      <w:r>
        <w:rPr>
          <w:rFonts w:hint="eastAsia" w:ascii="宋体" w:hAnsi="宋体" w:cs="宋体"/>
          <w:b/>
          <w:bCs/>
          <w:color w:val="000000"/>
          <w:sz w:val="24"/>
          <w:szCs w:val="24"/>
          <w:highlight w:val="none"/>
        </w:rPr>
      </w:r>
      <w:r/>
    </w:p>
    <w:p>
      <w:pPr>
        <w:pStyle w:val="1024"/>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15.1投标有效期为招标代理机构规定的开标之日后</w:t>
      </w:r>
      <w:r>
        <w:rPr>
          <w:rFonts w:hint="eastAsia" w:ascii="宋体" w:hAnsi="宋体" w:cs="宋体"/>
          <w:b/>
          <w:bCs/>
          <w:color w:val="000000"/>
          <w:sz w:val="24"/>
          <w:highlight w:val="none"/>
          <w:u w:val="single"/>
        </w:rPr>
        <w:t xml:space="preserve">九十（90）天</w:t>
      </w:r>
      <w:r>
        <w:rPr>
          <w:rFonts w:hint="eastAsia" w:ascii="宋体" w:hAnsi="宋体" w:cs="宋体"/>
          <w:color w:val="000000"/>
          <w:sz w:val="24"/>
          <w:highlight w:val="none"/>
        </w:rPr>
        <w:t xml:space="preserve">。投标有效期比规定短的将被视为未实质性响应招标文件而予以拒绝。</w:t>
      </w:r>
      <w:r>
        <w:rPr>
          <w:rFonts w:hint="eastAsia" w:ascii="宋体" w:hAnsi="宋体" w:cs="宋体"/>
          <w:color w:val="000000"/>
          <w:sz w:val="24"/>
          <w:highlight w:val="none"/>
        </w:rPr>
      </w:r>
      <w:r/>
    </w:p>
    <w:p>
      <w:pPr>
        <w:pStyle w:val="1024"/>
        <w:ind w:firstLine="241"/>
        <w:rPr>
          <w:rFonts w:hint="eastAsia" w:ascii="宋体" w:hAnsi="宋体" w:cs="宋体"/>
          <w:b/>
          <w:bCs/>
          <w:color w:val="000000"/>
          <w:sz w:val="24"/>
          <w:szCs w:val="24"/>
          <w:highlight w:val="none"/>
        </w:rPr>
      </w:pPr>
      <w:r/>
      <w:bookmarkEnd w:id="118"/>
      <w:r/>
      <w:bookmarkEnd w:id="119"/>
      <w:r/>
      <w:bookmarkStart w:id="120" w:name="_Hlt26954734"/>
      <w:r/>
      <w:bookmarkEnd w:id="120"/>
      <w:r/>
      <w:bookmarkStart w:id="121" w:name="_Hlt26670489"/>
      <w:r/>
      <w:bookmarkEnd w:id="121"/>
      <w:r/>
      <w:bookmarkStart w:id="122" w:name="_Hlt26954850"/>
      <w:r/>
      <w:bookmarkEnd w:id="122"/>
      <w:r/>
      <w:bookmarkStart w:id="123" w:name="_Toc14577360"/>
      <w:r/>
      <w:bookmarkStart w:id="124" w:name="_Toc49090511"/>
      <w:r>
        <w:rPr>
          <w:rFonts w:hint="eastAsia" w:ascii="宋体" w:hAnsi="宋体" w:cs="宋体"/>
          <w:b/>
          <w:bCs/>
          <w:color w:val="000000"/>
          <w:sz w:val="24"/>
          <w:szCs w:val="24"/>
          <w:highlight w:val="none"/>
        </w:rPr>
        <w:t xml:space="preserve">16、投标有效期</w:t>
      </w:r>
      <w:bookmarkEnd w:id="123"/>
      <w:r/>
      <w:bookmarkEnd w:id="124"/>
      <w:r>
        <w:rPr>
          <w:rFonts w:hint="eastAsia" w:ascii="宋体" w:hAnsi="宋体" w:cs="宋体"/>
          <w:b/>
          <w:bCs/>
          <w:color w:val="000000"/>
          <w:sz w:val="24"/>
          <w:szCs w:val="24"/>
          <w:highlight w:val="none"/>
        </w:rPr>
        <w:t xml:space="preserve">的延长</w:t>
      </w:r>
      <w:r>
        <w:rPr>
          <w:rFonts w:hint="eastAsia" w:ascii="宋体" w:hAnsi="宋体" w:cs="宋体"/>
          <w:b/>
          <w:bCs/>
          <w:color w:val="000000"/>
          <w:sz w:val="24"/>
          <w:szCs w:val="24"/>
          <w:highlight w:val="none"/>
        </w:rPr>
      </w:r>
      <w:r/>
    </w:p>
    <w:p>
      <w:pPr>
        <w:pStyle w:val="1024"/>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16.1在特殊情况下，招标代理机构于原投标有效期满之前，可向投标人提出延长投标有效期的要求。这种要求与答复均应采用书面形式。投标人可以拒绝招标代理机构的这一要求而放弃投标。同意延长投标有效期的投标人既不能要求也不允许修改其投标文件，同时受投标有效期约束的所有权利与义务均延长至新的有效期。</w:t>
      </w:r>
      <w:r>
        <w:rPr>
          <w:rFonts w:hint="eastAsia" w:ascii="宋体" w:hAnsi="宋体" w:cs="宋体"/>
          <w:color w:val="000000"/>
          <w:sz w:val="24"/>
          <w:highlight w:val="none"/>
        </w:rPr>
      </w:r>
      <w:r/>
    </w:p>
    <w:p>
      <w:pPr>
        <w:pStyle w:val="1027"/>
        <w:ind w:firstLine="321"/>
        <w:spacing w:before="156" w:after="156" w:line="360" w:lineRule="auto"/>
        <w:rPr>
          <w:rFonts w:ascii="黑体" w:hAnsi="黑体" w:eastAsia="黑体" w:cs="黑体"/>
          <w:color w:val="000000"/>
          <w:highlight w:val="none"/>
        </w:rPr>
      </w:pPr>
      <w:r>
        <w:rPr>
          <w:rFonts w:hint="eastAsia" w:ascii="黑体" w:hAnsi="黑体" w:eastAsia="黑体" w:cs="黑体"/>
          <w:color w:val="000000"/>
          <w:highlight w:val="none"/>
        </w:rPr>
        <w:t xml:space="preserve">四、投标文件的递交</w:t>
      </w:r>
      <w:bookmarkEnd w:id="93"/>
      <w:r/>
      <w:bookmarkEnd w:id="94"/>
      <w:r/>
      <w:bookmarkEnd w:id="95"/>
      <w:r/>
      <w:bookmarkEnd w:id="96"/>
      <w:r>
        <w:rPr>
          <w:rFonts w:ascii="黑体" w:hAnsi="黑体" w:eastAsia="黑体" w:cs="黑体"/>
          <w:color w:val="000000"/>
          <w:highlight w:val="none"/>
        </w:rPr>
      </w:r>
      <w:r/>
    </w:p>
    <w:p>
      <w:pPr>
        <w:pStyle w:val="1024"/>
        <w:ind w:firstLine="241"/>
        <w:rPr>
          <w:rFonts w:hint="eastAsia" w:ascii="宋体" w:hAnsi="宋体" w:cs="宋体"/>
          <w:b/>
          <w:bCs/>
          <w:color w:val="000000"/>
          <w:sz w:val="24"/>
          <w:szCs w:val="24"/>
          <w:highlight w:val="none"/>
        </w:rPr>
      </w:pPr>
      <w:r/>
      <w:bookmarkStart w:id="125" w:name="_Toc513029225"/>
      <w:r/>
      <w:bookmarkStart w:id="126" w:name="_Toc462564084"/>
      <w:r/>
      <w:bookmarkStart w:id="127" w:name="_Toc16938541"/>
      <w:r/>
      <w:bookmarkStart w:id="128" w:name="_Toc20823297"/>
      <w:r>
        <w:rPr>
          <w:rFonts w:hint="eastAsia" w:ascii="宋体" w:hAnsi="宋体" w:cs="宋体"/>
          <w:b/>
          <w:bCs/>
          <w:color w:val="000000"/>
          <w:sz w:val="24"/>
          <w:szCs w:val="24"/>
          <w:highlight w:val="none"/>
        </w:rPr>
        <w:t xml:space="preserve">17、</w:t>
      </w:r>
      <w:bookmarkEnd w:id="125"/>
      <w:r/>
      <w:bookmarkEnd w:id="126"/>
      <w:r/>
      <w:bookmarkEnd w:id="127"/>
      <w:r/>
      <w:bookmarkEnd w:id="128"/>
      <w:r>
        <w:rPr>
          <w:rFonts w:hint="eastAsia" w:ascii="宋体" w:hAnsi="宋体" w:cs="宋体"/>
          <w:b/>
          <w:bCs/>
          <w:color w:val="000000"/>
          <w:sz w:val="24"/>
          <w:szCs w:val="24"/>
          <w:highlight w:val="none"/>
        </w:rPr>
        <w:t xml:space="preserve">投标文件的递交</w:t>
      </w:r>
      <w:r>
        <w:rPr>
          <w:rFonts w:hint="eastAsia" w:ascii="宋体" w:hAnsi="宋体" w:cs="宋体"/>
          <w:b/>
          <w:bCs/>
          <w:color w:val="000000"/>
          <w:sz w:val="24"/>
          <w:szCs w:val="24"/>
          <w:highlight w:val="none"/>
        </w:rPr>
      </w:r>
      <w:r/>
    </w:p>
    <w:p>
      <w:pPr>
        <w:pStyle w:val="1024"/>
        <w:ind w:firstLine="480"/>
        <w:spacing w:line="500" w:lineRule="exact"/>
        <w:rPr>
          <w:rFonts w:hint="eastAsia" w:ascii="宋体" w:hAnsi="宋体" w:cs="宋体"/>
          <w:color w:val="000000"/>
          <w:sz w:val="24"/>
          <w:highlight w:val="none"/>
        </w:rPr>
      </w:pPr>
      <w:r/>
      <w:bookmarkStart w:id="129" w:name="_Toc16938542"/>
      <w:r/>
      <w:bookmarkStart w:id="130" w:name="_Toc513029226"/>
      <w:r/>
      <w:bookmarkStart w:id="131" w:name="_Toc20823298"/>
      <w:r>
        <w:rPr>
          <w:rFonts w:hint="eastAsia" w:ascii="宋体" w:hAnsi="宋体" w:cs="宋体"/>
          <w:color w:val="000000"/>
          <w:sz w:val="24"/>
          <w:highlight w:val="none"/>
        </w:rPr>
        <w:t xml:space="preserve">17.1 电子投标文件的递交</w:t>
      </w:r>
      <w:r>
        <w:rPr>
          <w:rFonts w:hint="eastAsia" w:ascii="宋体" w:hAnsi="宋体" w:cs="宋体"/>
          <w:color w:val="000000"/>
          <w:sz w:val="24"/>
          <w:highlight w:val="none"/>
        </w:rPr>
      </w:r>
      <w:r/>
    </w:p>
    <w:p>
      <w:pPr>
        <w:pStyle w:val="1024"/>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投标人应当按照《操作手册》规定，在投标截止时间前制作并上传电子投标文件。</w:t>
      </w:r>
      <w:r>
        <w:rPr>
          <w:rFonts w:hint="eastAsia" w:ascii="宋体" w:hAnsi="宋体" w:cs="宋体"/>
          <w:color w:val="000000"/>
          <w:sz w:val="24"/>
          <w:highlight w:val="none"/>
        </w:rPr>
      </w:r>
      <w:r/>
    </w:p>
    <w:p>
      <w:pPr>
        <w:pStyle w:val="1024"/>
        <w:ind w:firstLine="241"/>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18、投标截止</w:t>
      </w:r>
      <w:bookmarkEnd w:id="129"/>
      <w:r/>
      <w:bookmarkEnd w:id="130"/>
      <w:r/>
      <w:bookmarkEnd w:id="131"/>
      <w:r>
        <w:rPr>
          <w:rFonts w:hint="eastAsia" w:ascii="宋体" w:hAnsi="宋体" w:cs="宋体"/>
          <w:b/>
          <w:bCs/>
          <w:color w:val="000000"/>
          <w:sz w:val="24"/>
          <w:szCs w:val="24"/>
          <w:highlight w:val="none"/>
        </w:rPr>
        <w:t xml:space="preserve">时间</w:t>
      </w:r>
      <w:r>
        <w:rPr>
          <w:rFonts w:hint="eastAsia" w:ascii="宋体" w:hAnsi="宋体" w:cs="宋体"/>
          <w:b/>
          <w:bCs/>
          <w:color w:val="000000"/>
          <w:sz w:val="24"/>
          <w:szCs w:val="24"/>
          <w:highlight w:val="none"/>
        </w:rPr>
      </w:r>
      <w:r/>
    </w:p>
    <w:p>
      <w:pPr>
        <w:pStyle w:val="1024"/>
        <w:ind w:firstLine="480"/>
        <w:spacing w:line="500" w:lineRule="exact"/>
        <w:rPr>
          <w:rFonts w:hint="eastAsia" w:ascii="宋体" w:hAnsi="宋体" w:cs="宋体"/>
          <w:color w:val="000000"/>
          <w:sz w:val="24"/>
          <w:highlight w:val="none"/>
        </w:rPr>
      </w:pPr>
      <w:r/>
      <w:bookmarkStart w:id="132" w:name="_Toc16938543"/>
      <w:r/>
      <w:bookmarkStart w:id="133" w:name="_Toc513029227"/>
      <w:r/>
      <w:bookmarkStart w:id="134" w:name="_Toc20823299"/>
      <w:r>
        <w:rPr>
          <w:rFonts w:hint="eastAsia" w:ascii="宋体" w:hAnsi="宋体" w:cs="宋体"/>
          <w:color w:val="000000"/>
          <w:sz w:val="24"/>
          <w:highlight w:val="none"/>
        </w:rPr>
        <w:t xml:space="preserve">18.1</w:t>
      </w:r>
      <w:r>
        <w:rPr>
          <w:rFonts w:hint="eastAsia" w:ascii="宋体" w:hAnsi="宋体" w:cs="宋体"/>
          <w:b/>
          <w:bCs/>
          <w:i/>
          <w:iCs/>
          <w:color w:val="000000"/>
          <w:sz w:val="24"/>
          <w:highlight w:val="none"/>
          <w:u w:val="single"/>
        </w:rPr>
        <w:t xml:space="preserve">投标人上传电子投标文件的时间不得迟于招标公告中规定的投标截止时间</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24"/>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投标人应充分考虑到网络环境、网络带宽等风险因素，如因投标人自身原因造成的电子投标文件上传不成功的按照本招标文件第二章第26.1.2条 规定做无效投标处理。</w:t>
      </w:r>
      <w:r>
        <w:rPr>
          <w:rFonts w:hint="eastAsia" w:ascii="宋体" w:hAnsi="宋体" w:cs="宋体"/>
          <w:color w:val="000000"/>
          <w:sz w:val="24"/>
          <w:highlight w:val="none"/>
        </w:rPr>
      </w:r>
      <w:r/>
    </w:p>
    <w:p>
      <w:pPr>
        <w:pStyle w:val="1024"/>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18.2招标代理机构可以按照规定，通过修改招标文件酌情延长投标截止时间，在此情况下，投标人的所有权利和义务以及投标人受制的截止时间均应以延长后新的截止时间为准。</w:t>
      </w:r>
      <w:r>
        <w:rPr>
          <w:rFonts w:hint="eastAsia" w:ascii="宋体" w:hAnsi="宋体" w:cs="宋体"/>
          <w:color w:val="000000"/>
          <w:sz w:val="24"/>
          <w:highlight w:val="none"/>
        </w:rPr>
      </w:r>
      <w:r/>
    </w:p>
    <w:p>
      <w:pPr>
        <w:pStyle w:val="1024"/>
        <w:ind w:firstLine="241"/>
        <w:rPr>
          <w:rFonts w:hint="eastAsia" w:ascii="宋体" w:hAnsi="宋体" w:cs="宋体"/>
          <w:b/>
          <w:bCs/>
          <w:color w:val="000000"/>
          <w:sz w:val="24"/>
          <w:szCs w:val="24"/>
          <w:highlight w:val="none"/>
        </w:rPr>
      </w:pPr>
      <w:r/>
      <w:bookmarkEnd w:id="132"/>
      <w:r/>
      <w:bookmarkEnd w:id="133"/>
      <w:r/>
      <w:bookmarkEnd w:id="134"/>
      <w:r/>
      <w:bookmarkStart w:id="135" w:name="_Toc20823300"/>
      <w:r/>
      <w:bookmarkStart w:id="136" w:name="_Toc513029228"/>
      <w:r/>
      <w:bookmarkStart w:id="137" w:name="_Toc16938544"/>
      <w:r>
        <w:rPr>
          <w:rFonts w:hint="eastAsia" w:ascii="宋体" w:hAnsi="宋体" w:cs="宋体"/>
          <w:b/>
          <w:bCs/>
          <w:color w:val="000000"/>
          <w:sz w:val="24"/>
          <w:szCs w:val="24"/>
          <w:highlight w:val="none"/>
        </w:rPr>
        <w:t xml:space="preserve">19、投标文件的拒收</w:t>
      </w:r>
      <w:r>
        <w:rPr>
          <w:rFonts w:hint="eastAsia" w:ascii="宋体" w:hAnsi="宋体" w:cs="宋体"/>
          <w:b/>
          <w:bCs/>
          <w:color w:val="000000"/>
          <w:sz w:val="24"/>
          <w:szCs w:val="24"/>
          <w:highlight w:val="none"/>
        </w:rPr>
      </w:r>
      <w:r/>
    </w:p>
    <w:p>
      <w:pPr>
        <w:pStyle w:val="1024"/>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19.1招标代理机构拒绝接收在其规定的投标截止时间后上传的任何投标文件。</w:t>
      </w:r>
      <w:r>
        <w:rPr>
          <w:rFonts w:hint="eastAsia" w:ascii="宋体" w:hAnsi="宋体" w:cs="宋体"/>
          <w:color w:val="000000"/>
          <w:sz w:val="24"/>
          <w:highlight w:val="none"/>
        </w:rPr>
      </w:r>
      <w:r/>
    </w:p>
    <w:p>
      <w:pPr>
        <w:pStyle w:val="1024"/>
        <w:ind w:firstLine="241"/>
        <w:rPr>
          <w:rFonts w:hint="eastAsia" w:ascii="宋体" w:hAnsi="宋体" w:cs="宋体"/>
          <w:b/>
          <w:bCs/>
          <w:color w:val="000000"/>
          <w:sz w:val="24"/>
          <w:szCs w:val="24"/>
          <w:highlight w:val="none"/>
        </w:rPr>
      </w:pPr>
      <w:r/>
      <w:bookmarkEnd w:id="135"/>
      <w:r/>
      <w:bookmarkEnd w:id="136"/>
      <w:r/>
      <w:bookmarkEnd w:id="137"/>
      <w:r>
        <w:rPr>
          <w:rFonts w:hint="eastAsia" w:ascii="宋体" w:hAnsi="宋体" w:cs="宋体"/>
          <w:b/>
          <w:bCs/>
          <w:color w:val="000000"/>
          <w:sz w:val="24"/>
          <w:szCs w:val="24"/>
          <w:highlight w:val="none"/>
        </w:rPr>
        <w:t xml:space="preserve">20、投标文件的撤回和修改</w:t>
      </w:r>
      <w:r>
        <w:rPr>
          <w:rFonts w:hint="eastAsia" w:ascii="宋体" w:hAnsi="宋体" w:cs="宋体"/>
          <w:b/>
          <w:bCs/>
          <w:color w:val="000000"/>
          <w:sz w:val="24"/>
          <w:szCs w:val="24"/>
          <w:highlight w:val="none"/>
        </w:rPr>
      </w:r>
      <w:r/>
    </w:p>
    <w:p>
      <w:pPr>
        <w:pStyle w:val="1024"/>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20.1投标文件的撤回</w:t>
      </w:r>
      <w:r>
        <w:rPr>
          <w:rFonts w:hint="eastAsia" w:ascii="宋体" w:hAnsi="宋体" w:cs="宋体"/>
          <w:color w:val="000000"/>
          <w:sz w:val="24"/>
          <w:highlight w:val="none"/>
        </w:rPr>
      </w:r>
      <w:r/>
    </w:p>
    <w:p>
      <w:pPr>
        <w:pStyle w:val="1024"/>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20.1.1电子投标文件的撤回</w:t>
      </w:r>
      <w:r>
        <w:rPr>
          <w:rFonts w:hint="eastAsia" w:ascii="宋体" w:hAnsi="宋体" w:cs="宋体"/>
          <w:color w:val="000000"/>
          <w:sz w:val="24"/>
          <w:highlight w:val="none"/>
        </w:rPr>
      </w:r>
      <w:r/>
    </w:p>
    <w:p>
      <w:pPr>
        <w:pStyle w:val="1024"/>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投标人可在投标截止时间前，撤回其电子投标文件，具体操作方法见《操作手册》。</w:t>
      </w:r>
      <w:r>
        <w:rPr>
          <w:rFonts w:hint="eastAsia" w:ascii="宋体" w:hAnsi="宋体" w:cs="宋体"/>
          <w:color w:val="000000"/>
          <w:sz w:val="24"/>
          <w:highlight w:val="none"/>
        </w:rPr>
      </w:r>
      <w:r/>
    </w:p>
    <w:p>
      <w:pPr>
        <w:pStyle w:val="1024"/>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20.1.2投标人撤回电子投标文件，则认为其不再参与本项目投标活动。</w:t>
      </w:r>
      <w:r>
        <w:rPr>
          <w:rFonts w:hint="eastAsia" w:ascii="宋体" w:hAnsi="宋体" w:cs="宋体"/>
          <w:color w:val="000000"/>
          <w:sz w:val="24"/>
          <w:highlight w:val="none"/>
        </w:rPr>
      </w:r>
      <w:r/>
    </w:p>
    <w:p>
      <w:pPr>
        <w:pStyle w:val="1024"/>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20.2 投标文件的修改</w:t>
      </w:r>
      <w:r>
        <w:rPr>
          <w:rFonts w:hint="eastAsia" w:ascii="宋体" w:hAnsi="宋体" w:cs="宋体"/>
          <w:color w:val="000000"/>
          <w:sz w:val="24"/>
          <w:highlight w:val="none"/>
        </w:rPr>
      </w:r>
      <w:r/>
    </w:p>
    <w:p>
      <w:pPr>
        <w:pStyle w:val="1024"/>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20.2.1投标人可在投标截止时间前，对其电子投标文件进行修改，具体操作方法见《操作手册》。</w:t>
      </w:r>
      <w:r>
        <w:rPr>
          <w:rFonts w:hint="eastAsia" w:ascii="宋体" w:hAnsi="宋体" w:cs="宋体"/>
          <w:color w:val="000000"/>
          <w:sz w:val="24"/>
          <w:highlight w:val="none"/>
        </w:rPr>
      </w:r>
      <w:r/>
    </w:p>
    <w:p>
      <w:pPr>
        <w:pStyle w:val="1024"/>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20.2.2在投标截止时间之后，投标人不得对其电子投标文件作任何修改。</w:t>
      </w:r>
      <w:r>
        <w:rPr>
          <w:rFonts w:hint="eastAsia" w:ascii="宋体" w:hAnsi="宋体" w:cs="宋体"/>
          <w:color w:val="000000"/>
          <w:sz w:val="24"/>
          <w:highlight w:val="none"/>
        </w:rPr>
      </w:r>
      <w:r/>
    </w:p>
    <w:p>
      <w:pPr>
        <w:pStyle w:val="1024"/>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20.3在投标截止时间至招标文件中规定的投标有效期满之间的这段时间内，投标人不得撤回其投标。</w:t>
      </w:r>
      <w:r>
        <w:rPr>
          <w:rFonts w:hint="eastAsia" w:ascii="宋体" w:hAnsi="宋体" w:cs="宋体"/>
          <w:color w:val="000000"/>
          <w:sz w:val="24"/>
          <w:highlight w:val="none"/>
        </w:rPr>
      </w:r>
      <w:r/>
    </w:p>
    <w:p>
      <w:pPr>
        <w:pStyle w:val="1027"/>
        <w:ind w:firstLine="321"/>
        <w:spacing w:before="156" w:after="156" w:line="360" w:lineRule="auto"/>
        <w:rPr>
          <w:rFonts w:ascii="黑体" w:hAnsi="黑体" w:eastAsia="黑体" w:cs="黑体"/>
          <w:color w:val="000000"/>
          <w:highlight w:val="none"/>
        </w:rPr>
      </w:pPr>
      <w:r/>
      <w:bookmarkStart w:id="138" w:name="_Toc513029229"/>
      <w:r/>
      <w:bookmarkStart w:id="139" w:name="_Toc120614218"/>
      <w:r/>
      <w:bookmarkStart w:id="140" w:name="_Toc20823301"/>
      <w:r/>
      <w:bookmarkStart w:id="141" w:name="_Toc16938545"/>
      <w:r>
        <w:rPr>
          <w:rFonts w:hint="eastAsia" w:ascii="黑体" w:hAnsi="黑体" w:eastAsia="黑体" w:cs="黑体"/>
          <w:color w:val="000000"/>
          <w:highlight w:val="none"/>
        </w:rPr>
        <w:t xml:space="preserve">五、开标与评标</w:t>
      </w:r>
      <w:bookmarkEnd w:id="138"/>
      <w:r/>
      <w:bookmarkEnd w:id="139"/>
      <w:r/>
      <w:bookmarkEnd w:id="140"/>
      <w:r/>
      <w:bookmarkEnd w:id="141"/>
      <w:r>
        <w:rPr>
          <w:rFonts w:ascii="黑体" w:hAnsi="黑体" w:eastAsia="黑体" w:cs="黑体"/>
          <w:color w:val="000000"/>
          <w:highlight w:val="none"/>
        </w:rPr>
      </w:r>
      <w:r/>
    </w:p>
    <w:p>
      <w:pPr>
        <w:pStyle w:val="1024"/>
        <w:ind w:firstLine="241"/>
        <w:rPr>
          <w:rFonts w:hint="eastAsia" w:ascii="宋体" w:hAnsi="宋体" w:cs="宋体"/>
          <w:b/>
          <w:bCs/>
          <w:color w:val="000000"/>
          <w:sz w:val="24"/>
          <w:szCs w:val="24"/>
          <w:highlight w:val="none"/>
        </w:rPr>
      </w:pPr>
      <w:r/>
      <w:bookmarkStart w:id="142" w:name="_Toc513029230"/>
      <w:r/>
      <w:bookmarkStart w:id="143" w:name="_Toc16938546"/>
      <w:r/>
      <w:bookmarkStart w:id="144" w:name="_Toc20823302"/>
      <w:r/>
      <w:bookmarkStart w:id="145" w:name="_Toc513029235"/>
      <w:r/>
      <w:bookmarkStart w:id="146" w:name="_Toc120614219"/>
      <w:r/>
      <w:bookmarkStart w:id="147" w:name="_Toc16938551"/>
      <w:r/>
      <w:bookmarkStart w:id="148" w:name="_Toc20823307"/>
      <w:r>
        <w:rPr>
          <w:rFonts w:hint="eastAsia" w:ascii="宋体" w:hAnsi="宋体" w:cs="宋体"/>
          <w:b/>
          <w:bCs/>
          <w:color w:val="000000"/>
          <w:sz w:val="24"/>
          <w:szCs w:val="24"/>
          <w:highlight w:val="none"/>
        </w:rPr>
        <w:t xml:space="preserve">21、开标</w:t>
      </w:r>
      <w:bookmarkEnd w:id="142"/>
      <w:r/>
      <w:bookmarkEnd w:id="143"/>
      <w:r/>
      <w:bookmarkEnd w:id="144"/>
      <w:r>
        <w:rPr>
          <w:rFonts w:hint="eastAsia" w:ascii="宋体" w:hAnsi="宋体" w:cs="宋体"/>
          <w:b/>
          <w:bCs/>
          <w:color w:val="000000"/>
          <w:sz w:val="24"/>
          <w:szCs w:val="24"/>
          <w:highlight w:val="none"/>
        </w:rPr>
      </w:r>
      <w:r/>
    </w:p>
    <w:p>
      <w:pPr>
        <w:pStyle w:val="1024"/>
        <w:ind w:firstLine="480"/>
        <w:spacing w:line="500" w:lineRule="exact"/>
        <w:rPr>
          <w:rFonts w:hint="eastAsia" w:ascii="宋体" w:hAnsi="宋体" w:cs="宋体"/>
          <w:color w:val="000000"/>
          <w:sz w:val="24"/>
          <w:highlight w:val="none"/>
        </w:rPr>
      </w:pPr>
      <w:r/>
      <w:bookmarkStart w:id="149" w:name="_Toc16938547"/>
      <w:r/>
      <w:bookmarkStart w:id="150" w:name="_Toc513029231"/>
      <w:r/>
      <w:bookmarkStart w:id="151" w:name="_Toc20823303"/>
      <w:r>
        <w:rPr>
          <w:rFonts w:hint="eastAsia" w:ascii="宋体" w:hAnsi="宋体" w:cs="宋体"/>
          <w:color w:val="000000"/>
          <w:sz w:val="24"/>
          <w:highlight w:val="none"/>
        </w:rPr>
        <w:t xml:space="preserve">21.1招标代理机构将在招标公告中规定的时间和地点组织公开开标。投标人应当按照《操作手册》规定，参加开标活动和在苏采云系统规定的时间内对投标文件进行解密。</w:t>
      </w:r>
      <w:r>
        <w:rPr>
          <w:rFonts w:hint="eastAsia" w:ascii="宋体" w:hAnsi="宋体" w:cs="宋体"/>
          <w:color w:val="000000"/>
          <w:sz w:val="24"/>
          <w:highlight w:val="none"/>
        </w:rPr>
      </w:r>
      <w:r/>
    </w:p>
    <w:p>
      <w:pPr>
        <w:pStyle w:val="1024"/>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21.2开标仪式由招标代理机构组织。苏采云系统将自动对项目进行开标，并宣布各投标人名称和投标价格。</w:t>
      </w:r>
      <w:r>
        <w:rPr>
          <w:rFonts w:hint="eastAsia" w:ascii="宋体" w:hAnsi="宋体" w:cs="宋体"/>
          <w:color w:val="000000"/>
          <w:sz w:val="24"/>
          <w:highlight w:val="none"/>
        </w:rPr>
      </w:r>
      <w:r/>
    </w:p>
    <w:p>
      <w:pPr>
        <w:pStyle w:val="1024"/>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21.3投标人在开标过程中涉及到的投标文件解密、开标结果确认等工作，应按照《操作手册》规定执行。</w:t>
      </w:r>
      <w:r>
        <w:rPr>
          <w:rFonts w:hint="eastAsia" w:ascii="宋体" w:hAnsi="宋体" w:cs="宋体"/>
          <w:color w:val="000000"/>
          <w:sz w:val="24"/>
          <w:highlight w:val="none"/>
        </w:rPr>
      </w:r>
      <w:r/>
    </w:p>
    <w:p>
      <w:pPr>
        <w:pStyle w:val="1024"/>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21.4投标人如果对开标过程和开标记录有疑义，应当根据《操作手册》规定提出，如苏采云系统中《开标记录表》宣布后5分钟内未提出的，视同认可开标结果。</w:t>
      </w:r>
      <w:r>
        <w:rPr>
          <w:rFonts w:hint="eastAsia" w:ascii="宋体" w:hAnsi="宋体" w:cs="宋体"/>
          <w:color w:val="000000"/>
          <w:sz w:val="24"/>
          <w:highlight w:val="none"/>
        </w:rPr>
      </w:r>
      <w:r/>
    </w:p>
    <w:p>
      <w:pPr>
        <w:pStyle w:val="1024"/>
        <w:ind w:firstLine="241"/>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22、评标委员会</w:t>
      </w:r>
      <w:r>
        <w:rPr>
          <w:rFonts w:hint="eastAsia" w:ascii="宋体" w:hAnsi="宋体" w:cs="宋体"/>
          <w:b/>
          <w:bCs/>
          <w:color w:val="000000"/>
          <w:sz w:val="24"/>
          <w:szCs w:val="24"/>
          <w:highlight w:val="none"/>
        </w:rPr>
      </w:r>
      <w:r/>
    </w:p>
    <w:p>
      <w:pPr>
        <w:pStyle w:val="1024"/>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22.1开标后，招标代理机构将立即组织评标委员会（以下简称“评委会”）进行评标。</w:t>
      </w:r>
      <w:r>
        <w:rPr>
          <w:rFonts w:hint="eastAsia" w:ascii="宋体" w:hAnsi="宋体" w:cs="宋体"/>
          <w:color w:val="000000"/>
          <w:sz w:val="24"/>
          <w:highlight w:val="none"/>
        </w:rPr>
      </w:r>
      <w:r/>
    </w:p>
    <w:p>
      <w:pPr>
        <w:pStyle w:val="1024"/>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22.2评委会由招标人代表和有关技术、经济等方面的专家组成，且人员构成符合政府采购有关规定。</w:t>
      </w:r>
      <w:r>
        <w:rPr>
          <w:rFonts w:hint="eastAsia" w:ascii="宋体" w:hAnsi="宋体" w:cs="宋体"/>
          <w:color w:val="000000"/>
          <w:sz w:val="24"/>
          <w:highlight w:val="none"/>
        </w:rPr>
      </w:r>
      <w:r/>
    </w:p>
    <w:p>
      <w:pPr>
        <w:pStyle w:val="1024"/>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22.3评委会独立工作，负责评审所有投标文件并确定中标侯选人。</w:t>
      </w:r>
      <w:r>
        <w:rPr>
          <w:rFonts w:hint="eastAsia" w:ascii="宋体" w:hAnsi="宋体" w:cs="宋体"/>
          <w:color w:val="000000"/>
          <w:sz w:val="24"/>
          <w:highlight w:val="none"/>
        </w:rPr>
      </w:r>
      <w:r/>
    </w:p>
    <w:p>
      <w:pPr>
        <w:pStyle w:val="1024"/>
        <w:ind w:firstLine="241"/>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23、评标过程的保密与公正</w:t>
      </w:r>
      <w:r>
        <w:rPr>
          <w:rFonts w:hint="eastAsia" w:ascii="宋体" w:hAnsi="宋体" w:cs="宋体"/>
          <w:b/>
          <w:bCs/>
          <w:color w:val="000000"/>
          <w:sz w:val="24"/>
          <w:szCs w:val="24"/>
          <w:highlight w:val="none"/>
        </w:rPr>
      </w:r>
      <w:r/>
    </w:p>
    <w:p>
      <w:pPr>
        <w:pStyle w:val="1024"/>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23.1凡是与审查、澄清、评价和比较投标的有关资料以及授标建议等，招标人、评委、招标代理机构均不得向投标人或与评标无关的其他人员透露。</w:t>
      </w:r>
      <w:r>
        <w:rPr>
          <w:rFonts w:hint="eastAsia" w:ascii="宋体" w:hAnsi="宋体" w:cs="宋体"/>
          <w:color w:val="000000"/>
          <w:sz w:val="24"/>
          <w:highlight w:val="none"/>
        </w:rPr>
      </w:r>
      <w:r/>
    </w:p>
    <w:p>
      <w:pPr>
        <w:pStyle w:val="1024"/>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23.2在评标过程中，投标人不得以任何行为影响评标过程，否则其投标文件将被作为无效投标文件。</w:t>
      </w:r>
      <w:r>
        <w:rPr>
          <w:rFonts w:hint="eastAsia" w:ascii="宋体" w:hAnsi="宋体" w:cs="宋体"/>
          <w:color w:val="000000"/>
          <w:sz w:val="24"/>
          <w:highlight w:val="none"/>
        </w:rPr>
      </w:r>
      <w:r/>
    </w:p>
    <w:p>
      <w:pPr>
        <w:pStyle w:val="1024"/>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23.3招标代理机构和评标委员会不向未中标的投标人解释未中标原因，也不公布评标过程中的相关细节。</w:t>
      </w:r>
      <w:r>
        <w:rPr>
          <w:rFonts w:hint="eastAsia" w:ascii="宋体" w:hAnsi="宋体" w:cs="宋体"/>
          <w:color w:val="000000"/>
          <w:sz w:val="24"/>
          <w:highlight w:val="none"/>
        </w:rPr>
      </w:r>
      <w:r/>
    </w:p>
    <w:p>
      <w:pPr>
        <w:pStyle w:val="1024"/>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23.4采用综合评分法的项目，未中标的投标人可于中标结果公告期限届满之日起通过苏采云系统查看自己的评审得分及排序情况。</w:t>
      </w:r>
      <w:r>
        <w:rPr>
          <w:rFonts w:hint="eastAsia" w:ascii="宋体" w:hAnsi="宋体" w:cs="宋体"/>
          <w:color w:val="000000"/>
          <w:sz w:val="24"/>
          <w:highlight w:val="none"/>
        </w:rPr>
      </w:r>
      <w:r/>
    </w:p>
    <w:p>
      <w:pPr>
        <w:pStyle w:val="1024"/>
        <w:ind w:firstLine="241"/>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24、投标文件的澄清</w:t>
      </w:r>
      <w:r>
        <w:rPr>
          <w:rFonts w:hint="eastAsia" w:ascii="宋体" w:hAnsi="宋体" w:cs="宋体"/>
          <w:b/>
          <w:bCs/>
          <w:color w:val="000000"/>
          <w:sz w:val="24"/>
          <w:szCs w:val="24"/>
          <w:highlight w:val="none"/>
        </w:rPr>
      </w:r>
      <w:r/>
    </w:p>
    <w:p>
      <w:pPr>
        <w:pStyle w:val="1024"/>
        <w:ind w:firstLine="480"/>
        <w:spacing w:line="500" w:lineRule="exact"/>
        <w:rPr>
          <w:rFonts w:hint="eastAsia" w:ascii="宋体" w:hAnsi="宋体" w:cs="宋体"/>
          <w:color w:val="000000"/>
          <w:sz w:val="24"/>
          <w:highlight w:val="none"/>
        </w:rPr>
      </w:pPr>
      <w:r/>
      <w:bookmarkEnd w:id="149"/>
      <w:r/>
      <w:bookmarkEnd w:id="150"/>
      <w:r/>
      <w:bookmarkEnd w:id="151"/>
      <w:r/>
      <w:bookmarkStart w:id="152" w:name="_Toc513029232"/>
      <w:r/>
      <w:bookmarkStart w:id="153" w:name="_Toc20823304"/>
      <w:r/>
      <w:bookmarkStart w:id="154" w:name="_Toc16938548"/>
      <w:r>
        <w:rPr>
          <w:rFonts w:hint="eastAsia" w:ascii="宋体" w:hAnsi="宋体" w:cs="宋体"/>
          <w:color w:val="000000"/>
          <w:sz w:val="24"/>
          <w:highlight w:val="none"/>
        </w:rPr>
        <w:t xml:space="preserve">24.1评标期间，评委会对投标文件中含义不明确、同类问题表述不一致或者有明显文字和计算错误的内容，有权要求投标人作出必要的澄清、说明或者补正。</w:t>
      </w:r>
      <w:r>
        <w:rPr>
          <w:rFonts w:hint="eastAsia" w:ascii="宋体" w:hAnsi="宋体" w:cs="宋体"/>
          <w:color w:val="000000"/>
          <w:sz w:val="24"/>
          <w:highlight w:val="none"/>
        </w:rPr>
      </w:r>
      <w:r/>
    </w:p>
    <w:p>
      <w:pPr>
        <w:pStyle w:val="1024"/>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投标人的澄清、说明或者补正不得超出投标文件的范围或者改变投标文件的实质性内容。</w:t>
      </w:r>
      <w:r>
        <w:rPr>
          <w:rFonts w:hint="eastAsia" w:ascii="宋体" w:hAnsi="宋体" w:cs="宋体"/>
          <w:color w:val="000000"/>
          <w:sz w:val="24"/>
          <w:highlight w:val="none"/>
        </w:rPr>
      </w:r>
      <w:r/>
    </w:p>
    <w:p>
      <w:pPr>
        <w:pStyle w:val="1024"/>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评标委员会并非对每个投标人都做澄清要求。</w:t>
      </w:r>
      <w:r>
        <w:rPr>
          <w:rFonts w:hint="eastAsia" w:ascii="宋体" w:hAnsi="宋体" w:cs="宋体"/>
          <w:color w:val="000000"/>
          <w:sz w:val="24"/>
          <w:highlight w:val="none"/>
        </w:rPr>
      </w:r>
      <w:r/>
    </w:p>
    <w:p>
      <w:pPr>
        <w:pStyle w:val="1024"/>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24.2需要投标人进行澄清、说明和补正的，评委会将通过苏采云系统向投标人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cs="宋体"/>
          <w:color w:val="000000"/>
          <w:sz w:val="24"/>
          <w:highlight w:val="none"/>
        </w:rPr>
      </w:r>
      <w:r/>
    </w:p>
    <w:p>
      <w:pPr>
        <w:pStyle w:val="1024"/>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24.3接到评委会澄清、说明和补正要求的投标人如未按规定做出澄清、说明和补正，其风险由投标人自行承担。</w:t>
      </w:r>
      <w:r>
        <w:rPr>
          <w:rFonts w:hint="eastAsia" w:ascii="宋体" w:hAnsi="宋体" w:cs="宋体"/>
          <w:color w:val="000000"/>
          <w:sz w:val="24"/>
          <w:highlight w:val="none"/>
        </w:rPr>
      </w:r>
      <w:r/>
    </w:p>
    <w:p>
      <w:pPr>
        <w:pStyle w:val="1024"/>
        <w:ind w:firstLine="241"/>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25、</w:t>
      </w:r>
      <w:bookmarkEnd w:id="152"/>
      <w:r/>
      <w:bookmarkEnd w:id="153"/>
      <w:r/>
      <w:bookmarkEnd w:id="154"/>
      <w:r>
        <w:rPr>
          <w:rFonts w:hint="eastAsia" w:ascii="宋体" w:hAnsi="宋体" w:cs="宋体"/>
          <w:b/>
          <w:bCs/>
          <w:color w:val="000000"/>
          <w:sz w:val="24"/>
          <w:szCs w:val="24"/>
          <w:highlight w:val="none"/>
        </w:rPr>
        <w:t xml:space="preserve">对投标文件的初审</w:t>
      </w:r>
      <w:r>
        <w:rPr>
          <w:rFonts w:hint="eastAsia" w:ascii="宋体" w:hAnsi="宋体" w:cs="宋体"/>
          <w:b/>
          <w:bCs/>
          <w:color w:val="000000"/>
          <w:sz w:val="24"/>
          <w:szCs w:val="24"/>
          <w:highlight w:val="none"/>
        </w:rPr>
      </w:r>
      <w:r/>
    </w:p>
    <w:p>
      <w:pPr>
        <w:pStyle w:val="1024"/>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25.1投标文件初审分为资格审查和符合性审查。</w:t>
      </w:r>
      <w:r>
        <w:rPr>
          <w:rFonts w:hint="eastAsia" w:ascii="宋体" w:hAnsi="宋体" w:cs="宋体"/>
          <w:color w:val="000000"/>
          <w:sz w:val="24"/>
          <w:highlight w:val="none"/>
        </w:rPr>
      </w:r>
      <w:r/>
    </w:p>
    <w:p>
      <w:pPr>
        <w:pStyle w:val="1024"/>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25.1.1资格审查：依据法律法规和招标文件的规定，由招标人对投标文件中的资格证明文件进行审查。资格审查的结论，招标人以书面形式向评委会进行反馈。</w:t>
      </w:r>
      <w:r>
        <w:rPr>
          <w:rFonts w:hint="eastAsia" w:ascii="宋体" w:hAnsi="宋体" w:cs="宋体"/>
          <w:color w:val="000000"/>
          <w:sz w:val="24"/>
          <w:highlight w:val="none"/>
        </w:rPr>
      </w:r>
      <w:r/>
    </w:p>
    <w:p>
      <w:pPr>
        <w:pStyle w:val="1024"/>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招标人在进行资格性审查的同时，将在“信用中国”网站（www.creditchina.gov.cn）查询投标人的信用记录，以确定投标人是否具备投标资格,查询结果留存并归档。</w:t>
      </w:r>
      <w:r>
        <w:rPr>
          <w:rFonts w:hint="eastAsia" w:ascii="宋体" w:hAnsi="宋体" w:cs="宋体"/>
          <w:color w:val="000000"/>
          <w:sz w:val="24"/>
          <w:highlight w:val="none"/>
        </w:rPr>
      </w:r>
      <w:r/>
    </w:p>
    <w:p>
      <w:pPr>
        <w:pStyle w:val="1024"/>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接受联合体的项目，两个以上的自然人、法人或者其他组织组成一个联合体，以一个投标人的身份共同参加政府采购活动的,联合体成员存在不良信用记录的，视同联合体存在不良应用记录。</w:t>
      </w:r>
      <w:r>
        <w:rPr>
          <w:rFonts w:hint="eastAsia" w:ascii="宋体" w:hAnsi="宋体" w:cs="宋体"/>
          <w:color w:val="000000"/>
          <w:sz w:val="24"/>
          <w:highlight w:val="none"/>
        </w:rPr>
      </w:r>
      <w:r/>
    </w:p>
    <w:p>
      <w:pPr>
        <w:pStyle w:val="1024"/>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25.1.2符合性审查：依据招标文件的规定，由评委会从投标文件的有效性、完整性和对招标文件的响应程度进行审查，以确定是否对招标文件的实质性要求作出响应。</w:t>
      </w:r>
      <w:r>
        <w:rPr>
          <w:rFonts w:hint="eastAsia" w:ascii="宋体" w:hAnsi="宋体" w:cs="宋体"/>
          <w:color w:val="000000"/>
          <w:sz w:val="24"/>
          <w:highlight w:val="none"/>
        </w:rPr>
      </w:r>
      <w:r/>
    </w:p>
    <w:p>
      <w:pPr>
        <w:pStyle w:val="1024"/>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25.1.3未通过资格审查或符合性审查的投标人，招标代理机构将在苏采云系统中告知未通过资格审查或符合性审查的原因，评标结束后，招标代理机构将不再告知未通过资格审查和符合性审查的原因。</w:t>
      </w:r>
      <w:r>
        <w:rPr>
          <w:rFonts w:hint="eastAsia" w:ascii="宋体" w:hAnsi="宋体" w:cs="宋体"/>
          <w:color w:val="000000"/>
          <w:sz w:val="24"/>
          <w:highlight w:val="none"/>
        </w:rPr>
      </w:r>
      <w:r/>
    </w:p>
    <w:p>
      <w:pPr>
        <w:pStyle w:val="1024"/>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cs="宋体"/>
          <w:color w:val="000000"/>
          <w:sz w:val="24"/>
          <w:highlight w:val="none"/>
        </w:rPr>
      </w:r>
      <w:r/>
    </w:p>
    <w:p>
      <w:pPr>
        <w:pStyle w:val="1024"/>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所谓重大偏离或保留是指与招标文件规定的实质性要求存在负偏离，或者在实质上与招标文件不一致，而且限制了合同中买方和招标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cs="宋体"/>
          <w:color w:val="000000"/>
          <w:sz w:val="24"/>
          <w:highlight w:val="none"/>
        </w:rPr>
      </w:r>
      <w:r/>
    </w:p>
    <w:p>
      <w:pPr>
        <w:pStyle w:val="1024"/>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25.3如果投标文件实质上没有响应招标文件的要求，评委会将予以拒绝，投标人不得通过修改或撤销不合要求的偏离或保留而使其投标成为实质性响应的投标。</w:t>
      </w:r>
      <w:r>
        <w:rPr>
          <w:rFonts w:hint="eastAsia" w:ascii="宋体" w:hAnsi="宋体" w:cs="宋体"/>
          <w:color w:val="000000"/>
          <w:sz w:val="24"/>
          <w:highlight w:val="none"/>
        </w:rPr>
      </w:r>
      <w:r/>
    </w:p>
    <w:p>
      <w:pPr>
        <w:pStyle w:val="1024"/>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25.4评委会将对确定为实质性响应的投标进行进一步审核，确定其是否有计算上或累加上的算术错误，修正错误的原则如下：</w:t>
      </w:r>
      <w:r>
        <w:rPr>
          <w:rFonts w:hint="eastAsia" w:ascii="宋体" w:hAnsi="宋体" w:cs="宋体"/>
          <w:color w:val="000000"/>
          <w:sz w:val="24"/>
          <w:highlight w:val="none"/>
        </w:rPr>
      </w:r>
      <w:r/>
    </w:p>
    <w:p>
      <w:pPr>
        <w:pStyle w:val="1024"/>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（1）投标文件中开标一览表内容与投标文件中相应内容不一致的，以开标一览表为准。</w:t>
      </w:r>
      <w:r>
        <w:rPr>
          <w:rFonts w:hint="eastAsia" w:ascii="宋体" w:hAnsi="宋体" w:cs="宋体"/>
          <w:color w:val="000000"/>
          <w:sz w:val="24"/>
          <w:highlight w:val="none"/>
        </w:rPr>
      </w:r>
      <w:r/>
    </w:p>
    <w:p>
      <w:pPr>
        <w:pStyle w:val="1024"/>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（2）大写金额和小写金额不一致的，以大写金额为准。</w:t>
      </w:r>
      <w:r>
        <w:rPr>
          <w:rFonts w:hint="eastAsia" w:ascii="宋体" w:hAnsi="宋体" w:cs="宋体"/>
          <w:color w:val="000000"/>
          <w:sz w:val="24"/>
          <w:highlight w:val="none"/>
        </w:rPr>
      </w:r>
      <w:r/>
    </w:p>
    <w:p>
      <w:pPr>
        <w:pStyle w:val="1024"/>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（3）单价金额小数点或者百分比有明显错位的，以开标一览表的总价为准，并修改单价。</w:t>
      </w:r>
      <w:r>
        <w:rPr>
          <w:rFonts w:hint="eastAsia" w:ascii="宋体" w:hAnsi="宋体" w:cs="宋体"/>
          <w:color w:val="000000"/>
          <w:sz w:val="24"/>
          <w:highlight w:val="none"/>
        </w:rPr>
      </w:r>
      <w:r/>
    </w:p>
    <w:p>
      <w:pPr>
        <w:pStyle w:val="1024"/>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（4）总价金额与按单价汇总金额不一致的，以单价金额计算结果为准。</w:t>
      </w:r>
      <w:r>
        <w:rPr>
          <w:rFonts w:hint="eastAsia" w:ascii="宋体" w:hAnsi="宋体" w:cs="宋体"/>
          <w:color w:val="000000"/>
          <w:sz w:val="24"/>
          <w:highlight w:val="none"/>
        </w:rPr>
      </w:r>
      <w:r/>
    </w:p>
    <w:p>
      <w:pPr>
        <w:pStyle w:val="1024"/>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同时出现两种以上错误的，按照前款规定的顺序修正。</w:t>
      </w:r>
      <w:r>
        <w:rPr>
          <w:rFonts w:hint="eastAsia" w:ascii="宋体" w:hAnsi="宋体" w:cs="宋体"/>
          <w:color w:val="000000"/>
          <w:sz w:val="24"/>
          <w:highlight w:val="none"/>
        </w:rPr>
      </w:r>
      <w:r/>
    </w:p>
    <w:p>
      <w:pPr>
        <w:pStyle w:val="1024"/>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25.5评委会将按上述修正错误的方法调整投标文件中的投标报价，并通过苏采云系统告知投标人，调整后的价格应对投标人具有约束力。如果投标人不接受修正后的价格，则其投标将被拒绝。</w:t>
      </w:r>
      <w:r>
        <w:rPr>
          <w:rFonts w:hint="eastAsia" w:ascii="宋体" w:hAnsi="宋体" w:cs="宋体"/>
          <w:color w:val="000000"/>
          <w:sz w:val="24"/>
          <w:highlight w:val="none"/>
        </w:rPr>
      </w:r>
      <w:r/>
    </w:p>
    <w:p>
      <w:pPr>
        <w:pStyle w:val="1024"/>
        <w:ind w:firstLine="480"/>
        <w:spacing w:line="500" w:lineRule="exact"/>
        <w:rPr>
          <w:rFonts w:hint="eastAsia" w:ascii="宋体" w:hAnsi="宋体" w:cs="宋体"/>
          <w:color w:val="000000"/>
          <w:sz w:val="24"/>
          <w:szCs w:val="24"/>
          <w:highlight w:val="none"/>
        </w:rPr>
      </w:pPr>
      <w:r>
        <w:rPr>
          <w:rFonts w:hint="eastAsia" w:ascii="宋体" w:hAnsi="宋体" w:cs="宋体"/>
          <w:color w:val="000000"/>
          <w:sz w:val="24"/>
          <w:highlight w:val="none"/>
        </w:rPr>
        <w:t xml:space="preserve">25.6投标人在开、评标全过程中应保持通讯畅通，及时登录苏采云系统查阅、答复相关信息，并安排专人与招标代理机构及评标委员会联系。</w:t>
      </w:r>
      <w:r>
        <w:rPr>
          <w:rFonts w:hint="eastAsia" w:ascii="宋体" w:hAnsi="宋体" w:cs="宋体"/>
          <w:color w:val="000000"/>
          <w:sz w:val="24"/>
          <w:szCs w:val="24"/>
          <w:highlight w:val="none"/>
        </w:rPr>
      </w:r>
      <w:r/>
    </w:p>
    <w:p>
      <w:pPr>
        <w:pStyle w:val="1024"/>
        <w:ind w:firstLine="241"/>
        <w:rPr>
          <w:rFonts w:hint="eastAsia" w:ascii="宋体" w:hAnsi="宋体" w:cs="宋体"/>
          <w:b/>
          <w:bCs/>
          <w:color w:val="000000"/>
          <w:sz w:val="24"/>
          <w:szCs w:val="24"/>
          <w:highlight w:val="none"/>
        </w:rPr>
      </w:pPr>
      <w:r/>
      <w:bookmarkStart w:id="155" w:name="_Toc16938549"/>
      <w:r/>
      <w:bookmarkStart w:id="156" w:name="_Toc513029233"/>
      <w:r/>
      <w:bookmarkStart w:id="157" w:name="_Toc20823305"/>
      <w:r>
        <w:rPr>
          <w:rFonts w:hint="eastAsia" w:ascii="宋体" w:hAnsi="宋体" w:cs="宋体"/>
          <w:b/>
          <w:bCs/>
          <w:color w:val="000000"/>
          <w:sz w:val="24"/>
          <w:szCs w:val="24"/>
          <w:highlight w:val="none"/>
        </w:rPr>
        <w:t xml:space="preserve">26、</w:t>
      </w:r>
      <w:bookmarkEnd w:id="155"/>
      <w:r/>
      <w:bookmarkEnd w:id="156"/>
      <w:r/>
      <w:bookmarkEnd w:id="157"/>
      <w:r>
        <w:rPr>
          <w:rFonts w:hint="eastAsia" w:ascii="宋体" w:hAnsi="宋体" w:cs="宋体"/>
          <w:b/>
          <w:bCs/>
          <w:color w:val="000000"/>
          <w:sz w:val="24"/>
          <w:szCs w:val="24"/>
          <w:highlight w:val="none"/>
        </w:rPr>
        <w:t xml:space="preserve">无效投标条款和废标条款</w:t>
      </w:r>
      <w:r>
        <w:rPr>
          <w:rFonts w:hint="eastAsia" w:ascii="宋体" w:hAnsi="宋体" w:cs="宋体"/>
          <w:b/>
          <w:bCs/>
          <w:color w:val="000000"/>
          <w:sz w:val="24"/>
          <w:szCs w:val="24"/>
          <w:highlight w:val="none"/>
        </w:rPr>
      </w:r>
      <w:r/>
    </w:p>
    <w:p>
      <w:pPr>
        <w:pStyle w:val="1024"/>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26.1无效投标条款</w:t>
      </w:r>
      <w:r>
        <w:rPr>
          <w:rFonts w:hint="eastAsia" w:ascii="宋体" w:hAnsi="宋体" w:cs="宋体"/>
          <w:color w:val="000000"/>
          <w:sz w:val="24"/>
          <w:highlight w:val="none"/>
        </w:rPr>
      </w:r>
      <w:r/>
    </w:p>
    <w:p>
      <w:pPr>
        <w:pStyle w:val="1024"/>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26.1.1投标人在苏采云系统规定的时间内未成功解密电子投标文件的。</w:t>
      </w:r>
      <w:r>
        <w:rPr>
          <w:rFonts w:hint="eastAsia" w:ascii="宋体" w:hAnsi="宋体" w:cs="宋体"/>
          <w:color w:val="000000"/>
          <w:sz w:val="24"/>
          <w:highlight w:val="none"/>
        </w:rPr>
      </w:r>
      <w:r/>
    </w:p>
    <w:p>
      <w:pPr>
        <w:pStyle w:val="1024"/>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26.1.2投标人未按照招标文件要求上传电子投标文件的。</w:t>
      </w:r>
      <w:r>
        <w:rPr>
          <w:rFonts w:hint="eastAsia" w:ascii="宋体" w:hAnsi="宋体" w:cs="宋体"/>
          <w:color w:val="000000"/>
          <w:sz w:val="24"/>
          <w:highlight w:val="none"/>
        </w:rPr>
      </w:r>
      <w:r/>
    </w:p>
    <w:p>
      <w:pPr>
        <w:pStyle w:val="1024"/>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26.1.3同一投标人提交两个（含两个）以上不同的投标报价的。</w:t>
      </w:r>
      <w:r>
        <w:rPr>
          <w:rFonts w:hint="eastAsia" w:ascii="宋体" w:hAnsi="宋体" w:cs="宋体"/>
          <w:color w:val="000000"/>
          <w:sz w:val="24"/>
          <w:highlight w:val="none"/>
        </w:rPr>
      </w:r>
      <w:r/>
    </w:p>
    <w:p>
      <w:pPr>
        <w:pStyle w:val="1024"/>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26.1.4投标人不具备招标文件中规定资格要求的。</w:t>
      </w:r>
      <w:r>
        <w:rPr>
          <w:rFonts w:hint="eastAsia" w:ascii="宋体" w:hAnsi="宋体" w:cs="宋体"/>
          <w:color w:val="000000"/>
          <w:sz w:val="24"/>
          <w:highlight w:val="none"/>
        </w:rPr>
      </w:r>
      <w:r/>
    </w:p>
    <w:p>
      <w:pPr>
        <w:pStyle w:val="1024"/>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26.1.5投标人的报价超过了采购预算或最高限价的。</w:t>
      </w:r>
      <w:r>
        <w:rPr>
          <w:rFonts w:hint="eastAsia" w:ascii="宋体" w:hAnsi="宋体" w:cs="宋体"/>
          <w:color w:val="000000"/>
          <w:sz w:val="24"/>
          <w:highlight w:val="none"/>
        </w:rPr>
      </w:r>
      <w:r/>
    </w:p>
    <w:p>
      <w:pPr>
        <w:pStyle w:val="1024"/>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26.1.6未通过符合性审查的。</w:t>
      </w:r>
      <w:r>
        <w:rPr>
          <w:rFonts w:hint="eastAsia" w:ascii="宋体" w:hAnsi="宋体" w:cs="宋体"/>
          <w:color w:val="000000"/>
          <w:sz w:val="24"/>
          <w:highlight w:val="none"/>
        </w:rPr>
      </w:r>
      <w:r/>
    </w:p>
    <w:p>
      <w:pPr>
        <w:pStyle w:val="1024"/>
        <w:ind w:firstLine="480"/>
        <w:spacing w:line="500" w:lineRule="exact"/>
        <w:rPr>
          <w:rFonts w:hint="eastAsia" w:ascii="宋体" w:hAnsi="宋体" w:cs="宋体"/>
          <w:b/>
          <w:bCs/>
          <w:color w:val="000000"/>
          <w:sz w:val="24"/>
          <w:highlight w:val="none"/>
        </w:rPr>
      </w:pPr>
      <w:r>
        <w:rPr>
          <w:rFonts w:hint="eastAsia" w:ascii="宋体" w:hAnsi="宋体" w:cs="宋体"/>
          <w:color w:val="000000"/>
          <w:sz w:val="24"/>
          <w:highlight w:val="none"/>
        </w:rPr>
        <w:t xml:space="preserve">26.1.7</w:t>
      </w:r>
      <w:r>
        <w:rPr>
          <w:rFonts w:hint="eastAsia" w:ascii="宋体" w:hAnsi="宋体" w:cs="宋体"/>
          <w:b/>
          <w:bCs/>
          <w:color w:val="000000"/>
          <w:sz w:val="24"/>
          <w:highlight w:val="none"/>
        </w:rPr>
        <w:t xml:space="preserve">不符合招标文件中规定的实质性要求和条件的</w:t>
      </w:r>
      <w:r>
        <w:rPr>
          <w:rFonts w:hint="eastAsia" w:ascii="宋体" w:hAnsi="宋体" w:cs="宋体"/>
          <w:b/>
          <w:bCs/>
          <w:i/>
          <w:iCs/>
          <w:color w:val="000000"/>
          <w:sz w:val="24"/>
          <w:highlight w:val="none"/>
          <w:u w:val="single"/>
        </w:rPr>
        <w:t xml:space="preserve">（本招标文件中斜体且有下划线部分为实质性要求和条件）</w:t>
      </w:r>
      <w:r>
        <w:rPr>
          <w:rFonts w:hint="eastAsia" w:ascii="宋体" w:hAnsi="宋体" w:cs="宋体"/>
          <w:b/>
          <w:bCs/>
          <w:color w:val="000000"/>
          <w:sz w:val="24"/>
          <w:highlight w:val="none"/>
        </w:rPr>
        <w:t xml:space="preserve">。</w:t>
      </w:r>
      <w:r>
        <w:rPr>
          <w:rFonts w:hint="eastAsia" w:ascii="宋体" w:hAnsi="宋体" w:cs="宋体"/>
          <w:b/>
          <w:bCs/>
          <w:color w:val="000000"/>
          <w:sz w:val="24"/>
          <w:highlight w:val="none"/>
        </w:rPr>
      </w:r>
      <w:r/>
    </w:p>
    <w:p>
      <w:pPr>
        <w:pStyle w:val="1024"/>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cs="宋体"/>
          <w:color w:val="000000"/>
          <w:sz w:val="24"/>
          <w:highlight w:val="none"/>
        </w:rPr>
      </w:r>
      <w:r/>
    </w:p>
    <w:p>
      <w:pPr>
        <w:pStyle w:val="1024"/>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26.1.9投标文件含有招标人不能接受的附加条件的。</w:t>
      </w:r>
      <w:r>
        <w:rPr>
          <w:rFonts w:hint="eastAsia" w:ascii="宋体" w:hAnsi="宋体" w:cs="宋体"/>
          <w:color w:val="000000"/>
          <w:sz w:val="24"/>
          <w:highlight w:val="none"/>
        </w:rPr>
      </w:r>
      <w:r/>
    </w:p>
    <w:p>
      <w:pPr>
        <w:pStyle w:val="1024"/>
        <w:ind w:firstLine="482"/>
        <w:spacing w:line="50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26.1.10异常低价投标（响应）审查</w:t>
      </w:r>
      <w:r>
        <w:rPr>
          <w:rFonts w:hint="eastAsia" w:ascii="宋体" w:hAnsi="宋体" w:cs="宋体"/>
          <w:b/>
          <w:bCs/>
          <w:color w:val="000000"/>
          <w:sz w:val="24"/>
          <w:highlight w:val="none"/>
        </w:rPr>
      </w:r>
      <w:r/>
    </w:p>
    <w:p>
      <w:pPr>
        <w:pStyle w:val="1024"/>
        <w:ind w:firstLine="482"/>
        <w:spacing w:line="50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（一）评审过程中出现下列情形之一的，评标委员会应当启动异常低价投标审查程序：</w:t>
      </w:r>
      <w:r>
        <w:rPr>
          <w:rFonts w:hint="eastAsia" w:ascii="宋体" w:hAnsi="宋体" w:cs="宋体"/>
          <w:b/>
          <w:bCs/>
          <w:color w:val="000000"/>
          <w:sz w:val="24"/>
          <w:highlight w:val="none"/>
        </w:rPr>
      </w:r>
      <w:r/>
    </w:p>
    <w:p>
      <w:pPr>
        <w:pStyle w:val="1024"/>
        <w:ind w:firstLine="482"/>
        <w:spacing w:line="50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1.投标（响应）报价低于全部通过符合性审查供应商投标（响应）报价平均值50%的，即投标（响应）报价&lt;全部通过符合性审查供应商投标（响应）报价平均值×50%；</w:t>
      </w:r>
      <w:r>
        <w:rPr>
          <w:rFonts w:hint="eastAsia" w:ascii="宋体" w:hAnsi="宋体" w:cs="宋体"/>
          <w:b/>
          <w:bCs/>
          <w:color w:val="000000"/>
          <w:sz w:val="24"/>
          <w:highlight w:val="none"/>
        </w:rPr>
      </w:r>
      <w:r/>
    </w:p>
    <w:p>
      <w:pPr>
        <w:pStyle w:val="1024"/>
        <w:ind w:firstLine="482"/>
        <w:spacing w:line="50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2.投标（响应）报价低于通过符合性审查的次低报价供应商投标（响应）报价50%的，即投标（响应）报价&lt;通过符合性审查的次低报价供应商投标（响应）报价×50%；</w:t>
      </w:r>
      <w:r>
        <w:rPr>
          <w:rFonts w:hint="eastAsia" w:ascii="宋体" w:hAnsi="宋体" w:cs="宋体"/>
          <w:b/>
          <w:bCs/>
          <w:color w:val="000000"/>
          <w:sz w:val="24"/>
          <w:highlight w:val="none"/>
        </w:rPr>
      </w:r>
      <w:r/>
    </w:p>
    <w:p>
      <w:pPr>
        <w:pStyle w:val="1024"/>
        <w:ind w:firstLine="482"/>
        <w:spacing w:line="50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3.投标（响应）报价低于采购项目最高限价45%的，即投标（响应）报价&lt;采购项目最高限价×45%；</w:t>
      </w:r>
      <w:r>
        <w:rPr>
          <w:rFonts w:hint="eastAsia" w:ascii="宋体" w:hAnsi="宋体" w:cs="宋体"/>
          <w:b/>
          <w:bCs/>
          <w:color w:val="000000"/>
          <w:sz w:val="24"/>
          <w:highlight w:val="none"/>
        </w:rPr>
      </w:r>
      <w:r/>
    </w:p>
    <w:p>
      <w:pPr>
        <w:pStyle w:val="1024"/>
        <w:ind w:firstLine="482"/>
        <w:spacing w:line="50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4.评审委员会基于专业判断，认为供应商报价过低，有可能影响产品质量或者不能诚信履约的其他情形。</w:t>
      </w:r>
      <w:r>
        <w:rPr>
          <w:rFonts w:hint="eastAsia" w:ascii="宋体" w:hAnsi="宋体" w:cs="宋体"/>
          <w:b/>
          <w:bCs/>
          <w:color w:val="000000"/>
          <w:sz w:val="24"/>
          <w:highlight w:val="none"/>
        </w:rPr>
      </w:r>
      <w:r/>
    </w:p>
    <w:p>
      <w:pPr>
        <w:pStyle w:val="1024"/>
        <w:ind w:firstLine="482"/>
        <w:spacing w:line="500" w:lineRule="exact"/>
        <w:rPr>
          <w:rFonts w:hint="eastAsia" w:ascii="宋体" w:hAnsi="宋体" w:cs="宋体"/>
          <w:b/>
          <w:bCs/>
          <w:color w:val="000000"/>
          <w:sz w:val="24"/>
          <w:highlight w:val="none"/>
        </w:rPr>
      </w:pPr>
      <w:r>
        <w:rPr>
          <w:rFonts w:hint="eastAsia" w:ascii="宋体" w:hAnsi="宋体" w:cs="宋体"/>
          <w:b/>
          <w:bCs/>
          <w:color w:val="000000"/>
          <w:sz w:val="24"/>
          <w:highlight w:val="none"/>
          <w:u w:val="single"/>
        </w:rPr>
        <w:t xml:space="preserve">提醒：采购人可以结合具体项目实际情况，提高上述第1项至第3项中启动异常低价投标（响应）审查的数值标准，但是最高不得超过65%</w:t>
      </w:r>
      <w:r>
        <w:rPr>
          <w:rFonts w:hint="eastAsia" w:ascii="宋体" w:hAnsi="宋体" w:cs="宋体"/>
          <w:b/>
          <w:bCs/>
          <w:color w:val="000000"/>
          <w:sz w:val="24"/>
          <w:highlight w:val="none"/>
        </w:rPr>
        <w:t xml:space="preserve">。</w:t>
      </w:r>
      <w:r>
        <w:rPr>
          <w:rFonts w:hint="eastAsia" w:ascii="宋体" w:hAnsi="宋体" w:cs="宋体"/>
          <w:b/>
          <w:bCs/>
          <w:color w:val="000000"/>
          <w:sz w:val="24"/>
          <w:highlight w:val="none"/>
        </w:rPr>
      </w:r>
      <w:r/>
    </w:p>
    <w:p>
      <w:pPr>
        <w:pStyle w:val="1024"/>
        <w:ind w:firstLine="482"/>
        <w:spacing w:line="50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相关法律法规对供应商报价有规定的，从其规定。</w:t>
      </w:r>
      <w:r>
        <w:rPr>
          <w:rFonts w:hint="eastAsia" w:ascii="宋体" w:hAnsi="宋体" w:cs="宋体"/>
          <w:b/>
          <w:bCs/>
          <w:color w:val="000000"/>
          <w:sz w:val="24"/>
          <w:highlight w:val="none"/>
        </w:rPr>
      </w:r>
      <w:r/>
    </w:p>
    <w:p>
      <w:pPr>
        <w:pStyle w:val="1024"/>
        <w:ind w:firstLine="482"/>
        <w:spacing w:line="50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s="宋体"/>
          <w:b/>
          <w:bCs/>
          <w:color w:val="000000"/>
          <w:sz w:val="24"/>
          <w:highlight w:val="none"/>
        </w:rPr>
      </w:r>
      <w:r/>
    </w:p>
    <w:p>
      <w:pPr>
        <w:pStyle w:val="1024"/>
        <w:ind w:firstLine="482"/>
        <w:spacing w:line="50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评审委员会依据专业经验，参考同类项目中标（成交）价格、类似产品市场价格水平、行业人工费用标准、国家有关部门指导行业协会发布的行业平均成本等情况，</w:t>
      </w:r>
      <w:r>
        <w:rPr>
          <w:rFonts w:hint="eastAsia" w:ascii="宋体" w:hAnsi="宋体" w:cs="宋体"/>
          <w:b/>
          <w:bCs/>
          <w:color w:val="000000"/>
          <w:sz w:val="24"/>
          <w:highlight w:val="none"/>
        </w:rPr>
      </w:r>
      <w:r/>
    </w:p>
    <w:p>
      <w:pPr>
        <w:pStyle w:val="1024"/>
        <w:ind w:firstLine="482"/>
        <w:spacing w:line="50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s="宋体"/>
          <w:b/>
          <w:bCs/>
          <w:color w:val="000000"/>
          <w:sz w:val="24"/>
          <w:highlight w:val="none"/>
        </w:rPr>
      </w:r>
      <w:r/>
    </w:p>
    <w:p>
      <w:pPr>
        <w:pStyle w:val="1024"/>
        <w:ind w:firstLine="482"/>
        <w:spacing w:line="50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cs="宋体"/>
          <w:b/>
          <w:bCs/>
          <w:color w:val="000000"/>
          <w:sz w:val="24"/>
          <w:highlight w:val="none"/>
        </w:rPr>
      </w:r>
      <w:r/>
    </w:p>
    <w:p>
      <w:pPr>
        <w:pStyle w:val="1024"/>
        <w:ind w:firstLine="482"/>
        <w:spacing w:line="50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s="宋体"/>
          <w:b/>
          <w:bCs/>
          <w:color w:val="000000"/>
          <w:sz w:val="24"/>
          <w:highlight w:val="none"/>
        </w:rPr>
      </w:r>
      <w:r/>
    </w:p>
    <w:p>
      <w:pPr>
        <w:pStyle w:val="1024"/>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26.1.11投标文件未按照招标文件要求加盖CA电子公章的。</w:t>
      </w:r>
      <w:r>
        <w:rPr>
          <w:rFonts w:hint="eastAsia" w:ascii="宋体" w:hAnsi="宋体" w:cs="宋体"/>
          <w:color w:val="000000"/>
          <w:sz w:val="24"/>
          <w:highlight w:val="none"/>
        </w:rPr>
      </w:r>
      <w:r/>
    </w:p>
    <w:p>
      <w:pPr>
        <w:pStyle w:val="1024"/>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26.1.12其他法律、法规及本招标文件规定的属无效投标的情形。</w:t>
      </w:r>
      <w:r>
        <w:rPr>
          <w:rFonts w:hint="eastAsia" w:ascii="宋体" w:hAnsi="宋体" w:cs="宋体"/>
          <w:color w:val="000000"/>
          <w:sz w:val="24"/>
          <w:highlight w:val="none"/>
        </w:rPr>
      </w:r>
      <w:r/>
    </w:p>
    <w:p>
      <w:pPr>
        <w:pStyle w:val="1024"/>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26.2废标条款</w:t>
      </w:r>
      <w:r>
        <w:rPr>
          <w:rFonts w:hint="eastAsia" w:ascii="宋体" w:hAnsi="宋体" w:cs="宋体"/>
          <w:color w:val="000000"/>
          <w:sz w:val="24"/>
          <w:highlight w:val="none"/>
        </w:rPr>
      </w:r>
      <w:r/>
    </w:p>
    <w:p>
      <w:pPr>
        <w:pStyle w:val="1024"/>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26.2.1符合专业条件的投标人或者对招标文件作实质响应的投标人不足三家的。</w:t>
      </w:r>
      <w:r>
        <w:rPr>
          <w:rFonts w:hint="eastAsia" w:ascii="宋体" w:hAnsi="宋体" w:cs="宋体"/>
          <w:color w:val="000000"/>
          <w:sz w:val="24"/>
          <w:highlight w:val="none"/>
        </w:rPr>
      </w:r>
      <w:r/>
    </w:p>
    <w:p>
      <w:pPr>
        <w:pStyle w:val="1024"/>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26.2.2出现影响采购公正的违法、违规行为的。</w:t>
      </w:r>
      <w:r>
        <w:rPr>
          <w:rFonts w:hint="eastAsia" w:ascii="宋体" w:hAnsi="宋体" w:cs="宋体"/>
          <w:color w:val="000000"/>
          <w:sz w:val="24"/>
          <w:highlight w:val="none"/>
        </w:rPr>
      </w:r>
      <w:r/>
    </w:p>
    <w:p>
      <w:pPr>
        <w:pStyle w:val="1024"/>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26.2.3因重大变故，采购任务取消的。</w:t>
      </w:r>
      <w:r>
        <w:rPr>
          <w:rFonts w:hint="eastAsia" w:ascii="宋体" w:hAnsi="宋体" w:cs="宋体"/>
          <w:color w:val="000000"/>
          <w:sz w:val="24"/>
          <w:highlight w:val="none"/>
        </w:rPr>
      </w:r>
      <w:r/>
    </w:p>
    <w:p>
      <w:pPr>
        <w:pStyle w:val="1024"/>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26.2.4评标委员会认定招标文件存在歧义、重大缺陷导致评审工作无法进行。</w:t>
      </w:r>
      <w:r>
        <w:rPr>
          <w:rFonts w:hint="eastAsia" w:ascii="宋体" w:hAnsi="宋体" w:cs="宋体"/>
          <w:color w:val="000000"/>
          <w:sz w:val="24"/>
          <w:highlight w:val="none"/>
        </w:rPr>
      </w:r>
      <w:r/>
    </w:p>
    <w:p>
      <w:pPr>
        <w:pStyle w:val="1024"/>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26.2.5因苏采云系统系统故障原因造成开标不成功的。</w:t>
      </w:r>
      <w:r>
        <w:rPr>
          <w:rFonts w:hint="eastAsia" w:ascii="宋体" w:hAnsi="宋体" w:cs="宋体"/>
          <w:color w:val="000000"/>
          <w:sz w:val="24"/>
          <w:highlight w:val="none"/>
        </w:rPr>
      </w:r>
      <w:r/>
    </w:p>
    <w:p>
      <w:pPr>
        <w:pStyle w:val="1024"/>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26.3 投标截止时间结束后参加投标的投标人不足三家的处理：</w:t>
      </w:r>
      <w:r>
        <w:rPr>
          <w:rFonts w:hint="eastAsia" w:ascii="宋体" w:hAnsi="宋体" w:cs="宋体"/>
          <w:color w:val="000000"/>
          <w:sz w:val="24"/>
          <w:highlight w:val="none"/>
        </w:rPr>
      </w:r>
      <w:r/>
    </w:p>
    <w:p>
      <w:pPr>
        <w:pStyle w:val="1024"/>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26.3.1如出现投标截止时间结束后参加投标的投标人或者在评标期间对招标文件做出实质响应的投标人不足三家情况，按政府采购相关规定执行。</w:t>
      </w:r>
      <w:r>
        <w:rPr>
          <w:rFonts w:hint="eastAsia" w:ascii="宋体" w:hAnsi="宋体" w:cs="宋体"/>
          <w:color w:val="000000"/>
          <w:sz w:val="24"/>
          <w:highlight w:val="none"/>
        </w:rPr>
      </w:r>
      <w:r/>
    </w:p>
    <w:p>
      <w:pPr>
        <w:pStyle w:val="1027"/>
        <w:ind w:firstLine="321"/>
        <w:spacing w:before="156" w:after="156" w:line="360" w:lineRule="auto"/>
        <w:rPr>
          <w:rFonts w:ascii="黑体" w:hAnsi="黑体" w:eastAsia="黑体" w:cs="黑体"/>
          <w:color w:val="000000"/>
          <w:highlight w:val="none"/>
        </w:rPr>
      </w:pPr>
      <w:r>
        <w:rPr>
          <w:rFonts w:hint="eastAsia" w:ascii="黑体" w:hAnsi="黑体" w:eastAsia="黑体" w:cs="黑体"/>
          <w:color w:val="000000"/>
          <w:highlight w:val="none"/>
        </w:rPr>
        <w:t xml:space="preserve">六、</w:t>
      </w:r>
      <w:bookmarkEnd w:id="145"/>
      <w:r/>
      <w:bookmarkEnd w:id="147"/>
      <w:r/>
      <w:bookmarkEnd w:id="148"/>
      <w:r>
        <w:rPr>
          <w:rFonts w:hint="eastAsia" w:ascii="黑体" w:hAnsi="黑体" w:eastAsia="黑体" w:cs="黑体"/>
          <w:color w:val="000000"/>
          <w:highlight w:val="none"/>
        </w:rPr>
        <w:t xml:space="preserve">定标</w:t>
      </w:r>
      <w:bookmarkEnd w:id="146"/>
      <w:r>
        <w:rPr>
          <w:rFonts w:ascii="黑体" w:hAnsi="黑体" w:eastAsia="黑体" w:cs="黑体"/>
          <w:color w:val="000000"/>
          <w:highlight w:val="none"/>
        </w:rPr>
      </w:r>
      <w:r/>
    </w:p>
    <w:p>
      <w:pPr>
        <w:pStyle w:val="1024"/>
        <w:ind w:firstLine="241"/>
        <w:rPr>
          <w:rFonts w:hint="eastAsia" w:ascii="宋体" w:hAnsi="宋体" w:cs="宋体"/>
          <w:b/>
          <w:bCs/>
          <w:color w:val="000000"/>
          <w:sz w:val="24"/>
          <w:szCs w:val="24"/>
          <w:highlight w:val="none"/>
        </w:rPr>
      </w:pPr>
      <w:r/>
      <w:bookmarkStart w:id="158" w:name="_Toc513029238"/>
      <w:r/>
      <w:bookmarkStart w:id="159" w:name="_Toc20823310"/>
      <w:r/>
      <w:bookmarkStart w:id="160" w:name="_Toc16938554"/>
      <w:r>
        <w:rPr>
          <w:rFonts w:hint="eastAsia" w:ascii="宋体" w:hAnsi="宋体" w:cs="宋体"/>
          <w:b/>
          <w:bCs/>
          <w:color w:val="000000"/>
          <w:sz w:val="24"/>
          <w:szCs w:val="24"/>
          <w:highlight w:val="none"/>
        </w:rPr>
        <w:t xml:space="preserve">27、</w:t>
      </w:r>
      <w:bookmarkEnd w:id="158"/>
      <w:r>
        <w:rPr>
          <w:rFonts w:hint="eastAsia" w:ascii="宋体" w:hAnsi="宋体" w:cs="宋体"/>
          <w:b/>
          <w:bCs/>
          <w:color w:val="000000"/>
          <w:sz w:val="24"/>
          <w:szCs w:val="24"/>
          <w:highlight w:val="none"/>
        </w:rPr>
        <w:t xml:space="preserve">确定</w:t>
      </w:r>
      <w:bookmarkEnd w:id="159"/>
      <w:r/>
      <w:bookmarkEnd w:id="160"/>
      <w:r>
        <w:rPr>
          <w:rFonts w:hint="eastAsia" w:ascii="宋体" w:hAnsi="宋体" w:cs="宋体"/>
          <w:b/>
          <w:bCs/>
          <w:color w:val="000000"/>
          <w:sz w:val="24"/>
          <w:szCs w:val="24"/>
          <w:highlight w:val="none"/>
        </w:rPr>
        <w:t xml:space="preserve">中标单位</w:t>
      </w:r>
      <w:r>
        <w:rPr>
          <w:rFonts w:hint="eastAsia" w:ascii="宋体" w:hAnsi="宋体" w:cs="宋体"/>
          <w:b/>
          <w:bCs/>
          <w:color w:val="000000"/>
          <w:sz w:val="24"/>
          <w:szCs w:val="24"/>
          <w:highlight w:val="none"/>
        </w:rPr>
      </w:r>
      <w:r/>
    </w:p>
    <w:p>
      <w:pPr>
        <w:pStyle w:val="1024"/>
        <w:ind w:firstLine="480"/>
        <w:spacing w:line="500" w:lineRule="exact"/>
        <w:rPr>
          <w:rFonts w:hint="eastAsia" w:ascii="宋体" w:hAnsi="宋体" w:cs="宋体"/>
          <w:color w:val="000000"/>
          <w:sz w:val="24"/>
          <w:highlight w:val="none"/>
        </w:rPr>
      </w:pPr>
      <w:r/>
      <w:bookmarkStart w:id="161" w:name="_Toc200451960"/>
      <w:r>
        <w:rPr>
          <w:rFonts w:hint="eastAsia" w:ascii="宋体" w:hAnsi="宋体" w:cs="宋体"/>
          <w:color w:val="000000"/>
          <w:sz w:val="24"/>
          <w:highlight w:val="none"/>
        </w:rPr>
        <w:t xml:space="preserve">27.1中标候选人的选取原则和数量见招标文件第五章规定。 </w:t>
      </w:r>
      <w:r>
        <w:rPr>
          <w:rFonts w:hint="eastAsia" w:ascii="宋体" w:hAnsi="宋体" w:cs="宋体"/>
          <w:color w:val="000000"/>
          <w:sz w:val="24"/>
          <w:highlight w:val="none"/>
        </w:rPr>
      </w:r>
      <w:r/>
    </w:p>
    <w:p>
      <w:pPr>
        <w:pStyle w:val="1024"/>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27.2招标人应根据评委会推荐的中标候选人确定中标人。</w:t>
      </w:r>
      <w:r>
        <w:rPr>
          <w:rFonts w:hint="eastAsia" w:ascii="宋体" w:hAnsi="宋体" w:cs="宋体"/>
          <w:color w:val="000000"/>
          <w:sz w:val="24"/>
          <w:highlight w:val="none"/>
        </w:rPr>
      </w:r>
      <w:r/>
    </w:p>
    <w:p>
      <w:pPr>
        <w:pStyle w:val="1024"/>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27.3招标代理机构将在“中国政府采购网”、“江苏政府采购网”、“盐城市政府采购网”发布中标公告，公告期限为1个工作日。</w:t>
      </w:r>
      <w:r>
        <w:rPr>
          <w:rFonts w:hint="eastAsia" w:ascii="宋体" w:hAnsi="宋体" w:cs="宋体"/>
          <w:color w:val="000000"/>
          <w:sz w:val="24"/>
          <w:highlight w:val="none"/>
        </w:rPr>
      </w:r>
      <w:r/>
    </w:p>
    <w:p>
      <w:pPr>
        <w:pStyle w:val="1024"/>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27.4若有充分证据证明，中标人出现下列情况之一的，一经查实，将被取消中标资格：</w:t>
      </w:r>
      <w:r>
        <w:rPr>
          <w:rFonts w:hint="eastAsia" w:ascii="宋体" w:hAnsi="宋体" w:cs="宋体"/>
          <w:color w:val="000000"/>
          <w:sz w:val="24"/>
          <w:highlight w:val="none"/>
        </w:rPr>
      </w:r>
      <w:r/>
    </w:p>
    <w:p>
      <w:pPr>
        <w:pStyle w:val="1024"/>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27.4.1提供虚假材料谋取中标的。</w:t>
      </w:r>
      <w:r>
        <w:rPr>
          <w:rFonts w:hint="eastAsia" w:ascii="宋体" w:hAnsi="宋体" w:cs="宋体"/>
          <w:color w:val="000000"/>
          <w:sz w:val="24"/>
          <w:highlight w:val="none"/>
        </w:rPr>
      </w:r>
      <w:r/>
    </w:p>
    <w:p>
      <w:pPr>
        <w:pStyle w:val="1024"/>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27.4.2向招标人、招标代理机构行贿或者提供其他不正当利益的。</w:t>
      </w:r>
      <w:r>
        <w:rPr>
          <w:rFonts w:hint="eastAsia" w:ascii="宋体" w:hAnsi="宋体" w:cs="宋体"/>
          <w:color w:val="000000"/>
          <w:sz w:val="24"/>
          <w:highlight w:val="none"/>
        </w:rPr>
      </w:r>
      <w:r/>
    </w:p>
    <w:p>
      <w:pPr>
        <w:pStyle w:val="1024"/>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27.4.3属于本文件规定的无效条件，但在评标过程中又未被评委会发现的。</w:t>
      </w:r>
      <w:r>
        <w:rPr>
          <w:rFonts w:hint="eastAsia" w:ascii="宋体" w:hAnsi="宋体" w:cs="宋体"/>
          <w:color w:val="000000"/>
          <w:sz w:val="24"/>
          <w:highlight w:val="none"/>
        </w:rPr>
      </w:r>
      <w:r/>
    </w:p>
    <w:p>
      <w:pPr>
        <w:pStyle w:val="1024"/>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27.4.4与招标人或者其他投标人恶意串通的。</w:t>
      </w:r>
      <w:r>
        <w:rPr>
          <w:rFonts w:hint="eastAsia" w:ascii="宋体" w:hAnsi="宋体" w:cs="宋体"/>
          <w:color w:val="000000"/>
          <w:sz w:val="24"/>
          <w:highlight w:val="none"/>
        </w:rPr>
      </w:r>
      <w:r/>
    </w:p>
    <w:p>
      <w:pPr>
        <w:pStyle w:val="1024"/>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27.4.5采取不正当手段诋毁、排挤其他投标人的。</w:t>
      </w:r>
      <w:r>
        <w:rPr>
          <w:rFonts w:hint="eastAsia" w:ascii="宋体" w:hAnsi="宋体" w:cs="宋体"/>
          <w:color w:val="000000"/>
          <w:sz w:val="24"/>
          <w:highlight w:val="none"/>
        </w:rPr>
      </w:r>
      <w:r/>
    </w:p>
    <w:p>
      <w:pPr>
        <w:pStyle w:val="1024"/>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27.5 有下列情形之一的，视为投标人串通投标，投标无效：</w:t>
      </w:r>
      <w:r>
        <w:rPr>
          <w:rFonts w:hint="eastAsia" w:ascii="宋体" w:hAnsi="宋体" w:cs="宋体"/>
          <w:color w:val="000000"/>
          <w:sz w:val="24"/>
          <w:highlight w:val="none"/>
        </w:rPr>
      </w:r>
      <w:r/>
    </w:p>
    <w:p>
      <w:pPr>
        <w:pStyle w:val="1024"/>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27.5.1不同投标人的投标文件由同一单位或者个人编制。</w:t>
      </w:r>
      <w:r>
        <w:rPr>
          <w:rFonts w:hint="eastAsia" w:ascii="宋体" w:hAnsi="宋体" w:cs="宋体"/>
          <w:color w:val="000000"/>
          <w:sz w:val="24"/>
          <w:highlight w:val="none"/>
        </w:rPr>
      </w:r>
      <w:r/>
    </w:p>
    <w:p>
      <w:pPr>
        <w:pStyle w:val="1024"/>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27.5.2不同投标人委托同一单位或者个人办理投标事宜。</w:t>
      </w:r>
      <w:r>
        <w:rPr>
          <w:rFonts w:hint="eastAsia" w:ascii="宋体" w:hAnsi="宋体" w:cs="宋体"/>
          <w:color w:val="000000"/>
          <w:sz w:val="24"/>
          <w:highlight w:val="none"/>
        </w:rPr>
      </w:r>
      <w:r/>
    </w:p>
    <w:p>
      <w:pPr>
        <w:pStyle w:val="1024"/>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27.5.3不同投标人的投标文件载明的项目管理成员或者联系人员为同一人。</w:t>
      </w:r>
      <w:r>
        <w:rPr>
          <w:rFonts w:hint="eastAsia" w:ascii="宋体" w:hAnsi="宋体" w:cs="宋体"/>
          <w:color w:val="000000"/>
          <w:sz w:val="24"/>
          <w:highlight w:val="none"/>
        </w:rPr>
      </w:r>
      <w:r/>
    </w:p>
    <w:p>
      <w:pPr>
        <w:pStyle w:val="1024"/>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27.5.4不同投标人的投标文件异常一致或者投标报价呈规律性差异。</w:t>
      </w:r>
      <w:r>
        <w:rPr>
          <w:rFonts w:hint="eastAsia" w:ascii="宋体" w:hAnsi="宋体" w:cs="宋体"/>
          <w:color w:val="000000"/>
          <w:sz w:val="24"/>
          <w:highlight w:val="none"/>
        </w:rPr>
      </w:r>
      <w:r/>
    </w:p>
    <w:p>
      <w:pPr>
        <w:pStyle w:val="1024"/>
        <w:ind w:firstLine="241"/>
        <w:rPr>
          <w:rFonts w:hint="eastAsia" w:ascii="宋体" w:hAnsi="宋体" w:cs="宋体"/>
          <w:b/>
          <w:color w:val="000000"/>
          <w:sz w:val="30"/>
          <w:szCs w:val="30"/>
          <w:highlight w:val="none"/>
        </w:rPr>
      </w:pPr>
      <w:r>
        <w:rPr>
          <w:rFonts w:hint="eastAsia" w:ascii="宋体" w:hAnsi="宋体" w:cs="宋体"/>
          <w:b/>
          <w:bCs/>
          <w:color w:val="000000"/>
          <w:sz w:val="24"/>
          <w:szCs w:val="24"/>
          <w:highlight w:val="none"/>
        </w:rPr>
        <w:t xml:space="preserve">28、质疑处理</w:t>
      </w:r>
      <w:bookmarkEnd w:id="161"/>
      <w:r>
        <w:rPr>
          <w:rFonts w:hint="eastAsia" w:ascii="宋体" w:hAnsi="宋体" w:cs="宋体"/>
          <w:color w:val="000000"/>
          <w:sz w:val="30"/>
          <w:szCs w:val="30"/>
          <w:highlight w:val="none"/>
        </w:rPr>
        <w:tab/>
      </w:r>
      <w:r>
        <w:rPr>
          <w:rFonts w:hint="eastAsia" w:ascii="宋体" w:hAnsi="宋体" w:cs="宋体"/>
          <w:b/>
          <w:color w:val="000000"/>
          <w:sz w:val="30"/>
          <w:szCs w:val="30"/>
          <w:highlight w:val="none"/>
        </w:rPr>
      </w:r>
      <w:r/>
    </w:p>
    <w:p>
      <w:pPr>
        <w:pStyle w:val="1024"/>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28.1提出质疑的投标人应当是参与所质疑项目采购活动的投标人。潜在投标人依法获取其可质疑的采购文件的，可以对采购文件提出质疑。</w:t>
      </w:r>
      <w:r>
        <w:rPr>
          <w:rFonts w:hint="eastAsia" w:ascii="宋体" w:hAnsi="宋体" w:cs="宋体"/>
          <w:color w:val="000000"/>
          <w:sz w:val="24"/>
          <w:highlight w:val="none"/>
        </w:rPr>
      </w:r>
      <w:r/>
    </w:p>
    <w:p>
      <w:pPr>
        <w:pStyle w:val="1024"/>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28.2投标人认为采购文件、采购过程和采购结果使自己的权益受到损害的，可以在知道或应知其权益受到损害之日起七个工作日内，以书面形式根据下述28.4条款的规定向招标代理机构或招标人提出质疑。上述应知其权益受到损害之日，是指：</w:t>
      </w:r>
      <w:r>
        <w:rPr>
          <w:rFonts w:hint="eastAsia" w:ascii="宋体" w:hAnsi="宋体" w:cs="宋体"/>
          <w:color w:val="000000"/>
          <w:sz w:val="24"/>
          <w:highlight w:val="none"/>
        </w:rPr>
      </w:r>
      <w:r/>
    </w:p>
    <w:p>
      <w:pPr>
        <w:pStyle w:val="1024"/>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28.2.1对可以质疑的采购文件提出质疑的，为收到采购文件之日或者采购文件公告期限届满之日；</w:t>
      </w:r>
      <w:r>
        <w:rPr>
          <w:rFonts w:hint="eastAsia" w:ascii="宋体" w:hAnsi="宋体" w:cs="宋体"/>
          <w:color w:val="000000"/>
          <w:sz w:val="24"/>
          <w:highlight w:val="none"/>
        </w:rPr>
      </w:r>
      <w:r/>
    </w:p>
    <w:p>
      <w:pPr>
        <w:pStyle w:val="1024"/>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28.2.2对采购过程提出质疑的，为各采购程序环节结束之日；</w:t>
      </w:r>
      <w:r>
        <w:rPr>
          <w:rFonts w:hint="eastAsia" w:ascii="宋体" w:hAnsi="宋体" w:cs="宋体"/>
          <w:color w:val="000000"/>
          <w:sz w:val="24"/>
          <w:highlight w:val="none"/>
        </w:rPr>
      </w:r>
      <w:r/>
    </w:p>
    <w:p>
      <w:pPr>
        <w:pStyle w:val="1024"/>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28.2.3对中标或者成交结果提出质疑的，为中标或者成交结果公告期限届满之日。</w:t>
      </w:r>
      <w:r>
        <w:rPr>
          <w:rFonts w:hint="eastAsia" w:ascii="宋体" w:hAnsi="宋体" w:cs="宋体"/>
          <w:color w:val="000000"/>
          <w:sz w:val="24"/>
          <w:highlight w:val="none"/>
        </w:rPr>
      </w:r>
      <w:r/>
    </w:p>
    <w:p>
      <w:pPr>
        <w:pStyle w:val="1024"/>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投标人应当在法定质疑期内一次性提出针对同一采购程序环节的质疑。投标人如在法定期限内对同一采购程序环节提出多次质疑的，招标代理机构、招标人将只对投标人第一次质疑作出答复。</w:t>
      </w:r>
      <w:r>
        <w:rPr>
          <w:rFonts w:hint="eastAsia" w:ascii="宋体" w:hAnsi="宋体" w:cs="宋体"/>
          <w:color w:val="000000"/>
          <w:sz w:val="24"/>
          <w:highlight w:val="none"/>
        </w:rPr>
      </w:r>
      <w:r/>
    </w:p>
    <w:p>
      <w:pPr>
        <w:pStyle w:val="1024"/>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28.3质疑函必须按照本招标文件中《质疑函范本》要求的格式和内容进行填写。投标人如组成联合体参加投标，则《质疑函范本》中要求签字、盖章、加盖公章之处，联合体各方均须按要求签字、盖章、加盖公章。</w:t>
      </w:r>
      <w:r>
        <w:rPr>
          <w:rFonts w:hint="eastAsia" w:ascii="宋体" w:hAnsi="宋体" w:cs="宋体"/>
          <w:color w:val="000000"/>
          <w:sz w:val="24"/>
          <w:highlight w:val="none"/>
        </w:rPr>
      </w:r>
      <w:r/>
    </w:p>
    <w:p>
      <w:pPr>
        <w:pStyle w:val="1024"/>
        <w:ind w:firstLine="482"/>
        <w:spacing w:line="50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28.4投标人（含潜在投标人）对采购方式、采购需求、投标人资格条件及审查结果、评标方法和评标标准、合同文本的询问、质疑请向招标人提出，由招标人负责答复。投标人对除上述事项以外其他事项的询问、质疑请向招标代理机构提出，由招标代理机构负责答复。</w:t>
      </w:r>
      <w:r>
        <w:rPr>
          <w:rFonts w:hint="eastAsia" w:ascii="宋体" w:hAnsi="宋体" w:cs="宋体"/>
          <w:b/>
          <w:bCs/>
          <w:color w:val="000000"/>
          <w:sz w:val="24"/>
          <w:highlight w:val="none"/>
        </w:rPr>
      </w:r>
      <w:r/>
    </w:p>
    <w:p>
      <w:pPr>
        <w:pStyle w:val="1024"/>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招标代理机构及招标人只接收以纸质原件形式送达的质疑,招标人和招标代理机构不接受未填写快递运单的快件。</w:t>
      </w:r>
      <w:r>
        <w:rPr>
          <w:rFonts w:hint="eastAsia" w:ascii="宋体" w:hAnsi="宋体" w:cs="宋体"/>
          <w:color w:val="000000"/>
          <w:sz w:val="24"/>
          <w:highlight w:val="none"/>
        </w:rPr>
      </w:r>
      <w:r/>
    </w:p>
    <w:p>
      <w:pPr>
        <w:pStyle w:val="1024"/>
        <w:ind w:firstLine="480"/>
        <w:spacing w:line="500" w:lineRule="exact"/>
        <w:rPr>
          <w:rFonts w:hint="eastAsia" w:ascii="宋体" w:hAnsi="宋体" w:cs="宋体"/>
          <w:color w:val="000000"/>
          <w:sz w:val="24"/>
          <w:highlight w:val="none"/>
        </w:rPr>
      </w:pPr>
      <w:r>
        <w:rPr>
          <w:rFonts w:hint="eastAsia" w:ascii="宋体" w:hAnsi="宋体" w:cs="宋体"/>
          <w:color w:val="000000"/>
          <w:sz w:val="24"/>
          <w:szCs w:val="20"/>
          <w:highlight w:val="none"/>
          <w:lang w:val="zh-CN"/>
        </w:rPr>
        <w:t xml:space="preserve">质疑接收部门为盐城市</w:t>
      </w:r>
      <w:r>
        <w:rPr>
          <w:rFonts w:hint="eastAsia" w:ascii="宋体" w:hAnsi="宋体" w:cs="宋体"/>
          <w:color w:val="000000"/>
          <w:sz w:val="24"/>
          <w:highlight w:val="none"/>
        </w:rPr>
        <w:t xml:space="preserve">招标代理有限公司招标代理处，联系地址：盐城市青年路钱江财富广场西区A座3A楼，联系电话：0515-89803566。</w:t>
      </w:r>
      <w:r>
        <w:rPr>
          <w:rFonts w:hint="eastAsia" w:ascii="宋体" w:hAnsi="宋体" w:cs="宋体"/>
          <w:color w:val="000000"/>
          <w:sz w:val="24"/>
          <w:highlight w:val="none"/>
        </w:rPr>
      </w:r>
      <w:r/>
    </w:p>
    <w:p>
      <w:pPr>
        <w:pStyle w:val="1024"/>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质疑人（或授权方）须是投标单位正式员工，授权方须提供投标单位为其缴纳的本年度近期社保证明。</w:t>
      </w:r>
      <w:r>
        <w:rPr>
          <w:rFonts w:hint="eastAsia" w:ascii="宋体" w:hAnsi="宋体" w:cs="宋体"/>
          <w:color w:val="000000"/>
          <w:sz w:val="24"/>
          <w:highlight w:val="none"/>
        </w:rPr>
      </w:r>
      <w:r/>
    </w:p>
    <w:p>
      <w:pPr>
        <w:pStyle w:val="1024"/>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28.5 以下情形的质疑不予受理</w:t>
      </w:r>
      <w:r>
        <w:rPr>
          <w:rFonts w:hint="eastAsia" w:ascii="宋体" w:hAnsi="宋体" w:cs="宋体"/>
          <w:color w:val="000000"/>
          <w:sz w:val="24"/>
          <w:highlight w:val="none"/>
        </w:rPr>
      </w:r>
      <w:r/>
    </w:p>
    <w:p>
      <w:pPr>
        <w:pStyle w:val="1024"/>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28.5.1内容不符合《政府采购质疑和投诉办法》第十二条规定的质疑。</w:t>
      </w:r>
      <w:r>
        <w:rPr>
          <w:rFonts w:hint="eastAsia" w:ascii="宋体" w:hAnsi="宋体" w:cs="宋体"/>
          <w:color w:val="000000"/>
          <w:sz w:val="24"/>
          <w:highlight w:val="none"/>
        </w:rPr>
      </w:r>
      <w:r/>
    </w:p>
    <w:p>
      <w:pPr>
        <w:pStyle w:val="1024"/>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28.5.2超出政府采购法定期限的质疑。</w:t>
      </w:r>
      <w:r>
        <w:rPr>
          <w:rFonts w:hint="eastAsia" w:ascii="宋体" w:hAnsi="宋体" w:cs="宋体"/>
          <w:color w:val="000000"/>
          <w:sz w:val="24"/>
          <w:highlight w:val="none"/>
        </w:rPr>
      </w:r>
      <w:r/>
    </w:p>
    <w:p>
      <w:pPr>
        <w:pStyle w:val="1024"/>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28.5.3以传真、电子邮件等方式递交的非原件形式的质疑。</w:t>
      </w:r>
      <w:r>
        <w:rPr>
          <w:rFonts w:hint="eastAsia" w:ascii="宋体" w:hAnsi="宋体" w:cs="宋体"/>
          <w:color w:val="000000"/>
          <w:sz w:val="24"/>
          <w:highlight w:val="none"/>
        </w:rPr>
      </w:r>
      <w:r/>
    </w:p>
    <w:p>
      <w:pPr>
        <w:pStyle w:val="1024"/>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28.5.4未参加投标活动的投标人或在投标活动中自身权益未受到损害的投标人所提出的质疑。</w:t>
      </w:r>
      <w:r>
        <w:rPr>
          <w:rFonts w:hint="eastAsia" w:ascii="宋体" w:hAnsi="宋体" w:cs="宋体"/>
          <w:color w:val="000000"/>
          <w:sz w:val="24"/>
          <w:highlight w:val="none"/>
        </w:rPr>
      </w:r>
      <w:r/>
    </w:p>
    <w:p>
      <w:pPr>
        <w:pStyle w:val="1024"/>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28.5.5投标人组成联合体参加投标，联合体中任何一方或多方未按要求签字、盖章、加盖公章的质疑。</w:t>
      </w:r>
      <w:r>
        <w:rPr>
          <w:rFonts w:hint="eastAsia" w:ascii="宋体" w:hAnsi="宋体" w:cs="宋体"/>
          <w:color w:val="000000"/>
          <w:sz w:val="24"/>
          <w:highlight w:val="none"/>
        </w:rPr>
      </w:r>
      <w:r/>
    </w:p>
    <w:p>
      <w:pPr>
        <w:pStyle w:val="1024"/>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28.6投标人提出书面质疑必须有理、有据，不得捏造事实、提供虚假材料进行恶意质疑。否则，一经查实，招标代理机构有权依据政府采购的有关规定，报请政府采购监管部门对该投标人进行相应的行政处罚和记录该投标人的失信信息。</w:t>
      </w:r>
      <w:r>
        <w:rPr>
          <w:rFonts w:hint="eastAsia" w:ascii="宋体" w:hAnsi="宋体" w:cs="宋体"/>
          <w:color w:val="000000"/>
          <w:sz w:val="24"/>
          <w:highlight w:val="none"/>
        </w:rPr>
      </w:r>
      <w:r/>
    </w:p>
    <w:p>
      <w:pPr>
        <w:pStyle w:val="1024"/>
        <w:ind w:firstLine="241"/>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29、中标通知书</w:t>
      </w:r>
      <w:r>
        <w:rPr>
          <w:rFonts w:hint="eastAsia" w:ascii="宋体" w:hAnsi="宋体" w:cs="宋体"/>
          <w:b/>
          <w:bCs/>
          <w:color w:val="000000"/>
          <w:sz w:val="24"/>
          <w:szCs w:val="24"/>
          <w:highlight w:val="none"/>
        </w:rPr>
      </w:r>
      <w:r/>
    </w:p>
    <w:p>
      <w:pPr>
        <w:pStyle w:val="1024"/>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29.l中标结果确定后，招标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cs="宋体"/>
          <w:color w:val="000000"/>
          <w:sz w:val="24"/>
          <w:highlight w:val="none"/>
        </w:rPr>
      </w:r>
      <w:r/>
    </w:p>
    <w:p>
      <w:pPr>
        <w:pStyle w:val="1024"/>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29.2中标通知书将是合同的一个组成部分。对招标人和中标人均具有法律效力。中标通知书发出后，招标人改变中标结果的，或者中标人放弃中标项目的，应当依法承担法律责任。</w:t>
      </w:r>
      <w:r>
        <w:rPr>
          <w:rFonts w:hint="eastAsia" w:ascii="宋体" w:hAnsi="宋体" w:cs="宋体"/>
          <w:color w:val="000000"/>
          <w:sz w:val="24"/>
          <w:highlight w:val="none"/>
        </w:rPr>
      </w:r>
      <w:r/>
    </w:p>
    <w:p>
      <w:pPr>
        <w:pStyle w:val="1027"/>
        <w:ind w:firstLine="321"/>
        <w:spacing w:before="156" w:after="156" w:line="360" w:lineRule="auto"/>
        <w:rPr>
          <w:rFonts w:ascii="黑体" w:hAnsi="黑体" w:eastAsia="黑体" w:cs="黑体"/>
          <w:color w:val="000000"/>
          <w:highlight w:val="none"/>
        </w:rPr>
      </w:pPr>
      <w:r/>
      <w:bookmarkStart w:id="162" w:name="_Toc120614220"/>
      <w:r/>
      <w:bookmarkStart w:id="163" w:name="_Toc16938552"/>
      <w:r/>
      <w:bookmarkStart w:id="164" w:name="_Toc513029236"/>
      <w:r/>
      <w:bookmarkStart w:id="165" w:name="_Toc20823308"/>
      <w:r>
        <w:rPr>
          <w:rFonts w:hint="eastAsia" w:ascii="黑体" w:hAnsi="黑体" w:eastAsia="黑体" w:cs="黑体"/>
          <w:color w:val="000000"/>
          <w:highlight w:val="none"/>
        </w:rPr>
        <w:t xml:space="preserve">七、授予合同</w:t>
      </w:r>
      <w:bookmarkEnd w:id="162"/>
      <w:r>
        <w:rPr>
          <w:rFonts w:ascii="黑体" w:hAnsi="黑体" w:eastAsia="黑体" w:cs="黑体"/>
          <w:color w:val="000000"/>
          <w:highlight w:val="none"/>
        </w:rPr>
      </w:r>
      <w:r/>
    </w:p>
    <w:p>
      <w:pPr>
        <w:pStyle w:val="1024"/>
        <w:ind w:firstLine="241"/>
        <w:rPr>
          <w:rFonts w:hint="eastAsia" w:ascii="宋体" w:hAnsi="宋体" w:cs="宋体"/>
          <w:b/>
          <w:bCs/>
          <w:color w:val="000000"/>
          <w:sz w:val="24"/>
          <w:szCs w:val="24"/>
          <w:highlight w:val="none"/>
        </w:rPr>
      </w:pPr>
      <w:r/>
      <w:bookmarkEnd w:id="163"/>
      <w:r/>
      <w:bookmarkEnd w:id="164"/>
      <w:r/>
      <w:bookmarkEnd w:id="165"/>
      <w:r/>
      <w:bookmarkStart w:id="166" w:name="_Toc20823309"/>
      <w:r/>
      <w:bookmarkStart w:id="167" w:name="_Toc16938553"/>
      <w:r/>
      <w:bookmarkStart w:id="168" w:name="_Toc513029237"/>
      <w:r/>
      <w:bookmarkStart w:id="169" w:name="_Toc16938558"/>
      <w:r/>
      <w:bookmarkStart w:id="170" w:name="_Toc513029242"/>
      <w:r/>
      <w:bookmarkStart w:id="171" w:name="_Toc479757207"/>
      <w:r/>
      <w:bookmarkStart w:id="172" w:name="_Toc120614221"/>
      <w:r/>
      <w:bookmarkStart w:id="173" w:name="_Toc20823314"/>
      <w:r>
        <w:rPr>
          <w:rFonts w:hint="eastAsia" w:ascii="宋体" w:hAnsi="宋体" w:cs="宋体"/>
          <w:b/>
          <w:bCs/>
          <w:color w:val="000000"/>
          <w:sz w:val="24"/>
          <w:szCs w:val="24"/>
          <w:highlight w:val="none"/>
        </w:rPr>
        <w:t xml:space="preserve">30、签订合同</w:t>
      </w:r>
      <w:r>
        <w:rPr>
          <w:rFonts w:hint="eastAsia" w:ascii="宋体" w:hAnsi="宋体" w:cs="宋体"/>
          <w:b/>
          <w:bCs/>
          <w:color w:val="000000"/>
          <w:sz w:val="24"/>
          <w:szCs w:val="24"/>
          <w:highlight w:val="none"/>
        </w:rPr>
      </w:r>
      <w:r/>
    </w:p>
    <w:p>
      <w:pPr>
        <w:pStyle w:val="1024"/>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30.l中标人应当在中标通知书发出之日起三十日内，按照招标文件确定的事项与招标人签订政府采购合同。</w:t>
      </w:r>
      <w:r>
        <w:rPr>
          <w:rFonts w:hint="eastAsia" w:ascii="宋体" w:hAnsi="宋体" w:cs="宋体"/>
          <w:color w:val="000000"/>
          <w:sz w:val="24"/>
          <w:highlight w:val="none"/>
        </w:rPr>
      </w:r>
      <w:r/>
    </w:p>
    <w:p>
      <w:pPr>
        <w:pStyle w:val="1024"/>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30.2招标文件、中标人的投标文件及招标过程中有关澄清、承诺文件均应作为合同附件。</w:t>
      </w:r>
      <w:r>
        <w:rPr>
          <w:rFonts w:hint="eastAsia" w:ascii="宋体" w:hAnsi="宋体" w:cs="宋体"/>
          <w:color w:val="000000"/>
          <w:sz w:val="24"/>
          <w:highlight w:val="none"/>
        </w:rPr>
      </w:r>
      <w:r/>
    </w:p>
    <w:p>
      <w:pPr>
        <w:pStyle w:val="1024"/>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30.3签订合同后，</w:t>
      </w:r>
      <w:r>
        <w:rPr>
          <w:rFonts w:hint="eastAsia" w:ascii="宋体" w:hAnsi="宋体" w:cs="宋体"/>
          <w:b/>
          <w:bCs/>
          <w:i/>
          <w:iCs/>
          <w:color w:val="000000"/>
          <w:sz w:val="24"/>
          <w:highlight w:val="none"/>
          <w:u w:val="single"/>
        </w:rPr>
        <w:t xml:space="preserve">中标人不得将合同标的进行转包</w:t>
      </w:r>
      <w:r>
        <w:rPr>
          <w:rFonts w:hint="eastAsia" w:ascii="宋体" w:hAnsi="宋体" w:cs="宋体"/>
          <w:i/>
          <w:iCs/>
          <w:color w:val="000000"/>
          <w:sz w:val="24"/>
          <w:highlight w:val="none"/>
        </w:rPr>
        <w:t xml:space="preserve">。</w:t>
      </w:r>
      <w:r>
        <w:rPr>
          <w:rFonts w:hint="eastAsia" w:ascii="宋体" w:hAnsi="宋体" w:cs="宋体"/>
          <w:color w:val="000000"/>
          <w:sz w:val="24"/>
          <w:highlight w:val="none"/>
        </w:rPr>
        <w:t xml:space="preserve">未经招标人同意，中标人也不得采用分包的形式履行合同，否则招标人有权终止合同。转包或分包造成招标人损失的，中标人应承担相应赔偿责任。</w:t>
      </w:r>
      <w:r>
        <w:rPr>
          <w:rFonts w:hint="eastAsia" w:ascii="宋体" w:hAnsi="宋体" w:cs="宋体"/>
          <w:color w:val="000000"/>
          <w:sz w:val="24"/>
          <w:highlight w:val="none"/>
        </w:rPr>
      </w:r>
      <w:r/>
    </w:p>
    <w:p>
      <w:pPr>
        <w:pStyle w:val="1024"/>
        <w:ind w:firstLine="241"/>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31、服务（包含与服务相关的货物）的追加</w:t>
      </w:r>
      <w:r>
        <w:rPr>
          <w:rFonts w:hint="eastAsia" w:ascii="宋体" w:hAnsi="宋体" w:cs="宋体"/>
          <w:b/>
          <w:bCs/>
          <w:color w:val="000000"/>
          <w:sz w:val="24"/>
          <w:szCs w:val="24"/>
          <w:highlight w:val="none"/>
        </w:rPr>
      </w:r>
      <w:r/>
    </w:p>
    <w:p>
      <w:pPr>
        <w:pStyle w:val="1024"/>
        <w:ind w:firstLine="480"/>
        <w:spacing w:line="500" w:lineRule="exact"/>
        <w:rPr>
          <w:rFonts w:hint="eastAsia" w:ascii="宋体" w:hAnsi="宋体" w:cs="宋体"/>
          <w:color w:val="000000"/>
          <w:sz w:val="24"/>
          <w:highlight w:val="none"/>
        </w:rPr>
      </w:pPr>
      <w:r/>
      <w:bookmarkEnd w:id="166"/>
      <w:r/>
      <w:bookmarkEnd w:id="167"/>
      <w:r/>
      <w:bookmarkEnd w:id="168"/>
      <w:r>
        <w:rPr>
          <w:rFonts w:hint="eastAsia" w:ascii="宋体" w:hAnsi="宋体" w:cs="宋体"/>
          <w:color w:val="000000"/>
          <w:sz w:val="24"/>
          <w:highlight w:val="none"/>
        </w:rPr>
        <w:t xml:space="preserve">31.1政府采购合同履行中，招标人需追加与合同标的相同的服务（包含与服务相关的货物），在不改变合同其他条款的前提下，可以与中标人协商签订补充合同，但所有补充合同的采购金额不超过原合同金额10%。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cs="宋体"/>
          <w:color w:val="000000"/>
          <w:sz w:val="24"/>
          <w:highlight w:val="none"/>
        </w:rPr>
      </w:r>
      <w:r/>
    </w:p>
    <w:p>
      <w:pPr>
        <w:pStyle w:val="1024"/>
        <w:ind w:firstLine="241"/>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32、政府采购履约资金扶持政策</w:t>
      </w:r>
      <w:r>
        <w:rPr>
          <w:rFonts w:hint="eastAsia" w:ascii="宋体" w:hAnsi="宋体" w:cs="宋体"/>
          <w:b/>
          <w:bCs/>
          <w:color w:val="000000"/>
          <w:sz w:val="24"/>
          <w:szCs w:val="24"/>
          <w:highlight w:val="none"/>
        </w:rPr>
      </w:r>
      <w:r/>
    </w:p>
    <w:p>
      <w:pPr>
        <w:pStyle w:val="1024"/>
        <w:ind w:firstLine="482"/>
        <w:spacing w:line="500" w:lineRule="exact"/>
        <w:rPr>
          <w:rFonts w:ascii="宋体" w:hAnsi="宋体" w:cs="宋体"/>
          <w:b/>
          <w:bCs/>
          <w:color w:val="000000"/>
          <w:sz w:val="24"/>
          <w:highlight w:val="none"/>
        </w:rPr>
      </w:pPr>
      <w:r>
        <w:rPr>
          <w:rFonts w:ascii="宋体" w:hAnsi="宋体" w:cs="宋体"/>
          <w:b/>
          <w:bCs/>
          <w:color w:val="000000"/>
          <w:sz w:val="24"/>
          <w:highlight w:val="none"/>
        </w:rPr>
        <w:t xml:space="preserve">32.1政府采购线上合同信用融资政策</w:t>
      </w:r>
      <w:r>
        <w:rPr>
          <w:rFonts w:ascii="宋体" w:hAnsi="宋体" w:cs="宋体"/>
          <w:b/>
          <w:bCs/>
          <w:color w:val="000000"/>
          <w:sz w:val="24"/>
          <w:highlight w:val="none"/>
        </w:rPr>
      </w:r>
      <w:r/>
    </w:p>
    <w:p>
      <w:pPr>
        <w:pStyle w:val="1024"/>
        <w:ind w:firstLine="480"/>
        <w:spacing w:line="500" w:lineRule="exact"/>
        <w:rPr>
          <w:rFonts w:ascii="宋体" w:hAnsi="宋体" w:cs="宋体"/>
          <w:color w:val="000000"/>
          <w:sz w:val="24"/>
          <w:highlight w:val="none"/>
        </w:rPr>
      </w:pPr>
      <w:r>
        <w:rPr>
          <w:rFonts w:ascii="宋体" w:hAnsi="宋体" w:cs="宋体"/>
          <w:color w:val="000000"/>
          <w:sz w:val="24"/>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rPr>
          <w:rFonts w:ascii="宋体" w:hAnsi="宋体" w:cs="宋体"/>
          <w:color w:val="000000"/>
          <w:sz w:val="24"/>
          <w:highlight w:val="none"/>
        </w:rPr>
      </w:r>
      <w:r/>
    </w:p>
    <w:p>
      <w:pPr>
        <w:pStyle w:val="1024"/>
        <w:ind w:firstLine="482"/>
        <w:spacing w:line="500" w:lineRule="exact"/>
        <w:rPr>
          <w:rFonts w:ascii="宋体" w:hAnsi="宋体" w:cs="宋体"/>
          <w:b/>
          <w:bCs/>
          <w:color w:val="000000"/>
          <w:sz w:val="24"/>
          <w:highlight w:val="none"/>
        </w:rPr>
      </w:pPr>
      <w:r>
        <w:rPr>
          <w:rFonts w:ascii="宋体" w:hAnsi="宋体" w:cs="宋体"/>
          <w:b/>
          <w:bCs/>
          <w:color w:val="000000"/>
          <w:sz w:val="24"/>
          <w:highlight w:val="none"/>
        </w:rPr>
        <w:t xml:space="preserve">32.2进口产品</w:t>
      </w:r>
      <w:r>
        <w:rPr>
          <w:rFonts w:ascii="宋体" w:hAnsi="宋体" w:cs="宋体"/>
          <w:b/>
          <w:bCs/>
          <w:color w:val="000000"/>
          <w:sz w:val="24"/>
          <w:highlight w:val="none"/>
        </w:rPr>
      </w:r>
      <w:r/>
    </w:p>
    <w:p>
      <w:pPr>
        <w:pStyle w:val="1024"/>
        <w:ind w:firstLine="480"/>
        <w:spacing w:line="500" w:lineRule="exact"/>
        <w:rPr>
          <w:rFonts w:ascii="宋体" w:hAnsi="宋体" w:cs="宋体"/>
          <w:color w:val="000000"/>
          <w:sz w:val="24"/>
          <w:highlight w:val="none"/>
        </w:rPr>
      </w:pPr>
      <w:r>
        <w:rPr>
          <w:rFonts w:ascii="宋体" w:hAnsi="宋体" w:cs="宋体"/>
          <w:color w:val="000000"/>
          <w:sz w:val="24"/>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ascii="宋体" w:hAnsi="宋体" w:cs="宋体"/>
          <w:color w:val="000000"/>
          <w:sz w:val="24"/>
          <w:highlight w:val="none"/>
        </w:rPr>
      </w:r>
      <w:r/>
    </w:p>
    <w:p>
      <w:pPr>
        <w:pStyle w:val="1024"/>
        <w:ind w:firstLine="482"/>
        <w:spacing w:line="500" w:lineRule="exact"/>
        <w:rPr>
          <w:rFonts w:ascii="宋体" w:hAnsi="宋体" w:cs="宋体"/>
          <w:b/>
          <w:bCs/>
          <w:color w:val="000000"/>
          <w:sz w:val="24"/>
          <w:highlight w:val="none"/>
        </w:rPr>
      </w:pPr>
      <w:r>
        <w:rPr>
          <w:rFonts w:ascii="宋体" w:hAnsi="宋体" w:cs="宋体"/>
          <w:b/>
          <w:bCs/>
          <w:color w:val="000000"/>
          <w:sz w:val="24"/>
          <w:highlight w:val="none"/>
        </w:rPr>
        <w:t xml:space="preserve">32.3中小企业、监狱企业及残疾人福利性单位</w:t>
      </w:r>
      <w:r>
        <w:rPr>
          <w:rFonts w:ascii="宋体" w:hAnsi="宋体" w:cs="宋体"/>
          <w:b/>
          <w:bCs/>
          <w:color w:val="000000"/>
          <w:sz w:val="24"/>
          <w:highlight w:val="none"/>
        </w:rPr>
      </w:r>
      <w:r/>
    </w:p>
    <w:p>
      <w:pPr>
        <w:pStyle w:val="1024"/>
        <w:ind w:firstLine="480"/>
        <w:spacing w:line="500" w:lineRule="exact"/>
        <w:rPr>
          <w:rFonts w:ascii="宋体" w:hAnsi="宋体" w:cs="宋体"/>
          <w:color w:val="000000"/>
          <w:sz w:val="24"/>
          <w:highlight w:val="none"/>
        </w:rPr>
      </w:pPr>
      <w:r>
        <w:rPr>
          <w:rFonts w:ascii="宋体" w:hAnsi="宋体" w:cs="宋体"/>
          <w:color w:val="000000"/>
          <w:sz w:val="24"/>
          <w:highlight w:val="none"/>
        </w:rPr>
        <w:t xml:space="preserve">32.3.1中小企业定义：</w:t>
      </w:r>
      <w:r>
        <w:rPr>
          <w:rFonts w:ascii="宋体" w:hAnsi="宋体" w:cs="宋体"/>
          <w:color w:val="000000"/>
          <w:sz w:val="24"/>
          <w:highlight w:val="none"/>
        </w:rPr>
      </w:r>
      <w:r/>
    </w:p>
    <w:p>
      <w:pPr>
        <w:pStyle w:val="1024"/>
        <w:ind w:firstLine="480"/>
        <w:spacing w:line="500" w:lineRule="exact"/>
        <w:rPr>
          <w:rFonts w:ascii="宋体" w:hAnsi="宋体" w:cs="宋体"/>
          <w:color w:val="000000"/>
          <w:sz w:val="24"/>
          <w:highlight w:val="none"/>
        </w:rPr>
      </w:pPr>
      <w:r>
        <w:rPr>
          <w:rFonts w:ascii="宋体" w:hAnsi="宋体" w:cs="宋体"/>
          <w:color w:val="000000"/>
          <w:sz w:val="24"/>
          <w:highlight w:val="none"/>
        </w:rPr>
        <w:t xml:space="preserve">中小企业是</w:t>
      </w:r>
      <w:r>
        <w:rPr>
          <w:rFonts w:ascii="宋体" w:hAnsi="宋体" w:cs="宋体"/>
          <w:color w:val="000000"/>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ascii="宋体" w:hAnsi="宋体" w:cs="宋体"/>
          <w:color w:val="000000"/>
          <w:sz w:val="24"/>
          <w:highlight w:val="none"/>
        </w:rPr>
      </w:r>
      <w:r/>
    </w:p>
    <w:p>
      <w:pPr>
        <w:pStyle w:val="1024"/>
        <w:ind w:firstLine="480"/>
        <w:spacing w:line="500" w:lineRule="exact"/>
        <w:rPr>
          <w:rFonts w:ascii="宋体" w:hAnsi="宋体" w:cs="宋体"/>
          <w:color w:val="000000"/>
          <w:sz w:val="24"/>
          <w:highlight w:val="none"/>
        </w:rPr>
      </w:pPr>
      <w:r>
        <w:rPr>
          <w:rFonts w:ascii="宋体" w:hAnsi="宋体" w:cs="宋体"/>
          <w:color w:val="000000"/>
          <w:sz w:val="24"/>
          <w:highlight w:val="none"/>
        </w:rPr>
        <w:t xml:space="preserve">32.3.2供应商提供的货物、工程或者服务符合下列情形的，享受中小企业扶持政策：</w:t>
      </w:r>
      <w:r>
        <w:rPr>
          <w:rFonts w:ascii="宋体" w:hAnsi="宋体" w:cs="宋体"/>
          <w:color w:val="000000"/>
          <w:sz w:val="24"/>
          <w:highlight w:val="none"/>
        </w:rPr>
      </w:r>
      <w:r/>
    </w:p>
    <w:p>
      <w:pPr>
        <w:pStyle w:val="1024"/>
        <w:ind w:firstLine="480"/>
        <w:spacing w:line="500" w:lineRule="exact"/>
        <w:rPr>
          <w:rFonts w:ascii="宋体" w:hAnsi="宋体" w:cs="宋体"/>
          <w:color w:val="000000"/>
          <w:sz w:val="24"/>
          <w:highlight w:val="none"/>
        </w:rPr>
      </w:pPr>
      <w:r>
        <w:rPr>
          <w:rFonts w:ascii="宋体" w:hAnsi="宋体" w:cs="宋体"/>
          <w:color w:val="000000"/>
          <w:sz w:val="24"/>
          <w:highlight w:val="none"/>
        </w:rPr>
        <w:t xml:space="preserve">32.3.2.1在货物采购项目中，货物由中小企业制造，即货物由中小企业生产且使用该中小企业商号或者注册商标；</w:t>
      </w:r>
      <w:r>
        <w:rPr>
          <w:rFonts w:ascii="宋体" w:hAnsi="宋体" w:cs="宋体"/>
          <w:color w:val="000000"/>
          <w:sz w:val="24"/>
          <w:highlight w:val="none"/>
        </w:rPr>
      </w:r>
      <w:r/>
    </w:p>
    <w:p>
      <w:pPr>
        <w:pStyle w:val="1024"/>
        <w:ind w:firstLine="480"/>
        <w:spacing w:line="500" w:lineRule="exact"/>
        <w:rPr>
          <w:rFonts w:ascii="宋体" w:hAnsi="宋体" w:cs="宋体"/>
          <w:color w:val="000000"/>
          <w:sz w:val="24"/>
          <w:highlight w:val="none"/>
        </w:rPr>
      </w:pPr>
      <w:r>
        <w:rPr>
          <w:rFonts w:ascii="宋体" w:hAnsi="宋体" w:cs="宋体"/>
          <w:color w:val="000000"/>
          <w:sz w:val="24"/>
          <w:highlight w:val="none"/>
        </w:rPr>
        <w:t xml:space="preserve">32.3.2.2在工程采购项目中，工程由中小企业承建，即工程施工单位为中小企业；</w:t>
      </w:r>
      <w:r>
        <w:rPr>
          <w:rFonts w:ascii="宋体" w:hAnsi="宋体" w:cs="宋体"/>
          <w:color w:val="000000"/>
          <w:sz w:val="24"/>
          <w:highlight w:val="none"/>
        </w:rPr>
      </w:r>
      <w:r/>
    </w:p>
    <w:p>
      <w:pPr>
        <w:pStyle w:val="1024"/>
        <w:ind w:firstLine="480"/>
        <w:spacing w:line="500" w:lineRule="exact"/>
        <w:rPr>
          <w:rFonts w:ascii="宋体" w:hAnsi="宋体" w:cs="宋体"/>
          <w:color w:val="000000"/>
          <w:sz w:val="24"/>
          <w:highlight w:val="none"/>
        </w:rPr>
      </w:pPr>
      <w:r>
        <w:rPr>
          <w:rFonts w:ascii="宋体" w:hAnsi="宋体" w:cs="宋体"/>
          <w:color w:val="000000"/>
          <w:sz w:val="24"/>
          <w:highlight w:val="none"/>
        </w:rPr>
        <w:t xml:space="preserve">32.3.2.3在服务采购项目中，服务由中小企业承接，即提供服务的人员为中小企业依照《中华人民共和国劳动合同法》订立劳动合同的从业人员。</w:t>
      </w:r>
      <w:r>
        <w:rPr>
          <w:rFonts w:ascii="宋体" w:hAnsi="宋体" w:cs="宋体"/>
          <w:color w:val="000000"/>
          <w:sz w:val="24"/>
          <w:highlight w:val="none"/>
        </w:rPr>
      </w:r>
      <w:r/>
    </w:p>
    <w:p>
      <w:pPr>
        <w:pStyle w:val="1024"/>
        <w:ind w:firstLine="480"/>
        <w:spacing w:line="500" w:lineRule="exact"/>
        <w:rPr>
          <w:rFonts w:ascii="宋体" w:hAnsi="宋体" w:cs="宋体"/>
          <w:color w:val="000000"/>
          <w:sz w:val="24"/>
          <w:highlight w:val="none"/>
        </w:rPr>
      </w:pPr>
      <w:r>
        <w:rPr>
          <w:rFonts w:ascii="宋体" w:hAnsi="宋体" w:cs="宋体"/>
          <w:color w:val="000000"/>
          <w:sz w:val="24"/>
          <w:highlight w:val="none"/>
        </w:rPr>
        <w:t xml:space="preserve">32.3.3在货物采购项目中，供应商提供的货物既有中小企业制造货物，也有大型企业制造货物的，不享受中小企业扶持政策。</w:t>
      </w:r>
      <w:r>
        <w:rPr>
          <w:rFonts w:ascii="宋体" w:hAnsi="宋体" w:cs="宋体"/>
          <w:color w:val="000000"/>
          <w:sz w:val="24"/>
          <w:highlight w:val="none"/>
        </w:rPr>
      </w:r>
      <w:r/>
    </w:p>
    <w:p>
      <w:pPr>
        <w:pStyle w:val="1024"/>
        <w:ind w:firstLine="480"/>
        <w:spacing w:line="500" w:lineRule="exact"/>
        <w:rPr>
          <w:rFonts w:ascii="宋体" w:hAnsi="宋体" w:cs="宋体"/>
          <w:color w:val="000000"/>
          <w:sz w:val="24"/>
          <w:highlight w:val="none"/>
        </w:rPr>
      </w:pPr>
      <w:r>
        <w:rPr>
          <w:rFonts w:ascii="宋体" w:hAnsi="宋体" w:cs="宋体"/>
          <w:color w:val="000000"/>
          <w:sz w:val="24"/>
          <w:highlight w:val="none"/>
        </w:rPr>
        <w:t xml:space="preserve">32.3.4以联合体形式参加政府采购活动，联合体各方均为中小企业的，联合体视同中小企业。其中，联合体各方均为小微企业的，联合体视同小微企业。</w:t>
      </w:r>
      <w:r>
        <w:rPr>
          <w:rFonts w:ascii="宋体" w:hAnsi="宋体" w:cs="宋体"/>
          <w:color w:val="000000"/>
          <w:sz w:val="24"/>
          <w:highlight w:val="none"/>
        </w:rPr>
      </w:r>
      <w:r/>
    </w:p>
    <w:p>
      <w:pPr>
        <w:pStyle w:val="1024"/>
        <w:ind w:firstLine="480"/>
        <w:spacing w:line="500" w:lineRule="exact"/>
        <w:rPr>
          <w:rFonts w:ascii="宋体" w:hAnsi="宋体" w:cs="宋体"/>
          <w:color w:val="000000"/>
          <w:sz w:val="24"/>
          <w:highlight w:val="none"/>
        </w:rPr>
      </w:pPr>
      <w:r>
        <w:rPr>
          <w:rFonts w:ascii="宋体" w:hAnsi="宋体" w:cs="宋体"/>
          <w:color w:val="000000"/>
          <w:sz w:val="24"/>
          <w:highlight w:val="none"/>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ascii="宋体" w:hAnsi="宋体" w:cs="宋体"/>
          <w:color w:val="000000"/>
          <w:sz w:val="24"/>
          <w:highlight w:val="none"/>
        </w:rPr>
      </w:r>
      <w:r/>
    </w:p>
    <w:p>
      <w:pPr>
        <w:pStyle w:val="1024"/>
        <w:ind w:firstLine="480"/>
        <w:spacing w:line="500" w:lineRule="exact"/>
        <w:rPr>
          <w:rFonts w:ascii="宋体" w:hAnsi="宋体" w:cs="宋体"/>
          <w:color w:val="000000"/>
          <w:sz w:val="24"/>
          <w:highlight w:val="none"/>
        </w:rPr>
      </w:pPr>
      <w:r>
        <w:rPr>
          <w:rFonts w:ascii="宋体" w:hAnsi="宋体" w:cs="宋体"/>
          <w:color w:val="000000"/>
          <w:sz w:val="24"/>
          <w:highlight w:val="none"/>
        </w:rPr>
        <w:t xml:space="preserve">32.3.6残疾人福利单位定义：享受政府采购支持政策的残疾人福利性单位应当同时满足以下条件：</w:t>
      </w:r>
      <w:r>
        <w:rPr>
          <w:rFonts w:ascii="宋体" w:hAnsi="宋体" w:cs="宋体"/>
          <w:color w:val="000000"/>
          <w:sz w:val="24"/>
          <w:highlight w:val="none"/>
        </w:rPr>
      </w:r>
      <w:r/>
    </w:p>
    <w:p>
      <w:pPr>
        <w:pStyle w:val="1024"/>
        <w:ind w:firstLine="480"/>
        <w:spacing w:line="500" w:lineRule="exact"/>
        <w:rPr>
          <w:rFonts w:ascii="宋体" w:hAnsi="宋体" w:cs="宋体"/>
          <w:color w:val="000000"/>
          <w:sz w:val="24"/>
          <w:highlight w:val="none"/>
        </w:rPr>
      </w:pPr>
      <w:r>
        <w:rPr>
          <w:rFonts w:ascii="宋体" w:hAnsi="宋体" w:cs="宋体"/>
          <w:color w:val="000000"/>
          <w:sz w:val="24"/>
          <w:highlight w:val="none"/>
        </w:rPr>
        <w:t xml:space="preserve">32.3.6.1安置的残疾人占本单位在职职工人数的比例不低于25%（含25%），并且安置的残疾人人数不少于10 人（含10 人）；</w:t>
      </w:r>
      <w:r>
        <w:rPr>
          <w:rFonts w:ascii="宋体" w:hAnsi="宋体" w:cs="宋体"/>
          <w:color w:val="000000"/>
          <w:sz w:val="24"/>
          <w:highlight w:val="none"/>
        </w:rPr>
      </w:r>
      <w:r/>
    </w:p>
    <w:p>
      <w:pPr>
        <w:pStyle w:val="1024"/>
        <w:ind w:firstLine="480"/>
        <w:spacing w:line="500" w:lineRule="exact"/>
        <w:rPr>
          <w:rFonts w:ascii="宋体" w:hAnsi="宋体" w:cs="宋体"/>
          <w:color w:val="000000"/>
          <w:sz w:val="24"/>
          <w:highlight w:val="none"/>
        </w:rPr>
      </w:pPr>
      <w:r>
        <w:rPr>
          <w:rFonts w:ascii="宋体" w:hAnsi="宋体" w:cs="宋体"/>
          <w:color w:val="000000"/>
          <w:sz w:val="24"/>
          <w:highlight w:val="none"/>
        </w:rPr>
        <w:t xml:space="preserve">32.3.6.2依法与安置的每位残疾人签订了一年以上（含一年）的劳动合同或服务协议；</w:t>
      </w:r>
      <w:r>
        <w:rPr>
          <w:rFonts w:ascii="宋体" w:hAnsi="宋体" w:cs="宋体"/>
          <w:color w:val="000000"/>
          <w:sz w:val="24"/>
          <w:highlight w:val="none"/>
        </w:rPr>
      </w:r>
      <w:r/>
    </w:p>
    <w:p>
      <w:pPr>
        <w:pStyle w:val="1024"/>
        <w:ind w:firstLine="480"/>
        <w:spacing w:line="500" w:lineRule="exact"/>
        <w:rPr>
          <w:rFonts w:ascii="宋体" w:hAnsi="宋体" w:cs="宋体"/>
          <w:color w:val="000000"/>
          <w:sz w:val="24"/>
          <w:highlight w:val="none"/>
        </w:rPr>
      </w:pPr>
      <w:r>
        <w:rPr>
          <w:rFonts w:ascii="宋体" w:hAnsi="宋体" w:cs="宋体"/>
          <w:color w:val="000000"/>
          <w:sz w:val="24"/>
          <w:highlight w:val="none"/>
        </w:rPr>
        <w:t xml:space="preserve">32.3.6.3为安置的每位残疾人按月足额缴纳了基本养老保险、基本医疗保险、失业保险、工伤保险和生育保险等社会保险费；</w:t>
      </w:r>
      <w:r>
        <w:rPr>
          <w:rFonts w:ascii="宋体" w:hAnsi="宋体" w:cs="宋体"/>
          <w:color w:val="000000"/>
          <w:sz w:val="24"/>
          <w:highlight w:val="none"/>
        </w:rPr>
      </w:r>
      <w:r/>
    </w:p>
    <w:p>
      <w:pPr>
        <w:pStyle w:val="1024"/>
        <w:ind w:firstLine="480"/>
        <w:spacing w:line="500" w:lineRule="exact"/>
        <w:rPr>
          <w:rFonts w:ascii="宋体" w:hAnsi="宋体" w:cs="宋体"/>
          <w:color w:val="000000"/>
          <w:sz w:val="24"/>
          <w:highlight w:val="none"/>
        </w:rPr>
      </w:pPr>
      <w:r>
        <w:rPr>
          <w:rFonts w:ascii="宋体" w:hAnsi="宋体" w:cs="宋体"/>
          <w:color w:val="000000"/>
          <w:sz w:val="24"/>
          <w:highlight w:val="none"/>
        </w:rPr>
        <w:t xml:space="preserve">32.3.6.4通过银行等金融机构向安置的每位残疾人，按月支付了不低于单位所在区县适用的经省级人民政府批准的月最低工资标准的工资；</w:t>
      </w:r>
      <w:r>
        <w:rPr>
          <w:rFonts w:ascii="宋体" w:hAnsi="宋体" w:cs="宋体"/>
          <w:color w:val="000000"/>
          <w:sz w:val="24"/>
          <w:highlight w:val="none"/>
        </w:rPr>
      </w:r>
      <w:r/>
    </w:p>
    <w:p>
      <w:pPr>
        <w:pStyle w:val="1024"/>
        <w:ind w:firstLine="480"/>
        <w:spacing w:line="500" w:lineRule="exact"/>
        <w:rPr>
          <w:rFonts w:ascii="宋体" w:hAnsi="宋体" w:cs="宋体"/>
          <w:color w:val="000000"/>
          <w:sz w:val="24"/>
          <w:highlight w:val="none"/>
        </w:rPr>
      </w:pPr>
      <w:r>
        <w:rPr>
          <w:rFonts w:ascii="宋体" w:hAnsi="宋体" w:cs="宋体"/>
          <w:color w:val="000000"/>
          <w:sz w:val="24"/>
          <w:highlight w:val="none"/>
        </w:rPr>
        <w:t xml:space="preserve">32.3.6.5提供本单位制造的货物、承担的工程或者服务（以下简称产品），或者提供其他残疾人福利性单位制造的货物（不包括使用非残疾人福利性单位注册商标的货物）；</w:t>
      </w:r>
      <w:r>
        <w:rPr>
          <w:rFonts w:ascii="宋体" w:hAnsi="宋体" w:cs="宋体"/>
          <w:color w:val="000000"/>
          <w:sz w:val="24"/>
          <w:highlight w:val="none"/>
        </w:rPr>
      </w:r>
      <w:r/>
    </w:p>
    <w:p>
      <w:pPr>
        <w:pStyle w:val="1024"/>
        <w:ind w:firstLine="480"/>
        <w:spacing w:line="500" w:lineRule="exact"/>
        <w:rPr>
          <w:rFonts w:ascii="宋体" w:hAnsi="宋体" w:cs="宋体"/>
          <w:color w:val="000000"/>
          <w:sz w:val="24"/>
          <w:highlight w:val="none"/>
        </w:rPr>
      </w:pPr>
      <w:r>
        <w:rPr>
          <w:rFonts w:ascii="宋体" w:hAnsi="宋体" w:cs="宋体"/>
          <w:color w:val="000000"/>
          <w:sz w:val="24"/>
          <w:highlight w:val="none"/>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ascii="宋体" w:hAnsi="宋体" w:cs="宋体"/>
          <w:color w:val="000000"/>
          <w:sz w:val="24"/>
          <w:highlight w:val="none"/>
        </w:rPr>
      </w:r>
      <w:r/>
    </w:p>
    <w:p>
      <w:pPr>
        <w:pStyle w:val="1024"/>
        <w:ind w:firstLine="480"/>
        <w:spacing w:line="500" w:lineRule="exact"/>
        <w:rPr>
          <w:rFonts w:ascii="宋体" w:hAnsi="宋体" w:cs="宋体"/>
          <w:color w:val="000000"/>
          <w:sz w:val="24"/>
          <w:highlight w:val="none"/>
        </w:rPr>
      </w:pPr>
      <w:r>
        <w:rPr>
          <w:rFonts w:ascii="宋体" w:hAnsi="宋体" w:cs="宋体"/>
          <w:color w:val="000000"/>
          <w:sz w:val="24"/>
          <w:highlight w:val="none"/>
        </w:rPr>
        <w:t xml:space="preserve">32.3.7本项目是否专门面向中小企业预留采购份额见第一章《招标公告》。</w:t>
      </w:r>
      <w:r>
        <w:rPr>
          <w:rFonts w:ascii="宋体" w:hAnsi="宋体" w:cs="宋体"/>
          <w:color w:val="000000"/>
          <w:sz w:val="24"/>
          <w:highlight w:val="none"/>
        </w:rPr>
      </w:r>
      <w:r/>
    </w:p>
    <w:p>
      <w:pPr>
        <w:pStyle w:val="1024"/>
        <w:ind w:firstLine="480"/>
        <w:spacing w:line="500" w:lineRule="exact"/>
        <w:rPr>
          <w:rFonts w:ascii="宋体" w:hAnsi="宋体" w:cs="宋体"/>
          <w:color w:val="000000"/>
          <w:sz w:val="24"/>
          <w:highlight w:val="none"/>
        </w:rPr>
      </w:pPr>
      <w:r>
        <w:rPr>
          <w:rFonts w:ascii="宋体" w:hAnsi="宋体" w:cs="宋体"/>
          <w:color w:val="000000"/>
          <w:sz w:val="24"/>
          <w:highlight w:val="none"/>
        </w:rPr>
        <w:t xml:space="preserve">32.3.8采购标的对应的中小企业划分标准所属行业见第四章《采购需求》。</w:t>
      </w:r>
      <w:r>
        <w:rPr>
          <w:rFonts w:ascii="宋体" w:hAnsi="宋体" w:cs="宋体"/>
          <w:color w:val="000000"/>
          <w:sz w:val="24"/>
          <w:highlight w:val="none"/>
        </w:rPr>
      </w:r>
      <w:r/>
    </w:p>
    <w:p>
      <w:pPr>
        <w:pStyle w:val="1024"/>
        <w:ind w:firstLine="480"/>
        <w:spacing w:line="500" w:lineRule="exact"/>
        <w:rPr>
          <w:rFonts w:ascii="宋体" w:hAnsi="宋体" w:cs="宋体"/>
          <w:color w:val="000000"/>
          <w:sz w:val="24"/>
          <w:highlight w:val="none"/>
        </w:rPr>
      </w:pPr>
      <w:r>
        <w:rPr>
          <w:rFonts w:ascii="宋体" w:hAnsi="宋体" w:cs="宋体"/>
          <w:color w:val="000000"/>
          <w:sz w:val="24"/>
          <w:highlight w:val="none"/>
        </w:rPr>
        <w:t xml:space="preserve">32.3.9小微企业价格评审优惠的政策：见第五章《评标方法和评标标准》。</w:t>
      </w:r>
      <w:r>
        <w:rPr>
          <w:rFonts w:ascii="宋体" w:hAnsi="宋体" w:cs="宋体"/>
          <w:color w:val="000000"/>
          <w:sz w:val="24"/>
          <w:highlight w:val="none"/>
        </w:rPr>
      </w:r>
      <w:r/>
    </w:p>
    <w:p>
      <w:pPr>
        <w:pStyle w:val="1024"/>
        <w:ind w:firstLine="482"/>
        <w:spacing w:line="500" w:lineRule="exact"/>
        <w:rPr>
          <w:rFonts w:ascii="宋体" w:hAnsi="宋体" w:cs="宋体"/>
          <w:b/>
          <w:bCs/>
          <w:color w:val="000000"/>
          <w:sz w:val="24"/>
          <w:highlight w:val="none"/>
        </w:rPr>
      </w:pPr>
      <w:r>
        <w:rPr>
          <w:rFonts w:ascii="宋体" w:hAnsi="宋体" w:cs="宋体"/>
          <w:b/>
          <w:bCs/>
          <w:color w:val="000000"/>
          <w:sz w:val="24"/>
          <w:highlight w:val="none"/>
        </w:rPr>
        <w:t xml:space="preserve">32.4政府采购节能产品、环境标志产品</w:t>
      </w:r>
      <w:r>
        <w:rPr>
          <w:rFonts w:ascii="宋体" w:hAnsi="宋体" w:cs="宋体"/>
          <w:b/>
          <w:bCs/>
          <w:color w:val="000000"/>
          <w:sz w:val="24"/>
          <w:highlight w:val="none"/>
        </w:rPr>
      </w:r>
      <w:r/>
    </w:p>
    <w:p>
      <w:pPr>
        <w:pStyle w:val="1024"/>
        <w:ind w:firstLine="480"/>
        <w:spacing w:line="500" w:lineRule="exact"/>
        <w:rPr>
          <w:rFonts w:ascii="宋体" w:hAnsi="宋体" w:cs="宋体"/>
          <w:color w:val="000000"/>
          <w:sz w:val="24"/>
          <w:highlight w:val="none"/>
        </w:rPr>
      </w:pPr>
      <w:r>
        <w:rPr>
          <w:rFonts w:ascii="宋体" w:hAnsi="宋体" w:cs="宋体"/>
          <w:color w:val="000000"/>
          <w:sz w:val="24"/>
          <w:highlight w:val="none"/>
        </w:rPr>
        <w:t xml:space="preserve">32.4.1严格执行政府采购关于支持</w:t>
      </w:r>
      <w:r>
        <w:rPr>
          <w:rFonts w:ascii="宋体" w:hAnsi="宋体" w:cs="宋体"/>
          <w:color w:val="000000"/>
          <w:sz w:val="24"/>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ascii="宋体" w:hAnsi="宋体" w:cs="宋体"/>
          <w:color w:val="000000"/>
          <w:sz w:val="24"/>
          <w:highlight w:val="none"/>
        </w:rPr>
      </w:r>
      <w:r/>
    </w:p>
    <w:p>
      <w:pPr>
        <w:pStyle w:val="1024"/>
        <w:ind w:firstLine="480"/>
        <w:spacing w:line="500" w:lineRule="exact"/>
        <w:rPr>
          <w:rFonts w:ascii="宋体" w:hAnsi="宋体" w:cs="宋体"/>
          <w:color w:val="000000"/>
          <w:sz w:val="24"/>
          <w:highlight w:val="none"/>
        </w:rPr>
      </w:pPr>
      <w:r>
        <w:rPr>
          <w:rFonts w:ascii="宋体" w:hAnsi="宋体" w:cs="宋体"/>
          <w:color w:val="000000"/>
          <w:sz w:val="24"/>
          <w:highlight w:val="none"/>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rPr>
          <w:rFonts w:ascii="宋体" w:hAnsi="宋体" w:cs="宋体"/>
          <w:color w:val="000000"/>
          <w:sz w:val="24"/>
          <w:highlight w:val="none"/>
        </w:rPr>
      </w:r>
      <w:r/>
    </w:p>
    <w:p>
      <w:pPr>
        <w:pStyle w:val="1024"/>
        <w:ind w:firstLine="482"/>
        <w:spacing w:line="500" w:lineRule="exact"/>
        <w:rPr>
          <w:rFonts w:ascii="宋体" w:hAnsi="宋体" w:cs="宋体"/>
          <w:b/>
          <w:bCs/>
          <w:color w:val="000000"/>
          <w:sz w:val="24"/>
          <w:highlight w:val="none"/>
        </w:rPr>
      </w:pPr>
      <w:r>
        <w:rPr>
          <w:rFonts w:ascii="宋体" w:hAnsi="宋体" w:cs="宋体"/>
          <w:b/>
          <w:bCs/>
          <w:color w:val="000000"/>
          <w:sz w:val="24"/>
          <w:highlight w:val="none"/>
        </w:rPr>
        <w:t xml:space="preserve">32.5绿色包装</w:t>
      </w:r>
      <w:r>
        <w:rPr>
          <w:rFonts w:ascii="宋体" w:hAnsi="宋体" w:cs="宋体"/>
          <w:b/>
          <w:bCs/>
          <w:color w:val="000000"/>
          <w:sz w:val="24"/>
          <w:highlight w:val="none"/>
        </w:rPr>
      </w:r>
      <w:r/>
    </w:p>
    <w:p>
      <w:pPr>
        <w:pStyle w:val="1024"/>
        <w:ind w:firstLine="480"/>
        <w:spacing w:line="500" w:lineRule="exact"/>
        <w:rPr>
          <w:rFonts w:ascii="宋体" w:hAnsi="宋体" w:cs="宋体"/>
          <w:color w:val="000000"/>
          <w:sz w:val="24"/>
          <w:highlight w:val="none"/>
        </w:rPr>
      </w:pPr>
      <w:r>
        <w:rPr>
          <w:rFonts w:ascii="宋体" w:hAnsi="宋体" w:cs="宋体"/>
          <w:color w:val="000000"/>
          <w:sz w:val="24"/>
          <w:highlight w:val="none"/>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rPr>
          <w:rFonts w:ascii="宋体" w:hAnsi="宋体" w:cs="宋体"/>
          <w:color w:val="000000"/>
          <w:sz w:val="24"/>
          <w:highlight w:val="none"/>
        </w:rPr>
      </w:r>
      <w:r/>
    </w:p>
    <w:p>
      <w:pPr>
        <w:pStyle w:val="1024"/>
        <w:ind w:firstLine="482"/>
        <w:spacing w:line="500" w:lineRule="exact"/>
        <w:rPr>
          <w:rFonts w:ascii="宋体" w:hAnsi="宋体" w:cs="宋体"/>
          <w:b/>
          <w:bCs/>
          <w:color w:val="000000"/>
          <w:sz w:val="24"/>
          <w:highlight w:val="none"/>
        </w:rPr>
      </w:pPr>
      <w:r>
        <w:rPr>
          <w:rFonts w:ascii="宋体" w:hAnsi="宋体" w:cs="宋体"/>
          <w:b/>
          <w:bCs/>
          <w:color w:val="000000"/>
          <w:sz w:val="24"/>
          <w:highlight w:val="none"/>
        </w:rPr>
        <w:t xml:space="preserve">32.6政府采购创新产品</w:t>
      </w:r>
      <w:r>
        <w:rPr>
          <w:rFonts w:ascii="宋体" w:hAnsi="宋体" w:cs="宋体"/>
          <w:b/>
          <w:bCs/>
          <w:color w:val="000000"/>
          <w:sz w:val="24"/>
          <w:highlight w:val="none"/>
        </w:rPr>
      </w:r>
      <w:r/>
    </w:p>
    <w:p>
      <w:pPr>
        <w:pStyle w:val="1024"/>
        <w:ind w:firstLine="480"/>
        <w:spacing w:line="500" w:lineRule="exact"/>
        <w:rPr>
          <w:rFonts w:ascii="宋体" w:hAnsi="宋体" w:cs="宋体"/>
          <w:color w:val="000000"/>
          <w:sz w:val="24"/>
          <w:highlight w:val="none"/>
        </w:rPr>
      </w:pPr>
      <w:r>
        <w:rPr>
          <w:rFonts w:ascii="宋体" w:hAnsi="宋体" w:cs="宋体"/>
          <w:color w:val="000000"/>
          <w:sz w:val="24"/>
          <w:highlight w:val="none"/>
        </w:rPr>
        <w:t xml:space="preserve">采购人优先采购各级政府部门公开发布的有效期内的创新产品、创新服务、首台套、首购首用等《目录》的创新产品。</w:t>
      </w:r>
      <w:r>
        <w:rPr>
          <w:rFonts w:ascii="宋体" w:hAnsi="宋体" w:cs="宋体"/>
          <w:color w:val="000000"/>
          <w:sz w:val="24"/>
          <w:highlight w:val="none"/>
        </w:rPr>
      </w:r>
      <w:r/>
    </w:p>
    <w:p>
      <w:pPr>
        <w:pStyle w:val="1024"/>
        <w:ind w:firstLine="482"/>
        <w:spacing w:line="500" w:lineRule="exact"/>
        <w:rPr>
          <w:rFonts w:ascii="宋体" w:hAnsi="宋体" w:cs="宋体"/>
          <w:b/>
          <w:bCs/>
          <w:color w:val="000000"/>
          <w:sz w:val="24"/>
          <w:highlight w:val="none"/>
        </w:rPr>
      </w:pPr>
      <w:r>
        <w:rPr>
          <w:rFonts w:ascii="宋体" w:hAnsi="宋体" w:cs="宋体"/>
          <w:b/>
          <w:bCs/>
          <w:color w:val="000000"/>
          <w:sz w:val="24"/>
          <w:highlight w:val="none"/>
        </w:rPr>
        <w:t xml:space="preserve">32.7绿色数据中心政策 </w:t>
      </w:r>
      <w:r>
        <w:rPr>
          <w:rFonts w:ascii="宋体" w:hAnsi="宋体" w:cs="宋体"/>
          <w:b/>
          <w:bCs/>
          <w:color w:val="000000"/>
          <w:sz w:val="24"/>
          <w:highlight w:val="none"/>
        </w:rPr>
      </w:r>
      <w:r/>
    </w:p>
    <w:p>
      <w:pPr>
        <w:pStyle w:val="1024"/>
        <w:ind w:firstLine="480"/>
        <w:spacing w:line="500" w:lineRule="exact"/>
        <w:rPr>
          <w:rFonts w:ascii="宋体" w:hAnsi="宋体" w:cs="宋体"/>
          <w:color w:val="000000"/>
          <w:sz w:val="24"/>
          <w:highlight w:val="none"/>
        </w:rPr>
      </w:pPr>
      <w:r>
        <w:rPr>
          <w:rFonts w:ascii="宋体" w:hAnsi="宋体" w:cs="宋体"/>
          <w:color w:val="000000"/>
          <w:sz w:val="24"/>
          <w:highlight w:val="none"/>
        </w:rPr>
        <w:t xml:space="preserve">本文件中若涉及到数据中心采购，采购人应依据《绿色数据中心政府采购需求标准（试行）》（财办库〔2023〕7号）文件精神</w:t>
      </w:r>
      <w:r>
        <w:rPr>
          <w:rFonts w:ascii="宋体" w:hAnsi="宋体" w:cs="宋体"/>
          <w:color w:val="000000"/>
          <w:sz w:val="24"/>
          <w:highlight w:val="none"/>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s="宋体"/>
          <w:color w:val="000000"/>
          <w:sz w:val="24"/>
          <w:highlight w:val="none"/>
        </w:rPr>
      </w:r>
      <w:r/>
    </w:p>
    <w:p>
      <w:pPr>
        <w:pStyle w:val="1024"/>
        <w:ind w:firstLine="482"/>
        <w:spacing w:line="500" w:lineRule="exact"/>
        <w:rPr>
          <w:rFonts w:ascii="宋体" w:hAnsi="宋体" w:cs="宋体"/>
          <w:b/>
          <w:bCs/>
          <w:color w:val="000000"/>
          <w:sz w:val="24"/>
          <w:highlight w:val="none"/>
        </w:rPr>
      </w:pPr>
      <w:r>
        <w:rPr>
          <w:rFonts w:ascii="宋体" w:hAnsi="宋体" w:cs="宋体"/>
          <w:b/>
          <w:bCs/>
          <w:color w:val="000000"/>
          <w:sz w:val="24"/>
          <w:highlight w:val="none"/>
        </w:rPr>
        <w:t xml:space="preserve">32.8实施本国产品标准及相关政策</w:t>
      </w:r>
      <w:r>
        <w:rPr>
          <w:rFonts w:ascii="宋体" w:hAnsi="宋体" w:cs="宋体"/>
          <w:b/>
          <w:bCs/>
          <w:color w:val="000000"/>
          <w:sz w:val="24"/>
          <w:highlight w:val="none"/>
        </w:rPr>
      </w:r>
      <w:r/>
    </w:p>
    <w:p>
      <w:pPr>
        <w:pStyle w:val="1024"/>
        <w:ind w:firstLine="482"/>
        <w:spacing w:line="500" w:lineRule="exact"/>
        <w:rPr>
          <w:rFonts w:ascii="宋体" w:hAnsi="宋体" w:cs="宋体"/>
          <w:b/>
          <w:bCs/>
          <w:color w:val="000000"/>
          <w:sz w:val="24"/>
          <w:highlight w:val="none"/>
        </w:rPr>
      </w:pPr>
      <w:r>
        <w:rPr>
          <w:rFonts w:ascii="宋体" w:hAnsi="宋体" w:cs="宋体"/>
          <w:b/>
          <w:bCs/>
          <w:color w:val="000000"/>
          <w:sz w:val="24"/>
          <w:highlight w:val="none"/>
        </w:rPr>
        <w:t xml:space="preserve">1.本项目对采购本国产品给予政策支持，具体内容见招标文件“第五章 评标方法与评标标准”。</w:t>
      </w:r>
      <w:r>
        <w:rPr>
          <w:rFonts w:ascii="宋体" w:hAnsi="宋体" w:cs="宋体"/>
          <w:b/>
          <w:bCs/>
          <w:color w:val="000000"/>
          <w:sz w:val="24"/>
          <w:highlight w:val="none"/>
        </w:rPr>
      </w:r>
      <w:r/>
    </w:p>
    <w:p>
      <w:pPr>
        <w:pStyle w:val="1024"/>
        <w:ind w:firstLine="482"/>
        <w:spacing w:line="500" w:lineRule="exact"/>
        <w:rPr>
          <w:rFonts w:ascii="宋体" w:hAnsi="宋体" w:cs="宋体"/>
          <w:b/>
          <w:bCs/>
          <w:color w:val="000000"/>
          <w:sz w:val="24"/>
          <w:highlight w:val="none"/>
        </w:rPr>
      </w:pPr>
      <w:r>
        <w:rPr>
          <w:rFonts w:ascii="宋体" w:hAnsi="宋体" w:cs="宋体"/>
          <w:b/>
          <w:bCs/>
          <w:color w:val="000000"/>
          <w:sz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ascii="宋体" w:hAnsi="宋体" w:cs="宋体"/>
          <w:b/>
          <w:bCs/>
          <w:color w:val="000000"/>
          <w:sz w:val="24"/>
          <w:highlight w:val="none"/>
        </w:rPr>
      </w:r>
      <w:r/>
    </w:p>
    <w:p>
      <w:pPr>
        <w:pStyle w:val="1024"/>
        <w:ind w:firstLine="482"/>
        <w:spacing w:line="500" w:lineRule="exact"/>
        <w:rPr>
          <w:rFonts w:ascii="宋体" w:hAnsi="宋体" w:cs="宋体"/>
          <w:b/>
          <w:bCs/>
          <w:color w:val="000000"/>
          <w:sz w:val="24"/>
          <w:highlight w:val="none"/>
        </w:rPr>
      </w:pPr>
      <w:r>
        <w:rPr>
          <w:rFonts w:ascii="宋体" w:hAnsi="宋体" w:cs="宋体"/>
          <w:b/>
          <w:bCs/>
          <w:color w:val="000000"/>
          <w:sz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ascii="宋体" w:hAnsi="宋体" w:cs="宋体"/>
          <w:b/>
          <w:bCs/>
          <w:color w:val="000000"/>
          <w:sz w:val="24"/>
          <w:highlight w:val="none"/>
        </w:rPr>
      </w:r>
      <w:r/>
    </w:p>
    <w:p>
      <w:pPr>
        <w:pStyle w:val="1024"/>
        <w:ind w:firstLine="482"/>
        <w:spacing w:line="500" w:lineRule="exact"/>
        <w:rPr>
          <w:rFonts w:ascii="宋体" w:hAnsi="宋体" w:cs="宋体"/>
          <w:b/>
          <w:bCs/>
          <w:color w:val="000000"/>
          <w:sz w:val="24"/>
          <w:highlight w:val="none"/>
        </w:rPr>
      </w:pPr>
      <w:r>
        <w:rPr>
          <w:rFonts w:ascii="宋体" w:hAnsi="宋体" w:cs="宋体"/>
          <w:b/>
          <w:bCs/>
          <w:color w:val="000000"/>
          <w:sz w:val="24"/>
          <w:highlight w:val="none"/>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ascii="宋体" w:hAnsi="宋体" w:cs="宋体"/>
          <w:b/>
          <w:bCs/>
          <w:color w:val="000000"/>
          <w:sz w:val="24"/>
          <w:highlight w:val="none"/>
          <w:u w:val="single"/>
        </w:rPr>
        <w:t xml:space="preserve">故，如供应商所提供产品为本国产品的，应当对其提供的产品出具《关于符合本国产品标准的声明函》（以下简称《声明函》），不出具《声明函》的，不享受政府采购对本国产品的支持政策</w:t>
      </w:r>
      <w:r>
        <w:rPr>
          <w:rFonts w:ascii="宋体" w:hAnsi="宋体" w:cs="宋体"/>
          <w:b/>
          <w:bCs/>
          <w:color w:val="000000"/>
          <w:sz w:val="24"/>
          <w:highlight w:val="none"/>
        </w:rPr>
        <w:t xml:space="preserve">。</w:t>
      </w:r>
      <w:r>
        <w:rPr>
          <w:rFonts w:ascii="宋体" w:hAnsi="宋体" w:cs="宋体"/>
          <w:b/>
          <w:bCs/>
          <w:color w:val="000000"/>
          <w:sz w:val="24"/>
          <w:highlight w:val="none"/>
        </w:rPr>
      </w:r>
      <w:r/>
    </w:p>
    <w:p>
      <w:pPr>
        <w:pStyle w:val="1024"/>
        <w:ind w:firstLine="482"/>
        <w:spacing w:line="500" w:lineRule="exact"/>
        <w:rPr>
          <w:rFonts w:ascii="宋体" w:hAnsi="宋体" w:cs="宋体"/>
          <w:b/>
          <w:bCs/>
          <w:color w:val="000000"/>
          <w:sz w:val="24"/>
          <w:highlight w:val="none"/>
        </w:rPr>
      </w:pPr>
      <w:r>
        <w:rPr>
          <w:rFonts w:ascii="宋体" w:hAnsi="宋体" w:cs="宋体"/>
          <w:b/>
          <w:bCs/>
          <w:color w:val="000000"/>
          <w:sz w:val="24"/>
          <w:highlight w:val="none"/>
        </w:rPr>
        <w:t xml:space="preserve">32.</w:t>
      </w:r>
      <w:r>
        <w:rPr>
          <w:rFonts w:hint="eastAsia" w:ascii="宋体" w:hAnsi="宋体" w:cs="宋体"/>
          <w:b/>
          <w:bCs/>
          <w:color w:val="000000"/>
          <w:sz w:val="24"/>
          <w:highlight w:val="none"/>
        </w:rPr>
        <w:t xml:space="preserve">9</w:t>
      </w:r>
      <w:r>
        <w:rPr>
          <w:rFonts w:ascii="宋体" w:hAnsi="宋体" w:cs="宋体"/>
          <w:b/>
          <w:bCs/>
          <w:color w:val="000000"/>
          <w:sz w:val="24"/>
          <w:highlight w:val="none"/>
        </w:rPr>
        <w:t xml:space="preserve">履约保证金政策</w:t>
      </w:r>
      <w:r>
        <w:rPr>
          <w:rFonts w:ascii="宋体" w:hAnsi="宋体" w:cs="宋体"/>
          <w:b/>
          <w:bCs/>
          <w:color w:val="000000"/>
          <w:sz w:val="24"/>
          <w:highlight w:val="none"/>
        </w:rPr>
      </w:r>
      <w:r/>
    </w:p>
    <w:p>
      <w:pPr>
        <w:pStyle w:val="1024"/>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确需收取履约保证金的，履约保证金的缴纳形式：</w:t>
      </w:r>
      <w:r>
        <w:rPr>
          <w:rFonts w:ascii="宋体" w:hAnsi="宋体" w:cs="宋体"/>
          <w:color w:val="000000"/>
          <w:sz w:val="24"/>
          <w:highlight w:val="none"/>
        </w:rPr>
      </w:r>
      <w:r/>
    </w:p>
    <w:p>
      <w:pPr>
        <w:pStyle w:val="1024"/>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ascii="宋体" w:hAnsi="宋体" w:cs="宋体"/>
          <w:color w:val="000000"/>
          <w:sz w:val="24"/>
          <w:highlight w:val="none"/>
        </w:rPr>
      </w:r>
      <w:r/>
    </w:p>
    <w:p>
      <w:pPr>
        <w:pStyle w:val="1024"/>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如以履约保函（保险）形式缴纳履约保证金，供应商可通过政府采购电子履约保函（保险）平台（www.jsdzbh.com）在线申请履约保函（保险）。</w:t>
      </w:r>
      <w:r>
        <w:rPr>
          <w:rFonts w:ascii="宋体" w:hAnsi="宋体" w:cs="宋体"/>
          <w:color w:val="000000"/>
          <w:sz w:val="24"/>
          <w:highlight w:val="none"/>
        </w:rPr>
      </w:r>
      <w:r/>
    </w:p>
    <w:p>
      <w:pPr>
        <w:pStyle w:val="1024"/>
        <w:ind w:firstLine="240"/>
        <w:rPr>
          <w:rFonts w:hint="eastAsia" w:ascii="宋体" w:hAnsi="宋体" w:cs="宋体"/>
          <w:color w:val="000000"/>
          <w:sz w:val="24"/>
          <w:highlight w:val="none"/>
        </w:rPr>
      </w:pPr>
      <w:r>
        <w:rPr>
          <w:rFonts w:hint="eastAsia" w:ascii="宋体" w:hAnsi="宋体" w:cs="宋体"/>
          <w:color w:val="000000"/>
          <w:sz w:val="24"/>
          <w:highlight w:val="none"/>
        </w:rPr>
        <w:t xml:space="preserve">履约保证金金额为合同金额的10%，采购人对第三方信用服务机构依据标准规范评定为 AA 级及以上的政府采购供应商（需在签订采购合同前提供信用管理 部门备案的第三方信用报告，且信用报告通过“信用盐城网”可查实），免收履约保证金。</w:t>
      </w:r>
      <w:r>
        <w:rPr>
          <w:rFonts w:hint="eastAsia" w:ascii="宋体" w:hAnsi="宋体" w:cs="宋体"/>
          <w:color w:val="000000"/>
          <w:sz w:val="24"/>
          <w:highlight w:val="none"/>
        </w:rPr>
      </w:r>
      <w:r/>
    </w:p>
    <w:p>
      <w:pPr>
        <w:pStyle w:val="1024"/>
        <w:ind w:firstLine="241"/>
        <w:rPr>
          <w:rFonts w:ascii="宋体" w:hAnsi="宋体" w:cs="宋体"/>
          <w:b/>
          <w:bCs/>
          <w:color w:val="000000"/>
          <w:sz w:val="24"/>
          <w:szCs w:val="20"/>
          <w:highlight w:val="none"/>
        </w:rPr>
      </w:pPr>
      <w:r>
        <w:rPr>
          <w:rFonts w:hint="eastAsia" w:ascii="宋体" w:hAnsi="宋体" w:cs="宋体"/>
          <w:b/>
          <w:bCs/>
          <w:color w:val="000000"/>
          <w:sz w:val="24"/>
          <w:szCs w:val="24"/>
          <w:highlight w:val="none"/>
        </w:rPr>
        <w:t xml:space="preserve">33、</w:t>
      </w:r>
      <w:r>
        <w:rPr>
          <w:rFonts w:hint="eastAsia" w:ascii="宋体" w:hAnsi="宋体" w:cs="宋体"/>
          <w:b/>
          <w:bCs/>
          <w:color w:val="000000"/>
          <w:sz w:val="24"/>
          <w:szCs w:val="20"/>
          <w:highlight w:val="none"/>
        </w:rPr>
        <w:t xml:space="preserve">预付款制度</w:t>
      </w:r>
      <w:r>
        <w:rPr>
          <w:rFonts w:ascii="宋体" w:hAnsi="宋体" w:cs="宋体"/>
          <w:b/>
          <w:bCs/>
          <w:color w:val="000000"/>
          <w:sz w:val="24"/>
          <w:szCs w:val="20"/>
          <w:highlight w:val="none"/>
        </w:rPr>
      </w:r>
      <w:r/>
    </w:p>
    <w:p>
      <w:pPr>
        <w:pStyle w:val="1024"/>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本项目落实预付款制度，预付款比例为</w:t>
      </w:r>
      <w:r>
        <w:rPr>
          <w:rFonts w:hint="eastAsia" w:ascii="宋体" w:hAnsi="宋体" w:cs="宋体"/>
          <w:color w:val="000000"/>
          <w:sz w:val="24"/>
          <w:highlight w:val="none"/>
          <w:u w:val="single"/>
        </w:rPr>
        <w:t xml:space="preserve">30%</w:t>
      </w:r>
      <w:r>
        <w:rPr>
          <w:rFonts w:hint="eastAsia" w:ascii="宋体" w:hAnsi="宋体" w:cs="宋体"/>
          <w:color w:val="000000"/>
          <w:sz w:val="24"/>
          <w:highlight w:val="none"/>
        </w:rPr>
        <w:t xml:space="preserve">。在签订合同时，中标、成交投标人明确书面表示无需预付款或者主动要求降低预付款比例的，采购人可就预付款比例作相应调整。</w:t>
      </w:r>
      <w:r>
        <w:rPr>
          <w:rFonts w:hint="eastAsia" w:ascii="宋体" w:hAnsi="宋体" w:cs="宋体"/>
          <w:color w:val="000000"/>
          <w:sz w:val="24"/>
          <w:highlight w:val="none"/>
        </w:rPr>
      </w:r>
      <w:r/>
    </w:p>
    <w:p>
      <w:pPr>
        <w:pStyle w:val="1024"/>
        <w:ind w:firstLine="480"/>
        <w:jc w:val="center"/>
        <w:spacing w:line="500" w:lineRule="exact"/>
        <w:rPr>
          <w:rFonts w:ascii="黑体" w:eastAsia="黑体"/>
          <w:bCs/>
          <w:color w:val="000000"/>
          <w:sz w:val="44"/>
          <w:highlight w:val="none"/>
        </w:rPr>
      </w:pPr>
      <w:r>
        <w:rPr>
          <w:rFonts w:ascii="宋体" w:hAnsi="宋体" w:cs="宋体"/>
          <w:color w:val="000000"/>
          <w:sz w:val="24"/>
          <w:highlight w:val="none"/>
        </w:rPr>
        <w:br w:type="page" w:clear="all"/>
      </w:r>
      <w:r>
        <w:rPr>
          <w:rFonts w:hint="eastAsia" w:ascii="黑体" w:eastAsia="黑体"/>
          <w:bCs/>
          <w:color w:val="000000"/>
          <w:sz w:val="44"/>
          <w:highlight w:val="none"/>
        </w:rPr>
        <w:t xml:space="preserve">第三章  合同条款及</w:t>
      </w:r>
      <w:bookmarkEnd w:id="169"/>
      <w:r/>
      <w:bookmarkEnd w:id="170"/>
      <w:r/>
      <w:bookmarkEnd w:id="171"/>
      <w:r/>
      <w:bookmarkEnd w:id="172"/>
      <w:r/>
      <w:bookmarkEnd w:id="173"/>
      <w:r>
        <w:rPr>
          <w:rFonts w:hint="eastAsia" w:ascii="黑体" w:eastAsia="黑体"/>
          <w:bCs/>
          <w:color w:val="000000"/>
          <w:sz w:val="44"/>
          <w:highlight w:val="none"/>
        </w:rPr>
        <w:t xml:space="preserve">格式</w:t>
      </w:r>
      <w:r>
        <w:rPr>
          <w:rFonts w:ascii="黑体" w:eastAsia="黑体"/>
          <w:bCs/>
          <w:color w:val="000000"/>
          <w:sz w:val="44"/>
          <w:highlight w:val="none"/>
        </w:rPr>
      </w:r>
      <w:r/>
    </w:p>
    <w:p>
      <w:pPr>
        <w:pStyle w:val="1024"/>
        <w:jc w:val="center"/>
        <w:spacing w:line="460" w:lineRule="exact"/>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pStyle w:val="1024"/>
        <w:jc w:val="center"/>
        <w:spacing w:line="460" w:lineRule="exact"/>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pStyle w:val="1024"/>
        <w:jc w:val="center"/>
        <w:spacing w:line="460" w:lineRule="exact"/>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1024"/>
        <w:jc w:val="center"/>
        <w:spacing w:line="460" w:lineRule="exact"/>
        <w:rPr>
          <w:rFonts w:hint="eastAsia" w:ascii="宋体" w:hAnsi="宋体" w:cs="宋体"/>
          <w:b/>
          <w:color w:val="000000"/>
          <w:sz w:val="36"/>
          <w:szCs w:val="36"/>
          <w:highlight w:val="none"/>
        </w:rPr>
      </w:pPr>
      <w:r>
        <w:rPr>
          <w:rFonts w:hint="eastAsia" w:ascii="宋体" w:hAnsi="宋体" w:cs="宋体"/>
          <w:b/>
          <w:color w:val="000000"/>
          <w:sz w:val="36"/>
          <w:szCs w:val="36"/>
          <w:highlight w:val="none"/>
        </w:rPr>
        <w:t xml:space="preserve">江苏省建设工程造价咨询合同</w:t>
      </w:r>
      <w:r>
        <w:rPr>
          <w:rFonts w:hint="eastAsia" w:ascii="宋体" w:hAnsi="宋体" w:cs="宋体"/>
          <w:b/>
          <w:color w:val="000000"/>
          <w:sz w:val="36"/>
          <w:szCs w:val="36"/>
          <w:highlight w:val="none"/>
        </w:rPr>
      </w:r>
      <w:r/>
    </w:p>
    <w:p>
      <w:pPr>
        <w:pStyle w:val="1024"/>
        <w:jc w:val="center"/>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（项目编号：  ）</w:t>
      </w:r>
      <w:r>
        <w:rPr>
          <w:rFonts w:hint="eastAsia" w:ascii="宋体" w:hAnsi="宋体" w:cs="宋体"/>
          <w:color w:val="000000"/>
          <w:sz w:val="28"/>
          <w:szCs w:val="28"/>
          <w:highlight w:val="none"/>
        </w:rPr>
      </w:r>
      <w:r/>
    </w:p>
    <w:p>
      <w:pPr>
        <w:pStyle w:val="1024"/>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1024"/>
        <w:ind w:firstLine="560"/>
        <w:spacing w:line="46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1024"/>
        <w:ind w:firstLine="560"/>
        <w:spacing w:line="46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1024"/>
        <w:ind w:firstLine="560"/>
        <w:spacing w:line="46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1024"/>
        <w:ind w:firstLine="560"/>
        <w:spacing w:line="46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1024"/>
        <w:ind w:firstLine="560"/>
        <w:spacing w:line="46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1024"/>
        <w:ind w:firstLine="560"/>
        <w:spacing w:line="46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1024"/>
        <w:ind w:firstLine="560"/>
        <w:spacing w:line="460" w:lineRule="exact"/>
        <w:rPr>
          <w:rFonts w:hint="eastAsia" w:ascii="宋体" w:hAnsi="宋体" w:cs="宋体"/>
          <w:color w:val="000000"/>
          <w:sz w:val="28"/>
          <w:szCs w:val="28"/>
          <w:highlight w:val="none"/>
          <w:u w:val="single"/>
        </w:rPr>
      </w:pPr>
      <w:r>
        <w:rPr>
          <w:rFonts w:hint="eastAsia" w:ascii="宋体" w:hAnsi="宋体" w:cs="宋体"/>
          <w:color w:val="000000"/>
          <w:sz w:val="28"/>
          <w:szCs w:val="28"/>
          <w:highlight w:val="none"/>
        </w:rPr>
        <w:t xml:space="preserve">项 目 名 称</w:t>
      </w:r>
      <w:r>
        <w:rPr>
          <w:rFonts w:hint="eastAsia" w:ascii="宋体" w:hAnsi="宋体" w:cs="宋体"/>
          <w:color w:val="000000"/>
          <w:sz w:val="28"/>
          <w:szCs w:val="28"/>
          <w:highlight w:val="none"/>
          <w:u w:val="single"/>
        </w:rPr>
        <w:t xml:space="preserve">：2026年盐城市普通国省道小修保养及应急养护工程全过程造价控制及竣工决算审计</w:t>
      </w:r>
      <w:r>
        <w:rPr>
          <w:rFonts w:hint="eastAsia" w:ascii="宋体" w:hAnsi="宋体" w:cs="宋体"/>
          <w:color w:val="000000"/>
          <w:sz w:val="28"/>
          <w:szCs w:val="28"/>
          <w:highlight w:val="none"/>
          <w:u w:val="single"/>
        </w:rPr>
      </w:r>
      <w:r/>
    </w:p>
    <w:p>
      <w:pPr>
        <w:pStyle w:val="1024"/>
        <w:ind w:firstLine="560"/>
        <w:spacing w:line="46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建 设 地 点：</w:t>
      </w:r>
      <w:r>
        <w:rPr>
          <w:rFonts w:hint="eastAsia" w:ascii="宋体" w:hAnsi="宋体" w:cs="宋体"/>
          <w:color w:val="000000"/>
          <w:sz w:val="28"/>
          <w:szCs w:val="28"/>
          <w:highlight w:val="none"/>
          <w:u w:val="single"/>
        </w:rPr>
        <w:t xml:space="preserve">盐城市境内</w:t>
      </w:r>
      <w:r>
        <w:rPr>
          <w:rFonts w:hint="eastAsia" w:ascii="宋体" w:hAnsi="宋体" w:cs="宋体"/>
          <w:color w:val="000000"/>
          <w:sz w:val="28"/>
          <w:szCs w:val="28"/>
          <w:highlight w:val="none"/>
        </w:rPr>
      </w:r>
      <w:r/>
    </w:p>
    <w:p>
      <w:pPr>
        <w:pStyle w:val="1024"/>
        <w:ind w:firstLine="560"/>
        <w:spacing w:line="460" w:lineRule="exact"/>
        <w:rPr>
          <w:rFonts w:hint="eastAsia" w:ascii="宋体" w:hAnsi="宋体" w:cs="宋体"/>
          <w:color w:val="000000"/>
          <w:sz w:val="28"/>
          <w:szCs w:val="28"/>
          <w:highlight w:val="none"/>
          <w:u w:val="single"/>
        </w:rPr>
      </w:pPr>
      <w:r>
        <w:rPr>
          <w:rFonts w:hint="eastAsia" w:ascii="宋体" w:hAnsi="宋体" w:cs="宋体"/>
          <w:color w:val="000000"/>
          <w:sz w:val="28"/>
          <w:szCs w:val="28"/>
          <w:highlight w:val="none"/>
        </w:rPr>
        <w:t xml:space="preserve">合 同 编 号：</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u w:val="single"/>
        </w:rPr>
      </w:r>
      <w:r/>
    </w:p>
    <w:p>
      <w:pPr>
        <w:pStyle w:val="1024"/>
        <w:ind w:firstLine="560"/>
        <w:spacing w:line="46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咨 询 类 型：</w:t>
      </w:r>
      <w:r>
        <w:rPr>
          <w:rFonts w:hint="eastAsia" w:ascii="宋体" w:hAnsi="宋体" w:cs="宋体"/>
          <w:color w:val="000000"/>
          <w:sz w:val="28"/>
          <w:szCs w:val="28"/>
          <w:highlight w:val="none"/>
          <w:u w:val="single"/>
        </w:rPr>
        <w:t xml:space="preserve">全过程造价控制及工程竣工结算审核</w:t>
      </w:r>
      <w:r>
        <w:rPr>
          <w:rFonts w:hint="eastAsia" w:ascii="宋体" w:hAnsi="宋体" w:cs="宋体"/>
          <w:color w:val="000000"/>
          <w:sz w:val="28"/>
          <w:szCs w:val="28"/>
          <w:highlight w:val="none"/>
        </w:rPr>
      </w:r>
      <w:r/>
    </w:p>
    <w:p>
      <w:pPr>
        <w:pStyle w:val="1024"/>
        <w:ind w:firstLine="560"/>
        <w:spacing w:line="46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1024"/>
        <w:ind w:firstLine="560"/>
        <w:spacing w:line="46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1024"/>
        <w:ind w:firstLine="560"/>
        <w:spacing w:line="46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1044"/>
        <w:rPr>
          <w:rFonts w:hint="eastAsia" w:ascii="宋体" w:hAnsi="宋体" w:cs="宋体"/>
          <w:color w:val="000000"/>
          <w:sz w:val="28"/>
          <w:szCs w:val="28"/>
          <w:highlight w:val="none"/>
        </w:rPr>
      </w:pPr>
      <w:r>
        <w:rPr>
          <w:rFonts w:hint="eastAsia" w:ascii="宋体" w:hAnsi="宋体" w:cs="宋体"/>
          <w:color w:val="000000"/>
          <w:sz w:val="28"/>
          <w:szCs w:val="28"/>
          <w:highlight w:val="none"/>
        </w:rPr>
      </w:r>
      <w:r/>
    </w:p>
    <w:tbl>
      <w:tblPr>
        <w:tblW w:w="0" w:type="auto"/>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4465"/>
        <w:gridCol w:w="891"/>
      </w:tblGrid>
      <w:tr>
        <w:trPr>
          <w:cantSplit/>
          <w:trHeight w:val="451"/>
        </w:trPr>
        <w:tc>
          <w:tcPr>
            <w:tcBorders>
              <w:top w:val="none" w:color="000000" w:sz="4" w:space="0"/>
              <w:left w:val="none" w:color="000000" w:sz="4" w:space="0"/>
              <w:bottom w:val="none" w:color="000000" w:sz="4" w:space="0"/>
              <w:right w:val="none" w:color="000000" w:sz="4" w:space="0"/>
            </w:tcBorders>
            <w:tcW w:w="4465" w:type="dxa"/>
            <w:vAlign w:val="center"/>
            <w:textDirection w:val="lrTb"/>
            <w:noWrap w:val="false"/>
          </w:tcPr>
          <w:p>
            <w:pPr>
              <w:pStyle w:val="1024"/>
              <w:widowControl/>
              <w:rPr>
                <w:rFonts w:hint="eastAsia" w:ascii="宋体" w:hAnsi="宋体" w:cs="宋体"/>
                <w:color w:val="000000"/>
                <w:sz w:val="36"/>
                <w:szCs w:val="20"/>
                <w:highlight w:val="none"/>
              </w:rPr>
            </w:pPr>
            <w:r>
              <w:rPr>
                <w:rFonts w:hint="eastAsia" w:ascii="宋体" w:hAnsi="宋体" w:cs="宋体"/>
                <w:color w:val="000000"/>
                <w:sz w:val="36"/>
                <w:szCs w:val="28"/>
                <w:highlight w:val="none"/>
              </w:rPr>
              <w:t xml:space="preserve">江苏省住房和城乡建设厅</w:t>
            </w:r>
            <w:r>
              <w:rPr>
                <w:rFonts w:hint="eastAsia" w:ascii="宋体" w:hAnsi="宋体" w:cs="宋体"/>
                <w:color w:val="000000"/>
                <w:sz w:val="36"/>
                <w:szCs w:val="20"/>
                <w:highlight w:val="none"/>
              </w:rPr>
            </w:r>
            <w:r/>
          </w:p>
        </w:tc>
        <w:tc>
          <w:tcPr>
            <w:tcBorders>
              <w:top w:val="none" w:color="000000" w:sz="4" w:space="0"/>
              <w:left w:val="none" w:color="000000" w:sz="4" w:space="0"/>
              <w:bottom w:val="none" w:color="000000" w:sz="4" w:space="0"/>
              <w:right w:val="none" w:color="000000" w:sz="4" w:space="0"/>
            </w:tcBorders>
            <w:tcW w:w="891" w:type="dxa"/>
            <w:vAlign w:val="center"/>
            <w:vMerge w:val="restart"/>
            <w:textDirection w:val="lrTb"/>
            <w:noWrap w:val="false"/>
          </w:tcPr>
          <w:p>
            <w:pPr>
              <w:pStyle w:val="1024"/>
              <w:widowControl/>
              <w:rPr>
                <w:rFonts w:hint="eastAsia" w:ascii="宋体" w:hAnsi="宋体" w:cs="宋体"/>
                <w:color w:val="000000"/>
                <w:sz w:val="32"/>
                <w:szCs w:val="32"/>
                <w:highlight w:val="none"/>
              </w:rPr>
            </w:pPr>
            <w:r>
              <w:rPr>
                <w:rFonts w:hint="eastAsia" w:ascii="宋体" w:hAnsi="宋体" w:cs="宋体"/>
                <w:color w:val="000000"/>
                <w:sz w:val="32"/>
                <w:szCs w:val="32"/>
                <w:highlight w:val="none"/>
              </w:rPr>
              <w:t xml:space="preserve">制定</w:t>
            </w:r>
            <w:r>
              <w:rPr>
                <w:rFonts w:hint="eastAsia" w:ascii="宋体" w:hAnsi="宋体" w:cs="宋体"/>
                <w:color w:val="000000"/>
                <w:sz w:val="32"/>
                <w:szCs w:val="32"/>
                <w:highlight w:val="none"/>
              </w:rPr>
            </w:r>
            <w:r/>
          </w:p>
        </w:tc>
      </w:tr>
      <w:tr>
        <w:trPr>
          <w:cantSplit/>
        </w:trPr>
        <w:tc>
          <w:tcPr>
            <w:tcBorders>
              <w:top w:val="none" w:color="000000" w:sz="4" w:space="0"/>
              <w:left w:val="none" w:color="000000" w:sz="4" w:space="0"/>
              <w:bottom w:val="none" w:color="000000" w:sz="4" w:space="0"/>
              <w:right w:val="none" w:color="000000" w:sz="4" w:space="0"/>
            </w:tcBorders>
            <w:tcW w:w="4465" w:type="dxa"/>
            <w:vAlign w:val="center"/>
            <w:textDirection w:val="lrTb"/>
            <w:noWrap w:val="false"/>
          </w:tcPr>
          <w:p>
            <w:pPr>
              <w:pStyle w:val="1024"/>
              <w:widowControl/>
              <w:rPr>
                <w:rFonts w:hint="eastAsia" w:ascii="宋体" w:hAnsi="宋体" w:cs="宋体"/>
                <w:color w:val="000000"/>
                <w:spacing w:val="20"/>
                <w:sz w:val="36"/>
                <w:szCs w:val="20"/>
                <w:highlight w:val="none"/>
              </w:rPr>
            </w:pPr>
            <w:r>
              <w:rPr>
                <w:rFonts w:hint="eastAsia" w:ascii="宋体" w:hAnsi="宋体" w:cs="宋体"/>
                <w:color w:val="000000"/>
                <w:spacing w:val="20"/>
                <w:sz w:val="36"/>
                <w:szCs w:val="28"/>
                <w:highlight w:val="none"/>
              </w:rPr>
              <w:t xml:space="preserve">江苏省工商行政管理局</w:t>
            </w:r>
            <w:r>
              <w:rPr>
                <w:rFonts w:hint="eastAsia" w:ascii="宋体" w:hAnsi="宋体" w:cs="宋体"/>
                <w:color w:val="000000"/>
                <w:spacing w:val="20"/>
                <w:sz w:val="36"/>
                <w:szCs w:val="20"/>
                <w:highlight w:val="none"/>
              </w:rPr>
            </w:r>
            <w:r/>
          </w:p>
        </w:tc>
        <w:tc>
          <w:tcPr>
            <w:tcBorders>
              <w:top w:val="none" w:color="000000" w:sz="4" w:space="0"/>
              <w:left w:val="none" w:color="000000" w:sz="4" w:space="0"/>
              <w:bottom w:val="none" w:color="000000" w:sz="4" w:space="0"/>
              <w:right w:val="none" w:color="000000" w:sz="4" w:space="0"/>
            </w:tcBorders>
            <w:tcW w:w="891" w:type="dxa"/>
            <w:vAlign w:val="center"/>
            <w:vMerge w:val="continue"/>
            <w:textDirection w:val="lrTb"/>
            <w:noWrap w:val="false"/>
          </w:tcPr>
          <w:p>
            <w:pPr>
              <w:pStyle w:val="1024"/>
              <w:ind w:firstLine="562"/>
              <w:jc w:val="center"/>
              <w:widowControl/>
              <w:rPr>
                <w:rFonts w:hint="eastAsia" w:ascii="宋体" w:hAnsi="宋体" w:cs="宋体"/>
                <w:color w:val="000000"/>
                <w:szCs w:val="20"/>
                <w:highlight w:val="none"/>
              </w:rPr>
            </w:pPr>
            <w:r>
              <w:rPr>
                <w:rFonts w:hint="eastAsia" w:ascii="宋体" w:hAnsi="宋体" w:cs="宋体"/>
                <w:color w:val="000000"/>
                <w:szCs w:val="20"/>
                <w:highlight w:val="none"/>
              </w:rPr>
            </w:r>
            <w:r/>
          </w:p>
        </w:tc>
      </w:tr>
    </w:tbl>
    <w:p>
      <w:pPr>
        <w:pStyle w:val="1024"/>
        <w:ind w:firstLine="560"/>
        <w:spacing w:line="4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1024"/>
        <w:ind w:firstLine="560"/>
        <w:spacing w:line="460" w:lineRule="exact"/>
        <w:rPr>
          <w:rFonts w:hint="eastAsia" w:ascii="仿宋" w:hAnsi="仿宋" w:eastAsia="仿宋" w:cs="仿宋"/>
          <w:color w:val="000000"/>
          <w:sz w:val="28"/>
          <w:szCs w:val="28"/>
          <w:highlight w:val="none"/>
        </w:rPr>
        <w:sectPr>
          <w:footerReference w:type="default" r:id="rId15"/>
          <w:footnotePr/>
          <w:endnotePr/>
          <w:type w:val="nextPage"/>
          <w:pgSz w:w="11906" w:h="16838" w:orient="portrait"/>
          <w:pgMar w:top="1361" w:right="1247" w:bottom="1361" w:left="1304" w:header="851" w:footer="992" w:gutter="0"/>
          <w:cols w:num="1" w:sep="0" w:space="1701" w:equalWidth="1"/>
          <w:docGrid w:linePitch="360"/>
        </w:sectPr>
      </w:pPr>
      <w:r>
        <w:rPr>
          <w:rFonts w:hint="eastAsia" w:ascii="仿宋" w:hAnsi="仿宋" w:eastAsia="仿宋" w:cs="仿宋"/>
          <w:color w:val="000000"/>
          <w:sz w:val="28"/>
          <w:szCs w:val="28"/>
          <w:highlight w:val="none"/>
        </w:rPr>
      </w:r>
      <w:r/>
    </w:p>
    <w:p>
      <w:pPr>
        <w:pStyle w:val="1027"/>
        <w:ind w:firstLine="482"/>
        <w:jc w:val="center"/>
        <w:keepLines w:val="0"/>
        <w:keepNext w:val="0"/>
        <w:spacing w:before="0" w:after="0" w:line="460" w:lineRule="exact"/>
        <w:tabs>
          <w:tab w:val="left" w:pos="1275"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1027"/>
        <w:ind w:firstLine="482"/>
        <w:jc w:val="center"/>
        <w:keepLines w:val="0"/>
        <w:keepNext w:val="0"/>
        <w:spacing w:before="0" w:after="0" w:line="460" w:lineRule="exact"/>
        <w:tabs>
          <w:tab w:val="left" w:pos="1275"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第一部分  建设工程造价咨询协议书</w:t>
      </w:r>
      <w:r>
        <w:rPr>
          <w:rFonts w:ascii="宋体" w:hAnsi="宋体" w:cs="宋体"/>
          <w:color w:val="000000"/>
          <w:sz w:val="24"/>
          <w:szCs w:val="24"/>
          <w:highlight w:val="none"/>
        </w:rPr>
      </w:r>
      <w:r/>
    </w:p>
    <w:p>
      <w:pPr>
        <w:pStyle w:val="1024"/>
        <w:ind w:firstLine="480"/>
        <w:spacing w:line="460" w:lineRule="exact"/>
        <w:rPr>
          <w:rFonts w:ascii="宋体" w:hAnsi="宋体" w:cs="宋体"/>
          <w:color w:val="000000"/>
          <w:sz w:val="24"/>
          <w:szCs w:val="24"/>
          <w:highlight w:val="none"/>
        </w:rPr>
      </w:pPr>
      <w:r>
        <w:rPr>
          <w:rFonts w:ascii="宋体" w:hAnsi="宋体" w:cs="宋体"/>
          <w:color w:val="000000"/>
          <w:sz w:val="24"/>
          <w:szCs w:val="24"/>
          <w:highlight w:val="none"/>
        </w:rPr>
      </w:r>
      <w:r/>
    </w:p>
    <w:p>
      <w:pPr>
        <w:pStyle w:val="1024"/>
        <w:ind w:firstLine="480"/>
        <w:spacing w:line="4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委托人：</w:t>
      </w:r>
      <w:r>
        <w:rPr>
          <w:rFonts w:hint="eastAsia" w:ascii="宋体" w:hAnsi="宋体" w:cs="宋体"/>
          <w:color w:val="000000"/>
          <w:sz w:val="24"/>
          <w:szCs w:val="24"/>
          <w:highlight w:val="none"/>
          <w:u w:val="single"/>
        </w:rPr>
        <w:t xml:space="preserve">盐城市公路事业发展中心</w:t>
      </w:r>
      <w:r>
        <w:rPr>
          <w:rFonts w:ascii="宋体" w:hAnsi="宋体" w:cs="宋体"/>
          <w:color w:val="000000"/>
          <w:sz w:val="24"/>
          <w:szCs w:val="24"/>
          <w:highlight w:val="none"/>
        </w:rPr>
      </w:r>
      <w:r/>
    </w:p>
    <w:p>
      <w:pPr>
        <w:pStyle w:val="1024"/>
        <w:ind w:firstLine="480"/>
        <w:spacing w:line="4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咨询人：</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r>
      <w:r/>
    </w:p>
    <w:p>
      <w:pPr>
        <w:pStyle w:val="1024"/>
        <w:ind w:firstLine="480"/>
        <w:spacing w:line="4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依据《中华人民共和国民法典》及工程造价相关管理规定，经过双方协商一致，签订本工程造价咨询合同。</w:t>
      </w:r>
      <w:r>
        <w:rPr>
          <w:rFonts w:ascii="宋体" w:hAnsi="宋体" w:cs="宋体"/>
          <w:color w:val="000000"/>
          <w:sz w:val="24"/>
          <w:szCs w:val="24"/>
          <w:highlight w:val="none"/>
        </w:rPr>
      </w:r>
      <w:r/>
    </w:p>
    <w:p>
      <w:pPr>
        <w:pStyle w:val="1024"/>
        <w:ind w:firstLine="480"/>
        <w:spacing w:line="4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一、委托人委托咨询人为以下项目提供建设工程造价咨询服务（包括</w:t>
      </w:r>
      <w:r>
        <w:rPr>
          <w:rFonts w:hint="eastAsia" w:ascii="宋体" w:hAnsi="宋体" w:cs="宋体"/>
          <w:color w:val="000000"/>
          <w:sz w:val="24"/>
          <w:szCs w:val="24"/>
          <w:highlight w:val="none"/>
        </w:rPr>
        <w:t xml:space="preserve">工程竣工结算审核等造价咨询服务</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r>
      <w:r/>
    </w:p>
    <w:p>
      <w:pPr>
        <w:pStyle w:val="1024"/>
        <w:ind w:firstLine="480"/>
        <w:spacing w:line="420" w:lineRule="exact"/>
        <w:rPr>
          <w:rFonts w:hint="eastAsia" w:ascii="宋体" w:hAnsi="宋体" w:cs="宋体"/>
          <w:bCs/>
          <w:color w:val="000000"/>
          <w:sz w:val="24"/>
          <w:szCs w:val="24"/>
          <w:highlight w:val="none"/>
          <w:u w:val="single"/>
        </w:rPr>
      </w:pPr>
      <w:r>
        <w:rPr>
          <w:rFonts w:hint="eastAsia" w:ascii="宋体" w:hAnsi="宋体" w:cs="宋体"/>
          <w:color w:val="000000"/>
          <w:sz w:val="24"/>
          <w:szCs w:val="24"/>
          <w:highlight w:val="none"/>
        </w:rPr>
        <w:t xml:space="preserve">1．项目名称：</w:t>
      </w:r>
      <w:r>
        <w:rPr>
          <w:rFonts w:hint="eastAsia" w:ascii="宋体" w:hAnsi="宋体" w:cs="宋体"/>
          <w:bCs/>
          <w:color w:val="000000"/>
          <w:sz w:val="24"/>
          <w:szCs w:val="24"/>
          <w:highlight w:val="none"/>
          <w:u w:val="single"/>
        </w:rPr>
        <w:t xml:space="preserve">2026年盐城市普通国省道小修保养及应急养护工程全过程造价控制及竣工决算审计（采购包：    ）</w:t>
      </w:r>
      <w:r>
        <w:rPr>
          <w:rFonts w:hint="eastAsia" w:ascii="宋体" w:hAnsi="宋体" w:cs="宋体"/>
          <w:bCs/>
          <w:color w:val="000000"/>
          <w:sz w:val="24"/>
          <w:szCs w:val="24"/>
          <w:highlight w:val="none"/>
          <w:u w:val="single"/>
        </w:rPr>
      </w:r>
      <w:r/>
    </w:p>
    <w:p>
      <w:pPr>
        <w:pStyle w:val="1024"/>
        <w:ind w:firstLine="480"/>
        <w:spacing w:line="4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2．建设地点：</w:t>
      </w:r>
      <w:r>
        <w:rPr>
          <w:rFonts w:hint="eastAsia" w:ascii="宋体" w:hAnsi="宋体" w:cs="宋体"/>
          <w:color w:val="000000"/>
          <w:sz w:val="24"/>
          <w:szCs w:val="24"/>
          <w:highlight w:val="none"/>
          <w:u w:val="single"/>
        </w:rPr>
        <w:t xml:space="preserve">盐城市境内</w:t>
      </w:r>
      <w:r>
        <w:rPr>
          <w:rFonts w:ascii="宋体" w:hAnsi="宋体" w:cs="宋体"/>
          <w:color w:val="000000"/>
          <w:sz w:val="24"/>
          <w:szCs w:val="24"/>
          <w:highlight w:val="none"/>
        </w:rPr>
      </w:r>
      <w:r/>
    </w:p>
    <w:p>
      <w:pPr>
        <w:pStyle w:val="1024"/>
        <w:ind w:firstLine="480"/>
        <w:spacing w:line="4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3．资金来源：</w:t>
      </w:r>
      <w:r>
        <w:rPr>
          <w:rFonts w:hint="eastAsia" w:ascii="宋体" w:hAnsi="宋体" w:cs="宋体"/>
          <w:color w:val="000000"/>
          <w:sz w:val="24"/>
          <w:szCs w:val="24"/>
          <w:highlight w:val="none"/>
          <w:u w:val="single"/>
        </w:rPr>
        <w:t xml:space="preserve">省级养护专项资金</w:t>
      </w:r>
      <w:r>
        <w:rPr>
          <w:rFonts w:ascii="宋体" w:hAnsi="宋体" w:cs="宋体"/>
          <w:color w:val="000000"/>
          <w:sz w:val="24"/>
          <w:szCs w:val="24"/>
          <w:highlight w:val="none"/>
        </w:rPr>
      </w:r>
      <w:r/>
    </w:p>
    <w:p>
      <w:pPr>
        <w:pStyle w:val="1024"/>
        <w:ind w:firstLine="480"/>
        <w:spacing w:line="4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4．工程用途：</w:t>
      </w:r>
      <w:r>
        <w:rPr>
          <w:rFonts w:hint="eastAsia" w:ascii="宋体" w:hAnsi="宋体" w:cs="宋体"/>
          <w:color w:val="000000"/>
          <w:sz w:val="24"/>
          <w:szCs w:val="24"/>
          <w:highlight w:val="none"/>
          <w:u w:val="single"/>
        </w:rPr>
        <w:t xml:space="preserve">工程项目全过程造价控制及工程竣工结算审核</w:t>
      </w:r>
      <w:r>
        <w:rPr>
          <w:rFonts w:ascii="宋体" w:hAnsi="宋体" w:cs="宋体"/>
          <w:color w:val="000000"/>
          <w:sz w:val="24"/>
          <w:szCs w:val="24"/>
          <w:highlight w:val="none"/>
        </w:rPr>
      </w:r>
      <w:r/>
    </w:p>
    <w:p>
      <w:pPr>
        <w:pStyle w:val="1024"/>
        <w:ind w:firstLine="480"/>
        <w:spacing w:line="4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5．项目规模：总投资额</w:t>
      </w:r>
      <w:r>
        <w:rPr>
          <w:rFonts w:hint="eastAsia" w:ascii="宋体" w:hAnsi="宋体" w:cs="宋体"/>
          <w:color w:val="000000"/>
          <w:sz w:val="24"/>
          <w:szCs w:val="24"/>
          <w:highlight w:val="none"/>
          <w:u w:val="single"/>
        </w:rPr>
        <w:t xml:space="preserve"> 按项目实际投资额为准</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r>
      <w:r/>
    </w:p>
    <w:p>
      <w:pPr>
        <w:pStyle w:val="1024"/>
        <w:ind w:firstLine="480"/>
        <w:spacing w:line="4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6．咨询业务范围及内容：</w:t>
      </w:r>
      <w:r>
        <w:rPr>
          <w:rFonts w:hint="eastAsia" w:ascii="宋体" w:hAnsi="宋体" w:cs="宋体"/>
          <w:color w:val="000000"/>
          <w:sz w:val="24"/>
          <w:szCs w:val="24"/>
          <w:highlight w:val="none"/>
          <w:u w:val="single"/>
        </w:rPr>
        <w:t xml:space="preserve">包括但不限于施工阶段全过程造价控制及工程竣工结算审核、出具审核报告、审核资料的归档等造价咨询服务，具体详见项目需求。委托人保留对招标范围进行调整的权利</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r>
      <w:r/>
    </w:p>
    <w:p>
      <w:pPr>
        <w:pStyle w:val="1024"/>
        <w:ind w:firstLine="480"/>
        <w:spacing w:line="4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二、本协议书的措词和用语与所属建设工程造价咨询合同通用条款赋予的定义相同。</w:t>
      </w:r>
      <w:r>
        <w:rPr>
          <w:rFonts w:ascii="宋体" w:hAnsi="宋体" w:cs="宋体"/>
          <w:color w:val="000000"/>
          <w:sz w:val="24"/>
          <w:szCs w:val="24"/>
          <w:highlight w:val="none"/>
        </w:rPr>
      </w:r>
      <w:r/>
    </w:p>
    <w:p>
      <w:pPr>
        <w:pStyle w:val="1024"/>
        <w:ind w:firstLine="480"/>
        <w:spacing w:line="4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三、本合同的组成部分及解释顺序为：</w:t>
      </w:r>
      <w:r>
        <w:rPr>
          <w:rFonts w:ascii="宋体" w:hAnsi="宋体" w:cs="宋体"/>
          <w:color w:val="000000"/>
          <w:sz w:val="24"/>
          <w:szCs w:val="24"/>
          <w:highlight w:val="none"/>
        </w:rPr>
      </w:r>
      <w:r/>
    </w:p>
    <w:p>
      <w:pPr>
        <w:pStyle w:val="1024"/>
        <w:ind w:firstLine="480"/>
        <w:spacing w:line="4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1．建设工程造价咨询协议书；</w:t>
      </w:r>
      <w:r>
        <w:rPr>
          <w:rFonts w:ascii="宋体" w:hAnsi="宋体" w:cs="宋体"/>
          <w:color w:val="000000"/>
          <w:sz w:val="24"/>
          <w:szCs w:val="24"/>
          <w:highlight w:val="none"/>
        </w:rPr>
      </w:r>
      <w:r/>
    </w:p>
    <w:p>
      <w:pPr>
        <w:pStyle w:val="1024"/>
        <w:ind w:firstLine="480"/>
        <w:spacing w:line="4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 建设工程造价咨询合同专用条款；</w:t>
      </w:r>
      <w:r>
        <w:rPr>
          <w:rFonts w:ascii="宋体" w:hAnsi="宋体" w:cs="宋体"/>
          <w:color w:val="000000"/>
          <w:sz w:val="24"/>
          <w:szCs w:val="24"/>
          <w:highlight w:val="none"/>
        </w:rPr>
      </w:r>
      <w:r/>
    </w:p>
    <w:p>
      <w:pPr>
        <w:pStyle w:val="1024"/>
        <w:ind w:firstLine="480"/>
        <w:spacing w:line="4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3．建设工程造价咨询合同通用条款；</w:t>
      </w:r>
      <w:r>
        <w:rPr>
          <w:rFonts w:ascii="宋体" w:hAnsi="宋体" w:cs="宋体"/>
          <w:color w:val="000000"/>
          <w:sz w:val="24"/>
          <w:szCs w:val="24"/>
          <w:highlight w:val="none"/>
        </w:rPr>
      </w:r>
      <w:r/>
    </w:p>
    <w:p>
      <w:pPr>
        <w:pStyle w:val="1024"/>
        <w:ind w:firstLine="480"/>
        <w:spacing w:line="4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4．建设工程造价咨询合同履行中共同签署的补充文件；</w:t>
      </w:r>
      <w:r>
        <w:rPr>
          <w:rFonts w:ascii="宋体" w:hAnsi="宋体" w:cs="宋体"/>
          <w:color w:val="000000"/>
          <w:sz w:val="24"/>
          <w:szCs w:val="24"/>
          <w:highlight w:val="none"/>
        </w:rPr>
      </w:r>
      <w:r/>
    </w:p>
    <w:p>
      <w:pPr>
        <w:pStyle w:val="1024"/>
        <w:ind w:firstLine="480"/>
        <w:spacing w:line="4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5．通过招标方式获得咨询业务的，还包括下列资料：</w:t>
      </w:r>
      <w:r>
        <w:rPr>
          <w:rFonts w:ascii="宋体" w:hAnsi="宋体" w:cs="宋体"/>
          <w:color w:val="000000"/>
          <w:sz w:val="24"/>
          <w:szCs w:val="24"/>
          <w:highlight w:val="none"/>
        </w:rPr>
      </w:r>
      <w:r/>
    </w:p>
    <w:p>
      <w:pPr>
        <w:pStyle w:val="1024"/>
        <w:ind w:firstLine="480"/>
        <w:spacing w:line="4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（1）招标文件；</w:t>
      </w:r>
      <w:r>
        <w:rPr>
          <w:rFonts w:ascii="宋体" w:hAnsi="宋体" w:cs="宋体"/>
          <w:color w:val="000000"/>
          <w:sz w:val="24"/>
          <w:szCs w:val="24"/>
          <w:highlight w:val="none"/>
        </w:rPr>
      </w:r>
      <w:r/>
    </w:p>
    <w:p>
      <w:pPr>
        <w:pStyle w:val="1024"/>
        <w:ind w:firstLine="480"/>
        <w:spacing w:line="4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（2）投标书及其附件；</w:t>
      </w:r>
      <w:r>
        <w:rPr>
          <w:rFonts w:ascii="宋体" w:hAnsi="宋体" w:cs="宋体"/>
          <w:color w:val="000000"/>
          <w:sz w:val="24"/>
          <w:szCs w:val="24"/>
          <w:highlight w:val="none"/>
        </w:rPr>
      </w:r>
      <w:r/>
    </w:p>
    <w:p>
      <w:pPr>
        <w:pStyle w:val="1024"/>
        <w:ind w:firstLine="480"/>
        <w:spacing w:line="4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（3）中标通知书。</w:t>
      </w:r>
      <w:r>
        <w:rPr>
          <w:rFonts w:ascii="宋体" w:hAnsi="宋体" w:cs="宋体"/>
          <w:color w:val="000000"/>
          <w:sz w:val="24"/>
          <w:szCs w:val="24"/>
          <w:highlight w:val="none"/>
        </w:rPr>
      </w:r>
      <w:r/>
    </w:p>
    <w:p>
      <w:pPr>
        <w:pStyle w:val="1024"/>
        <w:ind w:firstLine="480"/>
        <w:spacing w:line="420" w:lineRule="exact"/>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四、咨询人同意按照本合同的约定，承担本合同专用条款中约定范围内的建设工程造价咨询业务。</w:t>
      </w:r>
      <w:r>
        <w:rPr>
          <w:rFonts w:ascii="宋体" w:hAnsi="宋体" w:cs="宋体"/>
          <w:bCs/>
          <w:color w:val="000000"/>
          <w:sz w:val="24"/>
          <w:szCs w:val="24"/>
          <w:highlight w:val="none"/>
        </w:rPr>
      </w:r>
      <w:r/>
    </w:p>
    <w:p>
      <w:pPr>
        <w:pStyle w:val="1024"/>
        <w:ind w:firstLine="480"/>
        <w:spacing w:line="420" w:lineRule="exact"/>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五、委托人同意按照专用条款中约定的期限、方式、币种和额度向咨询人支付酬金。</w:t>
      </w:r>
      <w:r>
        <w:rPr>
          <w:rFonts w:ascii="宋体" w:hAnsi="宋体" w:cs="宋体"/>
          <w:bCs/>
          <w:color w:val="000000"/>
          <w:sz w:val="24"/>
          <w:szCs w:val="24"/>
          <w:highlight w:val="none"/>
        </w:rPr>
      </w:r>
      <w:r/>
    </w:p>
    <w:p>
      <w:pPr>
        <w:pStyle w:val="1024"/>
        <w:ind w:firstLine="480"/>
        <w:spacing w:line="420" w:lineRule="exact"/>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1、正常酬金计算方法</w:t>
      </w:r>
      <w:r>
        <w:rPr>
          <w:rFonts w:ascii="宋体" w:hAnsi="宋体" w:cs="宋体"/>
          <w:bCs/>
          <w:color w:val="000000"/>
          <w:sz w:val="24"/>
          <w:szCs w:val="24"/>
          <w:highlight w:val="none"/>
        </w:rPr>
      </w:r>
      <w:r/>
    </w:p>
    <w:p>
      <w:pPr>
        <w:pStyle w:val="1024"/>
        <w:ind w:firstLine="480"/>
        <w:spacing w:line="420" w:lineRule="exact"/>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结算服务费=中标价（¥</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元）。</w:t>
      </w:r>
      <w:r>
        <w:rPr>
          <w:rFonts w:ascii="宋体" w:hAnsi="宋体" w:cs="宋体"/>
          <w:bCs/>
          <w:color w:val="000000"/>
          <w:sz w:val="24"/>
          <w:szCs w:val="24"/>
          <w:highlight w:val="none"/>
        </w:rPr>
      </w:r>
      <w:r/>
    </w:p>
    <w:p>
      <w:pPr>
        <w:pStyle w:val="1024"/>
        <w:ind w:firstLine="480"/>
        <w:spacing w:line="420" w:lineRule="exact"/>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2、正常酬金支付方式</w:t>
      </w:r>
      <w:r>
        <w:rPr>
          <w:rFonts w:ascii="宋体" w:hAnsi="宋体" w:cs="宋体"/>
          <w:bCs/>
          <w:color w:val="000000"/>
          <w:sz w:val="24"/>
          <w:szCs w:val="24"/>
          <w:highlight w:val="none"/>
        </w:rPr>
      </w:r>
      <w:r/>
    </w:p>
    <w:p>
      <w:pPr>
        <w:pStyle w:val="1024"/>
        <w:ind w:firstLine="480"/>
        <w:spacing w:line="420" w:lineRule="exact"/>
        <w:rPr>
          <w:rFonts w:ascii="宋体" w:hAnsi="宋体" w:cs="宋体"/>
          <w:color w:val="000000"/>
          <w:sz w:val="24"/>
          <w:szCs w:val="24"/>
          <w:highlight w:val="none"/>
          <w:lang w:val="zh-CN"/>
        </w:rPr>
      </w:pPr>
      <w:r>
        <w:rPr>
          <w:rFonts w:hint="eastAsia" w:ascii="宋体" w:hAnsi="宋体" w:cs="宋体"/>
          <w:color w:val="000000"/>
          <w:sz w:val="24"/>
          <w:szCs w:val="24"/>
          <w:highlight w:val="none"/>
        </w:rPr>
        <w:t xml:space="preserve">2.1、预付款支付时间：合同签订</w:t>
      </w:r>
      <w:r>
        <w:rPr>
          <w:rFonts w:hint="eastAsia" w:ascii="宋体" w:hAnsi="宋体" w:cs="宋体"/>
          <w:color w:val="000000"/>
          <w:sz w:val="24"/>
          <w:szCs w:val="24"/>
          <w:highlight w:val="none"/>
          <w:lang w:val="zh-CN"/>
        </w:rPr>
        <w:t xml:space="preserve">后，甲方收到预付款发票后10个工作日内，预付款支付比例：合同金额的30%（在签订合同时，如乙方明确书面表示无需预付款或者主动要求降低预付款比例的，经双方协商甲方可就预付款比例作相应调整）。</w:t>
      </w:r>
      <w:r>
        <w:rPr>
          <w:rFonts w:ascii="宋体" w:hAnsi="宋体" w:cs="宋体"/>
          <w:color w:val="000000"/>
          <w:sz w:val="24"/>
          <w:szCs w:val="24"/>
          <w:highlight w:val="none"/>
          <w:lang w:val="zh-CN"/>
        </w:rPr>
      </w:r>
      <w:r/>
    </w:p>
    <w:p>
      <w:pPr>
        <w:pStyle w:val="1024"/>
        <w:ind w:firstLine="480"/>
        <w:spacing w:line="4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2.2、尾款支付时间：项目审计结束且出具审定单以及工程造价咨询报告，经甲方同意审核结论后，一次性付清合同金额的剩余服务费；如有乙方有违约情况，则扣除违约金后一次性付清服务费，以上付款均不计利息。</w:t>
      </w:r>
      <w:r>
        <w:rPr>
          <w:rFonts w:ascii="宋体" w:hAnsi="宋体" w:cs="宋体"/>
          <w:color w:val="000000"/>
          <w:sz w:val="24"/>
          <w:szCs w:val="24"/>
          <w:highlight w:val="none"/>
        </w:rPr>
      </w:r>
      <w:r/>
    </w:p>
    <w:p>
      <w:pPr>
        <w:pStyle w:val="1024"/>
        <w:ind w:firstLine="480"/>
        <w:jc w:val="left"/>
        <w:spacing w:line="42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六、项目负责人：</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 ，</w:t>
      </w:r>
      <w:r>
        <w:rPr>
          <w:rFonts w:hint="eastAsia" w:ascii="宋体" w:hAnsi="宋体" w:cs="宋体"/>
          <w:bCs/>
          <w:color w:val="000000"/>
          <w:sz w:val="24"/>
          <w:szCs w:val="24"/>
          <w:highlight w:val="none"/>
        </w:rPr>
        <w:t xml:space="preserve">证书编号：</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u w:val="single"/>
        </w:rPr>
        <w:t xml:space="preserve">  </w:t>
      </w:r>
      <w:r>
        <w:rPr>
          <w:rFonts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rPr>
      </w:r>
      <w:r/>
    </w:p>
    <w:p>
      <w:pPr>
        <w:pStyle w:val="1024"/>
        <w:ind w:firstLine="480"/>
        <w:spacing w:line="420" w:lineRule="exact"/>
        <w:rPr>
          <w:rFonts w:ascii="宋体" w:hAnsi="宋体" w:cs="宋体"/>
          <w:b/>
          <w:color w:val="000000"/>
          <w:sz w:val="24"/>
          <w:szCs w:val="24"/>
          <w:highlight w:val="none"/>
        </w:rPr>
      </w:pPr>
      <w:r>
        <w:rPr>
          <w:rFonts w:hint="eastAsia" w:ascii="宋体" w:hAnsi="宋体" w:cs="宋体"/>
          <w:bCs/>
          <w:color w:val="000000"/>
          <w:sz w:val="24"/>
          <w:szCs w:val="24"/>
          <w:highlight w:val="none"/>
        </w:rPr>
        <w:t xml:space="preserve">七</w:t>
      </w:r>
      <w:r>
        <w:rPr>
          <w:rFonts w:hint="eastAsia" w:ascii="宋体" w:hAnsi="宋体" w:cs="宋体"/>
          <w:color w:val="000000"/>
          <w:sz w:val="24"/>
          <w:szCs w:val="24"/>
          <w:highlight w:val="none"/>
        </w:rPr>
        <w:t xml:space="preserve">、本合同的建设工程造价咨询业务：从合同签订之日起至整个项目竣工验收合格，同时移交全部审计资料至采购人为止。若委托人提供咨询资料延后则时间相应顺延，若增加工作内容具体完成时间另行约定。</w:t>
      </w:r>
      <w:r>
        <w:rPr>
          <w:rFonts w:ascii="宋体" w:hAnsi="宋体" w:cs="宋体"/>
          <w:b/>
          <w:color w:val="000000"/>
          <w:sz w:val="24"/>
          <w:szCs w:val="24"/>
          <w:highlight w:val="none"/>
        </w:rPr>
      </w:r>
      <w:r/>
    </w:p>
    <w:p>
      <w:pPr>
        <w:pStyle w:val="1024"/>
        <w:ind w:firstLine="480"/>
        <w:spacing w:line="4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八、委托人提供的建设工程造价咨询材料齐全后，咨询人应在60日内完成咨询工作，出具审定单及提供完整的咨询报告。</w:t>
      </w:r>
      <w:r>
        <w:rPr>
          <w:rFonts w:ascii="宋体" w:hAnsi="宋体" w:cs="宋体"/>
          <w:color w:val="000000"/>
          <w:sz w:val="24"/>
          <w:szCs w:val="24"/>
          <w:highlight w:val="none"/>
        </w:rPr>
      </w:r>
      <w:r/>
    </w:p>
    <w:p>
      <w:pPr>
        <w:pStyle w:val="1024"/>
        <w:ind w:firstLine="480"/>
        <w:spacing w:line="4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九、合同签订时间：</w:t>
      </w:r>
      <w:r>
        <w:rPr>
          <w:rFonts w:hint="eastAsia" w:ascii="宋体" w:hAnsi="宋体" w:cs="宋体"/>
          <w:color w:val="000000"/>
          <w:sz w:val="24"/>
          <w:szCs w:val="24"/>
          <w:highlight w:val="none"/>
          <w:u w:val="single"/>
        </w:rPr>
        <w:t xml:space="preserve">2026</w:t>
      </w:r>
      <w:r>
        <w:rPr>
          <w:rFonts w:hint="eastAsia" w:ascii="宋体" w:hAnsi="宋体" w:cs="宋体"/>
          <w:color w:val="000000"/>
          <w:sz w:val="24"/>
          <w:szCs w:val="24"/>
          <w:highlight w:val="none"/>
        </w:rPr>
        <w:t xml:space="preserve">年</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月</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日。</w:t>
      </w:r>
      <w:r>
        <w:rPr>
          <w:rFonts w:ascii="宋体" w:hAnsi="宋体" w:cs="宋体"/>
          <w:color w:val="000000"/>
          <w:sz w:val="24"/>
          <w:szCs w:val="24"/>
          <w:highlight w:val="none"/>
        </w:rPr>
      </w:r>
      <w:r/>
    </w:p>
    <w:p>
      <w:pPr>
        <w:pStyle w:val="1024"/>
        <w:ind w:firstLine="480"/>
        <w:spacing w:line="4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十、本合同正本二份，委托人、咨询人各执一份，副本</w:t>
      </w:r>
      <w:r>
        <w:rPr>
          <w:rFonts w:hint="eastAsia" w:ascii="宋体" w:hAnsi="宋体" w:cs="宋体"/>
          <w:color w:val="000000"/>
          <w:sz w:val="24"/>
          <w:szCs w:val="24"/>
          <w:highlight w:val="none"/>
          <w:u w:val="single"/>
        </w:rPr>
        <w:t xml:space="preserve">二</w:t>
      </w:r>
      <w:r>
        <w:rPr>
          <w:rFonts w:hint="eastAsia" w:ascii="宋体" w:hAnsi="宋体" w:cs="宋体"/>
          <w:color w:val="000000"/>
          <w:sz w:val="24"/>
          <w:szCs w:val="24"/>
          <w:highlight w:val="none"/>
        </w:rPr>
        <w:t xml:space="preserve">份，委托人</w:t>
      </w:r>
      <w:r>
        <w:rPr>
          <w:rFonts w:hint="eastAsia" w:ascii="宋体" w:hAnsi="宋体" w:cs="宋体"/>
          <w:color w:val="000000"/>
          <w:sz w:val="24"/>
          <w:szCs w:val="24"/>
          <w:highlight w:val="none"/>
          <w:u w:val="single"/>
        </w:rPr>
        <w:t xml:space="preserve">一</w:t>
      </w:r>
      <w:r>
        <w:rPr>
          <w:rFonts w:hint="eastAsia" w:ascii="宋体" w:hAnsi="宋体" w:cs="宋体"/>
          <w:color w:val="000000"/>
          <w:sz w:val="24"/>
          <w:szCs w:val="24"/>
          <w:highlight w:val="none"/>
        </w:rPr>
        <w:t xml:space="preserve">份，咨询人</w:t>
      </w:r>
      <w:r>
        <w:rPr>
          <w:rFonts w:hint="eastAsia" w:ascii="宋体" w:hAnsi="宋体" w:cs="宋体"/>
          <w:color w:val="000000"/>
          <w:sz w:val="24"/>
          <w:szCs w:val="24"/>
          <w:highlight w:val="none"/>
          <w:u w:val="single"/>
        </w:rPr>
        <w:t xml:space="preserve">一</w:t>
      </w:r>
      <w:r>
        <w:rPr>
          <w:rFonts w:hint="eastAsia" w:ascii="宋体" w:hAnsi="宋体" w:cs="宋体"/>
          <w:color w:val="000000"/>
          <w:sz w:val="24"/>
          <w:szCs w:val="24"/>
          <w:highlight w:val="none"/>
        </w:rPr>
        <w:t xml:space="preserve">份。</w:t>
      </w:r>
      <w:r>
        <w:rPr>
          <w:rFonts w:ascii="宋体" w:hAnsi="宋体" w:cs="宋体"/>
          <w:color w:val="000000"/>
          <w:sz w:val="24"/>
          <w:szCs w:val="24"/>
          <w:highlight w:val="none"/>
        </w:rPr>
      </w:r>
      <w:r/>
    </w:p>
    <w:p>
      <w:pPr>
        <w:pStyle w:val="1024"/>
        <w:ind w:firstLine="480"/>
        <w:spacing w:line="420" w:lineRule="exact"/>
        <w:rPr>
          <w:rFonts w:ascii="宋体" w:hAnsi="宋体" w:cs="宋体"/>
          <w:color w:val="000000"/>
          <w:sz w:val="24"/>
          <w:szCs w:val="24"/>
          <w:highlight w:val="none"/>
        </w:rPr>
      </w:pPr>
      <w:r>
        <w:rPr>
          <w:rFonts w:ascii="宋体" w:hAnsi="宋体" w:cs="宋体"/>
          <w:color w:val="000000"/>
          <w:sz w:val="24"/>
          <w:szCs w:val="24"/>
          <w:highlight w:val="none"/>
        </w:rPr>
      </w:r>
      <w:r/>
    </w:p>
    <w:p>
      <w:pPr>
        <w:pStyle w:val="1024"/>
        <w:spacing w:line="4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委　托　人：（盖章）　　　　　　　咨　询　人：（盖章）</w:t>
      </w:r>
      <w:r>
        <w:rPr>
          <w:rFonts w:ascii="宋体" w:hAnsi="宋体" w:cs="宋体"/>
          <w:color w:val="000000"/>
          <w:sz w:val="24"/>
          <w:szCs w:val="24"/>
          <w:highlight w:val="none"/>
        </w:rPr>
      </w:r>
      <w:r/>
    </w:p>
    <w:p>
      <w:pPr>
        <w:pStyle w:val="1024"/>
        <w:spacing w:line="4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法定代表人或                      法定代表人或</w:t>
      </w:r>
      <w:r>
        <w:rPr>
          <w:rFonts w:ascii="宋体" w:hAnsi="宋体" w:cs="宋体"/>
          <w:color w:val="000000"/>
          <w:sz w:val="24"/>
          <w:szCs w:val="24"/>
          <w:highlight w:val="none"/>
        </w:rPr>
      </w:r>
      <w:r/>
    </w:p>
    <w:p>
      <w:pPr>
        <w:pStyle w:val="1024"/>
        <w:spacing w:line="4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委托代理人：（签字）　　　　　    委托代理人：（签字）</w:t>
      </w:r>
      <w:r>
        <w:rPr>
          <w:rFonts w:ascii="宋体" w:hAnsi="宋体" w:cs="宋体"/>
          <w:color w:val="000000"/>
          <w:sz w:val="24"/>
          <w:szCs w:val="24"/>
          <w:highlight w:val="none"/>
        </w:rPr>
      </w:r>
      <w:r/>
    </w:p>
    <w:p>
      <w:pPr>
        <w:pStyle w:val="1024"/>
        <w:ind w:left="4320" w:hanging="4320"/>
        <w:spacing w:line="4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住　　所：　　　　　　　　　　　　住所： </w:t>
      </w:r>
      <w:r>
        <w:rPr>
          <w:rFonts w:ascii="宋体" w:hAnsi="宋体" w:cs="宋体"/>
          <w:color w:val="000000"/>
          <w:sz w:val="24"/>
          <w:szCs w:val="24"/>
          <w:highlight w:val="none"/>
        </w:rPr>
      </w:r>
      <w:r/>
    </w:p>
    <w:p>
      <w:pPr>
        <w:pStyle w:val="1024"/>
        <w:ind w:left="5280" w:hanging="5280"/>
        <w:spacing w:line="4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开户银行：　　　　　             开户银行： </w:t>
      </w:r>
      <w:r>
        <w:rPr>
          <w:rFonts w:ascii="宋体" w:hAnsi="宋体" w:cs="宋体"/>
          <w:color w:val="000000"/>
          <w:sz w:val="24"/>
          <w:szCs w:val="24"/>
          <w:highlight w:val="none"/>
        </w:rPr>
      </w:r>
      <w:r/>
    </w:p>
    <w:p>
      <w:pPr>
        <w:pStyle w:val="1024"/>
        <w:spacing w:line="4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帐　　号：　　　　　　　　　　　 帐　　号：</w:t>
      </w:r>
      <w:r>
        <w:rPr>
          <w:rFonts w:ascii="宋体" w:hAnsi="宋体" w:cs="宋体"/>
          <w:color w:val="000000"/>
          <w:sz w:val="24"/>
          <w:szCs w:val="24"/>
          <w:highlight w:val="none"/>
        </w:rPr>
      </w:r>
      <w:r/>
    </w:p>
    <w:p>
      <w:pPr>
        <w:pStyle w:val="1024"/>
        <w:spacing w:line="4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电　　话：　　　　　　　　　　　 电　　话：</w:t>
      </w:r>
      <w:r>
        <w:rPr>
          <w:rFonts w:ascii="宋体" w:hAnsi="宋体" w:cs="宋体"/>
          <w:color w:val="000000"/>
          <w:sz w:val="24"/>
          <w:szCs w:val="24"/>
          <w:highlight w:val="none"/>
        </w:rPr>
      </w:r>
      <w:r/>
    </w:p>
    <w:p>
      <w:pPr>
        <w:pStyle w:val="1024"/>
        <w:spacing w:line="4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传　　真：　　　　　　　　　　　 传　　真：</w:t>
      </w:r>
      <w:r>
        <w:rPr>
          <w:rFonts w:ascii="宋体" w:hAnsi="宋体" w:cs="宋体"/>
          <w:color w:val="000000"/>
          <w:sz w:val="24"/>
          <w:szCs w:val="24"/>
          <w:highlight w:val="none"/>
        </w:rPr>
      </w:r>
      <w:r/>
    </w:p>
    <w:p>
      <w:pPr>
        <w:pStyle w:val="1024"/>
        <w:spacing w:line="4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电子邮箱：　　　　　　　　　　　 电子邮箱：</w:t>
      </w:r>
      <w:r>
        <w:rPr>
          <w:rFonts w:ascii="宋体" w:hAnsi="宋体" w:cs="宋体"/>
          <w:color w:val="000000"/>
          <w:sz w:val="24"/>
          <w:szCs w:val="24"/>
          <w:highlight w:val="none"/>
        </w:rPr>
      </w:r>
      <w:r/>
    </w:p>
    <w:p>
      <w:pPr>
        <w:pStyle w:val="1024"/>
        <w:spacing w:line="4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邮政编码：　　　　　　　　　　　 邮政编码：</w:t>
      </w:r>
      <w:r>
        <w:rPr>
          <w:rFonts w:ascii="宋体" w:hAnsi="宋体" w:cs="宋体"/>
          <w:color w:val="000000"/>
          <w:sz w:val="24"/>
          <w:szCs w:val="24"/>
          <w:highlight w:val="none"/>
        </w:rPr>
      </w:r>
      <w:r/>
    </w:p>
    <w:p>
      <w:pPr>
        <w:pStyle w:val="1024"/>
        <w:ind w:firstLine="480"/>
        <w:spacing w:line="460" w:lineRule="exact"/>
        <w:rPr>
          <w:rFonts w:ascii="宋体" w:hAnsi="宋体" w:cs="宋体"/>
          <w:color w:val="000000"/>
          <w:sz w:val="24"/>
          <w:szCs w:val="24"/>
          <w:highlight w:val="none"/>
        </w:rPr>
      </w:pPr>
      <w:r>
        <w:rPr>
          <w:rFonts w:ascii="宋体" w:hAnsi="宋体" w:cs="宋体"/>
          <w:color w:val="000000"/>
          <w:sz w:val="24"/>
          <w:szCs w:val="24"/>
          <w:highlight w:val="none"/>
        </w:rPr>
      </w:r>
      <w:r/>
    </w:p>
    <w:p>
      <w:pPr>
        <w:pStyle w:val="1024"/>
        <w:jc w:val="center"/>
        <w:spacing w:line="460" w:lineRule="exact"/>
        <w:widowControl/>
        <w:rPr>
          <w:rFonts w:ascii="宋体" w:hAnsi="宋体" w:cs="宋体"/>
          <w:b/>
          <w:color w:val="000000"/>
          <w:sz w:val="24"/>
          <w:szCs w:val="24"/>
          <w:highlight w:val="none"/>
        </w:rPr>
      </w:pPr>
      <w:r>
        <w:rPr>
          <w:rFonts w:hint="eastAsia" w:ascii="宋体" w:hAnsi="宋体" w:cs="宋体"/>
          <w:b/>
          <w:color w:val="000000"/>
          <w:sz w:val="24"/>
          <w:szCs w:val="24"/>
          <w:highlight w:val="none"/>
        </w:rPr>
        <w:br w:type="page" w:clear="all"/>
      </w:r>
      <w:r>
        <w:rPr>
          <w:rFonts w:hint="eastAsia" w:ascii="宋体" w:hAnsi="宋体" w:cs="宋体"/>
          <w:b/>
          <w:color w:val="000000"/>
          <w:sz w:val="24"/>
          <w:szCs w:val="24"/>
          <w:highlight w:val="none"/>
        </w:rPr>
        <w:t xml:space="preserve">第二部分　建设工程造价咨询合同通用条款</w:t>
      </w:r>
      <w:r>
        <w:rPr>
          <w:rFonts w:ascii="宋体" w:hAnsi="宋体" w:cs="宋体"/>
          <w:b/>
          <w:color w:val="000000"/>
          <w:sz w:val="24"/>
          <w:szCs w:val="24"/>
          <w:highlight w:val="none"/>
        </w:rPr>
      </w:r>
      <w:r/>
    </w:p>
    <w:p>
      <w:pPr>
        <w:pStyle w:val="1024"/>
        <w:ind w:firstLine="480"/>
        <w:jc w:val="center"/>
        <w:spacing w:line="460" w:lineRule="exact"/>
        <w:rPr>
          <w:rFonts w:ascii="宋体" w:hAnsi="宋体" w:cs="宋体"/>
          <w:vanish/>
          <w:color w:val="000000"/>
          <w:sz w:val="24"/>
          <w:szCs w:val="24"/>
          <w:highlight w:val="none"/>
        </w:rPr>
      </w:pPr>
      <w:r>
        <w:rPr>
          <w:rFonts w:ascii="宋体" w:hAnsi="宋体" w:cs="宋体"/>
          <w:vanish/>
          <w:color w:val="000000"/>
          <w:sz w:val="24"/>
          <w:szCs w:val="24"/>
          <w:highlight w:val="none"/>
        </w:rPr>
      </w:r>
      <w:r/>
    </w:p>
    <w:p>
      <w:pPr>
        <w:pStyle w:val="1024"/>
        <w:ind w:firstLine="480"/>
        <w:jc w:val="left"/>
        <w:spacing w:line="460" w:lineRule="exact"/>
        <w:rPr>
          <w:rFonts w:ascii="宋体" w:hAnsi="宋体" w:cs="宋体"/>
          <w:b/>
          <w:color w:val="000000"/>
          <w:sz w:val="24"/>
          <w:szCs w:val="24"/>
          <w:highlight w:val="none"/>
        </w:rPr>
      </w:pPr>
      <w:r>
        <w:rPr>
          <w:rFonts w:hint="eastAsia" w:ascii="宋体" w:hAnsi="宋体" w:cs="宋体"/>
          <w:color w:val="000000"/>
          <w:sz w:val="24"/>
          <w:szCs w:val="24"/>
          <w:highlight w:val="none"/>
        </w:rPr>
        <w:t xml:space="preserve">词语定义、适用语言和法律、法规</w:t>
      </w:r>
      <w:r>
        <w:rPr>
          <w:rFonts w:ascii="宋体" w:hAnsi="宋体" w:cs="宋体"/>
          <w:b/>
          <w:color w:val="000000"/>
          <w:sz w:val="24"/>
          <w:szCs w:val="24"/>
          <w:highlight w:val="none"/>
        </w:rPr>
      </w:r>
      <w:r/>
    </w:p>
    <w:p>
      <w:pPr>
        <w:pStyle w:val="1024"/>
        <w:ind w:firstLine="482"/>
        <w:spacing w:line="460" w:lineRule="exact"/>
        <w:rPr>
          <w:rFonts w:ascii="宋体" w:hAnsi="宋体" w:cs="宋体"/>
          <w:color w:val="000000"/>
          <w:sz w:val="24"/>
          <w:szCs w:val="24"/>
          <w:highlight w:val="none"/>
        </w:rPr>
      </w:pPr>
      <w:r>
        <w:rPr>
          <w:rFonts w:hint="eastAsia" w:ascii="宋体" w:hAnsi="宋体" w:cs="宋体"/>
          <w:b/>
          <w:color w:val="000000"/>
          <w:sz w:val="24"/>
          <w:szCs w:val="24"/>
          <w:highlight w:val="none"/>
        </w:rPr>
        <w:t xml:space="preserve">第一条</w:t>
      </w:r>
      <w:r>
        <w:rPr>
          <w:rFonts w:hint="eastAsia" w:ascii="宋体" w:hAnsi="宋体" w:cs="宋体"/>
          <w:color w:val="000000"/>
          <w:sz w:val="24"/>
          <w:szCs w:val="24"/>
          <w:highlight w:val="none"/>
        </w:rPr>
        <w:t xml:space="preserve">　下列名词和用语，除上下文另有规定外具有如下含义。</w:t>
      </w:r>
      <w:r>
        <w:rPr>
          <w:rFonts w:ascii="宋体" w:hAnsi="宋体" w:cs="宋体"/>
          <w:color w:val="000000"/>
          <w:sz w:val="24"/>
          <w:szCs w:val="24"/>
          <w:highlight w:val="none"/>
        </w:rPr>
      </w:r>
      <w:r/>
    </w:p>
    <w:p>
      <w:pPr>
        <w:pStyle w:val="1024"/>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1、“委托人”是指在建设工程造价咨询协议书上指明并与咨询人在该协议书上签字、盖章的当事人。</w:t>
      </w:r>
      <w:r>
        <w:rPr>
          <w:rFonts w:ascii="宋体" w:hAnsi="宋体" w:cs="宋体"/>
          <w:color w:val="000000"/>
          <w:sz w:val="24"/>
          <w:szCs w:val="24"/>
          <w:highlight w:val="none"/>
        </w:rPr>
      </w:r>
      <w:r/>
    </w:p>
    <w:p>
      <w:pPr>
        <w:pStyle w:val="1024"/>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2、“咨询人”是指具有《工程造价咨询企业资质证书》,在建设工程造价咨询协议书上指明并与委托人在该协议书上签字、盖章的当事人。</w:t>
      </w:r>
      <w:r>
        <w:rPr>
          <w:rFonts w:ascii="宋体" w:hAnsi="宋体" w:cs="宋体"/>
          <w:color w:val="000000"/>
          <w:sz w:val="24"/>
          <w:szCs w:val="24"/>
          <w:highlight w:val="none"/>
        </w:rPr>
      </w:r>
      <w:r/>
    </w:p>
    <w:p>
      <w:pPr>
        <w:pStyle w:val="1024"/>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3、“第三人”是指除委托人、咨询人以外与本咨询业务有关的当事人。</w:t>
      </w:r>
      <w:r>
        <w:rPr>
          <w:rFonts w:ascii="宋体" w:hAnsi="宋体" w:cs="宋体"/>
          <w:color w:val="000000"/>
          <w:sz w:val="24"/>
          <w:szCs w:val="24"/>
          <w:highlight w:val="none"/>
        </w:rPr>
      </w:r>
      <w:r/>
    </w:p>
    <w:p>
      <w:pPr>
        <w:pStyle w:val="1024"/>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4、“日”是指任何一个午夜至下一个午夜的时间段。</w:t>
      </w:r>
      <w:r>
        <w:rPr>
          <w:rFonts w:ascii="宋体" w:hAnsi="宋体" w:cs="宋体"/>
          <w:color w:val="000000"/>
          <w:sz w:val="24"/>
          <w:szCs w:val="24"/>
          <w:highlight w:val="none"/>
        </w:rPr>
      </w:r>
      <w:r/>
    </w:p>
    <w:p>
      <w:pPr>
        <w:pStyle w:val="1024"/>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5、“正常服务”是指双方在专用条款中约定的工程造价咨询工作；</w:t>
      </w:r>
      <w:r>
        <w:rPr>
          <w:rFonts w:ascii="宋体" w:hAnsi="宋体" w:cs="宋体"/>
          <w:color w:val="000000"/>
          <w:sz w:val="24"/>
          <w:szCs w:val="24"/>
          <w:highlight w:val="none"/>
        </w:rPr>
      </w:r>
      <w:r/>
    </w:p>
    <w:p>
      <w:pPr>
        <w:pStyle w:val="1024"/>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6、“附加服务”是指在“正常服务”以外，经双方书面协议确定的附加服务；</w:t>
      </w:r>
      <w:r>
        <w:rPr>
          <w:rFonts w:ascii="宋体" w:hAnsi="宋体" w:cs="宋体"/>
          <w:color w:val="000000"/>
          <w:sz w:val="24"/>
          <w:szCs w:val="24"/>
          <w:highlight w:val="none"/>
        </w:rPr>
      </w:r>
      <w:r/>
    </w:p>
    <w:p>
      <w:pPr>
        <w:pStyle w:val="1024"/>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7、“额外服务”是指不属于“正常服务”和“附加服务”，咨询人增加的额外工作量。</w:t>
      </w:r>
      <w:r>
        <w:rPr>
          <w:rFonts w:ascii="宋体" w:hAnsi="宋体" w:cs="宋体"/>
          <w:color w:val="000000"/>
          <w:sz w:val="24"/>
          <w:szCs w:val="24"/>
          <w:highlight w:val="none"/>
        </w:rPr>
      </w:r>
      <w:r/>
    </w:p>
    <w:p>
      <w:pPr>
        <w:pStyle w:val="1024"/>
        <w:ind w:firstLine="482"/>
        <w:spacing w:line="460" w:lineRule="exact"/>
        <w:rPr>
          <w:rFonts w:ascii="宋体" w:hAnsi="宋体" w:cs="宋体"/>
          <w:color w:val="000000"/>
          <w:sz w:val="24"/>
          <w:szCs w:val="24"/>
          <w:highlight w:val="none"/>
        </w:rPr>
      </w:pPr>
      <w:r>
        <w:rPr>
          <w:rFonts w:hint="eastAsia" w:ascii="宋体" w:hAnsi="宋体" w:cs="宋体"/>
          <w:b/>
          <w:color w:val="000000"/>
          <w:sz w:val="24"/>
          <w:szCs w:val="24"/>
          <w:highlight w:val="none"/>
        </w:rPr>
        <w:t xml:space="preserve">第二条</w:t>
      </w:r>
      <w:r>
        <w:rPr>
          <w:rFonts w:hint="eastAsia" w:ascii="宋体" w:hAnsi="宋体" w:cs="宋体"/>
          <w:color w:val="000000"/>
          <w:sz w:val="24"/>
          <w:szCs w:val="24"/>
          <w:highlight w:val="none"/>
        </w:rPr>
        <w:t xml:space="preserve">　建设工程造价咨询合同适用的法律、法规是中华人民共和国的法律、法规，以及专用条款中约定的部门规章、工程造价有关计价办法、规定，及项目所在地的地方法规、地方规章。</w:t>
      </w:r>
      <w:r>
        <w:rPr>
          <w:rFonts w:ascii="宋体" w:hAnsi="宋体" w:cs="宋体"/>
          <w:color w:val="000000"/>
          <w:sz w:val="24"/>
          <w:szCs w:val="24"/>
          <w:highlight w:val="none"/>
        </w:rPr>
      </w:r>
      <w:r/>
    </w:p>
    <w:p>
      <w:pPr>
        <w:pStyle w:val="1024"/>
        <w:ind w:firstLine="482"/>
        <w:spacing w:line="460" w:lineRule="exact"/>
        <w:rPr>
          <w:rFonts w:ascii="宋体" w:hAnsi="宋体" w:cs="宋体"/>
          <w:color w:val="000000"/>
          <w:sz w:val="24"/>
          <w:szCs w:val="24"/>
          <w:highlight w:val="none"/>
        </w:rPr>
      </w:pPr>
      <w:r>
        <w:rPr>
          <w:rFonts w:hint="eastAsia" w:ascii="宋体" w:hAnsi="宋体" w:cs="宋体"/>
          <w:b/>
          <w:color w:val="000000"/>
          <w:sz w:val="24"/>
          <w:szCs w:val="24"/>
          <w:highlight w:val="none"/>
        </w:rPr>
        <w:t xml:space="preserve">第三条</w:t>
      </w:r>
      <w:r>
        <w:rPr>
          <w:rFonts w:hint="eastAsia" w:ascii="宋体" w:hAnsi="宋体" w:cs="宋体"/>
          <w:color w:val="000000"/>
          <w:sz w:val="24"/>
          <w:szCs w:val="24"/>
          <w:highlight w:val="none"/>
        </w:rPr>
        <w:t xml:space="preserve">　建设工程造价咨询合同的书写、解释和说明，以汉语为主导语言。当不同语言文本发生不同解释时，以汉语合同文本为准。</w:t>
      </w:r>
      <w:r>
        <w:rPr>
          <w:rFonts w:ascii="宋体" w:hAnsi="宋体" w:cs="宋体"/>
          <w:color w:val="000000"/>
          <w:sz w:val="24"/>
          <w:szCs w:val="24"/>
          <w:highlight w:val="none"/>
        </w:rPr>
      </w:r>
      <w:r/>
    </w:p>
    <w:p>
      <w:pPr>
        <w:pStyle w:val="1024"/>
        <w:ind w:firstLine="480"/>
        <w:jc w:val="center"/>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咨询人的义务</w:t>
      </w:r>
      <w:r>
        <w:rPr>
          <w:rFonts w:ascii="宋体" w:hAnsi="宋体" w:cs="宋体"/>
          <w:color w:val="000000"/>
          <w:sz w:val="24"/>
          <w:szCs w:val="24"/>
          <w:highlight w:val="none"/>
        </w:rPr>
      </w:r>
      <w:r/>
    </w:p>
    <w:p>
      <w:pPr>
        <w:pStyle w:val="1024"/>
        <w:ind w:firstLine="482"/>
        <w:spacing w:line="460" w:lineRule="exact"/>
        <w:rPr>
          <w:rFonts w:ascii="宋体" w:hAnsi="宋体" w:cs="宋体"/>
          <w:color w:val="000000"/>
          <w:sz w:val="24"/>
          <w:szCs w:val="24"/>
          <w:highlight w:val="none"/>
        </w:rPr>
      </w:pPr>
      <w:r>
        <w:rPr>
          <w:rFonts w:hint="eastAsia" w:ascii="宋体" w:hAnsi="宋体" w:cs="宋体"/>
          <w:b/>
          <w:color w:val="000000"/>
          <w:sz w:val="24"/>
          <w:szCs w:val="24"/>
          <w:highlight w:val="none"/>
        </w:rPr>
        <w:t xml:space="preserve">第四条</w:t>
      </w:r>
      <w:r>
        <w:rPr>
          <w:rFonts w:hint="eastAsia" w:ascii="宋体" w:hAnsi="宋体" w:cs="宋体"/>
          <w:color w:val="000000"/>
          <w:sz w:val="24"/>
          <w:szCs w:val="24"/>
          <w:highlight w:val="none"/>
        </w:rPr>
        <w:t xml:space="preserve">　向委托人提供与工程造价咨询业务有关的资料，包括工程造价咨询企业资质证书及承担本合同咨询业务的专业人员名单、咨询工作计划等。</w:t>
      </w:r>
      <w:r>
        <w:rPr>
          <w:rFonts w:ascii="宋体" w:hAnsi="宋体" w:cs="宋体"/>
          <w:color w:val="000000"/>
          <w:sz w:val="24"/>
          <w:szCs w:val="24"/>
          <w:highlight w:val="none"/>
        </w:rPr>
      </w:r>
      <w:r/>
    </w:p>
    <w:p>
      <w:pPr>
        <w:pStyle w:val="1024"/>
        <w:ind w:firstLine="482"/>
        <w:spacing w:line="460" w:lineRule="exact"/>
        <w:rPr>
          <w:rFonts w:ascii="宋体" w:hAnsi="宋体" w:cs="宋体"/>
          <w:color w:val="000000"/>
          <w:sz w:val="24"/>
          <w:szCs w:val="24"/>
          <w:highlight w:val="none"/>
        </w:rPr>
      </w:pPr>
      <w:r>
        <w:rPr>
          <w:rFonts w:hint="eastAsia" w:ascii="宋体" w:hAnsi="宋体" w:cs="宋体"/>
          <w:b/>
          <w:color w:val="000000"/>
          <w:sz w:val="24"/>
          <w:szCs w:val="24"/>
          <w:highlight w:val="none"/>
        </w:rPr>
        <w:t xml:space="preserve">第五条</w:t>
      </w:r>
      <w:r>
        <w:rPr>
          <w:rFonts w:hint="eastAsia" w:ascii="宋体" w:hAnsi="宋体" w:cs="宋体"/>
          <w:color w:val="000000"/>
          <w:sz w:val="24"/>
          <w:szCs w:val="24"/>
          <w:highlight w:val="none"/>
        </w:rPr>
        <w:t xml:space="preserve">　咨询人按专用条款中约定的工作范围和内容，向委托人提供工程造价咨询专业服务，包括正常服务、附加服务和额外服务。并在合同约定的时间内，提供符合行业管理规定的咨询成果文件。</w:t>
      </w:r>
      <w:r>
        <w:rPr>
          <w:rFonts w:ascii="宋体" w:hAnsi="宋体" w:cs="宋体"/>
          <w:color w:val="000000"/>
          <w:sz w:val="24"/>
          <w:szCs w:val="24"/>
          <w:highlight w:val="none"/>
        </w:rPr>
      </w:r>
      <w:r/>
    </w:p>
    <w:p>
      <w:pPr>
        <w:pStyle w:val="1024"/>
        <w:ind w:firstLine="482"/>
        <w:spacing w:line="460" w:lineRule="exact"/>
        <w:rPr>
          <w:rFonts w:ascii="宋体" w:hAnsi="宋体" w:cs="宋体"/>
          <w:color w:val="000000"/>
          <w:sz w:val="24"/>
          <w:szCs w:val="24"/>
          <w:highlight w:val="none"/>
        </w:rPr>
      </w:pPr>
      <w:r>
        <w:rPr>
          <w:rFonts w:hint="eastAsia" w:ascii="宋体" w:hAnsi="宋体" w:cs="宋体"/>
          <w:b/>
          <w:color w:val="000000"/>
          <w:sz w:val="24"/>
          <w:szCs w:val="24"/>
          <w:highlight w:val="none"/>
        </w:rPr>
        <w:t xml:space="preserve">第六条</w:t>
      </w:r>
      <w:r>
        <w:rPr>
          <w:rFonts w:hint="eastAsia" w:ascii="宋体" w:hAnsi="宋体" w:cs="宋体"/>
          <w:color w:val="000000"/>
          <w:sz w:val="24"/>
          <w:szCs w:val="24"/>
          <w:highlight w:val="none"/>
        </w:rPr>
        <w:t xml:space="preserve">  咨询人从事工程造价咨询活动，应当遵循独立、客观、公正、诚实信用的原则，不得损害社会公共利益和他人的合法权益。除委托人书面同意外，咨询人及咨询专业人员不应接受建设工程造价咨询合同约定以外的与本工程造价咨询项目有关的任何报酬。咨询人不得参与可能影响合同规定的委托人利益的任何活动。</w:t>
      </w:r>
      <w:r>
        <w:rPr>
          <w:rFonts w:ascii="宋体" w:hAnsi="宋体" w:cs="宋体"/>
          <w:color w:val="000000"/>
          <w:sz w:val="24"/>
          <w:szCs w:val="24"/>
          <w:highlight w:val="none"/>
        </w:rPr>
      </w:r>
      <w:r/>
    </w:p>
    <w:p>
      <w:pPr>
        <w:pStyle w:val="1024"/>
        <w:ind w:firstLine="482"/>
        <w:spacing w:line="460" w:lineRule="exact"/>
        <w:rPr>
          <w:rFonts w:ascii="宋体" w:hAnsi="宋体" w:cs="宋体"/>
          <w:color w:val="000000"/>
          <w:sz w:val="24"/>
          <w:szCs w:val="24"/>
          <w:highlight w:val="none"/>
        </w:rPr>
      </w:pPr>
      <w:r>
        <w:rPr>
          <w:rFonts w:hint="eastAsia" w:ascii="宋体" w:hAnsi="宋体" w:cs="宋体"/>
          <w:b/>
          <w:color w:val="000000"/>
          <w:sz w:val="24"/>
          <w:szCs w:val="24"/>
          <w:highlight w:val="none"/>
        </w:rPr>
        <w:t xml:space="preserve">第七条</w:t>
      </w:r>
      <w:r>
        <w:rPr>
          <w:rFonts w:hint="eastAsia" w:ascii="宋体" w:hAnsi="宋体" w:cs="宋体"/>
          <w:color w:val="000000"/>
          <w:sz w:val="24"/>
          <w:szCs w:val="24"/>
          <w:highlight w:val="none"/>
        </w:rPr>
        <w:t xml:space="preserve">　咨询人不得泄露与本合同规定业务活动有关的保密资料。乙方应对在履行合同过程中知悉的甲方所有未公开信息（包括但不限于工程资料、预算数据、内部管理文件、会议内容等）承担保密义务。未经甲方书面同意，乙方不得向任何第三方披露。</w:t>
      </w:r>
      <w:r>
        <w:rPr>
          <w:rFonts w:ascii="宋体" w:hAnsi="宋体" w:cs="宋体"/>
          <w:color w:val="000000"/>
          <w:sz w:val="24"/>
          <w:szCs w:val="24"/>
          <w:highlight w:val="none"/>
        </w:rPr>
      </w:r>
      <w:r/>
    </w:p>
    <w:p>
      <w:pPr>
        <w:pStyle w:val="1024"/>
        <w:ind w:firstLine="480"/>
        <w:jc w:val="center"/>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委托人的义务</w:t>
      </w:r>
      <w:r>
        <w:rPr>
          <w:rFonts w:ascii="宋体" w:hAnsi="宋体" w:cs="宋体"/>
          <w:color w:val="000000"/>
          <w:sz w:val="24"/>
          <w:szCs w:val="24"/>
          <w:highlight w:val="none"/>
        </w:rPr>
      </w:r>
      <w:r/>
    </w:p>
    <w:p>
      <w:pPr>
        <w:pStyle w:val="1024"/>
        <w:ind w:firstLine="482"/>
        <w:spacing w:line="460" w:lineRule="exact"/>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第八条</w:t>
      </w:r>
      <w:r>
        <w:rPr>
          <w:rFonts w:hint="eastAsia" w:ascii="宋体" w:hAnsi="宋体" w:cs="宋体"/>
          <w:color w:val="000000"/>
          <w:sz w:val="24"/>
          <w:szCs w:val="24"/>
          <w:highlight w:val="none"/>
        </w:rPr>
        <w:t xml:space="preserve">　委托人应负责与本建设工程造价咨询业务有关的第三人的协调，为咨询人工作提供外部条件。委托人应当授权胜任本咨询业务的代表，负责与咨询人联系，解决在咨询业务中的委托方问题，并代表委托人签署相关文件。</w:t>
      </w:r>
      <w:r>
        <w:rPr>
          <w:rFonts w:ascii="宋体" w:hAnsi="宋体" w:cs="宋体"/>
          <w:b/>
          <w:color w:val="000000"/>
          <w:sz w:val="24"/>
          <w:szCs w:val="24"/>
          <w:highlight w:val="none"/>
        </w:rPr>
      </w:r>
      <w:r/>
    </w:p>
    <w:p>
      <w:pPr>
        <w:pStyle w:val="1024"/>
        <w:ind w:firstLine="482"/>
        <w:spacing w:line="460" w:lineRule="exact"/>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第九条</w:t>
      </w:r>
      <w:r>
        <w:rPr>
          <w:rFonts w:hint="eastAsia" w:ascii="宋体" w:hAnsi="宋体" w:cs="宋体"/>
          <w:color w:val="000000"/>
          <w:sz w:val="24"/>
          <w:szCs w:val="24"/>
          <w:highlight w:val="none"/>
        </w:rPr>
        <w:t xml:space="preserve">　委托人在约定的时间内，免费向咨询人提供与本项目咨询业务有关的资料。并对资料的真实性、完整性负责。</w:t>
      </w:r>
      <w:r>
        <w:rPr>
          <w:rFonts w:ascii="宋体" w:hAnsi="宋体" w:cs="宋体"/>
          <w:b/>
          <w:color w:val="000000"/>
          <w:sz w:val="24"/>
          <w:szCs w:val="24"/>
          <w:highlight w:val="none"/>
        </w:rPr>
      </w:r>
      <w:r/>
    </w:p>
    <w:p>
      <w:pPr>
        <w:pStyle w:val="1024"/>
        <w:ind w:firstLine="482"/>
        <w:spacing w:line="460" w:lineRule="exact"/>
        <w:rPr>
          <w:rFonts w:ascii="宋体" w:hAnsi="宋体" w:cs="宋体"/>
          <w:color w:val="000000"/>
          <w:sz w:val="24"/>
          <w:szCs w:val="24"/>
          <w:highlight w:val="none"/>
        </w:rPr>
      </w:pPr>
      <w:r>
        <w:rPr>
          <w:rFonts w:hint="eastAsia" w:ascii="宋体" w:hAnsi="宋体" w:cs="宋体"/>
          <w:b/>
          <w:color w:val="000000"/>
          <w:sz w:val="24"/>
          <w:szCs w:val="24"/>
          <w:highlight w:val="none"/>
        </w:rPr>
        <w:t xml:space="preserve">第十条</w:t>
      </w:r>
      <w:r>
        <w:rPr>
          <w:rFonts w:hint="eastAsia" w:ascii="宋体" w:hAnsi="宋体" w:cs="宋体"/>
          <w:color w:val="000000"/>
          <w:sz w:val="24"/>
          <w:szCs w:val="24"/>
          <w:highlight w:val="none"/>
        </w:rPr>
        <w:t xml:space="preserve"> 委托人在约定的时间内就咨询人书面提交并要求做出答复的事宜做出书面答复。　　</w:t>
      </w:r>
      <w:r>
        <w:rPr>
          <w:rFonts w:ascii="宋体" w:hAnsi="宋体" w:cs="宋体"/>
          <w:color w:val="000000"/>
          <w:sz w:val="24"/>
          <w:szCs w:val="24"/>
          <w:highlight w:val="none"/>
        </w:rPr>
      </w:r>
      <w:r/>
    </w:p>
    <w:p>
      <w:pPr>
        <w:pStyle w:val="1024"/>
        <w:ind w:firstLine="482"/>
        <w:spacing w:line="460" w:lineRule="exact"/>
        <w:rPr>
          <w:rFonts w:ascii="宋体" w:hAnsi="宋体" w:cs="宋体"/>
          <w:color w:val="000000"/>
          <w:sz w:val="24"/>
          <w:szCs w:val="24"/>
          <w:highlight w:val="none"/>
        </w:rPr>
      </w:pPr>
      <w:r>
        <w:rPr>
          <w:rFonts w:hint="eastAsia" w:ascii="宋体" w:hAnsi="宋体" w:cs="宋体"/>
          <w:b/>
          <w:color w:val="000000"/>
          <w:sz w:val="24"/>
          <w:szCs w:val="24"/>
          <w:highlight w:val="none"/>
        </w:rPr>
        <w:t xml:space="preserve">第十一条</w:t>
      </w:r>
      <w:r>
        <w:rPr>
          <w:rFonts w:hint="eastAsia" w:ascii="宋体" w:hAnsi="宋体" w:cs="宋体"/>
          <w:color w:val="000000"/>
          <w:sz w:val="24"/>
          <w:szCs w:val="24"/>
          <w:highlight w:val="none"/>
        </w:rPr>
        <w:t xml:space="preserve">　委托人应当按合同条款规定及时支付咨询费用。</w:t>
      </w:r>
      <w:r>
        <w:rPr>
          <w:rFonts w:ascii="宋体" w:hAnsi="宋体" w:cs="宋体"/>
          <w:color w:val="000000"/>
          <w:sz w:val="24"/>
          <w:szCs w:val="24"/>
          <w:highlight w:val="none"/>
        </w:rPr>
      </w:r>
      <w:r/>
    </w:p>
    <w:p>
      <w:pPr>
        <w:pStyle w:val="1024"/>
        <w:ind w:firstLine="480"/>
        <w:jc w:val="center"/>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咨询人的权利</w:t>
      </w:r>
      <w:r>
        <w:rPr>
          <w:rFonts w:ascii="宋体" w:hAnsi="宋体" w:cs="宋体"/>
          <w:color w:val="000000"/>
          <w:sz w:val="24"/>
          <w:szCs w:val="24"/>
          <w:highlight w:val="none"/>
        </w:rPr>
      </w:r>
      <w:r/>
    </w:p>
    <w:p>
      <w:pPr>
        <w:pStyle w:val="1024"/>
        <w:ind w:firstLine="482"/>
        <w:spacing w:line="460" w:lineRule="exact"/>
        <w:rPr>
          <w:rFonts w:ascii="宋体" w:hAnsi="宋体" w:cs="宋体"/>
          <w:color w:val="000000"/>
          <w:sz w:val="24"/>
          <w:szCs w:val="24"/>
          <w:highlight w:val="none"/>
        </w:rPr>
      </w:pPr>
      <w:r>
        <w:rPr>
          <w:rFonts w:hint="eastAsia" w:ascii="宋体" w:hAnsi="宋体" w:cs="宋体"/>
          <w:b/>
          <w:color w:val="000000"/>
          <w:sz w:val="24"/>
          <w:szCs w:val="24"/>
          <w:highlight w:val="none"/>
        </w:rPr>
        <w:t xml:space="preserve">第十二条</w:t>
      </w:r>
      <w:r>
        <w:rPr>
          <w:rFonts w:hint="eastAsia" w:ascii="宋体" w:hAnsi="宋体" w:cs="宋体"/>
          <w:color w:val="000000"/>
          <w:sz w:val="24"/>
          <w:szCs w:val="24"/>
          <w:highlight w:val="none"/>
        </w:rPr>
        <w:t xml:space="preserve">　咨询人在咨询过程中，如委托人提供的资料不明确时可向委托人提出书面报告。</w:t>
      </w:r>
      <w:r>
        <w:rPr>
          <w:rFonts w:ascii="宋体" w:hAnsi="宋体" w:cs="宋体"/>
          <w:color w:val="000000"/>
          <w:sz w:val="24"/>
          <w:szCs w:val="24"/>
          <w:highlight w:val="none"/>
        </w:rPr>
      </w:r>
      <w:r/>
    </w:p>
    <w:p>
      <w:pPr>
        <w:pStyle w:val="1024"/>
        <w:ind w:firstLine="482"/>
        <w:spacing w:line="460" w:lineRule="exact"/>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第十三条</w:t>
      </w:r>
      <w:r>
        <w:rPr>
          <w:rFonts w:hint="eastAsia" w:ascii="宋体" w:hAnsi="宋体" w:cs="宋体"/>
          <w:color w:val="000000"/>
          <w:sz w:val="24"/>
          <w:szCs w:val="24"/>
          <w:highlight w:val="none"/>
        </w:rPr>
        <w:t xml:space="preserve">  咨询人在咨询过程中，有权对与本咨询业务有关的问题进行核对或查问，以及到工程现场勘察。</w:t>
      </w:r>
      <w:r>
        <w:rPr>
          <w:rFonts w:ascii="宋体" w:hAnsi="宋体" w:cs="宋体"/>
          <w:b/>
          <w:color w:val="000000"/>
          <w:sz w:val="24"/>
          <w:szCs w:val="24"/>
          <w:highlight w:val="none"/>
        </w:rPr>
      </w:r>
      <w:r/>
    </w:p>
    <w:p>
      <w:pPr>
        <w:pStyle w:val="1024"/>
        <w:ind w:firstLine="482"/>
        <w:spacing w:line="460" w:lineRule="exact"/>
        <w:rPr>
          <w:rFonts w:ascii="宋体" w:hAnsi="宋体" w:cs="宋体"/>
          <w:color w:val="000000"/>
          <w:sz w:val="24"/>
          <w:szCs w:val="24"/>
          <w:highlight w:val="none"/>
        </w:rPr>
      </w:pPr>
      <w:r>
        <w:rPr>
          <w:rFonts w:hint="eastAsia" w:ascii="宋体" w:hAnsi="宋体" w:cs="宋体"/>
          <w:b/>
          <w:color w:val="000000"/>
          <w:sz w:val="24"/>
          <w:szCs w:val="24"/>
          <w:highlight w:val="none"/>
        </w:rPr>
        <w:t xml:space="preserve">第十四条</w:t>
      </w:r>
      <w:r>
        <w:rPr>
          <w:rFonts w:hint="eastAsia" w:ascii="宋体" w:hAnsi="宋体" w:cs="宋体"/>
          <w:color w:val="000000"/>
          <w:sz w:val="24"/>
          <w:szCs w:val="24"/>
          <w:highlight w:val="none"/>
        </w:rPr>
        <w:t xml:space="preserve">  咨询人在咨询过程中，由于委托人原因造成咨询人无法继续履行合同时，咨询人有权解除合同并要求委托人承担相应赔偿。</w:t>
      </w:r>
      <w:r>
        <w:rPr>
          <w:rFonts w:ascii="宋体" w:hAnsi="宋体" w:cs="宋体"/>
          <w:color w:val="000000"/>
          <w:sz w:val="24"/>
          <w:szCs w:val="24"/>
          <w:highlight w:val="none"/>
        </w:rPr>
      </w:r>
      <w:r/>
    </w:p>
    <w:p>
      <w:pPr>
        <w:pStyle w:val="1024"/>
        <w:ind w:firstLine="482"/>
        <w:spacing w:line="460" w:lineRule="exact"/>
        <w:rPr>
          <w:rFonts w:ascii="宋体" w:hAnsi="宋体" w:cs="宋体"/>
          <w:color w:val="000000"/>
          <w:sz w:val="24"/>
          <w:szCs w:val="24"/>
          <w:highlight w:val="none"/>
        </w:rPr>
      </w:pPr>
      <w:r>
        <w:rPr>
          <w:rFonts w:hint="eastAsia" w:ascii="宋体" w:hAnsi="宋体" w:cs="宋体"/>
          <w:b/>
          <w:color w:val="000000"/>
          <w:sz w:val="24"/>
          <w:szCs w:val="24"/>
          <w:highlight w:val="none"/>
        </w:rPr>
        <w:t xml:space="preserve">第十五条</w:t>
      </w:r>
      <w:r>
        <w:rPr>
          <w:rFonts w:hint="eastAsia" w:ascii="宋体" w:hAnsi="宋体" w:cs="宋体"/>
          <w:color w:val="000000"/>
          <w:sz w:val="24"/>
          <w:szCs w:val="24"/>
          <w:highlight w:val="none"/>
        </w:rPr>
        <w:t xml:space="preserve">  咨询人在咨询过程中，有独立执行工程造价咨询业务工作的权利。</w:t>
      </w:r>
      <w:r>
        <w:rPr>
          <w:rFonts w:ascii="宋体" w:hAnsi="宋体" w:cs="宋体"/>
          <w:color w:val="000000"/>
          <w:sz w:val="24"/>
          <w:szCs w:val="24"/>
          <w:highlight w:val="none"/>
        </w:rPr>
      </w:r>
      <w:r/>
    </w:p>
    <w:p>
      <w:pPr>
        <w:pStyle w:val="1024"/>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咨询人有权拒绝委托人提出的有失公平、公正及违反法律法规的要求，由此原因造成的咨询合同终止咨询人免责。对于造成咨询人损失的，由委托人给予赔偿。</w:t>
      </w:r>
      <w:r>
        <w:rPr>
          <w:rFonts w:ascii="宋体" w:hAnsi="宋体" w:cs="宋体"/>
          <w:color w:val="000000"/>
          <w:sz w:val="24"/>
          <w:szCs w:val="24"/>
          <w:highlight w:val="none"/>
        </w:rPr>
      </w:r>
      <w:r/>
    </w:p>
    <w:p>
      <w:pPr>
        <w:pStyle w:val="1024"/>
        <w:ind w:firstLine="480"/>
        <w:jc w:val="center"/>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委托人的权利</w:t>
      </w:r>
      <w:r>
        <w:rPr>
          <w:rFonts w:ascii="宋体" w:hAnsi="宋体" w:cs="宋体"/>
          <w:color w:val="000000"/>
          <w:sz w:val="24"/>
          <w:szCs w:val="24"/>
          <w:highlight w:val="none"/>
        </w:rPr>
      </w:r>
      <w:r/>
    </w:p>
    <w:p>
      <w:pPr>
        <w:pStyle w:val="1024"/>
        <w:ind w:firstLine="482"/>
        <w:spacing w:line="460" w:lineRule="exact"/>
        <w:rPr>
          <w:rFonts w:ascii="宋体" w:hAnsi="宋体" w:cs="宋体"/>
          <w:color w:val="000000"/>
          <w:sz w:val="24"/>
          <w:szCs w:val="24"/>
          <w:highlight w:val="none"/>
        </w:rPr>
      </w:pPr>
      <w:r>
        <w:rPr>
          <w:rFonts w:hint="eastAsia" w:ascii="宋体" w:hAnsi="宋体" w:cs="宋体"/>
          <w:b/>
          <w:color w:val="000000"/>
          <w:sz w:val="24"/>
          <w:szCs w:val="24"/>
          <w:highlight w:val="none"/>
        </w:rPr>
        <w:t xml:space="preserve">第十六条</w:t>
      </w:r>
      <w:r>
        <w:rPr>
          <w:rFonts w:hint="eastAsia" w:ascii="宋体" w:hAnsi="宋体" w:cs="宋体"/>
          <w:color w:val="000000"/>
          <w:sz w:val="24"/>
          <w:szCs w:val="24"/>
          <w:highlight w:val="none"/>
        </w:rPr>
        <w:t xml:space="preserve">　委托人有权向咨询人询问工作进展情况及相关的内容。</w:t>
      </w:r>
      <w:r>
        <w:rPr>
          <w:rFonts w:ascii="宋体" w:hAnsi="宋体" w:cs="宋体"/>
          <w:color w:val="000000"/>
          <w:sz w:val="24"/>
          <w:szCs w:val="24"/>
          <w:highlight w:val="none"/>
        </w:rPr>
      </w:r>
      <w:r/>
    </w:p>
    <w:p>
      <w:pPr>
        <w:pStyle w:val="1024"/>
        <w:ind w:firstLine="482"/>
        <w:spacing w:line="460" w:lineRule="exact"/>
        <w:rPr>
          <w:rFonts w:ascii="宋体" w:hAnsi="宋体" w:cs="宋体"/>
          <w:color w:val="000000"/>
          <w:sz w:val="24"/>
          <w:szCs w:val="24"/>
          <w:highlight w:val="none"/>
        </w:rPr>
      </w:pPr>
      <w:r>
        <w:rPr>
          <w:rFonts w:hint="eastAsia" w:ascii="宋体" w:hAnsi="宋体" w:cs="宋体"/>
          <w:b/>
          <w:color w:val="000000"/>
          <w:sz w:val="24"/>
          <w:szCs w:val="24"/>
          <w:highlight w:val="none"/>
        </w:rPr>
        <w:t xml:space="preserve">第十七条</w:t>
      </w:r>
      <w:r>
        <w:rPr>
          <w:rFonts w:hint="eastAsia" w:ascii="宋体" w:hAnsi="宋体" w:cs="宋体"/>
          <w:color w:val="000000"/>
          <w:sz w:val="24"/>
          <w:szCs w:val="24"/>
          <w:highlight w:val="none"/>
        </w:rPr>
        <w:t xml:space="preserve">  委托人有权阐述对具体问题的意见和建议。</w:t>
      </w:r>
      <w:r>
        <w:rPr>
          <w:rFonts w:ascii="宋体" w:hAnsi="宋体" w:cs="宋体"/>
          <w:color w:val="000000"/>
          <w:sz w:val="24"/>
          <w:szCs w:val="24"/>
          <w:highlight w:val="none"/>
        </w:rPr>
      </w:r>
      <w:r/>
    </w:p>
    <w:p>
      <w:pPr>
        <w:pStyle w:val="1024"/>
        <w:ind w:firstLine="482"/>
        <w:spacing w:line="460" w:lineRule="exact"/>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第十八条</w:t>
      </w:r>
      <w:r>
        <w:rPr>
          <w:rFonts w:hint="eastAsia" w:ascii="宋体" w:hAnsi="宋体" w:cs="宋体"/>
          <w:color w:val="000000"/>
          <w:sz w:val="24"/>
          <w:szCs w:val="24"/>
          <w:highlight w:val="none"/>
        </w:rPr>
        <w:t xml:space="preserve">  当委托人认定咨询专业人员不按咨询合同履行其职责，或与第三人串通给委托人造成经济损失的，委托人有权要求更换咨询专业人员，直至终止合同并要求咨询人承担相应的赔偿责任。</w:t>
      </w:r>
      <w:r>
        <w:rPr>
          <w:rFonts w:ascii="宋体" w:hAnsi="宋体" w:cs="宋体"/>
          <w:b/>
          <w:color w:val="000000"/>
          <w:sz w:val="24"/>
          <w:szCs w:val="24"/>
          <w:highlight w:val="none"/>
        </w:rPr>
      </w:r>
      <w:r/>
    </w:p>
    <w:p>
      <w:pPr>
        <w:pStyle w:val="1024"/>
        <w:ind w:firstLine="482"/>
        <w:spacing w:line="460" w:lineRule="exact"/>
        <w:rPr>
          <w:rFonts w:ascii="宋体" w:hAnsi="宋体" w:cs="宋体"/>
          <w:color w:val="000000"/>
          <w:sz w:val="24"/>
          <w:szCs w:val="24"/>
          <w:highlight w:val="none"/>
        </w:rPr>
      </w:pPr>
      <w:r>
        <w:rPr>
          <w:rFonts w:hint="eastAsia" w:ascii="宋体" w:hAnsi="宋体" w:cs="宋体"/>
          <w:b/>
          <w:color w:val="000000"/>
          <w:sz w:val="24"/>
          <w:szCs w:val="24"/>
          <w:highlight w:val="none"/>
        </w:rPr>
        <w:t xml:space="preserve">第十九条</w:t>
      </w:r>
      <w:r>
        <w:rPr>
          <w:rFonts w:hint="eastAsia" w:ascii="宋体" w:hAnsi="宋体" w:cs="宋体"/>
          <w:color w:val="000000"/>
          <w:sz w:val="24"/>
          <w:szCs w:val="24"/>
          <w:highlight w:val="none"/>
        </w:rPr>
        <w:t xml:space="preserve">  当委托人认定咨询人执行的专业咨询业务不符合相关规范时，有向行业主管部门申诉的权利。</w:t>
      </w:r>
      <w:r>
        <w:rPr>
          <w:rFonts w:ascii="宋体" w:hAnsi="宋体" w:cs="宋体"/>
          <w:color w:val="000000"/>
          <w:sz w:val="24"/>
          <w:szCs w:val="24"/>
          <w:highlight w:val="none"/>
        </w:rPr>
      </w:r>
      <w:r/>
    </w:p>
    <w:p>
      <w:pPr>
        <w:pStyle w:val="1024"/>
        <w:ind w:firstLine="480"/>
        <w:jc w:val="center"/>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咨询人的责任</w:t>
      </w:r>
      <w:r>
        <w:rPr>
          <w:rFonts w:ascii="宋体" w:hAnsi="宋体" w:cs="宋体"/>
          <w:color w:val="000000"/>
          <w:sz w:val="24"/>
          <w:szCs w:val="24"/>
          <w:highlight w:val="none"/>
        </w:rPr>
      </w:r>
      <w:r/>
    </w:p>
    <w:p>
      <w:pPr>
        <w:pStyle w:val="1024"/>
        <w:ind w:firstLine="482"/>
        <w:spacing w:line="460" w:lineRule="exact"/>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第二十条</w:t>
      </w:r>
      <w:r>
        <w:rPr>
          <w:rFonts w:hint="eastAsia" w:ascii="宋体" w:hAnsi="宋体" w:cs="宋体"/>
          <w:color w:val="000000"/>
          <w:sz w:val="24"/>
          <w:szCs w:val="24"/>
          <w:highlight w:val="none"/>
        </w:rPr>
        <w:t xml:space="preserve">　咨询人的责任期即建设工程造价咨询合同有效期。咨询人责任期内，应当履行建设工程造价咨询合同中约定的义务。因咨询人的单方过失造成的经济损失，应当向委托人进行赔偿。累计赔偿总额不应超过建设工程造价咨询酬金总额（除去税金）。</w:t>
      </w:r>
      <w:r>
        <w:rPr>
          <w:rFonts w:ascii="宋体" w:hAnsi="宋体" w:cs="宋体"/>
          <w:b/>
          <w:color w:val="000000"/>
          <w:sz w:val="24"/>
          <w:szCs w:val="24"/>
          <w:highlight w:val="none"/>
        </w:rPr>
      </w:r>
      <w:r/>
    </w:p>
    <w:p>
      <w:pPr>
        <w:pStyle w:val="1024"/>
        <w:ind w:firstLine="482"/>
        <w:spacing w:line="460" w:lineRule="exact"/>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第二十一条</w:t>
      </w:r>
      <w:r>
        <w:rPr>
          <w:rFonts w:hint="eastAsia" w:ascii="宋体" w:hAnsi="宋体" w:cs="宋体"/>
          <w:color w:val="000000"/>
          <w:sz w:val="24"/>
          <w:szCs w:val="24"/>
          <w:highlight w:val="none"/>
        </w:rPr>
        <w:t xml:space="preserve">　咨询人对委托人或第三人所提出的咨询业务范围内的问题不能及时核对或答复，导致合同不能全部或部分履行，咨询人应承担相应的责任。</w:t>
      </w:r>
      <w:r>
        <w:rPr>
          <w:rFonts w:ascii="宋体" w:hAnsi="宋体" w:cs="宋体"/>
          <w:b/>
          <w:color w:val="000000"/>
          <w:sz w:val="24"/>
          <w:szCs w:val="24"/>
          <w:highlight w:val="none"/>
        </w:rPr>
      </w:r>
      <w:r/>
    </w:p>
    <w:p>
      <w:pPr>
        <w:pStyle w:val="1024"/>
        <w:ind w:firstLine="482"/>
        <w:spacing w:line="460" w:lineRule="exact"/>
        <w:rPr>
          <w:rFonts w:ascii="宋体" w:hAnsi="宋体" w:cs="宋体"/>
          <w:color w:val="000000"/>
          <w:sz w:val="24"/>
          <w:szCs w:val="24"/>
          <w:highlight w:val="none"/>
        </w:rPr>
      </w:pPr>
      <w:r>
        <w:rPr>
          <w:rFonts w:hint="eastAsia" w:ascii="宋体" w:hAnsi="宋体" w:cs="宋体"/>
          <w:b/>
          <w:color w:val="000000"/>
          <w:sz w:val="24"/>
          <w:szCs w:val="24"/>
          <w:highlight w:val="none"/>
        </w:rPr>
        <w:t xml:space="preserve">第二十二条</w:t>
      </w:r>
      <w:r>
        <w:rPr>
          <w:rFonts w:hint="eastAsia" w:ascii="宋体" w:hAnsi="宋体" w:cs="宋体"/>
          <w:color w:val="000000"/>
          <w:sz w:val="24"/>
          <w:szCs w:val="24"/>
          <w:highlight w:val="none"/>
        </w:rPr>
        <w:t xml:space="preserve">　咨询人向委托人提出赔偿要求不能成立时，则应补偿由于该赔偿或其他要求所导致委托人的各种费用的支出。</w:t>
      </w:r>
      <w:r>
        <w:rPr>
          <w:rFonts w:ascii="宋体" w:hAnsi="宋体" w:cs="宋体"/>
          <w:color w:val="000000"/>
          <w:sz w:val="24"/>
          <w:szCs w:val="24"/>
          <w:highlight w:val="none"/>
        </w:rPr>
      </w:r>
      <w:r/>
    </w:p>
    <w:p>
      <w:pPr>
        <w:pStyle w:val="1024"/>
        <w:ind w:firstLine="480"/>
        <w:jc w:val="center"/>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委托人的责任</w:t>
      </w:r>
      <w:r>
        <w:rPr>
          <w:rFonts w:ascii="宋体" w:hAnsi="宋体" w:cs="宋体"/>
          <w:color w:val="000000"/>
          <w:sz w:val="24"/>
          <w:szCs w:val="24"/>
          <w:highlight w:val="none"/>
        </w:rPr>
      </w:r>
      <w:r/>
    </w:p>
    <w:p>
      <w:pPr>
        <w:pStyle w:val="1024"/>
        <w:ind w:firstLine="482"/>
        <w:spacing w:line="460" w:lineRule="exact"/>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第二十三条</w:t>
      </w:r>
      <w:r>
        <w:rPr>
          <w:rFonts w:hint="eastAsia" w:ascii="宋体" w:hAnsi="宋体" w:cs="宋体"/>
          <w:color w:val="000000"/>
          <w:sz w:val="24"/>
          <w:szCs w:val="24"/>
          <w:highlight w:val="none"/>
        </w:rPr>
        <w:t xml:space="preserve">　委托人应当履行建设工程造价咨询合同约定的义务，如有违反则应当承担违约责任，赔偿给咨询人造成的损失。</w:t>
      </w:r>
      <w:r>
        <w:rPr>
          <w:rFonts w:ascii="宋体" w:hAnsi="宋体" w:cs="宋体"/>
          <w:b/>
          <w:color w:val="000000"/>
          <w:sz w:val="24"/>
          <w:szCs w:val="24"/>
          <w:highlight w:val="none"/>
        </w:rPr>
      </w:r>
      <w:r/>
    </w:p>
    <w:p>
      <w:pPr>
        <w:pStyle w:val="1024"/>
        <w:ind w:firstLine="482"/>
        <w:spacing w:line="460" w:lineRule="exact"/>
        <w:rPr>
          <w:rFonts w:ascii="宋体" w:hAnsi="宋体" w:cs="宋体"/>
          <w:color w:val="000000"/>
          <w:sz w:val="24"/>
          <w:szCs w:val="24"/>
          <w:highlight w:val="none"/>
        </w:rPr>
      </w:pPr>
      <w:r>
        <w:rPr>
          <w:rFonts w:hint="eastAsia" w:ascii="宋体" w:hAnsi="宋体" w:cs="宋体"/>
          <w:b/>
          <w:color w:val="000000"/>
          <w:sz w:val="24"/>
          <w:szCs w:val="24"/>
          <w:highlight w:val="none"/>
        </w:rPr>
        <w:t xml:space="preserve">第二十四条</w:t>
      </w:r>
      <w:r>
        <w:rPr>
          <w:rFonts w:hint="eastAsia" w:ascii="宋体" w:hAnsi="宋体" w:cs="宋体"/>
          <w:color w:val="000000"/>
          <w:sz w:val="24"/>
          <w:szCs w:val="24"/>
          <w:highlight w:val="none"/>
        </w:rPr>
        <w:t xml:space="preserve">　委托人如果向咨询人提出赔偿或其他要求不能成立时，则应补偿由于该赔偿或其他要求所导致咨询人的各种费用的支出。</w:t>
      </w:r>
      <w:r>
        <w:rPr>
          <w:rFonts w:ascii="宋体" w:hAnsi="宋体" w:cs="宋体"/>
          <w:color w:val="000000"/>
          <w:sz w:val="24"/>
          <w:szCs w:val="24"/>
          <w:highlight w:val="none"/>
        </w:rPr>
      </w:r>
      <w:r/>
    </w:p>
    <w:p>
      <w:pPr>
        <w:pStyle w:val="1024"/>
        <w:ind w:firstLine="480"/>
        <w:jc w:val="center"/>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合同生效、变更与终止</w:t>
      </w:r>
      <w:r>
        <w:rPr>
          <w:rFonts w:ascii="宋体" w:hAnsi="宋体" w:cs="宋体"/>
          <w:color w:val="000000"/>
          <w:sz w:val="24"/>
          <w:szCs w:val="24"/>
          <w:highlight w:val="none"/>
        </w:rPr>
      </w:r>
      <w:r/>
    </w:p>
    <w:p>
      <w:pPr>
        <w:pStyle w:val="1024"/>
        <w:ind w:firstLine="482"/>
        <w:spacing w:line="460" w:lineRule="exact"/>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第二十五条</w:t>
      </w:r>
      <w:r>
        <w:rPr>
          <w:rFonts w:hint="eastAsia" w:ascii="宋体" w:hAnsi="宋体" w:cs="宋体"/>
          <w:color w:val="000000"/>
          <w:sz w:val="24"/>
          <w:szCs w:val="24"/>
          <w:highlight w:val="none"/>
        </w:rPr>
        <w:t xml:space="preserve">　本合同自双方签字盖章之日起生效。</w:t>
      </w:r>
      <w:r>
        <w:rPr>
          <w:rFonts w:ascii="宋体" w:hAnsi="宋体" w:cs="宋体"/>
          <w:b/>
          <w:color w:val="000000"/>
          <w:sz w:val="24"/>
          <w:szCs w:val="24"/>
          <w:highlight w:val="none"/>
        </w:rPr>
      </w:r>
      <w:r/>
    </w:p>
    <w:p>
      <w:pPr>
        <w:pStyle w:val="1024"/>
        <w:ind w:firstLine="482"/>
        <w:spacing w:line="460" w:lineRule="exact"/>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第二十六条</w:t>
      </w:r>
      <w:r>
        <w:rPr>
          <w:rFonts w:hint="eastAsia" w:ascii="宋体" w:hAnsi="宋体" w:cs="宋体"/>
          <w:color w:val="000000"/>
          <w:sz w:val="24"/>
          <w:szCs w:val="24"/>
          <w:highlight w:val="none"/>
        </w:rPr>
        <w:t xml:space="preserve">　由于委托人或第三人的原因使咨询人工作受到阻碍、延误或重复以致增加了工作量或延长了约定的咨询时间，则咨询人应当将此情况与可能产生的影响及时书面通知委托人。由此增加的工作量视为额外服务，完成建设工程造价咨询工作的时间应当相应延长，并得到额外的酬金。</w:t>
      </w:r>
      <w:r>
        <w:rPr>
          <w:rFonts w:ascii="宋体" w:hAnsi="宋体" w:cs="宋体"/>
          <w:b/>
          <w:color w:val="000000"/>
          <w:sz w:val="24"/>
          <w:szCs w:val="24"/>
          <w:highlight w:val="none"/>
        </w:rPr>
      </w:r>
      <w:r/>
    </w:p>
    <w:p>
      <w:pPr>
        <w:pStyle w:val="1024"/>
        <w:ind w:firstLine="482"/>
        <w:spacing w:line="460" w:lineRule="exact"/>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第二十七条</w:t>
      </w:r>
      <w:r>
        <w:rPr>
          <w:rFonts w:hint="eastAsia" w:ascii="宋体" w:hAnsi="宋体" w:cs="宋体"/>
          <w:color w:val="000000"/>
          <w:sz w:val="24"/>
          <w:szCs w:val="24"/>
          <w:highlight w:val="none"/>
        </w:rPr>
        <w:t xml:space="preserve">　当事人一方要求变更或解除合同时，则应当在7个工作日前通知对方；因变更或解除合同使一方遭受损失的，应由责任方负责赔偿。</w:t>
      </w:r>
      <w:r>
        <w:rPr>
          <w:rFonts w:ascii="宋体" w:hAnsi="宋体" w:cs="宋体"/>
          <w:b/>
          <w:color w:val="000000"/>
          <w:sz w:val="24"/>
          <w:szCs w:val="24"/>
          <w:highlight w:val="none"/>
        </w:rPr>
      </w:r>
      <w:r/>
    </w:p>
    <w:p>
      <w:pPr>
        <w:pStyle w:val="1024"/>
        <w:ind w:firstLine="482"/>
        <w:spacing w:line="460" w:lineRule="exact"/>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第二十八条</w:t>
      </w:r>
      <w:r>
        <w:rPr>
          <w:rFonts w:hint="eastAsia" w:ascii="宋体" w:hAnsi="宋体" w:cs="宋体"/>
          <w:color w:val="000000"/>
          <w:sz w:val="24"/>
          <w:szCs w:val="24"/>
          <w:highlight w:val="none"/>
        </w:rPr>
        <w:t xml:space="preserve">　咨询人由于非自身原因暂停或中止执行建设工程造价咨询业务，由此而增加的恢复执行建设工程造价咨询业务的工作，应视为额外服务，有权得到额外的时间和酬金。</w:t>
      </w:r>
      <w:r>
        <w:rPr>
          <w:rFonts w:ascii="宋体" w:hAnsi="宋体" w:cs="宋体"/>
          <w:b/>
          <w:color w:val="000000"/>
          <w:sz w:val="24"/>
          <w:szCs w:val="24"/>
          <w:highlight w:val="none"/>
        </w:rPr>
      </w:r>
      <w:r/>
    </w:p>
    <w:p>
      <w:pPr>
        <w:pStyle w:val="1024"/>
        <w:ind w:firstLine="482"/>
        <w:spacing w:line="460" w:lineRule="exact"/>
        <w:rPr>
          <w:rFonts w:ascii="宋体" w:hAnsi="宋体" w:cs="宋体"/>
          <w:color w:val="000000"/>
          <w:sz w:val="24"/>
          <w:szCs w:val="24"/>
          <w:highlight w:val="none"/>
        </w:rPr>
      </w:pPr>
      <w:r>
        <w:rPr>
          <w:rFonts w:hint="eastAsia" w:ascii="宋体" w:hAnsi="宋体" w:cs="宋体"/>
          <w:b/>
          <w:color w:val="000000"/>
          <w:sz w:val="24"/>
          <w:szCs w:val="24"/>
          <w:highlight w:val="none"/>
        </w:rPr>
        <w:t xml:space="preserve">第二十九条</w:t>
      </w:r>
      <w:r>
        <w:rPr>
          <w:rFonts w:hint="eastAsia" w:ascii="宋体" w:hAnsi="宋体" w:cs="宋体"/>
          <w:color w:val="000000"/>
          <w:sz w:val="24"/>
          <w:szCs w:val="24"/>
          <w:highlight w:val="none"/>
        </w:rPr>
        <w:t xml:space="preserve">　变更或解除合同的通知或协议应当采取书面形式，新的协议未达成之前，原合同仍然有效。</w:t>
      </w:r>
      <w:r>
        <w:rPr>
          <w:rFonts w:ascii="宋体" w:hAnsi="宋体" w:cs="宋体"/>
          <w:color w:val="000000"/>
          <w:sz w:val="24"/>
          <w:szCs w:val="24"/>
          <w:highlight w:val="none"/>
        </w:rPr>
      </w:r>
      <w:r/>
    </w:p>
    <w:p>
      <w:pPr>
        <w:pStyle w:val="1024"/>
        <w:ind w:firstLine="480"/>
        <w:jc w:val="center"/>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咨询业务酬金</w:t>
      </w:r>
      <w:r>
        <w:rPr>
          <w:rFonts w:ascii="宋体" w:hAnsi="宋体" w:cs="宋体"/>
          <w:color w:val="000000"/>
          <w:sz w:val="24"/>
          <w:szCs w:val="24"/>
          <w:highlight w:val="none"/>
        </w:rPr>
      </w:r>
      <w:r/>
    </w:p>
    <w:p>
      <w:pPr>
        <w:pStyle w:val="1024"/>
        <w:ind w:firstLine="482"/>
        <w:spacing w:line="460" w:lineRule="exact"/>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第三十条</w:t>
      </w:r>
      <w:r>
        <w:rPr>
          <w:rFonts w:hint="eastAsia" w:ascii="宋体" w:hAnsi="宋体" w:cs="宋体"/>
          <w:color w:val="000000"/>
          <w:sz w:val="24"/>
          <w:szCs w:val="24"/>
          <w:highlight w:val="none"/>
        </w:rPr>
        <w:t xml:space="preserve">　正常服务，附加服务和额外服务的酬金，按照建设工程造价咨询合同专用条款约定的方法计取，并按约定的时间、数额和币种支付。</w:t>
      </w:r>
      <w:r>
        <w:rPr>
          <w:rFonts w:ascii="宋体" w:hAnsi="宋体" w:cs="宋体"/>
          <w:b/>
          <w:color w:val="000000"/>
          <w:sz w:val="24"/>
          <w:szCs w:val="24"/>
          <w:highlight w:val="none"/>
        </w:rPr>
      </w:r>
      <w:r/>
    </w:p>
    <w:p>
      <w:pPr>
        <w:pStyle w:val="1024"/>
        <w:ind w:firstLine="482"/>
        <w:spacing w:line="460" w:lineRule="exact"/>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第三十一条</w:t>
      </w:r>
      <w:r>
        <w:rPr>
          <w:rFonts w:hint="eastAsia" w:ascii="宋体" w:hAnsi="宋体" w:cs="宋体"/>
          <w:color w:val="000000"/>
          <w:sz w:val="24"/>
          <w:szCs w:val="24"/>
          <w:highlight w:val="none"/>
        </w:rPr>
        <w:t xml:space="preserve">　如果委托人在规定的支付期限内未支付建设工程造价咨询酬金，自规定支付之日起，应当向咨询人补偿应支付的酬金利息。利息额按规定支付期限最后一日银行贷款利率计算。</w:t>
      </w:r>
      <w:r>
        <w:rPr>
          <w:rFonts w:ascii="宋体" w:hAnsi="宋体" w:cs="宋体"/>
          <w:b/>
          <w:color w:val="000000"/>
          <w:sz w:val="24"/>
          <w:szCs w:val="24"/>
          <w:highlight w:val="none"/>
        </w:rPr>
      </w:r>
      <w:r/>
    </w:p>
    <w:p>
      <w:pPr>
        <w:pStyle w:val="1024"/>
        <w:ind w:firstLine="482"/>
        <w:spacing w:line="460" w:lineRule="exact"/>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第三十二条</w:t>
      </w:r>
      <w:r>
        <w:rPr>
          <w:rFonts w:hint="eastAsia" w:ascii="宋体" w:hAnsi="宋体" w:cs="宋体"/>
          <w:color w:val="000000"/>
          <w:sz w:val="24"/>
          <w:szCs w:val="24"/>
          <w:highlight w:val="none"/>
        </w:rPr>
        <w:t xml:space="preserve">　如果委托人对咨询人提交的支付通知书中酬金或部分酬金项目提出异议，应当在收到支付通知书两日内向咨询人发出异议的通知，但委托人不得拖延其无异议部分酬金的支付。</w:t>
      </w:r>
      <w:r>
        <w:rPr>
          <w:rFonts w:ascii="宋体" w:hAnsi="宋体" w:cs="宋体"/>
          <w:b/>
          <w:color w:val="000000"/>
          <w:sz w:val="24"/>
          <w:szCs w:val="24"/>
          <w:highlight w:val="none"/>
        </w:rPr>
      </w:r>
      <w:r/>
    </w:p>
    <w:p>
      <w:pPr>
        <w:pStyle w:val="1024"/>
        <w:ind w:firstLine="482"/>
        <w:spacing w:line="460" w:lineRule="exact"/>
        <w:rPr>
          <w:rFonts w:ascii="宋体" w:hAnsi="宋体" w:cs="宋体"/>
          <w:color w:val="000000"/>
          <w:sz w:val="24"/>
          <w:szCs w:val="24"/>
          <w:highlight w:val="none"/>
        </w:rPr>
      </w:pPr>
      <w:r>
        <w:rPr>
          <w:rFonts w:hint="eastAsia" w:ascii="宋体" w:hAnsi="宋体" w:cs="宋体"/>
          <w:b/>
          <w:color w:val="000000"/>
          <w:sz w:val="24"/>
          <w:szCs w:val="24"/>
          <w:highlight w:val="none"/>
        </w:rPr>
        <w:t xml:space="preserve">第三十三条</w:t>
      </w:r>
      <w:r>
        <w:rPr>
          <w:rFonts w:hint="eastAsia" w:ascii="宋体" w:hAnsi="宋体" w:cs="宋体"/>
          <w:color w:val="000000"/>
          <w:sz w:val="24"/>
          <w:szCs w:val="24"/>
          <w:highlight w:val="none"/>
        </w:rPr>
        <w:t xml:space="preserve">　支付建设工程造价咨询酬金所采取的货币币种、汇率由合同专用条款约定。</w:t>
      </w:r>
      <w:r>
        <w:rPr>
          <w:rFonts w:ascii="宋体" w:hAnsi="宋体" w:cs="宋体"/>
          <w:color w:val="000000"/>
          <w:sz w:val="24"/>
          <w:szCs w:val="24"/>
          <w:highlight w:val="none"/>
        </w:rPr>
      </w:r>
      <w:r/>
    </w:p>
    <w:p>
      <w:pPr>
        <w:pStyle w:val="1024"/>
        <w:ind w:firstLine="480"/>
        <w:jc w:val="center"/>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其　　他</w:t>
      </w:r>
      <w:r>
        <w:rPr>
          <w:rFonts w:ascii="宋体" w:hAnsi="宋体" w:cs="宋体"/>
          <w:color w:val="000000"/>
          <w:sz w:val="24"/>
          <w:szCs w:val="24"/>
          <w:highlight w:val="none"/>
        </w:rPr>
      </w:r>
      <w:r/>
    </w:p>
    <w:p>
      <w:pPr>
        <w:pStyle w:val="1024"/>
        <w:ind w:firstLine="482"/>
        <w:spacing w:line="460" w:lineRule="exact"/>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第三十四条　</w:t>
      </w:r>
      <w:r>
        <w:rPr>
          <w:rFonts w:hint="eastAsia" w:ascii="宋体" w:hAnsi="宋体" w:cs="宋体"/>
          <w:color w:val="000000"/>
          <w:sz w:val="24"/>
          <w:szCs w:val="24"/>
          <w:highlight w:val="none"/>
        </w:rPr>
        <w:t xml:space="preserve">因建设工程造价咨询业务的需要，咨询人在合同约定外的外出考察，经委托人同意，其所需费用由委托人负责。</w:t>
      </w:r>
      <w:r>
        <w:rPr>
          <w:rFonts w:ascii="宋体" w:hAnsi="宋体" w:cs="宋体"/>
          <w:b/>
          <w:color w:val="000000"/>
          <w:sz w:val="24"/>
          <w:szCs w:val="24"/>
          <w:highlight w:val="none"/>
        </w:rPr>
      </w:r>
      <w:r/>
    </w:p>
    <w:p>
      <w:pPr>
        <w:pStyle w:val="1024"/>
        <w:ind w:firstLine="482"/>
        <w:spacing w:line="460" w:lineRule="exact"/>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第三十五条</w:t>
      </w:r>
      <w:r>
        <w:rPr>
          <w:rFonts w:hint="eastAsia" w:ascii="宋体" w:hAnsi="宋体" w:cs="宋体"/>
          <w:color w:val="000000"/>
          <w:sz w:val="24"/>
          <w:szCs w:val="24"/>
          <w:highlight w:val="none"/>
        </w:rPr>
        <w:t xml:space="preserve">　咨询人如需外聘专家协助，在委托的建设工程造价咨询业务范围内其费用由咨询人承担；在委托的建设工程造价咨询业务范围以外经委托人认可其费用由委托人承担。</w:t>
      </w:r>
      <w:r>
        <w:rPr>
          <w:rFonts w:ascii="宋体" w:hAnsi="宋体" w:cs="宋体"/>
          <w:b/>
          <w:color w:val="000000"/>
          <w:sz w:val="24"/>
          <w:szCs w:val="24"/>
          <w:highlight w:val="none"/>
        </w:rPr>
      </w:r>
      <w:r/>
    </w:p>
    <w:p>
      <w:pPr>
        <w:pStyle w:val="1024"/>
        <w:ind w:firstLine="482"/>
        <w:spacing w:line="460" w:lineRule="exact"/>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第三十六条</w:t>
      </w:r>
      <w:r>
        <w:rPr>
          <w:rFonts w:hint="eastAsia" w:ascii="宋体" w:hAnsi="宋体" w:cs="宋体"/>
          <w:color w:val="000000"/>
          <w:sz w:val="24"/>
          <w:szCs w:val="24"/>
          <w:highlight w:val="none"/>
        </w:rPr>
        <w:t xml:space="preserve">　未经对方的书面同意，各方均不得转让合同约定的权利和义务。</w:t>
      </w:r>
      <w:r>
        <w:rPr>
          <w:rFonts w:ascii="宋体" w:hAnsi="宋体" w:cs="宋体"/>
          <w:b/>
          <w:color w:val="000000"/>
          <w:sz w:val="24"/>
          <w:szCs w:val="24"/>
          <w:highlight w:val="none"/>
        </w:rPr>
      </w:r>
      <w:r/>
    </w:p>
    <w:p>
      <w:pPr>
        <w:pStyle w:val="1024"/>
        <w:ind w:firstLine="482"/>
        <w:spacing w:line="460" w:lineRule="exact"/>
        <w:rPr>
          <w:rFonts w:ascii="宋体" w:hAnsi="宋体" w:cs="宋体"/>
          <w:color w:val="000000"/>
          <w:sz w:val="24"/>
          <w:szCs w:val="24"/>
          <w:highlight w:val="none"/>
        </w:rPr>
      </w:pPr>
      <w:r>
        <w:rPr>
          <w:rFonts w:hint="eastAsia" w:ascii="宋体" w:hAnsi="宋体" w:cs="宋体"/>
          <w:b/>
          <w:color w:val="000000"/>
          <w:sz w:val="24"/>
          <w:szCs w:val="24"/>
          <w:highlight w:val="none"/>
        </w:rPr>
        <w:t xml:space="preserve">第三十七条</w:t>
      </w:r>
      <w:r>
        <w:rPr>
          <w:rFonts w:hint="eastAsia" w:ascii="宋体" w:hAnsi="宋体" w:cs="宋体"/>
          <w:color w:val="000000"/>
          <w:sz w:val="24"/>
          <w:szCs w:val="24"/>
          <w:highlight w:val="none"/>
        </w:rPr>
        <w:t xml:space="preserve">  咨询人应对咨询报告的质量负责，委托人有对咨询工作和实施效果进行评价的权利。评价时间在咨询成果报告提交后一个月完成，并根据有关规定填写《咨询效果评价意见表》。对评价结果有争议时，以项目所在地造价行业主管部门裁定意见为准。</w:t>
      </w:r>
      <w:r>
        <w:rPr>
          <w:rFonts w:ascii="宋体" w:hAnsi="宋体" w:cs="宋体"/>
          <w:color w:val="000000"/>
          <w:sz w:val="24"/>
          <w:szCs w:val="24"/>
          <w:highlight w:val="none"/>
        </w:rPr>
      </w:r>
      <w:r/>
    </w:p>
    <w:p>
      <w:pPr>
        <w:pStyle w:val="1024"/>
        <w:ind w:firstLine="480"/>
        <w:jc w:val="center"/>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合同争议的解决</w:t>
      </w:r>
      <w:r>
        <w:rPr>
          <w:rFonts w:ascii="宋体" w:hAnsi="宋体" w:cs="宋体"/>
          <w:color w:val="000000"/>
          <w:sz w:val="24"/>
          <w:szCs w:val="24"/>
          <w:highlight w:val="none"/>
        </w:rPr>
      </w:r>
      <w:r/>
    </w:p>
    <w:p>
      <w:pPr>
        <w:pStyle w:val="1024"/>
        <w:ind w:firstLine="482"/>
        <w:spacing w:line="460" w:lineRule="exact"/>
        <w:rPr>
          <w:rFonts w:ascii="宋体" w:hAnsi="宋体" w:cs="宋体"/>
          <w:color w:val="000000"/>
          <w:sz w:val="24"/>
          <w:szCs w:val="24"/>
          <w:highlight w:val="none"/>
        </w:rPr>
      </w:pPr>
      <w:r>
        <w:rPr>
          <w:rFonts w:hint="eastAsia" w:ascii="宋体" w:hAnsi="宋体" w:cs="宋体"/>
          <w:b/>
          <w:color w:val="000000"/>
          <w:sz w:val="24"/>
          <w:szCs w:val="24"/>
          <w:highlight w:val="none"/>
        </w:rPr>
        <w:t xml:space="preserve">第三十九条</w:t>
      </w:r>
      <w:r>
        <w:rPr>
          <w:rFonts w:hint="eastAsia" w:ascii="宋体" w:hAnsi="宋体" w:cs="宋体"/>
          <w:color w:val="000000"/>
          <w:sz w:val="24"/>
          <w:szCs w:val="24"/>
          <w:highlight w:val="none"/>
        </w:rPr>
        <w:t xml:space="preserve">　因违约或终止合同而引起的损失和损害的赔偿，委托人与咨询人之间应当协商解决；如未能达成一致，可提交有关主管部门调解；协商或调解不成的，根据双方约定提交仲裁机关仲裁，或向人民法院提起诉讼。</w:t>
      </w:r>
      <w:r>
        <w:rPr>
          <w:rFonts w:ascii="宋体" w:hAnsi="宋体" w:cs="宋体"/>
          <w:color w:val="000000"/>
          <w:sz w:val="24"/>
          <w:szCs w:val="24"/>
          <w:highlight w:val="none"/>
        </w:rPr>
      </w:r>
      <w:r/>
    </w:p>
    <w:p>
      <w:pPr>
        <w:pStyle w:val="1024"/>
        <w:ind w:firstLine="480"/>
        <w:spacing w:line="460" w:lineRule="exact"/>
        <w:rPr>
          <w:rFonts w:ascii="宋体" w:hAnsi="宋体" w:cs="宋体"/>
          <w:color w:val="000000"/>
          <w:sz w:val="24"/>
          <w:szCs w:val="24"/>
          <w:highlight w:val="none"/>
        </w:rPr>
      </w:pPr>
      <w:r>
        <w:rPr>
          <w:rFonts w:ascii="宋体" w:hAnsi="宋体" w:cs="宋体"/>
          <w:color w:val="000000"/>
          <w:sz w:val="24"/>
          <w:szCs w:val="24"/>
          <w:highlight w:val="none"/>
        </w:rPr>
      </w:r>
      <w:r/>
    </w:p>
    <w:p>
      <w:pPr>
        <w:pStyle w:val="1024"/>
        <w:ind w:firstLine="482"/>
        <w:jc w:val="center"/>
        <w:spacing w:line="460" w:lineRule="exact"/>
        <w:rPr>
          <w:rFonts w:ascii="宋体" w:hAnsi="宋体" w:cs="宋体"/>
          <w:b/>
          <w:color w:val="000000"/>
          <w:sz w:val="24"/>
          <w:szCs w:val="24"/>
          <w:highlight w:val="none"/>
        </w:rPr>
      </w:pPr>
      <w:r>
        <w:rPr>
          <w:rFonts w:ascii="宋体" w:hAnsi="宋体" w:cs="宋体"/>
          <w:b/>
          <w:color w:val="000000"/>
          <w:sz w:val="24"/>
          <w:szCs w:val="24"/>
          <w:highlight w:val="none"/>
        </w:rPr>
      </w:r>
      <w:r/>
    </w:p>
    <w:p>
      <w:pPr>
        <w:pStyle w:val="1024"/>
        <w:ind w:firstLine="482"/>
        <w:jc w:val="center"/>
        <w:spacing w:line="460" w:lineRule="exact"/>
        <w:rPr>
          <w:rFonts w:ascii="宋体" w:hAnsi="宋体" w:cs="宋体"/>
          <w:b/>
          <w:color w:val="000000"/>
          <w:sz w:val="24"/>
          <w:szCs w:val="24"/>
          <w:highlight w:val="none"/>
        </w:rPr>
      </w:pPr>
      <w:r>
        <w:rPr>
          <w:rFonts w:ascii="宋体" w:hAnsi="宋体" w:cs="宋体"/>
          <w:b/>
          <w:color w:val="000000"/>
          <w:sz w:val="24"/>
          <w:szCs w:val="24"/>
          <w:highlight w:val="none"/>
        </w:rPr>
      </w:r>
      <w:r/>
    </w:p>
    <w:p>
      <w:pPr>
        <w:pStyle w:val="1024"/>
        <w:ind w:firstLine="482"/>
        <w:jc w:val="center"/>
        <w:spacing w:line="460" w:lineRule="exact"/>
        <w:rPr>
          <w:rFonts w:ascii="宋体" w:hAnsi="宋体" w:cs="宋体"/>
          <w:b/>
          <w:color w:val="000000"/>
          <w:sz w:val="24"/>
          <w:szCs w:val="24"/>
          <w:highlight w:val="none"/>
        </w:rPr>
      </w:pPr>
      <w:r>
        <w:rPr>
          <w:rFonts w:ascii="宋体" w:hAnsi="宋体" w:cs="宋体"/>
          <w:b/>
          <w:color w:val="000000"/>
          <w:sz w:val="24"/>
          <w:szCs w:val="24"/>
          <w:highlight w:val="none"/>
        </w:rPr>
      </w:r>
      <w:r/>
    </w:p>
    <w:p>
      <w:pPr>
        <w:pStyle w:val="1024"/>
        <w:ind w:firstLine="482"/>
        <w:jc w:val="center"/>
        <w:spacing w:line="460" w:lineRule="exact"/>
        <w:rPr>
          <w:rFonts w:ascii="宋体" w:hAnsi="宋体" w:cs="宋体"/>
          <w:b/>
          <w:color w:val="000000"/>
          <w:sz w:val="24"/>
          <w:szCs w:val="24"/>
          <w:highlight w:val="none"/>
        </w:rPr>
      </w:pPr>
      <w:r>
        <w:rPr>
          <w:rFonts w:ascii="宋体" w:hAnsi="宋体" w:cs="宋体"/>
          <w:b/>
          <w:color w:val="000000"/>
          <w:sz w:val="24"/>
          <w:szCs w:val="24"/>
          <w:highlight w:val="none"/>
        </w:rPr>
      </w:r>
      <w:r/>
    </w:p>
    <w:p>
      <w:pPr>
        <w:pStyle w:val="1024"/>
        <w:jc w:val="left"/>
        <w:spacing w:line="460" w:lineRule="exact"/>
        <w:widowControl/>
        <w:rPr>
          <w:rFonts w:ascii="宋体" w:hAnsi="宋体" w:cs="宋体"/>
          <w:b/>
          <w:color w:val="000000"/>
          <w:sz w:val="24"/>
          <w:szCs w:val="24"/>
          <w:highlight w:val="none"/>
        </w:rPr>
      </w:pPr>
      <w:r>
        <w:rPr>
          <w:rFonts w:hint="eastAsia" w:ascii="宋体" w:hAnsi="宋体" w:cs="宋体"/>
          <w:b/>
          <w:color w:val="000000"/>
          <w:sz w:val="24"/>
          <w:szCs w:val="24"/>
          <w:highlight w:val="none"/>
        </w:rPr>
        <w:br w:type="page" w:clear="all"/>
      </w:r>
      <w:r>
        <w:rPr>
          <w:rFonts w:ascii="宋体" w:hAnsi="宋体" w:cs="宋体"/>
          <w:b/>
          <w:color w:val="000000"/>
          <w:sz w:val="24"/>
          <w:szCs w:val="24"/>
          <w:highlight w:val="none"/>
        </w:rPr>
      </w:r>
      <w:r/>
    </w:p>
    <w:p>
      <w:pPr>
        <w:pStyle w:val="1024"/>
        <w:ind w:firstLine="482"/>
        <w:jc w:val="center"/>
        <w:spacing w:line="460" w:lineRule="exact"/>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第三部分  建设工程造价咨询合同专用条款</w:t>
      </w:r>
      <w:r>
        <w:rPr>
          <w:rFonts w:ascii="宋体" w:hAnsi="宋体" w:cs="宋体"/>
          <w:b/>
          <w:color w:val="000000"/>
          <w:sz w:val="24"/>
          <w:szCs w:val="24"/>
          <w:highlight w:val="none"/>
        </w:rPr>
      </w:r>
      <w:r/>
    </w:p>
    <w:p>
      <w:pPr>
        <w:pStyle w:val="1024"/>
        <w:ind w:firstLine="482"/>
        <w:spacing w:line="460" w:lineRule="exact"/>
        <w:tabs>
          <w:tab w:val="left" w:pos="1260" w:leader="none"/>
        </w:tabs>
        <w:rPr>
          <w:rFonts w:ascii="宋体" w:hAnsi="宋体" w:cs="宋体"/>
          <w:color w:val="000000"/>
          <w:sz w:val="24"/>
          <w:szCs w:val="24"/>
          <w:highlight w:val="none"/>
        </w:rPr>
      </w:pPr>
      <w:r>
        <w:rPr>
          <w:rFonts w:hint="eastAsia" w:ascii="宋体" w:hAnsi="宋体" w:cs="宋体"/>
          <w:b/>
          <w:bCs/>
          <w:color w:val="000000"/>
          <w:sz w:val="24"/>
          <w:szCs w:val="24"/>
          <w:highlight w:val="none"/>
        </w:rPr>
        <w:t xml:space="preserve">第一条</w:t>
      </w:r>
      <w:r>
        <w:rPr>
          <w:rFonts w:hint="eastAsia" w:ascii="宋体" w:hAnsi="宋体" w:cs="宋体"/>
          <w:color w:val="000000"/>
          <w:sz w:val="24"/>
          <w:szCs w:val="24"/>
          <w:highlight w:val="none"/>
        </w:rPr>
        <w:t xml:space="preserve">  本合同适用的法律、法规及工程造价计价办法和规定</w:t>
      </w:r>
      <w:r>
        <w:rPr>
          <w:rFonts w:ascii="宋体" w:hAnsi="宋体" w:cs="宋体"/>
          <w:color w:val="000000"/>
          <w:sz w:val="24"/>
          <w:szCs w:val="24"/>
          <w:highlight w:val="none"/>
        </w:rPr>
      </w:r>
      <w:r/>
    </w:p>
    <w:p>
      <w:pPr>
        <w:pStyle w:val="1024"/>
        <w:ind w:firstLine="480"/>
        <w:spacing w:line="460" w:lineRule="exact"/>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1. 适用法律和法规：</w:t>
      </w:r>
      <w:r>
        <w:rPr>
          <w:rFonts w:hint="eastAsia" w:ascii="宋体" w:hAnsi="宋体" w:cs="宋体"/>
          <w:color w:val="000000"/>
          <w:sz w:val="24"/>
          <w:szCs w:val="24"/>
          <w:highlight w:val="none"/>
          <w:u w:val="single"/>
        </w:rPr>
        <w:t xml:space="preserve"> 工程造价的相关法律、法规 </w:t>
      </w:r>
      <w:r>
        <w:rPr>
          <w:rFonts w:hint="eastAsia" w:ascii="宋体" w:hAnsi="宋体" w:cs="宋体"/>
          <w:color w:val="000000"/>
          <w:sz w:val="24"/>
          <w:szCs w:val="24"/>
          <w:highlight w:val="none"/>
        </w:rPr>
        <w:t xml:space="preserve">。 　</w:t>
      </w:r>
      <w:r>
        <w:rPr>
          <w:rFonts w:ascii="宋体" w:hAnsi="宋体" w:cs="宋体"/>
          <w:color w:val="000000"/>
          <w:sz w:val="24"/>
          <w:szCs w:val="24"/>
          <w:highlight w:val="none"/>
          <w:u w:val="single"/>
        </w:rPr>
      </w:r>
      <w:r/>
    </w:p>
    <w:p>
      <w:pPr>
        <w:pStyle w:val="1024"/>
        <w:ind w:firstLine="480"/>
        <w:spacing w:line="460" w:lineRule="exact"/>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2. 工程造价计价办法：</w:t>
      </w:r>
      <w:r>
        <w:rPr>
          <w:rFonts w:hint="eastAsia" w:ascii="宋体" w:hAnsi="宋体" w:cs="宋体"/>
          <w:color w:val="000000"/>
          <w:sz w:val="24"/>
          <w:szCs w:val="24"/>
          <w:highlight w:val="none"/>
          <w:u w:val="single"/>
        </w:rPr>
        <w:t xml:space="preserve"> 工程量清单计价 </w:t>
      </w:r>
      <w:r>
        <w:rPr>
          <w:rFonts w:hint="eastAsia" w:ascii="宋体" w:hAnsi="宋体" w:cs="宋体"/>
          <w:color w:val="000000"/>
          <w:sz w:val="24"/>
          <w:szCs w:val="24"/>
          <w:highlight w:val="none"/>
        </w:rPr>
        <w:t xml:space="preserve">。</w:t>
      </w:r>
      <w:r>
        <w:rPr>
          <w:rFonts w:ascii="宋体" w:hAnsi="宋体" w:cs="宋体"/>
          <w:color w:val="000000"/>
          <w:sz w:val="24"/>
          <w:szCs w:val="24"/>
          <w:highlight w:val="none"/>
          <w:u w:val="single"/>
        </w:rPr>
      </w:r>
      <w:r/>
    </w:p>
    <w:p>
      <w:pPr>
        <w:pStyle w:val="1024"/>
        <w:ind w:firstLine="480"/>
        <w:spacing w:line="460" w:lineRule="exact"/>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3. 标准规范：</w:t>
      </w:r>
      <w:r>
        <w:rPr>
          <w:rFonts w:hint="eastAsia" w:ascii="宋体" w:hAnsi="宋体" w:cs="宋体"/>
          <w:color w:val="000000"/>
          <w:sz w:val="24"/>
          <w:szCs w:val="24"/>
          <w:highlight w:val="none"/>
          <w:u w:val="single"/>
        </w:rPr>
        <w:t xml:space="preserve">国家和地方交通行政主管部门颁布的《公路工程建设项目概算预算编制办法》（JTG 3830-2018）、《公路工程预算定额》（JTG/T3832-2018）、《公路工程机械台班费用定额》（JTG/T3833-2018）、《公路工程概算定额》（JTG/T3831-2018）、《公路工程建设项目投资估算编制办法》（JTG 3820-2018）、江苏省、盐城市相关计价文件、政策性调整文件和国家有关法律、法规以及本项目关于工程造价咨询服务的相关文件</w:t>
      </w:r>
      <w:r>
        <w:rPr>
          <w:rFonts w:hint="eastAsia" w:ascii="宋体" w:hAnsi="宋体" w:cs="宋体"/>
          <w:color w:val="000000"/>
          <w:sz w:val="24"/>
          <w:szCs w:val="24"/>
          <w:highlight w:val="none"/>
        </w:rPr>
        <w:t xml:space="preserve">。</w:t>
      </w:r>
      <w:r>
        <w:rPr>
          <w:rFonts w:ascii="宋体" w:hAnsi="宋体" w:cs="宋体"/>
          <w:color w:val="000000"/>
          <w:sz w:val="24"/>
          <w:szCs w:val="24"/>
          <w:highlight w:val="none"/>
          <w:u w:val="single"/>
        </w:rPr>
      </w:r>
      <w:r/>
    </w:p>
    <w:p>
      <w:pPr>
        <w:pStyle w:val="1024"/>
        <w:ind w:left="113" w:firstLine="482"/>
        <w:jc w:val="left"/>
        <w:spacing w:line="460" w:lineRule="exact"/>
        <w:rPr>
          <w:rFonts w:ascii="宋体" w:hAnsi="宋体" w:cs="宋体"/>
          <w:color w:val="000000"/>
          <w:sz w:val="24"/>
          <w:szCs w:val="24"/>
          <w:highlight w:val="none"/>
        </w:rPr>
      </w:pPr>
      <w:r>
        <w:rPr>
          <w:rFonts w:hint="eastAsia" w:ascii="宋体" w:hAnsi="宋体" w:cs="宋体"/>
          <w:b/>
          <w:color w:val="000000"/>
          <w:sz w:val="24"/>
          <w:szCs w:val="24"/>
          <w:highlight w:val="none"/>
        </w:rPr>
        <w:t xml:space="preserve">第二条  </w:t>
      </w:r>
      <w:r>
        <w:rPr>
          <w:rFonts w:hint="eastAsia" w:ascii="宋体" w:hAnsi="宋体" w:cs="宋体"/>
          <w:color w:val="000000"/>
          <w:sz w:val="24"/>
          <w:szCs w:val="24"/>
          <w:highlight w:val="none"/>
        </w:rPr>
        <w:t xml:space="preserve">本合同咨询项目负责人由</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担任，负责本咨询项目的具体实施及与委托方的联系等事宜。 </w:t>
      </w:r>
      <w:r>
        <w:rPr>
          <w:rFonts w:ascii="宋体" w:hAnsi="宋体" w:cs="宋体"/>
          <w:color w:val="000000"/>
          <w:sz w:val="24"/>
          <w:szCs w:val="24"/>
          <w:highlight w:val="none"/>
        </w:rPr>
      </w:r>
      <w:r/>
    </w:p>
    <w:p>
      <w:pPr>
        <w:pStyle w:val="1024"/>
        <w:ind w:left="113" w:firstLine="482"/>
        <w:jc w:val="left"/>
        <w:spacing w:line="460" w:lineRule="exact"/>
        <w:rPr>
          <w:rFonts w:ascii="宋体" w:hAnsi="宋体" w:cs="宋体"/>
          <w:color w:val="000000"/>
          <w:sz w:val="24"/>
          <w:szCs w:val="24"/>
          <w:highlight w:val="none"/>
        </w:rPr>
      </w:pPr>
      <w:r>
        <w:rPr>
          <w:rFonts w:hint="eastAsia" w:ascii="宋体" w:hAnsi="宋体" w:cs="宋体"/>
          <w:b/>
          <w:color w:val="000000"/>
          <w:sz w:val="24"/>
          <w:szCs w:val="24"/>
          <w:highlight w:val="none"/>
        </w:rPr>
        <w:t xml:space="preserve">第三条</w:t>
      </w:r>
      <w:r>
        <w:rPr>
          <w:rFonts w:hint="eastAsia" w:ascii="宋体" w:hAnsi="宋体" w:cs="宋体"/>
          <w:color w:val="000000"/>
          <w:sz w:val="24"/>
          <w:szCs w:val="24"/>
          <w:highlight w:val="none"/>
        </w:rPr>
        <w:t xml:space="preserve">　建设工程造价咨询业务范围及内容</w:t>
      </w:r>
      <w:r>
        <w:rPr>
          <w:rFonts w:ascii="宋体" w:hAnsi="宋体" w:cs="宋体"/>
          <w:color w:val="000000"/>
          <w:sz w:val="24"/>
          <w:szCs w:val="24"/>
          <w:highlight w:val="none"/>
        </w:rPr>
      </w:r>
      <w:r/>
    </w:p>
    <w:p>
      <w:pPr>
        <w:pStyle w:val="1024"/>
        <w:ind w:firstLine="480"/>
        <w:spacing w:line="460" w:lineRule="exact"/>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1．委托工程造价咨询的工程范围：</w:t>
      </w:r>
      <w:r>
        <w:rPr>
          <w:rFonts w:hint="eastAsia" w:ascii="宋体" w:hAnsi="宋体" w:cs="宋体"/>
          <w:bCs/>
          <w:color w:val="000000"/>
          <w:sz w:val="24"/>
          <w:szCs w:val="24"/>
          <w:highlight w:val="none"/>
          <w:u w:val="single"/>
        </w:rPr>
        <w:t xml:space="preserve">2026年盐城市普通国省道小修保养及应急养护工程全过程造价控制及竣工决算审计</w:t>
      </w:r>
      <w:r>
        <w:rPr>
          <w:rFonts w:hint="eastAsia" w:ascii="宋体" w:hAnsi="宋体" w:cs="宋体"/>
          <w:color w:val="000000"/>
          <w:sz w:val="24"/>
          <w:szCs w:val="24"/>
          <w:highlight w:val="none"/>
          <w:u w:val="single"/>
        </w:rPr>
        <w:t xml:space="preserve">，具体内容详见采购文件项目需求</w:t>
      </w:r>
      <w:r>
        <w:rPr>
          <w:rFonts w:hint="eastAsia" w:ascii="宋体" w:hAnsi="宋体" w:cs="宋体"/>
          <w:color w:val="000000"/>
          <w:sz w:val="24"/>
          <w:szCs w:val="24"/>
          <w:highlight w:val="none"/>
        </w:rPr>
        <w:t xml:space="preserve">。      </w:t>
      </w:r>
      <w:r>
        <w:rPr>
          <w:rFonts w:ascii="宋体" w:hAnsi="宋体" w:cs="宋体"/>
          <w:color w:val="000000"/>
          <w:sz w:val="24"/>
          <w:szCs w:val="24"/>
          <w:highlight w:val="none"/>
          <w:u w:val="single"/>
        </w:rPr>
      </w:r>
      <w:r/>
    </w:p>
    <w:p>
      <w:pPr>
        <w:pStyle w:val="1024"/>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2.委托工程造价咨询业务的内容（下列内容有委托的在□中打√）：　 </w:t>
      </w:r>
      <w:r>
        <w:rPr>
          <w:rFonts w:ascii="宋体" w:hAnsi="宋体" w:cs="宋体"/>
          <w:color w:val="000000"/>
          <w:sz w:val="24"/>
          <w:szCs w:val="24"/>
          <w:highlight w:val="none"/>
        </w:rPr>
      </w:r>
      <w:r/>
    </w:p>
    <w:p>
      <w:pPr>
        <w:pStyle w:val="1024"/>
        <w:ind w:firstLine="482"/>
        <w:spacing w:line="460" w:lineRule="exact"/>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2.1 建设工程造价咨询业务</w:t>
      </w:r>
      <w:r>
        <w:rPr>
          <w:rFonts w:ascii="宋体" w:hAnsi="宋体" w:cs="宋体"/>
          <w:b/>
          <w:color w:val="000000"/>
          <w:sz w:val="24"/>
          <w:szCs w:val="24"/>
          <w:highlight w:val="none"/>
        </w:rPr>
      </w:r>
      <w:r/>
    </w:p>
    <w:p>
      <w:pPr>
        <w:pStyle w:val="1024"/>
        <w:ind w:firstLine="482"/>
        <w:spacing w:line="460" w:lineRule="exact"/>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投资决策阶段</w:t>
      </w:r>
      <w:r>
        <w:rPr>
          <w:rFonts w:ascii="宋体" w:hAnsi="宋体" w:cs="宋体"/>
          <w:b/>
          <w:color w:val="000000"/>
          <w:sz w:val="24"/>
          <w:szCs w:val="24"/>
          <w:highlight w:val="none"/>
        </w:rPr>
      </w:r>
      <w:r/>
    </w:p>
    <w:p>
      <w:pPr>
        <w:pStyle w:val="1024"/>
        <w:ind w:firstLine="480"/>
        <w:spacing w:line="460" w:lineRule="exact"/>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□编制建设工程投资估算       □审核建设工程投资估算</w:t>
      </w:r>
      <w:r>
        <w:rPr>
          <w:rFonts w:ascii="宋体" w:hAnsi="宋体" w:cs="宋体"/>
          <w:color w:val="000000"/>
          <w:sz w:val="24"/>
          <w:szCs w:val="24"/>
          <w:highlight w:val="none"/>
        </w:rPr>
      </w:r>
      <w:r/>
    </w:p>
    <w:p>
      <w:pPr>
        <w:pStyle w:val="1024"/>
        <w:ind w:firstLine="480"/>
        <w:spacing w:line="460" w:lineRule="exact"/>
        <w:tabs>
          <w:tab w:val="left" w:pos="476"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□建设工程项目经济评价       □其它</w:t>
      </w:r>
      <w:r>
        <w:rPr>
          <w:rFonts w:ascii="宋体" w:hAnsi="宋体" w:cs="宋体"/>
          <w:color w:val="000000"/>
          <w:sz w:val="24"/>
          <w:szCs w:val="24"/>
          <w:highlight w:val="none"/>
        </w:rPr>
      </w:r>
      <w:r/>
    </w:p>
    <w:p>
      <w:pPr>
        <w:pStyle w:val="1024"/>
        <w:ind w:firstLine="482"/>
        <w:spacing w:line="460" w:lineRule="exact"/>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工程设计阶段</w:t>
      </w:r>
      <w:r>
        <w:rPr>
          <w:rFonts w:ascii="宋体" w:hAnsi="宋体" w:cs="宋体"/>
          <w:b/>
          <w:color w:val="000000"/>
          <w:sz w:val="24"/>
          <w:szCs w:val="24"/>
          <w:highlight w:val="none"/>
        </w:rPr>
      </w:r>
      <w:r/>
    </w:p>
    <w:p>
      <w:pPr>
        <w:pStyle w:val="1024"/>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□编制建设工程概算        □审核建设工程概算</w:t>
      </w:r>
      <w:r>
        <w:rPr>
          <w:rFonts w:ascii="宋体" w:hAnsi="宋体" w:cs="宋体"/>
          <w:color w:val="000000"/>
          <w:sz w:val="24"/>
          <w:szCs w:val="24"/>
          <w:highlight w:val="none"/>
        </w:rPr>
      </w:r>
      <w:r/>
    </w:p>
    <w:p>
      <w:pPr>
        <w:pStyle w:val="1024"/>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□编制建设工程预算        □审核建设工程预算</w:t>
      </w:r>
      <w:r>
        <w:rPr>
          <w:rFonts w:ascii="宋体" w:hAnsi="宋体" w:cs="宋体"/>
          <w:color w:val="000000"/>
          <w:sz w:val="24"/>
          <w:szCs w:val="24"/>
          <w:highlight w:val="none"/>
        </w:rPr>
      </w:r>
      <w:r/>
    </w:p>
    <w:p>
      <w:pPr>
        <w:pStyle w:val="1024"/>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□设计方案经济比较        □其它</w:t>
      </w:r>
      <w:r>
        <w:rPr>
          <w:rFonts w:ascii="宋体" w:hAnsi="宋体" w:cs="宋体"/>
          <w:color w:val="000000"/>
          <w:sz w:val="24"/>
          <w:szCs w:val="24"/>
          <w:highlight w:val="none"/>
        </w:rPr>
      </w:r>
      <w:r/>
    </w:p>
    <w:p>
      <w:pPr>
        <w:pStyle w:val="1024"/>
        <w:ind w:firstLine="482"/>
        <w:spacing w:line="460" w:lineRule="exact"/>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工程发承包/招投标阶段</w:t>
      </w:r>
      <w:r>
        <w:rPr>
          <w:rFonts w:ascii="宋体" w:hAnsi="宋体" w:cs="宋体"/>
          <w:b/>
          <w:color w:val="000000"/>
          <w:sz w:val="24"/>
          <w:szCs w:val="24"/>
          <w:highlight w:val="none"/>
        </w:rPr>
      </w:r>
      <w:r/>
    </w:p>
    <w:p>
      <w:pPr>
        <w:pStyle w:val="1024"/>
        <w:ind w:firstLine="480"/>
        <w:spacing w:line="460" w:lineRule="exact"/>
        <w:tabs>
          <w:tab w:val="left" w:pos="0"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□审核招标文件造价控制条款</w:t>
      </w:r>
      <w:r>
        <w:rPr>
          <w:rFonts w:ascii="宋体" w:hAnsi="宋体" w:cs="宋体"/>
          <w:bCs/>
          <w:color w:val="000000"/>
          <w:sz w:val="24"/>
          <w:szCs w:val="24"/>
          <w:highlight w:val="none"/>
        </w:rPr>
      </w:r>
      <w:r/>
    </w:p>
    <w:p>
      <w:pPr>
        <w:pStyle w:val="1024"/>
        <w:ind w:firstLine="480"/>
        <w:spacing w:line="460" w:lineRule="exact"/>
        <w:tabs>
          <w:tab w:val="left" w:pos="0"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□编制工程量清单   □编制招标控制价/发包工程预算（标底）              </w:t>
      </w:r>
      <w:r>
        <w:rPr>
          <w:rFonts w:ascii="宋体" w:hAnsi="宋体" w:cs="宋体"/>
          <w:bCs/>
          <w:color w:val="000000"/>
          <w:sz w:val="24"/>
          <w:szCs w:val="24"/>
          <w:highlight w:val="none"/>
        </w:rPr>
      </w:r>
      <w:r/>
    </w:p>
    <w:p>
      <w:pPr>
        <w:pStyle w:val="1024"/>
        <w:ind w:firstLine="480"/>
        <w:spacing w:line="460" w:lineRule="exact"/>
        <w:tabs>
          <w:tab w:val="left" w:pos="0"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□审核工程量清单   □审核招标控制价</w:t>
      </w:r>
      <w:r>
        <w:rPr>
          <w:rFonts w:ascii="宋体" w:hAnsi="宋体" w:cs="宋体"/>
          <w:bCs/>
          <w:color w:val="000000"/>
          <w:sz w:val="24"/>
          <w:szCs w:val="24"/>
          <w:highlight w:val="none"/>
        </w:rPr>
      </w:r>
      <w:r/>
    </w:p>
    <w:p>
      <w:pPr>
        <w:pStyle w:val="1024"/>
        <w:ind w:firstLine="480"/>
        <w:spacing w:line="460" w:lineRule="exact"/>
        <w:tabs>
          <w:tab w:val="left" w:pos="0"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□参与审查经济标   □参与合同磋商，协助起草合同文本</w:t>
      </w:r>
      <w:r>
        <w:rPr>
          <w:rFonts w:ascii="宋体" w:hAnsi="宋体" w:cs="宋体"/>
          <w:bCs/>
          <w:color w:val="000000"/>
          <w:sz w:val="24"/>
          <w:szCs w:val="24"/>
          <w:highlight w:val="none"/>
        </w:rPr>
      </w:r>
      <w:r/>
    </w:p>
    <w:p>
      <w:pPr>
        <w:pStyle w:val="1024"/>
        <w:ind w:firstLine="480"/>
        <w:spacing w:line="460" w:lineRule="exact"/>
        <w:rPr>
          <w:rFonts w:ascii="宋体" w:hAnsi="宋体" w:cs="宋体"/>
          <w:color w:val="000000"/>
          <w:sz w:val="24"/>
          <w:szCs w:val="24"/>
          <w:highlight w:val="none"/>
        </w:rPr>
      </w:pPr>
      <w:r>
        <w:rPr>
          <w:rFonts w:hint="eastAsia" w:ascii="宋体" w:hAnsi="宋体" w:cs="宋体"/>
          <w:bCs/>
          <w:color w:val="000000"/>
          <w:sz w:val="24"/>
          <w:szCs w:val="24"/>
          <w:highlight w:val="none"/>
        </w:rPr>
        <w:t xml:space="preserve">□其它   </w:t>
      </w:r>
      <w:r>
        <w:rPr>
          <w:rFonts w:ascii="宋体" w:hAnsi="宋体" w:cs="宋体"/>
          <w:color w:val="000000"/>
          <w:sz w:val="24"/>
          <w:szCs w:val="24"/>
          <w:highlight w:val="none"/>
        </w:rPr>
      </w:r>
      <w:r/>
    </w:p>
    <w:p>
      <w:pPr>
        <w:pStyle w:val="1024"/>
        <w:ind w:firstLine="482"/>
        <w:spacing w:line="460" w:lineRule="exact"/>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工程施工阶段</w:t>
      </w:r>
      <w:r>
        <w:rPr>
          <w:rFonts w:ascii="宋体" w:hAnsi="宋体" w:cs="宋体"/>
          <w:b/>
          <w:color w:val="000000"/>
          <w:sz w:val="24"/>
          <w:szCs w:val="24"/>
          <w:highlight w:val="none"/>
        </w:rPr>
      </w:r>
      <w:r/>
    </w:p>
    <w:p>
      <w:pPr>
        <w:pStyle w:val="1024"/>
        <w:ind w:firstLine="480"/>
        <w:spacing w:line="460" w:lineRule="exact"/>
        <w:tabs>
          <w:tab w:val="left" w:pos="0"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□分析合同价款（投标报价/发包工程预算），确定工程造价控制目标，编制资金使用计划       </w:t>
      </w:r>
      <w:r>
        <w:rPr>
          <w:rFonts w:ascii="宋体" w:hAnsi="宋体" w:cs="宋体"/>
          <w:bCs/>
          <w:color w:val="000000"/>
          <w:sz w:val="24"/>
          <w:szCs w:val="24"/>
          <w:highlight w:val="none"/>
        </w:rPr>
      </w:r>
      <w:r/>
    </w:p>
    <w:p>
      <w:pPr>
        <w:pStyle w:val="1024"/>
        <w:ind w:firstLine="480"/>
        <w:spacing w:line="460" w:lineRule="exact"/>
        <w:tabs>
          <w:tab w:val="left" w:pos="0"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☑审核工程计量与价款支付        ☑审核工程索赔与签证费用</w:t>
      </w:r>
      <w:r>
        <w:rPr>
          <w:rFonts w:ascii="宋体" w:hAnsi="宋体" w:cs="宋体"/>
          <w:bCs/>
          <w:color w:val="000000"/>
          <w:sz w:val="24"/>
          <w:szCs w:val="24"/>
          <w:highlight w:val="none"/>
        </w:rPr>
      </w:r>
      <w:r/>
    </w:p>
    <w:p>
      <w:pPr>
        <w:pStyle w:val="1024"/>
        <w:ind w:firstLine="480"/>
        <w:spacing w:line="460" w:lineRule="exact"/>
        <w:tabs>
          <w:tab w:val="left" w:pos="0"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☑审核工程价款调整              ☑业主分包的专业工程招标咨询，材料设备询价</w:t>
      </w:r>
      <w:r>
        <w:rPr>
          <w:rFonts w:ascii="宋体" w:hAnsi="宋体" w:cs="宋体"/>
          <w:bCs/>
          <w:color w:val="000000"/>
          <w:sz w:val="24"/>
          <w:szCs w:val="24"/>
          <w:highlight w:val="none"/>
        </w:rPr>
      </w:r>
      <w:r/>
    </w:p>
    <w:p>
      <w:pPr>
        <w:pStyle w:val="1024"/>
        <w:ind w:firstLine="480"/>
        <w:spacing w:line="460" w:lineRule="exact"/>
        <w:tabs>
          <w:tab w:val="left" w:pos="0" w:leader="none"/>
        </w:tabs>
        <w:rPr>
          <w:rFonts w:ascii="宋体" w:hAnsi="宋体" w:cs="宋体"/>
          <w:color w:val="000000"/>
          <w:sz w:val="24"/>
          <w:szCs w:val="24"/>
          <w:highlight w:val="none"/>
          <w:u w:val="single"/>
        </w:rPr>
      </w:pPr>
      <w:r>
        <w:rPr>
          <w:rFonts w:hint="eastAsia" w:ascii="宋体" w:hAnsi="宋体" w:cs="宋体"/>
          <w:bCs/>
          <w:color w:val="000000"/>
          <w:sz w:val="24"/>
          <w:szCs w:val="24"/>
          <w:highlight w:val="none"/>
        </w:rPr>
        <w:t xml:space="preserve">☑分析工程投资偏差，调整工程造价控制目标     ☑其它       </w:t>
      </w:r>
      <w:r>
        <w:rPr>
          <w:rFonts w:ascii="宋体" w:hAnsi="宋体" w:cs="宋体"/>
          <w:color w:val="000000"/>
          <w:sz w:val="24"/>
          <w:szCs w:val="24"/>
          <w:highlight w:val="none"/>
          <w:u w:val="single"/>
        </w:rPr>
      </w:r>
      <w:r/>
    </w:p>
    <w:p>
      <w:pPr>
        <w:pStyle w:val="1024"/>
        <w:ind w:firstLine="482"/>
        <w:spacing w:line="460" w:lineRule="exact"/>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工程竣工阶段</w:t>
      </w:r>
      <w:r>
        <w:rPr>
          <w:rFonts w:ascii="宋体" w:hAnsi="宋体" w:cs="宋体"/>
          <w:b/>
          <w:color w:val="000000"/>
          <w:sz w:val="24"/>
          <w:szCs w:val="24"/>
          <w:highlight w:val="none"/>
        </w:rPr>
      </w:r>
      <w:r/>
    </w:p>
    <w:p>
      <w:pPr>
        <w:pStyle w:val="1024"/>
        <w:ind w:firstLine="480"/>
        <w:spacing w:line="460" w:lineRule="exact"/>
        <w:tabs>
          <w:tab w:val="left" w:pos="0" w:leader="none"/>
        </w:tabs>
        <w:rPr>
          <w:rFonts w:ascii="宋体" w:hAnsi="宋体" w:cs="宋体"/>
          <w:b/>
          <w:color w:val="000000"/>
          <w:sz w:val="24"/>
          <w:szCs w:val="24"/>
          <w:highlight w:val="none"/>
        </w:rPr>
      </w:pPr>
      <w:r>
        <w:rPr>
          <w:rFonts w:hint="eastAsia" w:ascii="宋体" w:hAnsi="宋体" w:cs="宋体"/>
          <w:color w:val="000000"/>
          <w:sz w:val="24"/>
          <w:szCs w:val="24"/>
          <w:highlight w:val="none"/>
        </w:rPr>
        <w:t xml:space="preserve">□编制工程竣工结算书    </w:t>
      </w:r>
      <w:r>
        <w:rPr>
          <w:rFonts w:hint="eastAsia" w:ascii="宋体" w:hAnsi="宋体" w:cs="宋体"/>
          <w:bCs/>
          <w:color w:val="000000"/>
          <w:sz w:val="24"/>
          <w:szCs w:val="24"/>
          <w:highlight w:val="none"/>
        </w:rPr>
        <w:t xml:space="preserve">☑</w:t>
      </w:r>
      <w:r>
        <w:rPr>
          <w:rFonts w:hint="eastAsia" w:ascii="宋体" w:hAnsi="宋体" w:cs="宋体"/>
          <w:color w:val="000000"/>
          <w:sz w:val="24"/>
          <w:szCs w:val="24"/>
          <w:highlight w:val="none"/>
        </w:rPr>
        <w:t xml:space="preserve">审核工程竣工结算    </w:t>
      </w:r>
      <w:r>
        <w:rPr>
          <w:rFonts w:hint="eastAsia" w:ascii="宋体" w:hAnsi="宋体" w:cs="宋体"/>
          <w:bCs/>
          <w:color w:val="000000"/>
          <w:sz w:val="24"/>
          <w:szCs w:val="24"/>
          <w:highlight w:val="none"/>
        </w:rPr>
        <w:t xml:space="preserve">☑</w:t>
      </w:r>
      <w:r>
        <w:rPr>
          <w:rFonts w:hint="eastAsia" w:ascii="宋体" w:hAnsi="宋体" w:cs="宋体"/>
          <w:color w:val="000000"/>
          <w:sz w:val="24"/>
          <w:szCs w:val="24"/>
          <w:highlight w:val="none"/>
        </w:rPr>
        <w:t xml:space="preserve">其它            </w:t>
      </w:r>
      <w:r>
        <w:rPr>
          <w:rFonts w:ascii="宋体" w:hAnsi="宋体" w:cs="宋体"/>
          <w:b/>
          <w:color w:val="000000"/>
          <w:sz w:val="24"/>
          <w:szCs w:val="24"/>
          <w:highlight w:val="none"/>
        </w:rPr>
      </w:r>
      <w:r/>
    </w:p>
    <w:p>
      <w:pPr>
        <w:pStyle w:val="1024"/>
        <w:ind w:firstLine="482"/>
        <w:spacing w:line="460" w:lineRule="exact"/>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2.2 造价咨询其它业务</w:t>
      </w:r>
      <w:r>
        <w:rPr>
          <w:rFonts w:ascii="宋体" w:hAnsi="宋体" w:cs="宋体"/>
          <w:b/>
          <w:color w:val="000000"/>
          <w:sz w:val="24"/>
          <w:szCs w:val="24"/>
          <w:highlight w:val="none"/>
        </w:rPr>
      </w:r>
      <w:r/>
    </w:p>
    <w:p>
      <w:pPr>
        <w:pStyle w:val="1024"/>
        <w:ind w:firstLine="480"/>
        <w:spacing w:line="460" w:lineRule="exact"/>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□工程造价鉴定及仲裁咨询   □编制工程造价计价依据</w:t>
      </w:r>
      <w:r>
        <w:rPr>
          <w:rFonts w:ascii="宋体" w:hAnsi="宋体" w:cs="宋体"/>
          <w:color w:val="000000"/>
          <w:sz w:val="24"/>
          <w:szCs w:val="24"/>
          <w:highlight w:val="none"/>
        </w:rPr>
      </w:r>
      <w:r/>
    </w:p>
    <w:p>
      <w:pPr>
        <w:pStyle w:val="1024"/>
        <w:ind w:firstLine="480"/>
        <w:spacing w:line="460" w:lineRule="exact"/>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□提供工程造价信息服务     </w:t>
      </w:r>
      <w:r>
        <w:rPr>
          <w:rFonts w:hint="eastAsia" w:ascii="宋体" w:hAnsi="宋体" w:cs="宋体"/>
          <w:bCs/>
          <w:color w:val="000000"/>
          <w:sz w:val="24"/>
          <w:szCs w:val="24"/>
          <w:highlight w:val="none"/>
        </w:rPr>
        <w:t xml:space="preserve">☑</w:t>
      </w:r>
      <w:r>
        <w:rPr>
          <w:rFonts w:hint="eastAsia" w:ascii="宋体" w:hAnsi="宋体" w:cs="宋体"/>
          <w:color w:val="000000"/>
          <w:sz w:val="24"/>
          <w:szCs w:val="24"/>
          <w:highlight w:val="none"/>
        </w:rPr>
        <w:t xml:space="preserve">其它</w:t>
      </w:r>
      <w:r>
        <w:rPr>
          <w:rFonts w:ascii="宋体" w:hAnsi="宋体" w:cs="宋体"/>
          <w:color w:val="000000"/>
          <w:sz w:val="24"/>
          <w:szCs w:val="24"/>
          <w:highlight w:val="none"/>
        </w:rPr>
      </w:r>
      <w:r/>
    </w:p>
    <w:p>
      <w:pPr>
        <w:pStyle w:val="1024"/>
        <w:ind w:firstLine="482"/>
        <w:spacing w:line="460" w:lineRule="exact"/>
        <w:rPr>
          <w:rFonts w:ascii="宋体" w:hAnsi="宋体" w:cs="宋体"/>
          <w:color w:val="000000"/>
          <w:sz w:val="24"/>
          <w:szCs w:val="24"/>
          <w:highlight w:val="none"/>
        </w:rPr>
      </w:pPr>
      <w:r>
        <w:rPr>
          <w:rFonts w:hint="eastAsia" w:ascii="宋体" w:hAnsi="宋体" w:cs="宋体"/>
          <w:b/>
          <w:color w:val="000000"/>
          <w:sz w:val="24"/>
          <w:szCs w:val="24"/>
          <w:highlight w:val="none"/>
        </w:rPr>
        <w:t xml:space="preserve">第四条</w:t>
      </w:r>
      <w:r>
        <w:rPr>
          <w:rFonts w:hint="eastAsia" w:ascii="宋体" w:hAnsi="宋体" w:cs="宋体"/>
          <w:color w:val="000000"/>
          <w:sz w:val="24"/>
          <w:szCs w:val="24"/>
          <w:highlight w:val="none"/>
        </w:rPr>
        <w:t xml:space="preserve">  实施工程施工阶段造价咨询业务，要求咨询人常驻施工现场时，由委托人提供下列必要的办公条件：</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r>
      <w:r/>
    </w:p>
    <w:p>
      <w:pPr>
        <w:pStyle w:val="1024"/>
        <w:ind w:firstLine="482"/>
        <w:spacing w:line="460" w:lineRule="exact"/>
        <w:rPr>
          <w:rFonts w:ascii="宋体" w:hAnsi="宋体" w:cs="宋体"/>
          <w:color w:val="000000"/>
          <w:sz w:val="24"/>
          <w:szCs w:val="24"/>
          <w:highlight w:val="none"/>
        </w:rPr>
      </w:pPr>
      <w:r>
        <w:rPr>
          <w:rFonts w:hint="eastAsia" w:ascii="宋体" w:hAnsi="宋体" w:cs="宋体"/>
          <w:b/>
          <w:color w:val="000000"/>
          <w:sz w:val="24"/>
          <w:szCs w:val="24"/>
          <w:highlight w:val="none"/>
        </w:rPr>
        <w:t xml:space="preserve">第五条</w:t>
      </w:r>
      <w:r>
        <w:rPr>
          <w:rFonts w:hint="eastAsia" w:ascii="宋体" w:hAnsi="宋体" w:cs="宋体"/>
          <w:color w:val="000000"/>
          <w:sz w:val="24"/>
          <w:szCs w:val="24"/>
          <w:highlight w:val="none"/>
        </w:rPr>
        <w:t xml:space="preserve">  双方约定的委托人应提供的建设工程造价咨询材料及提供时间：</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按委托人要求的时间和咨询人承诺的时间。　　　　　　</w:t>
      </w:r>
      <w:r>
        <w:rPr>
          <w:rFonts w:ascii="宋体" w:hAnsi="宋体" w:cs="宋体"/>
          <w:color w:val="000000"/>
          <w:sz w:val="24"/>
          <w:szCs w:val="24"/>
          <w:highlight w:val="none"/>
        </w:rPr>
      </w:r>
      <w:r/>
    </w:p>
    <w:p>
      <w:pPr>
        <w:pStyle w:val="1024"/>
        <w:ind w:firstLine="482"/>
        <w:spacing w:line="460" w:lineRule="exact"/>
        <w:rPr>
          <w:rFonts w:ascii="宋体" w:hAnsi="宋体" w:cs="宋体"/>
          <w:color w:val="000000"/>
          <w:sz w:val="24"/>
          <w:szCs w:val="24"/>
          <w:highlight w:val="none"/>
        </w:rPr>
      </w:pPr>
      <w:r>
        <w:rPr>
          <w:rFonts w:hint="eastAsia" w:ascii="宋体" w:hAnsi="宋体" w:cs="宋体"/>
          <w:b/>
          <w:color w:val="000000"/>
          <w:sz w:val="24"/>
          <w:szCs w:val="24"/>
          <w:highlight w:val="none"/>
        </w:rPr>
        <w:t xml:space="preserve">第六条</w:t>
      </w:r>
      <w:r>
        <w:rPr>
          <w:rFonts w:hint="eastAsia" w:ascii="宋体" w:hAnsi="宋体" w:cs="宋体"/>
          <w:color w:val="000000"/>
          <w:sz w:val="24"/>
          <w:szCs w:val="24"/>
          <w:highlight w:val="none"/>
        </w:rPr>
        <w:t xml:space="preserve">  委托人应在</w:t>
      </w:r>
      <w:r>
        <w:rPr>
          <w:rFonts w:hint="eastAsia" w:ascii="宋体" w:hAnsi="宋体" w:cs="宋体"/>
          <w:color w:val="000000"/>
          <w:sz w:val="24"/>
          <w:szCs w:val="24"/>
          <w:highlight w:val="none"/>
          <w:u w:val="single"/>
        </w:rPr>
        <w:t xml:space="preserve">　10  </w:t>
      </w:r>
      <w:r>
        <w:rPr>
          <w:rFonts w:hint="eastAsia" w:ascii="宋体" w:hAnsi="宋体" w:cs="宋体"/>
          <w:color w:val="000000"/>
          <w:sz w:val="24"/>
          <w:szCs w:val="24"/>
          <w:highlight w:val="none"/>
        </w:rPr>
        <w:t xml:space="preserve">日内对咨询人书面提交并要求做出答复的事宜做出书面答复。</w:t>
      </w:r>
      <w:r>
        <w:rPr>
          <w:rFonts w:ascii="宋体" w:hAnsi="宋体" w:cs="宋体"/>
          <w:color w:val="000000"/>
          <w:sz w:val="24"/>
          <w:szCs w:val="24"/>
          <w:highlight w:val="none"/>
        </w:rPr>
      </w:r>
      <w:r/>
    </w:p>
    <w:p>
      <w:pPr>
        <w:pStyle w:val="1024"/>
        <w:ind w:firstLine="482"/>
        <w:spacing w:line="460" w:lineRule="exact"/>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第七条</w:t>
      </w:r>
      <w:r>
        <w:rPr>
          <w:rFonts w:hint="eastAsia" w:ascii="宋体" w:hAnsi="宋体" w:cs="宋体"/>
          <w:color w:val="000000"/>
          <w:sz w:val="24"/>
          <w:szCs w:val="24"/>
          <w:highlight w:val="none"/>
        </w:rPr>
        <w:t xml:space="preserve">  委托人授权为本咨询业务的代表，负责与咨询人联系。</w:t>
      </w:r>
      <w:r>
        <w:rPr>
          <w:rFonts w:ascii="宋体" w:hAnsi="宋体" w:cs="宋体"/>
          <w:b/>
          <w:color w:val="000000"/>
          <w:sz w:val="24"/>
          <w:szCs w:val="24"/>
          <w:highlight w:val="none"/>
        </w:rPr>
      </w:r>
      <w:r/>
    </w:p>
    <w:p>
      <w:pPr>
        <w:pStyle w:val="1024"/>
        <w:ind w:firstLine="482"/>
        <w:spacing w:line="460" w:lineRule="exact"/>
        <w:rPr>
          <w:rFonts w:ascii="宋体" w:hAnsi="宋体" w:cs="宋体"/>
          <w:color w:val="000000"/>
          <w:sz w:val="24"/>
          <w:szCs w:val="24"/>
          <w:highlight w:val="none"/>
        </w:rPr>
      </w:pPr>
      <w:r>
        <w:rPr>
          <w:rFonts w:hint="eastAsia" w:ascii="宋体" w:hAnsi="宋体" w:cs="宋体"/>
          <w:b/>
          <w:color w:val="000000"/>
          <w:sz w:val="24"/>
          <w:szCs w:val="24"/>
          <w:highlight w:val="none"/>
        </w:rPr>
        <w:t xml:space="preserve">第八条</w:t>
      </w:r>
      <w:r>
        <w:rPr>
          <w:rFonts w:hint="eastAsia" w:ascii="宋体" w:hAnsi="宋体" w:cs="宋体"/>
          <w:color w:val="000000"/>
          <w:sz w:val="24"/>
          <w:szCs w:val="24"/>
          <w:highlight w:val="none"/>
        </w:rPr>
        <w:t xml:space="preserve">  咨询人在其责任期内如果因自身原因给委托方造成经济损失时，同意按以下办法承担责任，向委托方支付赔偿金：赔偿金=直接经济损失×酬金比率（扣除税金）,最高额度为工程咨询费的100%。</w:t>
      </w:r>
      <w:r>
        <w:rPr>
          <w:rFonts w:ascii="宋体" w:hAnsi="宋体" w:cs="宋体"/>
          <w:color w:val="000000"/>
          <w:sz w:val="24"/>
          <w:szCs w:val="24"/>
          <w:highlight w:val="none"/>
        </w:rPr>
      </w:r>
      <w:r/>
    </w:p>
    <w:p>
      <w:pPr>
        <w:pStyle w:val="1024"/>
        <w:ind w:firstLine="482"/>
        <w:spacing w:line="460" w:lineRule="exact"/>
        <w:rPr>
          <w:rFonts w:ascii="宋体" w:hAnsi="宋体" w:cs="宋体"/>
          <w:color w:val="000000"/>
          <w:sz w:val="24"/>
          <w:szCs w:val="24"/>
          <w:highlight w:val="none"/>
        </w:rPr>
      </w:pPr>
      <w:r>
        <w:rPr>
          <w:rFonts w:hint="eastAsia" w:ascii="宋体" w:hAnsi="宋体" w:cs="宋体"/>
          <w:b/>
          <w:color w:val="000000"/>
          <w:sz w:val="24"/>
          <w:szCs w:val="24"/>
          <w:highlight w:val="none"/>
        </w:rPr>
        <w:t xml:space="preserve">第九条</w:t>
      </w:r>
      <w:r>
        <w:rPr>
          <w:rFonts w:hint="eastAsia" w:ascii="宋体" w:hAnsi="宋体" w:cs="宋体"/>
          <w:color w:val="000000"/>
          <w:sz w:val="24"/>
          <w:szCs w:val="24"/>
          <w:highlight w:val="none"/>
        </w:rPr>
        <w:t xml:space="preserve">  委托人对其提供资料的真实性、完整性和有效性负责，由此造成的咨询人工作的缺陷或失误及额外工作由委托人负责对咨询人进行赔偿。 本合同约定的资料完整提供时间为</w:t>
      </w:r>
      <w:r>
        <w:rPr>
          <w:rFonts w:hint="eastAsia" w:ascii="宋体" w:hAnsi="宋体" w:cs="宋体"/>
          <w:color w:val="000000"/>
          <w:sz w:val="24"/>
          <w:szCs w:val="24"/>
          <w:highlight w:val="none"/>
          <w:u w:val="single"/>
        </w:rPr>
        <w:t xml:space="preserve">  /  </w:t>
      </w:r>
      <w:r>
        <w:rPr>
          <w:rFonts w:hint="eastAsia" w:ascii="宋体" w:hAnsi="宋体" w:cs="宋体"/>
          <w:color w:val="000000"/>
          <w:sz w:val="24"/>
          <w:szCs w:val="24"/>
          <w:highlight w:val="none"/>
        </w:rPr>
        <w:t xml:space="preserve">年</w:t>
      </w:r>
      <w:r>
        <w:rPr>
          <w:rFonts w:hint="eastAsia" w:ascii="宋体" w:hAnsi="宋体" w:cs="宋体"/>
          <w:color w:val="000000"/>
          <w:sz w:val="24"/>
          <w:szCs w:val="24"/>
          <w:highlight w:val="none"/>
          <w:u w:val="single"/>
        </w:rPr>
        <w:t xml:space="preserve">  /  </w:t>
      </w:r>
      <w:r>
        <w:rPr>
          <w:rFonts w:hint="eastAsia" w:ascii="宋体" w:hAnsi="宋体" w:cs="宋体"/>
          <w:color w:val="000000"/>
          <w:sz w:val="24"/>
          <w:szCs w:val="24"/>
          <w:highlight w:val="none"/>
        </w:rPr>
        <w:t xml:space="preserve">月</w:t>
      </w:r>
      <w:r>
        <w:rPr>
          <w:rFonts w:hint="eastAsia" w:ascii="宋体" w:hAnsi="宋体" w:cs="宋体"/>
          <w:color w:val="000000"/>
          <w:sz w:val="24"/>
          <w:szCs w:val="24"/>
          <w:highlight w:val="none"/>
          <w:u w:val="single"/>
        </w:rPr>
        <w:t xml:space="preserve">  /  </w:t>
      </w:r>
      <w:r>
        <w:rPr>
          <w:rFonts w:hint="eastAsia" w:ascii="宋体" w:hAnsi="宋体" w:cs="宋体"/>
          <w:color w:val="000000"/>
          <w:sz w:val="24"/>
          <w:szCs w:val="24"/>
          <w:highlight w:val="none"/>
        </w:rPr>
        <w:t xml:space="preserve">日。</w:t>
      </w:r>
      <w:r>
        <w:rPr>
          <w:rFonts w:ascii="宋体" w:hAnsi="宋体" w:cs="宋体"/>
          <w:color w:val="000000"/>
          <w:sz w:val="24"/>
          <w:szCs w:val="24"/>
          <w:highlight w:val="none"/>
        </w:rPr>
      </w:r>
      <w:r/>
    </w:p>
    <w:p>
      <w:pPr>
        <w:pStyle w:val="1024"/>
        <w:ind w:firstLine="482"/>
        <w:spacing w:line="460" w:lineRule="exact"/>
        <w:rPr>
          <w:rFonts w:ascii="宋体" w:hAnsi="宋体" w:cs="宋体"/>
          <w:color w:val="000000"/>
          <w:sz w:val="24"/>
          <w:szCs w:val="24"/>
          <w:highlight w:val="none"/>
        </w:rPr>
      </w:pPr>
      <w:r>
        <w:rPr>
          <w:rFonts w:hint="eastAsia" w:ascii="宋体" w:hAnsi="宋体" w:cs="宋体"/>
          <w:b/>
          <w:color w:val="000000"/>
          <w:sz w:val="24"/>
          <w:szCs w:val="24"/>
          <w:highlight w:val="none"/>
        </w:rPr>
        <w:t xml:space="preserve">第十条</w:t>
      </w:r>
      <w:r>
        <w:rPr>
          <w:rFonts w:hint="eastAsia" w:ascii="宋体" w:hAnsi="宋体" w:cs="宋体"/>
          <w:color w:val="000000"/>
          <w:sz w:val="24"/>
          <w:szCs w:val="24"/>
          <w:highlight w:val="none"/>
        </w:rPr>
        <w:t xml:space="preserve">  咨询人发生额外工作包括：</w:t>
      </w:r>
      <w:r>
        <w:rPr>
          <w:rFonts w:ascii="宋体" w:hAnsi="宋体" w:cs="宋体"/>
          <w:color w:val="000000"/>
          <w:sz w:val="24"/>
          <w:szCs w:val="24"/>
          <w:highlight w:val="none"/>
        </w:rPr>
      </w:r>
      <w:r/>
    </w:p>
    <w:p>
      <w:pPr>
        <w:pStyle w:val="1024"/>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□由于委托人提供的图纸等条件资料不全或发生变化，咨询人根据变化的条件资料发生的重复咨询工作；</w:t>
      </w:r>
      <w:r>
        <w:rPr>
          <w:rFonts w:ascii="宋体" w:hAnsi="宋体" w:cs="宋体"/>
          <w:color w:val="000000"/>
          <w:sz w:val="24"/>
          <w:szCs w:val="24"/>
          <w:highlight w:val="none"/>
        </w:rPr>
      </w:r>
      <w:r/>
    </w:p>
    <w:p>
      <w:pPr>
        <w:pStyle w:val="1024"/>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□实施工程施工阶段造价咨询业务，由于委托人或第三人的原因工程建设周期延长；</w:t>
      </w:r>
      <w:r>
        <w:rPr>
          <w:rFonts w:ascii="宋体" w:hAnsi="宋体" w:cs="宋体"/>
          <w:color w:val="000000"/>
          <w:sz w:val="24"/>
          <w:szCs w:val="24"/>
          <w:highlight w:val="none"/>
        </w:rPr>
      </w:r>
      <w:r/>
    </w:p>
    <w:p>
      <w:pPr>
        <w:pStyle w:val="1024"/>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□其它。</w:t>
      </w:r>
      <w:r>
        <w:rPr>
          <w:rFonts w:ascii="宋体" w:hAnsi="宋体" w:cs="宋体"/>
          <w:color w:val="000000"/>
          <w:sz w:val="24"/>
          <w:szCs w:val="24"/>
          <w:highlight w:val="none"/>
        </w:rPr>
      </w:r>
      <w:r/>
    </w:p>
    <w:p>
      <w:pPr>
        <w:pStyle w:val="1024"/>
        <w:ind w:firstLine="482"/>
        <w:spacing w:line="460" w:lineRule="exact"/>
        <w:rPr>
          <w:rFonts w:ascii="宋体" w:hAnsi="宋体" w:cs="宋体"/>
          <w:color w:val="000000"/>
          <w:sz w:val="24"/>
          <w:szCs w:val="24"/>
          <w:highlight w:val="none"/>
        </w:rPr>
      </w:pPr>
      <w:r>
        <w:rPr>
          <w:rFonts w:hint="eastAsia" w:ascii="宋体" w:hAnsi="宋体" w:cs="宋体"/>
          <w:b/>
          <w:color w:val="000000"/>
          <w:sz w:val="24"/>
          <w:szCs w:val="24"/>
          <w:highlight w:val="none"/>
        </w:rPr>
        <w:t xml:space="preserve">第十一条</w:t>
      </w:r>
      <w:r>
        <w:rPr>
          <w:rFonts w:hint="eastAsia" w:ascii="宋体" w:hAnsi="宋体" w:cs="宋体"/>
          <w:color w:val="000000"/>
          <w:sz w:val="24"/>
          <w:szCs w:val="24"/>
          <w:highlight w:val="none"/>
        </w:rPr>
        <w:t xml:space="preserve">  委托人同意按以下的计算方法、支付时间与金额，支付咨询人的正常服务酬金：</w:t>
      </w:r>
      <w:r>
        <w:rPr>
          <w:rFonts w:ascii="宋体" w:hAnsi="宋体" w:cs="宋体"/>
          <w:color w:val="000000"/>
          <w:sz w:val="24"/>
          <w:szCs w:val="24"/>
          <w:highlight w:val="none"/>
        </w:rPr>
      </w:r>
      <w:r/>
    </w:p>
    <w:p>
      <w:pPr>
        <w:pStyle w:val="1024"/>
        <w:ind w:firstLine="482"/>
        <w:spacing w:line="460" w:lineRule="exact"/>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1、正常酬金计算方法</w:t>
      </w:r>
      <w:r>
        <w:rPr>
          <w:rFonts w:ascii="宋体" w:hAnsi="宋体" w:cs="宋体"/>
          <w:b/>
          <w:color w:val="000000"/>
          <w:sz w:val="24"/>
          <w:szCs w:val="24"/>
          <w:highlight w:val="none"/>
        </w:rPr>
      </w:r>
      <w:r/>
    </w:p>
    <w:p>
      <w:pPr>
        <w:pStyle w:val="1024"/>
        <w:ind w:firstLine="480"/>
        <w:spacing w:line="460" w:lineRule="exact"/>
        <w:rPr>
          <w:rFonts w:ascii="宋体" w:hAnsi="宋体" w:cs="宋体"/>
          <w:color w:val="000000"/>
          <w:sz w:val="24"/>
          <w:szCs w:val="24"/>
          <w:highlight w:val="none"/>
          <w:u w:val="single"/>
          <w:shd w:val="clear" w:color="auto" w:fill="ffffff"/>
        </w:rPr>
      </w:pPr>
      <w:r>
        <w:rPr>
          <w:rFonts w:hint="eastAsia" w:ascii="宋体" w:hAnsi="宋体" w:cs="宋体"/>
          <w:color w:val="000000"/>
          <w:sz w:val="24"/>
          <w:szCs w:val="24"/>
          <w:highlight w:val="none"/>
          <w:u w:val="single"/>
          <w:shd w:val="clear" w:color="auto" w:fill="ffffff"/>
        </w:rPr>
        <w:t xml:space="preserve">结算服务费=中标价（¥            元）</w:t>
      </w:r>
      <w:r>
        <w:rPr>
          <w:rFonts w:hint="eastAsia" w:ascii="宋体" w:hAnsi="宋体" w:cs="宋体"/>
          <w:color w:val="000000"/>
          <w:sz w:val="24"/>
          <w:szCs w:val="24"/>
          <w:highlight w:val="none"/>
          <w:shd w:val="clear" w:color="auto" w:fill="ffffff"/>
        </w:rPr>
        <w:t xml:space="preserve">。</w:t>
      </w:r>
      <w:r>
        <w:rPr>
          <w:rFonts w:ascii="宋体" w:hAnsi="宋体" w:cs="宋体"/>
          <w:color w:val="000000"/>
          <w:sz w:val="24"/>
          <w:szCs w:val="24"/>
          <w:highlight w:val="none"/>
          <w:u w:val="single"/>
          <w:shd w:val="clear" w:color="auto" w:fill="ffffff"/>
        </w:rPr>
      </w:r>
      <w:r/>
    </w:p>
    <w:p>
      <w:pPr>
        <w:pStyle w:val="1024"/>
        <w:ind w:firstLine="482"/>
        <w:spacing w:line="460" w:lineRule="exact"/>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2、正常酬金支付方式</w:t>
      </w:r>
      <w:r>
        <w:rPr>
          <w:rFonts w:ascii="宋体" w:hAnsi="宋体" w:cs="宋体"/>
          <w:b/>
          <w:color w:val="000000"/>
          <w:sz w:val="24"/>
          <w:szCs w:val="24"/>
          <w:highlight w:val="none"/>
        </w:rPr>
      </w:r>
      <w:r/>
    </w:p>
    <w:p>
      <w:pPr>
        <w:pStyle w:val="1024"/>
        <w:ind w:firstLine="480"/>
        <w:spacing w:line="460" w:lineRule="exact"/>
        <w:rPr>
          <w:rFonts w:ascii="宋体" w:hAnsi="宋体" w:cs="宋体"/>
          <w:color w:val="000000"/>
          <w:sz w:val="24"/>
          <w:szCs w:val="24"/>
          <w:highlight w:val="none"/>
          <w:lang w:val="zh-CN"/>
        </w:rPr>
      </w:pPr>
      <w:r>
        <w:rPr>
          <w:rFonts w:hint="eastAsia" w:ascii="宋体" w:hAnsi="宋体" w:cs="宋体"/>
          <w:color w:val="000000"/>
          <w:sz w:val="24"/>
          <w:szCs w:val="24"/>
          <w:highlight w:val="none"/>
        </w:rPr>
        <w:t xml:space="preserve">2.1、预付款支付时间：合同签订</w:t>
      </w:r>
      <w:r>
        <w:rPr>
          <w:rFonts w:hint="eastAsia" w:ascii="宋体" w:hAnsi="宋体" w:cs="宋体"/>
          <w:color w:val="000000"/>
          <w:sz w:val="24"/>
          <w:szCs w:val="24"/>
          <w:highlight w:val="none"/>
          <w:lang w:val="zh-CN"/>
        </w:rPr>
        <w:t xml:space="preserve">后，甲方收到预付款发票后10个工作日内，预付款支付比例：合同金额的30%（在签订合同时，如乙方明确书面表示无需预付款或者主动要求降低预付款比例的，经双方协商甲方可就预付款比例作相应调整）。</w:t>
      </w:r>
      <w:r>
        <w:rPr>
          <w:rFonts w:ascii="宋体" w:hAnsi="宋体" w:cs="宋体"/>
          <w:color w:val="000000"/>
          <w:sz w:val="24"/>
          <w:szCs w:val="24"/>
          <w:highlight w:val="none"/>
          <w:lang w:val="zh-CN"/>
        </w:rPr>
      </w:r>
      <w:r/>
    </w:p>
    <w:p>
      <w:pPr>
        <w:pStyle w:val="1024"/>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2.2、尾款支付时间：项目审计结束且出具审定单以及工程造价咨询报告，经甲方同意审核结论并验收后，一次性付清合同金额的剩余服务费；如有乙方有违约情况，则扣除违约金后一次性付清服务费，以上付款均不计利息。</w:t>
      </w:r>
      <w:r>
        <w:rPr>
          <w:rFonts w:ascii="宋体" w:hAnsi="宋体" w:cs="宋体"/>
          <w:color w:val="000000"/>
          <w:sz w:val="24"/>
          <w:szCs w:val="24"/>
          <w:highlight w:val="none"/>
        </w:rPr>
      </w:r>
      <w:r/>
    </w:p>
    <w:p>
      <w:pPr>
        <w:pStyle w:val="1024"/>
        <w:ind w:firstLine="482"/>
        <w:spacing w:line="460" w:lineRule="exact"/>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3、其他约定</w:t>
      </w:r>
      <w:r>
        <w:rPr>
          <w:rFonts w:ascii="宋体" w:hAnsi="宋体" w:cs="宋体"/>
          <w:b/>
          <w:color w:val="000000"/>
          <w:sz w:val="24"/>
          <w:szCs w:val="24"/>
          <w:highlight w:val="none"/>
        </w:rPr>
      </w:r>
      <w:r/>
    </w:p>
    <w:p>
      <w:pPr>
        <w:pStyle w:val="1024"/>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本合同无履约保证金。</w:t>
      </w:r>
      <w:r>
        <w:rPr>
          <w:rFonts w:ascii="宋体" w:hAnsi="宋体" w:cs="宋体"/>
          <w:color w:val="000000"/>
          <w:sz w:val="24"/>
          <w:szCs w:val="24"/>
          <w:highlight w:val="none"/>
        </w:rPr>
      </w:r>
      <w:r/>
    </w:p>
    <w:p>
      <w:pPr>
        <w:pStyle w:val="1024"/>
        <w:ind w:firstLine="482"/>
        <w:spacing w:line="460" w:lineRule="exact"/>
        <w:rPr>
          <w:rFonts w:ascii="宋体" w:hAnsi="宋体" w:cs="宋体"/>
          <w:color w:val="000000"/>
          <w:sz w:val="24"/>
          <w:szCs w:val="24"/>
          <w:highlight w:val="none"/>
        </w:rPr>
      </w:pPr>
      <w:r>
        <w:rPr>
          <w:rFonts w:hint="eastAsia" w:ascii="宋体" w:hAnsi="宋体" w:cs="宋体"/>
          <w:b/>
          <w:color w:val="000000"/>
          <w:sz w:val="24"/>
          <w:szCs w:val="24"/>
          <w:highlight w:val="none"/>
        </w:rPr>
        <w:t xml:space="preserve">第十二条</w:t>
      </w:r>
      <w:r>
        <w:rPr>
          <w:rFonts w:hint="eastAsia" w:ascii="宋体" w:hAnsi="宋体" w:cs="宋体"/>
          <w:color w:val="000000"/>
          <w:sz w:val="24"/>
          <w:szCs w:val="24"/>
          <w:highlight w:val="none"/>
        </w:rPr>
        <w:t xml:space="preserve">  咨询人依据造价行业主管部门及国家的有关规定及要求开展造价咨询工作，咨询质量满足委托方及行业主管的要求。咨询人提交的咨询成果报告须文字清晰整齐，有较强的可复查性。为保证咨询质量，委托人与咨询人约定，质量奖罚条款如下：详见附加条款。</w:t>
      </w:r>
      <w:r>
        <w:rPr>
          <w:rFonts w:ascii="宋体" w:hAnsi="宋体" w:cs="宋体"/>
          <w:color w:val="000000"/>
          <w:sz w:val="24"/>
          <w:szCs w:val="24"/>
          <w:highlight w:val="none"/>
        </w:rPr>
      </w:r>
      <w:r/>
    </w:p>
    <w:p>
      <w:pPr>
        <w:pStyle w:val="1024"/>
        <w:ind w:firstLine="482"/>
        <w:spacing w:line="460" w:lineRule="exact"/>
        <w:rPr>
          <w:rFonts w:ascii="宋体" w:hAnsi="宋体" w:cs="宋体"/>
          <w:color w:val="000000"/>
          <w:sz w:val="24"/>
          <w:szCs w:val="24"/>
          <w:highlight w:val="none"/>
        </w:rPr>
      </w:pPr>
      <w:r>
        <w:rPr>
          <w:rFonts w:hint="eastAsia" w:ascii="宋体" w:hAnsi="宋体" w:cs="宋体"/>
          <w:b/>
          <w:color w:val="000000"/>
          <w:sz w:val="24"/>
          <w:szCs w:val="24"/>
          <w:highlight w:val="none"/>
        </w:rPr>
        <w:t xml:space="preserve">第十三条</w:t>
      </w:r>
      <w:r>
        <w:rPr>
          <w:rFonts w:hint="eastAsia" w:ascii="宋体" w:hAnsi="宋体" w:cs="宋体"/>
          <w:color w:val="000000"/>
          <w:sz w:val="24"/>
          <w:szCs w:val="24"/>
          <w:highlight w:val="none"/>
        </w:rPr>
        <w:t xml:space="preserve">  建设工程造价咨询合同在履行过程中发生争议，委托人与咨询人应及时协商解决；如未能达成一致，可提交有关主管部门调解；协商或调解不成的，提交委托人所属地区法院解决。</w:t>
      </w:r>
      <w:r>
        <w:rPr>
          <w:rFonts w:ascii="宋体" w:hAnsi="宋体" w:cs="宋体"/>
          <w:color w:val="000000"/>
          <w:sz w:val="24"/>
          <w:szCs w:val="24"/>
          <w:highlight w:val="none"/>
        </w:rPr>
      </w:r>
      <w:r/>
    </w:p>
    <w:p>
      <w:pPr>
        <w:pStyle w:val="1024"/>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 第十四条、本合同的建设工程造价咨询业务：从合同签订之日起至整个项目竣工验收合格，同时移交全部审计资料至采购人为止。若委托人提供咨询资料延后则时间相应顺延，若增加工作内容具体完成时间另行约定。</w:t>
      </w:r>
      <w:r>
        <w:rPr>
          <w:rFonts w:ascii="宋体" w:hAnsi="宋体" w:cs="宋体"/>
          <w:color w:val="000000"/>
          <w:sz w:val="24"/>
          <w:szCs w:val="24"/>
          <w:highlight w:val="none"/>
        </w:rPr>
      </w:r>
      <w:r/>
    </w:p>
    <w:p>
      <w:pPr>
        <w:pStyle w:val="1024"/>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第十五条、委托人提供的建设工程造价咨询材料齐全后，咨询人应在60日内完成咨询工作，出具审定单及提供完整的咨询报告。</w:t>
      </w:r>
      <w:r>
        <w:rPr>
          <w:rFonts w:ascii="宋体" w:hAnsi="宋体" w:cs="宋体"/>
          <w:color w:val="000000"/>
          <w:sz w:val="24"/>
          <w:szCs w:val="24"/>
          <w:highlight w:val="none"/>
        </w:rPr>
      </w:r>
      <w:r/>
    </w:p>
    <w:p>
      <w:pPr>
        <w:pStyle w:val="1024"/>
        <w:ind w:firstLine="482"/>
        <w:spacing w:line="460" w:lineRule="exact"/>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附加协议条款：</w:t>
      </w:r>
      <w:r>
        <w:rPr>
          <w:rFonts w:ascii="宋体" w:hAnsi="宋体" w:cs="宋体"/>
          <w:b/>
          <w:color w:val="000000"/>
          <w:sz w:val="24"/>
          <w:szCs w:val="24"/>
          <w:highlight w:val="none"/>
        </w:rPr>
      </w:r>
      <w:r/>
    </w:p>
    <w:p>
      <w:pPr>
        <w:pStyle w:val="1024"/>
        <w:ind w:firstLine="482"/>
        <w:spacing w:line="460" w:lineRule="exact"/>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（一）咨询人现场跟审要求：</w:t>
      </w:r>
      <w:r>
        <w:rPr>
          <w:rFonts w:ascii="宋体" w:hAnsi="宋体" w:cs="宋体"/>
          <w:b/>
          <w:bCs/>
          <w:color w:val="000000"/>
          <w:sz w:val="24"/>
          <w:szCs w:val="24"/>
          <w:highlight w:val="none"/>
        </w:rPr>
      </w:r>
      <w:r/>
    </w:p>
    <w:p>
      <w:pPr>
        <w:pStyle w:val="1024"/>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1、咨询人人员配置：在合同有效期内，跟审单位须确保每周至少有四名具备相应资质的审计人员全职驻场进行跟踪审计工作。</w:t>
      </w:r>
      <w:r>
        <w:rPr>
          <w:rFonts w:ascii="宋体" w:hAnsi="宋体" w:cs="宋体"/>
          <w:color w:val="000000"/>
          <w:sz w:val="24"/>
          <w:szCs w:val="24"/>
          <w:highlight w:val="none"/>
        </w:rPr>
      </w:r>
      <w:r/>
    </w:p>
    <w:p>
      <w:pPr>
        <w:pStyle w:val="1024"/>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咨询人跟审名单与资质：咨询人应在合同生效后三日内，向采购人提交常驻审计人员名单及其从业资质证明文件（如相关执业证书复印件），并经采购人书面确认。如需更换驻场人员，咨询人应至少提前七个工作日书面通知采购人，并提供拟替换人员的资质证明，获得采购人书面同意后方可更换。</w:t>
      </w:r>
      <w:r>
        <w:rPr>
          <w:rFonts w:ascii="宋体" w:hAnsi="宋体" w:cs="宋体"/>
          <w:color w:val="000000"/>
          <w:sz w:val="24"/>
          <w:szCs w:val="24"/>
          <w:highlight w:val="none"/>
        </w:rPr>
      </w:r>
      <w:r/>
    </w:p>
    <w:p>
      <w:pPr>
        <w:pStyle w:val="1024"/>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咨询人安排在施工场地的审计人员应与承诺的名单一致，并保持相对稳定；尽管咨询人已按承诺派遣了上述各类人员，但若这些人员仍不能满足合同进度计划和（或）质量要求时，咨询人有权要求咨询人继续增派或雇用这类人员，并书面通知咨询人。咨询人不得无故拖延，由此增加的费用由跟审单位承担。</w:t>
      </w:r>
      <w:r>
        <w:rPr>
          <w:rFonts w:ascii="宋体" w:hAnsi="宋体" w:cs="宋体"/>
          <w:color w:val="000000"/>
          <w:sz w:val="24"/>
          <w:szCs w:val="24"/>
          <w:highlight w:val="none"/>
        </w:rPr>
      </w:r>
      <w:r/>
    </w:p>
    <w:p>
      <w:pPr>
        <w:pStyle w:val="1024"/>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3、咨询人考勤：咨询人驻场人员应严格遵守采购人的现场管理制度，并在每月底提交签到考勤表，考勤记录将作为判定咨询人是否满足人员配置要求的主要依据。</w:t>
      </w:r>
      <w:r>
        <w:rPr>
          <w:rFonts w:ascii="宋体" w:hAnsi="宋体" w:cs="宋体"/>
          <w:color w:val="000000"/>
          <w:sz w:val="24"/>
          <w:szCs w:val="24"/>
          <w:highlight w:val="none"/>
        </w:rPr>
      </w:r>
      <w:r/>
    </w:p>
    <w:p>
      <w:pPr>
        <w:pStyle w:val="1024"/>
        <w:ind w:firstLine="482"/>
        <w:spacing w:line="460" w:lineRule="exact"/>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（二） 跟审工作进度报告：</w:t>
      </w:r>
      <w:r>
        <w:rPr>
          <w:rFonts w:ascii="宋体" w:hAnsi="宋体" w:cs="宋体"/>
          <w:b/>
          <w:bCs/>
          <w:color w:val="000000"/>
          <w:sz w:val="24"/>
          <w:szCs w:val="24"/>
          <w:highlight w:val="none"/>
        </w:rPr>
      </w:r>
      <w:r/>
    </w:p>
    <w:p>
      <w:pPr>
        <w:pStyle w:val="1024"/>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咨询报告周期与时限：跟审单位须于每月五日（如遇节假日则顺延至下一个工作日），向采购人提交当月（上月一日至上月月末）的审计工作进度书面报告（以下简称“月报”）。</w:t>
      </w:r>
      <w:r>
        <w:rPr>
          <w:rFonts w:ascii="宋体" w:hAnsi="宋体" w:cs="宋体"/>
          <w:color w:val="000000"/>
          <w:sz w:val="24"/>
          <w:szCs w:val="24"/>
          <w:highlight w:val="none"/>
        </w:rPr>
      </w:r>
      <w:r/>
    </w:p>
    <w:p>
      <w:pPr>
        <w:pStyle w:val="1024"/>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1、咨询报告内容：月报内容应至少包括；</w:t>
      </w:r>
      <w:r>
        <w:rPr>
          <w:rFonts w:ascii="宋体" w:hAnsi="宋体" w:cs="宋体"/>
          <w:color w:val="000000"/>
          <w:sz w:val="24"/>
          <w:szCs w:val="24"/>
          <w:highlight w:val="none"/>
        </w:rPr>
      </w:r>
      <w:r/>
    </w:p>
    <w:p>
      <w:pPr>
        <w:pStyle w:val="1024"/>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2、当月完成的主要审计工作内容、成果及关键发现；</w:t>
      </w:r>
      <w:r>
        <w:rPr>
          <w:rFonts w:ascii="宋体" w:hAnsi="宋体" w:cs="宋体"/>
          <w:color w:val="000000"/>
          <w:sz w:val="24"/>
          <w:szCs w:val="24"/>
          <w:highlight w:val="none"/>
        </w:rPr>
      </w:r>
      <w:r/>
    </w:p>
    <w:p>
      <w:pPr>
        <w:pStyle w:val="1024"/>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3、计划完成情况与实际完成情况的对比分析（需对照双方确认的月度/阶段性工作计划）；</w:t>
      </w:r>
      <w:r>
        <w:rPr>
          <w:rFonts w:ascii="宋体" w:hAnsi="宋体" w:cs="宋体"/>
          <w:color w:val="000000"/>
          <w:sz w:val="24"/>
          <w:szCs w:val="24"/>
          <w:highlight w:val="none"/>
        </w:rPr>
      </w:r>
      <w:r/>
    </w:p>
    <w:p>
      <w:pPr>
        <w:pStyle w:val="1024"/>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4、存在的问题、风险及解决方案/建议；</w:t>
      </w:r>
      <w:r>
        <w:rPr>
          <w:rFonts w:ascii="宋体" w:hAnsi="宋体" w:cs="宋体"/>
          <w:color w:val="000000"/>
          <w:sz w:val="24"/>
          <w:szCs w:val="24"/>
          <w:highlight w:val="none"/>
        </w:rPr>
      </w:r>
      <w:r/>
    </w:p>
    <w:p>
      <w:pPr>
        <w:pStyle w:val="1024"/>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5、下月工作计划及需采购人协调的事项；</w:t>
      </w:r>
      <w:r>
        <w:rPr>
          <w:rFonts w:ascii="宋体" w:hAnsi="宋体" w:cs="宋体"/>
          <w:color w:val="000000"/>
          <w:sz w:val="24"/>
          <w:szCs w:val="24"/>
          <w:highlight w:val="none"/>
        </w:rPr>
      </w:r>
      <w:r/>
    </w:p>
    <w:p>
      <w:pPr>
        <w:pStyle w:val="1024"/>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6、当月的现场人员考勤汇总表（需负责人签字并加盖跟审单位公章）。</w:t>
      </w:r>
      <w:r>
        <w:rPr>
          <w:rFonts w:ascii="宋体" w:hAnsi="宋体" w:cs="宋体"/>
          <w:color w:val="000000"/>
          <w:sz w:val="24"/>
          <w:szCs w:val="24"/>
          <w:highlight w:val="none"/>
        </w:rPr>
      </w:r>
      <w:r/>
    </w:p>
    <w:p>
      <w:pPr>
        <w:pStyle w:val="1024"/>
        <w:ind w:firstLine="241"/>
        <w:spacing w:line="460" w:lineRule="exact"/>
        <w:rPr>
          <w:rFonts w:ascii="宋体" w:hAnsi="宋体" w:cs="宋体"/>
          <w:color w:val="000000"/>
          <w:sz w:val="24"/>
          <w:szCs w:val="24"/>
          <w:highlight w:val="none"/>
        </w:rPr>
      </w:pPr>
      <w:r>
        <w:rPr>
          <w:rFonts w:hint="eastAsia" w:ascii="宋体" w:hAnsi="宋体" w:cs="宋体"/>
          <w:b/>
          <w:bCs/>
          <w:color w:val="000000"/>
          <w:sz w:val="24"/>
          <w:szCs w:val="24"/>
          <w:highlight w:val="none"/>
        </w:rPr>
        <w:t xml:space="preserve"> (三)咨询人履约保证与违约责任：</w:t>
      </w:r>
      <w:r>
        <w:rPr>
          <w:rFonts w:ascii="宋体" w:hAnsi="宋体" w:cs="宋体"/>
          <w:color w:val="000000"/>
          <w:sz w:val="24"/>
          <w:szCs w:val="24"/>
          <w:highlight w:val="none"/>
        </w:rPr>
      </w:r>
      <w:r/>
    </w:p>
    <w:p>
      <w:pPr>
        <w:pStyle w:val="1024"/>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咨询人未达现场人员要求：若咨询人未能满足第1条（现场跟审要求）中关于每周最低驻场人数（四人）的要求（第1条第四款允许调整的情形除外），则视为咨询人违约一次。采购人有权按每次违约500元人民币的标准向咨询人收取违约金。</w:t>
      </w:r>
      <w:r>
        <w:rPr>
          <w:rFonts w:ascii="宋体" w:hAnsi="宋体" w:cs="宋体"/>
          <w:color w:val="000000"/>
          <w:sz w:val="24"/>
          <w:szCs w:val="24"/>
          <w:highlight w:val="none"/>
        </w:rPr>
      </w:r>
      <w:r/>
    </w:p>
    <w:p>
      <w:pPr>
        <w:pStyle w:val="1024"/>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咨询人的审计人员必须到岗到位，保证每月不少于22天工作日在工地现场，并每月底按时提交考勤表。在合同期内，投标文件中所列的项目经理及审计人员没有按时进场，或进场后，未经批准又离开工地，咨询人将按500元/人•天扣除违约金，直至缺员进场为止。审计人员未经批准擅自离岗连续15天或者累计30天及以上，咨询人有权解除合同。</w:t>
      </w:r>
      <w:r>
        <w:rPr>
          <w:rFonts w:ascii="宋体" w:hAnsi="宋体" w:cs="宋体"/>
          <w:color w:val="000000"/>
          <w:sz w:val="24"/>
          <w:szCs w:val="24"/>
          <w:highlight w:val="none"/>
        </w:rPr>
      </w:r>
      <w:r/>
    </w:p>
    <w:p>
      <w:pPr>
        <w:pStyle w:val="1024"/>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咨询人未按时提交进度报告：若跟审单位未能按照第2条（工作进度报告）的要求按时提交完整、合格的跟审月报（包括未按时提交、提交内容严重缺失或不符合要求），则视为咨询人违约一次。采购人有权按每次违约1000元人民币的标准向跟审单位收取违约金。</w:t>
      </w:r>
      <w:r>
        <w:rPr>
          <w:rFonts w:ascii="宋体" w:hAnsi="宋体" w:cs="宋体"/>
          <w:color w:val="000000"/>
          <w:sz w:val="24"/>
          <w:szCs w:val="24"/>
          <w:highlight w:val="none"/>
        </w:rPr>
      </w:r>
      <w:r/>
    </w:p>
    <w:p>
      <w:pPr>
        <w:pStyle w:val="1024"/>
        <w:ind w:firstLine="48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4、如未经采购人同意擅自更换项目经理或审计人员，视为违约一次，采购人有权按每次违约10000元/人的标准向咨询人收取违约金）。 </w:t>
      </w:r>
      <w:r>
        <w:rPr>
          <w:rFonts w:hint="eastAsia" w:ascii="宋体" w:hAnsi="宋体" w:cs="宋体"/>
          <w:color w:val="000000"/>
          <w:sz w:val="24"/>
          <w:szCs w:val="24"/>
          <w:highlight w:val="none"/>
        </w:rPr>
      </w:r>
      <w:r/>
    </w:p>
    <w:p>
      <w:pPr>
        <w:pStyle w:val="1024"/>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5、咨询人有吃拿卡要行为的，委托人扣除违约金5000元/人/次。 </w:t>
      </w:r>
      <w:r>
        <w:rPr>
          <w:rFonts w:ascii="宋体" w:hAnsi="宋体" w:cs="宋体"/>
          <w:color w:val="000000"/>
          <w:sz w:val="24"/>
          <w:szCs w:val="24"/>
          <w:highlight w:val="none"/>
        </w:rPr>
      </w:r>
      <w:r/>
    </w:p>
    <w:p>
      <w:pPr>
        <w:pStyle w:val="1024"/>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6、违约金的执行：</w:t>
      </w:r>
      <w:r>
        <w:rPr>
          <w:rFonts w:ascii="宋体" w:hAnsi="宋体" w:cs="宋体"/>
          <w:color w:val="000000"/>
          <w:sz w:val="24"/>
          <w:szCs w:val="24"/>
          <w:highlight w:val="none"/>
        </w:rPr>
      </w:r>
      <w:r/>
    </w:p>
    <w:p>
      <w:pPr>
        <w:pStyle w:val="1024"/>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违约金按次计算（每周人数不足计一次，每月报告延迟或不合格计一次）。</w:t>
      </w:r>
      <w:r>
        <w:rPr>
          <w:rFonts w:ascii="宋体" w:hAnsi="宋体" w:cs="宋体"/>
          <w:color w:val="000000"/>
          <w:sz w:val="24"/>
          <w:szCs w:val="24"/>
          <w:highlight w:val="none"/>
        </w:rPr>
      </w:r>
      <w:r/>
    </w:p>
    <w:p>
      <w:pPr>
        <w:pStyle w:val="1024"/>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1）采购人在发现违约情况后三个工作日内，向咨询人发出书面违约通知单，载明违约事实、依据及应支付的违约金金额。</w:t>
      </w:r>
      <w:r>
        <w:rPr>
          <w:rFonts w:ascii="宋体" w:hAnsi="宋体" w:cs="宋体"/>
          <w:color w:val="000000"/>
          <w:sz w:val="24"/>
          <w:szCs w:val="24"/>
          <w:highlight w:val="none"/>
        </w:rPr>
      </w:r>
      <w:r/>
    </w:p>
    <w:p>
      <w:pPr>
        <w:pStyle w:val="1024"/>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2）咨询人在合同期内收到通知单后累计的违约金）从采购人应付跟审单位的合同款项中直接扣除。</w:t>
      </w:r>
      <w:r>
        <w:rPr>
          <w:rFonts w:ascii="宋体" w:hAnsi="宋体" w:cs="宋体"/>
          <w:color w:val="000000"/>
          <w:sz w:val="24"/>
          <w:szCs w:val="24"/>
          <w:highlight w:val="none"/>
        </w:rPr>
      </w:r>
      <w:r/>
    </w:p>
    <w:p>
      <w:pPr>
        <w:pStyle w:val="1024"/>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3）咨询人支付违约金不免除其继续履行合同义务（如补足人员、补交合格报告）的责任。</w:t>
      </w:r>
      <w:r>
        <w:rPr>
          <w:rFonts w:ascii="宋体" w:hAnsi="宋体" w:cs="宋体"/>
          <w:color w:val="000000"/>
          <w:sz w:val="24"/>
          <w:szCs w:val="24"/>
          <w:highlight w:val="none"/>
        </w:rPr>
      </w:r>
      <w:r/>
    </w:p>
    <w:p>
      <w:pPr>
        <w:pStyle w:val="1024"/>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7、累积违约责任：</w:t>
      </w:r>
      <w:r>
        <w:rPr>
          <w:rFonts w:ascii="宋体" w:hAnsi="宋体" w:cs="宋体"/>
          <w:color w:val="000000"/>
          <w:sz w:val="24"/>
          <w:szCs w:val="24"/>
          <w:highlight w:val="none"/>
        </w:rPr>
      </w:r>
      <w:r/>
    </w:p>
    <w:p>
      <w:pPr>
        <w:pStyle w:val="1024"/>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1）同一自然月内，因咨询人原因累计发生违约达到二次以上，或跟审报告延迟/不合格累计达到一次，或累计违约总次数达到三次，采购人有权发出书面警告。</w:t>
      </w:r>
      <w:r>
        <w:rPr>
          <w:rFonts w:ascii="宋体" w:hAnsi="宋体" w:cs="宋体"/>
          <w:color w:val="000000"/>
          <w:sz w:val="24"/>
          <w:szCs w:val="24"/>
          <w:highlight w:val="none"/>
        </w:rPr>
      </w:r>
      <w:r/>
    </w:p>
    <w:p>
      <w:pPr>
        <w:pStyle w:val="1024"/>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在合同期内，累计收到采购人三次书面警告，或单次严重违约（连续两周以上人员严重不足、连续两个月未提交报告）对项目造成重大影响，采购人有权单方面解除合同，并保留进一步追究咨询人违约责任（包括但不限于赔偿损失）的权利。</w:t>
      </w:r>
      <w:r>
        <w:rPr>
          <w:rFonts w:ascii="宋体" w:hAnsi="宋体" w:cs="宋体"/>
          <w:color w:val="000000"/>
          <w:sz w:val="24"/>
          <w:szCs w:val="24"/>
          <w:highlight w:val="none"/>
        </w:rPr>
      </w:r>
      <w:r/>
    </w:p>
    <w:p>
      <w:pPr>
        <w:pStyle w:val="1024"/>
        <w:ind w:firstLine="482"/>
        <w:spacing w:line="460" w:lineRule="exact"/>
        <w:rPr>
          <w:rFonts w:ascii="宋体" w:hAnsi="宋体" w:cs="宋体"/>
          <w:color w:val="000000"/>
          <w:sz w:val="24"/>
          <w:szCs w:val="24"/>
          <w:highlight w:val="none"/>
        </w:rPr>
      </w:pPr>
      <w:r>
        <w:rPr>
          <w:rFonts w:hint="eastAsia" w:ascii="宋体" w:hAnsi="宋体" w:cs="宋体"/>
          <w:b/>
          <w:bCs/>
          <w:color w:val="000000"/>
          <w:sz w:val="24"/>
          <w:szCs w:val="24"/>
          <w:highlight w:val="none"/>
        </w:rPr>
        <w:t xml:space="preserve">（四）咨询人在实施审核过程中：</w:t>
      </w:r>
      <w:r>
        <w:rPr>
          <w:rFonts w:hint="eastAsia" w:ascii="宋体" w:hAnsi="宋体" w:cs="宋体"/>
          <w:color w:val="000000"/>
          <w:sz w:val="24"/>
          <w:szCs w:val="24"/>
          <w:highlight w:val="none"/>
        </w:rPr>
        <w:t xml:space="preserve">在接到委托人通知通常在委托人规定的时间内完成项目结算审核，并出具审核报告。如因不能及时提供完成，导致工作不能顺利开展的，将开具书面通知单，接受委托人5000元/次的处罚。</w:t>
      </w:r>
      <w:r>
        <w:rPr>
          <w:rFonts w:ascii="宋体" w:hAnsi="宋体" w:cs="宋体"/>
          <w:color w:val="000000"/>
          <w:sz w:val="24"/>
          <w:szCs w:val="24"/>
          <w:highlight w:val="none"/>
        </w:rPr>
      </w:r>
      <w:r/>
    </w:p>
    <w:p>
      <w:pPr>
        <w:pStyle w:val="1024"/>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五）咨询人出具的结算审核报告结果必须确保准确性。如咨询人的审核结果与二审的结果误差在1.0%以内（含1.0%），按应付咨询费总额的100%进行结算；与二审的误差在1.0%-1.5%之间（含1.5%），按应付咨询费总额的80%进行结算；与二审的误差在1.5%-2.0%之内（含2.0%），按应付咨询费总额的60%进行结算；与二审误差在2%以上时，则扣除全部咨询费用，并由咨询人赔偿因此行为给委托人造成的全部损失。误差率=│最终审定金额-一审审定金额│/一审审定金额*100%。</w:t>
      </w:r>
      <w:r>
        <w:rPr>
          <w:rFonts w:ascii="宋体" w:hAnsi="宋体" w:cs="宋体"/>
          <w:color w:val="000000"/>
          <w:sz w:val="24"/>
          <w:szCs w:val="24"/>
          <w:highlight w:val="none"/>
        </w:rPr>
      </w:r>
      <w:r/>
    </w:p>
    <w:p>
      <w:pPr>
        <w:pStyle w:val="1024"/>
        <w:ind w:firstLine="482"/>
        <w:spacing w:line="460" w:lineRule="exact"/>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（六）安全生产事故责任内容</w:t>
      </w:r>
      <w:r>
        <w:rPr>
          <w:rFonts w:ascii="宋体" w:hAnsi="宋体" w:cs="宋体"/>
          <w:b/>
          <w:bCs/>
          <w:color w:val="000000"/>
          <w:sz w:val="24"/>
          <w:szCs w:val="24"/>
          <w:highlight w:val="none"/>
        </w:rPr>
      </w:r>
      <w:r/>
    </w:p>
    <w:p>
      <w:pPr>
        <w:pStyle w:val="1024"/>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咨询人在项目实施期间发生的一切生产和人身安全事故责任由跟审单位承担，与咨询人无关。</w:t>
      </w:r>
      <w:r>
        <w:rPr>
          <w:rFonts w:ascii="宋体" w:hAnsi="宋体" w:cs="宋体"/>
          <w:color w:val="000000"/>
          <w:sz w:val="24"/>
          <w:szCs w:val="24"/>
          <w:highlight w:val="none"/>
        </w:rPr>
      </w:r>
      <w:r/>
    </w:p>
    <w:p>
      <w:pPr>
        <w:pStyle w:val="1024"/>
        <w:ind w:left="479"/>
        <w:spacing w:line="460" w:lineRule="exact"/>
        <w:rPr>
          <w:rFonts w:ascii="宋体" w:hAnsi="宋体" w:cs="宋体"/>
          <w:color w:val="000000"/>
          <w:sz w:val="24"/>
          <w:szCs w:val="24"/>
          <w:highlight w:val="none"/>
        </w:rPr>
      </w:pPr>
      <w:r>
        <w:rPr>
          <w:rFonts w:hint="eastAsia" w:ascii="宋体" w:hAnsi="宋体" w:cs="宋体"/>
          <w:b/>
          <w:bCs/>
          <w:color w:val="000000"/>
          <w:sz w:val="24"/>
          <w:szCs w:val="24"/>
          <w:highlight w:val="none"/>
        </w:rPr>
        <w:t xml:space="preserve">（七）项目发生以下情形时，委托人有权解除合同的内容。</w:t>
      </w:r>
      <w:r>
        <w:rPr>
          <w:rFonts w:ascii="宋体" w:hAnsi="宋体" w:cs="宋体"/>
          <w:color w:val="000000"/>
          <w:sz w:val="24"/>
          <w:szCs w:val="24"/>
          <w:highlight w:val="none"/>
        </w:rPr>
      </w:r>
      <w:r/>
    </w:p>
    <w:p>
      <w:pPr>
        <w:pStyle w:val="1024"/>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1.咨询人未按合同约定（或委托人针对项目提出合理情形要求）的进度、质量标准、服务要求履行委托职责，经委托人书面催告后，收到书面催告后10个工作日内仍未整改到位，影响项目推进或导致项目不达标。</w:t>
      </w:r>
      <w:r>
        <w:rPr>
          <w:rFonts w:ascii="宋体" w:hAnsi="宋体" w:cs="宋体"/>
          <w:color w:val="000000"/>
          <w:sz w:val="24"/>
          <w:szCs w:val="24"/>
          <w:highlight w:val="none"/>
        </w:rPr>
      </w:r>
      <w:r/>
    </w:p>
    <w:p>
      <w:pPr>
        <w:pStyle w:val="1024"/>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2.咨询人未经委托人书面同意，擅自变更委托范围、工作方案，或擅自将委托义务转让给第三方，增加委托人成本、影响项目质量。</w:t>
      </w:r>
      <w:r>
        <w:rPr>
          <w:rFonts w:ascii="宋体" w:hAnsi="宋体" w:cs="宋体"/>
          <w:color w:val="000000"/>
          <w:sz w:val="24"/>
          <w:szCs w:val="24"/>
          <w:highlight w:val="none"/>
        </w:rPr>
      </w:r>
      <w:r/>
    </w:p>
    <w:p>
      <w:pPr>
        <w:pStyle w:val="1024"/>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3.咨询人超越合同约定权限，擅自对外签约、作出承诺，或处置与项目相关的财产、权利，给委托人造成损失或潜在风险。</w:t>
      </w:r>
      <w:r>
        <w:rPr>
          <w:rFonts w:ascii="宋体" w:hAnsi="宋体" w:cs="宋体"/>
          <w:color w:val="000000"/>
          <w:sz w:val="24"/>
          <w:szCs w:val="24"/>
          <w:highlight w:val="none"/>
        </w:rPr>
      </w:r>
      <w:r/>
    </w:p>
    <w:p>
      <w:pPr>
        <w:pStyle w:val="1024"/>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4.咨询人无故拖延或停止履行项目工作，或拒绝听从委托人合理指导导致项目停滞，无法实现委托目的。</w:t>
      </w:r>
      <w:r>
        <w:rPr>
          <w:rFonts w:ascii="宋体" w:hAnsi="宋体" w:cs="宋体"/>
          <w:color w:val="000000"/>
          <w:sz w:val="24"/>
          <w:szCs w:val="24"/>
          <w:highlight w:val="none"/>
        </w:rPr>
      </w:r>
      <w:r/>
    </w:p>
    <w:p>
      <w:pPr>
        <w:pStyle w:val="1024"/>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5.咨询人与第三方恶意串通，或违反国家法律法规、项目相关规定，给委托人带来损失、行政处罚或法律纠纷。</w:t>
      </w:r>
      <w:r>
        <w:rPr>
          <w:rFonts w:ascii="宋体" w:hAnsi="宋体" w:cs="宋体"/>
          <w:color w:val="000000"/>
          <w:sz w:val="24"/>
          <w:szCs w:val="24"/>
          <w:highlight w:val="none"/>
        </w:rPr>
      </w:r>
      <w:r/>
    </w:p>
    <w:p>
      <w:pPr>
        <w:pStyle w:val="1024"/>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6.若委托审计项目出现外因情况取消的，本审计合同自动终止。</w:t>
      </w:r>
      <w:r>
        <w:rPr>
          <w:rFonts w:ascii="宋体" w:hAnsi="宋体" w:cs="宋体"/>
          <w:color w:val="000000"/>
          <w:sz w:val="24"/>
          <w:szCs w:val="24"/>
          <w:highlight w:val="none"/>
        </w:rPr>
      </w:r>
      <w:r/>
    </w:p>
    <w:p>
      <w:pPr>
        <w:pStyle w:val="1024"/>
        <w:ind w:firstLine="482"/>
        <w:spacing w:line="460" w:lineRule="exact"/>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（八）项目验收</w:t>
      </w:r>
      <w:r>
        <w:rPr>
          <w:rFonts w:ascii="宋体" w:hAnsi="宋体" w:cs="宋体"/>
          <w:b/>
          <w:bCs/>
          <w:color w:val="000000"/>
          <w:sz w:val="24"/>
          <w:szCs w:val="24"/>
          <w:highlight w:val="none"/>
        </w:rPr>
      </w:r>
      <w:r/>
    </w:p>
    <w:p>
      <w:pPr>
        <w:pStyle w:val="1024"/>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本次验收是对2026年盐城市普通国省道小修保养及应急养护工程全过程造价控制及竣工决算审计进行履约验收，对于未通过验收的，委托人有权暂缓支付审计服务费。</w:t>
      </w:r>
      <w:r>
        <w:rPr>
          <w:rFonts w:ascii="宋体" w:hAnsi="宋体" w:cs="宋体"/>
          <w:color w:val="000000"/>
          <w:sz w:val="24"/>
          <w:szCs w:val="24"/>
          <w:highlight w:val="none"/>
        </w:rPr>
      </w:r>
      <w:r/>
    </w:p>
    <w:p>
      <w:pPr>
        <w:pStyle w:val="1024"/>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全部满足以下验收条件方可启动：</w:t>
      </w:r>
      <w:r>
        <w:rPr>
          <w:rFonts w:ascii="宋体" w:hAnsi="宋体" w:cs="宋体"/>
          <w:color w:val="000000"/>
          <w:sz w:val="24"/>
          <w:szCs w:val="24"/>
          <w:highlight w:val="none"/>
        </w:rPr>
      </w:r>
      <w:r/>
    </w:p>
    <w:p>
      <w:pPr>
        <w:pStyle w:val="1024"/>
        <w:numPr>
          <w:ilvl w:val="0"/>
          <w:numId w:val="6"/>
        </w:numPr>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本项目工程已完成交工验收手续；（2）出具委托人、施工方、咨询人加盖执业印章或公章以及签字的全过程跟踪审计的正式审计报告；（3）全过程跟踪审计发现的造价、程序、资金管理问题全部完成整改闭环，附完整整改回复、佐证资料，经甲方确认；（4）咨询人移交全套完整纸质、电子审计成果档案，目录清晰、分类归档；（5）合同约定全部跟踪审计服务内容履行完毕，无人员脱岗、违规执业、资料泄密、重大审核差错未处置情形；（6）无未解决的造价争议、审计服务纠纷。</w:t>
      </w:r>
      <w:r>
        <w:rPr>
          <w:rFonts w:ascii="宋体" w:hAnsi="宋体" w:cs="宋体"/>
          <w:color w:val="000000"/>
          <w:sz w:val="24"/>
          <w:szCs w:val="24"/>
          <w:highlight w:val="none"/>
        </w:rPr>
      </w:r>
      <w:r/>
    </w:p>
    <w:p>
      <w:pPr>
        <w:pStyle w:val="1024"/>
        <w:ind w:firstLine="482"/>
        <w:spacing w:line="460" w:lineRule="exact"/>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（九）</w:t>
      </w:r>
      <w:r>
        <w:rPr>
          <w:rFonts w:hint="eastAsia" w:ascii="宋体" w:hAnsi="宋体" w:cs="宋体"/>
          <w:b/>
          <w:bCs/>
          <w:color w:val="000000"/>
          <w:sz w:val="24"/>
          <w:highlight w:val="none"/>
        </w:rPr>
        <w:t xml:space="preserve">验收组织与实施程序</w:t>
      </w:r>
      <w:r>
        <w:rPr>
          <w:rFonts w:ascii="宋体" w:hAnsi="宋体" w:cs="宋体"/>
          <w:b/>
          <w:bCs/>
          <w:color w:val="000000"/>
          <w:sz w:val="24"/>
          <w:szCs w:val="24"/>
          <w:highlight w:val="none"/>
        </w:rPr>
      </w:r>
      <w:r/>
    </w:p>
    <w:p>
      <w:pPr>
        <w:pStyle w:val="1024"/>
        <w:ind w:firstLine="480"/>
        <w:spacing w:line="420" w:lineRule="exact"/>
        <w:rPr>
          <w:rFonts w:ascii="宋体" w:hAnsi="宋体" w:cs="宋体"/>
          <w:color w:val="000000"/>
          <w:sz w:val="24"/>
          <w:highlight w:val="none"/>
        </w:rPr>
      </w:pPr>
      <w:r>
        <w:rPr>
          <w:rFonts w:hint="eastAsia" w:ascii="宋体" w:hAnsi="宋体" w:cs="宋体"/>
          <w:color w:val="000000"/>
          <w:sz w:val="24"/>
          <w:highlight w:val="none"/>
        </w:rPr>
        <w:t xml:space="preserve">验收主体：委托人组建验收小组，发起《政府采购履约验收通知单》</w:t>
      </w:r>
      <w:r>
        <w:rPr>
          <w:rFonts w:ascii="宋体" w:hAnsi="宋体" w:cs="宋体"/>
          <w:color w:val="000000"/>
          <w:sz w:val="24"/>
          <w:highlight w:val="none"/>
        </w:rPr>
      </w:r>
      <w:r/>
    </w:p>
    <w:p>
      <w:pPr>
        <w:pStyle w:val="1024"/>
        <w:ind w:firstLine="480"/>
        <w:spacing w:line="420" w:lineRule="exact"/>
        <w:rPr>
          <w:rFonts w:ascii="宋体" w:hAnsi="宋体" w:cs="宋体"/>
          <w:color w:val="000000"/>
          <w:sz w:val="24"/>
          <w:highlight w:val="none"/>
        </w:rPr>
      </w:pPr>
      <w:r>
        <w:rPr>
          <w:rFonts w:hint="eastAsia" w:ascii="宋体" w:hAnsi="宋体" w:cs="宋体"/>
          <w:color w:val="000000"/>
          <w:sz w:val="24"/>
          <w:highlight w:val="none"/>
        </w:rPr>
        <w:t xml:space="preserve">验收方案内容：（1）人员履约核查：核对驻场考勤、项目负责人及造价师在岗记录、人员更换审批手续、现场核量到场记录；（2）工作内容核查：逐项核对前期、施工、结算全流程跟踪工作是否全覆盖；（3）成果资料核验：逐套核查报告、底稿、影像、认价、签证、进度款审核资料完整性。</w:t>
      </w:r>
      <w:r>
        <w:rPr>
          <w:rFonts w:ascii="宋体" w:hAnsi="宋体" w:cs="宋体"/>
          <w:color w:val="000000"/>
          <w:sz w:val="24"/>
          <w:highlight w:val="none"/>
        </w:rPr>
        <w:t xml:space="preserve"> </w:t>
      </w:r>
      <w:r>
        <w:rPr>
          <w:rFonts w:ascii="宋体" w:hAnsi="宋体" w:cs="宋体"/>
          <w:color w:val="000000"/>
          <w:sz w:val="24"/>
          <w:highlight w:val="none"/>
        </w:rPr>
      </w:r>
      <w:r/>
    </w:p>
    <w:p>
      <w:pPr>
        <w:pStyle w:val="1024"/>
        <w:ind w:firstLine="480"/>
        <w:spacing w:line="420" w:lineRule="exact"/>
        <w:rPr>
          <w:rFonts w:ascii="宋体" w:hAnsi="宋体" w:cs="宋体"/>
          <w:color w:val="000000"/>
          <w:sz w:val="24"/>
          <w:highlight w:val="none"/>
        </w:rPr>
      </w:pPr>
      <w:r>
        <w:rPr>
          <w:rFonts w:hint="eastAsia" w:ascii="宋体" w:hAnsi="宋体" w:cs="宋体"/>
          <w:color w:val="000000"/>
          <w:sz w:val="24"/>
          <w:highlight w:val="none"/>
        </w:rPr>
        <w:t xml:space="preserve">验收结论出具：验收完成后委托人出具《政府采购项目验收报告》、《政府采购履约验收书 (服务类)》，明确验收合格、限期整改、不予验收三种结论。对验收意见存在异议的，委托人与咨询人双方可以协商解决，或通过法律途径解决。</w:t>
      </w:r>
      <w:r>
        <w:rPr>
          <w:rFonts w:ascii="宋体" w:hAnsi="宋体" w:cs="宋体"/>
          <w:color w:val="000000"/>
          <w:sz w:val="24"/>
          <w:highlight w:val="none"/>
        </w:rPr>
      </w:r>
      <w:r/>
    </w:p>
    <w:p>
      <w:pPr>
        <w:pStyle w:val="1024"/>
        <w:jc w:val="center"/>
        <w:spacing w:line="460" w:lineRule="exact"/>
        <w:rPr>
          <w:rFonts w:ascii="宋体" w:hAnsi="宋体" w:cs="宋体"/>
          <w:b/>
          <w:color w:val="000000"/>
          <w:sz w:val="24"/>
          <w:szCs w:val="24"/>
          <w:highlight w:val="none"/>
        </w:rPr>
      </w:pPr>
      <w:r>
        <w:rPr>
          <w:rFonts w:ascii="宋体" w:hAnsi="宋体" w:cs="宋体"/>
          <w:b/>
          <w:color w:val="000000"/>
          <w:sz w:val="24"/>
          <w:szCs w:val="24"/>
          <w:highlight w:val="none"/>
        </w:rPr>
      </w:r>
      <w:r/>
    </w:p>
    <w:p>
      <w:pPr>
        <w:pStyle w:val="1024"/>
        <w:jc w:val="center"/>
        <w:spacing w:line="460" w:lineRule="exact"/>
        <w:rPr>
          <w:rFonts w:ascii="宋体" w:hAnsi="宋体" w:cs="宋体"/>
          <w:b/>
          <w:color w:val="000000"/>
          <w:sz w:val="24"/>
          <w:szCs w:val="24"/>
          <w:highlight w:val="none"/>
        </w:rPr>
      </w:pPr>
      <w:r>
        <w:rPr>
          <w:rFonts w:ascii="宋体" w:hAnsi="宋体" w:cs="宋体"/>
          <w:b/>
          <w:color w:val="000000"/>
          <w:sz w:val="24"/>
          <w:szCs w:val="24"/>
          <w:highlight w:val="none"/>
        </w:rPr>
      </w:r>
      <w:r/>
    </w:p>
    <w:p>
      <w:pPr>
        <w:pStyle w:val="1024"/>
        <w:jc w:val="center"/>
        <w:spacing w:line="460" w:lineRule="exact"/>
        <w:rPr>
          <w:rFonts w:ascii="宋体" w:hAnsi="宋体" w:cs="宋体"/>
          <w:b/>
          <w:color w:val="000000"/>
          <w:sz w:val="24"/>
          <w:szCs w:val="24"/>
          <w:highlight w:val="none"/>
        </w:rPr>
      </w:pPr>
      <w:r>
        <w:rPr>
          <w:rFonts w:ascii="宋体" w:hAnsi="宋体" w:cs="宋体"/>
          <w:b/>
          <w:color w:val="000000"/>
          <w:sz w:val="24"/>
          <w:szCs w:val="24"/>
          <w:highlight w:val="none"/>
        </w:rPr>
      </w:r>
      <w:r/>
    </w:p>
    <w:p>
      <w:pPr>
        <w:pStyle w:val="1024"/>
        <w:jc w:val="center"/>
        <w:spacing w:line="460" w:lineRule="exact"/>
        <w:rPr>
          <w:rFonts w:ascii="宋体" w:hAnsi="宋体" w:cs="宋体"/>
          <w:b/>
          <w:color w:val="000000"/>
          <w:sz w:val="24"/>
          <w:szCs w:val="24"/>
          <w:highlight w:val="none"/>
        </w:rPr>
      </w:pPr>
      <w:r>
        <w:rPr>
          <w:rFonts w:ascii="宋体" w:hAnsi="宋体" w:cs="宋体"/>
          <w:b/>
          <w:color w:val="000000"/>
          <w:sz w:val="24"/>
          <w:szCs w:val="24"/>
          <w:highlight w:val="none"/>
        </w:rPr>
      </w:r>
      <w:r/>
    </w:p>
    <w:p>
      <w:pPr>
        <w:pStyle w:val="1024"/>
        <w:jc w:val="center"/>
        <w:spacing w:line="460" w:lineRule="exact"/>
        <w:rPr>
          <w:rFonts w:ascii="宋体" w:hAnsi="宋体" w:cs="宋体"/>
          <w:b/>
          <w:color w:val="000000"/>
          <w:sz w:val="24"/>
          <w:szCs w:val="24"/>
          <w:highlight w:val="none"/>
        </w:rPr>
      </w:pPr>
      <w:r>
        <w:rPr>
          <w:rFonts w:ascii="宋体" w:hAnsi="宋体" w:cs="宋体"/>
          <w:b/>
          <w:color w:val="000000"/>
          <w:sz w:val="24"/>
          <w:szCs w:val="24"/>
          <w:highlight w:val="none"/>
        </w:rPr>
      </w:r>
      <w:r/>
    </w:p>
    <w:p>
      <w:pPr>
        <w:pStyle w:val="1024"/>
        <w:jc w:val="center"/>
        <w:spacing w:line="460" w:lineRule="exact"/>
        <w:rPr>
          <w:rFonts w:ascii="宋体" w:hAnsi="宋体" w:cs="宋体"/>
          <w:b/>
          <w:color w:val="000000"/>
          <w:sz w:val="24"/>
          <w:szCs w:val="24"/>
          <w:highlight w:val="none"/>
        </w:rPr>
      </w:pPr>
      <w:r>
        <w:rPr>
          <w:rFonts w:ascii="宋体" w:hAnsi="宋体" w:cs="宋体"/>
          <w:b/>
          <w:color w:val="000000"/>
          <w:sz w:val="24"/>
          <w:szCs w:val="24"/>
          <w:highlight w:val="none"/>
        </w:rPr>
      </w:r>
      <w:r/>
    </w:p>
    <w:p>
      <w:pPr>
        <w:pStyle w:val="1024"/>
        <w:jc w:val="center"/>
        <w:spacing w:line="460" w:lineRule="exact"/>
        <w:rPr>
          <w:rFonts w:ascii="宋体" w:hAnsi="宋体" w:cs="宋体"/>
          <w:b/>
          <w:color w:val="000000"/>
          <w:sz w:val="24"/>
          <w:szCs w:val="24"/>
          <w:highlight w:val="none"/>
        </w:rPr>
      </w:pPr>
      <w:r>
        <w:rPr>
          <w:rFonts w:ascii="宋体" w:hAnsi="宋体" w:cs="宋体"/>
          <w:b/>
          <w:color w:val="000000"/>
          <w:sz w:val="24"/>
          <w:szCs w:val="24"/>
          <w:highlight w:val="none"/>
        </w:rPr>
      </w:r>
      <w:r/>
    </w:p>
    <w:p>
      <w:pPr>
        <w:pStyle w:val="1024"/>
        <w:jc w:val="center"/>
        <w:spacing w:line="460" w:lineRule="exact"/>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1024"/>
        <w:jc w:val="center"/>
        <w:spacing w:line="460" w:lineRule="exact"/>
        <w:rPr>
          <w:rFonts w:ascii="宋体" w:hAnsi="宋体" w:cs="宋体"/>
          <w:color w:val="000000"/>
          <w:sz w:val="24"/>
          <w:szCs w:val="24"/>
          <w:highlight w:val="none"/>
        </w:rPr>
      </w:pPr>
      <w:r>
        <w:rPr>
          <w:rFonts w:hint="eastAsia" w:ascii="宋体" w:hAnsi="宋体" w:cs="宋体"/>
          <w:b/>
          <w:color w:val="000000"/>
          <w:sz w:val="24"/>
          <w:szCs w:val="24"/>
          <w:highlight w:val="none"/>
        </w:rPr>
        <w:t xml:space="preserve">廉政合同</w:t>
      </w:r>
      <w:r>
        <w:rPr>
          <w:rFonts w:ascii="宋体" w:hAnsi="宋体" w:cs="宋体"/>
          <w:color w:val="000000"/>
          <w:sz w:val="24"/>
          <w:szCs w:val="24"/>
          <w:highlight w:val="none"/>
        </w:rPr>
      </w:r>
      <w:r/>
    </w:p>
    <w:p>
      <w:pPr>
        <w:pStyle w:val="1024"/>
        <w:ind w:firstLine="48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为切实加强党风廉政建设，有效预防违法违纪违规行为和腐败问题的发生，根据国家有关廉政建设的规定，本项目的委托人</w:t>
      </w:r>
      <w:r>
        <w:rPr>
          <w:rFonts w:hint="eastAsia" w:ascii="宋体" w:hAnsi="宋体" w:cs="宋体"/>
          <w:color w:val="000000"/>
          <w:sz w:val="24"/>
          <w:szCs w:val="24"/>
          <w:highlight w:val="none"/>
          <w:u w:val="single"/>
        </w:rPr>
        <w:t xml:space="preserve">盐城市公路事业发展中心</w:t>
      </w:r>
      <w:r>
        <w:rPr>
          <w:rFonts w:hint="eastAsia" w:ascii="宋体" w:hAnsi="宋体" w:cs="宋体"/>
          <w:color w:val="000000"/>
          <w:sz w:val="24"/>
          <w:szCs w:val="24"/>
          <w:highlight w:val="none"/>
        </w:rPr>
        <w:t xml:space="preserve">（以下简称“甲方”）与           咨询人</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 以下简称“乙方”），订立如下合同。     </w:t>
      </w:r>
      <w:r>
        <w:rPr>
          <w:rFonts w:hint="eastAsia" w:ascii="宋体" w:hAnsi="宋体" w:cs="宋体"/>
          <w:color w:val="000000"/>
          <w:sz w:val="24"/>
          <w:szCs w:val="24"/>
          <w:highlight w:val="none"/>
        </w:rPr>
      </w:r>
      <w:r/>
    </w:p>
    <w:p>
      <w:pPr>
        <w:pStyle w:val="1024"/>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  一、甲方的权利和义务 </w:t>
      </w:r>
      <w:r>
        <w:rPr>
          <w:rFonts w:ascii="宋体" w:hAnsi="宋体" w:cs="宋体"/>
          <w:color w:val="000000"/>
          <w:sz w:val="24"/>
          <w:szCs w:val="24"/>
          <w:highlight w:val="none"/>
        </w:rPr>
      </w:r>
      <w:r/>
    </w:p>
    <w:p>
      <w:pPr>
        <w:pStyle w:val="1024"/>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（1）严格执行党的政策纪律、国家法律法规和各项规章制度，建立并落实廉政责任制。 </w:t>
      </w:r>
      <w:r>
        <w:rPr>
          <w:rFonts w:ascii="宋体" w:hAnsi="宋体" w:cs="宋体"/>
          <w:color w:val="000000"/>
          <w:sz w:val="24"/>
          <w:szCs w:val="24"/>
          <w:highlight w:val="none"/>
        </w:rPr>
      </w:r>
      <w:r/>
    </w:p>
    <w:p>
      <w:pPr>
        <w:pStyle w:val="1024"/>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 建立健全廉政教育制度，设立廉政告示牌，公布举报电话， 监督并严肃查处违法违纪行为。  </w:t>
      </w:r>
      <w:r>
        <w:rPr>
          <w:rFonts w:ascii="宋体" w:hAnsi="宋体" w:cs="宋体"/>
          <w:color w:val="000000"/>
          <w:sz w:val="24"/>
          <w:szCs w:val="24"/>
          <w:highlight w:val="none"/>
        </w:rPr>
      </w:r>
      <w:r/>
    </w:p>
    <w:p>
      <w:pPr>
        <w:pStyle w:val="1024"/>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本项目实施过程中，如发现乙方及其工作人员存在任何违法违纪违规行为，甲方有权向乙方上级有关部门举报、建议给予处理并要求告知处理结果；情节严重的，甲方有权视情节给予乙方经济处罚、暂停支付合同款、取消中标资格、中止合同的处罚，并建议盐城市有关主管部门禁止乙方在一至三年内进入盐城市场，涉嫌犯罪的，移送司法机关依法处理。 </w:t>
      </w:r>
      <w:r>
        <w:rPr>
          <w:rFonts w:ascii="宋体" w:hAnsi="宋体" w:cs="宋体"/>
          <w:color w:val="000000"/>
          <w:sz w:val="24"/>
          <w:szCs w:val="24"/>
          <w:highlight w:val="none"/>
        </w:rPr>
      </w:r>
      <w:r/>
    </w:p>
    <w:p>
      <w:pPr>
        <w:pStyle w:val="1024"/>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4）甲方及其工作人员和受甲方委托从事本项目招标代理、监理、跟踪审计等单位的人员不得索要或接受乙方的礼金、礼品、有价证券及回扣、好处费、感谢费等；不得在乙方报销任何应由甲方或其相关工作人员应当个人支付的费用；不得参加乙方安排的宴请、健身</w:t>
      </w:r>
      <w:r>
        <w:rPr>
          <w:rFonts w:hint="eastAsia" w:ascii="宋体" w:hAnsi="宋体" w:cs="宋体"/>
          <w:color w:val="000000"/>
          <w:sz w:val="24"/>
          <w:szCs w:val="24"/>
          <w:highlight w:val="none"/>
        </w:rPr>
        <w:t xml:space="preserve">、旅游及娱乐等活动；不得接受乙方提供的通讯工具、交通工具、高档办公用品以及通信充值卡、加油卡等；不得要求或者接受乙方为其汽车或住房装修，不得要求或者接受乙方为其婚丧嫁娶、配偶子女的工作安排以及出国出境、旅游等提供方便；不得利用职权、职务影响或工作便利从事与本项目有关的有偿中介、材料设备供应、分包、劳务等经济活动；不得违规为本人、亲友、身边工作人员和特定关系人承接或投资、入股重大项目相关的业务；不准违规进行变更签证或以虚假计量等手段虚报高垃圾运输量；不准与相关项目单位发生借贷、租赁或合伙经营等个人经济关系。 </w:t>
      </w:r>
      <w:r>
        <w:rPr>
          <w:rFonts w:ascii="宋体" w:hAnsi="宋体" w:cs="宋体"/>
          <w:color w:val="000000"/>
          <w:sz w:val="24"/>
          <w:szCs w:val="24"/>
          <w:highlight w:val="none"/>
        </w:rPr>
      </w:r>
      <w:r/>
    </w:p>
    <w:p>
      <w:pPr>
        <w:pStyle w:val="1024"/>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 二、乙方的权利和义务 </w:t>
      </w:r>
      <w:r>
        <w:rPr>
          <w:rFonts w:ascii="宋体" w:hAnsi="宋体" w:cs="宋体"/>
          <w:color w:val="000000"/>
          <w:sz w:val="24"/>
          <w:szCs w:val="24"/>
          <w:highlight w:val="none"/>
        </w:rPr>
      </w:r>
      <w:r/>
    </w:p>
    <w:p>
      <w:pPr>
        <w:pStyle w:val="1024"/>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（1）有权依照国家法律、法规和规章制度，开展生产经营活动。 </w:t>
      </w:r>
      <w:r>
        <w:rPr>
          <w:rFonts w:ascii="宋体" w:hAnsi="宋体" w:cs="宋体"/>
          <w:color w:val="000000"/>
          <w:sz w:val="24"/>
          <w:szCs w:val="24"/>
          <w:highlight w:val="none"/>
        </w:rPr>
      </w:r>
      <w:r/>
    </w:p>
    <w:p>
      <w:pPr>
        <w:pStyle w:val="1024"/>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本项目实施过程中，如发现甲方及其工作人员和受甲方委托从事招标代理、监理、跟踪审计等单位的人员存在“吃拿卡要”等违法违纪违规行为，有权在第一时间向上级监督部门口头或书面反映并要求告知处理结果。 </w:t>
      </w:r>
      <w:r>
        <w:rPr>
          <w:rFonts w:ascii="宋体" w:hAnsi="宋体" w:cs="宋体"/>
          <w:color w:val="000000"/>
          <w:sz w:val="24"/>
          <w:szCs w:val="24"/>
          <w:highlight w:val="none"/>
        </w:rPr>
      </w:r>
      <w:r/>
    </w:p>
    <w:p>
      <w:pPr>
        <w:pStyle w:val="1024"/>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（3）严格执行党的政策纪律、国家法律法规和各项规章制度，建立并落实廉政责任制，严格遵守职业道德。 </w:t>
      </w:r>
      <w:r>
        <w:rPr>
          <w:rFonts w:ascii="宋体" w:hAnsi="宋体" w:cs="宋体"/>
          <w:color w:val="000000"/>
          <w:sz w:val="24"/>
          <w:szCs w:val="24"/>
          <w:highlight w:val="none"/>
        </w:rPr>
      </w:r>
      <w:r/>
    </w:p>
    <w:p>
      <w:pPr>
        <w:pStyle w:val="1024"/>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（4）建立健全廉政教育制度，定期开展廉政警示教育活动，教育引导自身工作人员遵守行为规范。 </w:t>
      </w:r>
      <w:r>
        <w:rPr>
          <w:rFonts w:ascii="宋体" w:hAnsi="宋体" w:cs="宋体"/>
          <w:color w:val="000000"/>
          <w:sz w:val="24"/>
          <w:szCs w:val="24"/>
          <w:highlight w:val="none"/>
        </w:rPr>
      </w:r>
      <w:r/>
    </w:p>
    <w:p>
      <w:pPr>
        <w:pStyle w:val="1024"/>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（5）不得以任何理由向甲</w:t>
      </w:r>
      <w:r>
        <w:rPr>
          <w:rFonts w:hint="eastAsia" w:ascii="宋体" w:hAnsi="宋体" w:cs="宋体"/>
          <w:color w:val="000000"/>
          <w:sz w:val="24"/>
          <w:szCs w:val="24"/>
          <w:highlight w:val="none"/>
        </w:rPr>
        <w:t xml:space="preserve">方及其工作人员和受甲方委托从事招标代理、监理、跟踪审计等单位的人员行贿、馈赠礼金、礼品、有价证券及给予回扣、好处费、感谢费等；不得以任何名义为上述人员报销应由其单位或个人支付的任何费用；不得以任何理由安排上述人员参加宴请、健身、旅游及娱乐等活动；不得为上述人员购置或提供通讯工具、交通工具、高档办公用品以及通信充值卡、加油卡等；不得为上述人员提供汽车或住房等装修；不得为上述人员的婚丧嫁娶、配偶子女的工作安排以及出国出境、旅游等提供方便。乙方如违反以上要求，发生违纪违规违法等行为，须无条件接受甲方给予的处罚。 </w:t>
      </w:r>
      <w:r>
        <w:rPr>
          <w:rFonts w:ascii="宋体" w:hAnsi="宋体" w:cs="宋体"/>
          <w:color w:val="000000"/>
          <w:sz w:val="24"/>
          <w:szCs w:val="24"/>
          <w:highlight w:val="none"/>
        </w:rPr>
      </w:r>
      <w:r/>
    </w:p>
    <w:p>
      <w:pPr>
        <w:pStyle w:val="1024"/>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  三、本合同有效期为甲乙双方签署之日起至该项目款全部拨付完成后止。 </w:t>
      </w:r>
      <w:r>
        <w:rPr>
          <w:rFonts w:ascii="宋体" w:hAnsi="宋体" w:cs="宋体"/>
          <w:color w:val="000000"/>
          <w:sz w:val="24"/>
          <w:szCs w:val="24"/>
          <w:highlight w:val="none"/>
        </w:rPr>
      </w:r>
      <w:r/>
    </w:p>
    <w:p>
      <w:pPr>
        <w:pStyle w:val="1024"/>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  四、本合同作为</w:t>
      </w:r>
      <w:r>
        <w:rPr>
          <w:rFonts w:hint="eastAsia" w:ascii="宋体" w:hAnsi="宋体" w:cs="宋体"/>
          <w:bCs/>
          <w:color w:val="000000"/>
          <w:sz w:val="24"/>
          <w:szCs w:val="24"/>
          <w:highlight w:val="none"/>
          <w:u w:val="single"/>
        </w:rPr>
        <w:t xml:space="preserve">2026年盐城市普通国省道小修保养及应急养护工程全过程造价控制及竣工决算审计</w:t>
      </w:r>
      <w:r>
        <w:rPr>
          <w:rFonts w:hint="eastAsia" w:ascii="宋体" w:hAnsi="宋体" w:cs="宋体"/>
          <w:color w:val="000000"/>
          <w:sz w:val="24"/>
          <w:szCs w:val="24"/>
          <w:highlight w:val="none"/>
        </w:rPr>
        <w:t xml:space="preserve">合同的附件，与合同具有同等的法律效力。 </w:t>
      </w:r>
      <w:r>
        <w:rPr>
          <w:rFonts w:ascii="宋体" w:hAnsi="宋体" w:cs="宋体"/>
          <w:color w:val="000000"/>
          <w:sz w:val="24"/>
          <w:szCs w:val="24"/>
          <w:highlight w:val="none"/>
        </w:rPr>
      </w:r>
      <w:r/>
    </w:p>
    <w:p>
      <w:pPr>
        <w:pStyle w:val="1024"/>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  五、本合同作为主合同附件，正本和副本份数与本主合同的约定相同。由双方法定代表人或其授权的代理人签名与加盖公章后生效。 </w:t>
      </w:r>
      <w:r>
        <w:rPr>
          <w:rFonts w:ascii="宋体" w:hAnsi="宋体" w:cs="宋体"/>
          <w:color w:val="000000"/>
          <w:sz w:val="24"/>
          <w:szCs w:val="24"/>
          <w:highlight w:val="none"/>
        </w:rPr>
      </w:r>
      <w:r/>
    </w:p>
    <w:p>
      <w:pPr>
        <w:pStyle w:val="1024"/>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p>
      <w:pPr>
        <w:pStyle w:val="1024"/>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甲方：                         (盖公章)                              </w:t>
      </w:r>
      <w:r>
        <w:rPr>
          <w:rFonts w:ascii="宋体" w:hAnsi="宋体" w:cs="宋体"/>
          <w:color w:val="000000"/>
          <w:sz w:val="24"/>
          <w:szCs w:val="24"/>
          <w:highlight w:val="none"/>
        </w:rPr>
      </w:r>
      <w:r/>
    </w:p>
    <w:p>
      <w:pPr>
        <w:pStyle w:val="1024"/>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法定代表人或委托人:            (签字)</w:t>
      </w:r>
      <w:r>
        <w:rPr>
          <w:rFonts w:ascii="宋体" w:hAnsi="宋体" w:cs="宋体"/>
          <w:color w:val="000000"/>
          <w:sz w:val="24"/>
          <w:szCs w:val="24"/>
          <w:highlight w:val="none"/>
        </w:rPr>
      </w:r>
      <w:r/>
    </w:p>
    <w:p>
      <w:pPr>
        <w:pStyle w:val="1024"/>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地址:                          </w:t>
      </w: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1024"/>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日期:    年   月   日                   </w:t>
      </w:r>
      <w:r>
        <w:rPr>
          <w:rFonts w:ascii="宋体" w:hAnsi="宋体" w:cs="宋体"/>
          <w:color w:val="000000"/>
          <w:sz w:val="24"/>
          <w:szCs w:val="24"/>
          <w:highlight w:val="none"/>
        </w:rPr>
      </w:r>
      <w:r/>
    </w:p>
    <w:p>
      <w:pPr>
        <w:pStyle w:val="1024"/>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p>
      <w:pPr>
        <w:pStyle w:val="1024"/>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乙方：                              (盖公章) </w:t>
      </w:r>
      <w:r>
        <w:rPr>
          <w:rFonts w:ascii="宋体" w:hAnsi="宋体" w:cs="宋体"/>
          <w:color w:val="000000"/>
          <w:sz w:val="24"/>
          <w:szCs w:val="24"/>
          <w:highlight w:val="none"/>
        </w:rPr>
      </w:r>
      <w:r/>
    </w:p>
    <w:p>
      <w:pPr>
        <w:pStyle w:val="1024"/>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法定代表人或委托人:            (签字)</w:t>
      </w:r>
      <w:r>
        <w:rPr>
          <w:rFonts w:ascii="宋体" w:hAnsi="宋体" w:cs="宋体"/>
          <w:color w:val="000000"/>
          <w:sz w:val="24"/>
          <w:szCs w:val="24"/>
          <w:highlight w:val="none"/>
        </w:rPr>
      </w:r>
      <w:r/>
    </w:p>
    <w:p>
      <w:pPr>
        <w:pStyle w:val="1024"/>
        <w:ind w:firstLine="480"/>
        <w:spacing w:line="460" w:lineRule="exact"/>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地址：                                             </w:t>
      </w:r>
      <w:r>
        <w:rPr>
          <w:rFonts w:ascii="宋体" w:hAnsi="宋体" w:cs="宋体"/>
          <w:color w:val="000000"/>
          <w:sz w:val="24"/>
          <w:szCs w:val="24"/>
          <w:highlight w:val="none"/>
          <w:u w:val="single"/>
        </w:rPr>
      </w:r>
      <w:r/>
    </w:p>
    <w:p>
      <w:pPr>
        <w:pStyle w:val="1024"/>
        <w:ind w:firstLine="480"/>
        <w:spacing w:line="460" w:lineRule="exact"/>
        <w:rPr>
          <w:color w:val="000000"/>
          <w:highlight w:val="none"/>
        </w:rPr>
      </w:pPr>
      <w:r>
        <w:rPr>
          <w:rFonts w:hint="eastAsia" w:ascii="宋体" w:hAnsi="宋体" w:cs="宋体"/>
          <w:color w:val="000000"/>
          <w:sz w:val="24"/>
          <w:szCs w:val="24"/>
          <w:highlight w:val="none"/>
        </w:rPr>
        <w:t xml:space="preserve">日期:    年    月   日</w:t>
      </w:r>
      <w:r>
        <w:rPr>
          <w:color w:val="000000"/>
          <w:highlight w:val="none"/>
        </w:rPr>
      </w:r>
      <w:r/>
    </w:p>
    <w:p>
      <w:pPr>
        <w:pStyle w:val="1024"/>
        <w:ind w:firstLine="48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1024"/>
        <w:rPr>
          <w:rFonts w:hint="eastAsia" w:ascii="宋体" w:hAnsi="宋体" w:cs="宋体"/>
          <w:color w:val="000000"/>
          <w:highlight w:val="none"/>
        </w:rPr>
      </w:pPr>
      <w:r>
        <w:rPr>
          <w:rFonts w:hint="eastAsia" w:ascii="宋体" w:hAnsi="宋体" w:cs="宋体"/>
          <w:color w:val="000000"/>
          <w:highlight w:val="none"/>
        </w:rPr>
      </w:r>
      <w:r/>
    </w:p>
    <w:p>
      <w:pPr>
        <w:pStyle w:val="1053"/>
        <w:ind w:firstLine="480"/>
        <w:jc w:val="center"/>
        <w:spacing w:line="600" w:lineRule="exact"/>
        <w:rPr>
          <w:rFonts w:hint="eastAsia" w:hAnsi="宋体" w:cs="宋体"/>
          <w:color w:val="000000"/>
          <w:sz w:val="24"/>
          <w:szCs w:val="24"/>
          <w:highlight w:val="none"/>
        </w:rPr>
      </w:pPr>
      <w:r>
        <w:rPr>
          <w:rFonts w:hint="eastAsia" w:hAnsi="宋体" w:cs="宋体"/>
          <w:color w:val="000000"/>
          <w:sz w:val="24"/>
          <w:szCs w:val="24"/>
          <w:highlight w:val="none"/>
        </w:rPr>
      </w:r>
      <w:r/>
    </w:p>
    <w:p>
      <w:pPr>
        <w:pStyle w:val="1142"/>
        <w:ind w:firstLine="0"/>
        <w:jc w:val="center"/>
        <w:spacing w:before="147" w:line="460" w:lineRule="exact"/>
        <w:rPr>
          <w:rFonts w:ascii="宋体" w:hAnsi="宋体"/>
          <w:b/>
          <w:color w:val="000000"/>
          <w:szCs w:val="24"/>
          <w:highlight w:val="none"/>
        </w:rPr>
      </w:pPr>
      <w:r/>
      <w:bookmarkStart w:id="174" w:name="_Hlt16619350"/>
      <w:r/>
      <w:bookmarkStart w:id="175" w:name="_Toc16938590"/>
      <w:r/>
      <w:bookmarkStart w:id="176" w:name="_Toc20823346"/>
      <w:r/>
      <w:bookmarkStart w:id="177" w:name="_Toc120614244"/>
      <w:r/>
      <w:bookmarkStart w:id="178" w:name="_Toc479757211"/>
      <w:r/>
      <w:bookmarkStart w:id="179" w:name="_Toc26554093"/>
      <w:r/>
      <w:bookmarkStart w:id="180" w:name="_Toc49090575"/>
      <w:r/>
      <w:bookmarkStart w:id="181" w:name="_Toc462564139"/>
      <w:r>
        <w:rPr>
          <w:rFonts w:ascii="黑体" w:eastAsia="黑体"/>
          <w:bCs/>
          <w:color w:val="000000"/>
          <w:sz w:val="44"/>
          <w:highlight w:val="none"/>
        </w:rPr>
        <w:br w:type="page" w:clear="all"/>
      </w:r>
      <w:r>
        <w:rPr>
          <w:rFonts w:hint="eastAsia" w:ascii="黑体" w:eastAsia="黑体"/>
          <w:bCs/>
          <w:color w:val="000000"/>
          <w:sz w:val="44"/>
          <w:highlight w:val="none"/>
        </w:rPr>
        <w:t xml:space="preserve">第</w:t>
      </w:r>
      <w:bookmarkEnd w:id="174"/>
      <w:r>
        <w:rPr>
          <w:rFonts w:hint="eastAsia" w:ascii="黑体" w:eastAsia="黑体"/>
          <w:bCs/>
          <w:color w:val="000000"/>
          <w:sz w:val="44"/>
          <w:highlight w:val="none"/>
        </w:rPr>
        <w:t xml:space="preserve">四章 项目需求</w:t>
      </w:r>
      <w:bookmarkEnd w:id="175"/>
      <w:r/>
      <w:bookmarkEnd w:id="176"/>
      <w:r/>
      <w:bookmarkEnd w:id="177"/>
      <w:r>
        <w:rPr>
          <w:rFonts w:ascii="宋体" w:hAnsi="宋体"/>
          <w:b/>
          <w:color w:val="000000"/>
          <w:szCs w:val="24"/>
          <w:highlight w:val="none"/>
        </w:rPr>
      </w:r>
      <w:r/>
    </w:p>
    <w:p>
      <w:pPr>
        <w:pStyle w:val="1024"/>
        <w:ind w:firstLine="480"/>
        <w:spacing w:line="440" w:lineRule="exact"/>
        <w:rPr>
          <w:color w:val="000000"/>
          <w:sz w:val="24"/>
          <w:szCs w:val="24"/>
          <w:highlight w:val="none"/>
        </w:rPr>
      </w:pPr>
      <w:r>
        <w:rPr>
          <w:rFonts w:hint="eastAsia"/>
          <w:color w:val="000000"/>
          <w:sz w:val="24"/>
          <w:szCs w:val="24"/>
          <w:highlight w:val="none"/>
        </w:rPr>
        <w:t xml:space="preserve">项目属性：服务类项目。</w:t>
      </w:r>
      <w:r>
        <w:rPr>
          <w:color w:val="000000"/>
          <w:sz w:val="24"/>
          <w:szCs w:val="24"/>
          <w:highlight w:val="none"/>
        </w:rPr>
      </w:r>
      <w:r/>
    </w:p>
    <w:p>
      <w:pPr>
        <w:pStyle w:val="1024"/>
        <w:spacing w:line="440" w:lineRule="exact"/>
        <w:rPr>
          <w:rFonts w:ascii="黑体" w:hAnsi="黑体" w:eastAsia="黑体"/>
          <w:vanish/>
          <w:color w:val="000000"/>
          <w:sz w:val="24"/>
          <w:szCs w:val="24"/>
          <w:highlight w:val="none"/>
        </w:rPr>
      </w:pPr>
      <w:r>
        <w:rPr>
          <w:rFonts w:ascii="黑体" w:hAnsi="黑体" w:eastAsia="黑体"/>
          <w:vanish/>
          <w:color w:val="000000"/>
          <w:sz w:val="24"/>
          <w:szCs w:val="24"/>
          <w:highlight w:val="none"/>
        </w:rPr>
      </w:r>
      <w:r/>
    </w:p>
    <w:p>
      <w:pPr>
        <w:pStyle w:val="1133"/>
        <w:ind w:left="0"/>
        <w:spacing w:line="440" w:lineRule="exact"/>
        <w:rPr>
          <w:rStyle w:val="1134"/>
          <w:rFonts w:hint="eastAsia" w:ascii="宋体" w:hAnsi="宋体" w:cs="宋体"/>
          <w:b/>
          <w:color w:val="000000"/>
          <w:sz w:val="24"/>
          <w:szCs w:val="24"/>
          <w:highlight w:val="none"/>
        </w:rPr>
      </w:pPr>
      <w:r>
        <w:rPr>
          <w:rStyle w:val="1134"/>
          <w:rFonts w:hint="eastAsia" w:ascii="宋体" w:hAnsi="宋体" w:cs="宋体"/>
          <w:b/>
          <w:color w:val="000000"/>
          <w:sz w:val="24"/>
          <w:szCs w:val="24"/>
          <w:highlight w:val="none"/>
        </w:rPr>
        <w:t xml:space="preserve">一、项目背景</w:t>
      </w:r>
      <w:r>
        <w:rPr>
          <w:rStyle w:val="1134"/>
          <w:rFonts w:hint="eastAsia" w:ascii="宋体" w:hAnsi="宋体" w:cs="宋体"/>
          <w:b/>
          <w:color w:val="000000"/>
          <w:sz w:val="24"/>
          <w:szCs w:val="24"/>
          <w:highlight w:val="none"/>
        </w:rPr>
      </w:r>
      <w:r/>
    </w:p>
    <w:p>
      <w:pPr>
        <w:pStyle w:val="1133"/>
        <w:ind w:left="0" w:firstLine="476"/>
        <w:spacing w:line="460" w:lineRule="exact"/>
        <w:rPr>
          <w:rFonts w:ascii="宋体" w:hAnsi="宋体" w:cs="宋体"/>
          <w:color w:val="000000"/>
          <w:spacing w:val="-1"/>
          <w:sz w:val="24"/>
          <w:szCs w:val="24"/>
          <w:highlight w:val="none"/>
        </w:rPr>
      </w:pPr>
      <w:r>
        <w:rPr>
          <w:rFonts w:ascii="宋体" w:hAnsi="宋体" w:cs="宋体"/>
          <w:color w:val="000000"/>
          <w:spacing w:val="-1"/>
          <w:sz w:val="24"/>
          <w:szCs w:val="24"/>
          <w:highlight w:val="none"/>
        </w:rPr>
        <w:t xml:space="preserve">根据省财政厅和省交通运输厅《关于提前下达2026年中央对成品油税费改革转移支付资金的通知》苏财建【2025】225号文，对我市养护工作需要，及时将资金拨付至项目实施，切实加快资金支出进度，确保养护工作顺利开展。同时按要求开展绩效监控和绩效评价，不断提升资金使用绩效，确保绩效目标如期实现。</w:t>
      </w:r>
      <w:r>
        <w:rPr>
          <w:rFonts w:ascii="宋体" w:hAnsi="宋体" w:cs="宋体"/>
          <w:color w:val="000000"/>
          <w:spacing w:val="-1"/>
          <w:sz w:val="24"/>
          <w:szCs w:val="24"/>
          <w:highlight w:val="none"/>
        </w:rPr>
      </w:r>
      <w:r/>
    </w:p>
    <w:p>
      <w:pPr>
        <w:pStyle w:val="1133"/>
        <w:ind w:left="0"/>
        <w:spacing w:line="440" w:lineRule="exact"/>
        <w:rPr>
          <w:rStyle w:val="1134"/>
          <w:rFonts w:hint="eastAsia" w:ascii="宋体" w:hAnsi="宋体" w:cs="宋体"/>
          <w:b/>
          <w:color w:val="000000"/>
          <w:sz w:val="24"/>
          <w:szCs w:val="24"/>
          <w:highlight w:val="none"/>
        </w:rPr>
      </w:pPr>
      <w:r>
        <w:rPr>
          <w:rStyle w:val="1134"/>
          <w:rFonts w:hint="eastAsia" w:ascii="宋体" w:hAnsi="宋体" w:cs="宋体"/>
          <w:b/>
          <w:color w:val="000000"/>
          <w:sz w:val="24"/>
          <w:szCs w:val="24"/>
          <w:highlight w:val="none"/>
        </w:rPr>
        <w:t xml:space="preserve">二、采购需求</w:t>
      </w:r>
      <w:r>
        <w:rPr>
          <w:rStyle w:val="1134"/>
          <w:rFonts w:hint="eastAsia" w:ascii="宋体" w:hAnsi="宋体" w:cs="宋体"/>
          <w:b/>
          <w:color w:val="000000"/>
          <w:sz w:val="24"/>
          <w:szCs w:val="24"/>
          <w:highlight w:val="none"/>
        </w:rPr>
      </w:r>
      <w:r/>
    </w:p>
    <w:p>
      <w:pPr>
        <w:pStyle w:val="1133"/>
        <w:ind w:left="0" w:firstLine="480"/>
        <w:spacing w:line="460" w:lineRule="exact"/>
        <w:rPr>
          <w:rFonts w:ascii="宋体" w:hAnsi="宋体" w:cs="宋体"/>
          <w:color w:val="000000"/>
          <w:spacing w:val="-1"/>
          <w:sz w:val="24"/>
          <w:szCs w:val="24"/>
          <w:highlight w:val="none"/>
        </w:rPr>
      </w:pPr>
      <w:r>
        <w:rPr>
          <w:rFonts w:hint="eastAsia" w:ascii="宋体" w:hAnsi="宋体"/>
          <w:bCs/>
          <w:color w:val="000000"/>
          <w:sz w:val="24"/>
          <w:szCs w:val="24"/>
          <w:highlight w:val="none"/>
        </w:rPr>
        <w:t xml:space="preserve">1.本项目分为3个采购包，分别为：采购包1、采购包2、采购包3。投标人可</w:t>
      </w:r>
      <w:r>
        <w:rPr>
          <w:rFonts w:ascii="宋体" w:hAnsi="宋体" w:cs="宋体"/>
          <w:color w:val="000000"/>
          <w:spacing w:val="-1"/>
          <w:sz w:val="24"/>
          <w:szCs w:val="24"/>
          <w:highlight w:val="none"/>
        </w:rPr>
        <w:t xml:space="preserve">以根据自身能力及条件选择一个或几个采购包进行投标，但中标只能中其中一个采购包，即可兼投但不可兼中。</w:t>
      </w:r>
      <w:r>
        <w:rPr>
          <w:rFonts w:ascii="宋体" w:hAnsi="宋体" w:cs="宋体"/>
          <w:color w:val="000000"/>
          <w:spacing w:val="-1"/>
          <w:sz w:val="24"/>
          <w:szCs w:val="24"/>
          <w:highlight w:val="none"/>
        </w:rPr>
      </w:r>
      <w:r/>
    </w:p>
    <w:p>
      <w:pPr>
        <w:pStyle w:val="1133"/>
        <w:ind w:left="0" w:firstLine="478"/>
        <w:spacing w:line="460" w:lineRule="exact"/>
        <w:rPr>
          <w:rFonts w:hint="eastAsia" w:ascii="宋体" w:hAnsi="宋体" w:cs="宋体"/>
          <w:b/>
          <w:bCs/>
          <w:color w:val="000000"/>
          <w:spacing w:val="-1"/>
          <w:sz w:val="24"/>
          <w:szCs w:val="24"/>
          <w:highlight w:val="none"/>
        </w:rPr>
      </w:pPr>
      <w:r>
        <w:rPr>
          <w:rFonts w:hint="eastAsia" w:ascii="宋体" w:hAnsi="宋体" w:cs="宋体"/>
          <w:b/>
          <w:bCs/>
          <w:color w:val="000000"/>
          <w:spacing w:val="-1"/>
          <w:sz w:val="24"/>
          <w:szCs w:val="24"/>
          <w:highlight w:val="none"/>
        </w:rPr>
        <w:t xml:space="preserve">2.工程概况</w:t>
      </w:r>
      <w:r>
        <w:rPr>
          <w:rFonts w:hint="eastAsia" w:ascii="宋体" w:hAnsi="宋体" w:cs="宋体"/>
          <w:b/>
          <w:bCs/>
          <w:color w:val="000000"/>
          <w:spacing w:val="-1"/>
          <w:sz w:val="24"/>
          <w:szCs w:val="24"/>
          <w:highlight w:val="none"/>
        </w:rPr>
      </w:r>
      <w:r/>
    </w:p>
    <w:p>
      <w:pPr>
        <w:pStyle w:val="1133"/>
        <w:ind w:left="0" w:firstLine="478"/>
        <w:spacing w:line="460" w:lineRule="exact"/>
        <w:rPr>
          <w:rFonts w:ascii="宋体" w:hAnsi="宋体" w:cs="宋体"/>
          <w:b/>
          <w:bCs/>
          <w:color w:val="000000"/>
          <w:spacing w:val="-1"/>
          <w:sz w:val="24"/>
          <w:szCs w:val="24"/>
          <w:highlight w:val="none"/>
        </w:rPr>
      </w:pPr>
      <w:r>
        <w:rPr>
          <w:rFonts w:hint="eastAsia" w:ascii="宋体" w:hAnsi="宋体" w:cs="宋体"/>
          <w:b/>
          <w:bCs/>
          <w:color w:val="000000"/>
          <w:spacing w:val="-1"/>
          <w:sz w:val="24"/>
          <w:szCs w:val="24"/>
          <w:highlight w:val="none"/>
        </w:rPr>
        <w:t xml:space="preserve">采购包1：</w:t>
      </w:r>
      <w:r>
        <w:rPr>
          <w:rFonts w:ascii="宋体" w:hAnsi="宋体" w:cs="宋体"/>
          <w:b/>
          <w:bCs/>
          <w:color w:val="000000"/>
          <w:spacing w:val="-1"/>
          <w:sz w:val="24"/>
          <w:szCs w:val="24"/>
          <w:highlight w:val="none"/>
        </w:rPr>
      </w:r>
      <w:r/>
    </w:p>
    <w:p>
      <w:pPr>
        <w:pStyle w:val="1133"/>
        <w:ind w:left="0" w:firstLine="480"/>
        <w:spacing w:line="460" w:lineRule="exact"/>
        <w:rPr>
          <w:rFonts w:ascii="宋体" w:hAnsi="宋体" w:eastAsia="宋体" w:cs="宋体"/>
          <w:color w:val="000000"/>
          <w:spacing w:val="-1"/>
          <w:sz w:val="24"/>
          <w:szCs w:val="24"/>
          <w:highlight w:val="none"/>
        </w:rPr>
      </w:pPr>
      <w:r>
        <w:rPr>
          <w:rFonts w:ascii="宋体" w:hAnsi="宋体" w:cs="宋体"/>
          <w:color w:val="000000"/>
          <w:spacing w:val="-1"/>
          <w:sz w:val="24"/>
          <w:szCs w:val="24"/>
          <w:highlight w:val="none"/>
        </w:rPr>
        <w:t xml:space="preserve">对东台、大丰区域内的公路日常巡查、桥梁日常巡查、边坡整修、路肩割草、路面清扫保洁等基价类项目进行结算审计和路基、路面、桥梁、</w:t>
      </w:r>
      <w:r>
        <w:rPr>
          <w:rFonts w:ascii="宋体" w:hAnsi="宋体" w:eastAsia="宋体" w:cs="宋体"/>
          <w:color w:val="000000"/>
          <w:spacing w:val="-1"/>
          <w:sz w:val="24"/>
          <w:szCs w:val="24"/>
          <w:highlight w:val="none"/>
        </w:rPr>
        <w:t xml:space="preserve">沿线设施、绿化等养护单价类项目和应急养护工程进行跟踪审计、结算审计工作。预算共计约为</w:t>
      </w:r>
      <w:r>
        <w:rPr>
          <w:rFonts w:hint="eastAsia" w:ascii="宋体" w:hAnsi="宋体" w:eastAsia="宋体" w:cs="宋体"/>
          <w:color w:val="000000"/>
          <w:spacing w:val="-1"/>
          <w:sz w:val="24"/>
          <w:szCs w:val="24"/>
          <w:highlight w:val="none"/>
        </w:rPr>
        <w:t xml:space="preserve">7017</w:t>
      </w:r>
      <w:r>
        <w:rPr>
          <w:rFonts w:ascii="宋体" w:hAnsi="宋体" w:eastAsia="宋体" w:cs="宋体"/>
          <w:color w:val="000000"/>
          <w:spacing w:val="-1"/>
          <w:sz w:val="24"/>
          <w:szCs w:val="24"/>
          <w:highlight w:val="none"/>
        </w:rPr>
        <w:t xml:space="preserve">万元，基价类约</w:t>
      </w:r>
      <w:r>
        <w:rPr>
          <w:rFonts w:hint="eastAsia" w:ascii="宋体" w:hAnsi="宋体" w:eastAsia="宋体" w:cs="宋体"/>
          <w:color w:val="000000"/>
          <w:spacing w:val="-1"/>
          <w:sz w:val="24"/>
          <w:szCs w:val="24"/>
          <w:highlight w:val="none"/>
        </w:rPr>
        <w:t xml:space="preserve">1807</w:t>
      </w:r>
      <w:r>
        <w:rPr>
          <w:rFonts w:ascii="宋体" w:hAnsi="宋体" w:eastAsia="宋体" w:cs="宋体"/>
          <w:color w:val="000000"/>
          <w:spacing w:val="-1"/>
          <w:sz w:val="24"/>
          <w:szCs w:val="24"/>
          <w:highlight w:val="none"/>
        </w:rPr>
        <w:t xml:space="preserve">元。</w:t>
      </w:r>
      <w:r>
        <w:rPr>
          <w:rFonts w:ascii="宋体" w:hAnsi="宋体" w:eastAsia="宋体" w:cs="宋体"/>
          <w:color w:val="000000"/>
          <w:spacing w:val="-1"/>
          <w:sz w:val="24"/>
          <w:szCs w:val="24"/>
          <w:highlight w:val="none"/>
        </w:rPr>
      </w:r>
      <w:r/>
    </w:p>
    <w:p>
      <w:pPr>
        <w:pStyle w:val="1133"/>
        <w:ind w:left="0" w:firstLine="480"/>
        <w:spacing w:line="460" w:lineRule="exact"/>
        <w:rPr>
          <w:rFonts w:ascii="宋体" w:hAnsi="宋体" w:eastAsia="宋体" w:cs="宋体"/>
          <w:color w:val="000000"/>
          <w:spacing w:val="-1"/>
          <w:sz w:val="24"/>
          <w:szCs w:val="24"/>
          <w:highlight w:val="none"/>
        </w:rPr>
      </w:pPr>
      <w:r>
        <w:rPr>
          <w:rFonts w:ascii="宋体" w:hAnsi="宋体" w:eastAsia="宋体" w:cs="宋体"/>
          <w:color w:val="000000"/>
          <w:spacing w:val="-1"/>
          <w:sz w:val="24"/>
          <w:szCs w:val="24"/>
          <w:highlight w:val="none"/>
        </w:rPr>
        <w:t xml:space="preserve">东台管养里程全长277.820公里，其中3条国道（G204线、G228线、G344线）长139.684公里，4条省道（S226线、S229线、S352线、S610线）长138.136公里。工程预算约为</w:t>
      </w:r>
      <w:r>
        <w:rPr>
          <w:rFonts w:hint="eastAsia" w:ascii="宋体" w:hAnsi="宋体" w:eastAsia="宋体" w:cs="宋体"/>
          <w:color w:val="000000"/>
          <w:spacing w:val="-1"/>
          <w:sz w:val="24"/>
          <w:szCs w:val="24"/>
          <w:highlight w:val="none"/>
        </w:rPr>
        <w:t xml:space="preserve">3270</w:t>
      </w:r>
      <w:r>
        <w:rPr>
          <w:rFonts w:ascii="宋体" w:hAnsi="宋体" w:eastAsia="宋体" w:cs="宋体"/>
          <w:color w:val="000000"/>
          <w:spacing w:val="-1"/>
          <w:sz w:val="24"/>
          <w:szCs w:val="24"/>
          <w:highlight w:val="none"/>
        </w:rPr>
        <w:t xml:space="preserve">万元。</w:t>
      </w:r>
      <w:r>
        <w:rPr>
          <w:rFonts w:ascii="宋体" w:hAnsi="宋体" w:eastAsia="宋体" w:cs="宋体"/>
          <w:color w:val="000000"/>
          <w:spacing w:val="-1"/>
          <w:sz w:val="24"/>
          <w:szCs w:val="24"/>
          <w:highlight w:val="none"/>
        </w:rPr>
      </w:r>
      <w:r/>
    </w:p>
    <w:p>
      <w:pPr>
        <w:pStyle w:val="1133"/>
        <w:ind w:left="0" w:firstLine="480"/>
        <w:spacing w:line="460" w:lineRule="exact"/>
        <w:rPr>
          <w:rFonts w:ascii="宋体" w:hAnsi="宋体" w:cs="宋体"/>
          <w:color w:val="000000"/>
          <w:spacing w:val="-1"/>
          <w:sz w:val="24"/>
          <w:szCs w:val="24"/>
          <w:highlight w:val="none"/>
        </w:rPr>
      </w:pPr>
      <w:r>
        <w:rPr>
          <w:rFonts w:ascii="宋体" w:hAnsi="宋体" w:cs="宋体"/>
          <w:color w:val="000000"/>
          <w:spacing w:val="-1"/>
          <w:sz w:val="24"/>
          <w:szCs w:val="24"/>
          <w:highlight w:val="none"/>
        </w:rPr>
        <w:t xml:space="preserve">大丰管养里程283.988公里，其中3条国道（G204线、G22</w:t>
      </w:r>
      <w:r>
        <w:rPr>
          <w:rFonts w:ascii="宋体" w:hAnsi="宋体" w:eastAsia="宋体" w:cs="宋体"/>
          <w:color w:val="000000"/>
          <w:spacing w:val="-1"/>
          <w:sz w:val="24"/>
          <w:szCs w:val="24"/>
          <w:highlight w:val="none"/>
        </w:rPr>
        <w:t xml:space="preserve">8线、G343线）长154.323公里，3条省道（S226线、S331线、S351线）长129.665公里。工程预算约为</w:t>
      </w:r>
      <w:r>
        <w:rPr>
          <w:rFonts w:hint="eastAsia" w:ascii="宋体" w:hAnsi="宋体" w:eastAsia="宋体" w:cs="宋体"/>
          <w:color w:val="000000"/>
          <w:spacing w:val="-1"/>
          <w:sz w:val="24"/>
          <w:szCs w:val="24"/>
          <w:highlight w:val="none"/>
        </w:rPr>
        <w:t xml:space="preserve">3747</w:t>
      </w:r>
      <w:r>
        <w:rPr>
          <w:rFonts w:ascii="宋体" w:hAnsi="宋体" w:eastAsia="宋体" w:cs="宋体"/>
          <w:color w:val="000000"/>
          <w:spacing w:val="-1"/>
          <w:sz w:val="24"/>
          <w:szCs w:val="24"/>
          <w:highlight w:val="none"/>
        </w:rPr>
        <w:t xml:space="preserve">万元</w:t>
      </w:r>
      <w:r>
        <w:rPr>
          <w:rFonts w:ascii="宋体" w:hAnsi="宋体" w:cs="宋体"/>
          <w:color w:val="000000"/>
          <w:spacing w:val="-1"/>
          <w:sz w:val="24"/>
          <w:szCs w:val="24"/>
          <w:highlight w:val="none"/>
        </w:rPr>
        <w:t xml:space="preserve">。</w:t>
      </w:r>
      <w:r>
        <w:rPr>
          <w:rFonts w:ascii="宋体" w:hAnsi="宋体" w:cs="宋体"/>
          <w:color w:val="000000"/>
          <w:spacing w:val="-1"/>
          <w:sz w:val="24"/>
          <w:szCs w:val="24"/>
          <w:highlight w:val="none"/>
        </w:rPr>
      </w:r>
      <w:r/>
    </w:p>
    <w:p>
      <w:pPr>
        <w:pStyle w:val="1133"/>
        <w:ind w:left="0" w:firstLine="478"/>
        <w:spacing w:line="460" w:lineRule="exact"/>
        <w:rPr>
          <w:rFonts w:hint="eastAsia" w:ascii="宋体" w:hAnsi="宋体" w:cs="宋体"/>
          <w:b/>
          <w:bCs/>
          <w:color w:val="000000"/>
          <w:spacing w:val="-1"/>
          <w:sz w:val="24"/>
          <w:szCs w:val="24"/>
          <w:highlight w:val="none"/>
        </w:rPr>
      </w:pPr>
      <w:r>
        <w:rPr>
          <w:rFonts w:hint="eastAsia" w:ascii="宋体" w:hAnsi="宋体" w:cs="宋体"/>
          <w:b/>
          <w:bCs/>
          <w:color w:val="000000"/>
          <w:spacing w:val="-1"/>
          <w:sz w:val="24"/>
          <w:szCs w:val="24"/>
          <w:highlight w:val="none"/>
        </w:rPr>
        <w:t xml:space="preserve">采购包2：</w:t>
      </w:r>
      <w:r>
        <w:rPr>
          <w:rFonts w:hint="eastAsia" w:ascii="宋体" w:hAnsi="宋体" w:cs="宋体"/>
          <w:b/>
          <w:bCs/>
          <w:color w:val="000000"/>
          <w:spacing w:val="-1"/>
          <w:sz w:val="24"/>
          <w:szCs w:val="24"/>
          <w:highlight w:val="none"/>
        </w:rPr>
      </w:r>
      <w:r/>
    </w:p>
    <w:p>
      <w:pPr>
        <w:pStyle w:val="1133"/>
        <w:ind w:left="0" w:firstLine="480"/>
        <w:spacing w:line="460" w:lineRule="exact"/>
        <w:rPr>
          <w:rFonts w:ascii="宋体" w:hAnsi="宋体" w:eastAsia="宋体" w:cs="宋体"/>
          <w:color w:val="000000"/>
          <w:spacing w:val="-1"/>
          <w:sz w:val="24"/>
          <w:szCs w:val="24"/>
          <w:highlight w:val="none"/>
        </w:rPr>
      </w:pPr>
      <w:r>
        <w:rPr>
          <w:rFonts w:ascii="宋体" w:hAnsi="宋体" w:cs="宋体"/>
          <w:color w:val="000000"/>
          <w:spacing w:val="-1"/>
          <w:sz w:val="24"/>
          <w:szCs w:val="24"/>
          <w:highlight w:val="none"/>
        </w:rPr>
        <w:t xml:space="preserve">对建湖、阜宁、响水区域内的公路日常巡查、桥梁日常巡查、边坡整修、路肩割草、路面清扫保洁等基价类项目进行结算审计和路基、路面、桥梁、沿</w:t>
      </w:r>
      <w:r>
        <w:rPr>
          <w:rFonts w:ascii="宋体" w:hAnsi="宋体" w:eastAsia="宋体" w:cs="宋体"/>
          <w:color w:val="000000"/>
          <w:spacing w:val="-1"/>
          <w:sz w:val="24"/>
          <w:szCs w:val="24"/>
          <w:highlight w:val="none"/>
        </w:rPr>
        <w:t xml:space="preserve">线设施、绿化等养护单价类项目和应急养护工程进行跟踪审计、结算审计工作。预算共计约为</w:t>
      </w:r>
      <w:r>
        <w:rPr>
          <w:rFonts w:hint="eastAsia" w:ascii="宋体" w:hAnsi="宋体" w:eastAsia="宋体" w:cs="宋体"/>
          <w:color w:val="000000"/>
          <w:spacing w:val="-1"/>
          <w:sz w:val="24"/>
          <w:szCs w:val="24"/>
          <w:highlight w:val="none"/>
        </w:rPr>
        <w:t xml:space="preserve">6962</w:t>
      </w:r>
      <w:r>
        <w:rPr>
          <w:rFonts w:ascii="宋体" w:hAnsi="宋体" w:eastAsia="宋体" w:cs="宋体"/>
          <w:color w:val="000000"/>
          <w:spacing w:val="-1"/>
          <w:sz w:val="24"/>
          <w:szCs w:val="24"/>
          <w:highlight w:val="none"/>
        </w:rPr>
        <w:t xml:space="preserve">万元，基价类约</w:t>
      </w:r>
      <w:r>
        <w:rPr>
          <w:rFonts w:hint="eastAsia" w:ascii="宋体" w:hAnsi="宋体" w:eastAsia="宋体" w:cs="宋体"/>
          <w:color w:val="000000"/>
          <w:spacing w:val="-1"/>
          <w:sz w:val="24"/>
          <w:szCs w:val="24"/>
          <w:highlight w:val="none"/>
        </w:rPr>
        <w:t xml:space="preserve">1736</w:t>
      </w:r>
      <w:r>
        <w:rPr>
          <w:rFonts w:ascii="宋体" w:hAnsi="宋体" w:eastAsia="宋体" w:cs="宋体"/>
          <w:color w:val="000000"/>
          <w:spacing w:val="-1"/>
          <w:sz w:val="24"/>
          <w:szCs w:val="24"/>
          <w:highlight w:val="none"/>
        </w:rPr>
        <w:t xml:space="preserve">万元。</w:t>
      </w:r>
      <w:r>
        <w:rPr>
          <w:rFonts w:ascii="宋体" w:hAnsi="宋体" w:eastAsia="宋体" w:cs="宋体"/>
          <w:color w:val="000000"/>
          <w:spacing w:val="-1"/>
          <w:sz w:val="24"/>
          <w:szCs w:val="24"/>
          <w:highlight w:val="none"/>
        </w:rPr>
      </w:r>
      <w:r/>
    </w:p>
    <w:p>
      <w:pPr>
        <w:pStyle w:val="1133"/>
        <w:ind w:left="0" w:firstLine="480"/>
        <w:spacing w:line="460" w:lineRule="exact"/>
        <w:rPr>
          <w:rFonts w:ascii="宋体" w:hAnsi="宋体" w:eastAsia="宋体" w:cs="宋体"/>
          <w:color w:val="000000"/>
          <w:spacing w:val="-1"/>
          <w:sz w:val="24"/>
          <w:szCs w:val="24"/>
          <w:highlight w:val="none"/>
        </w:rPr>
      </w:pPr>
      <w:r>
        <w:rPr>
          <w:rFonts w:ascii="宋体" w:hAnsi="宋体" w:eastAsia="宋体" w:cs="宋体"/>
          <w:color w:val="000000"/>
          <w:spacing w:val="-1"/>
          <w:sz w:val="24"/>
          <w:szCs w:val="24"/>
          <w:highlight w:val="none"/>
        </w:rPr>
        <w:t xml:space="preserve">建湖管养里程全长188.206公里，其中2条国道（G204线、G343线）长57.323公里，4条省道（S231线、S232线、S233线、S331线）长130.883公里。工程预算约为</w:t>
      </w:r>
      <w:r>
        <w:rPr>
          <w:rFonts w:hint="eastAsia" w:ascii="宋体" w:hAnsi="宋体" w:eastAsia="宋体" w:cs="宋体"/>
          <w:color w:val="000000"/>
          <w:spacing w:val="-1"/>
          <w:sz w:val="24"/>
          <w:szCs w:val="24"/>
          <w:highlight w:val="none"/>
        </w:rPr>
        <w:t xml:space="preserve">2349</w:t>
      </w:r>
      <w:r>
        <w:rPr>
          <w:rFonts w:ascii="宋体" w:hAnsi="宋体" w:eastAsia="宋体" w:cs="宋体"/>
          <w:color w:val="000000"/>
          <w:spacing w:val="-1"/>
          <w:sz w:val="24"/>
          <w:szCs w:val="24"/>
          <w:highlight w:val="none"/>
        </w:rPr>
        <w:t xml:space="preserve">万元。</w:t>
      </w:r>
      <w:r>
        <w:rPr>
          <w:rFonts w:ascii="宋体" w:hAnsi="宋体" w:eastAsia="宋体" w:cs="宋体"/>
          <w:color w:val="000000"/>
          <w:spacing w:val="-1"/>
          <w:sz w:val="24"/>
          <w:szCs w:val="24"/>
          <w:highlight w:val="none"/>
        </w:rPr>
      </w:r>
      <w:r/>
    </w:p>
    <w:p>
      <w:pPr>
        <w:pStyle w:val="1133"/>
        <w:ind w:left="0" w:firstLine="480"/>
        <w:spacing w:line="460" w:lineRule="exact"/>
        <w:rPr>
          <w:rFonts w:ascii="宋体" w:hAnsi="宋体" w:cs="宋体"/>
          <w:color w:val="000000"/>
          <w:spacing w:val="-1"/>
          <w:sz w:val="24"/>
          <w:szCs w:val="24"/>
          <w:highlight w:val="none"/>
        </w:rPr>
      </w:pPr>
      <w:r>
        <w:rPr>
          <w:rFonts w:ascii="宋体" w:hAnsi="宋体" w:eastAsia="宋体" w:cs="宋体"/>
          <w:color w:val="000000"/>
          <w:spacing w:val="-1"/>
          <w:sz w:val="24"/>
          <w:szCs w:val="24"/>
          <w:highlight w:val="none"/>
        </w:rPr>
        <w:t xml:space="preserve">阜宁管养里程186.923公里，其中2条国道（G204线、G343线）长58.528公里，4条省道（S231线、S328线、S329线、S348线）长128.395公里。工程预算约为</w:t>
      </w:r>
      <w:r>
        <w:rPr>
          <w:rFonts w:hint="eastAsia" w:ascii="宋体" w:hAnsi="宋体" w:eastAsia="宋体" w:cs="宋体"/>
          <w:color w:val="000000"/>
          <w:spacing w:val="-1"/>
          <w:sz w:val="24"/>
          <w:szCs w:val="24"/>
          <w:highlight w:val="none"/>
        </w:rPr>
        <w:t xml:space="preserve">2168</w:t>
      </w:r>
      <w:r>
        <w:rPr>
          <w:rFonts w:ascii="宋体" w:hAnsi="宋体" w:eastAsia="宋体" w:cs="宋体"/>
          <w:color w:val="000000"/>
          <w:spacing w:val="-1"/>
          <w:sz w:val="24"/>
          <w:szCs w:val="24"/>
          <w:highlight w:val="none"/>
        </w:rPr>
        <w:t xml:space="preserve">万元。</w:t>
      </w:r>
      <w:r>
        <w:rPr>
          <w:rFonts w:ascii="宋体" w:hAnsi="宋体" w:cs="宋体"/>
          <w:color w:val="000000"/>
          <w:spacing w:val="-1"/>
          <w:sz w:val="24"/>
          <w:szCs w:val="24"/>
          <w:highlight w:val="none"/>
        </w:rPr>
      </w:r>
      <w:r/>
    </w:p>
    <w:p>
      <w:pPr>
        <w:pStyle w:val="1133"/>
        <w:ind w:left="0" w:firstLine="476"/>
        <w:spacing w:line="460" w:lineRule="exact"/>
        <w:rPr>
          <w:rFonts w:ascii="宋体" w:hAnsi="宋体" w:cs="宋体"/>
          <w:color w:val="000000"/>
          <w:spacing w:val="-1"/>
          <w:sz w:val="24"/>
          <w:szCs w:val="24"/>
          <w:highlight w:val="none"/>
        </w:rPr>
      </w:pPr>
      <w:r>
        <w:rPr>
          <w:rFonts w:ascii="宋体" w:hAnsi="宋体" w:cs="宋体"/>
          <w:color w:val="000000"/>
          <w:spacing w:val="-1"/>
          <w:sz w:val="24"/>
          <w:szCs w:val="24"/>
          <w:highlight w:val="none"/>
        </w:rPr>
        <w:t xml:space="preserve">响水管养里程163.803公里，其中2条国道（G204线、G228线）长56.881公里，2条省道（S326线、S337线）长106.922公里。工程预算约</w:t>
      </w:r>
      <w:r>
        <w:rPr>
          <w:rFonts w:ascii="宋体" w:hAnsi="宋体" w:eastAsia="宋体" w:cs="宋体"/>
          <w:color w:val="000000"/>
          <w:spacing w:val="-1"/>
          <w:sz w:val="24"/>
          <w:szCs w:val="24"/>
          <w:highlight w:val="none"/>
        </w:rPr>
        <w:t xml:space="preserve">为</w:t>
      </w:r>
      <w:r>
        <w:rPr>
          <w:rFonts w:hint="eastAsia" w:ascii="宋体" w:hAnsi="宋体" w:eastAsia="宋体" w:cs="宋体"/>
          <w:color w:val="000000"/>
          <w:spacing w:val="-1"/>
          <w:sz w:val="24"/>
          <w:szCs w:val="24"/>
          <w:highlight w:val="none"/>
        </w:rPr>
        <w:t xml:space="preserve">2445</w:t>
      </w:r>
      <w:r>
        <w:rPr>
          <w:rFonts w:ascii="宋体" w:hAnsi="宋体" w:eastAsia="宋体" w:cs="宋体"/>
          <w:color w:val="000000"/>
          <w:spacing w:val="-1"/>
          <w:sz w:val="24"/>
          <w:szCs w:val="24"/>
          <w:highlight w:val="none"/>
        </w:rPr>
        <w:t xml:space="preserve">万元。</w:t>
      </w:r>
      <w:r>
        <w:rPr>
          <w:rFonts w:ascii="宋体" w:hAnsi="宋体" w:cs="宋体"/>
          <w:color w:val="000000"/>
          <w:spacing w:val="-1"/>
          <w:sz w:val="24"/>
          <w:szCs w:val="24"/>
          <w:highlight w:val="none"/>
        </w:rPr>
      </w:r>
      <w:r/>
    </w:p>
    <w:p>
      <w:pPr>
        <w:pStyle w:val="1133"/>
        <w:ind w:left="0" w:firstLine="478"/>
        <w:spacing w:line="460" w:lineRule="exact"/>
        <w:rPr>
          <w:rFonts w:hint="eastAsia" w:ascii="宋体" w:hAnsi="宋体" w:cs="宋体"/>
          <w:b/>
          <w:bCs/>
          <w:color w:val="000000"/>
          <w:spacing w:val="-1"/>
          <w:sz w:val="24"/>
          <w:szCs w:val="24"/>
          <w:highlight w:val="none"/>
        </w:rPr>
      </w:pPr>
      <w:r>
        <w:rPr>
          <w:rFonts w:hint="eastAsia" w:ascii="宋体" w:hAnsi="宋体" w:cs="宋体"/>
          <w:b/>
          <w:bCs/>
          <w:color w:val="000000"/>
          <w:spacing w:val="-1"/>
          <w:sz w:val="24"/>
          <w:szCs w:val="24"/>
          <w:highlight w:val="none"/>
        </w:rPr>
        <w:t xml:space="preserve">采购包3：</w:t>
      </w:r>
      <w:r>
        <w:rPr>
          <w:rFonts w:hint="eastAsia" w:ascii="宋体" w:hAnsi="宋体" w:cs="宋体"/>
          <w:b/>
          <w:bCs/>
          <w:color w:val="000000"/>
          <w:spacing w:val="-1"/>
          <w:sz w:val="24"/>
          <w:szCs w:val="24"/>
          <w:highlight w:val="none"/>
        </w:rPr>
      </w:r>
      <w:r/>
    </w:p>
    <w:p>
      <w:pPr>
        <w:pStyle w:val="1133"/>
        <w:ind w:left="0" w:firstLine="480"/>
        <w:spacing w:line="460" w:lineRule="exact"/>
        <w:rPr>
          <w:rFonts w:ascii="宋体" w:hAnsi="宋体" w:eastAsia="宋体" w:cs="宋体"/>
          <w:color w:val="000000"/>
          <w:spacing w:val="-1"/>
          <w:sz w:val="24"/>
          <w:szCs w:val="24"/>
          <w:highlight w:val="none"/>
        </w:rPr>
      </w:pPr>
      <w:r>
        <w:rPr>
          <w:rFonts w:ascii="宋体" w:hAnsi="宋体" w:cs="宋体"/>
          <w:color w:val="000000"/>
          <w:spacing w:val="-1"/>
          <w:sz w:val="24"/>
          <w:szCs w:val="24"/>
          <w:highlight w:val="none"/>
        </w:rPr>
        <w:t xml:space="preserve">对射阳、滨海区域内的公路日常巡查、桥梁日常巡查、边坡整修、路肩割草、路面清扫保洁等基价类项目进行结算审计和路基、路面、桥梁、沿线设施、绿化等养护单价类项目和应急养护工程进行跟踪审计、结算审计工作。预算共计</w:t>
      </w:r>
      <w:r>
        <w:rPr>
          <w:rFonts w:ascii="宋体" w:hAnsi="宋体" w:eastAsia="宋体" w:cs="宋体"/>
          <w:color w:val="000000"/>
          <w:spacing w:val="-1"/>
          <w:sz w:val="24"/>
          <w:szCs w:val="24"/>
          <w:highlight w:val="none"/>
        </w:rPr>
        <w:t xml:space="preserve">约为</w:t>
      </w:r>
      <w:r>
        <w:rPr>
          <w:rFonts w:hint="eastAsia" w:ascii="宋体" w:hAnsi="宋体" w:eastAsia="宋体" w:cs="宋体"/>
          <w:color w:val="000000"/>
          <w:spacing w:val="-1"/>
          <w:sz w:val="24"/>
          <w:szCs w:val="24"/>
          <w:highlight w:val="none"/>
        </w:rPr>
        <w:t xml:space="preserve">5623</w:t>
      </w:r>
      <w:r>
        <w:rPr>
          <w:rFonts w:ascii="宋体" w:hAnsi="宋体" w:eastAsia="宋体" w:cs="宋体"/>
          <w:color w:val="000000"/>
          <w:spacing w:val="-1"/>
          <w:sz w:val="24"/>
          <w:szCs w:val="24"/>
          <w:highlight w:val="none"/>
        </w:rPr>
        <w:t xml:space="preserve">万元，基价类约为</w:t>
      </w:r>
      <w:r>
        <w:rPr>
          <w:rFonts w:hint="eastAsia" w:ascii="宋体" w:hAnsi="宋体" w:eastAsia="宋体" w:cs="宋体"/>
          <w:color w:val="000000"/>
          <w:spacing w:val="-1"/>
          <w:sz w:val="24"/>
          <w:szCs w:val="24"/>
          <w:highlight w:val="none"/>
        </w:rPr>
        <w:t xml:space="preserve">1469</w:t>
      </w:r>
      <w:r>
        <w:rPr>
          <w:rFonts w:ascii="宋体" w:hAnsi="宋体" w:eastAsia="宋体" w:cs="宋体"/>
          <w:color w:val="000000"/>
          <w:spacing w:val="-1"/>
          <w:sz w:val="24"/>
          <w:szCs w:val="24"/>
          <w:highlight w:val="none"/>
        </w:rPr>
        <w:t xml:space="preserve">万元。</w:t>
      </w:r>
      <w:r>
        <w:rPr>
          <w:rFonts w:ascii="宋体" w:hAnsi="宋体" w:eastAsia="宋体" w:cs="宋体"/>
          <w:color w:val="000000"/>
          <w:spacing w:val="-1"/>
          <w:sz w:val="24"/>
          <w:szCs w:val="24"/>
          <w:highlight w:val="none"/>
        </w:rPr>
      </w:r>
      <w:r/>
    </w:p>
    <w:p>
      <w:pPr>
        <w:pStyle w:val="1133"/>
        <w:ind w:left="0" w:firstLine="480"/>
        <w:spacing w:line="460" w:lineRule="exact"/>
        <w:rPr>
          <w:rFonts w:ascii="宋体" w:hAnsi="宋体" w:eastAsia="宋体" w:cs="宋体"/>
          <w:color w:val="000000"/>
          <w:spacing w:val="-1"/>
          <w:sz w:val="24"/>
          <w:szCs w:val="24"/>
          <w:highlight w:val="none"/>
        </w:rPr>
      </w:pPr>
      <w:r>
        <w:rPr>
          <w:rFonts w:ascii="宋体" w:hAnsi="宋体" w:eastAsia="宋体" w:cs="宋体"/>
          <w:color w:val="000000"/>
          <w:spacing w:val="-1"/>
          <w:sz w:val="24"/>
          <w:szCs w:val="24"/>
          <w:highlight w:val="none"/>
        </w:rPr>
        <w:t xml:space="preserve">射阳管养里程全长195.432公里，其中1条国道（G228线）长60.438公里，3条省道（S226线、S232线、S329线）长134.994公里。工程预算约为</w:t>
      </w:r>
      <w:r>
        <w:rPr>
          <w:rFonts w:hint="eastAsia" w:ascii="宋体" w:hAnsi="宋体" w:eastAsia="宋体" w:cs="宋体"/>
          <w:color w:val="000000"/>
          <w:spacing w:val="-1"/>
          <w:sz w:val="24"/>
          <w:szCs w:val="24"/>
          <w:highlight w:val="none"/>
        </w:rPr>
        <w:t xml:space="preserve">2647</w:t>
      </w:r>
      <w:r>
        <w:rPr>
          <w:rFonts w:ascii="宋体" w:hAnsi="宋体" w:eastAsia="宋体" w:cs="宋体"/>
          <w:color w:val="000000"/>
          <w:spacing w:val="-1"/>
          <w:sz w:val="24"/>
          <w:szCs w:val="24"/>
          <w:highlight w:val="none"/>
        </w:rPr>
        <w:t xml:space="preserve">万元。</w:t>
      </w:r>
      <w:r>
        <w:rPr>
          <w:rFonts w:ascii="宋体" w:hAnsi="宋体" w:eastAsia="宋体" w:cs="宋体"/>
          <w:color w:val="000000"/>
          <w:spacing w:val="-1"/>
          <w:sz w:val="24"/>
          <w:szCs w:val="24"/>
          <w:highlight w:val="none"/>
        </w:rPr>
      </w:r>
      <w:r/>
    </w:p>
    <w:p>
      <w:pPr>
        <w:pStyle w:val="1133"/>
        <w:ind w:left="0" w:firstLine="480"/>
        <w:spacing w:line="460" w:lineRule="exact"/>
        <w:rPr>
          <w:rFonts w:ascii="宋体" w:hAnsi="宋体" w:eastAsia="宋体" w:cs="宋体"/>
          <w:color w:val="000000"/>
          <w:spacing w:val="-1"/>
          <w:sz w:val="24"/>
          <w:szCs w:val="24"/>
          <w:highlight w:val="none"/>
        </w:rPr>
      </w:pPr>
      <w:r>
        <w:rPr>
          <w:rFonts w:ascii="宋体" w:hAnsi="宋体" w:eastAsia="宋体" w:cs="宋体"/>
          <w:color w:val="000000"/>
          <w:spacing w:val="-1"/>
          <w:sz w:val="24"/>
          <w:szCs w:val="24"/>
          <w:highlight w:val="none"/>
        </w:rPr>
        <w:t xml:space="preserve">滨海管养里程256.694公里，其中2条国道（G204线、G228线）长56.040公里，4条省道（S226线、S327线、S328线、S348线）长200.654公里。工程预算约为</w:t>
      </w:r>
      <w:r>
        <w:rPr>
          <w:rFonts w:hint="eastAsia" w:ascii="宋体" w:hAnsi="宋体" w:eastAsia="宋体" w:cs="宋体"/>
          <w:color w:val="000000"/>
          <w:spacing w:val="-1"/>
          <w:sz w:val="24"/>
          <w:szCs w:val="24"/>
          <w:highlight w:val="none"/>
        </w:rPr>
        <w:t xml:space="preserve">2977</w:t>
      </w:r>
      <w:r>
        <w:rPr>
          <w:rFonts w:ascii="宋体" w:hAnsi="宋体" w:eastAsia="宋体" w:cs="宋体"/>
          <w:color w:val="000000"/>
          <w:spacing w:val="-1"/>
          <w:sz w:val="24"/>
          <w:szCs w:val="24"/>
          <w:highlight w:val="none"/>
        </w:rPr>
        <w:t xml:space="preserve">万元。</w:t>
      </w:r>
      <w:r>
        <w:rPr>
          <w:rFonts w:ascii="宋体" w:hAnsi="宋体" w:eastAsia="宋体" w:cs="宋体"/>
          <w:color w:val="000000"/>
          <w:spacing w:val="-1"/>
          <w:sz w:val="24"/>
          <w:szCs w:val="24"/>
          <w:highlight w:val="none"/>
        </w:rPr>
      </w:r>
      <w:r/>
    </w:p>
    <w:p>
      <w:pPr>
        <w:pStyle w:val="1133"/>
        <w:ind w:left="480"/>
        <w:spacing w:line="460" w:lineRule="exact"/>
        <w:rPr>
          <w:rFonts w:hint="eastAsia" w:ascii="宋体" w:hAnsi="宋体" w:cs="宋体"/>
          <w:b/>
          <w:bCs/>
          <w:color w:val="000000"/>
          <w:spacing w:val="-1"/>
          <w:sz w:val="24"/>
          <w:szCs w:val="24"/>
          <w:highlight w:val="none"/>
        </w:rPr>
      </w:pPr>
      <w:r>
        <w:rPr>
          <w:rFonts w:hint="eastAsia" w:ascii="宋体" w:hAnsi="宋体" w:cs="宋体"/>
          <w:b/>
          <w:bCs/>
          <w:color w:val="000000"/>
          <w:spacing w:val="-1"/>
          <w:sz w:val="24"/>
          <w:szCs w:val="24"/>
          <w:highlight w:val="none"/>
        </w:rPr>
        <w:t xml:space="preserve">3.项目技术要求：</w:t>
      </w:r>
      <w:r>
        <w:rPr>
          <w:rFonts w:hint="eastAsia" w:ascii="宋体" w:hAnsi="宋体" w:cs="宋体"/>
          <w:b/>
          <w:bCs/>
          <w:color w:val="000000"/>
          <w:spacing w:val="-1"/>
          <w:sz w:val="24"/>
          <w:szCs w:val="24"/>
          <w:highlight w:val="none"/>
        </w:rPr>
      </w:r>
      <w:r/>
    </w:p>
    <w:p>
      <w:pPr>
        <w:pStyle w:val="1133"/>
        <w:ind w:left="0" w:firstLine="476"/>
        <w:spacing w:line="460" w:lineRule="exact"/>
        <w:rPr>
          <w:rFonts w:ascii="宋体" w:hAnsi="宋体" w:cs="宋体"/>
          <w:color w:val="000000"/>
          <w:spacing w:val="-1"/>
          <w:sz w:val="24"/>
          <w:szCs w:val="24"/>
          <w:highlight w:val="none"/>
        </w:rPr>
      </w:pPr>
      <w:r>
        <w:rPr>
          <w:rFonts w:ascii="宋体" w:hAnsi="宋体" w:cs="宋体"/>
          <w:color w:val="000000"/>
          <w:spacing w:val="-1"/>
          <w:sz w:val="24"/>
          <w:szCs w:val="24"/>
          <w:highlight w:val="none"/>
        </w:rPr>
        <w:t xml:space="preserve">为保证审核质量，中标后拟派项目组的常驻现场注册造价工程师在中标项目现场跟踪审核期间不得承接其他现场跟踪审核项目。采购人保留对投标人提供的该名常驻注册造价工程师投标时全过程跟踪审核项目（在审）材料（附件项目人员配置清单）进行外调核查的权利。经查实，常驻注册造价工程师不符合上述要求的，采购人有权依法解除协议，并报相关监管部门处理。</w:t>
      </w:r>
      <w:r>
        <w:rPr>
          <w:rFonts w:ascii="宋体" w:hAnsi="宋体" w:cs="宋体"/>
          <w:color w:val="000000"/>
          <w:spacing w:val="-1"/>
          <w:sz w:val="24"/>
          <w:szCs w:val="24"/>
          <w:highlight w:val="none"/>
        </w:rPr>
      </w:r>
      <w:r/>
    </w:p>
    <w:p>
      <w:pPr>
        <w:pStyle w:val="1133"/>
        <w:ind w:left="420"/>
        <w:spacing w:line="460" w:lineRule="exact"/>
        <w:rPr>
          <w:rFonts w:hint="eastAsia" w:ascii="宋体" w:hAnsi="宋体" w:cs="宋体"/>
          <w:b/>
          <w:bCs/>
          <w:color w:val="000000"/>
          <w:spacing w:val="-1"/>
          <w:sz w:val="24"/>
          <w:szCs w:val="24"/>
          <w:highlight w:val="none"/>
        </w:rPr>
      </w:pPr>
      <w:r>
        <w:rPr>
          <w:rFonts w:hint="eastAsia" w:ascii="宋体" w:hAnsi="宋体" w:cs="宋体"/>
          <w:b/>
          <w:bCs/>
          <w:color w:val="000000"/>
          <w:spacing w:val="-1"/>
          <w:sz w:val="24"/>
          <w:szCs w:val="24"/>
          <w:highlight w:val="none"/>
        </w:rPr>
        <w:t xml:space="preserve">4.人员配置要求：</w:t>
      </w:r>
      <w:r>
        <w:rPr>
          <w:rFonts w:hint="eastAsia" w:ascii="宋体" w:hAnsi="宋体" w:cs="宋体"/>
          <w:b/>
          <w:bCs/>
          <w:color w:val="000000"/>
          <w:spacing w:val="-1"/>
          <w:sz w:val="24"/>
          <w:szCs w:val="24"/>
          <w:highlight w:val="none"/>
        </w:rPr>
      </w:r>
      <w:r/>
    </w:p>
    <w:p>
      <w:pPr>
        <w:pStyle w:val="1133"/>
        <w:ind w:left="0" w:firstLine="476"/>
        <w:spacing w:line="460" w:lineRule="exact"/>
        <w:rPr>
          <w:rFonts w:ascii="宋体" w:hAnsi="宋体" w:cs="宋体"/>
          <w:color w:val="000000"/>
          <w:spacing w:val="-1"/>
          <w:sz w:val="24"/>
          <w:szCs w:val="24"/>
          <w:highlight w:val="none"/>
        </w:rPr>
      </w:pPr>
      <w:r>
        <w:rPr>
          <w:rFonts w:ascii="宋体" w:hAnsi="宋体" w:cs="宋体"/>
          <w:color w:val="000000"/>
          <w:spacing w:val="-1"/>
          <w:sz w:val="24"/>
          <w:szCs w:val="24"/>
          <w:highlight w:val="none"/>
        </w:rPr>
        <w:t xml:space="preserve">本项目投标人需根据项目的专业特点组成项目组，并报拟派项目人员配置名单（不得含有返聘、临聘及已退休人员），拟派人员原则上不得变更。采购人有权根据工程特点要求中标单位配备符合项目需要的专业审核人员，中标单位须无条件服务采购人安排。</w:t>
      </w:r>
      <w:r>
        <w:rPr>
          <w:rFonts w:ascii="宋体" w:hAnsi="宋体" w:cs="宋体"/>
          <w:color w:val="000000"/>
          <w:spacing w:val="-1"/>
          <w:sz w:val="24"/>
          <w:szCs w:val="24"/>
          <w:highlight w:val="none"/>
        </w:rPr>
      </w:r>
      <w:r/>
    </w:p>
    <w:p>
      <w:pPr>
        <w:pStyle w:val="1133"/>
        <w:ind w:left="0" w:firstLine="476"/>
        <w:spacing w:line="460" w:lineRule="exact"/>
        <w:rPr>
          <w:rFonts w:ascii="宋体" w:hAnsi="宋体" w:cs="宋体"/>
          <w:color w:val="000000"/>
          <w:spacing w:val="-1"/>
          <w:sz w:val="24"/>
          <w:szCs w:val="24"/>
          <w:highlight w:val="none"/>
        </w:rPr>
      </w:pPr>
      <w:r>
        <w:rPr>
          <w:rFonts w:ascii="宋体" w:hAnsi="宋体" w:cs="宋体"/>
          <w:color w:val="000000"/>
          <w:spacing w:val="-1"/>
          <w:sz w:val="24"/>
          <w:szCs w:val="24"/>
          <w:highlight w:val="none"/>
        </w:rPr>
        <w:t xml:space="preserve">合同签订后，采购人有权对中标供应商的履约能力进行审查，在履行合同期限内，如发现中标供应商未能按照投标承诺提供相应人员服务的，则采购人有权依法解除协审服务合同，并通报行业主管部门或其他相关部门进行处理，并将相关情况报政府采购监督管理部门作为其虚假投标的证据，进行处理。</w:t>
      </w:r>
      <w:r>
        <w:rPr>
          <w:rFonts w:ascii="宋体" w:hAnsi="宋体" w:cs="宋体"/>
          <w:color w:val="000000"/>
          <w:spacing w:val="-1"/>
          <w:sz w:val="24"/>
          <w:szCs w:val="24"/>
          <w:highlight w:val="none"/>
        </w:rPr>
      </w:r>
      <w:r/>
    </w:p>
    <w:p>
      <w:pPr>
        <w:pStyle w:val="1133"/>
        <w:ind w:left="0" w:firstLine="476"/>
        <w:spacing w:line="460" w:lineRule="exact"/>
        <w:rPr>
          <w:rFonts w:ascii="宋体" w:hAnsi="宋体" w:cs="宋体"/>
          <w:color w:val="000000"/>
          <w:spacing w:val="-1"/>
          <w:sz w:val="24"/>
          <w:szCs w:val="24"/>
          <w:highlight w:val="none"/>
        </w:rPr>
      </w:pPr>
      <w:r>
        <w:rPr>
          <w:rFonts w:ascii="宋体" w:hAnsi="宋体" w:cs="宋体"/>
          <w:color w:val="000000"/>
          <w:spacing w:val="-1"/>
          <w:sz w:val="24"/>
          <w:szCs w:val="24"/>
          <w:highlight w:val="none"/>
        </w:rPr>
        <w:t xml:space="preserve">拟派项目人员资质及驻场要求具体为（最低人员数量配置要求）：</w:t>
      </w:r>
      <w:r>
        <w:rPr>
          <w:rFonts w:ascii="宋体" w:hAnsi="宋体" w:cs="宋体"/>
          <w:color w:val="000000"/>
          <w:spacing w:val="-1"/>
          <w:sz w:val="24"/>
          <w:szCs w:val="24"/>
          <w:highlight w:val="none"/>
        </w:rPr>
      </w:r>
      <w:r/>
    </w:p>
    <w:tbl>
      <w:tblPr>
        <w:tblW w:w="0" w:type="auto"/>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769"/>
        <w:gridCol w:w="992"/>
        <w:gridCol w:w="1470"/>
        <w:gridCol w:w="1440"/>
        <w:gridCol w:w="2745"/>
        <w:gridCol w:w="2540"/>
      </w:tblGrid>
      <w:tr>
        <w:trPr>
          <w:cantSplit/>
          <w:trHeight w:val="418"/>
        </w:trPr>
        <w:tc>
          <w:tcPr>
            <w:tcBorders>
              <w:top w:val="single" w:color="000000" w:sz="4" w:space="0"/>
              <w:left w:val="single" w:color="000000" w:sz="4" w:space="0"/>
              <w:bottom w:val="single" w:color="000000" w:sz="4" w:space="0"/>
              <w:right w:val="single" w:color="000000" w:sz="4" w:space="0"/>
            </w:tcBorders>
            <w:tcW w:w="769" w:type="dxa"/>
            <w:vAlign w:val="center"/>
            <w:vMerge w:val="restart"/>
            <w:textDirection w:val="lrTb"/>
            <w:noWrap w:val="false"/>
          </w:tcPr>
          <w:p>
            <w:pPr>
              <w:pStyle w:val="1024"/>
              <w:jc w:val="center"/>
              <w:spacing w:line="400" w:lineRule="exact"/>
              <w:widowControl/>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采购包</w:t>
            </w:r>
            <w:r>
              <w:rPr>
                <w:rFonts w:ascii="宋体" w:hAnsi="宋体" w:cs="宋体"/>
                <w:b/>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pStyle w:val="1024"/>
              <w:jc w:val="center"/>
              <w:spacing w:line="400" w:lineRule="exact"/>
              <w:widowControl/>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拟派总人员</w:t>
            </w:r>
            <w:r>
              <w:rPr>
                <w:rFonts w:ascii="宋体" w:hAnsi="宋体" w:cs="宋体"/>
                <w:b/>
                <w:color w:val="000000"/>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2910" w:type="dxa"/>
            <w:vAlign w:val="center"/>
            <w:textDirection w:val="lrTb"/>
            <w:noWrap w:val="false"/>
          </w:tcPr>
          <w:p>
            <w:pPr>
              <w:pStyle w:val="1024"/>
              <w:jc w:val="center"/>
              <w:spacing w:line="400" w:lineRule="exact"/>
              <w:widowControl/>
              <w:rPr>
                <w:rFonts w:ascii="宋体" w:hAnsi="宋体" w:cs="宋体"/>
                <w:b/>
                <w:color w:val="000000"/>
                <w:sz w:val="24"/>
                <w:szCs w:val="24"/>
                <w:highlight w:val="none"/>
              </w:rPr>
            </w:pPr>
            <w:r>
              <w:rPr>
                <w:rFonts w:hint="eastAsia" w:ascii="宋体" w:hAnsi="宋体"/>
                <w:b/>
                <w:bCs/>
                <w:color w:val="000000"/>
                <w:sz w:val="24"/>
                <w:szCs w:val="24"/>
                <w:highlight w:val="none"/>
              </w:rPr>
              <w:t xml:space="preserve">一级注册造价工程师</w:t>
            </w:r>
            <w:r>
              <w:rPr>
                <w:rFonts w:ascii="宋体" w:hAnsi="宋体" w:cs="宋体"/>
                <w:b/>
                <w:color w:val="000000"/>
                <w:sz w:val="24"/>
                <w:szCs w:val="24"/>
                <w:highlight w:val="none"/>
              </w:rPr>
            </w:r>
            <w:r/>
          </w:p>
        </w:tc>
        <w:tc>
          <w:tcPr>
            <w:tcBorders>
              <w:top w:val="single" w:color="000000" w:sz="4" w:space="0"/>
              <w:left w:val="none" w:color="000000" w:sz="4" w:space="0"/>
              <w:bottom w:val="none" w:color="000000" w:sz="0" w:space="0"/>
              <w:right w:val="single" w:color="000000" w:sz="4" w:space="0"/>
            </w:tcBorders>
            <w:tcW w:w="2745" w:type="dxa"/>
            <w:vAlign w:val="center"/>
            <w:vMerge w:val="restart"/>
            <w:textDirection w:val="lrTb"/>
            <w:noWrap w:val="false"/>
          </w:tcPr>
          <w:p>
            <w:pPr>
              <w:pStyle w:val="1024"/>
              <w:jc w:val="center"/>
              <w:spacing w:line="400" w:lineRule="exact"/>
              <w:widowControl/>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常驻现场驻场时间</w:t>
            </w:r>
            <w:r>
              <w:rPr>
                <w:rFonts w:ascii="宋体" w:hAnsi="宋体" w:cs="宋体"/>
                <w:b/>
                <w:color w:val="000000"/>
                <w:sz w:val="24"/>
                <w:szCs w:val="24"/>
                <w:highlight w:val="none"/>
              </w:rPr>
            </w:r>
            <w:r/>
          </w:p>
        </w:tc>
        <w:tc>
          <w:tcPr>
            <w:tcBorders>
              <w:top w:val="single" w:color="000000" w:sz="4" w:space="0"/>
              <w:left w:val="none" w:color="000000" w:sz="4" w:space="0"/>
              <w:bottom w:val="none" w:color="000000" w:sz="0" w:space="0"/>
              <w:right w:val="single" w:color="000000" w:sz="4" w:space="0"/>
            </w:tcBorders>
            <w:tcW w:w="2540" w:type="dxa"/>
            <w:vAlign w:val="center"/>
            <w:vMerge w:val="restart"/>
            <w:textDirection w:val="lrTb"/>
            <w:noWrap w:val="false"/>
          </w:tcPr>
          <w:p>
            <w:pPr>
              <w:pStyle w:val="1024"/>
              <w:jc w:val="center"/>
              <w:spacing w:line="400" w:lineRule="exact"/>
              <w:widowControl/>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隐蔽工程、晚间施工等关键环节</w:t>
            </w:r>
            <w:r>
              <w:rPr>
                <w:rFonts w:ascii="宋体" w:hAnsi="宋体" w:cs="宋体"/>
                <w:b/>
                <w:color w:val="000000"/>
                <w:sz w:val="24"/>
                <w:szCs w:val="24"/>
                <w:highlight w:val="none"/>
              </w:rPr>
            </w:r>
            <w:r/>
          </w:p>
        </w:tc>
      </w:tr>
      <w:tr>
        <w:trPr>
          <w:cantSplit/>
          <w:trHeight w:val="418"/>
        </w:trPr>
        <w:tc>
          <w:tcPr>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val="false"/>
          </w:tcPr>
          <w:p>
            <w:pPr>
              <w:pStyle w:val="1024"/>
              <w:jc w:val="left"/>
              <w:spacing w:line="400" w:lineRule="exact"/>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1024"/>
              <w:jc w:val="left"/>
              <w:spacing w:line="400" w:lineRule="exact"/>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1470" w:type="dxa"/>
            <w:vAlign w:val="center"/>
            <w:textDirection w:val="lrTb"/>
            <w:noWrap w:val="false"/>
          </w:tcPr>
          <w:p>
            <w:pPr>
              <w:pStyle w:val="1024"/>
              <w:jc w:val="center"/>
              <w:spacing w:line="400" w:lineRule="exact"/>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常驻</w:t>
            </w:r>
            <w:r>
              <w:rPr>
                <w:rFonts w:hint="eastAsia" w:ascii="宋体" w:hAnsi="宋体" w:cs="宋体"/>
                <w:b/>
                <w:color w:val="000000"/>
                <w:sz w:val="24"/>
                <w:szCs w:val="24"/>
                <w:highlight w:val="none"/>
              </w:rPr>
            </w:r>
            <w:r/>
          </w:p>
          <w:p>
            <w:pPr>
              <w:pStyle w:val="1024"/>
              <w:jc w:val="center"/>
              <w:spacing w:line="400" w:lineRule="exact"/>
              <w:widowControl/>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项目负责人</w:t>
            </w:r>
            <w:r>
              <w:rPr>
                <w:rFonts w:ascii="宋体" w:hAnsi="宋体" w:cs="宋体"/>
                <w:b/>
                <w:color w:val="000000"/>
                <w:sz w:val="24"/>
                <w:szCs w:val="24"/>
                <w:highlight w:val="none"/>
              </w:rPr>
            </w:r>
            <w:r/>
          </w:p>
        </w:tc>
        <w:tc>
          <w:tcPr>
            <w:tcBorders>
              <w:top w:val="none" w:color="000000" w:sz="0" w:space="0"/>
              <w:left w:val="none" w:color="000000" w:sz="4" w:space="0"/>
              <w:bottom w:val="single" w:color="000000" w:sz="4" w:space="0"/>
              <w:right w:val="single" w:color="000000" w:sz="4" w:space="0"/>
            </w:tcBorders>
            <w:tcW w:w="1440" w:type="dxa"/>
            <w:vAlign w:val="center"/>
            <w:textDirection w:val="lrTb"/>
            <w:noWrap w:val="false"/>
          </w:tcPr>
          <w:p>
            <w:pPr>
              <w:pStyle w:val="1024"/>
              <w:jc w:val="center"/>
              <w:spacing w:line="400" w:lineRule="exact"/>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常驻</w:t>
            </w:r>
            <w:r>
              <w:rPr>
                <w:rFonts w:hint="eastAsia" w:ascii="宋体" w:hAnsi="宋体" w:cs="宋体"/>
                <w:b/>
                <w:color w:val="000000"/>
                <w:sz w:val="24"/>
                <w:szCs w:val="24"/>
                <w:highlight w:val="none"/>
              </w:rPr>
            </w:r>
            <w:r/>
          </w:p>
          <w:p>
            <w:pPr>
              <w:pStyle w:val="1024"/>
              <w:jc w:val="center"/>
              <w:spacing w:line="400" w:lineRule="exact"/>
              <w:widowControl/>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协审人员</w:t>
            </w:r>
            <w:r>
              <w:rPr>
                <w:rFonts w:ascii="宋体" w:hAnsi="宋体" w:cs="宋体"/>
                <w:b/>
                <w:color w:val="000000"/>
                <w:sz w:val="24"/>
                <w:szCs w:val="24"/>
                <w:highlight w:val="none"/>
              </w:rPr>
            </w:r>
            <w:r/>
          </w:p>
        </w:tc>
        <w:tc>
          <w:tcPr>
            <w:tcBorders>
              <w:top w:val="none" w:color="000000" w:sz="0" w:space="0"/>
              <w:left w:val="none" w:color="000000" w:sz="4" w:space="0"/>
              <w:bottom w:val="single" w:color="000000" w:sz="4" w:space="0"/>
              <w:right w:val="single" w:color="000000" w:sz="4" w:space="0"/>
            </w:tcBorders>
            <w:tcW w:w="2745" w:type="dxa"/>
            <w:vAlign w:val="center"/>
            <w:vMerge w:val="continue"/>
            <w:textDirection w:val="lrTb"/>
            <w:noWrap w:val="false"/>
          </w:tcPr>
          <w:p>
            <w:pPr>
              <w:pStyle w:val="1024"/>
              <w:jc w:val="center"/>
              <w:spacing w:line="400" w:lineRule="exact"/>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none" w:color="000000" w:sz="0" w:space="0"/>
              <w:left w:val="none" w:color="000000" w:sz="4" w:space="0"/>
              <w:bottom w:val="single" w:color="000000" w:sz="4" w:space="0"/>
              <w:right w:val="single" w:color="000000" w:sz="4" w:space="0"/>
            </w:tcBorders>
            <w:tcW w:w="2540" w:type="dxa"/>
            <w:vAlign w:val="center"/>
            <w:vMerge w:val="continue"/>
            <w:textDirection w:val="lrTb"/>
            <w:noWrap w:val="false"/>
          </w:tcPr>
          <w:p>
            <w:pPr>
              <w:pStyle w:val="1024"/>
              <w:jc w:val="center"/>
              <w:spacing w:line="400" w:lineRule="exact"/>
              <w:widowControl/>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418"/>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pStyle w:val="1024"/>
              <w:jc w:val="center"/>
              <w:spacing w:line="400" w:lineRule="exact"/>
              <w:widowControl/>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1</w:t>
            </w:r>
            <w:r>
              <w:rPr>
                <w:rFonts w:ascii="宋体" w:hAnsi="宋体" w:cs="宋体"/>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1024"/>
              <w:jc w:val="center"/>
              <w:spacing w:line="40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5</w:t>
            </w:r>
            <w:r>
              <w:rPr>
                <w:rFonts w:hint="eastAsia" w:ascii="宋体" w:hAnsi="宋体" w:cs="宋体"/>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470" w:type="dxa"/>
            <w:vAlign w:val="center"/>
            <w:textDirection w:val="lrTb"/>
            <w:noWrap w:val="false"/>
          </w:tcPr>
          <w:p>
            <w:pPr>
              <w:pStyle w:val="1024"/>
              <w:jc w:val="center"/>
              <w:spacing w:line="400" w:lineRule="exac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ascii="宋体" w:hAnsi="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440" w:type="dxa"/>
            <w:vAlign w:val="center"/>
            <w:textDirection w:val="lrTb"/>
            <w:noWrap w:val="false"/>
          </w:tcPr>
          <w:p>
            <w:pPr>
              <w:pStyle w:val="1024"/>
              <w:jc w:val="center"/>
              <w:spacing w:line="400" w:lineRule="exac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4</w:t>
            </w:r>
            <w:r>
              <w:rPr>
                <w:rFonts w:ascii="宋体" w:hAnsi="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2745" w:type="dxa"/>
            <w:vAlign w:val="center"/>
            <w:textDirection w:val="lrTb"/>
            <w:noWrap w:val="false"/>
          </w:tcPr>
          <w:p>
            <w:pPr>
              <w:pStyle w:val="1024"/>
              <w:jc w:val="center"/>
              <w:spacing w:line="400" w:lineRule="exac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工作日起止打卡时间不少于7小时</w:t>
            </w:r>
            <w:r>
              <w:rPr>
                <w:rFonts w:ascii="宋体" w:hAnsi="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2540" w:type="dxa"/>
            <w:vAlign w:val="center"/>
            <w:textDirection w:val="lrTb"/>
            <w:noWrap w:val="false"/>
          </w:tcPr>
          <w:p>
            <w:pPr>
              <w:pStyle w:val="1024"/>
              <w:jc w:val="center"/>
              <w:spacing w:line="400" w:lineRule="exac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1人及以上/环节</w:t>
            </w:r>
            <w:r>
              <w:rPr>
                <w:rFonts w:ascii="宋体" w:hAnsi="宋体" w:cs="宋体"/>
                <w:color w:val="000000"/>
                <w:sz w:val="24"/>
                <w:szCs w:val="24"/>
                <w:highlight w:val="none"/>
              </w:rPr>
            </w:r>
            <w:r/>
          </w:p>
        </w:tc>
      </w:tr>
      <w:tr>
        <w:trPr>
          <w:trHeight w:val="1093"/>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pStyle w:val="1024"/>
              <w:jc w:val="center"/>
              <w:spacing w:line="400" w:lineRule="exact"/>
              <w:widowControl/>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2</w:t>
            </w:r>
            <w:r>
              <w:rPr>
                <w:rFonts w:ascii="宋体" w:hAnsi="宋体" w:cs="宋体"/>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1024"/>
              <w:jc w:val="center"/>
              <w:spacing w:line="40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5</w:t>
            </w:r>
            <w:r>
              <w:rPr>
                <w:rFonts w:hint="eastAsia" w:ascii="宋体" w:hAnsi="宋体" w:cs="宋体"/>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470" w:type="dxa"/>
            <w:vAlign w:val="center"/>
            <w:textDirection w:val="lrTb"/>
            <w:noWrap w:val="false"/>
          </w:tcPr>
          <w:p>
            <w:pPr>
              <w:pStyle w:val="1024"/>
              <w:jc w:val="center"/>
              <w:spacing w:line="400" w:lineRule="exac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ascii="宋体" w:hAnsi="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440" w:type="dxa"/>
            <w:vAlign w:val="center"/>
            <w:textDirection w:val="lrTb"/>
            <w:noWrap w:val="false"/>
          </w:tcPr>
          <w:p>
            <w:pPr>
              <w:pStyle w:val="1024"/>
              <w:jc w:val="center"/>
              <w:spacing w:line="400" w:lineRule="exac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4</w:t>
            </w:r>
            <w:r>
              <w:rPr>
                <w:rFonts w:ascii="宋体" w:hAnsi="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2745" w:type="dxa"/>
            <w:vAlign w:val="center"/>
            <w:textDirection w:val="lrTb"/>
            <w:noWrap w:val="false"/>
          </w:tcPr>
          <w:p>
            <w:pPr>
              <w:pStyle w:val="1024"/>
              <w:jc w:val="center"/>
              <w:spacing w:line="400" w:lineRule="exac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工作日起止打卡时间不少于7小时</w:t>
            </w:r>
            <w:r>
              <w:rPr>
                <w:rFonts w:ascii="宋体" w:hAnsi="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2540" w:type="dxa"/>
            <w:vAlign w:val="center"/>
            <w:textDirection w:val="lrTb"/>
            <w:noWrap w:val="false"/>
          </w:tcPr>
          <w:p>
            <w:pPr>
              <w:pStyle w:val="1024"/>
              <w:jc w:val="center"/>
              <w:spacing w:line="400" w:lineRule="exac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1人及以上/环节</w:t>
            </w:r>
            <w:r>
              <w:rPr>
                <w:rFonts w:ascii="宋体" w:hAnsi="宋体" w:cs="宋体"/>
                <w:color w:val="000000"/>
                <w:sz w:val="24"/>
                <w:szCs w:val="24"/>
                <w:highlight w:val="none"/>
              </w:rPr>
            </w:r>
            <w:r/>
          </w:p>
        </w:tc>
      </w:tr>
      <w:tr>
        <w:trPr>
          <w:trHeight w:val="1222"/>
        </w:trPr>
        <w:tc>
          <w:tcPr>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pStyle w:val="1024"/>
              <w:jc w:val="center"/>
              <w:spacing w:line="400" w:lineRule="exact"/>
              <w:widowControl/>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3</w:t>
            </w:r>
            <w:r>
              <w:rPr>
                <w:rFonts w:ascii="宋体" w:hAnsi="宋体" w:cs="宋体"/>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1024"/>
              <w:jc w:val="center"/>
              <w:spacing w:line="40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5</w:t>
            </w:r>
            <w:r>
              <w:rPr>
                <w:rFonts w:hint="eastAsia" w:ascii="宋体" w:hAnsi="宋体" w:cs="宋体"/>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470" w:type="dxa"/>
            <w:vAlign w:val="center"/>
            <w:textDirection w:val="lrTb"/>
            <w:noWrap w:val="false"/>
          </w:tcPr>
          <w:p>
            <w:pPr>
              <w:pStyle w:val="1024"/>
              <w:jc w:val="center"/>
              <w:spacing w:line="400" w:lineRule="exac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ascii="宋体" w:hAnsi="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440" w:type="dxa"/>
            <w:vAlign w:val="center"/>
            <w:textDirection w:val="lrTb"/>
            <w:noWrap w:val="false"/>
          </w:tcPr>
          <w:p>
            <w:pPr>
              <w:pStyle w:val="1024"/>
              <w:jc w:val="center"/>
              <w:spacing w:line="400" w:lineRule="exac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4</w:t>
            </w:r>
            <w:r>
              <w:rPr>
                <w:rFonts w:ascii="宋体" w:hAnsi="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2745" w:type="dxa"/>
            <w:vAlign w:val="center"/>
            <w:textDirection w:val="lrTb"/>
            <w:noWrap w:val="false"/>
          </w:tcPr>
          <w:p>
            <w:pPr>
              <w:pStyle w:val="1024"/>
              <w:jc w:val="center"/>
              <w:spacing w:line="400" w:lineRule="exac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工作日起止打卡时间不少于7小时</w:t>
            </w:r>
            <w:r>
              <w:rPr>
                <w:rFonts w:ascii="宋体" w:hAnsi="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2540" w:type="dxa"/>
            <w:vAlign w:val="center"/>
            <w:textDirection w:val="lrTb"/>
            <w:noWrap w:val="false"/>
          </w:tcPr>
          <w:p>
            <w:pPr>
              <w:pStyle w:val="1024"/>
              <w:jc w:val="center"/>
              <w:spacing w:line="400" w:lineRule="exac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1人及以上/环节</w:t>
            </w:r>
            <w:r>
              <w:rPr>
                <w:rFonts w:ascii="宋体" w:hAnsi="宋体" w:cs="宋体"/>
                <w:color w:val="000000"/>
                <w:sz w:val="24"/>
                <w:szCs w:val="24"/>
                <w:highlight w:val="none"/>
              </w:rPr>
            </w:r>
            <w:r/>
          </w:p>
        </w:tc>
      </w:tr>
    </w:tbl>
    <w:p>
      <w:pPr>
        <w:pStyle w:val="1024"/>
        <w:rPr>
          <w:color w:val="000000"/>
          <w:highlight w:val="none"/>
        </w:rPr>
      </w:pPr>
      <w:r>
        <w:rPr>
          <w:color w:val="000000"/>
          <w:highlight w:val="none"/>
        </w:rPr>
      </w:r>
      <w:r/>
    </w:p>
    <w:p>
      <w:pPr>
        <w:pStyle w:val="1133"/>
        <w:ind w:left="0" w:firstLine="478"/>
        <w:spacing w:line="460" w:lineRule="exact"/>
        <w:rPr>
          <w:rFonts w:ascii="宋体" w:hAnsi="宋体" w:cs="宋体"/>
          <w:color w:val="000000"/>
          <w:spacing w:val="-1"/>
          <w:sz w:val="24"/>
          <w:szCs w:val="24"/>
          <w:highlight w:val="none"/>
        </w:rPr>
      </w:pPr>
      <w:r>
        <w:rPr>
          <w:rFonts w:hint="eastAsia" w:ascii="宋体" w:hAnsi="宋体" w:cs="宋体"/>
          <w:b/>
          <w:bCs/>
          <w:color w:val="000000"/>
          <w:spacing w:val="-1"/>
          <w:sz w:val="24"/>
          <w:szCs w:val="24"/>
          <w:highlight w:val="none"/>
        </w:rPr>
        <w:t xml:space="preserve">5.服务成果要求：</w:t>
      </w:r>
      <w:r>
        <w:rPr>
          <w:rFonts w:hint="eastAsia" w:ascii="宋体" w:hAnsi="宋体" w:cs="宋体"/>
          <w:color w:val="000000"/>
          <w:spacing w:val="-1"/>
          <w:sz w:val="24"/>
          <w:szCs w:val="24"/>
          <w:highlight w:val="none"/>
        </w:rPr>
        <w:t xml:space="preserve">编制结算审计报告,共计1套（一式五份交付），结算审计报告应符合盐城市审计局审计相关要求。</w:t>
      </w:r>
      <w:r>
        <w:rPr>
          <w:rFonts w:ascii="宋体" w:hAnsi="宋体" w:cs="宋体"/>
          <w:color w:val="000000"/>
          <w:spacing w:val="-1"/>
          <w:sz w:val="24"/>
          <w:szCs w:val="24"/>
          <w:highlight w:val="none"/>
        </w:rPr>
      </w:r>
      <w:r/>
    </w:p>
    <w:p>
      <w:pPr>
        <w:pStyle w:val="1133"/>
        <w:ind w:left="0"/>
        <w:rPr>
          <w:rStyle w:val="1134"/>
          <w:rFonts w:hint="eastAsia" w:ascii="宋体" w:hAnsi="宋体" w:cs="宋体"/>
          <w:b/>
          <w:color w:val="000000"/>
          <w:sz w:val="24"/>
          <w:szCs w:val="24"/>
          <w:highlight w:val="none"/>
        </w:rPr>
      </w:pPr>
      <w:r>
        <w:rPr>
          <w:rStyle w:val="1134"/>
          <w:rFonts w:hint="eastAsia" w:ascii="宋体" w:hAnsi="宋体" w:cs="宋体"/>
          <w:b/>
          <w:color w:val="000000"/>
          <w:sz w:val="24"/>
          <w:szCs w:val="24"/>
          <w:highlight w:val="none"/>
        </w:rPr>
        <w:t xml:space="preserve">三、合同履行期限（服务期）：</w:t>
      </w:r>
      <w:r>
        <w:rPr>
          <w:rStyle w:val="1134"/>
          <w:rFonts w:hint="eastAsia" w:ascii="宋体" w:hAnsi="宋体" w:cs="宋体"/>
          <w:b/>
          <w:color w:val="000000"/>
          <w:sz w:val="24"/>
          <w:szCs w:val="24"/>
          <w:highlight w:val="none"/>
        </w:rPr>
      </w:r>
      <w:r/>
    </w:p>
    <w:p>
      <w:pPr>
        <w:pStyle w:val="1024"/>
        <w:ind w:firstLine="480"/>
        <w:spacing w:line="440" w:lineRule="exact"/>
        <w:rPr>
          <w:rStyle w:val="1134"/>
          <w:rFonts w:hint="eastAsia" w:ascii="黑体" w:hAnsi="黑体" w:eastAsia="黑体" w:cs="宋体"/>
          <w:b/>
          <w:color w:val="000000"/>
          <w:sz w:val="24"/>
          <w:szCs w:val="24"/>
          <w:highlight w:val="none"/>
        </w:rPr>
      </w:pPr>
      <w:r>
        <w:rPr>
          <w:rFonts w:hint="eastAsia" w:ascii="宋体" w:hAnsi="宋体" w:cs="宋体"/>
          <w:color w:val="000000"/>
          <w:sz w:val="24"/>
          <w:szCs w:val="24"/>
          <w:highlight w:val="none"/>
        </w:rPr>
        <w:t xml:space="preserve">施工工期</w:t>
      </w:r>
      <w:r>
        <w:rPr>
          <w:rFonts w:hint="eastAsia" w:ascii="宋体" w:hAnsi="宋体" w:eastAsia="宋体" w:cs="宋体"/>
          <w:color w:val="000000"/>
          <w:sz w:val="24"/>
          <w:szCs w:val="24"/>
          <w:highlight w:val="none"/>
        </w:rPr>
        <w:t xml:space="preserve">约为365天，从合</w:t>
      </w:r>
      <w:r>
        <w:rPr>
          <w:rFonts w:hint="eastAsia" w:ascii="宋体" w:hAnsi="宋体" w:cs="宋体"/>
          <w:color w:val="000000"/>
          <w:sz w:val="24"/>
          <w:szCs w:val="24"/>
          <w:highlight w:val="none"/>
        </w:rPr>
        <w:t xml:space="preserve">同签订之日起至整个项目竣工验收合格，同时移交全部审计资料至采购人为止。</w:t>
      </w:r>
      <w:r>
        <w:rPr>
          <w:rStyle w:val="1134"/>
          <w:rFonts w:hint="eastAsia" w:ascii="黑体" w:hAnsi="黑体" w:eastAsia="黑体" w:cs="宋体"/>
          <w:b/>
          <w:color w:val="000000"/>
          <w:sz w:val="24"/>
          <w:szCs w:val="24"/>
          <w:highlight w:val="none"/>
        </w:rPr>
      </w:r>
      <w:r/>
    </w:p>
    <w:p>
      <w:pPr>
        <w:pStyle w:val="1133"/>
        <w:ind w:left="0"/>
        <w:rPr>
          <w:rStyle w:val="1134"/>
          <w:rFonts w:hint="eastAsia" w:ascii="宋体" w:hAnsi="宋体" w:cs="宋体"/>
          <w:b/>
          <w:color w:val="000000"/>
          <w:sz w:val="24"/>
          <w:szCs w:val="24"/>
          <w:highlight w:val="none"/>
        </w:rPr>
      </w:pPr>
      <w:r>
        <w:rPr>
          <w:rStyle w:val="1134"/>
          <w:rFonts w:hint="eastAsia" w:ascii="宋体" w:hAnsi="宋体" w:cs="宋体"/>
          <w:b/>
          <w:color w:val="000000"/>
          <w:sz w:val="24"/>
          <w:szCs w:val="24"/>
          <w:highlight w:val="none"/>
        </w:rPr>
        <w:t xml:space="preserve">四、服务内容</w:t>
      </w:r>
      <w:r>
        <w:rPr>
          <w:rStyle w:val="1134"/>
          <w:rFonts w:hint="eastAsia" w:ascii="宋体" w:hAnsi="宋体" w:cs="宋体"/>
          <w:b/>
          <w:color w:val="000000"/>
          <w:sz w:val="24"/>
          <w:szCs w:val="24"/>
          <w:highlight w:val="none"/>
        </w:rPr>
      </w:r>
      <w:r/>
    </w:p>
    <w:p>
      <w:pPr>
        <w:pStyle w:val="1133"/>
        <w:ind w:left="0" w:firstLine="478"/>
        <w:spacing w:line="440" w:lineRule="exact"/>
        <w:rPr>
          <w:rFonts w:hint="eastAsia" w:ascii="宋体" w:hAnsi="宋体" w:cs="宋体"/>
          <w:color w:val="000000"/>
          <w:spacing w:val="-1"/>
          <w:sz w:val="24"/>
          <w:szCs w:val="24"/>
          <w:highlight w:val="none"/>
        </w:rPr>
      </w:pPr>
      <w:r>
        <w:rPr>
          <w:rFonts w:hint="eastAsia" w:ascii="宋体" w:hAnsi="宋体" w:cs="宋体"/>
          <w:b/>
          <w:bCs/>
          <w:color w:val="000000"/>
          <w:spacing w:val="-1"/>
          <w:sz w:val="24"/>
          <w:szCs w:val="24"/>
          <w:highlight w:val="none"/>
        </w:rPr>
        <w:t xml:space="preserve">1.审计内容：</w:t>
      </w:r>
      <w:r>
        <w:rPr>
          <w:rFonts w:hint="eastAsia" w:ascii="宋体" w:hAnsi="宋体" w:cs="宋体"/>
          <w:color w:val="000000"/>
          <w:sz w:val="24"/>
          <w:szCs w:val="24"/>
          <w:highlight w:val="none"/>
        </w:rPr>
        <w:t xml:space="preserve">2026年盐城市普通国省道小修保养及应急养护工程全过程造价控制及竣工决算审计</w:t>
      </w:r>
      <w:r>
        <w:rPr>
          <w:rFonts w:hint="eastAsia" w:ascii="宋体" w:hAnsi="宋体" w:cs="宋体"/>
          <w:color w:val="000000"/>
          <w:spacing w:val="-1"/>
          <w:sz w:val="24"/>
          <w:szCs w:val="24"/>
          <w:highlight w:val="none"/>
        </w:rPr>
        <w:t xml:space="preserve">，主要服务内容包括（但不限于）：全过程造价控制审核、工程竣工结算审核、出具审核报告、审核资料的归档等。</w:t>
      </w:r>
      <w:r>
        <w:rPr>
          <w:rFonts w:hint="eastAsia" w:ascii="宋体" w:hAnsi="宋体" w:cs="宋体"/>
          <w:color w:val="000000"/>
          <w:spacing w:val="-1"/>
          <w:sz w:val="24"/>
          <w:szCs w:val="24"/>
          <w:highlight w:val="none"/>
        </w:rPr>
      </w:r>
      <w:r/>
    </w:p>
    <w:p>
      <w:pPr>
        <w:pStyle w:val="1133"/>
        <w:ind w:left="0" w:firstLine="480"/>
        <w:spacing w:line="440" w:lineRule="exact"/>
        <w:rPr>
          <w:rFonts w:hint="eastAsia" w:ascii="宋体" w:hAnsi="宋体" w:cs="宋体"/>
          <w:b/>
          <w:bCs/>
          <w:color w:val="000000"/>
          <w:spacing w:val="-1"/>
          <w:sz w:val="24"/>
          <w:szCs w:val="24"/>
          <w:highlight w:val="none"/>
        </w:rPr>
      </w:pPr>
      <w:r>
        <w:rPr>
          <w:rFonts w:hint="eastAsia" w:ascii="宋体" w:hAnsi="宋体" w:cs="宋体"/>
          <w:b/>
          <w:bCs/>
          <w:color w:val="000000"/>
          <w:spacing w:val="-1"/>
          <w:sz w:val="24"/>
          <w:szCs w:val="24"/>
          <w:highlight w:val="none"/>
        </w:rPr>
        <w:t xml:space="preserve">2.协审内容：</w:t>
      </w:r>
      <w:r>
        <w:rPr>
          <w:rFonts w:hint="eastAsia" w:ascii="宋体" w:hAnsi="宋体" w:cs="宋体"/>
          <w:b/>
          <w:bCs/>
          <w:color w:val="000000"/>
          <w:spacing w:val="-1"/>
          <w:sz w:val="24"/>
          <w:szCs w:val="24"/>
          <w:highlight w:val="none"/>
        </w:rPr>
      </w:r>
      <w:r/>
    </w:p>
    <w:p>
      <w:pPr>
        <w:pStyle w:val="1133"/>
        <w:ind w:left="0" w:firstLine="476"/>
        <w:spacing w:line="440" w:lineRule="exact"/>
        <w:rPr>
          <w:rFonts w:hint="eastAsia" w:ascii="宋体" w:hAnsi="宋体" w:cs="宋体"/>
          <w:color w:val="000000"/>
          <w:spacing w:val="-1"/>
          <w:sz w:val="24"/>
          <w:szCs w:val="24"/>
          <w:highlight w:val="none"/>
        </w:rPr>
      </w:pPr>
      <w:r>
        <w:rPr>
          <w:rFonts w:hint="eastAsia" w:ascii="宋体" w:hAnsi="宋体" w:cs="宋体"/>
          <w:color w:val="000000"/>
          <w:spacing w:val="-1"/>
          <w:sz w:val="24"/>
          <w:szCs w:val="24"/>
          <w:highlight w:val="none"/>
        </w:rPr>
        <w:t xml:space="preserve">1）制定造价控制的实施细则，确定控制目标；</w:t>
      </w:r>
      <w:r>
        <w:rPr>
          <w:rFonts w:hint="eastAsia" w:ascii="宋体" w:hAnsi="宋体" w:cs="宋体"/>
          <w:color w:val="000000"/>
          <w:spacing w:val="-1"/>
          <w:sz w:val="24"/>
          <w:szCs w:val="24"/>
          <w:highlight w:val="none"/>
        </w:rPr>
      </w:r>
      <w:r/>
    </w:p>
    <w:p>
      <w:pPr>
        <w:pStyle w:val="1133"/>
        <w:ind w:left="0" w:firstLine="476"/>
        <w:spacing w:line="440" w:lineRule="exact"/>
        <w:rPr>
          <w:rFonts w:hint="eastAsia" w:ascii="宋体" w:hAnsi="宋体" w:cs="宋体"/>
          <w:color w:val="000000"/>
          <w:spacing w:val="-1"/>
          <w:sz w:val="24"/>
          <w:szCs w:val="24"/>
          <w:highlight w:val="none"/>
        </w:rPr>
      </w:pPr>
      <w:r>
        <w:rPr>
          <w:rFonts w:hint="eastAsia" w:ascii="宋体" w:hAnsi="宋体" w:cs="宋体"/>
          <w:color w:val="000000"/>
          <w:spacing w:val="-1"/>
          <w:sz w:val="24"/>
          <w:szCs w:val="24"/>
          <w:highlight w:val="none"/>
        </w:rPr>
        <w:t xml:space="preserve">2）参与工程造价控制有关的工作会议；</w:t>
      </w:r>
      <w:r>
        <w:rPr>
          <w:rFonts w:hint="eastAsia" w:ascii="宋体" w:hAnsi="宋体" w:cs="宋体"/>
          <w:color w:val="000000"/>
          <w:spacing w:val="-1"/>
          <w:sz w:val="24"/>
          <w:szCs w:val="24"/>
          <w:highlight w:val="none"/>
        </w:rPr>
      </w:r>
      <w:r/>
    </w:p>
    <w:p>
      <w:pPr>
        <w:pStyle w:val="1133"/>
        <w:ind w:left="0" w:firstLine="476"/>
        <w:spacing w:line="440" w:lineRule="exact"/>
        <w:rPr>
          <w:rFonts w:hint="eastAsia" w:ascii="宋体" w:hAnsi="宋体" w:cs="宋体"/>
          <w:color w:val="000000"/>
          <w:spacing w:val="-1"/>
          <w:sz w:val="24"/>
          <w:szCs w:val="24"/>
          <w:highlight w:val="none"/>
        </w:rPr>
      </w:pPr>
      <w:r>
        <w:rPr>
          <w:rFonts w:hint="eastAsia" w:ascii="宋体" w:hAnsi="宋体" w:cs="宋体"/>
          <w:color w:val="000000"/>
          <w:spacing w:val="-1"/>
          <w:sz w:val="24"/>
          <w:szCs w:val="24"/>
          <w:highlight w:val="none"/>
        </w:rPr>
        <w:t xml:space="preserve">3）负责对施工单位上报的每月完成工作量月报进行审核，编制标段月报或者项目月报，作为支付当月进度款的依据；</w:t>
      </w:r>
      <w:r>
        <w:rPr>
          <w:rFonts w:hint="eastAsia" w:ascii="宋体" w:hAnsi="宋体" w:cs="宋体"/>
          <w:color w:val="000000"/>
          <w:spacing w:val="-1"/>
          <w:sz w:val="24"/>
          <w:szCs w:val="24"/>
          <w:highlight w:val="none"/>
        </w:rPr>
      </w:r>
      <w:r/>
    </w:p>
    <w:p>
      <w:pPr>
        <w:pStyle w:val="1133"/>
        <w:ind w:left="0" w:firstLine="476"/>
        <w:spacing w:line="440" w:lineRule="exact"/>
        <w:rPr>
          <w:rFonts w:hint="eastAsia" w:ascii="宋体" w:hAnsi="宋体" w:cs="宋体"/>
          <w:color w:val="000000"/>
          <w:spacing w:val="-1"/>
          <w:sz w:val="24"/>
          <w:szCs w:val="24"/>
          <w:highlight w:val="none"/>
        </w:rPr>
      </w:pPr>
      <w:r>
        <w:rPr>
          <w:rFonts w:hint="eastAsia" w:ascii="宋体" w:hAnsi="宋体" w:cs="宋体"/>
          <w:color w:val="000000"/>
          <w:spacing w:val="-1"/>
          <w:sz w:val="24"/>
          <w:szCs w:val="24"/>
          <w:highlight w:val="none"/>
        </w:rPr>
        <w:t xml:space="preserve">4）项目承包方提出索赔时，为采购人提供咨询意见；</w:t>
      </w:r>
      <w:r>
        <w:rPr>
          <w:rFonts w:hint="eastAsia" w:ascii="宋体" w:hAnsi="宋体" w:cs="宋体"/>
          <w:color w:val="000000"/>
          <w:spacing w:val="-1"/>
          <w:sz w:val="24"/>
          <w:szCs w:val="24"/>
          <w:highlight w:val="none"/>
        </w:rPr>
      </w:r>
      <w:r/>
    </w:p>
    <w:p>
      <w:pPr>
        <w:pStyle w:val="1133"/>
        <w:ind w:left="0" w:firstLine="476"/>
        <w:spacing w:line="440" w:lineRule="exact"/>
        <w:rPr>
          <w:rFonts w:hint="eastAsia" w:ascii="宋体" w:hAnsi="宋体" w:cs="宋体"/>
          <w:color w:val="000000"/>
          <w:spacing w:val="-1"/>
          <w:sz w:val="24"/>
          <w:szCs w:val="24"/>
          <w:highlight w:val="none"/>
        </w:rPr>
      </w:pPr>
      <w:r>
        <w:rPr>
          <w:rFonts w:hint="eastAsia" w:ascii="宋体" w:hAnsi="宋体" w:cs="宋体"/>
          <w:color w:val="000000"/>
          <w:spacing w:val="-1"/>
          <w:sz w:val="24"/>
          <w:szCs w:val="24"/>
          <w:highlight w:val="none"/>
        </w:rPr>
        <w:t xml:space="preserve">5）根据需要，协助采购人及时审核设计变更、现场签证等发生的费用，相应调整造价控制目标；并向采购人提供造价控制动态分析报告；</w:t>
      </w:r>
      <w:r>
        <w:rPr>
          <w:rFonts w:hint="eastAsia" w:ascii="宋体" w:hAnsi="宋体" w:cs="宋体"/>
          <w:color w:val="000000"/>
          <w:spacing w:val="-1"/>
          <w:sz w:val="24"/>
          <w:szCs w:val="24"/>
          <w:highlight w:val="none"/>
        </w:rPr>
      </w:r>
      <w:r/>
    </w:p>
    <w:p>
      <w:pPr>
        <w:pStyle w:val="1133"/>
        <w:ind w:left="0" w:firstLine="476"/>
        <w:spacing w:line="440" w:lineRule="exact"/>
        <w:rPr>
          <w:rFonts w:hint="eastAsia" w:ascii="宋体" w:hAnsi="宋体" w:cs="宋体"/>
          <w:color w:val="000000"/>
          <w:spacing w:val="-1"/>
          <w:sz w:val="24"/>
          <w:szCs w:val="24"/>
          <w:highlight w:val="none"/>
        </w:rPr>
      </w:pPr>
      <w:r>
        <w:rPr>
          <w:rFonts w:hint="eastAsia" w:ascii="宋体" w:hAnsi="宋体" w:cs="宋体"/>
          <w:color w:val="000000"/>
          <w:spacing w:val="-1"/>
          <w:sz w:val="24"/>
          <w:szCs w:val="24"/>
          <w:highlight w:val="none"/>
        </w:rPr>
        <w:t xml:space="preserve">6）及时核定分阶段完工的分部工程结算；完成所委托项目的结算审核工作，提供整套结算报告交采购人归档；</w:t>
      </w:r>
      <w:r>
        <w:rPr>
          <w:rFonts w:hint="eastAsia" w:ascii="宋体" w:hAnsi="宋体" w:cs="宋体"/>
          <w:color w:val="000000"/>
          <w:spacing w:val="-1"/>
          <w:sz w:val="24"/>
          <w:szCs w:val="24"/>
          <w:highlight w:val="none"/>
        </w:rPr>
      </w:r>
      <w:r/>
    </w:p>
    <w:p>
      <w:pPr>
        <w:pStyle w:val="1133"/>
        <w:ind w:left="0" w:firstLine="476"/>
        <w:spacing w:line="440" w:lineRule="exact"/>
        <w:rPr>
          <w:rFonts w:hint="eastAsia" w:ascii="宋体" w:hAnsi="宋体" w:cs="宋体"/>
          <w:color w:val="000000"/>
          <w:spacing w:val="-1"/>
          <w:sz w:val="24"/>
          <w:szCs w:val="24"/>
          <w:highlight w:val="none"/>
        </w:rPr>
      </w:pPr>
      <w:r>
        <w:rPr>
          <w:rFonts w:hint="eastAsia" w:ascii="宋体" w:hAnsi="宋体" w:cs="宋体"/>
          <w:color w:val="000000"/>
          <w:spacing w:val="-1"/>
          <w:sz w:val="24"/>
          <w:szCs w:val="24"/>
          <w:highlight w:val="none"/>
        </w:rPr>
        <w:t xml:space="preserve">7）通过对送审竣工结算的严格审计，出具工程竣工结算初审意见，同招标人沟通并同施工单位谈判达成一致意见后，形成三方定案成果文件，出具工程竣工结算审计报告。</w:t>
      </w:r>
      <w:r>
        <w:rPr>
          <w:rFonts w:hint="eastAsia" w:ascii="宋体" w:hAnsi="宋体" w:cs="宋体"/>
          <w:color w:val="000000"/>
          <w:spacing w:val="-1"/>
          <w:sz w:val="24"/>
          <w:szCs w:val="24"/>
          <w:highlight w:val="none"/>
        </w:rPr>
      </w:r>
      <w:r/>
    </w:p>
    <w:p>
      <w:pPr>
        <w:pStyle w:val="1133"/>
        <w:ind w:left="0" w:firstLine="476"/>
        <w:spacing w:line="440" w:lineRule="exact"/>
        <w:rPr>
          <w:rFonts w:hint="eastAsia" w:ascii="宋体" w:hAnsi="宋体" w:cs="宋体"/>
          <w:color w:val="000000"/>
          <w:spacing w:val="-1"/>
          <w:sz w:val="24"/>
          <w:szCs w:val="24"/>
          <w:highlight w:val="none"/>
        </w:rPr>
      </w:pPr>
      <w:r>
        <w:rPr>
          <w:rFonts w:hint="eastAsia" w:ascii="宋体" w:hAnsi="宋体" w:cs="宋体"/>
          <w:color w:val="000000"/>
          <w:spacing w:val="-1"/>
          <w:sz w:val="24"/>
          <w:szCs w:val="24"/>
          <w:highlight w:val="none"/>
        </w:rPr>
        <w:t xml:space="preserve">8）配合政府审计等相关协审工作。</w:t>
      </w:r>
      <w:r>
        <w:rPr>
          <w:rFonts w:hint="eastAsia" w:ascii="宋体" w:hAnsi="宋体" w:cs="宋体"/>
          <w:color w:val="000000"/>
          <w:spacing w:val="-1"/>
          <w:sz w:val="24"/>
          <w:szCs w:val="24"/>
          <w:highlight w:val="none"/>
        </w:rPr>
      </w:r>
      <w:r/>
    </w:p>
    <w:p>
      <w:pPr>
        <w:pStyle w:val="1133"/>
        <w:ind w:left="0" w:firstLine="480"/>
        <w:spacing w:line="440" w:lineRule="exact"/>
        <w:rPr>
          <w:rFonts w:ascii="宋体" w:hAnsi="宋体" w:cs="宋体"/>
          <w:b/>
          <w:bCs/>
          <w:color w:val="000000"/>
          <w:spacing w:val="-1"/>
          <w:sz w:val="24"/>
          <w:szCs w:val="24"/>
          <w:highlight w:val="none"/>
        </w:rPr>
      </w:pPr>
      <w:r>
        <w:rPr>
          <w:rFonts w:hint="eastAsia" w:ascii="宋体" w:hAnsi="宋体" w:cs="宋体"/>
          <w:b/>
          <w:bCs/>
          <w:color w:val="000000"/>
          <w:spacing w:val="-1"/>
          <w:sz w:val="24"/>
          <w:szCs w:val="24"/>
          <w:highlight w:val="none"/>
        </w:rPr>
        <w:t xml:space="preserve">3.跟审单位现场跟审要求：</w:t>
      </w:r>
      <w:r>
        <w:rPr>
          <w:rFonts w:ascii="宋体" w:hAnsi="宋体" w:cs="宋体"/>
          <w:b/>
          <w:bCs/>
          <w:color w:val="000000"/>
          <w:spacing w:val="-1"/>
          <w:sz w:val="24"/>
          <w:szCs w:val="24"/>
          <w:highlight w:val="none"/>
        </w:rPr>
      </w:r>
      <w:r/>
    </w:p>
    <w:p>
      <w:pPr>
        <w:pStyle w:val="1133"/>
        <w:ind w:left="0" w:firstLine="476"/>
        <w:spacing w:line="440" w:lineRule="exact"/>
        <w:rPr>
          <w:rFonts w:hint="eastAsia" w:ascii="宋体" w:hAnsi="宋体" w:cs="宋体"/>
          <w:color w:val="000000"/>
          <w:spacing w:val="-1"/>
          <w:sz w:val="24"/>
          <w:szCs w:val="24"/>
          <w:highlight w:val="none"/>
        </w:rPr>
      </w:pPr>
      <w:r>
        <w:rPr>
          <w:rFonts w:hint="eastAsia" w:ascii="宋体" w:hAnsi="宋体" w:cs="宋体"/>
          <w:color w:val="000000"/>
          <w:spacing w:val="-1"/>
          <w:sz w:val="24"/>
          <w:szCs w:val="24"/>
          <w:highlight w:val="none"/>
        </w:rPr>
        <w:t xml:space="preserve">1）跟审单位人员配置：在合同有效期内，跟审单位须确保每周至少有三名具备相应资质的审计人员全职驻场进行跟踪审计工作。</w:t>
      </w:r>
      <w:r>
        <w:rPr>
          <w:rFonts w:hint="eastAsia" w:ascii="宋体" w:hAnsi="宋体" w:cs="宋体"/>
          <w:color w:val="000000"/>
          <w:spacing w:val="-1"/>
          <w:sz w:val="24"/>
          <w:szCs w:val="24"/>
          <w:highlight w:val="none"/>
        </w:rPr>
      </w:r>
      <w:r/>
    </w:p>
    <w:p>
      <w:pPr>
        <w:pStyle w:val="1133"/>
        <w:ind w:left="0" w:firstLine="476"/>
        <w:spacing w:line="440" w:lineRule="exact"/>
        <w:rPr>
          <w:rFonts w:hint="eastAsia" w:ascii="宋体" w:hAnsi="宋体" w:cs="宋体"/>
          <w:color w:val="000000"/>
          <w:spacing w:val="-1"/>
          <w:sz w:val="24"/>
          <w:szCs w:val="24"/>
          <w:highlight w:val="none"/>
        </w:rPr>
      </w:pPr>
      <w:r>
        <w:rPr>
          <w:rFonts w:hint="eastAsia" w:ascii="宋体" w:hAnsi="宋体" w:cs="宋体"/>
          <w:color w:val="000000"/>
          <w:spacing w:val="-1"/>
          <w:sz w:val="24"/>
          <w:szCs w:val="24"/>
          <w:highlight w:val="none"/>
        </w:rPr>
        <w:t xml:space="preserve">2）跟审人员名单与资质：跟审单位应在合同生效后三日内，向采购人提交常驻审计人员名单及其从业资质证明文件（如相关执业证书复印件），并经采购人书面确认。如需更换驻场人员，跟审单位应至少提前七个工作日书面通知采购人，并提供拟替换人员的资质证明，获得采购人书面同意后方可更换。</w:t>
      </w:r>
      <w:r>
        <w:rPr>
          <w:rFonts w:hint="eastAsia" w:ascii="宋体" w:hAnsi="宋体" w:cs="宋体"/>
          <w:color w:val="000000"/>
          <w:spacing w:val="-1"/>
          <w:sz w:val="24"/>
          <w:szCs w:val="24"/>
          <w:highlight w:val="none"/>
        </w:rPr>
      </w:r>
      <w:r/>
    </w:p>
    <w:p>
      <w:pPr>
        <w:pStyle w:val="1133"/>
        <w:ind w:left="0" w:firstLine="476"/>
        <w:spacing w:line="440" w:lineRule="exact"/>
        <w:rPr>
          <w:rFonts w:hint="eastAsia" w:ascii="宋体" w:hAnsi="宋体" w:cs="宋体"/>
          <w:color w:val="000000"/>
          <w:spacing w:val="-1"/>
          <w:sz w:val="24"/>
          <w:szCs w:val="24"/>
          <w:highlight w:val="none"/>
        </w:rPr>
      </w:pPr>
      <w:r>
        <w:rPr>
          <w:rFonts w:hint="eastAsia" w:ascii="宋体" w:hAnsi="宋体" w:cs="宋体"/>
          <w:color w:val="000000"/>
          <w:spacing w:val="-1"/>
          <w:sz w:val="24"/>
          <w:szCs w:val="24"/>
          <w:highlight w:val="none"/>
        </w:rPr>
        <w:t xml:space="preserve">3）跟审人员考勤：跟审单位驻场人员应严格遵守采购人的现场管理制度，并每日在采购人指定的考勤系统或签到表上进行实名登记。考勤记录将作为判定跟审单位是否满足人员配置要求的主要依据。</w:t>
      </w:r>
      <w:r>
        <w:rPr>
          <w:rFonts w:hint="eastAsia" w:ascii="宋体" w:hAnsi="宋体" w:cs="宋体"/>
          <w:color w:val="000000"/>
          <w:spacing w:val="-1"/>
          <w:sz w:val="24"/>
          <w:szCs w:val="24"/>
          <w:highlight w:val="none"/>
        </w:rPr>
      </w:r>
      <w:r/>
    </w:p>
    <w:p>
      <w:pPr>
        <w:pStyle w:val="1133"/>
        <w:ind w:left="0" w:firstLine="480"/>
        <w:spacing w:line="440" w:lineRule="exact"/>
        <w:rPr>
          <w:rFonts w:hint="eastAsia" w:ascii="宋体" w:hAnsi="宋体" w:cs="宋体"/>
          <w:b/>
          <w:bCs/>
          <w:color w:val="000000"/>
          <w:spacing w:val="-1"/>
          <w:sz w:val="24"/>
          <w:szCs w:val="24"/>
          <w:highlight w:val="none"/>
        </w:rPr>
      </w:pPr>
      <w:r>
        <w:rPr>
          <w:rFonts w:hint="eastAsia" w:ascii="宋体" w:hAnsi="宋体" w:cs="宋体"/>
          <w:b/>
          <w:bCs/>
          <w:color w:val="000000"/>
          <w:spacing w:val="-1"/>
          <w:sz w:val="24"/>
          <w:szCs w:val="24"/>
          <w:highlight w:val="none"/>
        </w:rPr>
        <w:t xml:space="preserve">4.跟审工作进度报告：</w:t>
      </w:r>
      <w:r>
        <w:rPr>
          <w:rFonts w:hint="eastAsia" w:ascii="宋体" w:hAnsi="宋体" w:cs="宋体"/>
          <w:b/>
          <w:bCs/>
          <w:color w:val="000000"/>
          <w:spacing w:val="-1"/>
          <w:sz w:val="24"/>
          <w:szCs w:val="24"/>
          <w:highlight w:val="none"/>
        </w:rPr>
      </w:r>
      <w:r/>
    </w:p>
    <w:p>
      <w:pPr>
        <w:pStyle w:val="1133"/>
        <w:ind w:left="0" w:firstLine="476"/>
        <w:spacing w:line="440" w:lineRule="exact"/>
        <w:rPr>
          <w:rFonts w:hint="eastAsia" w:ascii="宋体" w:hAnsi="宋体" w:cs="宋体"/>
          <w:color w:val="000000"/>
          <w:spacing w:val="-1"/>
          <w:sz w:val="24"/>
          <w:szCs w:val="24"/>
          <w:highlight w:val="none"/>
        </w:rPr>
      </w:pPr>
      <w:r>
        <w:rPr>
          <w:rFonts w:hint="eastAsia" w:ascii="宋体" w:hAnsi="宋体" w:cs="宋体"/>
          <w:color w:val="000000"/>
          <w:spacing w:val="-1"/>
          <w:sz w:val="24"/>
          <w:szCs w:val="24"/>
          <w:highlight w:val="none"/>
        </w:rPr>
        <w:t xml:space="preserve">跟审报告周期与时限：跟审单位须于每月五日（如遇节假日则顺延至下一个工作日），向采购人提交当月（上月一日至上月月末）的审计工作进度书面报告（以下简称“月报”）。</w:t>
      </w:r>
      <w:r>
        <w:rPr>
          <w:rFonts w:hint="eastAsia" w:ascii="宋体" w:hAnsi="宋体" w:cs="宋体"/>
          <w:color w:val="000000"/>
          <w:spacing w:val="-1"/>
          <w:sz w:val="24"/>
          <w:szCs w:val="24"/>
          <w:highlight w:val="none"/>
        </w:rPr>
      </w:r>
      <w:r/>
    </w:p>
    <w:p>
      <w:pPr>
        <w:pStyle w:val="1133"/>
        <w:ind w:left="0" w:firstLine="476"/>
        <w:spacing w:line="440" w:lineRule="exact"/>
        <w:rPr>
          <w:rFonts w:hint="eastAsia" w:ascii="宋体" w:hAnsi="宋体" w:cs="宋体"/>
          <w:color w:val="000000"/>
          <w:spacing w:val="-1"/>
          <w:sz w:val="24"/>
          <w:szCs w:val="24"/>
          <w:highlight w:val="none"/>
        </w:rPr>
      </w:pPr>
      <w:r>
        <w:rPr>
          <w:rFonts w:hint="eastAsia" w:ascii="宋体" w:hAnsi="宋体" w:cs="宋体"/>
          <w:color w:val="000000"/>
          <w:spacing w:val="-1"/>
          <w:sz w:val="24"/>
          <w:szCs w:val="24"/>
          <w:highlight w:val="none"/>
        </w:rPr>
        <w:t xml:space="preserve">1）跟审报告内容：应至少包括月报内容；</w:t>
      </w:r>
      <w:r>
        <w:rPr>
          <w:rFonts w:hint="eastAsia" w:ascii="宋体" w:hAnsi="宋体" w:cs="宋体"/>
          <w:color w:val="000000"/>
          <w:spacing w:val="-1"/>
          <w:sz w:val="24"/>
          <w:szCs w:val="24"/>
          <w:highlight w:val="none"/>
        </w:rPr>
      </w:r>
      <w:r/>
    </w:p>
    <w:p>
      <w:pPr>
        <w:pStyle w:val="1133"/>
        <w:ind w:left="0" w:firstLine="476"/>
        <w:spacing w:line="440" w:lineRule="exact"/>
        <w:rPr>
          <w:rFonts w:hint="eastAsia" w:ascii="宋体" w:hAnsi="宋体" w:cs="宋体"/>
          <w:color w:val="000000"/>
          <w:spacing w:val="-1"/>
          <w:sz w:val="24"/>
          <w:szCs w:val="24"/>
          <w:highlight w:val="none"/>
        </w:rPr>
      </w:pPr>
      <w:r>
        <w:rPr>
          <w:rFonts w:hint="eastAsia" w:ascii="宋体" w:hAnsi="宋体" w:cs="宋体"/>
          <w:color w:val="000000"/>
          <w:spacing w:val="-1"/>
          <w:sz w:val="24"/>
          <w:szCs w:val="24"/>
          <w:highlight w:val="none"/>
        </w:rPr>
        <w:t xml:space="preserve">2）当月完成的主要审计工作内容、成果及关键发现；</w:t>
      </w:r>
      <w:r>
        <w:rPr>
          <w:rFonts w:hint="eastAsia" w:ascii="宋体" w:hAnsi="宋体" w:cs="宋体"/>
          <w:color w:val="000000"/>
          <w:spacing w:val="-1"/>
          <w:sz w:val="24"/>
          <w:szCs w:val="24"/>
          <w:highlight w:val="none"/>
        </w:rPr>
      </w:r>
      <w:r/>
    </w:p>
    <w:p>
      <w:pPr>
        <w:pStyle w:val="1133"/>
        <w:ind w:left="0" w:firstLine="476"/>
        <w:spacing w:line="440" w:lineRule="exact"/>
        <w:rPr>
          <w:rFonts w:hint="eastAsia" w:ascii="宋体" w:hAnsi="宋体" w:cs="宋体"/>
          <w:color w:val="000000"/>
          <w:spacing w:val="-1"/>
          <w:sz w:val="24"/>
          <w:szCs w:val="24"/>
          <w:highlight w:val="none"/>
        </w:rPr>
      </w:pPr>
      <w:r>
        <w:rPr>
          <w:rFonts w:hint="eastAsia" w:ascii="宋体" w:hAnsi="宋体" w:cs="宋体"/>
          <w:color w:val="000000"/>
          <w:spacing w:val="-1"/>
          <w:sz w:val="24"/>
          <w:szCs w:val="24"/>
          <w:highlight w:val="none"/>
        </w:rPr>
        <w:t xml:space="preserve">3）计划完成情况与实际完成情况的对比分析（需对照双方确认的月度/阶段性工作计划）；</w:t>
      </w:r>
      <w:r>
        <w:rPr>
          <w:rFonts w:hint="eastAsia" w:ascii="宋体" w:hAnsi="宋体" w:cs="宋体"/>
          <w:color w:val="000000"/>
          <w:spacing w:val="-1"/>
          <w:sz w:val="24"/>
          <w:szCs w:val="24"/>
          <w:highlight w:val="none"/>
        </w:rPr>
      </w:r>
      <w:r/>
    </w:p>
    <w:p>
      <w:pPr>
        <w:pStyle w:val="1133"/>
        <w:ind w:left="0" w:firstLine="476"/>
        <w:spacing w:line="440" w:lineRule="exact"/>
        <w:rPr>
          <w:rFonts w:hint="eastAsia" w:ascii="宋体" w:hAnsi="宋体" w:cs="宋体"/>
          <w:color w:val="000000"/>
          <w:spacing w:val="-1"/>
          <w:sz w:val="24"/>
          <w:szCs w:val="24"/>
          <w:highlight w:val="none"/>
        </w:rPr>
      </w:pPr>
      <w:r>
        <w:rPr>
          <w:rFonts w:hint="eastAsia" w:ascii="宋体" w:hAnsi="宋体" w:cs="宋体"/>
          <w:color w:val="000000"/>
          <w:spacing w:val="-1"/>
          <w:sz w:val="24"/>
          <w:szCs w:val="24"/>
          <w:highlight w:val="none"/>
        </w:rPr>
        <w:t xml:space="preserve">4）存在的问题、风险及解决方案/建议；</w:t>
      </w:r>
      <w:r>
        <w:rPr>
          <w:rFonts w:hint="eastAsia" w:ascii="宋体" w:hAnsi="宋体" w:cs="宋体"/>
          <w:color w:val="000000"/>
          <w:spacing w:val="-1"/>
          <w:sz w:val="24"/>
          <w:szCs w:val="24"/>
          <w:highlight w:val="none"/>
        </w:rPr>
      </w:r>
      <w:r/>
    </w:p>
    <w:p>
      <w:pPr>
        <w:pStyle w:val="1133"/>
        <w:ind w:left="0" w:firstLine="476"/>
        <w:spacing w:line="440" w:lineRule="exact"/>
        <w:rPr>
          <w:rFonts w:hint="eastAsia" w:ascii="宋体" w:hAnsi="宋体" w:cs="宋体"/>
          <w:color w:val="000000"/>
          <w:spacing w:val="-1"/>
          <w:sz w:val="24"/>
          <w:szCs w:val="24"/>
          <w:highlight w:val="none"/>
        </w:rPr>
      </w:pPr>
      <w:r>
        <w:rPr>
          <w:rFonts w:hint="eastAsia" w:ascii="宋体" w:hAnsi="宋体" w:cs="宋体"/>
          <w:color w:val="000000"/>
          <w:spacing w:val="-1"/>
          <w:sz w:val="24"/>
          <w:szCs w:val="24"/>
          <w:highlight w:val="none"/>
        </w:rPr>
        <w:t xml:space="preserve">5）下月工作计划及需采购人协调的事项；</w:t>
      </w:r>
      <w:r>
        <w:rPr>
          <w:rFonts w:hint="eastAsia" w:ascii="宋体" w:hAnsi="宋体" w:cs="宋体"/>
          <w:color w:val="000000"/>
          <w:spacing w:val="-1"/>
          <w:sz w:val="24"/>
          <w:szCs w:val="24"/>
          <w:highlight w:val="none"/>
        </w:rPr>
      </w:r>
      <w:r/>
    </w:p>
    <w:p>
      <w:pPr>
        <w:pStyle w:val="1133"/>
        <w:ind w:left="0" w:firstLine="476"/>
        <w:spacing w:line="440" w:lineRule="exact"/>
        <w:widowControl/>
        <w:rPr>
          <w:rFonts w:hint="eastAsia" w:ascii="宋体" w:hAnsi="宋体" w:cs="宋体"/>
          <w:color w:val="000000"/>
          <w:spacing w:val="-1"/>
          <w:sz w:val="24"/>
          <w:szCs w:val="24"/>
          <w:highlight w:val="none"/>
        </w:rPr>
      </w:pPr>
      <w:r>
        <w:rPr>
          <w:rFonts w:hint="eastAsia" w:ascii="宋体" w:hAnsi="宋体" w:cs="宋体"/>
          <w:color w:val="000000"/>
          <w:spacing w:val="-1"/>
          <w:sz w:val="24"/>
          <w:szCs w:val="24"/>
          <w:highlight w:val="none"/>
        </w:rPr>
        <w:t xml:space="preserve">6）当月的现场人员考勤汇总表（需负责人签字并加盖跟审单位公章）。</w:t>
      </w:r>
      <w:r>
        <w:rPr>
          <w:rFonts w:hint="eastAsia" w:ascii="宋体" w:hAnsi="宋体" w:cs="宋体"/>
          <w:color w:val="000000"/>
          <w:spacing w:val="-1"/>
          <w:sz w:val="24"/>
          <w:szCs w:val="24"/>
          <w:highlight w:val="none"/>
        </w:rPr>
      </w:r>
      <w:r/>
    </w:p>
    <w:p>
      <w:pPr>
        <w:pStyle w:val="1024"/>
        <w:spacing w:line="440" w:lineRule="exact"/>
        <w:rPr>
          <w:rStyle w:val="1134"/>
          <w:rFonts w:ascii="黑体" w:hAnsi="黑体" w:eastAsia="黑体" w:cs="宋体"/>
          <w:b/>
          <w:color w:val="000000"/>
          <w:sz w:val="24"/>
          <w:szCs w:val="24"/>
          <w:highlight w:val="none"/>
        </w:rPr>
      </w:pPr>
      <w:r>
        <w:rPr>
          <w:rStyle w:val="1134"/>
          <w:rFonts w:hint="eastAsia" w:ascii="黑体" w:hAnsi="黑体" w:eastAsia="黑体" w:cs="宋体"/>
          <w:b/>
          <w:color w:val="000000"/>
          <w:sz w:val="24"/>
          <w:szCs w:val="24"/>
          <w:highlight w:val="none"/>
        </w:rPr>
        <w:t xml:space="preserve">五、技术方案要求</w:t>
      </w:r>
      <w:r>
        <w:rPr>
          <w:rStyle w:val="1134"/>
          <w:rFonts w:ascii="黑体" w:hAnsi="黑体" w:eastAsia="黑体" w:cs="宋体"/>
          <w:b/>
          <w:color w:val="000000"/>
          <w:sz w:val="24"/>
          <w:szCs w:val="24"/>
          <w:highlight w:val="none"/>
        </w:rPr>
      </w:r>
      <w:r/>
    </w:p>
    <w:p>
      <w:pPr>
        <w:pStyle w:val="1133"/>
        <w:ind w:left="0" w:firstLine="476"/>
        <w:spacing w:line="440" w:lineRule="exact"/>
        <w:rPr>
          <w:rFonts w:hint="eastAsia" w:ascii="宋体" w:hAnsi="宋体" w:cs="宋体"/>
          <w:color w:val="000000"/>
          <w:spacing w:val="-1"/>
          <w:sz w:val="24"/>
          <w:szCs w:val="24"/>
          <w:highlight w:val="none"/>
        </w:rPr>
      </w:pPr>
      <w:r>
        <w:rPr>
          <w:rFonts w:hint="eastAsia" w:ascii="宋体" w:hAnsi="宋体" w:cs="宋体"/>
          <w:color w:val="000000"/>
          <w:spacing w:val="-1"/>
          <w:sz w:val="24"/>
          <w:szCs w:val="24"/>
          <w:highlight w:val="none"/>
        </w:rPr>
        <w:t xml:space="preserve">技术服务方案整体要求内容准确、全面，结合本项目特征，具备可操作性、合规性、安全性、经济性、针对性等，方案要点如下，具体量化指标可参考：</w:t>
      </w:r>
      <w:r>
        <w:rPr>
          <w:rFonts w:hint="eastAsia" w:ascii="宋体" w:hAnsi="宋体" w:cs="宋体"/>
          <w:color w:val="000000"/>
          <w:spacing w:val="-1"/>
          <w:sz w:val="24"/>
          <w:szCs w:val="24"/>
          <w:highlight w:val="none"/>
        </w:rPr>
      </w:r>
      <w:r/>
    </w:p>
    <w:p>
      <w:pPr>
        <w:pStyle w:val="1133"/>
        <w:ind w:left="0" w:firstLine="478"/>
        <w:spacing w:line="440" w:lineRule="exact"/>
        <w:rPr>
          <w:rFonts w:hint="eastAsia" w:ascii="宋体" w:hAnsi="宋体" w:cs="宋体"/>
          <w:b/>
          <w:bCs/>
          <w:color w:val="000000"/>
          <w:spacing w:val="-1"/>
          <w:sz w:val="24"/>
          <w:szCs w:val="24"/>
          <w:highlight w:val="none"/>
        </w:rPr>
      </w:pPr>
      <w:r>
        <w:rPr>
          <w:rFonts w:hint="eastAsia" w:ascii="宋体" w:hAnsi="宋体" w:cs="宋体"/>
          <w:b/>
          <w:bCs/>
          <w:color w:val="000000"/>
          <w:spacing w:val="-1"/>
          <w:sz w:val="24"/>
          <w:szCs w:val="24"/>
          <w:highlight w:val="none"/>
        </w:rPr>
        <w:t xml:space="preserve">5.1协审实施大纲</w:t>
      </w:r>
      <w:r>
        <w:rPr>
          <w:rFonts w:hint="eastAsia" w:ascii="宋体" w:hAnsi="宋体" w:cs="宋体"/>
          <w:b/>
          <w:bCs/>
          <w:color w:val="000000"/>
          <w:spacing w:val="-1"/>
          <w:sz w:val="24"/>
          <w:szCs w:val="24"/>
          <w:highlight w:val="none"/>
        </w:rPr>
      </w:r>
      <w:r/>
    </w:p>
    <w:p>
      <w:pPr>
        <w:pStyle w:val="1133"/>
        <w:ind w:left="0" w:firstLine="476"/>
        <w:spacing w:line="440" w:lineRule="exact"/>
        <w:rPr>
          <w:rFonts w:hint="eastAsia" w:ascii="宋体" w:hAnsi="宋体" w:cs="宋体"/>
          <w:color w:val="000000"/>
          <w:spacing w:val="-1"/>
          <w:sz w:val="24"/>
          <w:szCs w:val="24"/>
          <w:highlight w:val="none"/>
        </w:rPr>
      </w:pPr>
      <w:r>
        <w:rPr>
          <w:rFonts w:hint="eastAsia" w:ascii="宋体" w:hAnsi="宋体" w:cs="宋体"/>
          <w:color w:val="000000"/>
          <w:spacing w:val="-1"/>
          <w:sz w:val="24"/>
          <w:szCs w:val="24"/>
          <w:highlight w:val="none"/>
        </w:rPr>
        <w:t xml:space="preserve">本项目涉及到盐城市公路事业发展中心对2026年盐城境内的公路日常巡查、桥梁日常巡查、边坡整修、路肩割草、路面清扫保洁等基价类项目和路基、路面、桥梁、沿线设施、绿化等养护单价类项目以及应急养护工程进行跟踪审计、竣工决算审计工作。供应商需根据服务内容制定合理的实施大纲。制定内容至少要包括以下几个方面(1)协审人员管理；（2）造价控制流程；（3）造价审核方法；（4）关键环节控制；(5)协审质量及效率保证措施；(6)档案管理；(7)廉洁管理。</w:t>
      </w:r>
      <w:r>
        <w:rPr>
          <w:rFonts w:hint="eastAsia" w:ascii="宋体" w:hAnsi="宋体" w:cs="宋体"/>
          <w:color w:val="000000"/>
          <w:spacing w:val="-1"/>
          <w:sz w:val="24"/>
          <w:szCs w:val="24"/>
          <w:highlight w:val="none"/>
        </w:rPr>
      </w:r>
      <w:r/>
    </w:p>
    <w:p>
      <w:pPr>
        <w:pStyle w:val="1024"/>
        <w:ind w:firstLine="476"/>
        <w:spacing w:line="440" w:lineRule="exact"/>
        <w:rPr>
          <w:rFonts w:hint="eastAsia" w:ascii="宋体" w:hAnsi="宋体" w:cs="宋体"/>
          <w:color w:val="000000"/>
          <w:spacing w:val="-1"/>
          <w:sz w:val="24"/>
          <w:szCs w:val="24"/>
          <w:highlight w:val="none"/>
        </w:rPr>
      </w:pPr>
      <w:r>
        <w:rPr>
          <w:rFonts w:hint="eastAsia" w:ascii="宋体" w:hAnsi="宋体" w:cs="宋体"/>
          <w:color w:val="000000"/>
          <w:spacing w:val="-1"/>
          <w:sz w:val="24"/>
          <w:szCs w:val="24"/>
          <w:highlight w:val="none"/>
        </w:rPr>
        <w:t xml:space="preserve">5.1.1协审人员管理</w:t>
      </w:r>
      <w:r>
        <w:rPr>
          <w:rFonts w:hint="eastAsia" w:ascii="宋体" w:hAnsi="宋体" w:cs="宋体"/>
          <w:color w:val="000000"/>
          <w:spacing w:val="-1"/>
          <w:sz w:val="24"/>
          <w:szCs w:val="24"/>
          <w:highlight w:val="none"/>
        </w:rPr>
      </w:r>
      <w:r/>
    </w:p>
    <w:p>
      <w:pPr>
        <w:pStyle w:val="1024"/>
        <w:ind w:firstLine="476"/>
        <w:spacing w:line="440" w:lineRule="exact"/>
        <w:rPr>
          <w:rFonts w:hint="eastAsia" w:ascii="宋体" w:hAnsi="宋体" w:cs="宋体"/>
          <w:color w:val="000000"/>
          <w:spacing w:val="-1"/>
          <w:sz w:val="24"/>
          <w:szCs w:val="24"/>
          <w:highlight w:val="none"/>
        </w:rPr>
      </w:pPr>
      <w:r>
        <w:rPr>
          <w:rFonts w:hint="eastAsia" w:ascii="宋体" w:hAnsi="宋体" w:cs="宋体"/>
          <w:color w:val="000000"/>
          <w:spacing w:val="-1"/>
          <w:sz w:val="24"/>
          <w:szCs w:val="24"/>
          <w:highlight w:val="none"/>
        </w:rPr>
        <w:t xml:space="preserve">按项目各个采购包规模与专业需求配备公路（道路）、桥梁等专职造价协审人员，实行项目负责人负责制。协审人员须具备相应执业、从业资格，熟悉计价规范、合同、图纸及现场管理。人员一经确定，原则上不得随意更换；确需调整须书面报批并完成工作交接。协审人员与施工、监理、供应商等存在利害关系可能影响公正审核的，必须主动申请回避。</w:t>
      </w:r>
      <w:r>
        <w:rPr>
          <w:rFonts w:hint="eastAsia" w:ascii="宋体" w:hAnsi="宋体" w:cs="宋体"/>
          <w:color w:val="000000"/>
          <w:spacing w:val="-1"/>
          <w:sz w:val="24"/>
          <w:szCs w:val="24"/>
          <w:highlight w:val="none"/>
        </w:rPr>
      </w:r>
      <w:r/>
    </w:p>
    <w:p>
      <w:pPr>
        <w:pStyle w:val="1133"/>
        <w:ind w:left="0" w:firstLine="476"/>
        <w:spacing w:line="440" w:lineRule="exact"/>
        <w:rPr>
          <w:rFonts w:hint="eastAsia" w:ascii="宋体" w:hAnsi="宋体" w:cs="宋体"/>
          <w:color w:val="000000"/>
          <w:spacing w:val="-1"/>
          <w:sz w:val="24"/>
          <w:szCs w:val="24"/>
          <w:highlight w:val="none"/>
        </w:rPr>
      </w:pPr>
      <w:r>
        <w:rPr>
          <w:rFonts w:hint="eastAsia" w:ascii="宋体" w:hAnsi="宋体" w:cs="宋体"/>
          <w:color w:val="000000"/>
          <w:spacing w:val="-1"/>
          <w:sz w:val="24"/>
          <w:szCs w:val="24"/>
          <w:highlight w:val="none"/>
        </w:rPr>
        <w:t xml:space="preserve">5.1.2造价控制流程</w:t>
      </w:r>
      <w:r>
        <w:rPr>
          <w:rFonts w:hint="eastAsia" w:ascii="宋体" w:hAnsi="宋体" w:cs="宋体"/>
          <w:color w:val="000000"/>
          <w:spacing w:val="-1"/>
          <w:sz w:val="24"/>
          <w:szCs w:val="24"/>
          <w:highlight w:val="none"/>
        </w:rPr>
      </w:r>
      <w:r/>
    </w:p>
    <w:p>
      <w:pPr>
        <w:pStyle w:val="1133"/>
        <w:ind w:left="0" w:firstLine="476"/>
        <w:spacing w:line="440" w:lineRule="exact"/>
        <w:rPr>
          <w:rFonts w:hint="eastAsia" w:ascii="宋体" w:hAnsi="宋体" w:cs="宋体"/>
          <w:color w:val="000000"/>
          <w:spacing w:val="-1"/>
          <w:sz w:val="24"/>
          <w:szCs w:val="24"/>
          <w:highlight w:val="none"/>
        </w:rPr>
      </w:pPr>
      <w:r>
        <w:rPr>
          <w:rFonts w:hint="eastAsia" w:ascii="宋体" w:hAnsi="宋体" w:cs="宋体"/>
          <w:color w:val="000000"/>
          <w:spacing w:val="-1"/>
          <w:sz w:val="24"/>
          <w:szCs w:val="24"/>
          <w:highlight w:val="none"/>
        </w:rPr>
        <w:t xml:space="preserve">实行全过程、闭环式、可追溯造价控制，做到先审核后实施、先审批后支付、先核对后结算。坚持依据充分、程序合规、计量准确、计价合理、资料完整。所有流程节点留痕管理：签字、盖章、纪要、影像、台账齐全。</w:t>
      </w:r>
      <w:r>
        <w:rPr>
          <w:rFonts w:hint="eastAsia" w:ascii="宋体" w:hAnsi="宋体" w:cs="宋体"/>
          <w:color w:val="000000"/>
          <w:spacing w:val="-1"/>
          <w:sz w:val="24"/>
          <w:szCs w:val="24"/>
          <w:highlight w:val="none"/>
        </w:rPr>
      </w:r>
      <w:r/>
    </w:p>
    <w:p>
      <w:pPr>
        <w:pStyle w:val="1133"/>
        <w:ind w:left="0" w:firstLine="476"/>
        <w:spacing w:line="440" w:lineRule="exact"/>
        <w:rPr>
          <w:rFonts w:hint="eastAsia" w:ascii="宋体" w:hAnsi="宋体" w:cs="宋体"/>
          <w:color w:val="000000"/>
          <w:spacing w:val="-1"/>
          <w:sz w:val="24"/>
          <w:szCs w:val="24"/>
          <w:highlight w:val="none"/>
        </w:rPr>
      </w:pPr>
      <w:r>
        <w:rPr>
          <w:rFonts w:hint="eastAsia" w:ascii="宋体" w:hAnsi="宋体" w:cs="宋体"/>
          <w:color w:val="000000"/>
          <w:spacing w:val="-1"/>
          <w:sz w:val="24"/>
          <w:szCs w:val="24"/>
          <w:highlight w:val="none"/>
        </w:rPr>
        <w:t xml:space="preserve">5.1.3造价审核方法</w:t>
      </w:r>
      <w:r>
        <w:rPr>
          <w:rFonts w:hint="eastAsia" w:ascii="宋体" w:hAnsi="宋体" w:cs="宋体"/>
          <w:color w:val="000000"/>
          <w:spacing w:val="-1"/>
          <w:sz w:val="24"/>
          <w:szCs w:val="24"/>
          <w:highlight w:val="none"/>
        </w:rPr>
      </w:r>
      <w:r/>
    </w:p>
    <w:p>
      <w:pPr>
        <w:pStyle w:val="1133"/>
        <w:ind w:left="0" w:firstLine="476"/>
        <w:spacing w:line="440" w:lineRule="exact"/>
        <w:rPr>
          <w:rFonts w:hint="eastAsia" w:ascii="宋体" w:hAnsi="宋体" w:cs="宋体"/>
          <w:color w:val="000000"/>
          <w:spacing w:val="-1"/>
          <w:sz w:val="24"/>
          <w:szCs w:val="24"/>
          <w:highlight w:val="none"/>
        </w:rPr>
      </w:pPr>
      <w:r>
        <w:rPr>
          <w:rFonts w:hint="eastAsia" w:ascii="宋体" w:hAnsi="宋体" w:cs="宋体"/>
          <w:color w:val="000000"/>
          <w:spacing w:val="-1"/>
          <w:sz w:val="24"/>
          <w:szCs w:val="24"/>
          <w:highlight w:val="none"/>
        </w:rPr>
        <w:t xml:space="preserve">坚持合法合规、依据充分、客观公正、数据可溯。采用多种方法组合使用，根据审核对象、资料条件、风险等级灵活选用。所有审核方法执行过程留痕、结果可复核、问题可追溯。</w:t>
      </w:r>
      <w:r>
        <w:rPr>
          <w:rFonts w:hint="eastAsia" w:ascii="宋体" w:hAnsi="宋体" w:cs="宋体"/>
          <w:color w:val="000000"/>
          <w:spacing w:val="-1"/>
          <w:sz w:val="24"/>
          <w:szCs w:val="24"/>
          <w:highlight w:val="none"/>
        </w:rPr>
      </w:r>
      <w:r/>
    </w:p>
    <w:p>
      <w:pPr>
        <w:pStyle w:val="1133"/>
        <w:ind w:left="0" w:firstLine="476"/>
        <w:spacing w:line="440" w:lineRule="exact"/>
        <w:rPr>
          <w:rFonts w:hint="eastAsia" w:ascii="宋体" w:hAnsi="宋体" w:cs="宋体"/>
          <w:color w:val="000000"/>
          <w:spacing w:val="-1"/>
          <w:sz w:val="24"/>
          <w:szCs w:val="24"/>
          <w:highlight w:val="none"/>
        </w:rPr>
      </w:pPr>
      <w:r>
        <w:rPr>
          <w:rFonts w:hint="eastAsia" w:ascii="宋体" w:hAnsi="宋体" w:cs="宋体"/>
          <w:color w:val="000000"/>
          <w:spacing w:val="-1"/>
          <w:sz w:val="24"/>
          <w:szCs w:val="24"/>
          <w:highlight w:val="none"/>
        </w:rPr>
        <w:t xml:space="preserve">5.1.4关键环节控制</w:t>
      </w:r>
      <w:r>
        <w:rPr>
          <w:rFonts w:hint="eastAsia" w:ascii="宋体" w:hAnsi="宋体" w:cs="宋体"/>
          <w:color w:val="000000"/>
          <w:spacing w:val="-1"/>
          <w:sz w:val="24"/>
          <w:szCs w:val="24"/>
          <w:highlight w:val="none"/>
        </w:rPr>
      </w:r>
      <w:r/>
    </w:p>
    <w:p>
      <w:pPr>
        <w:pStyle w:val="1133"/>
        <w:ind w:left="0" w:firstLine="476"/>
        <w:spacing w:line="440" w:lineRule="exact"/>
        <w:rPr>
          <w:rFonts w:hint="eastAsia" w:ascii="宋体" w:hAnsi="宋体" w:cs="宋体"/>
          <w:color w:val="000000"/>
          <w:spacing w:val="-1"/>
          <w:sz w:val="24"/>
          <w:szCs w:val="24"/>
          <w:highlight w:val="none"/>
        </w:rPr>
      </w:pPr>
      <w:r>
        <w:rPr>
          <w:rFonts w:hint="eastAsia" w:ascii="宋体" w:hAnsi="宋体" w:cs="宋体"/>
          <w:color w:val="000000"/>
          <w:spacing w:val="-1"/>
          <w:sz w:val="24"/>
          <w:szCs w:val="24"/>
          <w:highlight w:val="none"/>
        </w:rPr>
        <w:t xml:space="preserve">坚持事前控制、过程把关、闭环管理，对造价影响大、风险高、易产生争议的环节实行重点管控，做到程序合规、依据充分、签字齐全、现场核实、不留后患。</w:t>
      </w:r>
      <w:r>
        <w:rPr>
          <w:rFonts w:hint="eastAsia" w:ascii="宋体" w:hAnsi="宋体" w:cs="宋体"/>
          <w:color w:val="000000"/>
          <w:spacing w:val="-1"/>
          <w:sz w:val="24"/>
          <w:szCs w:val="24"/>
          <w:highlight w:val="none"/>
        </w:rPr>
      </w:r>
      <w:r/>
    </w:p>
    <w:p>
      <w:pPr>
        <w:pStyle w:val="1133"/>
        <w:ind w:left="0" w:firstLine="476"/>
        <w:spacing w:line="440" w:lineRule="exact"/>
        <w:rPr>
          <w:rFonts w:hint="eastAsia" w:ascii="宋体" w:hAnsi="宋体" w:cs="宋体"/>
          <w:color w:val="000000"/>
          <w:spacing w:val="-1"/>
          <w:sz w:val="24"/>
          <w:szCs w:val="24"/>
          <w:highlight w:val="none"/>
        </w:rPr>
      </w:pPr>
      <w:r>
        <w:rPr>
          <w:rFonts w:hint="eastAsia" w:ascii="宋体" w:hAnsi="宋体" w:cs="宋体"/>
          <w:color w:val="000000"/>
          <w:spacing w:val="-1"/>
          <w:sz w:val="24"/>
          <w:szCs w:val="24"/>
          <w:highlight w:val="none"/>
        </w:rPr>
        <w:t xml:space="preserve">5.1.5协审质量及效率保证措施</w:t>
      </w:r>
      <w:r>
        <w:rPr>
          <w:rFonts w:hint="eastAsia" w:ascii="宋体" w:hAnsi="宋体" w:cs="宋体"/>
          <w:color w:val="000000"/>
          <w:spacing w:val="-1"/>
          <w:sz w:val="24"/>
          <w:szCs w:val="24"/>
          <w:highlight w:val="none"/>
        </w:rPr>
      </w:r>
      <w:r/>
    </w:p>
    <w:p>
      <w:pPr>
        <w:pStyle w:val="1133"/>
        <w:ind w:left="0" w:firstLine="476"/>
        <w:spacing w:line="440" w:lineRule="exact"/>
        <w:rPr>
          <w:rFonts w:hint="eastAsia" w:ascii="宋体" w:hAnsi="宋体" w:cs="宋体"/>
          <w:color w:val="000000"/>
          <w:spacing w:val="-1"/>
          <w:sz w:val="24"/>
          <w:szCs w:val="24"/>
          <w:highlight w:val="none"/>
        </w:rPr>
      </w:pPr>
      <w:r>
        <w:rPr>
          <w:rFonts w:hint="eastAsia" w:ascii="宋体" w:hAnsi="宋体" w:cs="宋体"/>
          <w:color w:val="000000"/>
          <w:spacing w:val="-1"/>
          <w:sz w:val="24"/>
          <w:szCs w:val="24"/>
          <w:highlight w:val="none"/>
        </w:rPr>
        <w:t xml:space="preserve">质量保证措施：</w:t>
      </w:r>
      <w:r>
        <w:rPr>
          <w:rFonts w:hint="eastAsia" w:ascii="宋体" w:hAnsi="宋体" w:cs="宋体"/>
          <w:color w:val="000000"/>
          <w:spacing w:val="-1"/>
          <w:sz w:val="24"/>
          <w:szCs w:val="24"/>
          <w:highlight w:val="none"/>
        </w:rPr>
      </w:r>
      <w:r/>
    </w:p>
    <w:p>
      <w:pPr>
        <w:pStyle w:val="1133"/>
        <w:ind w:left="0" w:firstLine="476"/>
        <w:spacing w:line="440" w:lineRule="exact"/>
        <w:rPr>
          <w:rFonts w:hint="eastAsia" w:ascii="宋体" w:hAnsi="宋体" w:cs="宋体"/>
          <w:color w:val="000000"/>
          <w:spacing w:val="-1"/>
          <w:sz w:val="24"/>
          <w:szCs w:val="24"/>
          <w:highlight w:val="none"/>
        </w:rPr>
      </w:pPr>
      <w:r>
        <w:rPr>
          <w:rFonts w:hint="eastAsia" w:ascii="宋体" w:hAnsi="宋体" w:cs="宋体"/>
          <w:color w:val="000000"/>
          <w:spacing w:val="-1"/>
          <w:sz w:val="24"/>
          <w:szCs w:val="24"/>
          <w:highlight w:val="none"/>
        </w:rPr>
        <w:t xml:space="preserve">①严格执行三级复核制度：实行初审→专业复核→项目负责人终审，层层把关，确保工程量、单价、取费、资料完整无误。</w:t>
      </w:r>
      <w:r>
        <w:rPr>
          <w:rFonts w:hint="eastAsia" w:ascii="宋体" w:hAnsi="宋体" w:cs="宋体"/>
          <w:color w:val="000000"/>
          <w:spacing w:val="-1"/>
          <w:sz w:val="24"/>
          <w:szCs w:val="24"/>
          <w:highlight w:val="none"/>
        </w:rPr>
      </w:r>
      <w:r/>
    </w:p>
    <w:p>
      <w:pPr>
        <w:pStyle w:val="1133"/>
        <w:ind w:left="0" w:firstLine="476"/>
        <w:spacing w:line="440" w:lineRule="exact"/>
        <w:rPr>
          <w:rFonts w:hint="eastAsia" w:ascii="宋体" w:hAnsi="宋体" w:cs="宋体"/>
          <w:color w:val="000000"/>
          <w:spacing w:val="-1"/>
          <w:sz w:val="24"/>
          <w:szCs w:val="24"/>
          <w:highlight w:val="none"/>
        </w:rPr>
      </w:pPr>
      <w:r>
        <w:rPr>
          <w:rFonts w:hint="eastAsia" w:ascii="宋体" w:hAnsi="宋体" w:cs="宋体"/>
          <w:color w:val="000000"/>
          <w:spacing w:val="-1"/>
          <w:sz w:val="24"/>
          <w:szCs w:val="24"/>
          <w:highlight w:val="none"/>
        </w:rPr>
        <w:t xml:space="preserve">②统一审核标准与口径：执行统一的计价依据、取费标准、材料价格、组价原则，做到同项目、同标准、同口径。</w:t>
      </w:r>
      <w:r>
        <w:rPr>
          <w:rFonts w:hint="eastAsia" w:ascii="宋体" w:hAnsi="宋体" w:cs="宋体"/>
          <w:color w:val="000000"/>
          <w:spacing w:val="-1"/>
          <w:sz w:val="24"/>
          <w:szCs w:val="24"/>
          <w:highlight w:val="none"/>
        </w:rPr>
      </w:r>
      <w:r/>
    </w:p>
    <w:p>
      <w:pPr>
        <w:pStyle w:val="1024"/>
        <w:ind w:firstLine="480"/>
        <w:spacing w:line="440" w:lineRule="exact"/>
        <w:rPr>
          <w:rFonts w:hint="eastAsia" w:ascii="宋体" w:hAnsi="宋体" w:cs="宋体"/>
          <w:color w:val="000000"/>
          <w:spacing w:val="-1"/>
          <w:sz w:val="24"/>
          <w:szCs w:val="24"/>
          <w:highlight w:val="none"/>
        </w:rPr>
      </w:pPr>
      <w:r>
        <w:rPr>
          <w:rFonts w:hint="eastAsia" w:ascii="宋体" w:hAnsi="宋体" w:cs="宋体"/>
          <w:color w:val="000000"/>
          <w:spacing w:val="-1"/>
          <w:sz w:val="24"/>
          <w:szCs w:val="24"/>
          <w:highlight w:val="none"/>
        </w:rPr>
        <w:t xml:space="preserve">③依据充分、成果可追溯：所有审核必须有合同、图纸、变更、签证、认价单、现场记录等支撑，无依据不审核、无依据不出结论。</w:t>
      </w:r>
      <w:r>
        <w:rPr>
          <w:rFonts w:hint="eastAsia" w:ascii="宋体" w:hAnsi="宋体" w:cs="宋体"/>
          <w:color w:val="000000"/>
          <w:spacing w:val="-1"/>
          <w:sz w:val="24"/>
          <w:szCs w:val="24"/>
          <w:highlight w:val="none"/>
        </w:rPr>
      </w:r>
      <w:r/>
    </w:p>
    <w:p>
      <w:pPr>
        <w:pStyle w:val="1024"/>
        <w:ind w:firstLine="480"/>
        <w:spacing w:line="440" w:lineRule="exact"/>
        <w:rPr>
          <w:rFonts w:hint="eastAsia" w:ascii="宋体" w:hAnsi="宋体" w:cs="宋体"/>
          <w:color w:val="000000"/>
          <w:spacing w:val="-1"/>
          <w:sz w:val="24"/>
          <w:szCs w:val="24"/>
          <w:highlight w:val="none"/>
        </w:rPr>
      </w:pPr>
      <w:r>
        <w:rPr>
          <w:rFonts w:ascii="宋体" w:hAnsi="宋体" w:cs="宋体"/>
          <w:color w:val="000000"/>
          <w:sz w:val="24"/>
          <w:szCs w:val="24"/>
          <w:highlight w:val="none"/>
        </w:rPr>
        <w:t xml:space="preserve">效率保证措施</w:t>
      </w:r>
      <w:r>
        <w:rPr>
          <w:rFonts w:hint="eastAsia" w:ascii="宋体" w:hAnsi="宋体" w:cs="宋体"/>
          <w:color w:val="000000"/>
          <w:sz w:val="24"/>
          <w:szCs w:val="24"/>
          <w:highlight w:val="none"/>
        </w:rPr>
        <w:t xml:space="preserve">：</w:t>
      </w:r>
      <w:r>
        <w:rPr>
          <w:rFonts w:hint="eastAsia" w:ascii="宋体" w:hAnsi="宋体" w:cs="宋体"/>
          <w:color w:val="000000"/>
          <w:spacing w:val="-1"/>
          <w:sz w:val="24"/>
          <w:szCs w:val="24"/>
          <w:highlight w:val="none"/>
        </w:rPr>
      </w:r>
      <w:r/>
    </w:p>
    <w:p>
      <w:pPr>
        <w:pStyle w:val="1024"/>
        <w:ind w:firstLine="480"/>
        <w:spacing w:line="440" w:lineRule="exact"/>
        <w:rPr>
          <w:rFonts w:hint="eastAsia" w:ascii="宋体" w:hAnsi="宋体" w:cs="宋体"/>
          <w:color w:val="000000"/>
          <w:spacing w:val="-1"/>
          <w:sz w:val="24"/>
          <w:szCs w:val="24"/>
          <w:highlight w:val="none"/>
        </w:rPr>
      </w:pPr>
      <w:r>
        <w:rPr>
          <w:rFonts w:hint="eastAsia" w:ascii="宋体" w:hAnsi="宋体" w:cs="宋体"/>
          <w:color w:val="000000"/>
          <w:spacing w:val="-1"/>
          <w:sz w:val="24"/>
          <w:szCs w:val="24"/>
          <w:highlight w:val="none"/>
        </w:rPr>
        <w:t xml:space="preserve">①明确时限管理：资料齐全后严格按约定时限完成审核，实行限时办结、超时预警。</w:t>
      </w:r>
      <w:r>
        <w:rPr>
          <w:rFonts w:hint="eastAsia" w:ascii="宋体" w:hAnsi="宋体" w:cs="宋体"/>
          <w:color w:val="000000"/>
          <w:spacing w:val="-1"/>
          <w:sz w:val="24"/>
          <w:szCs w:val="24"/>
          <w:highlight w:val="none"/>
        </w:rPr>
      </w:r>
      <w:r/>
    </w:p>
    <w:p>
      <w:pPr>
        <w:pStyle w:val="1024"/>
        <w:ind w:firstLine="480"/>
        <w:spacing w:line="440" w:lineRule="exact"/>
        <w:rPr>
          <w:rFonts w:hint="eastAsia" w:ascii="宋体" w:hAnsi="宋体" w:cs="宋体"/>
          <w:color w:val="000000"/>
          <w:spacing w:val="-1"/>
          <w:sz w:val="24"/>
          <w:szCs w:val="24"/>
          <w:highlight w:val="none"/>
        </w:rPr>
      </w:pPr>
      <w:r>
        <w:rPr>
          <w:rFonts w:hint="eastAsia" w:ascii="宋体" w:hAnsi="宋体" w:cs="宋体"/>
          <w:color w:val="000000"/>
          <w:spacing w:val="-1"/>
          <w:sz w:val="24"/>
          <w:szCs w:val="24"/>
          <w:highlight w:val="none"/>
        </w:rPr>
        <w:t xml:space="preserve">②一次性告知补正资料：资料接收时一次性检查完整性，不反复、不遗漏、不拖延，减少来回补件。</w:t>
      </w:r>
      <w:r>
        <w:rPr>
          <w:rFonts w:hint="eastAsia" w:ascii="宋体" w:hAnsi="宋体" w:cs="宋体"/>
          <w:color w:val="000000"/>
          <w:spacing w:val="-1"/>
          <w:sz w:val="24"/>
          <w:szCs w:val="24"/>
          <w:highlight w:val="none"/>
        </w:rPr>
      </w:r>
      <w:r/>
    </w:p>
    <w:p>
      <w:pPr>
        <w:pStyle w:val="1024"/>
        <w:ind w:firstLine="480"/>
        <w:spacing w:line="440" w:lineRule="exact"/>
        <w:rPr>
          <w:rFonts w:hint="eastAsia" w:ascii="宋体" w:hAnsi="宋体" w:cs="宋体"/>
          <w:color w:val="000000"/>
          <w:spacing w:val="-1"/>
          <w:sz w:val="24"/>
          <w:szCs w:val="24"/>
          <w:highlight w:val="none"/>
        </w:rPr>
      </w:pPr>
      <w:r>
        <w:rPr>
          <w:rFonts w:hint="eastAsia" w:ascii="宋体" w:hAnsi="宋体" w:cs="宋体"/>
          <w:color w:val="000000"/>
          <w:spacing w:val="-1"/>
          <w:sz w:val="24"/>
          <w:szCs w:val="24"/>
          <w:highlight w:val="none"/>
        </w:rPr>
        <w:t xml:space="preserve">③台账化、流程化推进：建立项目进度台账，明确节点、责任人、完成情况，实现全过程可跟踪、可督促。</w:t>
      </w:r>
      <w:r>
        <w:rPr>
          <w:rFonts w:hint="eastAsia" w:ascii="宋体" w:hAnsi="宋体" w:cs="宋体"/>
          <w:color w:val="000000"/>
          <w:spacing w:val="-1"/>
          <w:sz w:val="24"/>
          <w:szCs w:val="24"/>
          <w:highlight w:val="none"/>
        </w:rPr>
      </w:r>
      <w:r/>
    </w:p>
    <w:p>
      <w:pPr>
        <w:pStyle w:val="1133"/>
        <w:ind w:left="0" w:firstLine="476"/>
        <w:rPr>
          <w:rFonts w:hint="eastAsia" w:ascii="宋体" w:hAnsi="宋体" w:cs="宋体"/>
          <w:color w:val="000000"/>
          <w:spacing w:val="-1"/>
          <w:sz w:val="24"/>
          <w:szCs w:val="24"/>
          <w:highlight w:val="none"/>
        </w:rPr>
      </w:pPr>
      <w:r>
        <w:rPr>
          <w:rFonts w:hint="eastAsia" w:ascii="宋体" w:hAnsi="宋体" w:cs="宋体"/>
          <w:color w:val="000000"/>
          <w:spacing w:val="-1"/>
          <w:sz w:val="24"/>
          <w:szCs w:val="24"/>
          <w:highlight w:val="none"/>
        </w:rPr>
        <w:t xml:space="preserve">5.1.6档案管理</w:t>
      </w:r>
      <w:r>
        <w:rPr>
          <w:rFonts w:hint="eastAsia" w:ascii="宋体" w:hAnsi="宋体" w:cs="宋体"/>
          <w:color w:val="000000"/>
          <w:spacing w:val="-1"/>
          <w:sz w:val="24"/>
          <w:szCs w:val="24"/>
          <w:highlight w:val="none"/>
        </w:rPr>
      </w:r>
      <w:r/>
    </w:p>
    <w:p>
      <w:pPr>
        <w:pStyle w:val="1024"/>
        <w:ind w:firstLine="480"/>
        <w:spacing w:line="440" w:lineRule="exact"/>
        <w:rPr>
          <w:rFonts w:ascii="宋体" w:hAnsi="宋体" w:cs="宋体"/>
          <w:color w:val="000000"/>
          <w:sz w:val="24"/>
          <w:szCs w:val="24"/>
          <w:highlight w:val="none"/>
        </w:rPr>
      </w:pPr>
      <w:r>
        <w:rPr>
          <w:rFonts w:ascii="宋体" w:hAnsi="宋体" w:cs="宋体"/>
          <w:color w:val="000000"/>
          <w:sz w:val="24"/>
          <w:szCs w:val="24"/>
          <w:highlight w:val="none"/>
        </w:rPr>
        <w:t xml:space="preserve">遵循谁承办、谁整理、谁归档原则，做到一案一档、资料齐全、分类清晰、电子+纸质双归档、可检索、可追溯。档案必须真实、完整、规范、安全，满足审核、复查、审计、检查、验收要求。</w:t>
      </w:r>
      <w:r>
        <w:rPr>
          <w:rFonts w:ascii="宋体" w:hAnsi="宋体" w:cs="宋体"/>
          <w:color w:val="000000"/>
          <w:sz w:val="24"/>
          <w:szCs w:val="24"/>
          <w:highlight w:val="none"/>
        </w:rPr>
      </w:r>
      <w:r/>
    </w:p>
    <w:p>
      <w:pPr>
        <w:pStyle w:val="1133"/>
        <w:ind w:left="0" w:firstLine="476"/>
        <w:rPr>
          <w:rFonts w:hint="eastAsia" w:ascii="宋体" w:hAnsi="宋体" w:cs="宋体"/>
          <w:color w:val="000000"/>
          <w:spacing w:val="-1"/>
          <w:sz w:val="24"/>
          <w:szCs w:val="24"/>
          <w:highlight w:val="none"/>
        </w:rPr>
      </w:pPr>
      <w:r>
        <w:rPr>
          <w:rFonts w:hint="eastAsia" w:ascii="宋体" w:hAnsi="宋体" w:cs="宋体"/>
          <w:color w:val="000000"/>
          <w:spacing w:val="-1"/>
          <w:sz w:val="24"/>
          <w:szCs w:val="24"/>
          <w:highlight w:val="none"/>
        </w:rPr>
        <w:t xml:space="preserve">5.1.7廉洁管理</w:t>
      </w:r>
      <w:r>
        <w:rPr>
          <w:rFonts w:hint="eastAsia" w:ascii="宋体" w:hAnsi="宋体" w:cs="宋体"/>
          <w:color w:val="000000"/>
          <w:spacing w:val="-1"/>
          <w:sz w:val="24"/>
          <w:szCs w:val="24"/>
          <w:highlight w:val="none"/>
        </w:rPr>
      </w:r>
      <w:r/>
    </w:p>
    <w:p>
      <w:pPr>
        <w:pStyle w:val="1024"/>
        <w:ind w:firstLine="480"/>
        <w:spacing w:line="440" w:lineRule="exact"/>
        <w:rPr>
          <w:rFonts w:hint="eastAsia" w:ascii="宋体" w:hAnsi="宋体" w:cs="宋体"/>
          <w:color w:val="000000"/>
          <w:spacing w:val="-1"/>
          <w:sz w:val="24"/>
          <w:szCs w:val="24"/>
          <w:highlight w:val="none"/>
        </w:rPr>
      </w:pPr>
      <w:r>
        <w:rPr>
          <w:rFonts w:ascii="宋体" w:hAnsi="宋体" w:cs="宋体"/>
          <w:color w:val="000000"/>
          <w:sz w:val="24"/>
          <w:szCs w:val="24"/>
          <w:highlight w:val="none"/>
        </w:rPr>
        <w:t xml:space="preserve">坚持依法依规、客观公正、廉洁自律、诚实守信原则，严格遵守国家法律法规及廉政建设各项规定，杜绝一切违规违纪行为，确保协审工作干净、公正、安全。</w:t>
      </w:r>
      <w:r>
        <w:rPr>
          <w:rFonts w:hint="eastAsia" w:ascii="宋体" w:hAnsi="宋体" w:cs="宋体"/>
          <w:color w:val="000000"/>
          <w:spacing w:val="-1"/>
          <w:sz w:val="24"/>
          <w:szCs w:val="24"/>
          <w:highlight w:val="none"/>
        </w:rPr>
      </w:r>
      <w:r/>
    </w:p>
    <w:p>
      <w:pPr>
        <w:pStyle w:val="1133"/>
        <w:ind w:left="0" w:firstLine="478"/>
        <w:rPr>
          <w:rFonts w:hint="eastAsia" w:ascii="宋体" w:hAnsi="宋体" w:cs="宋体"/>
          <w:b/>
          <w:bCs/>
          <w:color w:val="000000"/>
          <w:spacing w:val="-1"/>
          <w:sz w:val="24"/>
          <w:szCs w:val="24"/>
          <w:highlight w:val="none"/>
        </w:rPr>
      </w:pPr>
      <w:r>
        <w:rPr>
          <w:rFonts w:hint="eastAsia" w:ascii="宋体" w:hAnsi="宋体" w:cs="宋体"/>
          <w:b/>
          <w:bCs/>
          <w:color w:val="000000"/>
          <w:spacing w:val="-1"/>
          <w:sz w:val="24"/>
          <w:szCs w:val="24"/>
          <w:highlight w:val="none"/>
        </w:rPr>
        <w:t xml:space="preserve">5.2思路及建议</w:t>
      </w:r>
      <w:r>
        <w:rPr>
          <w:rFonts w:hint="eastAsia" w:ascii="宋体" w:hAnsi="宋体" w:cs="宋体"/>
          <w:b/>
          <w:bCs/>
          <w:color w:val="000000"/>
          <w:spacing w:val="-1"/>
          <w:sz w:val="24"/>
          <w:szCs w:val="24"/>
          <w:highlight w:val="none"/>
        </w:rPr>
      </w:r>
      <w:r/>
    </w:p>
    <w:p>
      <w:pPr>
        <w:pStyle w:val="1133"/>
        <w:ind w:left="0" w:firstLine="476"/>
        <w:widowControl/>
        <w:rPr>
          <w:rFonts w:ascii="宋体" w:hAnsi="宋体" w:cs="宋体"/>
          <w:color w:val="000000"/>
          <w:spacing w:val="-1"/>
          <w:sz w:val="24"/>
          <w:szCs w:val="24"/>
          <w:highlight w:val="none"/>
        </w:rPr>
      </w:pPr>
      <w:r>
        <w:rPr>
          <w:rFonts w:hint="eastAsia" w:ascii="宋体" w:hAnsi="宋体" w:cs="宋体"/>
          <w:color w:val="000000"/>
          <w:spacing w:val="-1"/>
          <w:sz w:val="24"/>
          <w:szCs w:val="24"/>
          <w:highlight w:val="none"/>
        </w:rPr>
        <w:t xml:space="preserve">结合同类工程的专业特点，针对本项目各个采购包的实施要求，对有可能的迁移、路基、预制箱梁及安装、沥青面层、附属工程（导改、照明、智能化、交安、交通导改、声屏障、绿化）等专业，剖析本次招标项目的实施具体要求至少要包括四个方面:(1)审核重点；(2)审核难点，并提出本项目；(3)造价控制精细化管理思路；(4)合理化建议。</w:t>
      </w:r>
      <w:r>
        <w:rPr>
          <w:rFonts w:ascii="宋体" w:hAnsi="宋体" w:cs="宋体"/>
          <w:color w:val="000000"/>
          <w:spacing w:val="-1"/>
          <w:sz w:val="24"/>
          <w:szCs w:val="24"/>
          <w:highlight w:val="none"/>
        </w:rPr>
      </w:r>
      <w:r/>
    </w:p>
    <w:p>
      <w:pPr>
        <w:pStyle w:val="1133"/>
        <w:ind w:left="0" w:firstLine="476"/>
        <w:spacing w:line="440" w:lineRule="exact"/>
        <w:rPr>
          <w:rFonts w:hint="eastAsia" w:ascii="宋体" w:hAnsi="宋体" w:cs="宋体"/>
          <w:color w:val="000000"/>
          <w:spacing w:val="-1"/>
          <w:sz w:val="24"/>
          <w:szCs w:val="24"/>
          <w:highlight w:val="none"/>
        </w:rPr>
      </w:pPr>
      <w:r>
        <w:rPr>
          <w:rFonts w:hint="eastAsia" w:ascii="宋体" w:hAnsi="宋体" w:cs="宋体"/>
          <w:color w:val="000000"/>
          <w:spacing w:val="-1"/>
          <w:sz w:val="24"/>
          <w:szCs w:val="24"/>
          <w:highlight w:val="none"/>
        </w:rPr>
        <w:t xml:space="preserve">5.2.1审核重点</w:t>
      </w:r>
      <w:r>
        <w:rPr>
          <w:rFonts w:hint="eastAsia" w:ascii="宋体" w:hAnsi="宋体" w:cs="宋体"/>
          <w:color w:val="000000"/>
          <w:spacing w:val="-1"/>
          <w:sz w:val="24"/>
          <w:szCs w:val="24"/>
          <w:highlight w:val="none"/>
        </w:rPr>
      </w:r>
      <w:r/>
    </w:p>
    <w:p>
      <w:pPr>
        <w:pStyle w:val="1133"/>
        <w:ind w:left="0" w:firstLine="476"/>
        <w:rPr>
          <w:rFonts w:hint="eastAsia" w:ascii="宋体" w:hAnsi="宋体" w:cs="宋体"/>
          <w:color w:val="000000"/>
          <w:spacing w:val="-1"/>
          <w:sz w:val="24"/>
          <w:szCs w:val="24"/>
          <w:highlight w:val="none"/>
        </w:rPr>
      </w:pPr>
      <w:r>
        <w:rPr>
          <w:rFonts w:hint="eastAsia" w:ascii="宋体" w:hAnsi="宋体" w:cs="宋体"/>
          <w:color w:val="000000"/>
          <w:spacing w:val="-1"/>
          <w:sz w:val="24"/>
          <w:szCs w:val="24"/>
          <w:highlight w:val="none"/>
        </w:rPr>
        <w:t xml:space="preserve">坚持依据为先、程序合规、量价准确、风险可控，聚焦高风险、高金额、高频次事项，做到重点突出、逐项核查、不留死角、有据可查。</w:t>
      </w:r>
      <w:r>
        <w:rPr>
          <w:rFonts w:hint="eastAsia" w:ascii="宋体" w:hAnsi="宋体" w:cs="宋体"/>
          <w:color w:val="000000"/>
          <w:spacing w:val="-1"/>
          <w:sz w:val="24"/>
          <w:szCs w:val="24"/>
          <w:highlight w:val="none"/>
        </w:rPr>
      </w:r>
      <w:r/>
    </w:p>
    <w:p>
      <w:pPr>
        <w:pStyle w:val="1133"/>
        <w:ind w:left="0" w:firstLine="476"/>
        <w:rPr>
          <w:rFonts w:ascii="宋体" w:hAnsi="宋体" w:cs="宋体"/>
          <w:color w:val="000000"/>
          <w:spacing w:val="-1"/>
          <w:sz w:val="24"/>
          <w:szCs w:val="24"/>
          <w:highlight w:val="none"/>
        </w:rPr>
      </w:pPr>
      <w:r>
        <w:rPr>
          <w:rFonts w:hint="eastAsia" w:ascii="宋体" w:hAnsi="宋体" w:cs="宋体"/>
          <w:color w:val="000000"/>
          <w:spacing w:val="-1"/>
          <w:sz w:val="24"/>
          <w:szCs w:val="24"/>
          <w:highlight w:val="none"/>
        </w:rPr>
        <w:t xml:space="preserve">5.2.2审核难点</w:t>
      </w:r>
      <w:r>
        <w:rPr>
          <w:rFonts w:ascii="宋体" w:hAnsi="宋体" w:cs="宋体"/>
          <w:color w:val="000000"/>
          <w:spacing w:val="-1"/>
          <w:sz w:val="24"/>
          <w:szCs w:val="24"/>
          <w:highlight w:val="none"/>
        </w:rPr>
      </w:r>
      <w:r/>
    </w:p>
    <w:p>
      <w:pPr>
        <w:pStyle w:val="1133"/>
        <w:ind w:left="0" w:firstLine="476"/>
        <w:widowControl/>
        <w:rPr>
          <w:rFonts w:hint="eastAsia" w:ascii="宋体" w:hAnsi="宋体" w:cs="宋体"/>
          <w:color w:val="000000"/>
          <w:spacing w:val="-1"/>
          <w:sz w:val="24"/>
          <w:szCs w:val="24"/>
          <w:highlight w:val="none"/>
        </w:rPr>
      </w:pPr>
      <w:r>
        <w:rPr>
          <w:rFonts w:hint="eastAsia" w:ascii="宋体" w:hAnsi="宋体" w:cs="宋体"/>
          <w:color w:val="000000"/>
          <w:spacing w:val="-1"/>
          <w:sz w:val="24"/>
          <w:szCs w:val="24"/>
          <w:highlight w:val="none"/>
        </w:rPr>
        <w:t xml:space="preserve">清单漏项、项目特征描述不清，不平衡报价难以识别，合同条款约定不严谨。变更签证程序不规范、先施工后补签，真实性、必要性难以核实；隐蔽工程事后无法复核。新型材料、定制设备价格不透明，市场价与信息价差异大，价格认定争议多。施工、监理、验收资料缺失或前后矛盾，造价追溯与审核依据不足。</w:t>
      </w:r>
      <w:r>
        <w:rPr>
          <w:rFonts w:hint="eastAsia" w:ascii="宋体" w:hAnsi="宋体" w:cs="宋体"/>
          <w:color w:val="000000"/>
          <w:spacing w:val="-1"/>
          <w:sz w:val="24"/>
          <w:szCs w:val="24"/>
          <w:highlight w:val="none"/>
        </w:rPr>
      </w:r>
      <w:r/>
    </w:p>
    <w:p>
      <w:pPr>
        <w:pStyle w:val="1133"/>
        <w:ind w:left="0" w:firstLine="476"/>
        <w:rPr>
          <w:rFonts w:ascii="宋体" w:hAnsi="宋体" w:cs="宋体"/>
          <w:color w:val="000000"/>
          <w:spacing w:val="-1"/>
          <w:sz w:val="24"/>
          <w:szCs w:val="24"/>
          <w:highlight w:val="none"/>
        </w:rPr>
      </w:pPr>
      <w:r>
        <w:rPr>
          <w:rFonts w:hint="eastAsia" w:ascii="宋体" w:hAnsi="宋体" w:cs="宋体"/>
          <w:color w:val="000000"/>
          <w:spacing w:val="-1"/>
          <w:sz w:val="24"/>
          <w:szCs w:val="24"/>
          <w:highlight w:val="none"/>
        </w:rPr>
        <w:t xml:space="preserve">5.2.3 造价控制精细化管理思路</w:t>
      </w:r>
      <w:r>
        <w:rPr>
          <w:rFonts w:ascii="宋体" w:hAnsi="宋体" w:cs="宋体"/>
          <w:color w:val="000000"/>
          <w:spacing w:val="-1"/>
          <w:sz w:val="24"/>
          <w:szCs w:val="24"/>
          <w:highlight w:val="none"/>
        </w:rPr>
      </w:r>
      <w:r/>
    </w:p>
    <w:p>
      <w:pPr>
        <w:pStyle w:val="1133"/>
        <w:ind w:left="0" w:firstLine="480"/>
        <w:widowControl/>
        <w:rPr>
          <w:rFonts w:hint="eastAsia" w:ascii="宋体" w:hAnsi="宋体" w:cs="宋体"/>
          <w:color w:val="000000"/>
          <w:spacing w:val="-1"/>
          <w:sz w:val="24"/>
          <w:szCs w:val="24"/>
          <w:highlight w:val="none"/>
        </w:rPr>
      </w:pPr>
      <w:r>
        <w:rPr>
          <w:rFonts w:ascii="宋体" w:hAnsi="宋体" w:cs="宋体"/>
          <w:color w:val="000000"/>
          <w:sz w:val="24"/>
          <w:szCs w:val="24"/>
          <w:highlight w:val="none"/>
        </w:rPr>
        <w:t xml:space="preserve">以概算、预算为刚性控制红线，分解各阶段造价指标，落实限额控制。建立动态投资台账，实时对比偏差，做到早预警、早纠偏。</w:t>
      </w:r>
      <w:r>
        <w:rPr>
          <w:rFonts w:hint="eastAsia" w:ascii="宋体" w:hAnsi="宋体" w:cs="宋体"/>
          <w:color w:val="000000"/>
          <w:spacing w:val="-1"/>
          <w:sz w:val="24"/>
          <w:szCs w:val="24"/>
          <w:highlight w:val="none"/>
        </w:rPr>
      </w:r>
      <w:r/>
    </w:p>
    <w:p>
      <w:pPr>
        <w:pStyle w:val="1133"/>
        <w:ind w:left="0" w:firstLine="480"/>
        <w:widowControl/>
        <w:rPr>
          <w:rFonts w:ascii="宋体" w:hAnsi="宋体" w:cs="宋体"/>
          <w:color w:val="000000"/>
          <w:sz w:val="24"/>
          <w:szCs w:val="24"/>
          <w:highlight w:val="none"/>
        </w:rPr>
      </w:pPr>
      <w:r>
        <w:rPr>
          <w:rFonts w:ascii="宋体" w:hAnsi="宋体" w:cs="宋体"/>
          <w:color w:val="000000"/>
          <w:sz w:val="24"/>
          <w:szCs w:val="24"/>
          <w:highlight w:val="none"/>
        </w:rPr>
        <w:t xml:space="preserve">5.2.4 合理化建议</w:t>
      </w:r>
      <w:r>
        <w:rPr>
          <w:rFonts w:ascii="宋体" w:hAnsi="宋体" w:cs="宋体"/>
          <w:color w:val="000000"/>
          <w:sz w:val="24"/>
          <w:szCs w:val="24"/>
          <w:highlight w:val="none"/>
        </w:rPr>
      </w:r>
      <w:r/>
    </w:p>
    <w:p>
      <w:pPr>
        <w:pStyle w:val="1133"/>
        <w:ind w:left="0" w:firstLine="480"/>
        <w:widowControl/>
        <w:rPr>
          <w:rFonts w:ascii="宋体" w:hAnsi="宋体" w:cs="宋体"/>
          <w:color w:val="000000"/>
          <w:sz w:val="24"/>
          <w:szCs w:val="24"/>
          <w:highlight w:val="none"/>
        </w:rPr>
      </w:pPr>
      <w:r>
        <w:rPr>
          <w:rFonts w:ascii="宋体" w:hAnsi="宋体" w:cs="宋体"/>
          <w:color w:val="000000"/>
          <w:sz w:val="24"/>
          <w:szCs w:val="24"/>
          <w:highlight w:val="none"/>
        </w:rPr>
        <w:t xml:space="preserve"> 强化前期策划精准度：完善可研、初设评审机制，邀请造价、技术、审计多方参与，明确项目功能定位，细化投资估算指标，将概算作为刚性控制红线，杜绝“边设计、边决策、边调整”，从源头减少后期变更。</w:t>
      </w:r>
      <w:r>
        <w:rPr>
          <w:rFonts w:ascii="宋体" w:hAnsi="宋体" w:cs="宋体"/>
          <w:color w:val="000000"/>
          <w:sz w:val="24"/>
          <w:szCs w:val="24"/>
          <w:highlight w:val="none"/>
        </w:rPr>
      </w:r>
      <w:r/>
    </w:p>
    <w:p>
      <w:pPr>
        <w:pStyle w:val="1133"/>
        <w:ind w:left="0" w:firstLine="480"/>
        <w:widowControl/>
        <w:rPr>
          <w:rFonts w:ascii="宋体" w:hAnsi="宋体" w:cs="宋体"/>
          <w:color w:val="000000"/>
          <w:sz w:val="24"/>
          <w:szCs w:val="24"/>
          <w:highlight w:val="none"/>
        </w:rPr>
      </w:pPr>
      <w:r>
        <w:rPr>
          <w:rFonts w:ascii="宋体" w:hAnsi="宋体" w:cs="宋体"/>
          <w:color w:val="000000"/>
          <w:sz w:val="24"/>
          <w:szCs w:val="24"/>
          <w:highlight w:val="none"/>
        </w:rPr>
        <w:t xml:space="preserve">提前介入清单编制：设计阶段同步启动清单编制筹备工作，加强图纸会审与清单预审，明确项目特征、计量规则，避免清单漏项、歧义。</w:t>
      </w:r>
      <w:r>
        <w:rPr>
          <w:rFonts w:ascii="宋体" w:hAnsi="宋体" w:cs="宋体"/>
          <w:color w:val="000000"/>
          <w:sz w:val="24"/>
          <w:szCs w:val="24"/>
          <w:highlight w:val="none"/>
        </w:rPr>
      </w:r>
      <w:r/>
    </w:p>
    <w:p>
      <w:pPr>
        <w:pStyle w:val="1133"/>
        <w:ind w:left="0" w:firstLine="476"/>
        <w:rPr>
          <w:rFonts w:hint="eastAsia" w:ascii="宋体" w:hAnsi="宋体" w:cs="宋体"/>
          <w:b/>
          <w:bCs/>
          <w:color w:val="000000"/>
          <w:spacing w:val="-1"/>
          <w:sz w:val="24"/>
          <w:szCs w:val="24"/>
          <w:highlight w:val="none"/>
        </w:rPr>
      </w:pPr>
      <w:r>
        <w:rPr>
          <w:rFonts w:hint="eastAsia" w:ascii="宋体" w:hAnsi="宋体" w:cs="宋体"/>
          <w:b/>
          <w:bCs/>
          <w:color w:val="000000"/>
          <w:spacing w:val="-1"/>
          <w:sz w:val="24"/>
          <w:szCs w:val="24"/>
          <w:highlight w:val="none"/>
        </w:rPr>
        <w:t xml:space="preserve">5.3案例总结报告</w:t>
      </w:r>
      <w:r>
        <w:rPr>
          <w:rFonts w:hint="eastAsia" w:ascii="宋体" w:hAnsi="宋体" w:cs="宋体"/>
          <w:b/>
          <w:bCs/>
          <w:color w:val="000000"/>
          <w:spacing w:val="-1"/>
          <w:sz w:val="24"/>
          <w:szCs w:val="24"/>
          <w:highlight w:val="none"/>
        </w:rPr>
      </w:r>
      <w:r/>
    </w:p>
    <w:p>
      <w:pPr>
        <w:pStyle w:val="1133"/>
        <w:ind w:left="0" w:firstLine="476"/>
        <w:rPr>
          <w:rFonts w:hint="eastAsia" w:ascii="宋体" w:hAnsi="宋体"/>
          <w:color w:val="000000"/>
          <w:sz w:val="24"/>
          <w:szCs w:val="24"/>
          <w:highlight w:val="none"/>
        </w:rPr>
      </w:pPr>
      <w:r>
        <w:rPr>
          <w:rFonts w:hint="eastAsia" w:ascii="宋体" w:hAnsi="宋体"/>
          <w:color w:val="000000"/>
          <w:sz w:val="24"/>
          <w:szCs w:val="24"/>
          <w:highlight w:val="none"/>
        </w:rPr>
        <w:t xml:space="preserve">以某个已完成的同类项目跟踪审核、全过程跟踪审核（含结算审核）、结算审核为例，如实总结工程相应环节好的</w:t>
      </w:r>
      <w:bookmarkStart w:id="182" w:name="OLE_LINK45"/>
      <w:r>
        <w:rPr>
          <w:rFonts w:hint="eastAsia" w:ascii="宋体" w:hAnsi="宋体"/>
          <w:color w:val="000000"/>
          <w:sz w:val="24"/>
          <w:szCs w:val="24"/>
          <w:highlight w:val="none"/>
        </w:rPr>
        <w:t xml:space="preserve">做法</w:t>
      </w:r>
      <w:bookmarkEnd w:id="182"/>
      <w:r>
        <w:rPr>
          <w:rFonts w:hint="eastAsia" w:ascii="宋体" w:hAnsi="宋体"/>
          <w:color w:val="000000"/>
          <w:sz w:val="24"/>
          <w:szCs w:val="24"/>
          <w:highlight w:val="none"/>
        </w:rPr>
        <w:t xml:space="preserve">，制定总结报告内容至少要包括四个方面：（1）概算控制；（2）招标控制价审核；（3）项目变更、签证审核；（4）工程结算审核。</w:t>
      </w:r>
      <w:r>
        <w:rPr>
          <w:rFonts w:hint="eastAsia" w:ascii="宋体" w:hAnsi="宋体"/>
          <w:color w:val="000000"/>
          <w:sz w:val="24"/>
          <w:szCs w:val="24"/>
          <w:highlight w:val="none"/>
        </w:rPr>
      </w:r>
      <w:r/>
    </w:p>
    <w:p>
      <w:pPr>
        <w:pStyle w:val="1133"/>
        <w:ind w:left="0" w:firstLine="476"/>
        <w:spacing w:line="440" w:lineRule="exact"/>
        <w:rPr>
          <w:rFonts w:hint="eastAsia" w:ascii="宋体" w:hAnsi="宋体" w:cs="宋体"/>
          <w:color w:val="000000"/>
          <w:spacing w:val="-1"/>
          <w:sz w:val="24"/>
          <w:szCs w:val="24"/>
          <w:highlight w:val="none"/>
        </w:rPr>
      </w:pPr>
      <w:r>
        <w:rPr>
          <w:rFonts w:hint="eastAsia" w:ascii="宋体" w:hAnsi="宋体" w:cs="宋体"/>
          <w:color w:val="000000"/>
          <w:spacing w:val="-1"/>
          <w:sz w:val="24"/>
          <w:szCs w:val="24"/>
          <w:highlight w:val="none"/>
        </w:rPr>
        <w:t xml:space="preserve">5.3.1</w:t>
      </w:r>
      <w:r>
        <w:rPr>
          <w:rFonts w:hint="eastAsia" w:ascii="宋体" w:hAnsi="宋体"/>
          <w:color w:val="000000"/>
          <w:sz w:val="24"/>
          <w:szCs w:val="24"/>
          <w:highlight w:val="none"/>
        </w:rPr>
        <w:t xml:space="preserve">概算控制</w:t>
      </w:r>
      <w:r>
        <w:rPr>
          <w:rFonts w:hint="eastAsia" w:ascii="宋体" w:hAnsi="宋体" w:cs="宋体"/>
          <w:color w:val="000000"/>
          <w:spacing w:val="-1"/>
          <w:sz w:val="24"/>
          <w:szCs w:val="24"/>
          <w:highlight w:val="none"/>
        </w:rPr>
      </w:r>
      <w:r/>
    </w:p>
    <w:p>
      <w:pPr>
        <w:pStyle w:val="1024"/>
        <w:ind w:firstLine="480"/>
        <w:jc w:val="left"/>
        <w:widowControl/>
        <w:rPr>
          <w:rFonts w:hint="eastAsia" w:ascii="宋体" w:hAnsi="宋体" w:cs="宋体"/>
          <w:color w:val="000000"/>
          <w:spacing w:val="-1"/>
          <w:sz w:val="24"/>
          <w:szCs w:val="24"/>
          <w:highlight w:val="none"/>
        </w:rPr>
      </w:pPr>
      <w:r>
        <w:rPr>
          <w:rFonts w:hint="eastAsia" w:ascii="宋体" w:hAnsi="宋体"/>
          <w:color w:val="000000"/>
          <w:sz w:val="24"/>
          <w:szCs w:val="24"/>
          <w:highlight w:val="none"/>
        </w:rPr>
        <w:t xml:space="preserve">将概算作为项目投资的刚性控制红线，贯穿项目决策、设计、招标、施工、竣工决算全生命周期，任何环节不得擅自突破概算，确需调整的，必须严格履行审批程序，严禁“先突破、后审批”。</w:t>
      </w:r>
      <w:r>
        <w:rPr>
          <w:rFonts w:hint="eastAsia" w:ascii="宋体" w:hAnsi="宋体" w:cs="宋体"/>
          <w:color w:val="000000"/>
          <w:spacing w:val="-1"/>
          <w:sz w:val="24"/>
          <w:szCs w:val="24"/>
          <w:highlight w:val="none"/>
        </w:rPr>
      </w:r>
      <w:r/>
    </w:p>
    <w:p>
      <w:pPr>
        <w:pStyle w:val="1133"/>
        <w:ind w:left="0" w:firstLine="476"/>
        <w:rPr>
          <w:rFonts w:hint="eastAsia" w:ascii="宋体" w:hAnsi="宋体" w:cs="宋体"/>
          <w:color w:val="000000"/>
          <w:spacing w:val="-1"/>
          <w:sz w:val="24"/>
          <w:szCs w:val="24"/>
          <w:highlight w:val="none"/>
        </w:rPr>
      </w:pPr>
      <w:r>
        <w:rPr>
          <w:rFonts w:hint="eastAsia" w:ascii="宋体" w:hAnsi="宋体" w:cs="宋体"/>
          <w:color w:val="000000"/>
          <w:spacing w:val="-1"/>
          <w:sz w:val="24"/>
          <w:szCs w:val="24"/>
          <w:highlight w:val="none"/>
        </w:rPr>
        <w:t xml:space="preserve">5.3.2</w:t>
      </w:r>
      <w:r>
        <w:rPr>
          <w:rFonts w:hint="eastAsia" w:ascii="宋体" w:hAnsi="宋体"/>
          <w:color w:val="000000"/>
          <w:sz w:val="24"/>
          <w:szCs w:val="24"/>
          <w:highlight w:val="none"/>
        </w:rPr>
        <w:t xml:space="preserve">招标控制价审核</w:t>
      </w:r>
      <w:r>
        <w:rPr>
          <w:rFonts w:hint="eastAsia" w:ascii="宋体" w:hAnsi="宋体" w:cs="宋体"/>
          <w:color w:val="000000"/>
          <w:spacing w:val="-1"/>
          <w:sz w:val="24"/>
          <w:szCs w:val="24"/>
          <w:highlight w:val="none"/>
        </w:rPr>
      </w:r>
      <w:r/>
    </w:p>
    <w:p>
      <w:pPr>
        <w:pStyle w:val="1133"/>
        <w:ind w:left="0" w:firstLine="480"/>
        <w:rPr>
          <w:rFonts w:hint="eastAsia" w:ascii="宋体" w:hAnsi="宋体" w:cs="宋体"/>
          <w:color w:val="000000"/>
          <w:spacing w:val="-1"/>
          <w:sz w:val="24"/>
          <w:szCs w:val="24"/>
          <w:highlight w:val="none"/>
        </w:rPr>
      </w:pPr>
      <w:r>
        <w:rPr>
          <w:rFonts w:hint="eastAsia" w:ascii="宋体" w:hAnsi="宋体"/>
          <w:color w:val="000000"/>
          <w:sz w:val="24"/>
          <w:szCs w:val="24"/>
          <w:highlight w:val="none"/>
        </w:rPr>
        <w:t xml:space="preserve">招标控制价审核需坚守概算刚性约束，以批准的项目概算为核心管控上限，严格遵循现行计价规范、定额标准及项目相关约定，秉持“合法合规、精准严谨、闭环可追溯”原则，杜绝违规计价、虚增费用，确保招标控制价科学合理，为招投标工作提供合规依据。</w:t>
      </w:r>
      <w:r>
        <w:rPr>
          <w:rFonts w:hint="eastAsia" w:ascii="宋体" w:hAnsi="宋体" w:cs="宋体"/>
          <w:color w:val="000000"/>
          <w:spacing w:val="-1"/>
          <w:sz w:val="24"/>
          <w:szCs w:val="24"/>
          <w:highlight w:val="none"/>
        </w:rPr>
      </w:r>
      <w:r/>
    </w:p>
    <w:p>
      <w:pPr>
        <w:pStyle w:val="1133"/>
        <w:ind w:left="0" w:firstLine="476"/>
        <w:rPr>
          <w:rFonts w:hint="eastAsia" w:ascii="宋体" w:hAnsi="宋体" w:cs="宋体"/>
          <w:color w:val="000000"/>
          <w:spacing w:val="-1"/>
          <w:sz w:val="24"/>
          <w:szCs w:val="24"/>
          <w:highlight w:val="none"/>
        </w:rPr>
      </w:pPr>
      <w:r>
        <w:rPr>
          <w:rFonts w:hint="eastAsia" w:ascii="宋体" w:hAnsi="宋体" w:cs="宋体"/>
          <w:color w:val="000000"/>
          <w:spacing w:val="-1"/>
          <w:sz w:val="24"/>
          <w:szCs w:val="24"/>
          <w:highlight w:val="none"/>
        </w:rPr>
        <w:t xml:space="preserve">5.3.3</w:t>
      </w:r>
      <w:r>
        <w:rPr>
          <w:rFonts w:hint="eastAsia" w:ascii="宋体" w:hAnsi="宋体"/>
          <w:color w:val="000000"/>
          <w:sz w:val="24"/>
          <w:szCs w:val="24"/>
          <w:highlight w:val="none"/>
        </w:rPr>
        <w:t xml:space="preserve">项目变更、签证审核</w:t>
      </w:r>
      <w:r>
        <w:rPr>
          <w:rFonts w:hint="eastAsia" w:ascii="宋体" w:hAnsi="宋体" w:cs="宋体"/>
          <w:color w:val="000000"/>
          <w:spacing w:val="-1"/>
          <w:sz w:val="24"/>
          <w:szCs w:val="24"/>
          <w:highlight w:val="none"/>
        </w:rPr>
      </w:r>
      <w:r/>
    </w:p>
    <w:p>
      <w:pPr>
        <w:pStyle w:val="1133"/>
        <w:ind w:left="0" w:firstLine="480"/>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变更、签证审核需坚守“概算刚性约束、先审批后实施、真实合规、闭环可追溯”原则，贯穿变更签证提出、审批、实施、验收、计价全流程，严控不合理变更、虚假签证，防范因变更签证导致的概算超支、审计争议，确保变更签证符合项目实际需求和造价管控要求。</w:t>
      </w:r>
      <w:r>
        <w:rPr>
          <w:rFonts w:hint="eastAsia" w:ascii="宋体" w:hAnsi="宋体"/>
          <w:color w:val="000000"/>
          <w:sz w:val="24"/>
          <w:szCs w:val="24"/>
          <w:highlight w:val="none"/>
        </w:rPr>
      </w:r>
      <w:r/>
    </w:p>
    <w:p>
      <w:pPr>
        <w:pStyle w:val="1133"/>
        <w:rPr>
          <w:rFonts w:hint="eastAsia" w:ascii="宋体" w:hAnsi="宋体"/>
          <w:color w:val="000000"/>
          <w:sz w:val="24"/>
          <w:szCs w:val="24"/>
          <w:highlight w:val="none"/>
        </w:rPr>
      </w:pPr>
      <w:r>
        <w:rPr>
          <w:rFonts w:hint="eastAsia" w:ascii="宋体" w:hAnsi="宋体" w:cs="宋体"/>
          <w:color w:val="000000"/>
          <w:spacing w:val="-1"/>
          <w:sz w:val="24"/>
          <w:szCs w:val="24"/>
          <w:highlight w:val="none"/>
        </w:rPr>
        <w:t xml:space="preserve">5.3.4</w:t>
      </w:r>
      <w:r>
        <w:rPr>
          <w:rFonts w:hint="eastAsia" w:ascii="宋体" w:hAnsi="宋体"/>
          <w:color w:val="000000"/>
          <w:sz w:val="24"/>
          <w:szCs w:val="24"/>
          <w:highlight w:val="none"/>
        </w:rPr>
        <w:t xml:space="preserve">工程结算审核</w:t>
      </w:r>
      <w:r>
        <w:rPr>
          <w:rFonts w:hint="eastAsia" w:ascii="宋体" w:hAnsi="宋体"/>
          <w:color w:val="000000"/>
          <w:sz w:val="24"/>
          <w:szCs w:val="24"/>
          <w:highlight w:val="none"/>
        </w:rPr>
      </w:r>
      <w:r/>
    </w:p>
    <w:p>
      <w:pPr>
        <w:pStyle w:val="1024"/>
        <w:ind w:firstLine="476"/>
        <w:spacing w:line="440" w:lineRule="exact"/>
        <w:rPr>
          <w:rFonts w:hint="eastAsia" w:ascii="宋体" w:hAnsi="宋体" w:cs="宋体"/>
          <w:color w:val="000000"/>
          <w:spacing w:val="-1"/>
          <w:sz w:val="24"/>
          <w:szCs w:val="24"/>
          <w:highlight w:val="none"/>
        </w:rPr>
      </w:pPr>
      <w:r>
        <w:rPr>
          <w:rFonts w:hint="eastAsia" w:ascii="宋体" w:hAnsi="宋体" w:cs="宋体"/>
          <w:color w:val="000000"/>
          <w:spacing w:val="-1"/>
          <w:sz w:val="24"/>
          <w:szCs w:val="24"/>
          <w:highlight w:val="none"/>
        </w:rPr>
        <w:t xml:space="preserve">计量规则：严格按合同、计价规范、竣工图纸执行，确保计量口径一致；</w:t>
      </w:r>
      <w:r>
        <w:rPr>
          <w:rFonts w:hint="eastAsia" w:ascii="宋体" w:hAnsi="宋体" w:cs="宋体"/>
          <w:color w:val="000000"/>
          <w:spacing w:val="-1"/>
          <w:sz w:val="24"/>
          <w:szCs w:val="24"/>
          <w:highlight w:val="none"/>
        </w:rPr>
      </w:r>
      <w:r/>
    </w:p>
    <w:p>
      <w:pPr>
        <w:pStyle w:val="1024"/>
        <w:ind w:firstLine="476"/>
        <w:spacing w:line="440" w:lineRule="exact"/>
        <w:rPr>
          <w:rFonts w:hint="eastAsia" w:ascii="宋体" w:hAnsi="宋体" w:cs="宋体"/>
          <w:color w:val="000000"/>
          <w:spacing w:val="-1"/>
          <w:sz w:val="24"/>
          <w:szCs w:val="24"/>
          <w:highlight w:val="none"/>
        </w:rPr>
      </w:pPr>
      <w:r>
        <w:rPr>
          <w:rFonts w:hint="eastAsia" w:ascii="宋体" w:hAnsi="宋体" w:cs="宋体"/>
          <w:color w:val="000000"/>
          <w:spacing w:val="-1"/>
          <w:sz w:val="24"/>
          <w:szCs w:val="24"/>
          <w:highlight w:val="none"/>
        </w:rPr>
        <w:t xml:space="preserve">计算准确性：重点审核造价占比超5%的分项，采用“图纸核对+现场实测”，计算误差不超过3%；</w:t>
      </w:r>
      <w:r>
        <w:rPr>
          <w:rFonts w:hint="eastAsia" w:ascii="宋体" w:hAnsi="宋体" w:cs="宋体"/>
          <w:color w:val="000000"/>
          <w:spacing w:val="-1"/>
          <w:sz w:val="24"/>
          <w:szCs w:val="24"/>
          <w:highlight w:val="none"/>
        </w:rPr>
      </w:r>
      <w:r/>
    </w:p>
    <w:p>
      <w:pPr>
        <w:pStyle w:val="1024"/>
        <w:ind w:firstLine="476"/>
        <w:spacing w:line="440" w:lineRule="exact"/>
        <w:rPr>
          <w:rFonts w:hint="eastAsia" w:ascii="宋体" w:hAnsi="宋体" w:cs="宋体"/>
          <w:color w:val="000000"/>
          <w:spacing w:val="-1"/>
          <w:sz w:val="24"/>
          <w:szCs w:val="24"/>
          <w:highlight w:val="none"/>
        </w:rPr>
      </w:pPr>
      <w:r>
        <w:rPr>
          <w:rFonts w:hint="eastAsia" w:ascii="宋体" w:hAnsi="宋体" w:cs="宋体"/>
          <w:color w:val="000000"/>
          <w:spacing w:val="-1"/>
          <w:sz w:val="24"/>
          <w:szCs w:val="24"/>
          <w:highlight w:val="none"/>
        </w:rPr>
        <w:t xml:space="preserve">现场核查：常规分项抽测比例不低于10%（不少于3处），隐蔽工程、大额分项（≥50万元）、复杂工程核查比例100%，三方共同参与并留存记录；</w:t>
      </w:r>
      <w:r>
        <w:rPr>
          <w:rFonts w:hint="eastAsia" w:ascii="宋体" w:hAnsi="宋体" w:cs="宋体"/>
          <w:color w:val="000000"/>
          <w:spacing w:val="-1"/>
          <w:sz w:val="24"/>
          <w:szCs w:val="24"/>
          <w:highlight w:val="none"/>
        </w:rPr>
      </w:r>
      <w:r/>
    </w:p>
    <w:p>
      <w:pPr>
        <w:pStyle w:val="1024"/>
        <w:ind w:firstLine="476"/>
        <w:spacing w:line="440" w:lineRule="exact"/>
        <w:rPr>
          <w:rFonts w:hint="eastAsia" w:ascii="宋体" w:hAnsi="宋体" w:cs="宋体"/>
          <w:color w:val="000000"/>
          <w:spacing w:val="-1"/>
          <w:sz w:val="24"/>
          <w:szCs w:val="24"/>
          <w:highlight w:val="none"/>
        </w:rPr>
      </w:pPr>
      <w:r>
        <w:rPr>
          <w:rFonts w:hint="eastAsia" w:ascii="宋体" w:hAnsi="宋体" w:cs="宋体"/>
          <w:color w:val="000000"/>
          <w:spacing w:val="-1"/>
          <w:sz w:val="24"/>
          <w:szCs w:val="24"/>
          <w:highlight w:val="none"/>
        </w:rPr>
        <w:t xml:space="preserve">异常核查：对比各阶段工程量数据，对增减幅度超 10% 的，需施工单位提供说明及佐证，无依据则核减。</w:t>
      </w:r>
      <w:r>
        <w:rPr>
          <w:rFonts w:hint="eastAsia" w:ascii="宋体" w:hAnsi="宋体" w:cs="宋体"/>
          <w:color w:val="000000"/>
          <w:spacing w:val="-1"/>
          <w:sz w:val="24"/>
          <w:szCs w:val="24"/>
          <w:highlight w:val="none"/>
        </w:rPr>
      </w:r>
      <w:r/>
    </w:p>
    <w:p>
      <w:pPr>
        <w:pStyle w:val="1024"/>
        <w:ind w:firstLine="478"/>
        <w:spacing w:line="440" w:lineRule="exact"/>
        <w:rPr>
          <w:rFonts w:hint="eastAsia" w:ascii="宋体" w:hAnsi="宋体" w:cs="宋体"/>
          <w:color w:val="000000"/>
          <w:spacing w:val="-1"/>
          <w:sz w:val="24"/>
          <w:szCs w:val="24"/>
          <w:highlight w:val="none"/>
        </w:rPr>
      </w:pPr>
      <w:r>
        <w:rPr>
          <w:rFonts w:hint="eastAsia" w:ascii="宋体" w:hAnsi="宋体" w:cs="宋体"/>
          <w:b/>
          <w:bCs/>
          <w:color w:val="000000"/>
          <w:spacing w:val="-1"/>
          <w:sz w:val="24"/>
          <w:szCs w:val="24"/>
          <w:highlight w:val="none"/>
        </w:rPr>
        <w:t xml:space="preserve">5.4内控制度：</w:t>
      </w:r>
      <w:r>
        <w:rPr>
          <w:rFonts w:hint="eastAsia" w:ascii="宋体" w:hAnsi="宋体" w:cs="宋体"/>
          <w:color w:val="000000"/>
          <w:spacing w:val="-1"/>
          <w:sz w:val="24"/>
          <w:szCs w:val="24"/>
          <w:highlight w:val="none"/>
        </w:rPr>
        <w:t xml:space="preserve">至少要包括四个方面：（1）业务流程规范；（2）审核质量；（3）审核效率；（4）风险防控。</w:t>
      </w:r>
      <w:r>
        <w:rPr>
          <w:rFonts w:hint="eastAsia" w:ascii="宋体" w:hAnsi="宋体" w:cs="宋体"/>
          <w:color w:val="000000"/>
          <w:spacing w:val="-1"/>
          <w:sz w:val="24"/>
          <w:szCs w:val="24"/>
          <w:highlight w:val="none"/>
        </w:rPr>
      </w:r>
      <w:r/>
    </w:p>
    <w:p>
      <w:pPr>
        <w:pStyle w:val="1133"/>
        <w:ind w:left="0" w:firstLine="476"/>
        <w:rPr>
          <w:rFonts w:hint="eastAsia" w:ascii="宋体" w:hAnsi="宋体" w:cs="宋体"/>
          <w:color w:val="000000"/>
          <w:spacing w:val="-1"/>
          <w:sz w:val="24"/>
          <w:szCs w:val="24"/>
          <w:highlight w:val="none"/>
        </w:rPr>
      </w:pPr>
      <w:r>
        <w:rPr>
          <w:rFonts w:hint="eastAsia" w:ascii="宋体" w:hAnsi="宋体" w:cs="宋体"/>
          <w:color w:val="000000"/>
          <w:spacing w:val="-1"/>
          <w:sz w:val="24"/>
          <w:szCs w:val="24"/>
          <w:highlight w:val="none"/>
        </w:rPr>
        <w:t xml:space="preserve">5.4.1业务流程规范</w:t>
      </w:r>
      <w:r>
        <w:rPr>
          <w:rFonts w:hint="eastAsia" w:ascii="宋体" w:hAnsi="宋体" w:cs="宋体"/>
          <w:color w:val="000000"/>
          <w:spacing w:val="-1"/>
          <w:sz w:val="24"/>
          <w:szCs w:val="24"/>
          <w:highlight w:val="none"/>
        </w:rPr>
      </w:r>
      <w:r/>
    </w:p>
    <w:p>
      <w:pPr>
        <w:pStyle w:val="1024"/>
        <w:ind w:firstLine="476"/>
        <w:jc w:val="left"/>
        <w:widowControl/>
        <w:rPr>
          <w:color w:val="000000"/>
          <w:highlight w:val="none"/>
        </w:rPr>
      </w:pPr>
      <w:r>
        <w:rPr>
          <w:rFonts w:hint="eastAsia" w:ascii="宋体" w:hAnsi="宋体" w:cs="宋体"/>
          <w:color w:val="000000"/>
          <w:spacing w:val="-1"/>
          <w:sz w:val="24"/>
          <w:szCs w:val="24"/>
          <w:highlight w:val="none"/>
        </w:rPr>
        <w:t xml:space="preserve">常驻项目组全体审计人员及相关协作人员必须严格按照本大纲及具体审计内控业务流程规范开展工作，不得擅自简化流程、跳过环节、违规操作，不得干预审计工作的客观性和公正性。</w:t>
      </w:r>
      <w:r>
        <w:rPr>
          <w:rFonts w:ascii="宋体" w:hAnsi="宋体" w:cs="宋体"/>
          <w:color w:val="000000"/>
          <w:sz w:val="24"/>
          <w:szCs w:val="24"/>
          <w:highlight w:val="none"/>
          <w:lang w:bidi="ar"/>
        </w:rPr>
        <w:t xml:space="preserve">流程执行过程中，提交的资料、记录、审计证据需真实、准确、完整、合规，严禁伪造、篡改、遗漏相关信息，确保审计结论有可靠依据</w:t>
      </w:r>
      <w:r>
        <w:rPr>
          <w:rFonts w:hint="eastAsia" w:ascii="宋体" w:hAnsi="宋体" w:cs="宋体"/>
          <w:color w:val="000000"/>
          <w:sz w:val="24"/>
          <w:szCs w:val="24"/>
          <w:highlight w:val="none"/>
          <w:lang w:bidi="ar"/>
        </w:rPr>
        <w:t xml:space="preserve">。</w:t>
      </w:r>
      <w:r>
        <w:rPr>
          <w:color w:val="000000"/>
          <w:highlight w:val="none"/>
        </w:rPr>
      </w:r>
      <w:r/>
    </w:p>
    <w:p>
      <w:pPr>
        <w:pStyle w:val="1133"/>
        <w:ind w:left="0" w:firstLine="476"/>
        <w:rPr>
          <w:rFonts w:hint="eastAsia" w:ascii="宋体" w:hAnsi="宋体" w:cs="宋体"/>
          <w:color w:val="000000"/>
          <w:spacing w:val="-1"/>
          <w:sz w:val="24"/>
          <w:szCs w:val="24"/>
          <w:highlight w:val="none"/>
        </w:rPr>
      </w:pPr>
      <w:r>
        <w:rPr>
          <w:rFonts w:hint="eastAsia" w:ascii="宋体" w:hAnsi="宋体" w:cs="宋体"/>
          <w:color w:val="000000"/>
          <w:spacing w:val="-1"/>
          <w:sz w:val="24"/>
          <w:szCs w:val="24"/>
          <w:highlight w:val="none"/>
        </w:rPr>
        <w:t xml:space="preserve">5.4.2审核质量</w:t>
      </w:r>
      <w:r>
        <w:rPr>
          <w:rFonts w:hint="eastAsia" w:ascii="宋体" w:hAnsi="宋体" w:cs="宋体"/>
          <w:color w:val="000000"/>
          <w:spacing w:val="-1"/>
          <w:sz w:val="24"/>
          <w:szCs w:val="24"/>
          <w:highlight w:val="none"/>
        </w:rPr>
      </w:r>
      <w:r/>
    </w:p>
    <w:p>
      <w:pPr>
        <w:pStyle w:val="1133"/>
        <w:ind w:left="0" w:firstLine="480"/>
        <w:rPr>
          <w:rFonts w:hint="eastAsia" w:ascii="宋体" w:hAnsi="宋体" w:cs="宋体"/>
          <w:color w:val="000000"/>
          <w:spacing w:val="-1"/>
          <w:sz w:val="24"/>
          <w:szCs w:val="24"/>
          <w:highlight w:val="none"/>
        </w:rPr>
      </w:pPr>
      <w:r>
        <w:rPr>
          <w:rFonts w:hint="eastAsia" w:ascii="宋体" w:hAnsi="宋体" w:cs="宋体"/>
          <w:color w:val="000000"/>
          <w:sz w:val="24"/>
          <w:szCs w:val="24"/>
          <w:highlight w:val="none"/>
        </w:rPr>
        <w:t xml:space="preserve">投标单位</w:t>
      </w:r>
      <w:r>
        <w:rPr>
          <w:rFonts w:ascii="宋体" w:hAnsi="宋体" w:cs="宋体"/>
          <w:color w:val="000000"/>
          <w:sz w:val="24"/>
          <w:szCs w:val="24"/>
          <w:highlight w:val="none"/>
        </w:rPr>
        <w:t xml:space="preserve">审计部门</w:t>
      </w:r>
      <w:r>
        <w:rPr>
          <w:rFonts w:hint="eastAsia" w:ascii="宋体" w:hAnsi="宋体" w:cs="宋体"/>
          <w:color w:val="000000"/>
          <w:sz w:val="24"/>
          <w:szCs w:val="24"/>
          <w:highlight w:val="none"/>
        </w:rPr>
        <w:t xml:space="preserve">应</w:t>
      </w:r>
      <w:r>
        <w:rPr>
          <w:rFonts w:ascii="宋体" w:hAnsi="宋体" w:cs="宋体"/>
          <w:color w:val="000000"/>
          <w:sz w:val="24"/>
          <w:szCs w:val="24"/>
          <w:highlight w:val="none"/>
        </w:rPr>
        <w:t xml:space="preserve">自查、内控部门常态化检查、管理层定期督查相结合，重点核查审核流程的合规性、审核记录的完整性、问题整改的有效性，及时发现审核质量隐患。</w:t>
      </w:r>
      <w:r>
        <w:rPr>
          <w:rFonts w:hint="eastAsia" w:ascii="宋体" w:hAnsi="宋体" w:cs="宋体"/>
          <w:color w:val="000000"/>
          <w:spacing w:val="-1"/>
          <w:sz w:val="24"/>
          <w:szCs w:val="24"/>
          <w:highlight w:val="none"/>
        </w:rPr>
      </w:r>
      <w:r/>
    </w:p>
    <w:p>
      <w:pPr>
        <w:pStyle w:val="1133"/>
        <w:ind w:left="0" w:firstLine="476"/>
        <w:rPr>
          <w:rFonts w:hint="eastAsia" w:ascii="宋体" w:hAnsi="宋体" w:cs="宋体"/>
          <w:color w:val="000000"/>
          <w:spacing w:val="-1"/>
          <w:sz w:val="24"/>
          <w:szCs w:val="24"/>
          <w:highlight w:val="none"/>
        </w:rPr>
      </w:pPr>
      <w:r>
        <w:rPr>
          <w:rFonts w:hint="eastAsia" w:ascii="宋体" w:hAnsi="宋体" w:cs="宋体"/>
          <w:color w:val="000000"/>
          <w:spacing w:val="-1"/>
          <w:sz w:val="24"/>
          <w:szCs w:val="24"/>
          <w:highlight w:val="none"/>
        </w:rPr>
        <w:t xml:space="preserve">5.4.3审核效率</w:t>
      </w:r>
      <w:r>
        <w:rPr>
          <w:rFonts w:hint="eastAsia" w:ascii="宋体" w:hAnsi="宋体" w:cs="宋体"/>
          <w:color w:val="000000"/>
          <w:spacing w:val="-1"/>
          <w:sz w:val="24"/>
          <w:szCs w:val="24"/>
          <w:highlight w:val="none"/>
        </w:rPr>
      </w:r>
      <w:r/>
    </w:p>
    <w:p>
      <w:pPr>
        <w:pStyle w:val="1133"/>
        <w:ind w:left="0" w:firstLine="480"/>
        <w:rPr>
          <w:rFonts w:hint="eastAsia" w:ascii="宋体" w:hAnsi="宋体" w:cs="宋体"/>
          <w:color w:val="000000"/>
          <w:spacing w:val="-1"/>
          <w:sz w:val="24"/>
          <w:szCs w:val="24"/>
          <w:highlight w:val="none"/>
        </w:rPr>
      </w:pPr>
      <w:r>
        <w:rPr>
          <w:rFonts w:ascii="宋体" w:hAnsi="宋体" w:cs="宋体"/>
          <w:color w:val="000000"/>
          <w:sz w:val="24"/>
          <w:szCs w:val="24"/>
          <w:highlight w:val="none"/>
        </w:rPr>
        <w:t xml:space="preserve">梳理现有审核流程，删减重复审核、无效审批环节，明确各审核层级的核心职责（如一级复核侧重基础合规性、二级复核侧重质量把控、终审侧重结论把关），避免多层级重复核查。按审计项目类型（常规、重大）、审核内容（证据、底稿、报告），明确各环节审核时限（如常规项目证据审核 3 个工作日、报告审核 5 个工作日），设置时限预警，杜绝拖延推诿。</w:t>
      </w:r>
      <w:r>
        <w:rPr>
          <w:rFonts w:hint="eastAsia" w:ascii="宋体" w:hAnsi="宋体" w:cs="宋体"/>
          <w:color w:val="000000"/>
          <w:spacing w:val="-1"/>
          <w:sz w:val="24"/>
          <w:szCs w:val="24"/>
          <w:highlight w:val="none"/>
        </w:rPr>
      </w:r>
      <w:r/>
    </w:p>
    <w:p>
      <w:pPr>
        <w:pStyle w:val="1133"/>
        <w:ind w:left="0" w:firstLine="476"/>
        <w:rPr>
          <w:rFonts w:hint="eastAsia" w:ascii="宋体" w:hAnsi="宋体" w:cs="宋体"/>
          <w:color w:val="000000"/>
          <w:spacing w:val="-1"/>
          <w:sz w:val="24"/>
          <w:szCs w:val="24"/>
          <w:highlight w:val="none"/>
        </w:rPr>
      </w:pPr>
      <w:r>
        <w:rPr>
          <w:rFonts w:hint="eastAsia" w:ascii="宋体" w:hAnsi="宋体" w:cs="宋体"/>
          <w:color w:val="000000"/>
          <w:spacing w:val="-1"/>
          <w:sz w:val="24"/>
          <w:szCs w:val="24"/>
          <w:highlight w:val="none"/>
        </w:rPr>
        <w:t xml:space="preserve">5.4.4风险防控</w:t>
      </w:r>
      <w:r>
        <w:rPr>
          <w:rFonts w:hint="eastAsia" w:ascii="宋体" w:hAnsi="宋体" w:cs="宋体"/>
          <w:color w:val="000000"/>
          <w:spacing w:val="-1"/>
          <w:sz w:val="24"/>
          <w:szCs w:val="24"/>
          <w:highlight w:val="none"/>
        </w:rPr>
      </w:r>
      <w:r/>
    </w:p>
    <w:p>
      <w:pPr>
        <w:pStyle w:val="1133"/>
        <w:ind w:left="0" w:firstLine="480"/>
        <w:rPr>
          <w:rFonts w:ascii="宋体" w:hAnsi="宋体" w:cs="宋体"/>
          <w:color w:val="000000"/>
          <w:sz w:val="24"/>
          <w:szCs w:val="24"/>
          <w:highlight w:val="none"/>
        </w:rPr>
      </w:pPr>
      <w:r>
        <w:rPr>
          <w:rFonts w:ascii="宋体" w:hAnsi="宋体" w:cs="宋体"/>
          <w:color w:val="000000"/>
          <w:sz w:val="24"/>
          <w:szCs w:val="24"/>
          <w:highlight w:val="none"/>
          <w:lang w:bidi="ar"/>
        </w:rPr>
        <w:t xml:space="preserve">严格落实审计证据收集、审核标准，确保证据真实、充分、相关；规范审计工作底稿编制，实行多级复核机制；明确审计方法标准，加强审计人员专业能力培训，提升审计精准度；定期开展审计质量自查，及时整改质量隐患</w:t>
      </w:r>
      <w:r>
        <w:rPr>
          <w:rFonts w:ascii="宋体" w:hAnsi="宋体" w:cs="宋体"/>
          <w:color w:val="000000"/>
          <w:sz w:val="24"/>
          <w:szCs w:val="24"/>
          <w:highlight w:val="none"/>
        </w:rPr>
        <w:t xml:space="preserve">。</w:t>
      </w:r>
      <w:r>
        <w:rPr>
          <w:rFonts w:ascii="宋体" w:hAnsi="宋体" w:cs="宋体"/>
          <w:color w:val="000000"/>
          <w:sz w:val="24"/>
          <w:szCs w:val="24"/>
          <w:highlight w:val="none"/>
        </w:rPr>
      </w:r>
      <w:r/>
    </w:p>
    <w:p>
      <w:pPr>
        <w:pStyle w:val="1024"/>
        <w:spacing w:line="440" w:lineRule="exact"/>
        <w:rPr>
          <w:rFonts w:ascii="黑体" w:hAnsi="黑体" w:eastAsia="黑体" w:cs="宋体"/>
          <w:b/>
          <w:bCs/>
          <w:color w:val="000000"/>
          <w:sz w:val="24"/>
          <w:szCs w:val="24"/>
          <w:highlight w:val="none"/>
        </w:rPr>
      </w:pPr>
      <w:r>
        <w:rPr>
          <w:rFonts w:hint="eastAsia" w:ascii="黑体" w:hAnsi="黑体" w:eastAsia="黑体" w:cs="宋体"/>
          <w:b/>
          <w:bCs/>
          <w:color w:val="000000"/>
          <w:sz w:val="24"/>
          <w:szCs w:val="24"/>
          <w:highlight w:val="none"/>
        </w:rPr>
        <w:t xml:space="preserve">六、项目费用报价及其他事项</w:t>
      </w:r>
      <w:r>
        <w:rPr>
          <w:rFonts w:ascii="黑体" w:hAnsi="黑体" w:eastAsia="黑体" w:cs="宋体"/>
          <w:b/>
          <w:bCs/>
          <w:color w:val="000000"/>
          <w:sz w:val="24"/>
          <w:szCs w:val="24"/>
          <w:highlight w:val="none"/>
        </w:rPr>
      </w:r>
      <w:r/>
    </w:p>
    <w:p>
      <w:pPr>
        <w:pStyle w:val="1133"/>
        <w:ind w:left="0" w:firstLine="476"/>
        <w:spacing w:line="460" w:lineRule="exact"/>
        <w:rPr>
          <w:rFonts w:hint="eastAsia" w:ascii="宋体" w:hAnsi="宋体" w:cs="宋体"/>
          <w:color w:val="000000"/>
          <w:spacing w:val="-1"/>
          <w:sz w:val="24"/>
          <w:szCs w:val="24"/>
          <w:highlight w:val="none"/>
        </w:rPr>
      </w:pPr>
      <w:r>
        <w:rPr>
          <w:rFonts w:hint="eastAsia" w:ascii="宋体" w:hAnsi="宋体" w:cs="宋体"/>
          <w:color w:val="000000"/>
          <w:spacing w:val="-1"/>
          <w:sz w:val="24"/>
          <w:szCs w:val="24"/>
          <w:highlight w:val="none"/>
        </w:rPr>
        <w:t xml:space="preserve">1.本项目为“固定总价”合同。</w:t>
      </w:r>
      <w:r>
        <w:rPr>
          <w:rFonts w:hint="eastAsia" w:ascii="宋体" w:hAnsi="宋体" w:cs="宋体"/>
          <w:color w:val="000000"/>
          <w:spacing w:val="-1"/>
          <w:sz w:val="24"/>
          <w:szCs w:val="24"/>
          <w:highlight w:val="none"/>
        </w:rPr>
      </w:r>
      <w:r/>
    </w:p>
    <w:p>
      <w:pPr>
        <w:pStyle w:val="1133"/>
        <w:ind w:left="0" w:firstLine="476"/>
        <w:spacing w:line="460" w:lineRule="exact"/>
        <w:rPr>
          <w:rFonts w:hint="eastAsia" w:ascii="宋体" w:hAnsi="宋体" w:cs="宋体"/>
          <w:color w:val="000000"/>
          <w:spacing w:val="-1"/>
          <w:sz w:val="24"/>
          <w:szCs w:val="24"/>
          <w:highlight w:val="none"/>
        </w:rPr>
      </w:pPr>
      <w:r>
        <w:rPr>
          <w:rFonts w:hint="eastAsia" w:ascii="宋体" w:hAnsi="宋体" w:cs="宋体"/>
          <w:color w:val="000000"/>
          <w:spacing w:val="-1"/>
          <w:sz w:val="24"/>
          <w:szCs w:val="24"/>
          <w:highlight w:val="none"/>
        </w:rPr>
        <w:t xml:space="preserve">2.服务费用的支付期限：</w:t>
      </w:r>
      <w:r>
        <w:rPr>
          <w:rFonts w:hint="eastAsia" w:ascii="宋体" w:hAnsi="宋体" w:cs="宋体"/>
          <w:color w:val="000000"/>
          <w:spacing w:val="-1"/>
          <w:sz w:val="24"/>
          <w:szCs w:val="24"/>
          <w:highlight w:val="none"/>
        </w:rPr>
      </w:r>
      <w:r/>
    </w:p>
    <w:p>
      <w:pPr>
        <w:pStyle w:val="1133"/>
        <w:ind w:left="0" w:firstLine="476"/>
        <w:spacing w:line="460" w:lineRule="exact"/>
        <w:rPr>
          <w:rFonts w:hint="eastAsia" w:ascii="宋体" w:hAnsi="宋体" w:cs="宋体"/>
          <w:color w:val="000000"/>
          <w:spacing w:val="-1"/>
          <w:sz w:val="24"/>
          <w:szCs w:val="24"/>
          <w:highlight w:val="none"/>
        </w:rPr>
      </w:pPr>
      <w:r>
        <w:rPr>
          <w:rFonts w:hint="eastAsia" w:ascii="宋体" w:hAnsi="宋体" w:cs="宋体"/>
          <w:color w:val="000000"/>
          <w:spacing w:val="-1"/>
          <w:sz w:val="24"/>
          <w:szCs w:val="24"/>
          <w:highlight w:val="none"/>
        </w:rPr>
        <w:t xml:space="preserve">（1）预付款支付时间：合同签订后，甲方收到</w:t>
      </w:r>
      <w:r>
        <w:rPr>
          <w:rFonts w:hint="eastAsia" w:ascii="宋体" w:hAnsi="宋体" w:eastAsia="宋体" w:cs="宋体"/>
          <w:color w:val="000000"/>
          <w:spacing w:val="-1"/>
          <w:sz w:val="24"/>
          <w:szCs w:val="24"/>
          <w:highlight w:val="none"/>
        </w:rPr>
        <w:t xml:space="preserve">乙方发票后10个工作日内支付合同</w:t>
      </w:r>
      <w:r>
        <w:rPr>
          <w:rFonts w:hint="eastAsia" w:ascii="宋体" w:hAnsi="宋体" w:cs="宋体"/>
          <w:color w:val="000000"/>
          <w:spacing w:val="-1"/>
          <w:sz w:val="24"/>
          <w:szCs w:val="24"/>
          <w:highlight w:val="none"/>
        </w:rPr>
        <w:t xml:space="preserve">金额的30%。</w:t>
      </w:r>
      <w:r>
        <w:rPr>
          <w:rFonts w:hint="eastAsia" w:ascii="宋体" w:hAnsi="宋体" w:cs="宋体"/>
          <w:color w:val="000000"/>
          <w:spacing w:val="-1"/>
          <w:sz w:val="24"/>
          <w:szCs w:val="24"/>
          <w:highlight w:val="none"/>
        </w:rPr>
      </w:r>
      <w:r/>
    </w:p>
    <w:p>
      <w:pPr>
        <w:pStyle w:val="1133"/>
        <w:ind w:left="0" w:firstLine="476"/>
        <w:spacing w:line="460" w:lineRule="exact"/>
        <w:rPr>
          <w:rFonts w:hint="eastAsia" w:ascii="宋体" w:hAnsi="宋体" w:cs="宋体"/>
          <w:color w:val="000000"/>
          <w:spacing w:val="-1"/>
          <w:sz w:val="24"/>
          <w:szCs w:val="24"/>
          <w:highlight w:val="none"/>
        </w:rPr>
      </w:pPr>
      <w:r>
        <w:rPr>
          <w:rFonts w:hint="eastAsia" w:ascii="宋体" w:hAnsi="宋体" w:cs="宋体"/>
          <w:color w:val="000000"/>
          <w:spacing w:val="-1"/>
          <w:sz w:val="24"/>
          <w:szCs w:val="24"/>
          <w:highlight w:val="none"/>
        </w:rPr>
        <w:t xml:space="preserve">（2）尾款支付时间：项目审计结束且出具审定单以及工程造价咨询报告，经甲方同意审核结论后，一次性付清合同金额的剩余服务费；如有乙方有违约情况，则扣除违约金后一次性付清服务费，以上付款均不计利息。</w:t>
      </w:r>
      <w:r>
        <w:rPr>
          <w:rFonts w:hint="eastAsia" w:ascii="宋体" w:hAnsi="宋体" w:cs="宋体"/>
          <w:color w:val="000000"/>
          <w:spacing w:val="-1"/>
          <w:sz w:val="24"/>
          <w:szCs w:val="24"/>
          <w:highlight w:val="none"/>
        </w:rPr>
      </w:r>
      <w:r/>
    </w:p>
    <w:p>
      <w:pPr>
        <w:pStyle w:val="1133"/>
        <w:ind w:left="0" w:firstLine="476"/>
        <w:spacing w:line="460" w:lineRule="exact"/>
        <w:rPr>
          <w:rFonts w:hint="eastAsia" w:ascii="宋体" w:hAnsi="宋体" w:cs="宋体"/>
          <w:color w:val="000000"/>
          <w:spacing w:val="-1"/>
          <w:sz w:val="24"/>
          <w:szCs w:val="24"/>
          <w:highlight w:val="none"/>
        </w:rPr>
      </w:pPr>
      <w:r>
        <w:rPr>
          <w:rFonts w:hint="eastAsia" w:ascii="宋体" w:hAnsi="宋体" w:cs="宋体"/>
          <w:color w:val="000000"/>
          <w:spacing w:val="-1"/>
          <w:sz w:val="24"/>
          <w:szCs w:val="24"/>
          <w:highlight w:val="none"/>
        </w:rPr>
        <w:t xml:space="preserve">注:在签订合同时，中标人明确表示无需预付款或者主动要求降低预付款比例的金额，采购人可不适用预付款规定。本合同执行中相关的一切税费均由乙方负担。</w:t>
      </w:r>
      <w:r>
        <w:rPr>
          <w:rFonts w:hint="eastAsia" w:ascii="宋体" w:hAnsi="宋体" w:cs="宋体"/>
          <w:color w:val="000000"/>
          <w:spacing w:val="-1"/>
          <w:sz w:val="24"/>
          <w:szCs w:val="24"/>
          <w:highlight w:val="none"/>
        </w:rPr>
      </w:r>
      <w:r/>
    </w:p>
    <w:p>
      <w:pPr>
        <w:pStyle w:val="1133"/>
        <w:ind w:left="0" w:firstLine="476"/>
        <w:spacing w:line="460" w:lineRule="exact"/>
        <w:rPr>
          <w:rFonts w:hint="eastAsia" w:ascii="宋体" w:hAnsi="宋体" w:cs="宋体"/>
          <w:color w:val="000000"/>
          <w:spacing w:val="-1"/>
          <w:sz w:val="24"/>
          <w:szCs w:val="24"/>
          <w:highlight w:val="none"/>
        </w:rPr>
      </w:pPr>
      <w:r>
        <w:rPr>
          <w:rFonts w:hint="eastAsia" w:ascii="宋体" w:hAnsi="宋体" w:cs="宋体"/>
          <w:color w:val="000000"/>
          <w:spacing w:val="-1"/>
          <w:sz w:val="24"/>
          <w:szCs w:val="24"/>
          <w:highlight w:val="none"/>
        </w:rPr>
        <w:t xml:space="preserve">3.跟审单位履约保证与违约责任</w:t>
      </w:r>
      <w:r>
        <w:rPr>
          <w:rFonts w:hint="eastAsia" w:ascii="宋体" w:hAnsi="宋体" w:cs="宋体"/>
          <w:color w:val="000000"/>
          <w:spacing w:val="-1"/>
          <w:sz w:val="24"/>
          <w:szCs w:val="24"/>
          <w:highlight w:val="none"/>
        </w:rPr>
      </w:r>
      <w:r/>
    </w:p>
    <w:p>
      <w:pPr>
        <w:pStyle w:val="1133"/>
        <w:ind w:left="0" w:firstLine="476"/>
        <w:spacing w:line="460" w:lineRule="exact"/>
        <w:rPr>
          <w:rFonts w:hint="eastAsia" w:ascii="宋体" w:hAnsi="宋体" w:cs="宋体"/>
          <w:color w:val="000000"/>
          <w:spacing w:val="-1"/>
          <w:sz w:val="24"/>
          <w:szCs w:val="24"/>
          <w:highlight w:val="none"/>
        </w:rPr>
      </w:pPr>
      <w:r>
        <w:rPr>
          <w:rFonts w:hint="eastAsia" w:ascii="宋体" w:hAnsi="宋体" w:cs="宋体"/>
          <w:color w:val="000000"/>
          <w:spacing w:val="-1"/>
          <w:sz w:val="24"/>
          <w:szCs w:val="24"/>
          <w:highlight w:val="none"/>
        </w:rPr>
        <w:t xml:space="preserve">1）跟审单位未达现场人员要求：若跟审单位未能满足第1条（现场跟审要求）中关于每周最低驻场人</w:t>
      </w:r>
      <w:r>
        <w:rPr>
          <w:rFonts w:hint="eastAsia" w:ascii="宋体" w:hAnsi="宋体" w:eastAsia="宋体" w:cs="宋体"/>
          <w:color w:val="000000"/>
          <w:spacing w:val="-1"/>
          <w:sz w:val="24"/>
          <w:szCs w:val="24"/>
          <w:highlight w:val="none"/>
        </w:rPr>
        <w:t xml:space="preserve">数（四人）的要求（第</w:t>
      </w:r>
      <w:r>
        <w:rPr>
          <w:rFonts w:hint="eastAsia" w:ascii="宋体" w:hAnsi="宋体" w:cs="宋体"/>
          <w:color w:val="000000"/>
          <w:spacing w:val="-1"/>
          <w:sz w:val="24"/>
          <w:szCs w:val="24"/>
          <w:highlight w:val="none"/>
        </w:rPr>
        <w:t xml:space="preserve">1条第四款允许调整的情形除外），则视为跟审单位违约一次。采购人有权按每次违约500元人民币的标准向跟审单位收取违约金（罚款）。</w:t>
      </w:r>
      <w:r>
        <w:rPr>
          <w:rFonts w:hint="eastAsia" w:ascii="宋体" w:hAnsi="宋体" w:cs="宋体"/>
          <w:color w:val="000000"/>
          <w:spacing w:val="-1"/>
          <w:sz w:val="24"/>
          <w:szCs w:val="24"/>
          <w:highlight w:val="none"/>
        </w:rPr>
      </w:r>
      <w:r/>
    </w:p>
    <w:p>
      <w:pPr>
        <w:pStyle w:val="1133"/>
        <w:ind w:left="0" w:firstLine="476"/>
        <w:spacing w:line="460" w:lineRule="exact"/>
        <w:rPr>
          <w:rFonts w:hint="eastAsia" w:ascii="宋体" w:hAnsi="宋体" w:cs="宋体"/>
          <w:color w:val="000000"/>
          <w:spacing w:val="-1"/>
          <w:sz w:val="24"/>
          <w:szCs w:val="24"/>
          <w:highlight w:val="none"/>
        </w:rPr>
      </w:pPr>
      <w:r>
        <w:rPr>
          <w:rFonts w:hint="eastAsia" w:ascii="宋体" w:hAnsi="宋体" w:cs="宋体"/>
          <w:color w:val="000000"/>
          <w:spacing w:val="-1"/>
          <w:sz w:val="24"/>
          <w:szCs w:val="24"/>
          <w:highlight w:val="none"/>
        </w:rPr>
        <w:t xml:space="preserve">2）跟审单位未按时提交进度报告：若跟审单位未能按照第2条（工作进度报告）的要求按时提交完整、合格的跟审月报（包括未按时提交、提交内容严重缺失或不符合要求），则视为跟审单位违约一次。采购人有权按每次违约1000元人民币的标准向跟审单位收取违约金（罚款）。</w:t>
      </w:r>
      <w:r>
        <w:rPr>
          <w:rFonts w:hint="eastAsia" w:ascii="宋体" w:hAnsi="宋体" w:cs="宋体"/>
          <w:color w:val="000000"/>
          <w:spacing w:val="-1"/>
          <w:sz w:val="24"/>
          <w:szCs w:val="24"/>
          <w:highlight w:val="none"/>
        </w:rPr>
      </w:r>
      <w:r/>
    </w:p>
    <w:p>
      <w:pPr>
        <w:pStyle w:val="1133"/>
        <w:ind w:left="0" w:firstLine="476"/>
        <w:spacing w:line="460" w:lineRule="exact"/>
        <w:rPr>
          <w:rFonts w:hint="eastAsia" w:ascii="宋体" w:hAnsi="宋体" w:cs="宋体"/>
          <w:color w:val="000000"/>
          <w:spacing w:val="-1"/>
          <w:sz w:val="24"/>
          <w:szCs w:val="24"/>
          <w:highlight w:val="none"/>
        </w:rPr>
      </w:pPr>
      <w:r>
        <w:rPr>
          <w:rFonts w:hint="eastAsia" w:ascii="宋体" w:hAnsi="宋体" w:cs="宋体"/>
          <w:color w:val="000000"/>
          <w:spacing w:val="-1"/>
          <w:sz w:val="24"/>
          <w:szCs w:val="24"/>
          <w:highlight w:val="none"/>
        </w:rPr>
        <w:t xml:space="preserve">3）如未经采购人同意擅自更换驻场人员，视为违约一次，采购人有权按每次违约10000元人民币的标准向跟审单位收取违约金（罚款）。  </w:t>
      </w:r>
      <w:r>
        <w:rPr>
          <w:rFonts w:hint="eastAsia" w:ascii="宋体" w:hAnsi="宋体" w:cs="宋体"/>
          <w:color w:val="000000"/>
          <w:spacing w:val="-1"/>
          <w:sz w:val="24"/>
          <w:szCs w:val="24"/>
          <w:highlight w:val="none"/>
        </w:rPr>
      </w:r>
      <w:r/>
    </w:p>
    <w:p>
      <w:pPr>
        <w:pStyle w:val="1133"/>
        <w:ind w:left="0" w:firstLine="476"/>
        <w:spacing w:line="460" w:lineRule="exact"/>
        <w:rPr>
          <w:rFonts w:hint="eastAsia" w:ascii="宋体" w:hAnsi="宋体" w:cs="宋体"/>
          <w:color w:val="000000"/>
          <w:spacing w:val="-1"/>
          <w:sz w:val="24"/>
          <w:szCs w:val="24"/>
          <w:highlight w:val="none"/>
        </w:rPr>
      </w:pPr>
      <w:r>
        <w:rPr>
          <w:rFonts w:hint="eastAsia" w:ascii="宋体" w:hAnsi="宋体" w:cs="宋体"/>
          <w:color w:val="000000"/>
          <w:spacing w:val="-1"/>
          <w:sz w:val="24"/>
          <w:szCs w:val="24"/>
          <w:highlight w:val="none"/>
        </w:rPr>
        <w:t xml:space="preserve">4）违约金（罚款）的执行：</w:t>
      </w:r>
      <w:r>
        <w:rPr>
          <w:rFonts w:hint="eastAsia" w:ascii="宋体" w:hAnsi="宋体" w:cs="宋体"/>
          <w:color w:val="000000"/>
          <w:spacing w:val="-1"/>
          <w:sz w:val="24"/>
          <w:szCs w:val="24"/>
          <w:highlight w:val="none"/>
        </w:rPr>
      </w:r>
      <w:r/>
    </w:p>
    <w:p>
      <w:pPr>
        <w:pStyle w:val="1133"/>
        <w:ind w:left="0" w:firstLine="476"/>
        <w:spacing w:line="460" w:lineRule="exact"/>
        <w:rPr>
          <w:rFonts w:hint="eastAsia" w:ascii="宋体" w:hAnsi="宋体" w:cs="宋体"/>
          <w:color w:val="000000"/>
          <w:spacing w:val="-1"/>
          <w:sz w:val="24"/>
          <w:szCs w:val="24"/>
          <w:highlight w:val="none"/>
        </w:rPr>
      </w:pPr>
      <w:r>
        <w:rPr>
          <w:rFonts w:hint="eastAsia" w:ascii="宋体" w:hAnsi="宋体" w:cs="宋体"/>
          <w:color w:val="000000"/>
          <w:spacing w:val="-1"/>
          <w:sz w:val="24"/>
          <w:szCs w:val="24"/>
          <w:highlight w:val="none"/>
        </w:rPr>
        <w:t xml:space="preserve">违约金（罚款）按次计算（每周人数不足计一次，每月报告延迟或不合格计一次）。</w:t>
      </w:r>
      <w:r>
        <w:rPr>
          <w:rFonts w:hint="eastAsia" w:ascii="宋体" w:hAnsi="宋体" w:cs="宋体"/>
          <w:color w:val="000000"/>
          <w:spacing w:val="-1"/>
          <w:sz w:val="24"/>
          <w:szCs w:val="24"/>
          <w:highlight w:val="none"/>
        </w:rPr>
      </w:r>
      <w:r/>
    </w:p>
    <w:p>
      <w:pPr>
        <w:pStyle w:val="1133"/>
        <w:ind w:left="0" w:firstLine="476"/>
        <w:spacing w:line="460" w:lineRule="exact"/>
        <w:rPr>
          <w:rFonts w:hint="eastAsia" w:ascii="宋体" w:hAnsi="宋体" w:cs="宋体"/>
          <w:color w:val="000000"/>
          <w:spacing w:val="-1"/>
          <w:sz w:val="24"/>
          <w:szCs w:val="24"/>
          <w:highlight w:val="none"/>
        </w:rPr>
      </w:pPr>
      <w:r>
        <w:rPr>
          <w:rFonts w:hint="eastAsia" w:ascii="宋体" w:hAnsi="宋体" w:cs="宋体"/>
          <w:color w:val="000000"/>
          <w:spacing w:val="-1"/>
          <w:sz w:val="24"/>
          <w:szCs w:val="24"/>
          <w:highlight w:val="none"/>
        </w:rPr>
        <w:t xml:space="preserve">①采购人在发现违约情况后三个工作日内，向跟审单位发出书面违约通知单，载明违约事实、依据及应支付的违约金（罚款）金额。</w:t>
      </w:r>
      <w:r>
        <w:rPr>
          <w:rFonts w:hint="eastAsia" w:ascii="宋体" w:hAnsi="宋体" w:cs="宋体"/>
          <w:color w:val="000000"/>
          <w:spacing w:val="-1"/>
          <w:sz w:val="24"/>
          <w:szCs w:val="24"/>
          <w:highlight w:val="none"/>
        </w:rPr>
      </w:r>
      <w:r/>
    </w:p>
    <w:p>
      <w:pPr>
        <w:pStyle w:val="1133"/>
        <w:ind w:left="0" w:firstLine="476"/>
        <w:spacing w:line="460" w:lineRule="exact"/>
        <w:rPr>
          <w:rFonts w:hint="eastAsia" w:ascii="宋体" w:hAnsi="宋体" w:cs="宋体"/>
          <w:color w:val="000000"/>
          <w:spacing w:val="-1"/>
          <w:sz w:val="24"/>
          <w:szCs w:val="24"/>
          <w:highlight w:val="none"/>
        </w:rPr>
      </w:pPr>
      <w:r>
        <w:rPr>
          <w:rFonts w:hint="eastAsia" w:ascii="宋体" w:hAnsi="宋体" w:cs="宋体"/>
          <w:color w:val="000000"/>
          <w:spacing w:val="-1"/>
          <w:sz w:val="24"/>
          <w:szCs w:val="24"/>
          <w:highlight w:val="none"/>
        </w:rPr>
        <w:t xml:space="preserve">②跟审单位在合同期内收到通知单后累计的违约金（罚款）从采购人应付跟审单位的合同款项中直接扣除。</w:t>
      </w:r>
      <w:r>
        <w:rPr>
          <w:rFonts w:hint="eastAsia" w:ascii="宋体" w:hAnsi="宋体" w:cs="宋体"/>
          <w:color w:val="000000"/>
          <w:spacing w:val="-1"/>
          <w:sz w:val="24"/>
          <w:szCs w:val="24"/>
          <w:highlight w:val="none"/>
        </w:rPr>
      </w:r>
      <w:r/>
    </w:p>
    <w:p>
      <w:pPr>
        <w:pStyle w:val="1133"/>
        <w:ind w:left="0" w:firstLine="476"/>
        <w:spacing w:line="460" w:lineRule="exact"/>
        <w:rPr>
          <w:rFonts w:hint="eastAsia" w:ascii="宋体" w:hAnsi="宋体" w:cs="宋体"/>
          <w:color w:val="000000"/>
          <w:spacing w:val="-1"/>
          <w:sz w:val="24"/>
          <w:szCs w:val="24"/>
          <w:highlight w:val="none"/>
        </w:rPr>
      </w:pPr>
      <w:r>
        <w:rPr>
          <w:rFonts w:hint="eastAsia" w:ascii="宋体" w:hAnsi="宋体" w:cs="宋体"/>
          <w:color w:val="000000"/>
          <w:spacing w:val="-1"/>
          <w:sz w:val="24"/>
          <w:szCs w:val="24"/>
          <w:highlight w:val="none"/>
        </w:rPr>
        <w:t xml:space="preserve">③跟审单位支付违约金（罚款）不免除其继续履行合同义务（如补足人员、补交合格报告）的责任。</w:t>
      </w:r>
      <w:r>
        <w:rPr>
          <w:rFonts w:hint="eastAsia" w:ascii="宋体" w:hAnsi="宋体" w:cs="宋体"/>
          <w:color w:val="000000"/>
          <w:spacing w:val="-1"/>
          <w:sz w:val="24"/>
          <w:szCs w:val="24"/>
          <w:highlight w:val="none"/>
        </w:rPr>
      </w:r>
      <w:r/>
    </w:p>
    <w:p>
      <w:pPr>
        <w:pStyle w:val="1133"/>
        <w:ind w:left="0" w:firstLine="476"/>
        <w:spacing w:line="460" w:lineRule="exact"/>
        <w:rPr>
          <w:rFonts w:hint="eastAsia" w:ascii="宋体" w:hAnsi="宋体" w:cs="宋体"/>
          <w:color w:val="000000"/>
          <w:spacing w:val="-1"/>
          <w:sz w:val="24"/>
          <w:szCs w:val="24"/>
          <w:highlight w:val="none"/>
        </w:rPr>
      </w:pPr>
      <w:r>
        <w:rPr>
          <w:rFonts w:hint="eastAsia" w:ascii="宋体" w:hAnsi="宋体" w:cs="宋体"/>
          <w:color w:val="000000"/>
          <w:spacing w:val="-1"/>
          <w:sz w:val="24"/>
          <w:szCs w:val="24"/>
          <w:highlight w:val="none"/>
        </w:rPr>
        <w:t xml:space="preserve">4.累积违约责任：</w:t>
      </w:r>
      <w:r>
        <w:rPr>
          <w:rFonts w:hint="eastAsia" w:ascii="宋体" w:hAnsi="宋体" w:cs="宋体"/>
          <w:color w:val="000000"/>
          <w:spacing w:val="-1"/>
          <w:sz w:val="24"/>
          <w:szCs w:val="24"/>
          <w:highlight w:val="none"/>
        </w:rPr>
      </w:r>
      <w:r/>
    </w:p>
    <w:p>
      <w:pPr>
        <w:pStyle w:val="1133"/>
        <w:ind w:left="0" w:firstLine="476"/>
        <w:spacing w:line="460" w:lineRule="exact"/>
        <w:rPr>
          <w:rFonts w:hint="eastAsia" w:ascii="宋体" w:hAnsi="宋体" w:cs="宋体"/>
          <w:color w:val="000000"/>
          <w:spacing w:val="-1"/>
          <w:sz w:val="24"/>
          <w:szCs w:val="24"/>
          <w:highlight w:val="none"/>
        </w:rPr>
      </w:pPr>
      <w:r>
        <w:rPr>
          <w:rFonts w:hint="eastAsia" w:ascii="宋体" w:hAnsi="宋体" w:cs="宋体"/>
          <w:color w:val="000000"/>
          <w:spacing w:val="-1"/>
          <w:sz w:val="24"/>
          <w:szCs w:val="24"/>
          <w:highlight w:val="none"/>
        </w:rPr>
        <w:t xml:space="preserve">1）同一自然月内，因跟审人员累计发生违约达到不足二次，或跟审报告延迟/不合格累计达到一次，或累计违约总次数达到三次，采购人有权发出书面警告。</w:t>
      </w:r>
      <w:r>
        <w:rPr>
          <w:rFonts w:hint="eastAsia" w:ascii="宋体" w:hAnsi="宋体" w:cs="宋体"/>
          <w:color w:val="000000"/>
          <w:spacing w:val="-1"/>
          <w:sz w:val="24"/>
          <w:szCs w:val="24"/>
          <w:highlight w:val="none"/>
        </w:rPr>
      </w:r>
      <w:r/>
    </w:p>
    <w:p>
      <w:pPr>
        <w:pStyle w:val="1133"/>
        <w:ind w:left="0" w:firstLine="476"/>
        <w:spacing w:line="460" w:lineRule="exact"/>
        <w:rPr>
          <w:rFonts w:hint="eastAsia" w:ascii="宋体" w:hAnsi="宋体" w:cs="宋体"/>
          <w:color w:val="000000"/>
          <w:spacing w:val="-1"/>
          <w:sz w:val="24"/>
          <w:szCs w:val="24"/>
          <w:highlight w:val="none"/>
        </w:rPr>
      </w:pPr>
      <w:r>
        <w:rPr>
          <w:rFonts w:hint="eastAsia" w:ascii="宋体" w:hAnsi="宋体" w:cs="宋体"/>
          <w:color w:val="000000"/>
          <w:spacing w:val="-1"/>
          <w:sz w:val="24"/>
          <w:szCs w:val="24"/>
          <w:highlight w:val="none"/>
        </w:rPr>
        <w:t xml:space="preserve">2）在合同期内，累计收到采购人三次书面警告，或单次严重违约（连续两周以上人员严重不足、连续两个月未提交报告）对项目造成重大影响，采购人有权单方面解除合同，并保留进一步追究跟审单位违约责任（包括但不限于赔偿损失）的权利。</w:t>
      </w:r>
      <w:r>
        <w:rPr>
          <w:rFonts w:hint="eastAsia" w:ascii="宋体" w:hAnsi="宋体" w:cs="宋体"/>
          <w:color w:val="000000"/>
          <w:spacing w:val="-1"/>
          <w:sz w:val="24"/>
          <w:szCs w:val="24"/>
          <w:highlight w:val="none"/>
        </w:rPr>
      </w:r>
      <w:r/>
    </w:p>
    <w:p>
      <w:pPr>
        <w:pStyle w:val="1133"/>
        <w:ind w:left="0" w:firstLine="476"/>
        <w:spacing w:line="440" w:lineRule="exact"/>
        <w:rPr>
          <w:rFonts w:hint="eastAsia" w:ascii="宋体" w:hAnsi="宋体" w:cs="宋体"/>
          <w:color w:val="000000"/>
          <w:spacing w:val="-1"/>
          <w:sz w:val="24"/>
          <w:szCs w:val="24"/>
          <w:highlight w:val="none"/>
        </w:rPr>
      </w:pPr>
      <w:r>
        <w:rPr>
          <w:rFonts w:hint="eastAsia" w:ascii="宋体" w:hAnsi="宋体" w:cs="宋体"/>
          <w:color w:val="000000"/>
          <w:spacing w:val="-1"/>
          <w:sz w:val="24"/>
          <w:szCs w:val="24"/>
          <w:highlight w:val="none"/>
        </w:rPr>
        <w:t xml:space="preserve">5.本项目维护费包括所有成本、利润、管理费、保险、风险及利润等一切费用，更换故障设备不另外计费。</w:t>
      </w:r>
      <w:r>
        <w:rPr>
          <w:rFonts w:hint="eastAsia" w:ascii="宋体" w:hAnsi="宋体" w:cs="宋体"/>
          <w:color w:val="000000"/>
          <w:spacing w:val="-1"/>
          <w:sz w:val="24"/>
          <w:szCs w:val="24"/>
          <w:highlight w:val="none"/>
        </w:rPr>
      </w:r>
      <w:r/>
    </w:p>
    <w:p>
      <w:pPr>
        <w:pStyle w:val="1133"/>
        <w:ind w:left="0"/>
        <w:rPr>
          <w:rFonts w:ascii="黑体" w:hAnsi="黑体" w:eastAsia="黑体" w:cs="宋体"/>
          <w:b/>
          <w:color w:val="000000"/>
          <w:sz w:val="24"/>
          <w:szCs w:val="24"/>
          <w:highlight w:val="none"/>
        </w:rPr>
      </w:pPr>
      <w:r>
        <w:rPr>
          <w:rFonts w:hint="eastAsia" w:ascii="黑体" w:hAnsi="黑体" w:eastAsia="黑体" w:cs="宋体"/>
          <w:b/>
          <w:color w:val="000000"/>
          <w:sz w:val="24"/>
          <w:szCs w:val="24"/>
          <w:highlight w:val="none"/>
        </w:rPr>
        <w:t xml:space="preserve">七、</w:t>
      </w:r>
      <w:bookmarkStart w:id="183" w:name="_Toc120614281"/>
      <w:r>
        <w:rPr>
          <w:rFonts w:hint="eastAsia" w:ascii="黑体" w:hAnsi="黑体" w:eastAsia="黑体" w:cs="宋体"/>
          <w:b/>
          <w:color w:val="000000"/>
          <w:sz w:val="24"/>
          <w:szCs w:val="24"/>
          <w:highlight w:val="none"/>
        </w:rPr>
        <w:t xml:space="preserve">投标人业绩要求</w:t>
      </w:r>
      <w:r>
        <w:rPr>
          <w:rFonts w:ascii="黑体" w:hAnsi="黑体" w:eastAsia="黑体" w:cs="宋体"/>
          <w:b/>
          <w:color w:val="000000"/>
          <w:sz w:val="24"/>
          <w:szCs w:val="24"/>
          <w:highlight w:val="none"/>
        </w:rPr>
      </w:r>
      <w:r/>
    </w:p>
    <w:p>
      <w:pPr>
        <w:pStyle w:val="1133"/>
        <w:ind w:left="0" w:firstLine="476"/>
        <w:rPr>
          <w:rFonts w:hint="eastAsia" w:ascii="宋体" w:hAnsi="宋体" w:cs="宋体"/>
          <w:color w:val="000000"/>
          <w:spacing w:val="-1"/>
          <w:sz w:val="24"/>
          <w:szCs w:val="24"/>
          <w:highlight w:val="none"/>
        </w:rPr>
      </w:pPr>
      <w:r>
        <w:rPr>
          <w:rFonts w:ascii="宋体" w:hAnsi="宋体" w:cs="宋体"/>
          <w:color w:val="000000"/>
          <w:spacing w:val="-1"/>
          <w:sz w:val="24"/>
          <w:szCs w:val="24"/>
          <w:highlight w:val="none"/>
        </w:rPr>
        <w:t xml:space="preserve">为保证审核质量，中标后拟派项目组的常驻现场注册造价工程师在中标项目现场跟踪审核期间不得承接其他现场跟踪审核项目。所以投标人自202</w:t>
      </w:r>
      <w:r>
        <w:rPr>
          <w:rFonts w:hint="eastAsia" w:ascii="宋体" w:hAnsi="宋体" w:cs="宋体"/>
          <w:color w:val="000000"/>
          <w:spacing w:val="-1"/>
          <w:sz w:val="24"/>
          <w:szCs w:val="24"/>
          <w:highlight w:val="none"/>
        </w:rPr>
        <w:t xml:space="preserve">1</w:t>
      </w:r>
      <w:r>
        <w:rPr>
          <w:rFonts w:ascii="宋体" w:hAnsi="宋体" w:cs="宋体"/>
          <w:color w:val="000000"/>
          <w:spacing w:val="-1"/>
          <w:sz w:val="24"/>
          <w:szCs w:val="24"/>
          <w:highlight w:val="none"/>
        </w:rPr>
        <w:t xml:space="preserve">年1月1日以来（以合同签订时间为准），独立承担过同类工程审计业绩的业绩</w:t>
      </w:r>
      <w:r>
        <w:rPr>
          <w:rFonts w:hint="eastAsia" w:ascii="宋体" w:hAnsi="宋体" w:cs="宋体"/>
          <w:color w:val="000000"/>
          <w:spacing w:val="-1"/>
          <w:sz w:val="24"/>
          <w:szCs w:val="24"/>
          <w:highlight w:val="none"/>
        </w:rPr>
        <w:t xml:space="preserve">的</w:t>
      </w:r>
      <w:r>
        <w:rPr>
          <w:rFonts w:ascii="宋体" w:hAnsi="宋体" w:cs="宋体"/>
          <w:b/>
          <w:bCs/>
          <w:color w:val="000000"/>
          <w:spacing w:val="-1"/>
          <w:sz w:val="24"/>
          <w:szCs w:val="24"/>
          <w:highlight w:val="none"/>
        </w:rPr>
        <w:t xml:space="preserve">优先</w:t>
      </w:r>
      <w:r>
        <w:rPr>
          <w:rFonts w:ascii="宋体" w:hAnsi="宋体" w:cs="宋体"/>
          <w:color w:val="000000"/>
          <w:spacing w:val="-1"/>
          <w:sz w:val="24"/>
          <w:szCs w:val="24"/>
          <w:highlight w:val="none"/>
        </w:rPr>
        <w:t xml:space="preserve">。</w:t>
      </w:r>
      <w:r>
        <w:rPr>
          <w:rFonts w:hint="eastAsia" w:ascii="宋体" w:hAnsi="宋体" w:cs="宋体"/>
          <w:color w:val="000000"/>
          <w:spacing w:val="-1"/>
          <w:sz w:val="24"/>
          <w:szCs w:val="24"/>
          <w:highlight w:val="none"/>
        </w:rPr>
      </w:r>
      <w:r/>
    </w:p>
    <w:p>
      <w:pPr>
        <w:pStyle w:val="1024"/>
        <w:spacing w:line="440" w:lineRule="exact"/>
        <w:rPr>
          <w:rFonts w:ascii="黑体" w:hAnsi="黑体" w:eastAsia="黑体" w:cs="宋体"/>
          <w:b/>
          <w:color w:val="000000"/>
          <w:sz w:val="24"/>
          <w:szCs w:val="24"/>
          <w:highlight w:val="none"/>
        </w:rPr>
      </w:pPr>
      <w:r>
        <w:rPr>
          <w:rFonts w:hint="eastAsia" w:ascii="黑体" w:hAnsi="黑体" w:eastAsia="黑体" w:cs="宋体"/>
          <w:b/>
          <w:color w:val="000000"/>
          <w:sz w:val="24"/>
          <w:szCs w:val="24"/>
          <w:highlight w:val="none"/>
        </w:rPr>
        <w:t xml:space="preserve">八、拟派项目人员配置</w:t>
      </w:r>
      <w:r>
        <w:rPr>
          <w:rFonts w:ascii="黑体" w:hAnsi="黑体" w:eastAsia="黑体" w:cs="宋体"/>
          <w:b/>
          <w:color w:val="000000"/>
          <w:sz w:val="24"/>
          <w:szCs w:val="24"/>
          <w:highlight w:val="none"/>
        </w:rPr>
      </w:r>
      <w:r/>
    </w:p>
    <w:p>
      <w:pPr>
        <w:pStyle w:val="1133"/>
        <w:ind w:left="0" w:firstLine="476"/>
        <w:rPr>
          <w:rFonts w:hint="eastAsia" w:ascii="宋体" w:hAnsi="宋体" w:cs="宋体"/>
          <w:color w:val="000000"/>
          <w:spacing w:val="-1"/>
          <w:sz w:val="24"/>
          <w:szCs w:val="24"/>
          <w:highlight w:val="none"/>
        </w:rPr>
      </w:pPr>
      <w:r>
        <w:rPr>
          <w:rFonts w:hint="eastAsia" w:ascii="宋体" w:hAnsi="宋体" w:cs="宋体"/>
          <w:color w:val="000000"/>
          <w:spacing w:val="-1"/>
          <w:sz w:val="24"/>
          <w:szCs w:val="24"/>
          <w:highlight w:val="none"/>
        </w:rPr>
        <w:t xml:space="preserve">为保证本项目顺利推进实施，拟派项目组成员的技术性和经验性工作非常重要，拟派常驻项目负责人</w:t>
      </w:r>
      <w:r>
        <w:rPr>
          <w:rFonts w:ascii="宋体" w:hAnsi="宋体" w:cs="宋体"/>
          <w:color w:val="000000"/>
          <w:spacing w:val="-1"/>
          <w:sz w:val="24"/>
          <w:szCs w:val="24"/>
          <w:highlight w:val="none"/>
        </w:rPr>
        <w:t xml:space="preserve">（</w:t>
      </w:r>
      <w:r>
        <w:rPr>
          <w:rFonts w:hint="eastAsia" w:ascii="宋体" w:hAnsi="宋体" w:cs="宋体"/>
          <w:color w:val="000000"/>
          <w:spacing w:val="-1"/>
          <w:sz w:val="24"/>
          <w:szCs w:val="24"/>
          <w:highlight w:val="none"/>
        </w:rPr>
        <w:t xml:space="preserve">或</w:t>
      </w:r>
      <w:r>
        <w:rPr>
          <w:rFonts w:hint="eastAsia" w:ascii="宋体" w:hAnsi="宋体"/>
          <w:color w:val="000000"/>
          <w:sz w:val="24"/>
          <w:szCs w:val="24"/>
          <w:highlight w:val="none"/>
        </w:rPr>
        <w:t xml:space="preserve">常驻协审人员</w:t>
      </w:r>
      <w:r>
        <w:rPr>
          <w:rFonts w:ascii="宋体" w:hAnsi="宋体" w:cs="宋体"/>
          <w:color w:val="000000"/>
          <w:spacing w:val="-1"/>
          <w:sz w:val="24"/>
          <w:szCs w:val="24"/>
          <w:highlight w:val="none"/>
        </w:rPr>
        <w:t xml:space="preserve">）</w:t>
      </w:r>
      <w:r>
        <w:rPr>
          <w:rFonts w:hint="eastAsia" w:ascii="宋体" w:hAnsi="宋体" w:cs="宋体"/>
          <w:color w:val="000000"/>
          <w:spacing w:val="-1"/>
          <w:sz w:val="24"/>
          <w:szCs w:val="24"/>
          <w:highlight w:val="none"/>
        </w:rPr>
        <w:t xml:space="preserve">具有一级注册造价工程师的</w:t>
      </w:r>
      <w:r>
        <w:rPr>
          <w:rFonts w:hint="eastAsia" w:ascii="宋体" w:hAnsi="宋体" w:cs="宋体"/>
          <w:b/>
          <w:bCs/>
          <w:color w:val="000000"/>
          <w:spacing w:val="-1"/>
          <w:sz w:val="24"/>
          <w:szCs w:val="24"/>
          <w:highlight w:val="none"/>
        </w:rPr>
        <w:t xml:space="preserve">优先</w:t>
      </w:r>
      <w:r>
        <w:rPr>
          <w:rFonts w:hint="eastAsia" w:ascii="宋体" w:hAnsi="宋体" w:cs="宋体"/>
          <w:color w:val="000000"/>
          <w:spacing w:val="-1"/>
          <w:sz w:val="24"/>
          <w:szCs w:val="24"/>
          <w:highlight w:val="none"/>
        </w:rPr>
        <w:t xml:space="preserve">；拟派常驻项目负责人具有工程类中级及以上技术职称的的</w:t>
      </w:r>
      <w:r>
        <w:rPr>
          <w:rFonts w:hint="eastAsia" w:ascii="宋体" w:hAnsi="宋体" w:cs="宋体"/>
          <w:b/>
          <w:bCs/>
          <w:color w:val="000000"/>
          <w:spacing w:val="-1"/>
          <w:sz w:val="24"/>
          <w:szCs w:val="24"/>
          <w:highlight w:val="none"/>
        </w:rPr>
        <w:t xml:space="preserve">优先</w:t>
      </w:r>
      <w:r>
        <w:rPr>
          <w:rFonts w:hint="eastAsia" w:ascii="宋体" w:hAnsi="宋体" w:cs="宋体"/>
          <w:color w:val="000000"/>
          <w:spacing w:val="-1"/>
          <w:sz w:val="24"/>
          <w:szCs w:val="24"/>
          <w:highlight w:val="none"/>
        </w:rPr>
        <w:t xml:space="preserve">；</w:t>
      </w:r>
      <w:r>
        <w:rPr>
          <w:rFonts w:hint="eastAsia" w:ascii="宋体" w:hAnsi="宋体" w:cs="宋体"/>
          <w:color w:val="000000"/>
          <w:sz w:val="24"/>
          <w:szCs w:val="24"/>
          <w:highlight w:val="none"/>
        </w:rPr>
        <w:t xml:space="preserve">拟派常驻项目负责人</w:t>
      </w:r>
      <w:r>
        <w:rPr>
          <w:rFonts w:ascii="宋体" w:hAnsi="宋体" w:cs="宋体"/>
          <w:color w:val="000000"/>
          <w:spacing w:val="-1"/>
          <w:sz w:val="24"/>
          <w:szCs w:val="24"/>
          <w:highlight w:val="none"/>
        </w:rPr>
        <w:t xml:space="preserve">自202</w:t>
      </w:r>
      <w:r>
        <w:rPr>
          <w:rFonts w:hint="eastAsia" w:ascii="宋体" w:hAnsi="宋体" w:cs="宋体"/>
          <w:color w:val="000000"/>
          <w:spacing w:val="-1"/>
          <w:sz w:val="24"/>
          <w:szCs w:val="24"/>
          <w:highlight w:val="none"/>
        </w:rPr>
        <w:t xml:space="preserve">1</w:t>
      </w:r>
      <w:r>
        <w:rPr>
          <w:rFonts w:ascii="宋体" w:hAnsi="宋体" w:cs="宋体"/>
          <w:color w:val="000000"/>
          <w:spacing w:val="-1"/>
          <w:sz w:val="24"/>
          <w:szCs w:val="24"/>
          <w:highlight w:val="none"/>
        </w:rPr>
        <w:t xml:space="preserve">年1月1日以来</w:t>
      </w:r>
      <w:r>
        <w:rPr>
          <w:rFonts w:hint="eastAsia" w:ascii="宋体" w:hAnsi="宋体" w:cs="宋体"/>
          <w:color w:val="000000"/>
          <w:spacing w:val="-1"/>
          <w:sz w:val="24"/>
          <w:szCs w:val="24"/>
          <w:highlight w:val="none"/>
        </w:rPr>
        <w:t xml:space="preserve">，</w:t>
      </w:r>
      <w:r>
        <w:rPr>
          <w:rFonts w:hint="eastAsia" w:ascii="宋体" w:hAnsi="宋体" w:cs="宋体"/>
          <w:color w:val="000000"/>
          <w:sz w:val="24"/>
          <w:szCs w:val="24"/>
          <w:highlight w:val="none"/>
        </w:rPr>
        <w:t xml:space="preserve">担任同类型项目跟踪审核（必须含结算审核）、或全过程工程造价控制（必须含结算审核）、或结算审核业绩的</w:t>
      </w:r>
      <w:r>
        <w:rPr>
          <w:rFonts w:hint="eastAsia" w:ascii="宋体" w:hAnsi="宋体" w:cs="宋体"/>
          <w:b/>
          <w:bCs/>
          <w:color w:val="000000"/>
          <w:sz w:val="24"/>
          <w:szCs w:val="24"/>
          <w:highlight w:val="none"/>
        </w:rPr>
        <w:t xml:space="preserve">优先</w:t>
      </w:r>
      <w:r>
        <w:rPr>
          <w:rFonts w:ascii="宋体" w:hAnsi="宋体" w:cs="宋体"/>
          <w:color w:val="000000"/>
          <w:spacing w:val="-1"/>
          <w:sz w:val="24"/>
          <w:szCs w:val="24"/>
          <w:highlight w:val="none"/>
        </w:rPr>
        <w:t xml:space="preserve">。</w:t>
      </w:r>
      <w:r>
        <w:rPr>
          <w:rFonts w:hint="eastAsia" w:ascii="宋体" w:hAnsi="宋体" w:cs="宋体"/>
          <w:color w:val="000000"/>
          <w:spacing w:val="-1"/>
          <w:sz w:val="24"/>
          <w:szCs w:val="24"/>
          <w:highlight w:val="none"/>
        </w:rPr>
      </w:r>
      <w:r/>
    </w:p>
    <w:p>
      <w:pPr>
        <w:pStyle w:val="1024"/>
        <w:spacing w:line="440" w:lineRule="exact"/>
        <w:rPr>
          <w:rFonts w:ascii="黑体" w:hAnsi="黑体" w:eastAsia="黑体" w:cs="宋体"/>
          <w:b/>
          <w:color w:val="000000"/>
          <w:sz w:val="24"/>
          <w:szCs w:val="24"/>
          <w:highlight w:val="none"/>
        </w:rPr>
      </w:pPr>
      <w:r>
        <w:rPr>
          <w:rFonts w:hint="eastAsia" w:ascii="黑体" w:hAnsi="黑体" w:eastAsia="黑体" w:cs="宋体"/>
          <w:b/>
          <w:color w:val="000000"/>
          <w:sz w:val="24"/>
          <w:szCs w:val="24"/>
          <w:highlight w:val="none"/>
        </w:rPr>
        <w:t xml:space="preserve">九、</w:t>
      </w:r>
      <w:r>
        <w:rPr>
          <w:rFonts w:ascii="黑体" w:hAnsi="黑体" w:eastAsia="黑体" w:cs="宋体"/>
          <w:b/>
          <w:color w:val="000000"/>
          <w:sz w:val="24"/>
          <w:szCs w:val="24"/>
          <w:highlight w:val="none"/>
        </w:rPr>
        <w:t xml:space="preserve">采购标的对应的中小企业划分标准所属行业一览表</w:t>
      </w:r>
      <w:r>
        <w:rPr>
          <w:rFonts w:ascii="黑体" w:hAnsi="黑体" w:eastAsia="黑体" w:cs="宋体"/>
          <w:b/>
          <w:color w:val="000000"/>
          <w:sz w:val="24"/>
          <w:szCs w:val="24"/>
          <w:highlight w:val="none"/>
        </w:rPr>
      </w:r>
      <w:r/>
    </w:p>
    <w:tbl>
      <w:tblPr>
        <w:tblW w:w="5000" w:type="pct"/>
        <w:jc w:val="center"/>
        <w:tblInd w:w="-108"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autofit"/>
        <w:tblCellMar>
          <w:left w:w="108" w:type="dxa"/>
          <w:top w:w="0" w:type="dxa"/>
          <w:right w:w="108" w:type="dxa"/>
          <w:bottom w:w="0" w:type="dxa"/>
        </w:tblCellMar>
        <w:tblLook w:val="04A0" w:firstRow="1" w:lastRow="0" w:firstColumn="1" w:lastColumn="0" w:noHBand="0" w:noVBand="1"/>
      </w:tblPr>
      <w:tblGrid>
        <w:gridCol w:w="815"/>
        <w:gridCol w:w="5657"/>
        <w:gridCol w:w="3484"/>
      </w:tblGrid>
      <w:tr>
        <w:trPr>
          <w:trHeight w:val="851" w:hRule="exact"/>
        </w:trPr>
        <w:tc>
          <w:tcPr>
            <w:tcMar>
              <w:left w:w="108" w:type="dxa"/>
              <w:top w:w="0" w:type="dxa"/>
              <w:right w:w="108" w:type="dxa"/>
              <w:bottom w:w="0" w:type="dxa"/>
            </w:tcMar>
            <w:tcW w:w="409" w:type="dxa"/>
            <w:vAlign w:val="center"/>
            <w:textDirection w:val="lrTb"/>
            <w:noWrap w:val="false"/>
          </w:tcPr>
          <w:p>
            <w:pPr>
              <w:pStyle w:val="1024"/>
              <w:jc w:val="center"/>
              <w:spacing w:before="240" w:after="240" w:line="400" w:lineRule="atLeast"/>
              <w:rPr>
                <w:b/>
                <w:color w:val="000000"/>
                <w:sz w:val="24"/>
                <w:szCs w:val="24"/>
                <w:highlight w:val="none"/>
              </w:rPr>
              <w:pBdr>
                <w:top w:val="none" w:color="000000" w:sz="4" w:space="0"/>
                <w:left w:val="none" w:color="000000" w:sz="4" w:space="0"/>
                <w:bottom w:val="none" w:color="000000" w:sz="4" w:space="0"/>
                <w:right w:val="none" w:color="000000" w:sz="4" w:space="0"/>
              </w:pBdr>
            </w:pPr>
            <w:r>
              <w:rPr>
                <w:rFonts w:ascii="宋体" w:hAnsi="宋体" w:cs="宋体"/>
                <w:b/>
                <w:color w:val="000000"/>
                <w:sz w:val="24"/>
                <w:szCs w:val="24"/>
                <w:highlight w:val="none"/>
              </w:rPr>
              <w:t xml:space="preserve">序号</w:t>
            </w:r>
            <w:r>
              <w:rPr>
                <w:b/>
                <w:color w:val="000000"/>
                <w:sz w:val="24"/>
                <w:szCs w:val="24"/>
                <w:highlight w:val="none"/>
              </w:rPr>
            </w:r>
            <w:r/>
          </w:p>
        </w:tc>
        <w:tc>
          <w:tcPr>
            <w:tcMar>
              <w:left w:w="108" w:type="dxa"/>
              <w:top w:w="0" w:type="dxa"/>
              <w:right w:w="108" w:type="dxa"/>
              <w:bottom w:w="0" w:type="dxa"/>
            </w:tcMar>
            <w:tcW w:w="2840" w:type="dxa"/>
            <w:vAlign w:val="center"/>
            <w:textDirection w:val="lrTb"/>
            <w:noWrap w:val="false"/>
          </w:tcPr>
          <w:p>
            <w:pPr>
              <w:pStyle w:val="1024"/>
              <w:jc w:val="center"/>
              <w:spacing w:before="240" w:after="240" w:line="400" w:lineRule="atLeast"/>
              <w:rPr>
                <w:b/>
                <w:color w:val="000000"/>
                <w:sz w:val="24"/>
                <w:szCs w:val="24"/>
                <w:highlight w:val="none"/>
              </w:rPr>
              <w:pBdr>
                <w:top w:val="none" w:color="000000" w:sz="4" w:space="0"/>
                <w:left w:val="none" w:color="000000" w:sz="4" w:space="0"/>
                <w:bottom w:val="none" w:color="000000" w:sz="4" w:space="0"/>
                <w:right w:val="none" w:color="000000" w:sz="4" w:space="0"/>
              </w:pBdr>
            </w:pPr>
            <w:r>
              <w:rPr>
                <w:rFonts w:ascii="宋体" w:hAnsi="宋体" w:cs="宋体"/>
                <w:b/>
                <w:color w:val="000000"/>
                <w:sz w:val="24"/>
                <w:szCs w:val="24"/>
                <w:highlight w:val="none"/>
              </w:rPr>
              <w:t xml:space="preserve">采购标的</w:t>
            </w:r>
            <w:r>
              <w:rPr>
                <w:b/>
                <w:color w:val="000000"/>
                <w:sz w:val="24"/>
                <w:szCs w:val="24"/>
                <w:highlight w:val="none"/>
              </w:rPr>
            </w:r>
            <w:r/>
          </w:p>
        </w:tc>
        <w:tc>
          <w:tcPr>
            <w:tcMar>
              <w:left w:w="108" w:type="dxa"/>
              <w:top w:w="0" w:type="dxa"/>
              <w:right w:w="108" w:type="dxa"/>
              <w:bottom w:w="0" w:type="dxa"/>
            </w:tcMar>
            <w:tcW w:w="1749" w:type="dxa"/>
            <w:vAlign w:val="center"/>
            <w:textDirection w:val="lrTb"/>
            <w:noWrap w:val="false"/>
          </w:tcPr>
          <w:p>
            <w:pPr>
              <w:pStyle w:val="1024"/>
              <w:jc w:val="center"/>
              <w:spacing w:before="240" w:after="240" w:line="400" w:lineRule="atLeast"/>
              <w:rPr>
                <w:b/>
                <w:color w:val="000000"/>
                <w:sz w:val="24"/>
                <w:szCs w:val="24"/>
                <w:highlight w:val="none"/>
              </w:rPr>
              <w:pBdr>
                <w:top w:val="none" w:color="000000" w:sz="4" w:space="0"/>
                <w:left w:val="none" w:color="000000" w:sz="4" w:space="0"/>
                <w:bottom w:val="none" w:color="000000" w:sz="4" w:space="0"/>
                <w:right w:val="none" w:color="000000" w:sz="4" w:space="0"/>
              </w:pBdr>
            </w:pPr>
            <w:r>
              <w:rPr>
                <w:rFonts w:ascii="宋体" w:hAnsi="宋体" w:cs="宋体"/>
                <w:b/>
                <w:color w:val="000000"/>
                <w:sz w:val="24"/>
                <w:szCs w:val="24"/>
                <w:highlight w:val="none"/>
              </w:rPr>
              <w:t xml:space="preserve">对应中小企业划分标准所属行业</w:t>
            </w:r>
            <w:r>
              <w:rPr>
                <w:b/>
                <w:color w:val="000000"/>
                <w:sz w:val="24"/>
                <w:szCs w:val="24"/>
                <w:highlight w:val="none"/>
              </w:rPr>
            </w:r>
            <w:r/>
          </w:p>
        </w:tc>
      </w:tr>
      <w:tr>
        <w:trPr>
          <w:trHeight w:val="1505" w:hRule="exact"/>
        </w:trPr>
        <w:tc>
          <w:tcPr>
            <w:tcMar>
              <w:left w:w="108" w:type="dxa"/>
              <w:top w:w="0" w:type="dxa"/>
              <w:right w:w="108" w:type="dxa"/>
              <w:bottom w:w="0" w:type="dxa"/>
            </w:tcMar>
            <w:tcW w:w="409" w:type="dxa"/>
            <w:vAlign w:val="center"/>
            <w:textDirection w:val="lrTb"/>
            <w:noWrap w:val="false"/>
          </w:tcPr>
          <w:p>
            <w:pPr>
              <w:pStyle w:val="1024"/>
              <w:jc w:val="center"/>
              <w:spacing w:before="240" w:after="240" w:line="400" w:lineRule="atLeast"/>
              <w:rPr>
                <w:color w:val="000000"/>
                <w:sz w:val="24"/>
                <w:szCs w:val="24"/>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highlight w:val="none"/>
              </w:rPr>
              <w:t xml:space="preserve">1</w:t>
            </w:r>
            <w:r>
              <w:rPr>
                <w:color w:val="000000"/>
                <w:sz w:val="24"/>
                <w:szCs w:val="24"/>
                <w:highlight w:val="none"/>
              </w:rPr>
            </w:r>
            <w:r/>
          </w:p>
        </w:tc>
        <w:tc>
          <w:tcPr>
            <w:tcMar>
              <w:left w:w="108" w:type="dxa"/>
              <w:top w:w="0" w:type="dxa"/>
              <w:right w:w="108" w:type="dxa"/>
              <w:bottom w:w="0" w:type="dxa"/>
            </w:tcMar>
            <w:tcW w:w="2840" w:type="dxa"/>
            <w:vAlign w:val="center"/>
            <w:textDirection w:val="lrTb"/>
            <w:noWrap w:val="false"/>
          </w:tcPr>
          <w:p>
            <w:pPr>
              <w:pStyle w:val="1024"/>
              <w:jc w:val="center"/>
              <w:spacing w:before="240" w:after="240" w:line="400" w:lineRule="atLeast"/>
              <w:rPr>
                <w:rFonts w:hint="eastAsia"/>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2026年盐城市普通国省道小修保养及应急养护工程全过程造价控制及竣工决算审计</w:t>
            </w:r>
            <w:r>
              <w:rPr>
                <w:rFonts w:hint="eastAsia"/>
                <w:color w:val="000000"/>
                <w:sz w:val="24"/>
                <w:szCs w:val="24"/>
                <w:highlight w:val="none"/>
              </w:rPr>
            </w:r>
            <w:r/>
          </w:p>
        </w:tc>
        <w:tc>
          <w:tcPr>
            <w:tcMar>
              <w:left w:w="108" w:type="dxa"/>
              <w:top w:w="0" w:type="dxa"/>
              <w:right w:w="108" w:type="dxa"/>
              <w:bottom w:w="0" w:type="dxa"/>
            </w:tcMar>
            <w:tcW w:w="1749" w:type="dxa"/>
            <w:vAlign w:val="center"/>
            <w:textDirection w:val="lrTb"/>
            <w:noWrap w:val="false"/>
          </w:tcPr>
          <w:p>
            <w:pPr>
              <w:pStyle w:val="1024"/>
              <w:jc w:val="center"/>
              <w:spacing w:before="240" w:after="240" w:line="400" w:lineRule="atLeast"/>
              <w:rPr>
                <w:color w:val="000000"/>
                <w:sz w:val="24"/>
                <w:szCs w:val="24"/>
                <w:highlight w: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szCs w:val="24"/>
                <w:highlight w:val="none"/>
              </w:rPr>
              <w:t xml:space="preserve">其他未列明行业 </w:t>
            </w:r>
            <w:r>
              <w:rPr>
                <w:color w:val="000000"/>
                <w:sz w:val="24"/>
                <w:szCs w:val="24"/>
                <w:highlight w:val="none"/>
              </w:rPr>
            </w:r>
            <w:r/>
          </w:p>
        </w:tc>
      </w:tr>
    </w:tbl>
    <w:p>
      <w:pPr>
        <w:pStyle w:val="1024"/>
        <w:ind w:firstLine="482"/>
        <w:spacing w:line="480" w:lineRule="exact"/>
        <w:rPr>
          <w:rFonts w:ascii="宋体" w:hAnsi="宋体" w:cs="宋体"/>
          <w:b/>
          <w:bCs/>
          <w:color w:val="000000"/>
          <w:sz w:val="24"/>
          <w:szCs w:val="24"/>
          <w:highlight w:val="none"/>
          <w:lang w:val="zh-CN"/>
        </w:rPr>
      </w:pPr>
      <w:r>
        <w:rPr>
          <w:rFonts w:ascii="宋体" w:hAnsi="宋体" w:cs="宋体"/>
          <w:b/>
          <w:bCs/>
          <w:color w:val="000000"/>
          <w:sz w:val="24"/>
          <w:szCs w:val="24"/>
          <w:highlight w:val="none"/>
          <w:lang w:val="zh-CN"/>
        </w:rPr>
      </w:r>
      <w:r/>
    </w:p>
    <w:p>
      <w:pPr>
        <w:pStyle w:val="1024"/>
        <w:ind w:firstLine="880"/>
        <w:jc w:val="center"/>
        <w:spacing w:line="570" w:lineRule="exact"/>
        <w:rPr>
          <w:rFonts w:ascii="黑体" w:eastAsia="黑体"/>
          <w:bCs/>
          <w:color w:val="000000"/>
          <w:sz w:val="44"/>
          <w:highlight w:val="none"/>
        </w:rPr>
      </w:pPr>
      <w:r>
        <w:rPr>
          <w:rFonts w:ascii="黑体" w:eastAsia="黑体"/>
          <w:bCs/>
          <w:color w:val="000000"/>
          <w:sz w:val="44"/>
          <w:highlight w:val="none"/>
        </w:rPr>
        <w:br w:type="page" w:clear="all"/>
      </w:r>
      <w:r>
        <w:rPr>
          <w:rFonts w:hint="eastAsia" w:ascii="黑体" w:eastAsia="黑体"/>
          <w:bCs/>
          <w:color w:val="000000"/>
          <w:sz w:val="44"/>
          <w:highlight w:val="none"/>
        </w:rPr>
        <w:t xml:space="preserve">第五章  </w:t>
      </w:r>
      <w:r>
        <w:rPr>
          <w:rFonts w:hint="eastAsia" w:ascii="黑体" w:eastAsia="黑体"/>
          <w:bCs/>
          <w:color w:val="000000"/>
          <w:sz w:val="44"/>
          <w:szCs w:val="28"/>
          <w:highlight w:val="none"/>
        </w:rPr>
        <w:t xml:space="preserve">评标方法与评标标准</w:t>
      </w:r>
      <w:r>
        <w:rPr>
          <w:rFonts w:ascii="黑体" w:eastAsia="黑体"/>
          <w:bCs/>
          <w:color w:val="000000"/>
          <w:sz w:val="44"/>
          <w:highlight w:val="none"/>
        </w:rPr>
      </w:r>
      <w:r/>
    </w:p>
    <w:p>
      <w:pPr>
        <w:pStyle w:val="1024"/>
        <w:rPr>
          <w:color w:val="000000"/>
          <w:highlight w:val="none"/>
        </w:rPr>
      </w:pPr>
      <w:r>
        <w:rPr>
          <w:color w:val="000000"/>
          <w:highlight w:val="none"/>
        </w:rPr>
      </w:r>
      <w:r/>
    </w:p>
    <w:p>
      <w:pPr>
        <w:pStyle w:val="1024"/>
        <w:spacing w:line="360" w:lineRule="auto"/>
        <w:rPr>
          <w:rFonts w:ascii="宋体" w:hAnsi="宋体" w:cs="Courier New"/>
          <w:b/>
          <w:bCs/>
          <w:color w:val="000000"/>
          <w:sz w:val="24"/>
          <w:szCs w:val="24"/>
          <w:highlight w:val="none"/>
        </w:rPr>
      </w:pPr>
      <w:r>
        <w:rPr>
          <w:rFonts w:hint="eastAsia" w:ascii="宋体" w:hAnsi="宋体" w:cs="Courier New"/>
          <w:b/>
          <w:bCs/>
          <w:color w:val="000000"/>
          <w:sz w:val="24"/>
          <w:szCs w:val="24"/>
          <w:highlight w:val="none"/>
        </w:rPr>
        <w:t xml:space="preserve">一、定标原则</w:t>
      </w:r>
      <w:r>
        <w:rPr>
          <w:rFonts w:ascii="宋体" w:hAnsi="宋体" w:cs="Courier New"/>
          <w:b/>
          <w:bCs/>
          <w:color w:val="000000"/>
          <w:sz w:val="24"/>
          <w:szCs w:val="24"/>
          <w:highlight w:val="none"/>
        </w:rPr>
      </w:r>
      <w:r/>
    </w:p>
    <w:p>
      <w:pPr>
        <w:pStyle w:val="1024"/>
        <w:ind w:firstLine="480"/>
        <w:spacing w:line="500" w:lineRule="exact"/>
        <w:rPr>
          <w:rFonts w:ascii="宋体" w:hAnsi="宋体" w:cs="Courier New"/>
          <w:bCs/>
          <w:color w:val="000000"/>
          <w:sz w:val="24"/>
          <w:szCs w:val="24"/>
          <w:highlight w:val="none"/>
        </w:rPr>
      </w:pPr>
      <w:r>
        <w:rPr>
          <w:rFonts w:hint="eastAsia" w:ascii="宋体" w:hAnsi="宋体" w:cs="Courier New"/>
          <w:bCs/>
          <w:color w:val="000000"/>
          <w:sz w:val="24"/>
          <w:szCs w:val="24"/>
          <w:highlight w:val="none"/>
        </w:rPr>
        <w:t xml:space="preserve">本项目采用</w:t>
      </w:r>
      <w:r>
        <w:rPr>
          <w:rFonts w:hint="eastAsia" w:ascii="宋体" w:hAnsi="宋体" w:cs="Courier New"/>
          <w:bCs/>
          <w:color w:val="000000"/>
          <w:sz w:val="24"/>
          <w:szCs w:val="24"/>
          <w:highlight w:val="none"/>
          <w:u w:val="single"/>
        </w:rPr>
        <w:t xml:space="preserve"> 综合评分 </w:t>
      </w:r>
      <w:r>
        <w:rPr>
          <w:rFonts w:hint="eastAsia" w:ascii="宋体" w:hAnsi="宋体" w:cs="Courier New"/>
          <w:bCs/>
          <w:color w:val="000000"/>
          <w:sz w:val="24"/>
          <w:szCs w:val="24"/>
          <w:highlight w:val="none"/>
        </w:rPr>
        <w:t xml:space="preserve">法。</w:t>
      </w:r>
      <w:r>
        <w:rPr>
          <w:rFonts w:hint="eastAsia" w:ascii="宋体" w:hAnsi="宋体" w:cs="Arial"/>
          <w:color w:val="000000"/>
          <w:sz w:val="24"/>
          <w:szCs w:val="24"/>
          <w:highlight w:val="none"/>
        </w:rPr>
        <w:t xml:space="preserve">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w:t>
      </w:r>
      <w:r>
        <w:rPr>
          <w:rFonts w:hint="eastAsia" w:ascii="宋体" w:hAnsi="宋体" w:cs="Courier New"/>
          <w:bCs/>
          <w:color w:val="000000"/>
          <w:sz w:val="24"/>
          <w:szCs w:val="24"/>
          <w:highlight w:val="none"/>
        </w:rPr>
        <w:t xml:space="preserve">分最高的投标人为排名第一的中标候选人，本项目选取1名中标候选人。</w:t>
      </w:r>
      <w:r>
        <w:rPr>
          <w:rFonts w:ascii="宋体" w:hAnsi="宋体" w:cs="Courier New"/>
          <w:bCs/>
          <w:color w:val="000000"/>
          <w:sz w:val="24"/>
          <w:szCs w:val="24"/>
          <w:highlight w:val="none"/>
        </w:rPr>
      </w:r>
      <w:r/>
    </w:p>
    <w:p>
      <w:pPr>
        <w:pStyle w:val="1024"/>
        <w:ind w:firstLine="480"/>
        <w:spacing w:line="500" w:lineRule="exact"/>
        <w:rPr>
          <w:rStyle w:val="1134"/>
          <w:rFonts w:hAnsi="宋体"/>
          <w:b/>
          <w:bCs/>
          <w:color w:val="000000"/>
          <w:sz w:val="24"/>
          <w:szCs w:val="24"/>
          <w:highlight w:val="none"/>
        </w:rPr>
      </w:pPr>
      <w:r>
        <w:rPr>
          <w:rFonts w:hint="eastAsia" w:ascii="宋体" w:hAnsi="宋体" w:cs="宋体"/>
          <w:bCs/>
          <w:color w:val="000000"/>
          <w:sz w:val="24"/>
          <w:szCs w:val="24"/>
          <w:highlight w:val="none"/>
        </w:rPr>
        <w:t xml:space="preserve">注：投标人可以同时投3个采购标包，兼投不兼中。评标顺序按采购标包1→采购标包2→采购标包3。上一采购标包中标的投标单位可继续参与下面采购标包的评审，但不作中标侯选人推荐</w:t>
      </w:r>
      <w:r>
        <w:rPr>
          <w:rStyle w:val="1134"/>
          <w:rFonts w:hAnsi="宋体"/>
          <w:b/>
          <w:bCs/>
          <w:color w:val="000000"/>
          <w:sz w:val="24"/>
          <w:szCs w:val="24"/>
          <w:highlight w:val="none"/>
        </w:rPr>
        <w:t xml:space="preserve">。</w:t>
      </w:r>
      <w:r>
        <w:rPr>
          <w:rStyle w:val="1134"/>
          <w:rFonts w:hAnsi="宋体"/>
          <w:b/>
          <w:bCs/>
          <w:color w:val="000000"/>
          <w:sz w:val="24"/>
          <w:szCs w:val="24"/>
          <w:highlight w:val="none"/>
        </w:rPr>
      </w:r>
      <w:r/>
    </w:p>
    <w:p>
      <w:pPr>
        <w:pStyle w:val="1024"/>
        <w:ind w:firstLine="482"/>
        <w:spacing w:line="500" w:lineRule="exact"/>
        <w:rPr>
          <w:rFonts w:ascii="宋体" w:hAnsi="宋体"/>
          <w:b/>
          <w:color w:val="000000"/>
          <w:sz w:val="24"/>
          <w:szCs w:val="24"/>
          <w:highlight w:val="none"/>
        </w:rPr>
      </w:pPr>
      <w:r>
        <w:rPr>
          <w:rFonts w:hint="eastAsia" w:ascii="宋体" w:hAnsi="宋体"/>
          <w:b/>
          <w:color w:val="000000"/>
          <w:sz w:val="24"/>
          <w:szCs w:val="24"/>
          <w:highlight w:val="none"/>
        </w:rPr>
        <w:t xml:space="preserve">政府采购政策功能落实</w:t>
      </w:r>
      <w:r>
        <w:rPr>
          <w:rFonts w:ascii="宋体" w:hAnsi="宋体"/>
          <w:b/>
          <w:color w:val="000000"/>
          <w:sz w:val="24"/>
          <w:szCs w:val="24"/>
          <w:highlight w:val="none"/>
        </w:rPr>
      </w:r>
      <w:r/>
    </w:p>
    <w:p>
      <w:pPr>
        <w:pStyle w:val="1024"/>
        <w:ind w:firstLine="482"/>
        <w:spacing w:line="500" w:lineRule="exact"/>
        <w:rPr>
          <w:rFonts w:hint="eastAsia" w:ascii="宋体" w:hAnsi="宋体"/>
          <w:b/>
          <w:color w:val="000000"/>
          <w:sz w:val="24"/>
          <w:szCs w:val="24"/>
          <w:highlight w:val="none"/>
        </w:rPr>
      </w:pPr>
      <w:r>
        <w:rPr>
          <w:rFonts w:hint="eastAsia" w:ascii="宋体" w:hAnsi="宋体"/>
          <w:b/>
          <w:color w:val="000000"/>
          <w:sz w:val="24"/>
          <w:szCs w:val="24"/>
          <w:highlight w:val="none"/>
        </w:rPr>
        <w:t xml:space="preserve">1、小微型企业价格扣除</w:t>
      </w:r>
      <w:r>
        <w:rPr>
          <w:rFonts w:hint="eastAsia" w:ascii="宋体" w:hAnsi="宋体"/>
          <w:b/>
          <w:color w:val="000000"/>
          <w:sz w:val="24"/>
          <w:szCs w:val="24"/>
          <w:highlight w:val="none"/>
        </w:rPr>
      </w:r>
      <w:r/>
    </w:p>
    <w:p>
      <w:pPr>
        <w:pStyle w:val="1024"/>
        <w:ind w:firstLine="480"/>
        <w:spacing w:line="500" w:lineRule="exact"/>
        <w:rPr>
          <w:rFonts w:hint="eastAsia" w:ascii="宋体" w:hAnsi="宋体" w:cs="Arial"/>
          <w:color w:val="000000"/>
          <w:sz w:val="24"/>
          <w:szCs w:val="24"/>
          <w:highlight w:val="none"/>
        </w:rPr>
      </w:pPr>
      <w:r>
        <w:rPr>
          <w:rFonts w:hint="eastAsia" w:ascii="宋体" w:hAnsi="宋体" w:cs="Arial"/>
          <w:color w:val="000000"/>
          <w:sz w:val="24"/>
          <w:szCs w:val="24"/>
          <w:highlight w:val="none"/>
        </w:rPr>
        <w:t xml:space="preserve">（1）本项目专门面向中小企业采购，不再对小型和微型企业服务给予价格扣除。</w:t>
      </w:r>
      <w:r>
        <w:rPr>
          <w:rFonts w:hint="eastAsia" w:ascii="宋体" w:hAnsi="宋体" w:cs="Arial"/>
          <w:color w:val="000000"/>
          <w:sz w:val="24"/>
          <w:szCs w:val="24"/>
          <w:highlight w:val="none"/>
        </w:rPr>
      </w:r>
      <w:r/>
    </w:p>
    <w:p>
      <w:pPr>
        <w:pStyle w:val="1024"/>
        <w:ind w:firstLine="480"/>
        <w:spacing w:line="500" w:lineRule="exact"/>
        <w:rPr>
          <w:rFonts w:hint="eastAsia" w:ascii="宋体" w:hAnsi="宋体" w:cs="Arial"/>
          <w:color w:val="000000"/>
          <w:sz w:val="24"/>
          <w:szCs w:val="24"/>
          <w:highlight w:val="none"/>
        </w:rPr>
      </w:pPr>
      <w:r>
        <w:rPr>
          <w:rFonts w:hint="eastAsia" w:ascii="宋体" w:hAnsi="宋体" w:cs="Arial"/>
          <w:color w:val="000000"/>
          <w:sz w:val="24"/>
          <w:szCs w:val="24"/>
          <w:highlight w:val="none"/>
        </w:rPr>
        <w:t xml:space="preserve">（2）供应商需按照采购文件的要求提供相应的《小微企业声明函》。</w:t>
      </w:r>
      <w:r>
        <w:rPr>
          <w:rFonts w:hint="eastAsia" w:ascii="宋体" w:hAnsi="宋体" w:cs="Arial"/>
          <w:color w:val="000000"/>
          <w:sz w:val="24"/>
          <w:szCs w:val="24"/>
          <w:highlight w:val="none"/>
        </w:rPr>
      </w:r>
      <w:r/>
    </w:p>
    <w:p>
      <w:pPr>
        <w:pStyle w:val="1024"/>
        <w:ind w:firstLine="480"/>
        <w:spacing w:line="500" w:lineRule="exact"/>
        <w:rPr>
          <w:rFonts w:hint="eastAsia" w:ascii="宋体" w:hAnsi="宋体" w:cs="Arial"/>
          <w:color w:val="000000"/>
          <w:sz w:val="24"/>
          <w:szCs w:val="24"/>
          <w:highlight w:val="none"/>
        </w:rPr>
      </w:pPr>
      <w:r>
        <w:rPr>
          <w:rFonts w:hint="eastAsia" w:ascii="宋体" w:hAnsi="宋体" w:cs="Arial"/>
          <w:color w:val="000000"/>
          <w:sz w:val="24"/>
          <w:szCs w:val="24"/>
          <w:highlight w:val="none"/>
        </w:rPr>
        <w:t xml:space="preserve">（3）企业标准请参照《关于印发中小企业划型标准规定的通知》（工信部联企业[2011]300号）文件规定自行填写。</w:t>
      </w:r>
      <w:r>
        <w:rPr>
          <w:rFonts w:hint="eastAsia" w:ascii="宋体" w:hAnsi="宋体" w:cs="Arial"/>
          <w:color w:val="000000"/>
          <w:sz w:val="24"/>
          <w:szCs w:val="24"/>
          <w:highlight w:val="none"/>
        </w:rPr>
      </w:r>
      <w:r/>
    </w:p>
    <w:p>
      <w:pPr>
        <w:pStyle w:val="1024"/>
        <w:ind w:firstLine="482"/>
        <w:spacing w:line="500" w:lineRule="exact"/>
        <w:rPr>
          <w:rFonts w:hint="eastAsia" w:ascii="宋体" w:hAnsi="宋体"/>
          <w:b/>
          <w:color w:val="000000"/>
          <w:sz w:val="24"/>
          <w:szCs w:val="24"/>
          <w:highlight w:val="none"/>
        </w:rPr>
      </w:pPr>
      <w:r>
        <w:rPr>
          <w:rFonts w:hint="eastAsia" w:ascii="宋体" w:hAnsi="宋体"/>
          <w:b/>
          <w:color w:val="000000"/>
          <w:sz w:val="24"/>
          <w:szCs w:val="24"/>
          <w:highlight w:val="none"/>
        </w:rPr>
        <w:t xml:space="preserve">2、残疾人福利单位价格扣除</w:t>
      </w:r>
      <w:r>
        <w:rPr>
          <w:rFonts w:hint="eastAsia" w:ascii="宋体" w:hAnsi="宋体"/>
          <w:b/>
          <w:color w:val="000000"/>
          <w:sz w:val="24"/>
          <w:szCs w:val="24"/>
          <w:highlight w:val="none"/>
        </w:rPr>
      </w:r>
      <w:r/>
    </w:p>
    <w:p>
      <w:pPr>
        <w:pStyle w:val="1024"/>
        <w:ind w:firstLine="480"/>
        <w:spacing w:line="500" w:lineRule="exact"/>
        <w:rPr>
          <w:rFonts w:hint="eastAsia" w:ascii="宋体" w:hAnsi="宋体" w:cs="Arial"/>
          <w:color w:val="000000"/>
          <w:sz w:val="24"/>
          <w:szCs w:val="24"/>
          <w:highlight w:val="none"/>
        </w:rPr>
      </w:pPr>
      <w:r>
        <w:rPr>
          <w:rFonts w:hint="eastAsia" w:ascii="宋体" w:hAnsi="宋体" w:cs="Arial"/>
          <w:color w:val="000000"/>
          <w:sz w:val="24"/>
          <w:szCs w:val="24"/>
          <w:highlight w:val="none"/>
        </w:rPr>
        <w:t xml:space="preserve">（1）本项目对残疾人福利性单位视同小型、微型企业，给予20%的价格扣除。</w:t>
      </w:r>
      <w:r>
        <w:rPr>
          <w:rFonts w:hint="eastAsia" w:ascii="宋体" w:hAnsi="宋体" w:cs="Arial"/>
          <w:color w:val="000000"/>
          <w:sz w:val="24"/>
          <w:szCs w:val="24"/>
          <w:highlight w:val="none"/>
        </w:rPr>
      </w:r>
      <w:r/>
    </w:p>
    <w:p>
      <w:pPr>
        <w:pStyle w:val="1024"/>
        <w:ind w:firstLine="480"/>
        <w:spacing w:line="500" w:lineRule="exact"/>
        <w:rPr>
          <w:rFonts w:hint="eastAsia" w:ascii="宋体" w:hAnsi="宋体" w:cs="Arial"/>
          <w:color w:val="000000"/>
          <w:sz w:val="24"/>
          <w:szCs w:val="24"/>
          <w:highlight w:val="none"/>
        </w:rPr>
      </w:pPr>
      <w:r>
        <w:rPr>
          <w:rFonts w:hint="eastAsia" w:ascii="宋体" w:hAnsi="宋体" w:cs="Arial"/>
          <w:color w:val="000000"/>
          <w:sz w:val="24"/>
          <w:szCs w:val="24"/>
          <w:highlight w:val="none"/>
        </w:rPr>
        <w:t xml:space="preserve">（2）残疾人福利单位需按照采购文件的要求提供《残疾人福利性单位声明函》。</w:t>
      </w:r>
      <w:r>
        <w:rPr>
          <w:rFonts w:hint="eastAsia" w:ascii="宋体" w:hAnsi="宋体" w:cs="Arial"/>
          <w:color w:val="000000"/>
          <w:sz w:val="24"/>
          <w:szCs w:val="24"/>
          <w:highlight w:val="none"/>
        </w:rPr>
      </w:r>
      <w:r/>
    </w:p>
    <w:p>
      <w:pPr>
        <w:pStyle w:val="1024"/>
        <w:ind w:firstLine="480"/>
        <w:spacing w:line="500" w:lineRule="exact"/>
        <w:rPr>
          <w:rFonts w:hint="eastAsia" w:ascii="宋体" w:hAnsi="宋体" w:cs="Arial"/>
          <w:color w:val="000000"/>
          <w:sz w:val="24"/>
          <w:szCs w:val="24"/>
          <w:highlight w:val="none"/>
        </w:rPr>
      </w:pPr>
      <w:r>
        <w:rPr>
          <w:rFonts w:hint="eastAsia" w:ascii="宋体" w:hAnsi="宋体" w:cs="Arial"/>
          <w:color w:val="000000"/>
          <w:sz w:val="24"/>
          <w:szCs w:val="24"/>
          <w:highlight w:val="none"/>
        </w:rPr>
        <w:t xml:space="preserve">（3）残疾人福利单位标准请参照《关于促进残疾人就业政府采购政策的通知》（财库〔2017〕141号）。</w:t>
      </w:r>
      <w:r>
        <w:rPr>
          <w:rFonts w:hint="eastAsia" w:ascii="宋体" w:hAnsi="宋体" w:cs="Arial"/>
          <w:color w:val="000000"/>
          <w:sz w:val="24"/>
          <w:szCs w:val="24"/>
          <w:highlight w:val="none"/>
        </w:rPr>
      </w:r>
      <w:r/>
    </w:p>
    <w:p>
      <w:pPr>
        <w:pStyle w:val="1024"/>
        <w:ind w:firstLine="482"/>
        <w:spacing w:line="500" w:lineRule="exact"/>
        <w:rPr>
          <w:rFonts w:hint="eastAsia" w:ascii="宋体" w:hAnsi="宋体"/>
          <w:b/>
          <w:color w:val="000000"/>
          <w:sz w:val="24"/>
          <w:szCs w:val="24"/>
          <w:highlight w:val="none"/>
        </w:rPr>
      </w:pPr>
      <w:r>
        <w:rPr>
          <w:rFonts w:hint="eastAsia" w:ascii="宋体" w:hAnsi="宋体"/>
          <w:b/>
          <w:color w:val="000000"/>
          <w:sz w:val="24"/>
          <w:szCs w:val="24"/>
          <w:highlight w:val="none"/>
        </w:rPr>
        <w:t xml:space="preserve">3、监狱和戒毒企业价格扣除</w:t>
      </w:r>
      <w:r>
        <w:rPr>
          <w:rFonts w:hint="eastAsia" w:ascii="宋体" w:hAnsi="宋体"/>
          <w:b/>
          <w:color w:val="000000"/>
          <w:sz w:val="24"/>
          <w:szCs w:val="24"/>
          <w:highlight w:val="none"/>
        </w:rPr>
      </w:r>
      <w:r/>
    </w:p>
    <w:p>
      <w:pPr>
        <w:pStyle w:val="1024"/>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（1）本项目对监狱和戒毒企业（简称监狱企业）视同小型、微型企业，给予20%的价格扣除。</w:t>
      </w:r>
      <w:r>
        <w:rPr>
          <w:rFonts w:hint="eastAsia" w:ascii="宋体" w:hAnsi="宋体"/>
          <w:bCs/>
          <w:color w:val="000000"/>
          <w:sz w:val="24"/>
          <w:szCs w:val="24"/>
          <w:highlight w:val="none"/>
        </w:rPr>
      </w:r>
      <w:r/>
    </w:p>
    <w:p>
      <w:pPr>
        <w:pStyle w:val="1024"/>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bCs/>
          <w:color w:val="000000"/>
          <w:sz w:val="24"/>
          <w:szCs w:val="24"/>
          <w:highlight w:val="none"/>
        </w:rPr>
      </w:r>
      <w:r/>
    </w:p>
    <w:p>
      <w:pPr>
        <w:pStyle w:val="1024"/>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（3）监狱企业标准请参照《关于政府采购支持监狱企业发展有关问题的通知》（财库[2014]68号）。</w:t>
      </w:r>
      <w:r>
        <w:rPr>
          <w:rFonts w:hint="eastAsia" w:ascii="宋体" w:hAnsi="宋体"/>
          <w:bCs/>
          <w:color w:val="000000"/>
          <w:sz w:val="24"/>
          <w:szCs w:val="24"/>
          <w:highlight w:val="none"/>
        </w:rPr>
      </w:r>
      <w:r/>
    </w:p>
    <w:p>
      <w:pPr>
        <w:pStyle w:val="1024"/>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4、残疾人福利单位、监狱企业属于小型、微型企业的，不重复享受政策。</w:t>
      </w:r>
      <w:r>
        <w:rPr>
          <w:rFonts w:hint="eastAsia" w:ascii="宋体" w:hAnsi="宋体"/>
          <w:bCs/>
          <w:color w:val="000000"/>
          <w:sz w:val="24"/>
          <w:szCs w:val="24"/>
          <w:highlight w:val="none"/>
        </w:rPr>
      </w:r>
      <w:r/>
    </w:p>
    <w:p>
      <w:pPr>
        <w:pStyle w:val="1024"/>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5、采购本国产品的支持政策</w:t>
      </w:r>
      <w:r>
        <w:rPr>
          <w:rFonts w:hint="eastAsia" w:ascii="宋体" w:hAnsi="宋体"/>
          <w:bCs/>
          <w:color w:val="000000"/>
          <w:sz w:val="24"/>
          <w:szCs w:val="24"/>
          <w:highlight w:val="none"/>
        </w:rPr>
      </w:r>
      <w:r/>
    </w:p>
    <w:p>
      <w:pPr>
        <w:pStyle w:val="1024"/>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5.1 本项目政府采购活动中既有本国产品又有非本国产品参与竞争的，依法对本国产品给予价格评审优惠，对本国产品的报价给予 20%的价格扣除，用扣除后的价格参与评审。</w:t>
      </w:r>
      <w:r>
        <w:rPr>
          <w:rFonts w:hint="eastAsia" w:ascii="宋体" w:hAnsi="宋体"/>
          <w:bCs/>
          <w:color w:val="000000"/>
          <w:sz w:val="24"/>
          <w:szCs w:val="24"/>
          <w:highlight w:val="none"/>
        </w:rPr>
      </w:r>
      <w:r/>
    </w:p>
    <w:p>
      <w:pPr>
        <w:pStyle w:val="1024"/>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5.2 当采购项目或者采购包中含有多种产品，供应商为该采购项目或者采购包提供的符合本国产品标准的产品成本之和占该供应商提供的全部产品成本之和的比例达到80%以上时（供应商需在“第六章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bCs/>
          <w:color w:val="000000"/>
          <w:sz w:val="24"/>
          <w:szCs w:val="24"/>
          <w:highlight w:val="none"/>
        </w:rPr>
      </w:r>
      <w:r/>
    </w:p>
    <w:p>
      <w:pPr>
        <w:pStyle w:val="1024"/>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5.3 供应商需按照招标文件的要求提供《关于符合本国产品标准的声明函》（以下简称《声明函》），如不提供将不享受本国产品价格评审优惠。</w:t>
      </w:r>
      <w:r>
        <w:rPr>
          <w:rFonts w:hint="eastAsia" w:ascii="宋体" w:hAnsi="宋体"/>
          <w:bCs/>
          <w:color w:val="000000"/>
          <w:sz w:val="24"/>
          <w:szCs w:val="24"/>
          <w:highlight w:val="none"/>
        </w:rPr>
      </w:r>
      <w:r/>
    </w:p>
    <w:p>
      <w:pPr>
        <w:pStyle w:val="1024"/>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5.4 供应商需在《声明函》中逐一、准确填写产品名称、厂名、生产厂址三项信息（《声明函》中用横线划除的地方无需填写），三项信息中任意一项未填写的视为该项产品不符合本国产品标准，不享受本国产品价格评审优惠。</w:t>
      </w:r>
      <w:r>
        <w:rPr>
          <w:rFonts w:hint="eastAsia" w:ascii="宋体" w:hAnsi="宋体"/>
          <w:bCs/>
          <w:color w:val="000000"/>
          <w:sz w:val="24"/>
          <w:szCs w:val="24"/>
          <w:highlight w:val="none"/>
        </w:rPr>
      </w:r>
      <w:r/>
    </w:p>
    <w:p>
      <w:pPr>
        <w:pStyle w:val="1024"/>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5.5 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bCs/>
          <w:color w:val="000000"/>
          <w:sz w:val="24"/>
          <w:szCs w:val="24"/>
          <w:highlight w:val="none"/>
        </w:rPr>
      </w:r>
      <w:r/>
    </w:p>
    <w:p>
      <w:pPr>
        <w:pStyle w:val="1024"/>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6、严格执行政府采购关于支持</w:t>
      </w:r>
      <w:r>
        <w:rPr>
          <w:rFonts w:hint="eastAsia" w:ascii="宋体" w:hAnsi="宋体"/>
          <w:bCs/>
          <w:color w:val="000000"/>
          <w:sz w:val="24"/>
          <w:szCs w:val="24"/>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bCs/>
          <w:color w:val="000000"/>
          <w:sz w:val="24"/>
          <w:szCs w:val="24"/>
          <w:highlight w:val="none"/>
        </w:rPr>
      </w:r>
      <w:r/>
    </w:p>
    <w:p>
      <w:pPr>
        <w:pStyle w:val="1024"/>
        <w:spacing w:line="500" w:lineRule="exact"/>
        <w:rPr>
          <w:rFonts w:ascii="宋体" w:hAnsi="宋体" w:cs="Courier New"/>
          <w:b/>
          <w:bCs/>
          <w:color w:val="000000"/>
          <w:sz w:val="24"/>
          <w:szCs w:val="24"/>
          <w:highlight w:val="none"/>
        </w:rPr>
      </w:pPr>
      <w:r>
        <w:rPr>
          <w:rFonts w:hint="eastAsia" w:ascii="宋体" w:hAnsi="宋体" w:cs="Courier New"/>
          <w:b/>
          <w:bCs/>
          <w:color w:val="000000"/>
          <w:sz w:val="24"/>
          <w:szCs w:val="24"/>
          <w:highlight w:val="none"/>
        </w:rPr>
        <w:t xml:space="preserve">二、评标标准</w:t>
      </w:r>
      <w:r>
        <w:rPr>
          <w:rFonts w:ascii="宋体" w:hAnsi="宋体" w:cs="Courier New"/>
          <w:b/>
          <w:bCs/>
          <w:color w:val="000000"/>
          <w:sz w:val="24"/>
          <w:szCs w:val="24"/>
          <w:highlight w:val="none"/>
        </w:rPr>
      </w:r>
      <w:r/>
    </w:p>
    <w:p>
      <w:pPr>
        <w:pStyle w:val="1024"/>
        <w:ind w:firstLine="480"/>
        <w:spacing w:line="500" w:lineRule="exact"/>
        <w:rPr>
          <w:rFonts w:ascii="宋体" w:hAnsi="宋体" w:cs="Courier New"/>
          <w:bCs/>
          <w:color w:val="000000"/>
          <w:sz w:val="24"/>
          <w:szCs w:val="24"/>
          <w:highlight w:val="none"/>
        </w:rPr>
      </w:pPr>
      <w:r>
        <w:rPr>
          <w:rFonts w:ascii="宋体" w:hAnsi="宋体" w:cs="Courier New"/>
          <w:bCs/>
          <w:color w:val="000000"/>
          <w:sz w:val="24"/>
          <w:szCs w:val="24"/>
          <w:highlight w:val="none"/>
        </w:rPr>
        <w:t xml:space="preserve">本项目评分总分值为100分。</w:t>
      </w:r>
      <w:r>
        <w:rPr>
          <w:rFonts w:ascii="宋体" w:hAnsi="宋体" w:cs="Courier New"/>
          <w:bCs/>
          <w:color w:val="000000"/>
          <w:sz w:val="24"/>
          <w:szCs w:val="24"/>
          <w:highlight w:val="none"/>
        </w:rPr>
      </w:r>
      <w:r/>
    </w:p>
    <w:tbl>
      <w:tblPr>
        <w:tblW w:w="4990" w:type="pct"/>
        <w:jc w:val="center"/>
        <w:tblInd w:w="-57" w:type="dxa"/>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autofit"/>
        <w:tblCellMar>
          <w:left w:w="57" w:type="dxa"/>
          <w:top w:w="0" w:type="dxa"/>
          <w:right w:w="57" w:type="dxa"/>
          <w:bottom w:w="0" w:type="dxa"/>
        </w:tblCellMar>
        <w:tblLook w:val="04A0" w:firstRow="1" w:lastRow="0" w:firstColumn="1" w:lastColumn="0" w:noHBand="0" w:noVBand="1"/>
      </w:tblPr>
      <w:tblGrid>
        <w:gridCol w:w="1689"/>
        <w:gridCol w:w="934"/>
        <w:gridCol w:w="7211"/>
      </w:tblGrid>
      <w:tr>
        <w:trPr>
          <w:trHeight w:val="475"/>
          <w:tblHeader/>
        </w:trPr>
        <w:tc>
          <w:tcPr>
            <w:tcMar>
              <w:left w:w="57" w:type="dxa"/>
              <w:right w:w="57" w:type="dxa"/>
            </w:tcMar>
            <w:tcW w:w="859" w:type="dxa"/>
            <w:vAlign w:val="center"/>
            <w:textDirection w:val="lrTb"/>
            <w:noWrap w:val="false"/>
          </w:tcPr>
          <w:p>
            <w:pPr>
              <w:pStyle w:val="1024"/>
              <w:jc w:val="center"/>
              <w:spacing w:line="320" w:lineRule="exact"/>
              <w:rPr>
                <w:rFonts w:ascii="宋体" w:hAnsi="宋体" w:cs="宋体"/>
                <w:b/>
                <w:bCs/>
                <w:color w:val="000000"/>
                <w:sz w:val="24"/>
                <w:szCs w:val="24"/>
                <w:highlight w:val="none"/>
                <w:lang w:val="zh-CN"/>
              </w:rPr>
            </w:pPr>
            <w:r>
              <w:rPr>
                <w:rFonts w:hint="eastAsia" w:ascii="宋体" w:hAnsi="宋体" w:cs="宋体"/>
                <w:b/>
                <w:bCs/>
                <w:color w:val="000000"/>
                <w:sz w:val="24"/>
                <w:szCs w:val="24"/>
                <w:highlight w:val="none"/>
                <w:lang w:val="zh-CN"/>
              </w:rPr>
              <w:t xml:space="preserve">类别</w:t>
            </w:r>
            <w:r>
              <w:rPr>
                <w:rFonts w:ascii="宋体" w:hAnsi="宋体" w:cs="宋体"/>
                <w:b/>
                <w:bCs/>
                <w:color w:val="000000"/>
                <w:sz w:val="24"/>
                <w:szCs w:val="24"/>
                <w:highlight w:val="none"/>
                <w:lang w:val="zh-CN"/>
              </w:rPr>
            </w:r>
            <w:r/>
          </w:p>
        </w:tc>
        <w:tc>
          <w:tcPr>
            <w:tcMar>
              <w:left w:w="57" w:type="dxa"/>
              <w:right w:w="57" w:type="dxa"/>
            </w:tcMar>
            <w:tcW w:w="475" w:type="dxa"/>
            <w:vAlign w:val="center"/>
            <w:textDirection w:val="lrTb"/>
            <w:noWrap w:val="false"/>
          </w:tcPr>
          <w:p>
            <w:pPr>
              <w:pStyle w:val="1024"/>
              <w:jc w:val="center"/>
              <w:spacing w:line="320" w:lineRule="exact"/>
              <w:rPr>
                <w:rFonts w:ascii="宋体" w:hAnsi="宋体" w:cs="宋体"/>
                <w:b/>
                <w:bCs/>
                <w:color w:val="000000"/>
                <w:sz w:val="24"/>
                <w:szCs w:val="24"/>
                <w:highlight w:val="none"/>
                <w:lang w:val="zh-CN"/>
              </w:rPr>
            </w:pPr>
            <w:r>
              <w:rPr>
                <w:rFonts w:hint="eastAsia" w:ascii="宋体" w:hAnsi="宋体" w:cs="宋体"/>
                <w:b/>
                <w:bCs/>
                <w:color w:val="000000"/>
                <w:sz w:val="24"/>
                <w:szCs w:val="24"/>
                <w:highlight w:val="none"/>
                <w:lang w:val="zh-CN"/>
              </w:rPr>
              <w:t xml:space="preserve">分值</w:t>
            </w:r>
            <w:r>
              <w:rPr>
                <w:rFonts w:ascii="宋体" w:hAnsi="宋体" w:cs="宋体"/>
                <w:b/>
                <w:bCs/>
                <w:color w:val="000000"/>
                <w:sz w:val="24"/>
                <w:szCs w:val="24"/>
                <w:highlight w:val="none"/>
                <w:lang w:val="zh-CN"/>
              </w:rPr>
            </w:r>
            <w:r/>
          </w:p>
        </w:tc>
        <w:tc>
          <w:tcPr>
            <w:tcMar>
              <w:left w:w="57" w:type="dxa"/>
              <w:right w:w="57" w:type="dxa"/>
            </w:tcMar>
            <w:tcW w:w="3665" w:type="dxa"/>
            <w:vAlign w:val="center"/>
            <w:textDirection w:val="lrTb"/>
            <w:noWrap w:val="false"/>
          </w:tcPr>
          <w:p>
            <w:pPr>
              <w:pStyle w:val="1024"/>
              <w:jc w:val="center"/>
              <w:spacing w:line="320" w:lineRule="exact"/>
              <w:rPr>
                <w:rFonts w:ascii="宋体" w:hAnsi="宋体" w:cs="宋体"/>
                <w:b/>
                <w:bCs/>
                <w:color w:val="000000"/>
                <w:sz w:val="24"/>
                <w:szCs w:val="24"/>
                <w:highlight w:val="none"/>
                <w:lang w:val="zh-CN"/>
              </w:rPr>
            </w:pPr>
            <w:r>
              <w:rPr>
                <w:rFonts w:hint="eastAsia" w:ascii="宋体" w:hAnsi="宋体" w:cs="宋体"/>
                <w:b/>
                <w:bCs/>
                <w:color w:val="000000"/>
                <w:sz w:val="24"/>
                <w:szCs w:val="24"/>
                <w:highlight w:val="none"/>
                <w:lang w:val="zh-CN"/>
              </w:rPr>
              <w:t xml:space="preserve">评分细则</w:t>
            </w:r>
            <w:r>
              <w:rPr>
                <w:rFonts w:ascii="宋体" w:hAnsi="宋体" w:cs="宋体"/>
                <w:b/>
                <w:bCs/>
                <w:color w:val="000000"/>
                <w:sz w:val="24"/>
                <w:szCs w:val="24"/>
                <w:highlight w:val="none"/>
                <w:lang w:val="zh-CN"/>
              </w:rPr>
            </w:r>
            <w:r/>
          </w:p>
        </w:tc>
      </w:tr>
      <w:tr>
        <w:trPr>
          <w:trHeight w:val="1117"/>
        </w:trPr>
        <w:tc>
          <w:tcPr>
            <w:tcMar>
              <w:left w:w="57" w:type="dxa"/>
              <w:right w:w="57" w:type="dxa"/>
            </w:tcMar>
            <w:tcW w:w="859" w:type="dxa"/>
            <w:vAlign w:val="center"/>
            <w:textDirection w:val="lrTb"/>
            <w:noWrap w:val="false"/>
          </w:tcPr>
          <w:p>
            <w:pPr>
              <w:pStyle w:val="1024"/>
              <w:jc w:val="center"/>
              <w:spacing w:line="320" w:lineRule="exact"/>
              <w:rPr>
                <w:rFonts w:hint="eastAsia" w:ascii="宋体" w:hAnsi="宋体" w:cs="宋体"/>
                <w:b/>
                <w:color w:val="000000"/>
                <w:sz w:val="24"/>
                <w:szCs w:val="24"/>
                <w:highlight w:val="none"/>
              </w:rPr>
            </w:pPr>
            <w:r>
              <w:rPr>
                <w:rFonts w:hint="eastAsia" w:ascii="宋体" w:hAnsi="宋体" w:cs="宋体"/>
                <w:bCs/>
                <w:color w:val="000000"/>
                <w:sz w:val="24"/>
                <w:szCs w:val="24"/>
                <w:highlight w:val="none"/>
              </w:rPr>
              <w:t xml:space="preserve">投标报价</w:t>
            </w:r>
            <w:r>
              <w:rPr>
                <w:rFonts w:hint="eastAsia" w:ascii="宋体" w:hAnsi="宋体" w:cs="宋体"/>
                <w:b/>
                <w:color w:val="000000"/>
                <w:sz w:val="24"/>
                <w:szCs w:val="24"/>
                <w:highlight w:val="none"/>
              </w:rPr>
            </w:r>
            <w:r/>
          </w:p>
        </w:tc>
        <w:tc>
          <w:tcPr>
            <w:tcMar>
              <w:left w:w="57" w:type="dxa"/>
              <w:right w:w="57" w:type="dxa"/>
            </w:tcMar>
            <w:tcW w:w="475" w:type="dxa"/>
            <w:vAlign w:val="center"/>
            <w:textDirection w:val="lrTb"/>
            <w:noWrap w:val="false"/>
          </w:tcPr>
          <w:p>
            <w:pPr>
              <w:pStyle w:val="1024"/>
              <w:jc w:val="center"/>
              <w:spacing w:line="3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10分</w:t>
            </w:r>
            <w:r>
              <w:rPr>
                <w:rFonts w:hint="eastAsia" w:ascii="宋体" w:hAnsi="宋体" w:cs="宋体"/>
                <w:color w:val="000000"/>
                <w:sz w:val="24"/>
                <w:szCs w:val="24"/>
                <w:highlight w:val="none"/>
              </w:rPr>
            </w:r>
            <w:r/>
          </w:p>
        </w:tc>
        <w:tc>
          <w:tcPr>
            <w:tcMar>
              <w:left w:w="57" w:type="dxa"/>
              <w:right w:w="57" w:type="dxa"/>
            </w:tcMar>
            <w:tcW w:w="3665" w:type="dxa"/>
            <w:vAlign w:val="center"/>
            <w:textDirection w:val="lrTb"/>
            <w:noWrap w:val="false"/>
          </w:tcPr>
          <w:p>
            <w:pPr>
              <w:pStyle w:val="1024"/>
              <w:ind w:firstLine="480"/>
              <w:jc w:val="left"/>
              <w:spacing w:line="320" w:lineRule="exact"/>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满足招标文件要求且投标价格最低的投标报价为评标基准价，其价格分为满分。</w:t>
            </w:r>
            <w:r>
              <w:rPr>
                <w:rFonts w:hint="eastAsia" w:ascii="宋体" w:hAnsi="宋体" w:cs="宋体"/>
                <w:color w:val="000000"/>
                <w:sz w:val="24"/>
                <w:szCs w:val="24"/>
                <w:highlight w:val="none"/>
                <w:lang w:val="zh-CN"/>
              </w:rPr>
            </w:r>
            <w:r/>
          </w:p>
          <w:p>
            <w:pPr>
              <w:pStyle w:val="1024"/>
              <w:ind w:firstLine="480"/>
              <w:jc w:val="left"/>
              <w:spacing w:line="3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投标报价得分=（评标基准价/投标报价）×</w:t>
            </w:r>
            <w:r>
              <w:rPr>
                <w:rFonts w:hint="eastAsia" w:ascii="宋体" w:hAnsi="宋体" w:cs="宋体"/>
                <w:color w:val="000000"/>
                <w:sz w:val="24"/>
                <w:szCs w:val="24"/>
                <w:highlight w:val="none"/>
              </w:rPr>
              <w:t xml:space="preserve">10（保留两位小数）。</w:t>
            </w:r>
            <w:r>
              <w:rPr>
                <w:rFonts w:hint="eastAsia" w:ascii="宋体" w:hAnsi="宋体" w:cs="宋体"/>
                <w:color w:val="000000"/>
                <w:sz w:val="24"/>
                <w:szCs w:val="24"/>
                <w:highlight w:val="none"/>
              </w:rPr>
            </w:r>
            <w:r/>
          </w:p>
        </w:tc>
      </w:tr>
      <w:tr>
        <w:trPr>
          <w:trHeight w:val="610"/>
        </w:trPr>
        <w:tc>
          <w:tcPr>
            <w:gridSpan w:val="3"/>
            <w:tcMar>
              <w:left w:w="57" w:type="dxa"/>
              <w:right w:w="57" w:type="dxa"/>
            </w:tcMar>
            <w:tcW w:w="9834" w:type="dxa"/>
            <w:vAlign w:val="center"/>
            <w:textDirection w:val="lrTb"/>
            <w:noWrap w:val="false"/>
          </w:tcPr>
          <w:p>
            <w:pPr>
              <w:pStyle w:val="1024"/>
              <w:jc w:val="center"/>
              <w:spacing w:line="320" w:lineRule="exact"/>
              <w:rPr>
                <w:rFonts w:cs="宋体"/>
                <w:b/>
                <w:color w:val="000000"/>
                <w:highlight w:val="none"/>
                <w:lang w:val="zh-CN"/>
              </w:rPr>
            </w:pPr>
            <w:r>
              <w:rPr>
                <w:rFonts w:hint="eastAsia" w:ascii="宋体" w:hAnsi="宋体" w:cs="宋体"/>
                <w:b/>
                <w:bCs/>
                <w:color w:val="000000"/>
                <w:sz w:val="24"/>
                <w:szCs w:val="24"/>
                <w:highlight w:val="none"/>
                <w:lang w:val="zh-CN"/>
              </w:rPr>
              <w:t xml:space="preserve">技术部分（</w:t>
            </w:r>
            <w:r>
              <w:rPr>
                <w:rFonts w:hint="eastAsia" w:ascii="宋体" w:hAnsi="宋体" w:cs="宋体"/>
                <w:b/>
                <w:bCs/>
                <w:color w:val="000000"/>
                <w:sz w:val="24"/>
                <w:szCs w:val="24"/>
                <w:highlight w:val="none"/>
              </w:rPr>
              <w:t xml:space="preserve">50</w:t>
            </w:r>
            <w:r>
              <w:rPr>
                <w:rFonts w:hint="eastAsia" w:ascii="宋体" w:hAnsi="宋体" w:cs="宋体"/>
                <w:b/>
                <w:bCs/>
                <w:color w:val="000000"/>
                <w:sz w:val="24"/>
                <w:szCs w:val="24"/>
                <w:highlight w:val="none"/>
                <w:lang w:val="zh-CN"/>
              </w:rPr>
              <w:t xml:space="preserve">分）</w:t>
            </w:r>
            <w:r>
              <w:rPr>
                <w:rFonts w:cs="宋体"/>
                <w:b/>
                <w:color w:val="000000"/>
                <w:highlight w:val="none"/>
                <w:lang w:val="zh-CN"/>
              </w:rPr>
            </w:r>
            <w:r/>
          </w:p>
        </w:tc>
      </w:tr>
      <w:tr>
        <w:trPr>
          <w:trHeight w:val="2137"/>
        </w:trPr>
        <w:tc>
          <w:tcPr>
            <w:tcMar>
              <w:left w:w="57" w:type="dxa"/>
              <w:right w:w="57" w:type="dxa"/>
            </w:tcMar>
            <w:tcW w:w="859" w:type="dxa"/>
            <w:vAlign w:val="center"/>
            <w:textDirection w:val="lrTb"/>
            <w:noWrap w:val="false"/>
          </w:tcPr>
          <w:p>
            <w:pPr>
              <w:pStyle w:val="1024"/>
              <w:jc w:val="center"/>
              <w:spacing w:line="320" w:lineRule="exact"/>
              <w:rPr>
                <w:rFonts w:hint="eastAsia" w:ascii="宋体" w:hAnsi="宋体" w:cs="宋体"/>
                <w:color w:val="000000"/>
                <w:sz w:val="24"/>
                <w:szCs w:val="24"/>
                <w:highlight w:val="none"/>
              </w:rPr>
            </w:pPr>
            <w:r>
              <w:rPr>
                <w:rFonts w:hint="eastAsia" w:ascii="宋体" w:hAnsi="宋体"/>
                <w:color w:val="000000"/>
                <w:sz w:val="24"/>
                <w:szCs w:val="24"/>
                <w:highlight w:val="none"/>
              </w:rPr>
              <w:t xml:space="preserve">协审实施大纲</w:t>
            </w:r>
            <w:r>
              <w:rPr>
                <w:rFonts w:hint="eastAsia" w:ascii="宋体" w:hAnsi="宋体" w:cs="宋体"/>
                <w:color w:val="000000"/>
                <w:sz w:val="24"/>
                <w:szCs w:val="24"/>
                <w:highlight w:val="none"/>
              </w:rPr>
            </w:r>
            <w:r/>
          </w:p>
        </w:tc>
        <w:tc>
          <w:tcPr>
            <w:tcMar>
              <w:left w:w="57" w:type="dxa"/>
              <w:right w:w="57" w:type="dxa"/>
            </w:tcMar>
            <w:tcW w:w="475" w:type="dxa"/>
            <w:vAlign w:val="center"/>
            <w:textDirection w:val="lrTb"/>
            <w:noWrap w:val="false"/>
          </w:tcPr>
          <w:p>
            <w:pPr>
              <w:pStyle w:val="1024"/>
              <w:jc w:val="center"/>
              <w:spacing w:line="3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18分</w:t>
            </w:r>
            <w:r>
              <w:rPr>
                <w:rFonts w:hint="eastAsia" w:ascii="宋体" w:hAnsi="宋体" w:cs="宋体"/>
                <w:color w:val="000000"/>
                <w:sz w:val="24"/>
                <w:szCs w:val="24"/>
                <w:highlight w:val="none"/>
              </w:rPr>
            </w:r>
            <w:r/>
          </w:p>
        </w:tc>
        <w:tc>
          <w:tcPr>
            <w:tcMar>
              <w:left w:w="57" w:type="dxa"/>
              <w:right w:w="57" w:type="dxa"/>
            </w:tcMar>
            <w:tcW w:w="3665" w:type="dxa"/>
            <w:vAlign w:val="center"/>
            <w:textDirection w:val="lrTb"/>
            <w:noWrap w:val="false"/>
          </w:tcPr>
          <w:p>
            <w:pPr>
              <w:pStyle w:val="1024"/>
              <w:ind w:firstLine="480"/>
              <w:jc w:val="left"/>
              <w:spacing w:line="320" w:lineRule="exact"/>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供应商根据第四章第</w:t>
            </w:r>
            <w:r>
              <w:rPr>
                <w:rFonts w:hint="eastAsia" w:ascii="宋体" w:hAnsi="宋体" w:cs="宋体"/>
                <w:color w:val="000000"/>
                <w:sz w:val="24"/>
                <w:szCs w:val="24"/>
                <w:highlight w:val="none"/>
              </w:rPr>
              <w:t xml:space="preserve">五</w:t>
            </w:r>
            <w:r>
              <w:rPr>
                <w:rFonts w:hint="eastAsia" w:ascii="宋体" w:hAnsi="宋体" w:cs="宋体"/>
                <w:color w:val="000000"/>
                <w:sz w:val="24"/>
                <w:szCs w:val="24"/>
                <w:highlight w:val="none"/>
                <w:lang w:val="zh-CN"/>
              </w:rPr>
              <w:t xml:space="preserve">款的“技术方案要求”，至少要包括</w:t>
            </w:r>
            <w:r>
              <w:rPr>
                <w:rFonts w:hint="eastAsia" w:ascii="宋体" w:hAnsi="宋体"/>
                <w:color w:val="000000"/>
                <w:sz w:val="24"/>
                <w:szCs w:val="24"/>
                <w:highlight w:val="none"/>
              </w:rPr>
              <w:t xml:space="preserve">(1)协审人员管理；（2）造价控制流程；（3）造价审核方法、关键环节控制</w:t>
            </w:r>
            <w:bookmarkStart w:id="184" w:name="OLE_LINK14"/>
            <w:r>
              <w:rPr>
                <w:rFonts w:hint="eastAsia" w:ascii="宋体" w:hAnsi="宋体"/>
                <w:color w:val="000000"/>
                <w:sz w:val="24"/>
                <w:szCs w:val="24"/>
                <w:highlight w:val="none"/>
              </w:rPr>
              <w:t xml:space="preserve">；（4）</w:t>
            </w:r>
            <w:bookmarkEnd w:id="184"/>
            <w:r>
              <w:rPr>
                <w:rFonts w:hint="eastAsia" w:ascii="宋体" w:hAnsi="宋体"/>
                <w:color w:val="000000"/>
                <w:sz w:val="24"/>
                <w:szCs w:val="24"/>
                <w:highlight w:val="none"/>
              </w:rPr>
              <w:t xml:space="preserve">协审质量及效率保证措施</w:t>
            </w:r>
            <w:bookmarkStart w:id="185" w:name="OLE_LINK15"/>
            <w:r>
              <w:rPr>
                <w:rFonts w:hint="eastAsia" w:ascii="宋体" w:hAnsi="宋体"/>
                <w:color w:val="000000"/>
                <w:sz w:val="24"/>
                <w:szCs w:val="24"/>
                <w:highlight w:val="none"/>
              </w:rPr>
              <w:t xml:space="preserve">；(5)</w:t>
            </w:r>
            <w:bookmarkEnd w:id="185"/>
            <w:r>
              <w:rPr>
                <w:rFonts w:hint="eastAsia" w:ascii="宋体" w:hAnsi="宋体"/>
                <w:color w:val="000000"/>
                <w:sz w:val="24"/>
                <w:szCs w:val="24"/>
                <w:highlight w:val="none"/>
              </w:rPr>
              <w:t xml:space="preserve">档案管理；(6)廉洁管理</w:t>
            </w: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lang w:val="zh-CN"/>
              </w:rPr>
            </w:r>
            <w:r/>
          </w:p>
          <w:p>
            <w:pPr>
              <w:pStyle w:val="1024"/>
              <w:ind w:firstLine="480"/>
              <w:jc w:val="left"/>
              <w:spacing w:line="320" w:lineRule="exact"/>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以上方案内容完整的得</w:t>
            </w:r>
            <w:r>
              <w:rPr>
                <w:rFonts w:hint="eastAsia" w:ascii="宋体" w:hAnsi="宋体" w:cs="宋体"/>
                <w:color w:val="000000"/>
                <w:sz w:val="24"/>
                <w:szCs w:val="24"/>
                <w:highlight w:val="none"/>
              </w:rPr>
              <w:t xml:space="preserve">18</w:t>
            </w:r>
            <w:r>
              <w:rPr>
                <w:rFonts w:hint="eastAsia" w:ascii="宋体" w:hAnsi="宋体" w:cs="宋体"/>
                <w:color w:val="000000"/>
                <w:sz w:val="24"/>
                <w:szCs w:val="24"/>
                <w:highlight w:val="none"/>
                <w:lang w:val="zh-CN"/>
              </w:rPr>
              <w:t xml:space="preserve">分，每有一内容缺失的扣</w:t>
            </w: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lang w:val="zh-CN"/>
              </w:rPr>
              <w:t xml:space="preserve">分；每有一处存在缺陷（缺陷是指不适用于本项目，表述前后不一致或内容矛盾，语句有歧义，仅有框架或标题，涉及的规范及标准错误，套用其他项目内容等任意一种情形）扣1分，直至该项分值</w:t>
            </w: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lang w:val="zh-CN"/>
              </w:rPr>
              <w:t xml:space="preserve">分扣完为止，未提供本项不得分。</w:t>
            </w:r>
            <w:r>
              <w:rPr>
                <w:rFonts w:hint="eastAsia" w:ascii="宋体" w:hAnsi="宋体" w:cs="宋体"/>
                <w:color w:val="000000"/>
                <w:sz w:val="24"/>
                <w:szCs w:val="24"/>
                <w:highlight w:val="none"/>
                <w:lang w:val="zh-CN"/>
              </w:rPr>
            </w:r>
            <w:r/>
          </w:p>
        </w:tc>
      </w:tr>
      <w:tr>
        <w:trPr>
          <w:trHeight w:val="2155"/>
        </w:trPr>
        <w:tc>
          <w:tcPr>
            <w:tcMar>
              <w:left w:w="57" w:type="dxa"/>
              <w:right w:w="57" w:type="dxa"/>
            </w:tcMar>
            <w:tcW w:w="859" w:type="dxa"/>
            <w:vAlign w:val="center"/>
            <w:textDirection w:val="lrTb"/>
            <w:noWrap w:val="false"/>
          </w:tcPr>
          <w:p>
            <w:pPr>
              <w:pStyle w:val="1024"/>
              <w:jc w:val="center"/>
              <w:spacing w:line="320" w:lineRule="exact"/>
              <w:rPr>
                <w:rFonts w:hint="eastAsia" w:ascii="宋体" w:hAnsi="宋体" w:cs="宋体"/>
                <w:color w:val="000000"/>
                <w:sz w:val="24"/>
                <w:szCs w:val="24"/>
                <w:highlight w:val="none"/>
              </w:rPr>
            </w:pPr>
            <w:r>
              <w:rPr>
                <w:rFonts w:hint="eastAsia" w:ascii="宋体" w:hAnsi="宋体"/>
                <w:color w:val="000000"/>
                <w:sz w:val="24"/>
                <w:szCs w:val="24"/>
                <w:highlight w:val="none"/>
              </w:rPr>
              <w:t xml:space="preserve">思路及建议</w:t>
            </w:r>
            <w:r>
              <w:rPr>
                <w:rFonts w:hint="eastAsia" w:ascii="宋体" w:hAnsi="宋体" w:cs="宋体"/>
                <w:color w:val="000000"/>
                <w:sz w:val="24"/>
                <w:szCs w:val="24"/>
                <w:highlight w:val="none"/>
              </w:rPr>
            </w:r>
            <w:r/>
          </w:p>
        </w:tc>
        <w:tc>
          <w:tcPr>
            <w:tcMar>
              <w:left w:w="57" w:type="dxa"/>
              <w:right w:w="57" w:type="dxa"/>
            </w:tcMar>
            <w:tcW w:w="475" w:type="dxa"/>
            <w:vAlign w:val="center"/>
            <w:textDirection w:val="lrTb"/>
            <w:noWrap w:val="false"/>
          </w:tcPr>
          <w:p>
            <w:pPr>
              <w:pStyle w:val="1024"/>
              <w:jc w:val="center"/>
              <w:spacing w:line="3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8分</w:t>
            </w:r>
            <w:r>
              <w:rPr>
                <w:rFonts w:hint="eastAsia" w:ascii="宋体" w:hAnsi="宋体" w:cs="宋体"/>
                <w:color w:val="000000"/>
                <w:sz w:val="24"/>
                <w:szCs w:val="24"/>
                <w:highlight w:val="none"/>
              </w:rPr>
            </w:r>
            <w:r/>
          </w:p>
        </w:tc>
        <w:tc>
          <w:tcPr>
            <w:tcMar>
              <w:left w:w="57" w:type="dxa"/>
              <w:right w:w="57" w:type="dxa"/>
            </w:tcMar>
            <w:tcW w:w="3665" w:type="dxa"/>
            <w:vAlign w:val="center"/>
            <w:textDirection w:val="lrTb"/>
            <w:noWrap w:val="false"/>
          </w:tcPr>
          <w:p>
            <w:pPr>
              <w:pStyle w:val="1024"/>
              <w:ind w:firstLine="480"/>
              <w:jc w:val="left"/>
              <w:spacing w:line="320" w:lineRule="exact"/>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供应商根据第四章第五款的“技术方案要求”，至少要包括</w:t>
            </w:r>
            <w:r>
              <w:rPr>
                <w:rFonts w:hint="eastAsia" w:ascii="宋体" w:hAnsi="宋体"/>
                <w:color w:val="000000"/>
                <w:sz w:val="24"/>
                <w:szCs w:val="24"/>
                <w:highlight w:val="none"/>
              </w:rPr>
              <w:t xml:space="preserve">(1)</w:t>
            </w:r>
            <w:bookmarkStart w:id="186" w:name="OLE_LINK64"/>
            <w:r>
              <w:rPr>
                <w:rFonts w:hint="eastAsia" w:ascii="宋体" w:hAnsi="宋体"/>
                <w:color w:val="000000"/>
                <w:sz w:val="24"/>
                <w:szCs w:val="24"/>
                <w:highlight w:val="none"/>
              </w:rPr>
              <w:t xml:space="preserve">审核</w:t>
            </w:r>
            <w:bookmarkEnd w:id="186"/>
            <w:r>
              <w:rPr>
                <w:rFonts w:hint="eastAsia" w:ascii="宋体" w:hAnsi="宋体"/>
                <w:color w:val="000000"/>
                <w:sz w:val="24"/>
                <w:szCs w:val="24"/>
                <w:highlight w:val="none"/>
              </w:rPr>
              <w:t xml:space="preserve">重点；(2)审核难点；(3)造价控制精细化管理思路；(4)合理化建议</w:t>
            </w: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lang w:val="zh-CN"/>
              </w:rPr>
            </w:r>
            <w:r/>
          </w:p>
          <w:p>
            <w:pPr>
              <w:pStyle w:val="1024"/>
              <w:ind w:firstLine="480"/>
              <w:jc w:val="left"/>
              <w:spacing w:line="3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以上方案内容完整的得</w:t>
            </w:r>
            <w:r>
              <w:rPr>
                <w:rFonts w:hint="eastAsia" w:ascii="宋体" w:hAnsi="宋体" w:cs="宋体"/>
                <w:color w:val="000000"/>
                <w:sz w:val="24"/>
                <w:szCs w:val="24"/>
                <w:highlight w:val="none"/>
              </w:rPr>
              <w:t xml:space="preserve">8</w:t>
            </w:r>
            <w:r>
              <w:rPr>
                <w:rFonts w:hint="eastAsia" w:ascii="宋体" w:hAnsi="宋体" w:cs="宋体"/>
                <w:color w:val="000000"/>
                <w:sz w:val="24"/>
                <w:szCs w:val="24"/>
                <w:highlight w:val="none"/>
                <w:lang w:val="zh-CN"/>
              </w:rPr>
              <w:t xml:space="preserve">分，每有一内容缺失的扣</w:t>
            </w: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val="zh-CN"/>
              </w:rPr>
              <w:t xml:space="preserve">分；每有一处存在缺陷（缺陷是指不适用于本项目，表述前后不一致或内容矛盾，语句有歧义，仅有框架或标题，涉及的规范及标准错误，套用其他项目内容等任意一种情形）扣1分，直至该项分值</w:t>
            </w: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val="zh-CN"/>
              </w:rPr>
              <w:t xml:space="preserve">分扣完为止，未提供本项不得分。</w:t>
            </w:r>
            <w:r>
              <w:rPr>
                <w:rFonts w:hint="eastAsia" w:ascii="宋体" w:hAnsi="宋体" w:cs="宋体"/>
                <w:color w:val="000000"/>
                <w:sz w:val="24"/>
                <w:szCs w:val="24"/>
                <w:highlight w:val="none"/>
              </w:rPr>
            </w:r>
            <w:r/>
          </w:p>
        </w:tc>
      </w:tr>
      <w:tr>
        <w:trPr>
          <w:trHeight w:val="2424"/>
        </w:trPr>
        <w:tc>
          <w:tcPr>
            <w:tcMar>
              <w:left w:w="57" w:type="dxa"/>
              <w:right w:w="57" w:type="dxa"/>
            </w:tcMar>
            <w:tcW w:w="859" w:type="dxa"/>
            <w:vAlign w:val="center"/>
            <w:textDirection w:val="lrTb"/>
            <w:noWrap w:val="false"/>
          </w:tcPr>
          <w:p>
            <w:pPr>
              <w:pStyle w:val="1024"/>
              <w:jc w:val="center"/>
              <w:spacing w:line="320" w:lineRule="exact"/>
              <w:rPr>
                <w:rFonts w:hint="eastAsia" w:ascii="宋体" w:hAnsi="宋体" w:cs="宋体"/>
                <w:color w:val="000000"/>
                <w:sz w:val="24"/>
                <w:szCs w:val="24"/>
                <w:highlight w:val="none"/>
                <w:lang w:val="zh-CN"/>
              </w:rPr>
            </w:pPr>
            <w:r>
              <w:rPr>
                <w:rFonts w:hint="eastAsia" w:ascii="宋体" w:hAnsi="宋体"/>
                <w:color w:val="000000"/>
                <w:sz w:val="24"/>
                <w:szCs w:val="24"/>
                <w:highlight w:val="none"/>
              </w:rPr>
              <w:t xml:space="preserve">案例总结报告</w:t>
            </w:r>
            <w:r>
              <w:rPr>
                <w:rFonts w:hint="eastAsia" w:ascii="宋体" w:hAnsi="宋体" w:cs="宋体"/>
                <w:color w:val="000000"/>
                <w:sz w:val="24"/>
                <w:szCs w:val="24"/>
                <w:highlight w:val="none"/>
                <w:lang w:val="zh-CN"/>
              </w:rPr>
            </w:r>
            <w:r/>
          </w:p>
        </w:tc>
        <w:tc>
          <w:tcPr>
            <w:tcMar>
              <w:left w:w="57" w:type="dxa"/>
              <w:right w:w="57" w:type="dxa"/>
            </w:tcMar>
            <w:tcW w:w="475" w:type="dxa"/>
            <w:vAlign w:val="center"/>
            <w:textDirection w:val="lrTb"/>
            <w:noWrap w:val="false"/>
          </w:tcPr>
          <w:p>
            <w:pPr>
              <w:pStyle w:val="1024"/>
              <w:jc w:val="center"/>
              <w:spacing w:line="320" w:lineRule="exact"/>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 xml:space="preserve">12</w:t>
            </w:r>
            <w:r>
              <w:rPr>
                <w:rFonts w:hint="eastAsia" w:ascii="宋体" w:hAnsi="宋体" w:cs="宋体"/>
                <w:color w:val="000000"/>
                <w:sz w:val="24"/>
                <w:szCs w:val="24"/>
                <w:highlight w:val="none"/>
                <w:lang w:val="zh-CN"/>
              </w:rPr>
              <w:t xml:space="preserve">分</w:t>
            </w:r>
            <w:r>
              <w:rPr>
                <w:rFonts w:hint="eastAsia" w:ascii="宋体" w:hAnsi="宋体" w:cs="宋体"/>
                <w:color w:val="000000"/>
                <w:sz w:val="24"/>
                <w:szCs w:val="24"/>
                <w:highlight w:val="none"/>
                <w:lang w:val="zh-CN"/>
              </w:rPr>
            </w:r>
            <w:r/>
          </w:p>
        </w:tc>
        <w:tc>
          <w:tcPr>
            <w:tcMar>
              <w:left w:w="57" w:type="dxa"/>
              <w:right w:w="57" w:type="dxa"/>
            </w:tcMar>
            <w:tcW w:w="3665" w:type="dxa"/>
            <w:vAlign w:val="center"/>
            <w:textDirection w:val="lrTb"/>
            <w:noWrap w:val="false"/>
          </w:tcPr>
          <w:p>
            <w:pPr>
              <w:pStyle w:val="1024"/>
              <w:ind w:firstLine="480"/>
              <w:jc w:val="left"/>
              <w:spacing w:line="3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供应商根据第四章</w:t>
            </w:r>
            <w:r>
              <w:rPr>
                <w:rFonts w:hint="eastAsia" w:ascii="宋体" w:hAnsi="宋体" w:cs="宋体"/>
                <w:color w:val="000000"/>
                <w:sz w:val="24"/>
                <w:szCs w:val="24"/>
                <w:highlight w:val="none"/>
                <w:lang w:val="zh-CN"/>
              </w:rPr>
              <w:t xml:space="preserve">第五款“技术方案要求”，至少要包括</w:t>
            </w:r>
            <w:bookmarkStart w:id="187" w:name="OLE_LINK33"/>
            <w:r>
              <w:rPr>
                <w:rFonts w:hint="eastAsia" w:ascii="宋体" w:hAnsi="宋体"/>
                <w:color w:val="000000"/>
                <w:sz w:val="24"/>
                <w:szCs w:val="24"/>
                <w:highlight w:val="none"/>
              </w:rPr>
              <w:t xml:space="preserve">（1）</w:t>
            </w:r>
            <w:bookmarkEnd w:id="187"/>
            <w:r>
              <w:rPr>
                <w:rFonts w:hint="eastAsia" w:ascii="宋体" w:hAnsi="宋体"/>
                <w:color w:val="000000"/>
                <w:sz w:val="24"/>
                <w:szCs w:val="24"/>
                <w:highlight w:val="none"/>
              </w:rPr>
              <w:t xml:space="preserve">概算控制；（2）招标控制价审核；（3）项目变更、签证审核；（4）工程结算审核</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024"/>
              <w:ind w:firstLine="480"/>
              <w:jc w:val="left"/>
              <w:spacing w:line="320" w:lineRule="exact"/>
              <w:widowControl/>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以上方案内容完整的得</w:t>
            </w:r>
            <w:r>
              <w:rPr>
                <w:rFonts w:hint="eastAsia" w:ascii="宋体" w:hAnsi="宋体" w:cs="宋体"/>
                <w:color w:val="000000"/>
                <w:sz w:val="24"/>
                <w:szCs w:val="24"/>
                <w:highlight w:val="none"/>
              </w:rPr>
              <w:t xml:space="preserve">12</w:t>
            </w:r>
            <w:r>
              <w:rPr>
                <w:rFonts w:hint="eastAsia" w:ascii="宋体" w:hAnsi="宋体" w:cs="宋体"/>
                <w:color w:val="000000"/>
                <w:sz w:val="24"/>
                <w:szCs w:val="24"/>
                <w:highlight w:val="none"/>
                <w:lang w:val="zh-CN"/>
              </w:rPr>
              <w:t xml:space="preserve">分，每有一内容缺失的扣</w:t>
            </w: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lang w:val="zh-CN"/>
              </w:rPr>
              <w:t xml:space="preserve">分；每有一处存在缺陷（缺陷是指不适用于本项目，表述前后不一致或内容矛盾，语句有歧义，仅有框架或标题，涉及的规范及标准错误，套用其他项目内容等任意一种情形）扣1分，直至该项分值</w:t>
            </w: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lang w:val="zh-CN"/>
              </w:rPr>
              <w:t xml:space="preserve">分扣完为止，未提供本项不得分。</w:t>
            </w:r>
            <w:r>
              <w:rPr>
                <w:rFonts w:hint="eastAsia" w:ascii="宋体" w:hAnsi="宋体" w:cs="宋体"/>
                <w:color w:val="000000"/>
                <w:sz w:val="24"/>
                <w:szCs w:val="24"/>
                <w:highlight w:val="none"/>
                <w:lang w:val="zh-CN"/>
              </w:rPr>
            </w:r>
            <w:r/>
          </w:p>
        </w:tc>
      </w:tr>
      <w:tr>
        <w:trPr>
          <w:trHeight w:val="2296"/>
        </w:trPr>
        <w:tc>
          <w:tcPr>
            <w:tcMar>
              <w:left w:w="57" w:type="dxa"/>
              <w:right w:w="57" w:type="dxa"/>
            </w:tcMar>
            <w:tcW w:w="859" w:type="dxa"/>
            <w:vAlign w:val="center"/>
            <w:textDirection w:val="lrTb"/>
            <w:noWrap w:val="false"/>
          </w:tcPr>
          <w:p>
            <w:pPr>
              <w:pStyle w:val="1024"/>
              <w:jc w:val="center"/>
              <w:spacing w:line="320" w:lineRule="exact"/>
              <w:rPr>
                <w:rFonts w:hint="eastAsia" w:ascii="宋体" w:hAnsi="宋体" w:cs="宋体"/>
                <w:color w:val="000000"/>
                <w:sz w:val="24"/>
                <w:szCs w:val="24"/>
                <w:highlight w:val="none"/>
              </w:rPr>
            </w:pPr>
            <w:r/>
            <w:bookmarkStart w:id="188" w:name="OLE_LINK74"/>
            <w:r>
              <w:rPr>
                <w:rFonts w:hint="eastAsia" w:ascii="宋体" w:hAnsi="宋体"/>
                <w:color w:val="000000"/>
                <w:sz w:val="24"/>
                <w:szCs w:val="24"/>
                <w:highlight w:val="none"/>
              </w:rPr>
              <w:t xml:space="preserve">内控制度</w:t>
            </w:r>
            <w:bookmarkEnd w:id="188"/>
            <w:r>
              <w:rPr>
                <w:rFonts w:hint="eastAsia" w:ascii="宋体" w:hAnsi="宋体" w:cs="宋体"/>
                <w:color w:val="000000"/>
                <w:sz w:val="24"/>
                <w:szCs w:val="24"/>
                <w:highlight w:val="none"/>
              </w:rPr>
            </w:r>
            <w:r/>
          </w:p>
        </w:tc>
        <w:tc>
          <w:tcPr>
            <w:tcMar>
              <w:left w:w="57" w:type="dxa"/>
              <w:right w:w="57" w:type="dxa"/>
            </w:tcMar>
            <w:tcW w:w="475" w:type="dxa"/>
            <w:vAlign w:val="center"/>
            <w:textDirection w:val="lrTb"/>
            <w:noWrap w:val="false"/>
          </w:tcPr>
          <w:p>
            <w:pPr>
              <w:pStyle w:val="1024"/>
              <w:jc w:val="center"/>
              <w:spacing w:line="3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12分</w:t>
            </w:r>
            <w:r>
              <w:rPr>
                <w:rFonts w:hint="eastAsia" w:ascii="宋体" w:hAnsi="宋体" w:cs="宋体"/>
                <w:color w:val="000000"/>
                <w:sz w:val="24"/>
                <w:szCs w:val="24"/>
                <w:highlight w:val="none"/>
              </w:rPr>
            </w:r>
            <w:r/>
          </w:p>
        </w:tc>
        <w:tc>
          <w:tcPr>
            <w:tcMar>
              <w:left w:w="57" w:type="dxa"/>
              <w:right w:w="57" w:type="dxa"/>
            </w:tcMar>
            <w:tcW w:w="3665" w:type="dxa"/>
            <w:vAlign w:val="center"/>
            <w:textDirection w:val="lrTb"/>
            <w:noWrap w:val="false"/>
          </w:tcPr>
          <w:p>
            <w:pPr>
              <w:pStyle w:val="1024"/>
              <w:ind w:firstLine="480"/>
              <w:jc w:val="left"/>
              <w:spacing w:line="3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供应商根据第四章第五款“技术方案要求”，至少要包括</w:t>
            </w:r>
            <w:r>
              <w:rPr>
                <w:rFonts w:hint="eastAsia" w:ascii="宋体" w:hAnsi="宋体"/>
                <w:color w:val="000000"/>
                <w:sz w:val="24"/>
                <w:szCs w:val="24"/>
                <w:highlight w:val="none"/>
              </w:rPr>
              <w:t xml:space="preserve">（1）业务流程规范；（2）审核质量；（3）审核效率；（4）风险防控</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024"/>
              <w:ind w:firstLine="480"/>
              <w:jc w:val="left"/>
              <w:spacing w:line="320" w:lineRule="exact"/>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以上方案内容完整的得</w:t>
            </w:r>
            <w:r>
              <w:rPr>
                <w:rFonts w:hint="eastAsia" w:ascii="宋体" w:hAnsi="宋体" w:cs="宋体"/>
                <w:color w:val="000000"/>
                <w:sz w:val="24"/>
                <w:szCs w:val="24"/>
                <w:highlight w:val="none"/>
              </w:rPr>
              <w:t xml:space="preserve">12</w:t>
            </w:r>
            <w:r>
              <w:rPr>
                <w:rFonts w:hint="eastAsia" w:ascii="宋体" w:hAnsi="宋体" w:cs="宋体"/>
                <w:color w:val="000000"/>
                <w:sz w:val="24"/>
                <w:szCs w:val="24"/>
                <w:highlight w:val="none"/>
                <w:lang w:val="zh-CN"/>
              </w:rPr>
              <w:t xml:space="preserve">分，每有一内容缺失的扣</w:t>
            </w: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lang w:val="zh-CN"/>
              </w:rPr>
              <w:t xml:space="preserve">分；每有一处存在缺陷（缺陷是指不适用于本项目，表述前后不一致或内容矛盾，语句有歧义，仅有框架或标题，涉及的规范及标准错误，套用其他项目内容等任意一种情形）扣1分，直至该项分值</w:t>
            </w: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lang w:val="zh-CN"/>
              </w:rPr>
              <w:t xml:space="preserve">分扣完为止，未提供本项不得分。</w:t>
            </w:r>
            <w:r>
              <w:rPr>
                <w:rFonts w:hint="eastAsia" w:ascii="宋体" w:hAnsi="宋体" w:cs="宋体"/>
                <w:color w:val="000000"/>
                <w:sz w:val="24"/>
                <w:szCs w:val="24"/>
                <w:highlight w:val="none"/>
                <w:lang w:val="zh-CN"/>
              </w:rPr>
            </w:r>
            <w:r/>
          </w:p>
        </w:tc>
      </w:tr>
      <w:tr>
        <w:trPr>
          <w:trHeight w:val="548"/>
        </w:trPr>
        <w:tc>
          <w:tcPr>
            <w:gridSpan w:val="3"/>
            <w:tcMar>
              <w:left w:w="57" w:type="dxa"/>
              <w:right w:w="57" w:type="dxa"/>
            </w:tcMar>
            <w:tcW w:w="9834" w:type="dxa"/>
            <w:vAlign w:val="center"/>
            <w:textDirection w:val="lrTb"/>
            <w:noWrap w:val="false"/>
          </w:tcPr>
          <w:p>
            <w:pPr>
              <w:pStyle w:val="1024"/>
              <w:jc w:val="center"/>
              <w:spacing w:line="320" w:lineRule="exact"/>
              <w:rPr>
                <w:rFonts w:ascii="宋体" w:hAnsi="宋体" w:cs="宋体"/>
                <w:b/>
                <w:color w:val="000000"/>
                <w:highlight w:val="none"/>
                <w:lang w:val="zh-TW"/>
              </w:rPr>
            </w:pPr>
            <w:r>
              <w:rPr>
                <w:rFonts w:hint="eastAsia" w:ascii="宋体" w:hAnsi="宋体" w:cs="宋体"/>
                <w:b/>
                <w:color w:val="000000"/>
                <w:sz w:val="24"/>
                <w:szCs w:val="24"/>
                <w:highlight w:val="none"/>
                <w:lang w:val="zh-CN"/>
              </w:rPr>
              <w:t xml:space="preserve">商务部分（</w:t>
            </w:r>
            <w:r>
              <w:rPr>
                <w:rFonts w:hint="eastAsia" w:ascii="宋体" w:hAnsi="宋体" w:cs="宋体"/>
                <w:b/>
                <w:color w:val="000000"/>
                <w:sz w:val="24"/>
                <w:szCs w:val="24"/>
                <w:highlight w:val="none"/>
              </w:rPr>
              <w:t xml:space="preserve">40</w:t>
            </w:r>
            <w:r>
              <w:rPr>
                <w:rFonts w:hint="eastAsia" w:ascii="宋体" w:hAnsi="宋体" w:cs="宋体"/>
                <w:b/>
                <w:color w:val="000000"/>
                <w:sz w:val="24"/>
                <w:szCs w:val="24"/>
                <w:highlight w:val="none"/>
                <w:lang w:val="zh-CN"/>
              </w:rPr>
              <w:t xml:space="preserve">分）</w:t>
            </w:r>
            <w:r>
              <w:rPr>
                <w:rFonts w:ascii="宋体" w:hAnsi="宋体" w:cs="宋体"/>
                <w:b/>
                <w:color w:val="000000"/>
                <w:highlight w:val="none"/>
                <w:lang w:val="zh-TW"/>
              </w:rPr>
            </w:r>
            <w:r/>
          </w:p>
        </w:tc>
      </w:tr>
      <w:tr>
        <w:trPr>
          <w:trHeight w:val="2317"/>
        </w:trPr>
        <w:tc>
          <w:tcPr>
            <w:tcMar>
              <w:left w:w="57" w:type="dxa"/>
              <w:right w:w="57" w:type="dxa"/>
            </w:tcMar>
            <w:tcW w:w="859" w:type="dxa"/>
            <w:vAlign w:val="center"/>
            <w:textDirection w:val="lrTb"/>
            <w:noWrap w:val="false"/>
          </w:tcPr>
          <w:p>
            <w:pPr>
              <w:pStyle w:val="1024"/>
              <w:jc w:val="center"/>
              <w:spacing w:line="3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业绩</w:t>
            </w:r>
            <w:r>
              <w:rPr>
                <w:rFonts w:hint="eastAsia" w:ascii="宋体" w:hAnsi="宋体" w:cs="宋体"/>
                <w:color w:val="000000"/>
                <w:sz w:val="24"/>
                <w:szCs w:val="24"/>
                <w:highlight w:val="none"/>
              </w:rPr>
            </w:r>
            <w:r/>
          </w:p>
        </w:tc>
        <w:tc>
          <w:tcPr>
            <w:tcMar>
              <w:left w:w="57" w:type="dxa"/>
              <w:right w:w="57" w:type="dxa"/>
            </w:tcMar>
            <w:tcW w:w="475" w:type="dxa"/>
            <w:vAlign w:val="center"/>
            <w:textDirection w:val="lrTb"/>
            <w:noWrap w:val="false"/>
          </w:tcPr>
          <w:p>
            <w:pPr>
              <w:pStyle w:val="1024"/>
              <w:jc w:val="center"/>
              <w:spacing w:line="3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20分</w:t>
            </w:r>
            <w:r>
              <w:rPr>
                <w:rFonts w:hint="eastAsia" w:ascii="宋体" w:hAnsi="宋体" w:cs="宋体"/>
                <w:color w:val="000000"/>
                <w:sz w:val="24"/>
                <w:szCs w:val="24"/>
                <w:highlight w:val="none"/>
              </w:rPr>
            </w:r>
            <w:r/>
          </w:p>
        </w:tc>
        <w:tc>
          <w:tcPr>
            <w:tcMar>
              <w:left w:w="57" w:type="dxa"/>
              <w:right w:w="57" w:type="dxa"/>
            </w:tcMar>
            <w:tcW w:w="3665" w:type="dxa"/>
            <w:vAlign w:val="center"/>
            <w:textDirection w:val="lrTb"/>
            <w:noWrap w:val="false"/>
          </w:tcPr>
          <w:p>
            <w:pPr>
              <w:pStyle w:val="1024"/>
              <w:ind w:firstLine="480"/>
              <w:jc w:val="left"/>
              <w:spacing w:line="32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1.投标人自2021年1月1日以来（以合同签订时间为准），独立承担过同类工程跟踪审核（必须含结算审核）、或全过程工程造价控制（必须含结算审核）、或结算审核业绩的，每提供一个得4分，最高得12分。</w:t>
            </w:r>
            <w:r>
              <w:rPr>
                <w:rFonts w:hint="eastAsia" w:ascii="宋体" w:hAnsi="宋体" w:cs="宋体"/>
                <w:color w:val="000000"/>
                <w:sz w:val="24"/>
                <w:szCs w:val="24"/>
                <w:highlight w:val="none"/>
              </w:rPr>
            </w:r>
            <w:r/>
          </w:p>
          <w:p>
            <w:pPr>
              <w:pStyle w:val="1024"/>
              <w:ind w:firstLine="480"/>
              <w:jc w:val="left"/>
              <w:spacing w:line="32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评审依据：①投标人至少提供业绩的合同关键页（包含合同首末页、签署页、标的页、签订时间等）复印件加盖投标人公章；合同关键页的内容如不能反映的，另须提供盖有原委托单位公章的证明，否则不予认可。②同类工程是指路面日常维护、修复养护、新建或改扩建等公路施工工程。</w:t>
            </w:r>
            <w:r>
              <w:rPr>
                <w:rFonts w:hint="eastAsia" w:ascii="宋体" w:hAnsi="宋体" w:cs="宋体"/>
                <w:color w:val="000000"/>
                <w:sz w:val="24"/>
                <w:szCs w:val="24"/>
                <w:highlight w:val="none"/>
              </w:rPr>
            </w:r>
            <w:r/>
          </w:p>
          <w:p>
            <w:pPr>
              <w:pStyle w:val="1024"/>
              <w:ind w:firstLine="480"/>
              <w:jc w:val="left"/>
              <w:spacing w:line="32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自2021年1月1日以来（以合同签订时间为准），以项目负责人身份独立承担过同类工程跟踪审核（必须含结算审核）、或全过程工程造价控制（必须含结算审核）、或结算审核业绩的，得4分，该项合计最高得8分。</w:t>
            </w:r>
            <w:r>
              <w:rPr>
                <w:rFonts w:hint="eastAsia" w:ascii="宋体" w:hAnsi="宋体" w:cs="宋体"/>
                <w:color w:val="000000"/>
                <w:sz w:val="24"/>
                <w:szCs w:val="24"/>
                <w:highlight w:val="none"/>
              </w:rPr>
            </w:r>
            <w:r/>
          </w:p>
          <w:p>
            <w:pPr>
              <w:pStyle w:val="1024"/>
              <w:ind w:firstLine="480"/>
              <w:jc w:val="left"/>
              <w:spacing w:line="320" w:lineRule="exac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评审依据：①投标人至少提供业绩的合同关键页（包含合同首末页、签署页、标的页、签订时间等）复印件加盖投标人公章；合同关键页的内容(或项目负责人姓名的)如不能反映的，另须提供盖有原委托单位公章的证明，否则不予认可。</w:t>
            </w:r>
            <w:r>
              <w:rPr>
                <w:rFonts w:ascii="宋体" w:hAnsi="宋体" w:cs="宋体"/>
                <w:color w:val="000000"/>
                <w:sz w:val="24"/>
                <w:szCs w:val="24"/>
                <w:highlight w:val="none"/>
              </w:rPr>
              <w:t xml:space="preserve">②</w:t>
            </w:r>
            <w:r>
              <w:rPr>
                <w:rFonts w:hint="eastAsia" w:ascii="宋体" w:hAnsi="宋体" w:cs="宋体"/>
                <w:color w:val="000000"/>
                <w:sz w:val="24"/>
                <w:szCs w:val="24"/>
                <w:highlight w:val="none"/>
              </w:rPr>
              <w:t xml:space="preserve">同类工程是指路面日常维护、修复养护、新建或改扩建等公路施工工程。③合同须能反映项目名称、主要标的物以及项目负责人名字，签订时间和签章清晰可见。合同内容中不能体现项目负责人名字的，须提供有效的佐证材料。</w:t>
            </w:r>
            <w:r>
              <w:rPr>
                <w:rFonts w:ascii="宋体" w:hAnsi="宋体" w:cs="宋体"/>
                <w:color w:val="000000"/>
                <w:sz w:val="24"/>
                <w:szCs w:val="24"/>
                <w:highlight w:val="none"/>
              </w:rPr>
            </w:r>
            <w:r/>
          </w:p>
        </w:tc>
      </w:tr>
      <w:tr>
        <w:trPr>
          <w:trHeight w:val="438"/>
        </w:trPr>
        <w:tc>
          <w:tcPr>
            <w:tcMar>
              <w:left w:w="57" w:type="dxa"/>
              <w:right w:w="57" w:type="dxa"/>
            </w:tcMar>
            <w:tcW w:w="859" w:type="dxa"/>
            <w:vAlign w:val="center"/>
            <w:textDirection w:val="lrTb"/>
            <w:noWrap w:val="false"/>
          </w:tcPr>
          <w:p>
            <w:pPr>
              <w:pStyle w:val="1024"/>
              <w:jc w:val="center"/>
              <w:spacing w:line="3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项目团队配置</w:t>
            </w:r>
            <w:r>
              <w:rPr>
                <w:rFonts w:hint="eastAsia" w:ascii="宋体" w:hAnsi="宋体" w:cs="宋体"/>
                <w:color w:val="000000"/>
                <w:sz w:val="24"/>
                <w:szCs w:val="24"/>
                <w:highlight w:val="none"/>
              </w:rPr>
            </w:r>
            <w:r/>
          </w:p>
        </w:tc>
        <w:tc>
          <w:tcPr>
            <w:tcMar>
              <w:left w:w="57" w:type="dxa"/>
              <w:right w:w="57" w:type="dxa"/>
            </w:tcMar>
            <w:tcW w:w="475" w:type="dxa"/>
            <w:vAlign w:val="center"/>
            <w:textDirection w:val="lrTb"/>
            <w:noWrap w:val="false"/>
          </w:tcPr>
          <w:p>
            <w:pPr>
              <w:pStyle w:val="1024"/>
              <w:jc w:val="center"/>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20分</w:t>
            </w:r>
            <w:r>
              <w:rPr>
                <w:rFonts w:ascii="宋体" w:hAnsi="宋体" w:cs="宋体"/>
                <w:color w:val="000000"/>
                <w:sz w:val="24"/>
                <w:szCs w:val="24"/>
                <w:highlight w:val="none"/>
              </w:rPr>
            </w:r>
            <w:r/>
          </w:p>
        </w:tc>
        <w:tc>
          <w:tcPr>
            <w:tcMar>
              <w:left w:w="57" w:type="dxa"/>
              <w:right w:w="57" w:type="dxa"/>
            </w:tcMar>
            <w:tcW w:w="3665" w:type="dxa"/>
            <w:vAlign w:val="center"/>
            <w:textDirection w:val="lrTb"/>
            <w:noWrap w:val="false"/>
          </w:tcPr>
          <w:p>
            <w:pPr>
              <w:pStyle w:val="1024"/>
              <w:ind w:firstLine="480"/>
              <w:jc w:val="left"/>
              <w:spacing w:line="32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1.拟派项目负责人</w:t>
            </w:r>
            <w:r>
              <w:rPr>
                <w:rFonts w:hint="eastAsia" w:ascii="宋体" w:hAnsi="宋体" w:cs="宋体"/>
                <w:color w:val="000000"/>
                <w:sz w:val="24"/>
                <w:szCs w:val="24"/>
                <w:highlight w:val="none"/>
              </w:rPr>
            </w:r>
            <w:r/>
          </w:p>
          <w:p>
            <w:pPr>
              <w:pStyle w:val="1024"/>
              <w:ind w:firstLine="480"/>
              <w:jc w:val="left"/>
              <w:spacing w:line="32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职称：具有工程类高级及以上技术职称得5分；具有工程类中级技术职称得2.5分。</w:t>
            </w:r>
            <w:r>
              <w:rPr>
                <w:rFonts w:hint="eastAsia" w:ascii="宋体" w:hAnsi="宋体" w:cs="宋体"/>
                <w:color w:val="000000"/>
                <w:sz w:val="24"/>
                <w:szCs w:val="24"/>
                <w:highlight w:val="none"/>
              </w:rPr>
            </w:r>
            <w:r/>
          </w:p>
          <w:p>
            <w:pPr>
              <w:pStyle w:val="1024"/>
              <w:ind w:firstLine="480"/>
              <w:jc w:val="left"/>
              <w:spacing w:line="32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执业资格：</w:t>
            </w:r>
            <w:r>
              <w:rPr>
                <w:rFonts w:ascii="宋体" w:hAnsi="宋体" w:cs="宋体"/>
                <w:color w:val="000000"/>
                <w:sz w:val="24"/>
                <w:szCs w:val="24"/>
                <w:highlight w:val="none"/>
              </w:rPr>
              <w:t xml:space="preserve">具</w:t>
            </w:r>
            <w:r>
              <w:rPr>
                <w:rFonts w:hint="eastAsia" w:ascii="宋体" w:hAnsi="宋体" w:cs="宋体"/>
                <w:color w:val="000000"/>
                <w:sz w:val="24"/>
                <w:szCs w:val="24"/>
                <w:highlight w:val="none"/>
              </w:rPr>
              <w:t xml:space="preserve">有一级注册造价工程师（交通运输工程专业）</w:t>
            </w:r>
            <w:r>
              <w:rPr>
                <w:rFonts w:ascii="宋体" w:hAnsi="宋体" w:cs="宋体"/>
                <w:color w:val="000000"/>
                <w:sz w:val="24"/>
                <w:szCs w:val="24"/>
                <w:highlight w:val="none"/>
              </w:rPr>
              <w:t xml:space="preserve">证书得</w:t>
            </w:r>
            <w:r>
              <w:rPr>
                <w:rFonts w:hint="eastAsia" w:ascii="宋体" w:hAnsi="宋体" w:cs="宋体"/>
                <w:color w:val="000000"/>
                <w:sz w:val="24"/>
                <w:szCs w:val="24"/>
                <w:highlight w:val="none"/>
              </w:rPr>
              <w:t xml:space="preserve">5分。</w:t>
            </w:r>
            <w:r>
              <w:rPr>
                <w:rFonts w:hint="eastAsia" w:ascii="宋体" w:hAnsi="宋体" w:cs="宋体"/>
                <w:color w:val="000000"/>
                <w:sz w:val="24"/>
                <w:szCs w:val="24"/>
                <w:highlight w:val="none"/>
              </w:rPr>
            </w:r>
            <w:r/>
          </w:p>
          <w:p>
            <w:pPr>
              <w:pStyle w:val="1024"/>
              <w:ind w:firstLine="480"/>
              <w:jc w:val="left"/>
              <w:spacing w:line="320" w:lineRule="exac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评审依据：提供项目负责人执业注册证书原件扫描件及公路工程造价人员管理系统查询截图、技术职称证书复印件、在本单位近一个月缴纳社保证明；未提供或提供不全的，不得分。上述证明材料为复印件的并同时加盖投标单位公章，进行计分。</w:t>
            </w:r>
            <w:r>
              <w:rPr>
                <w:rFonts w:ascii="宋体" w:hAnsi="宋体" w:cs="宋体"/>
                <w:color w:val="000000"/>
                <w:sz w:val="24"/>
                <w:szCs w:val="24"/>
                <w:highlight w:val="none"/>
              </w:rPr>
            </w:r>
            <w:r/>
          </w:p>
          <w:p>
            <w:pPr>
              <w:pStyle w:val="1024"/>
              <w:ind w:firstLine="480"/>
              <w:jc w:val="left"/>
              <w:spacing w:line="32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2.拟派常驻协审人员</w:t>
            </w:r>
            <w:r>
              <w:rPr>
                <w:rFonts w:hint="eastAsia" w:ascii="宋体" w:hAnsi="宋体" w:cs="宋体"/>
                <w:color w:val="000000"/>
                <w:sz w:val="24"/>
                <w:szCs w:val="24"/>
                <w:highlight w:val="none"/>
              </w:rPr>
            </w:r>
            <w:r/>
          </w:p>
          <w:p>
            <w:pPr>
              <w:pStyle w:val="1024"/>
              <w:ind w:firstLine="480"/>
              <w:jc w:val="left"/>
              <w:spacing w:line="32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每有1人具有一级注册造价工程师（土建或交通运输工程专业）证书的得2.5分；最高得10分。</w:t>
            </w:r>
            <w:r>
              <w:rPr>
                <w:rFonts w:hint="eastAsia" w:ascii="宋体" w:hAnsi="宋体" w:cs="宋体"/>
                <w:color w:val="000000"/>
                <w:sz w:val="24"/>
                <w:szCs w:val="24"/>
                <w:highlight w:val="none"/>
              </w:rPr>
            </w:r>
            <w:r/>
          </w:p>
          <w:p>
            <w:pPr>
              <w:pStyle w:val="1024"/>
              <w:ind w:firstLine="480"/>
              <w:jc w:val="left"/>
              <w:spacing w:line="320" w:lineRule="exac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评审依据：提供常驻协审人员执业注册证书原件扫描件及全国建筑市场监管公共服务平台(四库一平台)执业注册信息或公路工程造价人员管理系统查询截图、在本单位近一个月缴纳社保证明；未提供或提供不全的，不得分。上述证明材料为复印件的并同时加盖投标单位公章，进行计分。</w:t>
            </w:r>
            <w:r>
              <w:rPr>
                <w:rFonts w:ascii="宋体" w:hAnsi="宋体" w:cs="宋体"/>
                <w:color w:val="000000"/>
                <w:sz w:val="24"/>
                <w:szCs w:val="24"/>
                <w:highlight w:val="none"/>
              </w:rPr>
            </w:r>
            <w:r/>
          </w:p>
        </w:tc>
      </w:tr>
    </w:tbl>
    <w:p>
      <w:pPr>
        <w:pStyle w:val="1050"/>
        <w:rPr>
          <w:color w:val="000000"/>
          <w:highlight w:val="none"/>
        </w:rPr>
      </w:pPr>
      <w:r>
        <w:rPr>
          <w:color w:val="000000"/>
          <w:highlight w:val="none"/>
        </w:rPr>
      </w:r>
      <w:r/>
    </w:p>
    <w:p>
      <w:pPr>
        <w:pStyle w:val="1024"/>
        <w:ind w:firstLine="480"/>
        <w:spacing w:line="500" w:lineRule="exact"/>
        <w:rPr>
          <w:rFonts w:hint="eastAsia" w:hAnsi="宋体" w:cs="宋体"/>
          <w:color w:val="000000"/>
          <w:sz w:val="24"/>
          <w:szCs w:val="24"/>
          <w:highlight w:val="none"/>
        </w:rPr>
      </w:pPr>
      <w:r>
        <w:rPr>
          <w:rFonts w:hint="eastAsia" w:hAnsi="宋体" w:cs="宋体"/>
          <w:color w:val="000000"/>
          <w:sz w:val="24"/>
          <w:szCs w:val="24"/>
          <w:highlight w:val="none"/>
        </w:rPr>
        <w:t xml:space="preserve">说明：</w:t>
      </w:r>
      <w:r>
        <w:rPr>
          <w:rFonts w:hint="eastAsia" w:hAnsi="宋体" w:cs="宋体"/>
          <w:color w:val="000000"/>
          <w:sz w:val="24"/>
          <w:szCs w:val="24"/>
          <w:highlight w:val="none"/>
        </w:rPr>
      </w:r>
      <w:r/>
    </w:p>
    <w:p>
      <w:pPr>
        <w:pStyle w:val="1024"/>
        <w:ind w:firstLine="480"/>
        <w:spacing w:line="500" w:lineRule="exact"/>
        <w:rPr>
          <w:rFonts w:hAnsi="宋体" w:cs="宋体"/>
          <w:color w:val="000000"/>
          <w:sz w:val="24"/>
          <w:szCs w:val="24"/>
          <w:highlight w:val="none"/>
        </w:rPr>
      </w:pPr>
      <w:r>
        <w:rPr>
          <w:rFonts w:hint="eastAsia" w:hAnsi="宋体" w:cs="宋体"/>
          <w:color w:val="000000"/>
          <w:sz w:val="24"/>
          <w:szCs w:val="24"/>
          <w:highlight w:val="none"/>
        </w:rPr>
        <w:t xml:space="preserve">1、投标人对所提供资料的真实性负责。招标人保留对中标单位所有资料进行复核的权利。如有弄虚作假者，一经发现，立即取消其中标资格。</w:t>
      </w:r>
      <w:r>
        <w:rPr>
          <w:rFonts w:hAnsi="宋体" w:cs="宋体"/>
          <w:color w:val="000000"/>
          <w:sz w:val="24"/>
          <w:szCs w:val="24"/>
          <w:highlight w:val="none"/>
        </w:rPr>
      </w:r>
      <w:r/>
    </w:p>
    <w:p>
      <w:pPr>
        <w:pStyle w:val="1024"/>
        <w:ind w:firstLine="480"/>
        <w:spacing w:line="500" w:lineRule="exact"/>
        <w:rPr>
          <w:rFonts w:ascii="宋体" w:hAnsi="宋体" w:cs="Courier New"/>
          <w:bCs/>
          <w:color w:val="000000"/>
          <w:sz w:val="24"/>
          <w:szCs w:val="24"/>
          <w:highlight w:val="none"/>
        </w:rPr>
      </w:pPr>
      <w:r>
        <w:rPr>
          <w:rFonts w:hint="eastAsia" w:hAnsi="宋体" w:cs="宋体"/>
          <w:color w:val="000000"/>
          <w:sz w:val="24"/>
          <w:szCs w:val="24"/>
          <w:highlight w:val="none"/>
        </w:rPr>
        <w:t xml:space="preserve">2、所有认证、证明等均以有效的并加盖公章的复印件为计分依据。</w:t>
      </w:r>
      <w:r>
        <w:rPr>
          <w:rFonts w:hint="eastAsia" w:ascii="宋体" w:hAnsi="宋体" w:cs="Courier New"/>
          <w:bCs/>
          <w:color w:val="000000"/>
          <w:sz w:val="24"/>
          <w:szCs w:val="24"/>
          <w:highlight w:val="none"/>
        </w:rPr>
        <w:br w:type="page" w:clear="all"/>
      </w:r>
      <w:r>
        <w:rPr>
          <w:rFonts w:ascii="宋体" w:hAnsi="宋体" w:cs="Courier New"/>
          <w:bCs/>
          <w:color w:val="000000"/>
          <w:sz w:val="24"/>
          <w:szCs w:val="24"/>
          <w:highlight w:val="none"/>
        </w:rPr>
      </w:r>
      <w:r/>
    </w:p>
    <w:p>
      <w:pPr>
        <w:pStyle w:val="1025"/>
        <w:rPr>
          <w:rFonts w:ascii="黑体" w:eastAsia="黑体"/>
          <w:bCs/>
          <w:color w:val="000000"/>
          <w:sz w:val="44"/>
          <w:highlight w:val="none"/>
        </w:rPr>
      </w:pPr>
      <w:r>
        <w:rPr>
          <w:rFonts w:hint="eastAsia" w:ascii="黑体" w:eastAsia="黑体"/>
          <w:bCs/>
          <w:color w:val="000000"/>
          <w:sz w:val="44"/>
          <w:highlight w:val="none"/>
        </w:rPr>
        <w:t xml:space="preserve">第六章  投标</w:t>
      </w:r>
      <w:bookmarkEnd w:id="179"/>
      <w:r/>
      <w:bookmarkEnd w:id="180"/>
      <w:r/>
      <w:bookmarkEnd w:id="183"/>
      <w:r>
        <w:rPr>
          <w:rFonts w:hint="eastAsia" w:ascii="黑体" w:eastAsia="黑体"/>
          <w:bCs/>
          <w:color w:val="000000"/>
          <w:sz w:val="44"/>
          <w:highlight w:val="none"/>
        </w:rPr>
        <w:t xml:space="preserve">文件格式 </w:t>
      </w:r>
      <w:r>
        <w:rPr>
          <w:rFonts w:ascii="黑体" w:eastAsia="黑体"/>
          <w:bCs/>
          <w:color w:val="000000"/>
          <w:sz w:val="44"/>
          <w:highlight w:val="none"/>
        </w:rPr>
      </w:r>
      <w:r/>
    </w:p>
    <w:p>
      <w:pPr>
        <w:pStyle w:val="1024"/>
        <w:jc w:val="center"/>
        <w:rPr>
          <w:rFonts w:ascii="宋体" w:hAnsi="宋体"/>
          <w:b/>
          <w:color w:val="000000"/>
          <w:sz w:val="72"/>
          <w:highlight w:val="none"/>
        </w:rPr>
      </w:pPr>
      <w:r/>
      <w:bookmarkStart w:id="189" w:name="_Toc49090576"/>
      <w:r/>
      <w:bookmarkStart w:id="190" w:name="_Toc26554094"/>
      <w:r/>
      <w:bookmarkStart w:id="191" w:name="_Toc120614282"/>
      <w:r>
        <w:rPr>
          <w:rFonts w:ascii="宋体" w:hAnsi="宋体"/>
          <w:b/>
          <w:color w:val="000000"/>
          <w:sz w:val="72"/>
          <w:highlight w:val="none"/>
        </w:rPr>
      </w:r>
      <w:r/>
    </w:p>
    <w:p>
      <w:pPr>
        <w:pStyle w:val="1024"/>
        <w:jc w:val="center"/>
        <w:rPr>
          <w:rFonts w:ascii="宋体" w:hAnsi="宋体"/>
          <w:b/>
          <w:color w:val="000000"/>
          <w:sz w:val="72"/>
          <w:highlight w:val="none"/>
        </w:rPr>
      </w:pPr>
      <w:r>
        <w:rPr>
          <w:rFonts w:hint="eastAsia" w:ascii="宋体" w:hAnsi="宋体"/>
          <w:b/>
          <w:color w:val="000000"/>
          <w:sz w:val="72"/>
          <w:highlight w:val="none"/>
        </w:rPr>
        <w:t xml:space="preserve">投  标  文  件</w:t>
      </w:r>
      <w:r>
        <w:rPr>
          <w:rFonts w:ascii="宋体" w:hAnsi="宋体"/>
          <w:b/>
          <w:color w:val="000000"/>
          <w:sz w:val="72"/>
          <w:highlight w:val="none"/>
        </w:rPr>
      </w:r>
      <w:r/>
    </w:p>
    <w:p>
      <w:pPr>
        <w:pStyle w:val="1024"/>
        <w:jc w:val="center"/>
        <w:rPr>
          <w:rFonts w:ascii="黑体" w:hAnsi="黑体" w:eastAsia="黑体"/>
          <w:b/>
          <w:color w:val="000000"/>
          <w:sz w:val="36"/>
          <w:highlight w:val="none"/>
        </w:rPr>
      </w:pPr>
      <w:r>
        <w:rPr>
          <w:rFonts w:ascii="黑体" w:hAnsi="黑体" w:eastAsia="黑体"/>
          <w:b/>
          <w:color w:val="000000"/>
          <w:sz w:val="36"/>
          <w:highlight w:val="none"/>
        </w:rPr>
      </w:r>
      <w:r/>
    </w:p>
    <w:p>
      <w:pPr>
        <w:pStyle w:val="1024"/>
        <w:jc w:val="center"/>
        <w:rPr>
          <w:rFonts w:ascii="宋体" w:hAnsi="宋体"/>
          <w:b/>
          <w:color w:val="000000"/>
          <w:sz w:val="72"/>
          <w:highlight w:val="none"/>
        </w:rPr>
      </w:pPr>
      <w:r>
        <w:rPr>
          <w:rFonts w:ascii="宋体" w:hAnsi="宋体"/>
          <w:b/>
          <w:color w:val="000000"/>
          <w:sz w:val="72"/>
          <w:highlight w:val="none"/>
        </w:rPr>
      </w:r>
      <w:r/>
    </w:p>
    <w:p>
      <w:pPr>
        <w:pStyle w:val="1024"/>
        <w:jc w:val="center"/>
        <w:rPr>
          <w:rFonts w:hint="eastAsia" w:ascii="宋体" w:hAnsi="宋体"/>
          <w:b/>
          <w:color w:val="000000"/>
          <w:sz w:val="72"/>
          <w:highlight w:val="none"/>
        </w:rPr>
      </w:pPr>
      <w:r>
        <w:rPr>
          <w:rFonts w:hint="eastAsia" w:ascii="宋体" w:hAnsi="宋体"/>
          <w:b/>
          <w:color w:val="000000"/>
          <w:sz w:val="72"/>
          <w:highlight w:val="none"/>
        </w:rPr>
      </w:r>
      <w:r/>
    </w:p>
    <w:p>
      <w:pPr>
        <w:pStyle w:val="1024"/>
        <w:jc w:val="center"/>
        <w:rPr>
          <w:rFonts w:ascii="宋体" w:hAnsi="宋体"/>
          <w:b/>
          <w:color w:val="000000"/>
          <w:sz w:val="36"/>
          <w:highlight w:val="none"/>
        </w:rPr>
      </w:pPr>
      <w:r>
        <w:rPr>
          <w:rFonts w:ascii="宋体" w:hAnsi="宋体"/>
          <w:b/>
          <w:color w:val="000000"/>
          <w:sz w:val="36"/>
          <w:highlight w:val="none"/>
        </w:rPr>
      </w:r>
      <w:r/>
    </w:p>
    <w:p>
      <w:pPr>
        <w:pStyle w:val="1024"/>
        <w:jc w:val="center"/>
        <w:rPr>
          <w:rFonts w:ascii="宋体" w:hAnsi="宋体"/>
          <w:b/>
          <w:color w:val="000000"/>
          <w:sz w:val="36"/>
          <w:highlight w:val="none"/>
        </w:rPr>
      </w:pPr>
      <w:r>
        <w:rPr>
          <w:rFonts w:ascii="宋体" w:hAnsi="宋体"/>
          <w:b/>
          <w:color w:val="000000"/>
          <w:sz w:val="36"/>
          <w:highlight w:val="none"/>
        </w:rPr>
      </w:r>
      <w:r/>
    </w:p>
    <w:p>
      <w:pPr>
        <w:pStyle w:val="1024"/>
        <w:jc w:val="center"/>
        <w:rPr>
          <w:rFonts w:ascii="宋体" w:hAnsi="宋体"/>
          <w:b/>
          <w:color w:val="000000"/>
          <w:sz w:val="36"/>
          <w:highlight w:val="none"/>
        </w:rPr>
      </w:pPr>
      <w:r>
        <w:rPr>
          <w:rFonts w:ascii="宋体" w:hAnsi="宋体"/>
          <w:b/>
          <w:color w:val="000000"/>
          <w:sz w:val="36"/>
          <w:highlight w:val="none"/>
        </w:rPr>
      </w:r>
      <w:r/>
    </w:p>
    <w:p>
      <w:pPr>
        <w:pStyle w:val="1024"/>
        <w:ind w:firstLine="1084"/>
        <w:rPr>
          <w:rFonts w:ascii="宋体" w:hAnsi="宋体"/>
          <w:b/>
          <w:color w:val="000000"/>
          <w:sz w:val="36"/>
          <w:highlight w:val="none"/>
        </w:rPr>
      </w:pPr>
      <w:r>
        <w:rPr>
          <w:rFonts w:ascii="宋体" w:hAnsi="宋体"/>
          <w:b/>
          <w:color w:val="000000"/>
          <w:sz w:val="36"/>
          <w:highlight w:val="none"/>
        </w:rPr>
      </w:r>
      <w:r/>
    </w:p>
    <w:p>
      <w:pPr>
        <w:pStyle w:val="1024"/>
        <w:ind w:firstLine="1084"/>
        <w:rPr>
          <w:rFonts w:ascii="宋体" w:hAnsi="宋体"/>
          <w:b/>
          <w:color w:val="000000"/>
          <w:sz w:val="36"/>
          <w:highlight w:val="none"/>
        </w:rPr>
      </w:pPr>
      <w:r>
        <w:rPr>
          <w:rFonts w:ascii="宋体" w:hAnsi="宋体"/>
          <w:b/>
          <w:color w:val="000000"/>
          <w:sz w:val="36"/>
          <w:highlight w:val="none"/>
        </w:rPr>
      </w:r>
      <w:r/>
    </w:p>
    <w:p>
      <w:pPr>
        <w:pStyle w:val="1024"/>
        <w:ind w:firstLine="1084"/>
        <w:spacing w:line="700" w:lineRule="exact"/>
        <w:rPr>
          <w:rFonts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1024"/>
        <w:spacing w:line="700" w:lineRule="exact"/>
        <w:rPr>
          <w:rFonts w:hint="eastAsia" w:ascii="宋体" w:hAnsi="宋体"/>
          <w:b/>
          <w:color w:val="000000"/>
          <w:sz w:val="36"/>
          <w:highlight w:val="none"/>
        </w:rPr>
      </w:pPr>
      <w:r>
        <w:rPr>
          <w:rFonts w:hint="eastAsia" w:ascii="宋体" w:hAnsi="宋体"/>
          <w:b/>
          <w:color w:val="000000"/>
          <w:sz w:val="36"/>
          <w:highlight w:val="none"/>
        </w:rPr>
        <w:t xml:space="preserve">      所 投 标 段：</w:t>
      </w:r>
      <w:r>
        <w:rPr>
          <w:rFonts w:hint="eastAsia" w:ascii="宋体" w:hAnsi="宋体"/>
          <w:b/>
          <w:color w:val="000000"/>
          <w:sz w:val="36"/>
          <w:highlight w:val="none"/>
          <w:u w:val="single"/>
        </w:rPr>
        <w:t xml:space="preserve">               </w:t>
      </w:r>
      <w:r>
        <w:rPr>
          <w:rFonts w:hint="eastAsia" w:ascii="宋体" w:hAnsi="宋体"/>
          <w:b/>
          <w:color w:val="000000"/>
          <w:sz w:val="36"/>
          <w:highlight w:val="none"/>
        </w:rPr>
      </w:r>
      <w:r/>
    </w:p>
    <w:p>
      <w:pPr>
        <w:pStyle w:val="1024"/>
        <w:ind w:firstLine="1084"/>
        <w:spacing w:line="700" w:lineRule="exact"/>
        <w:rPr>
          <w:rFonts w:ascii="宋体" w:hAnsi="宋体"/>
          <w:b/>
          <w:color w:val="000000"/>
          <w:sz w:val="36"/>
          <w:highlight w:val="none"/>
          <w:u w:val="single"/>
        </w:rPr>
      </w:pPr>
      <w:r>
        <w:rPr>
          <w:rFonts w:hint="eastAsia" w:ascii="宋体" w:hAnsi="宋体"/>
          <w:b/>
          <w:color w:val="000000"/>
          <w:sz w:val="36"/>
          <w:highlight w:val="none"/>
        </w:rPr>
        <w:t xml:space="preserve">投标人名称 ：</w:t>
      </w:r>
      <w:r>
        <w:rPr>
          <w:rFonts w:hint="eastAsia"/>
          <w:b/>
          <w:color w:val="000000"/>
          <w:sz w:val="36"/>
          <w:highlight w:val="none"/>
          <w:u w:val="single"/>
        </w:rPr>
        <w:t xml:space="preserve">（加盖CA电子公章）  </w:t>
      </w:r>
      <w:r>
        <w:rPr>
          <w:rFonts w:ascii="宋体" w:hAnsi="宋体"/>
          <w:b/>
          <w:color w:val="000000"/>
          <w:sz w:val="36"/>
          <w:highlight w:val="none"/>
          <w:u w:val="single"/>
        </w:rPr>
      </w:r>
      <w:r/>
    </w:p>
    <w:p>
      <w:pPr>
        <w:pStyle w:val="1024"/>
        <w:spacing w:line="700" w:lineRule="exact"/>
        <w:rPr>
          <w:rFonts w:ascii="宋体" w:hAnsi="宋体"/>
          <w:b/>
          <w:color w:val="000000"/>
          <w:sz w:val="36"/>
          <w:highlight w:val="non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1024"/>
        <w:jc w:val="center"/>
        <w:spacing w:line="44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1024"/>
        <w:ind w:firstLine="480"/>
        <w:spacing w:line="440" w:lineRule="exact"/>
        <w:rPr>
          <w:rFonts w:ascii="宋体" w:hAnsi="宋体"/>
          <w:color w:val="000000"/>
          <w:sz w:val="24"/>
          <w:highlight w:val="none"/>
        </w:rPr>
      </w:pPr>
      <w:r>
        <w:rPr>
          <w:rFonts w:ascii="宋体" w:hAnsi="宋体"/>
          <w:color w:val="000000"/>
          <w:sz w:val="24"/>
          <w:highlight w:val="none"/>
        </w:rPr>
      </w:r>
      <w:r/>
    </w:p>
    <w:p>
      <w:pPr>
        <w:pStyle w:val="1024"/>
        <w:ind w:firstLine="480"/>
        <w:spacing w:line="440" w:lineRule="exact"/>
        <w:rPr>
          <w:rFonts w:ascii="宋体" w:hAnsi="宋体"/>
          <w:color w:val="000000"/>
          <w:sz w:val="24"/>
          <w:highlight w:val="none"/>
        </w:rPr>
      </w:pPr>
      <w:r>
        <w:rPr>
          <w:rFonts w:ascii="宋体" w:hAnsi="宋体"/>
          <w:color w:val="000000"/>
          <w:sz w:val="24"/>
          <w:highlight w:val="none"/>
        </w:rPr>
      </w:r>
      <w:r/>
    </w:p>
    <w:p>
      <w:pPr>
        <w:pStyle w:val="1024"/>
        <w:jc w:val="center"/>
        <w:spacing w:line="440" w:lineRule="exact"/>
        <w:rPr>
          <w:rFonts w:hint="eastAsia"/>
          <w:b/>
          <w:bCs/>
          <w:color w:val="000000"/>
          <w:sz w:val="32"/>
          <w:szCs w:val="32"/>
          <w:highlight w:val="none"/>
        </w:rPr>
      </w:pPr>
      <w:r>
        <w:rPr>
          <w:rFonts w:ascii="宋体" w:hAnsi="宋体"/>
          <w:color w:val="000000"/>
          <w:sz w:val="24"/>
          <w:highlight w:val="none"/>
        </w:rPr>
        <w:br w:type="page" w:clear="all"/>
      </w:r>
      <w:bookmarkEnd w:id="189"/>
      <w:r/>
      <w:bookmarkEnd w:id="190"/>
      <w:r/>
      <w:bookmarkEnd w:id="191"/>
      <w:r>
        <w:rPr>
          <w:rFonts w:hint="eastAsia"/>
          <w:b/>
          <w:bCs/>
          <w:color w:val="000000"/>
          <w:sz w:val="32"/>
          <w:szCs w:val="32"/>
          <w:highlight w:val="none"/>
        </w:rPr>
        <w:t xml:space="preserve">投标主要文件目录</w:t>
      </w:r>
      <w:r>
        <w:rPr>
          <w:rFonts w:hint="eastAsia"/>
          <w:b/>
          <w:bCs/>
          <w:color w:val="000000"/>
          <w:sz w:val="32"/>
          <w:szCs w:val="32"/>
          <w:highlight w:val="none"/>
        </w:rPr>
      </w:r>
      <w:r/>
    </w:p>
    <w:p>
      <w:pPr>
        <w:pStyle w:val="1024"/>
        <w:jc w:val="center"/>
        <w:spacing w:line="440" w:lineRule="exact"/>
        <w:rPr>
          <w:rFonts w:hint="eastAsia"/>
          <w:b/>
          <w:bCs/>
          <w:color w:val="000000"/>
          <w:sz w:val="32"/>
          <w:szCs w:val="32"/>
          <w:highlight w:val="none"/>
        </w:rPr>
      </w:pPr>
      <w:r>
        <w:rPr>
          <w:rFonts w:hint="eastAsia"/>
          <w:b/>
          <w:bCs/>
          <w:color w:val="000000"/>
          <w:sz w:val="32"/>
          <w:szCs w:val="32"/>
          <w:highlight w:val="none"/>
        </w:rPr>
      </w:r>
      <w:r/>
    </w:p>
    <w:p>
      <w:pPr>
        <w:pStyle w:val="1024"/>
        <w:ind w:firstLine="480"/>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一、法人或者其他组织的营业执照等证明文件，自然人的身份证明</w:t>
      </w:r>
      <w:r>
        <w:rPr>
          <w:rFonts w:ascii="宋体" w:hAnsi="宋体" w:cs="宋体"/>
          <w:color w:val="000000"/>
          <w:sz w:val="24"/>
          <w:szCs w:val="24"/>
          <w:highlight w:val="none"/>
        </w:rPr>
      </w:r>
      <w:r/>
    </w:p>
    <w:p>
      <w:pPr>
        <w:pStyle w:val="1024"/>
        <w:ind w:firstLine="480"/>
        <w:jc w:val="left"/>
        <w:widowControl/>
        <w:rPr>
          <w:rFonts w:hint="eastAsia" w:ascii="宋体" w:hAnsi="宋体" w:cs="宋体"/>
          <w:color w:val="000000"/>
          <w:sz w:val="24"/>
          <w:szCs w:val="24"/>
          <w:highlight w:val="none"/>
        </w:rPr>
      </w:pPr>
      <w:r>
        <w:rPr>
          <w:rFonts w:hint="eastAsia" w:ascii="宋体" w:hAnsi="宋体" w:cs="宋体"/>
          <w:color w:val="000000"/>
          <w:sz w:val="24"/>
          <w:highlight w:val="none"/>
        </w:rPr>
        <w:t xml:space="preserve">二、上一年度的财务状况报告（至少提供资产负债表、利润表、现金流量表，投标人成立不满一年无需提供）</w:t>
      </w:r>
      <w:r>
        <w:rPr>
          <w:rFonts w:hint="eastAsia" w:ascii="宋体" w:hAnsi="宋体" w:cs="宋体"/>
          <w:color w:val="000000"/>
          <w:sz w:val="24"/>
          <w:szCs w:val="24"/>
          <w:highlight w:val="none"/>
        </w:rPr>
      </w:r>
      <w:r/>
    </w:p>
    <w:p>
      <w:pPr>
        <w:pStyle w:val="1024"/>
        <w:ind w:firstLine="480"/>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三、具备履行合同所必需的设备和专业技术能力的书面声明</w:t>
      </w:r>
      <w:r>
        <w:rPr>
          <w:rFonts w:hint="eastAsia" w:ascii="宋体" w:hAnsi="宋体" w:cs="宋体"/>
          <w:color w:val="000000"/>
          <w:sz w:val="24"/>
          <w:szCs w:val="24"/>
          <w:highlight w:val="none"/>
        </w:rPr>
      </w:r>
      <w:r/>
    </w:p>
    <w:p>
      <w:pPr>
        <w:pStyle w:val="1024"/>
        <w:ind w:firstLine="480"/>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四、依法缴纳税收和社会保障资金的相关材料（提供提交投标文件截止时间</w:t>
      </w:r>
      <w:r>
        <w:rPr>
          <w:rFonts w:hint="eastAsia" w:ascii="宋体" w:hAnsi="宋体" w:cs="宋体"/>
          <w:color w:val="000000"/>
          <w:sz w:val="24"/>
          <w:szCs w:val="24"/>
          <w:highlight w:val="none"/>
        </w:rPr>
      </w:r>
      <w:r/>
    </w:p>
    <w:p>
      <w:pPr>
        <w:pStyle w:val="1024"/>
        <w:ind w:firstLine="480"/>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前一年内至少一个月依法缴纳税收及缴纳社会保障资金的证明材料。投标人依法享受缓缴、免缴税收、社会保障资金的提供证明材料）</w:t>
      </w:r>
      <w:r>
        <w:rPr>
          <w:rFonts w:hint="eastAsia" w:ascii="宋体" w:hAnsi="宋体" w:cs="宋体"/>
          <w:color w:val="000000"/>
          <w:sz w:val="24"/>
          <w:szCs w:val="24"/>
          <w:highlight w:val="none"/>
        </w:rPr>
      </w:r>
      <w:r/>
    </w:p>
    <w:p>
      <w:pPr>
        <w:pStyle w:val="1024"/>
        <w:ind w:firstLine="480"/>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五、参加政府采购活动前 3 年内在经营活动中没有重大违法记录的书面声明</w:t>
      </w:r>
      <w:r>
        <w:rPr>
          <w:rFonts w:hint="eastAsia" w:ascii="宋体" w:hAnsi="宋体" w:cs="宋体"/>
          <w:color w:val="000000"/>
          <w:sz w:val="24"/>
          <w:szCs w:val="24"/>
          <w:highlight w:val="none"/>
        </w:rPr>
      </w:r>
      <w:r/>
    </w:p>
    <w:p>
      <w:pPr>
        <w:pStyle w:val="1024"/>
        <w:ind w:firstLine="480"/>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六、特定资格要求的证明文件（如果本项目设置特定资格要求，则需要提供。）</w:t>
      </w:r>
      <w:r>
        <w:rPr>
          <w:rFonts w:hint="eastAsia" w:ascii="宋体" w:hAnsi="宋体" w:cs="宋体"/>
          <w:color w:val="000000"/>
          <w:sz w:val="24"/>
          <w:szCs w:val="24"/>
          <w:highlight w:val="none"/>
        </w:rPr>
      </w:r>
      <w:r/>
    </w:p>
    <w:p>
      <w:pPr>
        <w:pStyle w:val="1024"/>
        <w:ind w:firstLine="480"/>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七、法人授权书</w:t>
      </w:r>
      <w:r>
        <w:rPr>
          <w:rFonts w:hint="eastAsia" w:ascii="宋体" w:hAnsi="宋体" w:cs="宋体"/>
          <w:color w:val="000000"/>
          <w:sz w:val="24"/>
          <w:szCs w:val="24"/>
          <w:highlight w:val="none"/>
        </w:rPr>
      </w:r>
      <w:r/>
    </w:p>
    <w:p>
      <w:pPr>
        <w:pStyle w:val="1024"/>
        <w:ind w:firstLine="480"/>
        <w:jc w:val="left"/>
        <w:widowControl/>
        <w:rPr>
          <w:rFonts w:hint="eastAsia" w:ascii="宋体" w:hAnsi="宋体" w:cs="宋体"/>
          <w:i/>
          <w:iCs/>
          <w:color w:val="000000"/>
          <w:sz w:val="24"/>
          <w:szCs w:val="24"/>
          <w:highlight w:val="none"/>
        </w:rPr>
      </w:pPr>
      <w:r>
        <w:rPr>
          <w:rFonts w:hint="eastAsia" w:ascii="宋体" w:hAnsi="宋体" w:cs="宋体"/>
          <w:color w:val="000000"/>
          <w:sz w:val="24"/>
          <w:szCs w:val="24"/>
          <w:highlight w:val="none"/>
        </w:rPr>
        <w:t xml:space="preserve">八、投标函</w:t>
      </w:r>
      <w:r>
        <w:rPr>
          <w:rFonts w:hint="eastAsia" w:ascii="宋体" w:hAnsi="宋体" w:cs="宋体"/>
          <w:i/>
          <w:iCs/>
          <w:color w:val="000000"/>
          <w:sz w:val="24"/>
          <w:szCs w:val="24"/>
          <w:highlight w:val="none"/>
        </w:rPr>
      </w:r>
      <w:r/>
    </w:p>
    <w:p>
      <w:pPr>
        <w:pStyle w:val="1024"/>
        <w:ind w:firstLine="480"/>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九、中小微企业声明函</w:t>
      </w:r>
      <w:r>
        <w:rPr>
          <w:rFonts w:hint="eastAsia" w:ascii="宋体" w:hAnsi="宋体" w:cs="宋体"/>
          <w:color w:val="000000"/>
          <w:sz w:val="24"/>
          <w:szCs w:val="24"/>
          <w:highlight w:val="none"/>
        </w:rPr>
      </w:r>
      <w:r/>
    </w:p>
    <w:p>
      <w:pPr>
        <w:pStyle w:val="1024"/>
        <w:ind w:firstLine="480"/>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十、残疾人福利性单位声明函</w:t>
      </w:r>
      <w:r>
        <w:rPr>
          <w:rFonts w:hint="eastAsia" w:ascii="宋体" w:hAnsi="宋体" w:cs="宋体"/>
          <w:color w:val="000000"/>
          <w:sz w:val="24"/>
          <w:szCs w:val="24"/>
          <w:highlight w:val="none"/>
        </w:rPr>
      </w:r>
      <w:r/>
    </w:p>
    <w:p>
      <w:pPr>
        <w:pStyle w:val="1024"/>
        <w:ind w:firstLine="480"/>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十一、技术要求响应及偏离表</w:t>
      </w:r>
      <w:r>
        <w:rPr>
          <w:rFonts w:hint="eastAsia" w:ascii="宋体" w:hAnsi="宋体" w:cs="宋体"/>
          <w:color w:val="000000"/>
          <w:sz w:val="24"/>
          <w:szCs w:val="24"/>
          <w:highlight w:val="none"/>
        </w:rPr>
      </w:r>
      <w:r/>
    </w:p>
    <w:p>
      <w:pPr>
        <w:pStyle w:val="1024"/>
        <w:ind w:firstLine="480"/>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十二、商务要求响应及偏离表</w:t>
      </w:r>
      <w:r>
        <w:rPr>
          <w:rFonts w:hint="eastAsia" w:ascii="宋体" w:hAnsi="宋体" w:cs="宋体"/>
          <w:color w:val="000000"/>
          <w:sz w:val="24"/>
          <w:szCs w:val="24"/>
          <w:highlight w:val="none"/>
        </w:rPr>
      </w:r>
      <w:r/>
    </w:p>
    <w:p>
      <w:pPr>
        <w:pStyle w:val="1024"/>
        <w:ind w:firstLine="480"/>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十三、开标一览表</w:t>
      </w:r>
      <w:r>
        <w:rPr>
          <w:rFonts w:hint="eastAsia" w:ascii="宋体" w:hAnsi="宋体" w:cs="宋体"/>
          <w:color w:val="000000"/>
          <w:sz w:val="24"/>
          <w:szCs w:val="24"/>
          <w:highlight w:val="none"/>
        </w:rPr>
      </w:r>
      <w:r/>
    </w:p>
    <w:p>
      <w:pPr>
        <w:pStyle w:val="1024"/>
        <w:ind w:firstLine="480"/>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十四、项目负责人及服务团队人员一览表</w:t>
      </w:r>
      <w:r>
        <w:rPr>
          <w:rFonts w:hint="eastAsia" w:ascii="宋体" w:hAnsi="宋体" w:cs="宋体"/>
          <w:color w:val="000000"/>
          <w:sz w:val="24"/>
          <w:szCs w:val="24"/>
          <w:highlight w:val="none"/>
        </w:rPr>
      </w:r>
      <w:r/>
    </w:p>
    <w:p>
      <w:pPr>
        <w:pStyle w:val="1024"/>
        <w:ind w:firstLine="480"/>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十五、服务方案</w:t>
      </w:r>
      <w:r>
        <w:rPr>
          <w:rFonts w:hint="eastAsia" w:ascii="宋体" w:hAnsi="宋体" w:cs="宋体"/>
          <w:color w:val="000000"/>
          <w:sz w:val="24"/>
          <w:szCs w:val="24"/>
          <w:highlight w:val="none"/>
        </w:rPr>
      </w:r>
      <w:r/>
    </w:p>
    <w:p>
      <w:pPr>
        <w:pStyle w:val="1024"/>
        <w:ind w:firstLine="480"/>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十六、盐城市政府采购事前信用承诺书</w:t>
      </w:r>
      <w:r>
        <w:rPr>
          <w:rFonts w:hint="eastAsia" w:ascii="宋体" w:hAnsi="宋体" w:cs="宋体"/>
          <w:color w:val="000000"/>
          <w:sz w:val="24"/>
          <w:szCs w:val="24"/>
          <w:highlight w:val="none"/>
        </w:rPr>
      </w:r>
      <w:r/>
    </w:p>
    <w:p>
      <w:pPr>
        <w:pStyle w:val="1024"/>
        <w:ind w:firstLine="480"/>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十七、异常低价说明函</w:t>
      </w:r>
      <w:r>
        <w:rPr>
          <w:rFonts w:hint="eastAsia" w:ascii="宋体" w:hAnsi="宋体" w:cs="宋体"/>
          <w:color w:val="000000"/>
          <w:sz w:val="24"/>
          <w:szCs w:val="24"/>
          <w:highlight w:val="none"/>
        </w:rPr>
      </w:r>
      <w:r/>
    </w:p>
    <w:p>
      <w:pPr>
        <w:pStyle w:val="1024"/>
        <w:ind w:firstLine="420"/>
        <w:spacing w:line="440" w:lineRule="exact"/>
        <w:rPr>
          <w:color w:val="000000"/>
          <w:highlight w:val="none"/>
        </w:rPr>
      </w:pPr>
      <w:r>
        <w:rPr>
          <w:color w:val="000000"/>
          <w:highlight w:val="none"/>
        </w:rPr>
      </w:r>
      <w:r/>
    </w:p>
    <w:p>
      <w:pPr>
        <w:pStyle w:val="1024"/>
        <w:jc w:val="center"/>
        <w:spacing w:before="50" w:after="50"/>
        <w:rPr>
          <w:rFonts w:hint="eastAsia"/>
          <w:b/>
          <w:bCs/>
          <w:i/>
          <w:iCs/>
          <w:color w:val="000000"/>
          <w:sz w:val="30"/>
          <w:szCs w:val="30"/>
          <w:highlight w:val="none"/>
          <w:u w:val="single"/>
        </w:rPr>
      </w:pPr>
      <w:r>
        <w:rPr>
          <w:color w:val="000000"/>
          <w:highlight w:val="none"/>
        </w:rPr>
        <w:br w:type="page" w:clear="all"/>
      </w:r>
      <w:r>
        <w:rPr>
          <w:rFonts w:hint="eastAsia"/>
          <w:b/>
          <w:bCs/>
          <w:i/>
          <w:iCs/>
          <w:color w:val="000000"/>
          <w:sz w:val="30"/>
          <w:szCs w:val="30"/>
          <w:highlight w:val="none"/>
          <w:u w:val="single"/>
        </w:rPr>
        <w:t xml:space="preserve">一、法人或者其他组织的营业执照等证明文件，自然人的身份证明</w:t>
      </w:r>
      <w:r>
        <w:rPr>
          <w:rFonts w:hint="eastAsia"/>
          <w:b/>
          <w:bCs/>
          <w:i/>
          <w:iCs/>
          <w:color w:val="000000"/>
          <w:sz w:val="30"/>
          <w:szCs w:val="30"/>
          <w:highlight w:val="none"/>
          <w:u w:val="single"/>
        </w:rPr>
      </w:r>
      <w:r/>
    </w:p>
    <w:p>
      <w:pPr>
        <w:pStyle w:val="1085"/>
        <w:rPr>
          <w:color w:val="000000"/>
          <w:highlight w:val="none"/>
        </w:rPr>
      </w:pPr>
      <w:r>
        <w:rPr>
          <w:rFonts w:hint="eastAsia"/>
          <w:color w:val="000000"/>
          <w:highlight w:val="none"/>
        </w:rPr>
        <w:br w:type="page" w:clear="all"/>
      </w:r>
      <w:r>
        <w:rPr>
          <w:color w:val="000000"/>
          <w:highlight w:val="none"/>
        </w:rPr>
      </w:r>
      <w:r/>
    </w:p>
    <w:p>
      <w:pPr>
        <w:pStyle w:val="1024"/>
        <w:jc w:val="center"/>
        <w:spacing w:before="50" w:after="50"/>
        <w:rPr>
          <w:b/>
          <w:bCs/>
          <w:i/>
          <w:iCs/>
          <w:color w:val="000000"/>
          <w:sz w:val="30"/>
          <w:szCs w:val="30"/>
          <w:highlight w:val="none"/>
          <w:u w:val="single"/>
        </w:rPr>
      </w:pPr>
      <w:r>
        <w:rPr>
          <w:rFonts w:hint="eastAsia"/>
          <w:b/>
          <w:bCs/>
          <w:i/>
          <w:iCs/>
          <w:color w:val="000000"/>
          <w:sz w:val="30"/>
          <w:szCs w:val="30"/>
          <w:highlight w:val="none"/>
          <w:u w:val="single"/>
        </w:rPr>
        <w:t xml:space="preserve">二、上一年度的财务状况报表</w:t>
      </w:r>
      <w:r>
        <w:rPr>
          <w:b/>
          <w:bCs/>
          <w:i/>
          <w:iCs/>
          <w:color w:val="000000"/>
          <w:sz w:val="30"/>
          <w:szCs w:val="30"/>
          <w:highlight w:val="none"/>
          <w:u w:val="single"/>
        </w:rPr>
      </w:r>
      <w:r/>
    </w:p>
    <w:p>
      <w:pPr>
        <w:pStyle w:val="1027"/>
        <w:jc w:val="center"/>
        <w:spacing w:line="400" w:lineRule="exact"/>
        <w:rPr>
          <w:rFonts w:hint="eastAsia" w:ascii="宋体" w:hAnsi="宋体" w:cs="宋体"/>
          <w:b w:val="0"/>
          <w:bCs w:val="0"/>
          <w:color w:val="000000"/>
          <w:sz w:val="24"/>
          <w:szCs w:val="24"/>
          <w:highlight w:val="none"/>
        </w:rPr>
      </w:pPr>
      <w:r>
        <w:rPr>
          <w:rFonts w:hint="eastAsia" w:ascii="宋体" w:hAnsi="宋体" w:cs="宋体"/>
          <w:b w:val="0"/>
          <w:bCs w:val="0"/>
          <w:iCs/>
          <w:color w:val="000000"/>
          <w:sz w:val="24"/>
          <w:highlight w:val="none"/>
        </w:rPr>
        <w:t xml:space="preserve">（至少提供资产负债表、利润表、现金流量表，投标人成立不满一年无需提供）</w:t>
      </w:r>
      <w:r>
        <w:rPr>
          <w:rFonts w:hint="eastAsia" w:ascii="宋体" w:hAnsi="宋体" w:cs="宋体"/>
          <w:b w:val="0"/>
          <w:bCs w:val="0"/>
          <w:color w:val="000000"/>
          <w:sz w:val="24"/>
          <w:szCs w:val="24"/>
          <w:highlight w:val="none"/>
        </w:rPr>
      </w:r>
      <w:r/>
    </w:p>
    <w:p>
      <w:pPr>
        <w:pStyle w:val="1024"/>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1085"/>
        <w:rPr>
          <w:color w:val="000000"/>
          <w:highlight w:val="none"/>
        </w:rPr>
      </w:pPr>
      <w:r>
        <w:rPr>
          <w:color w:val="000000"/>
          <w:highlight w:val="none"/>
        </w:rPr>
      </w:r>
      <w:r/>
    </w:p>
    <w:p>
      <w:pPr>
        <w:pStyle w:val="1024"/>
        <w:rPr>
          <w:b/>
          <w:bCs/>
          <w:i/>
          <w:iCs/>
          <w:color w:val="000000"/>
          <w:sz w:val="30"/>
          <w:szCs w:val="30"/>
          <w:highlight w:val="none"/>
          <w:u w:val="single"/>
        </w:rPr>
      </w:pPr>
      <w:r>
        <w:rPr>
          <w:rFonts w:hint="eastAsia"/>
          <w:color w:val="000000"/>
          <w:sz w:val="24"/>
          <w:szCs w:val="24"/>
          <w:highlight w:val="none"/>
        </w:rPr>
        <w:br w:type="page" w:clear="all"/>
      </w:r>
      <w:r>
        <w:rPr>
          <w:rFonts w:hint="eastAsia"/>
          <w:color w:val="000000"/>
          <w:sz w:val="24"/>
          <w:szCs w:val="24"/>
          <w:highlight w:val="none"/>
        </w:rPr>
        <w:t xml:space="preserve">        </w:t>
      </w:r>
      <w:r>
        <w:rPr>
          <w:rFonts w:hint="eastAsia"/>
          <w:b/>
          <w:bCs/>
          <w:i/>
          <w:iCs/>
          <w:color w:val="000000"/>
          <w:sz w:val="30"/>
          <w:szCs w:val="30"/>
          <w:highlight w:val="none"/>
          <w:u w:val="single"/>
        </w:rPr>
        <w:t xml:space="preserve">三、具备履行合同所必需的设备和专业技术能力的书面声明</w:t>
      </w:r>
      <w:r>
        <w:rPr>
          <w:b/>
          <w:bCs/>
          <w:i/>
          <w:iCs/>
          <w:color w:val="000000"/>
          <w:sz w:val="30"/>
          <w:szCs w:val="30"/>
          <w:highlight w:val="none"/>
          <w:u w:val="single"/>
        </w:rPr>
      </w:r>
      <w:r/>
    </w:p>
    <w:p>
      <w:pPr>
        <w:pStyle w:val="1027"/>
        <w:spacing w:line="400" w:lineRule="exact"/>
        <w:rPr>
          <w:b w:val="0"/>
          <w:bCs w:val="0"/>
          <w:color w:val="000000"/>
          <w:sz w:val="24"/>
          <w:szCs w:val="24"/>
          <w:highlight w:val="none"/>
        </w:rPr>
      </w:pPr>
      <w:r>
        <w:rPr>
          <w:b w:val="0"/>
          <w:bCs w:val="0"/>
          <w:color w:val="000000"/>
          <w:sz w:val="24"/>
          <w:szCs w:val="24"/>
          <w:highlight w:val="none"/>
        </w:rPr>
      </w:r>
      <w:r/>
    </w:p>
    <w:p>
      <w:pPr>
        <w:pStyle w:val="1027"/>
        <w:ind w:firstLine="480"/>
        <w:spacing w:line="400" w:lineRule="exact"/>
        <w:rPr>
          <w:rFonts w:hint="eastAsia"/>
          <w:b w:val="0"/>
          <w:bCs w:val="0"/>
          <w:color w:val="000000"/>
          <w:sz w:val="24"/>
          <w:szCs w:val="24"/>
          <w:highlight w:val="none"/>
        </w:rPr>
      </w:pPr>
      <w:r>
        <w:rPr>
          <w:rFonts w:hint="eastAsia"/>
          <w:b w:val="0"/>
          <w:bCs w:val="0"/>
          <w:color w:val="000000"/>
          <w:sz w:val="24"/>
          <w:szCs w:val="24"/>
          <w:highlight w:val="none"/>
        </w:rPr>
        <w:t xml:space="preserve">我单位郑重声明：我单位具备履行本项采购合同所必需的设备和专业技术能力，为履行本项采购合同我公司具备如下主要设备和主要专业技术能力：</w:t>
      </w:r>
      <w:r>
        <w:rPr>
          <w:rFonts w:hint="eastAsia"/>
          <w:b w:val="0"/>
          <w:bCs w:val="0"/>
          <w:color w:val="000000"/>
          <w:sz w:val="24"/>
          <w:szCs w:val="24"/>
          <w:highlight w:val="none"/>
        </w:rPr>
      </w:r>
      <w:r/>
    </w:p>
    <w:p>
      <w:pPr>
        <w:pStyle w:val="1027"/>
        <w:ind w:firstLine="480"/>
        <w:spacing w:line="400" w:lineRule="exact"/>
        <w:rPr>
          <w:rFonts w:hint="eastAsia"/>
          <w:b w:val="0"/>
          <w:bCs w:val="0"/>
          <w:color w:val="000000"/>
          <w:sz w:val="24"/>
          <w:szCs w:val="24"/>
          <w:highlight w:val="none"/>
        </w:rPr>
      </w:pPr>
      <w:r>
        <w:rPr>
          <w:rFonts w:hint="eastAsia"/>
          <w:b w:val="0"/>
          <w:bCs w:val="0"/>
          <w:color w:val="000000"/>
          <w:sz w:val="24"/>
          <w:szCs w:val="24"/>
          <w:highlight w:val="none"/>
        </w:rPr>
        <w:t xml:space="preserve">主要设备有：</w:t>
      </w:r>
      <w:r>
        <w:rPr>
          <w:rFonts w:hint="eastAsia"/>
          <w:b w:val="0"/>
          <w:bCs w:val="0"/>
          <w:color w:val="000000"/>
          <w:sz w:val="24"/>
          <w:szCs w:val="24"/>
          <w:highlight w:val="none"/>
          <w:u w:val="single"/>
        </w:rPr>
        <w:t xml:space="preserve">       </w:t>
      </w:r>
      <w:r>
        <w:rPr>
          <w:rFonts w:hint="eastAsia"/>
          <w:b w:val="0"/>
          <w:bCs w:val="0"/>
          <w:color w:val="000000"/>
          <w:sz w:val="24"/>
          <w:szCs w:val="24"/>
          <w:highlight w:val="none"/>
        </w:rPr>
        <w:t xml:space="preserve">。</w:t>
      </w:r>
      <w:r>
        <w:rPr>
          <w:rFonts w:hint="eastAsia"/>
          <w:b w:val="0"/>
          <w:bCs w:val="0"/>
          <w:color w:val="000000"/>
          <w:sz w:val="24"/>
          <w:szCs w:val="24"/>
          <w:highlight w:val="none"/>
        </w:rPr>
      </w:r>
      <w:r/>
    </w:p>
    <w:p>
      <w:pPr>
        <w:pStyle w:val="1027"/>
        <w:ind w:firstLine="480"/>
        <w:spacing w:line="400" w:lineRule="exact"/>
        <w:rPr>
          <w:rFonts w:hint="eastAsia"/>
          <w:b w:val="0"/>
          <w:bCs w:val="0"/>
          <w:color w:val="000000"/>
          <w:sz w:val="24"/>
          <w:szCs w:val="24"/>
          <w:highlight w:val="none"/>
        </w:rPr>
      </w:pPr>
      <w:r>
        <w:rPr>
          <w:rFonts w:hint="eastAsia"/>
          <w:b w:val="0"/>
          <w:bCs w:val="0"/>
          <w:color w:val="000000"/>
          <w:sz w:val="24"/>
          <w:szCs w:val="24"/>
          <w:highlight w:val="none"/>
        </w:rPr>
        <w:t xml:space="preserve">主要专业技术能力有：</w:t>
      </w:r>
      <w:r>
        <w:rPr>
          <w:rFonts w:hint="eastAsia"/>
          <w:b w:val="0"/>
          <w:bCs w:val="0"/>
          <w:color w:val="000000"/>
          <w:sz w:val="24"/>
          <w:szCs w:val="24"/>
          <w:highlight w:val="none"/>
          <w:u w:val="single"/>
        </w:rPr>
        <w:t xml:space="preserve">       </w:t>
      </w:r>
      <w:r>
        <w:rPr>
          <w:rFonts w:hint="eastAsia"/>
          <w:b w:val="0"/>
          <w:bCs w:val="0"/>
          <w:color w:val="000000"/>
          <w:sz w:val="24"/>
          <w:szCs w:val="24"/>
          <w:highlight w:val="none"/>
        </w:rPr>
        <w:t xml:space="preserve">。</w:t>
      </w:r>
      <w:r>
        <w:rPr>
          <w:rFonts w:hint="eastAsia"/>
          <w:b w:val="0"/>
          <w:bCs w:val="0"/>
          <w:color w:val="000000"/>
          <w:sz w:val="24"/>
          <w:szCs w:val="24"/>
          <w:highlight w:val="none"/>
        </w:rPr>
      </w:r>
      <w:r/>
    </w:p>
    <w:p>
      <w:pPr>
        <w:pStyle w:val="1024"/>
        <w:jc w:val="center"/>
        <w:spacing w:before="50" w:after="50"/>
        <w:rPr>
          <w:b/>
          <w:bCs/>
          <w:i/>
          <w:iCs/>
          <w:color w:val="000000"/>
          <w:sz w:val="30"/>
          <w:szCs w:val="30"/>
          <w:highlight w:val="none"/>
          <w:u w:val="single"/>
        </w:rPr>
      </w:pPr>
      <w:r>
        <w:rPr>
          <w:rFonts w:hint="eastAsia"/>
          <w:color w:val="000000"/>
          <w:highlight w:val="none"/>
        </w:rPr>
        <w:br w:type="page" w:clear="all"/>
      </w:r>
      <w:r>
        <w:rPr>
          <w:rFonts w:hint="eastAsia"/>
          <w:b/>
          <w:bCs/>
          <w:i/>
          <w:iCs/>
          <w:color w:val="000000"/>
          <w:sz w:val="30"/>
          <w:szCs w:val="30"/>
          <w:highlight w:val="none"/>
          <w:u w:val="single"/>
        </w:rPr>
        <w:t xml:space="preserve">四、依法缴纳税收和社会保障资金的相关材料</w:t>
      </w:r>
      <w:r>
        <w:rPr>
          <w:b/>
          <w:bCs/>
          <w:i/>
          <w:iCs/>
          <w:color w:val="000000"/>
          <w:sz w:val="30"/>
          <w:szCs w:val="30"/>
          <w:highlight w:val="none"/>
          <w:u w:val="single"/>
        </w:rPr>
      </w:r>
      <w:r/>
    </w:p>
    <w:p>
      <w:pPr>
        <w:pStyle w:val="1027"/>
        <w:ind w:firstLine="480"/>
        <w:spacing w:line="400" w:lineRule="exact"/>
        <w:rPr>
          <w:rFonts w:hint="eastAsia"/>
          <w:b w:val="0"/>
          <w:bCs w:val="0"/>
          <w:color w:val="000000"/>
          <w:sz w:val="24"/>
          <w:szCs w:val="24"/>
          <w:highlight w:val="none"/>
        </w:rPr>
      </w:pPr>
      <w:r>
        <w:rPr>
          <w:rFonts w:hint="eastAsia"/>
          <w:b w:val="0"/>
          <w:bCs w:val="0"/>
          <w:color w:val="000000"/>
          <w:sz w:val="24"/>
          <w:szCs w:val="24"/>
          <w:highlight w:val="none"/>
        </w:rPr>
        <w:t xml:space="preserve">提供提交投标文件截止时间前一年内至少一个月依法缴纳税收及缴纳社会保障资金的证明材料。投标人依法享受缓缴、免缴税收、社会保障资金的提供证明材料。</w:t>
      </w:r>
      <w:r>
        <w:rPr>
          <w:rFonts w:hint="eastAsia"/>
          <w:b w:val="0"/>
          <w:bCs w:val="0"/>
          <w:color w:val="000000"/>
          <w:sz w:val="24"/>
          <w:szCs w:val="24"/>
          <w:highlight w:val="none"/>
        </w:rPr>
      </w:r>
      <w:r/>
    </w:p>
    <w:p>
      <w:pPr>
        <w:pStyle w:val="1024"/>
        <w:jc w:val="center"/>
        <w:spacing w:before="50" w:after="50"/>
        <w:rPr>
          <w:color w:val="000000"/>
          <w:highlight w:val="none"/>
        </w:rPr>
      </w:pPr>
      <w:r>
        <w:rPr>
          <w:rFonts w:hint="eastAsia" w:ascii="黑体" w:eastAsia="黑体"/>
          <w:color w:val="000000"/>
          <w:sz w:val="32"/>
          <w:szCs w:val="32"/>
          <w:highlight w:val="none"/>
        </w:rPr>
        <w:br w:type="page" w:clear="all"/>
      </w:r>
      <w:r>
        <w:rPr>
          <w:rFonts w:hint="eastAsia"/>
          <w:b/>
          <w:bCs/>
          <w:i/>
          <w:iCs/>
          <w:color w:val="000000"/>
          <w:sz w:val="30"/>
          <w:szCs w:val="30"/>
          <w:highlight w:val="none"/>
          <w:u w:val="single"/>
        </w:rPr>
        <w:t xml:space="preserve">五、参加政府采购活动前 3 年内在经营活动中没有重大违法记录的书面声明</w:t>
      </w:r>
      <w:r>
        <w:rPr>
          <w:color w:val="000000"/>
          <w:highlight w:val="none"/>
        </w:rPr>
      </w:r>
      <w:r/>
    </w:p>
    <w:p>
      <w:pPr>
        <w:pStyle w:val="1085"/>
        <w:jc w:val="center"/>
        <w:rPr>
          <w:rFonts w:hint="eastAsia"/>
          <w:b/>
          <w:bCs/>
          <w:color w:val="000000"/>
          <w:sz w:val="30"/>
          <w:szCs w:val="30"/>
          <w:highlight w:val="none"/>
        </w:rPr>
      </w:pPr>
      <w:r>
        <w:rPr>
          <w:rFonts w:hint="eastAsia"/>
          <w:b/>
          <w:bCs/>
          <w:color w:val="000000"/>
          <w:sz w:val="30"/>
          <w:szCs w:val="30"/>
          <w:highlight w:val="none"/>
        </w:rPr>
        <w:t xml:space="preserve">声 明</w:t>
      </w:r>
      <w:r>
        <w:rPr>
          <w:rFonts w:hint="eastAsia"/>
          <w:b/>
          <w:bCs/>
          <w:color w:val="000000"/>
          <w:sz w:val="30"/>
          <w:szCs w:val="30"/>
          <w:highlight w:val="none"/>
        </w:rPr>
      </w:r>
      <w:r/>
    </w:p>
    <w:p>
      <w:pPr>
        <w:pStyle w:val="1027"/>
        <w:ind w:firstLine="480"/>
        <w:spacing w:line="400" w:lineRule="exact"/>
        <w:rPr>
          <w:rFonts w:hint="eastAsia"/>
          <w:b w:val="0"/>
          <w:bCs w:val="0"/>
          <w:color w:val="000000"/>
          <w:sz w:val="24"/>
          <w:szCs w:val="24"/>
          <w:highlight w:val="none"/>
        </w:rPr>
      </w:pPr>
      <w:r>
        <w:rPr>
          <w:rFonts w:hint="eastAsia"/>
          <w:b w:val="0"/>
          <w:bCs w:val="0"/>
          <w:color w:val="000000"/>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rPr>
          <w:rFonts w:hint="eastAsia"/>
          <w:b w:val="0"/>
          <w:bCs w:val="0"/>
          <w:color w:val="000000"/>
          <w:sz w:val="24"/>
          <w:szCs w:val="24"/>
          <w:highlight w:val="none"/>
        </w:rPr>
      </w:r>
      <w:r/>
    </w:p>
    <w:p>
      <w:pPr>
        <w:pStyle w:val="1085"/>
        <w:rPr>
          <w:rFonts w:hint="eastAsia"/>
          <w:color w:val="000000"/>
          <w:highlight w:val="none"/>
        </w:rPr>
      </w:pPr>
      <w:r>
        <w:rPr>
          <w:rFonts w:hint="eastAsia"/>
          <w:color w:val="000000"/>
          <w:highlight w:val="none"/>
        </w:rPr>
      </w:r>
      <w:r/>
    </w:p>
    <w:p>
      <w:pPr>
        <w:pStyle w:val="1024"/>
        <w:jc w:val="center"/>
        <w:spacing w:before="50" w:after="50"/>
        <w:rPr>
          <w:rFonts w:ascii="黑体" w:eastAsia="黑体"/>
          <w:color w:val="000000"/>
          <w:sz w:val="32"/>
          <w:szCs w:val="32"/>
          <w:highlight w:val="none"/>
        </w:rPr>
      </w:pPr>
      <w:r>
        <w:rPr>
          <w:rFonts w:hint="eastAsia" w:ascii="黑体" w:eastAsia="黑体"/>
          <w:color w:val="000000"/>
          <w:sz w:val="32"/>
          <w:szCs w:val="32"/>
          <w:highlight w:val="none"/>
        </w:rPr>
        <w:br w:type="page" w:clear="all"/>
      </w:r>
      <w:r>
        <w:rPr>
          <w:rFonts w:hint="eastAsia"/>
          <w:b/>
          <w:bCs/>
          <w:i/>
          <w:iCs/>
          <w:color w:val="000000"/>
          <w:sz w:val="30"/>
          <w:szCs w:val="30"/>
          <w:highlight w:val="none"/>
          <w:u w:val="single"/>
        </w:rPr>
        <w:t xml:space="preserve">六、特定资格要求的证明文件</w:t>
      </w:r>
      <w:r>
        <w:rPr>
          <w:rFonts w:ascii="黑体" w:eastAsia="黑体"/>
          <w:color w:val="000000"/>
          <w:sz w:val="32"/>
          <w:szCs w:val="32"/>
          <w:highlight w:val="none"/>
        </w:rPr>
      </w:r>
      <w:r/>
    </w:p>
    <w:p>
      <w:pPr>
        <w:pStyle w:val="1027"/>
        <w:ind w:firstLine="480"/>
        <w:spacing w:line="400" w:lineRule="exact"/>
        <w:rPr>
          <w:rFonts w:hint="eastAsia"/>
          <w:b w:val="0"/>
          <w:bCs w:val="0"/>
          <w:color w:val="000000"/>
          <w:sz w:val="24"/>
          <w:szCs w:val="24"/>
          <w:highlight w:val="none"/>
        </w:rPr>
      </w:pPr>
      <w:r>
        <w:rPr>
          <w:rFonts w:hint="eastAsia"/>
          <w:b w:val="0"/>
          <w:bCs w:val="0"/>
          <w:color w:val="000000"/>
          <w:sz w:val="24"/>
          <w:szCs w:val="24"/>
          <w:highlight w:val="none"/>
        </w:rPr>
        <w:t xml:space="preserve">如果本项目投标人的特定资格要求中要求提供的，必须提供。</w:t>
      </w:r>
      <w:r>
        <w:rPr>
          <w:rFonts w:hint="eastAsia"/>
          <w:b w:val="0"/>
          <w:bCs w:val="0"/>
          <w:color w:val="000000"/>
          <w:sz w:val="24"/>
          <w:szCs w:val="24"/>
          <w:highlight w:val="none"/>
        </w:rPr>
      </w:r>
      <w:r/>
    </w:p>
    <w:p>
      <w:pPr>
        <w:pStyle w:val="1024"/>
        <w:jc w:val="center"/>
        <w:spacing w:before="50" w:after="50"/>
        <w:rPr>
          <w:color w:val="000000"/>
          <w:highlight w:val="none"/>
        </w:rPr>
      </w:pPr>
      <w:r>
        <w:rPr>
          <w:rFonts w:hint="eastAsia"/>
          <w:b/>
          <w:bCs/>
          <w:color w:val="000000"/>
          <w:highlight w:val="none"/>
        </w:rPr>
        <w:br w:type="page" w:clear="all"/>
      </w:r>
      <w:r>
        <w:rPr>
          <w:rFonts w:hint="eastAsia"/>
          <w:b/>
          <w:bCs/>
          <w:i/>
          <w:iCs/>
          <w:color w:val="000000"/>
          <w:sz w:val="30"/>
          <w:szCs w:val="30"/>
          <w:highlight w:val="none"/>
          <w:u w:val="single"/>
        </w:rPr>
        <w:t xml:space="preserve">七、法人授权书</w:t>
      </w:r>
      <w:r>
        <w:rPr>
          <w:color w:val="000000"/>
          <w:highlight w:val="none"/>
        </w:rPr>
      </w:r>
      <w:r/>
    </w:p>
    <w:p>
      <w:pPr>
        <w:pStyle w:val="1027"/>
        <w:ind w:firstLine="480"/>
        <w:spacing w:line="400" w:lineRule="exact"/>
        <w:rPr>
          <w:rFonts w:hint="eastAsia"/>
          <w:b w:val="0"/>
          <w:bCs w:val="0"/>
          <w:color w:val="000000"/>
          <w:sz w:val="24"/>
          <w:szCs w:val="24"/>
          <w:highlight w:val="none"/>
        </w:rPr>
      </w:pPr>
      <w:r>
        <w:rPr>
          <w:rFonts w:hint="eastAsia"/>
          <w:b w:val="0"/>
          <w:bCs w:val="0"/>
          <w:color w:val="000000"/>
          <w:sz w:val="24"/>
          <w:szCs w:val="24"/>
          <w:highlight w:val="none"/>
        </w:rPr>
        <w:t xml:space="preserve">本授权书声明：____________（投标人名称）授权________________（被授权人的姓名）为我方就</w:t>
      </w:r>
      <w:r>
        <w:rPr>
          <w:rFonts w:hint="eastAsia" w:ascii="宋体" w:hAnsi="宋体" w:cs="宋体"/>
          <w:b w:val="0"/>
          <w:bCs w:val="0"/>
          <w:color w:val="000000"/>
          <w:sz w:val="24"/>
          <w:szCs w:val="24"/>
          <w:highlight w:val="none"/>
          <w:u w:val="single"/>
        </w:rPr>
        <w:t xml:space="preserve">               </w:t>
      </w:r>
      <w:r>
        <w:rPr>
          <w:rFonts w:hint="eastAsia"/>
          <w:b w:val="0"/>
          <w:bCs w:val="0"/>
          <w:color w:val="000000"/>
          <w:sz w:val="24"/>
          <w:szCs w:val="24"/>
          <w:highlight w:val="none"/>
        </w:rPr>
        <w:t xml:space="preserve">号项目采购活动的合法代理人，以本单位名义全权处理一切与该项目采购有关的事务。</w:t>
      </w:r>
      <w:r>
        <w:rPr>
          <w:rFonts w:hint="eastAsia"/>
          <w:b w:val="0"/>
          <w:bCs w:val="0"/>
          <w:color w:val="000000"/>
          <w:sz w:val="24"/>
          <w:szCs w:val="24"/>
          <w:highlight w:val="none"/>
        </w:rPr>
      </w:r>
      <w:r/>
    </w:p>
    <w:p>
      <w:pPr>
        <w:pStyle w:val="1027"/>
        <w:ind w:firstLine="480"/>
        <w:spacing w:line="400" w:lineRule="exact"/>
        <w:rPr>
          <w:rFonts w:hint="eastAsia"/>
          <w:b w:val="0"/>
          <w:bCs w:val="0"/>
          <w:color w:val="000000"/>
          <w:sz w:val="24"/>
          <w:szCs w:val="24"/>
          <w:highlight w:val="none"/>
        </w:rPr>
      </w:pPr>
      <w:r>
        <w:rPr>
          <w:rFonts w:hint="eastAsia"/>
          <w:b w:val="0"/>
          <w:bCs w:val="0"/>
          <w:color w:val="000000"/>
          <w:sz w:val="24"/>
          <w:szCs w:val="24"/>
          <w:highlight w:val="none"/>
        </w:rPr>
        <w:t xml:space="preserve">本授权书于______年____月____日起生效，特此声明。</w:t>
      </w:r>
      <w:r>
        <w:rPr>
          <w:rFonts w:hint="eastAsia"/>
          <w:b w:val="0"/>
          <w:bCs w:val="0"/>
          <w:color w:val="000000"/>
          <w:sz w:val="24"/>
          <w:szCs w:val="24"/>
          <w:highlight w:val="none"/>
        </w:rPr>
      </w:r>
      <w:r/>
    </w:p>
    <w:p>
      <w:pPr>
        <w:pStyle w:val="1027"/>
        <w:ind w:firstLine="480"/>
        <w:spacing w:line="400" w:lineRule="exact"/>
        <w:rPr>
          <w:rFonts w:hint="eastAsia"/>
          <w:b w:val="0"/>
          <w:bCs w:val="0"/>
          <w:color w:val="000000"/>
          <w:sz w:val="24"/>
          <w:szCs w:val="24"/>
          <w:highlight w:val="none"/>
        </w:rPr>
      </w:pPr>
      <w:r>
        <w:rPr>
          <w:rFonts w:hint="eastAsia"/>
          <w:b w:val="0"/>
          <w:bCs w:val="0"/>
          <w:color w:val="000000"/>
          <w:sz w:val="24"/>
          <w:szCs w:val="24"/>
          <w:highlight w:val="none"/>
        </w:rPr>
        <w:t xml:space="preserve">被授权人身份证号码：</w:t>
      </w:r>
      <w:r>
        <w:rPr>
          <w:rFonts w:hint="eastAsia"/>
          <w:b w:val="0"/>
          <w:bCs w:val="0"/>
          <w:color w:val="000000"/>
          <w:sz w:val="24"/>
          <w:szCs w:val="24"/>
          <w:highlight w:val="none"/>
          <w:u w:val="single"/>
        </w:rPr>
        <w:t xml:space="preserve">                  </w:t>
      </w:r>
      <w:r>
        <w:rPr>
          <w:rFonts w:hint="eastAsia"/>
          <w:b w:val="0"/>
          <w:bCs w:val="0"/>
          <w:color w:val="000000"/>
          <w:sz w:val="24"/>
          <w:szCs w:val="24"/>
          <w:highlight w:val="none"/>
        </w:rPr>
        <w:t xml:space="preserve">  </w:t>
      </w:r>
      <w:r>
        <w:rPr>
          <w:rFonts w:hint="eastAsia"/>
          <w:b w:val="0"/>
          <w:bCs w:val="0"/>
          <w:color w:val="000000"/>
          <w:sz w:val="24"/>
          <w:szCs w:val="24"/>
          <w:highlight w:val="none"/>
        </w:rPr>
      </w:r>
      <w:r/>
    </w:p>
    <w:p>
      <w:pPr>
        <w:pStyle w:val="1027"/>
        <w:ind w:firstLine="480"/>
        <w:spacing w:line="400" w:lineRule="exact"/>
        <w:rPr>
          <w:rFonts w:hint="eastAsia"/>
          <w:b w:val="0"/>
          <w:bCs w:val="0"/>
          <w:color w:val="000000"/>
          <w:sz w:val="24"/>
          <w:szCs w:val="24"/>
          <w:highlight w:val="none"/>
        </w:rPr>
      </w:pPr>
      <w:r>
        <w:rPr>
          <w:rFonts w:hint="eastAsia"/>
          <w:b w:val="0"/>
          <w:bCs w:val="0"/>
          <w:color w:val="000000"/>
          <w:sz w:val="24"/>
          <w:szCs w:val="24"/>
          <w:highlight w:val="none"/>
        </w:rPr>
        <w:t xml:space="preserve">被授权人联系电话：（手机）</w:t>
      </w:r>
      <w:r>
        <w:rPr>
          <w:rFonts w:hint="eastAsia"/>
          <w:b w:val="0"/>
          <w:bCs w:val="0"/>
          <w:color w:val="000000"/>
          <w:sz w:val="24"/>
          <w:szCs w:val="24"/>
          <w:highlight w:val="none"/>
          <w:u w:val="single"/>
        </w:rPr>
        <w:t xml:space="preserve">            </w:t>
      </w:r>
      <w:r>
        <w:rPr>
          <w:rFonts w:hint="eastAsia"/>
          <w:b w:val="0"/>
          <w:bCs w:val="0"/>
          <w:color w:val="000000"/>
          <w:sz w:val="24"/>
          <w:szCs w:val="24"/>
          <w:highlight w:val="none"/>
        </w:rPr>
      </w:r>
      <w:r/>
    </w:p>
    <w:p>
      <w:pPr>
        <w:pStyle w:val="1027"/>
        <w:ind w:firstLine="480"/>
        <w:spacing w:line="400" w:lineRule="exact"/>
        <w:rPr>
          <w:rFonts w:hint="eastAsia"/>
          <w:b w:val="0"/>
          <w:bCs w:val="0"/>
          <w:color w:val="000000"/>
          <w:sz w:val="24"/>
          <w:szCs w:val="24"/>
          <w:highlight w:val="none"/>
        </w:rPr>
      </w:pPr>
      <w:r>
        <w:rPr>
          <w:rFonts w:hint="eastAsia"/>
          <w:b w:val="0"/>
          <w:bCs w:val="0"/>
          <w:color w:val="000000"/>
          <w:sz w:val="24"/>
          <w:szCs w:val="24"/>
          <w:highlight w:val="none"/>
        </w:rPr>
        <w:t xml:space="preserve">授权单位名称：</w:t>
      </w:r>
      <w:r>
        <w:rPr>
          <w:rFonts w:hint="eastAsia"/>
          <w:b w:val="0"/>
          <w:bCs w:val="0"/>
          <w:color w:val="000000"/>
          <w:sz w:val="24"/>
          <w:szCs w:val="24"/>
          <w:highlight w:val="none"/>
          <w:u w:val="single"/>
        </w:rPr>
        <w:t xml:space="preserve">（加盖CA电子公章）</w:t>
      </w:r>
      <w:r>
        <w:rPr>
          <w:rFonts w:hint="eastAsia"/>
          <w:b w:val="0"/>
          <w:bCs w:val="0"/>
          <w:color w:val="000000"/>
          <w:sz w:val="24"/>
          <w:szCs w:val="24"/>
          <w:highlight w:val="none"/>
        </w:rPr>
      </w:r>
      <w:r/>
    </w:p>
    <w:p>
      <w:pPr>
        <w:pStyle w:val="1027"/>
        <w:ind w:firstLine="480"/>
        <w:spacing w:line="400" w:lineRule="exact"/>
        <w:rPr>
          <w:rFonts w:hint="eastAsia"/>
          <w:b w:val="0"/>
          <w:bCs w:val="0"/>
          <w:color w:val="000000"/>
          <w:sz w:val="24"/>
          <w:szCs w:val="24"/>
          <w:highlight w:val="none"/>
        </w:rPr>
      </w:pPr>
      <w:r>
        <w:rPr>
          <w:rFonts w:hint="eastAsia"/>
          <w:b w:val="0"/>
          <w:bCs w:val="0"/>
          <w:color w:val="000000"/>
          <w:sz w:val="24"/>
          <w:szCs w:val="24"/>
          <w:highlight w:val="none"/>
        </w:rPr>
        <w:t xml:space="preserve">单位地址：</w:t>
      </w:r>
      <w:r>
        <w:rPr>
          <w:rFonts w:hint="eastAsia"/>
          <w:b w:val="0"/>
          <w:bCs w:val="0"/>
          <w:color w:val="000000"/>
          <w:sz w:val="24"/>
          <w:szCs w:val="24"/>
          <w:highlight w:val="none"/>
          <w:u w:val="single"/>
        </w:rPr>
        <w:t xml:space="preserve">                  </w:t>
      </w:r>
      <w:r>
        <w:rPr>
          <w:rFonts w:hint="eastAsia"/>
          <w:b w:val="0"/>
          <w:bCs w:val="0"/>
          <w:color w:val="000000"/>
          <w:sz w:val="24"/>
          <w:szCs w:val="24"/>
          <w:highlight w:val="none"/>
        </w:rPr>
      </w:r>
      <w:r/>
    </w:p>
    <w:p>
      <w:pPr>
        <w:pStyle w:val="1027"/>
        <w:ind w:firstLine="480"/>
        <w:spacing w:line="400" w:lineRule="exact"/>
        <w:rPr>
          <w:rFonts w:hint="eastAsia"/>
          <w:b w:val="0"/>
          <w:bCs w:val="0"/>
          <w:color w:val="000000"/>
          <w:sz w:val="24"/>
          <w:szCs w:val="24"/>
          <w:highlight w:val="none"/>
        </w:rPr>
      </w:pPr>
      <w:r>
        <w:rPr>
          <w:rFonts w:hint="eastAsia"/>
          <w:b w:val="0"/>
          <w:bCs w:val="0"/>
          <w:color w:val="000000"/>
          <w:sz w:val="24"/>
          <w:szCs w:val="24"/>
          <w:highlight w:val="none"/>
        </w:rPr>
        <w:t xml:space="preserve">日期：</w:t>
      </w:r>
      <w:r>
        <w:rPr>
          <w:rFonts w:hint="eastAsia"/>
          <w:b w:val="0"/>
          <w:bCs w:val="0"/>
          <w:color w:val="000000"/>
          <w:sz w:val="24"/>
          <w:szCs w:val="24"/>
          <w:highlight w:val="none"/>
          <w:u w:val="single"/>
        </w:rPr>
        <w:t xml:space="preserve">                      </w:t>
      </w:r>
      <w:r>
        <w:rPr>
          <w:rFonts w:hint="eastAsia"/>
          <w:b w:val="0"/>
          <w:bCs w:val="0"/>
          <w:color w:val="000000"/>
          <w:sz w:val="24"/>
          <w:szCs w:val="24"/>
          <w:highlight w:val="none"/>
        </w:rPr>
      </w:r>
      <w:r/>
    </w:p>
    <w:p>
      <w:pPr>
        <w:pStyle w:val="1027"/>
        <w:ind w:firstLine="480"/>
        <w:spacing w:line="400" w:lineRule="exact"/>
        <w:rPr>
          <w:rFonts w:hint="eastAsia"/>
          <w:b w:val="0"/>
          <w:bCs w:val="0"/>
          <w:color w:val="000000"/>
          <w:sz w:val="24"/>
          <w:szCs w:val="24"/>
          <w:highlight w:val="none"/>
        </w:rPr>
      </w:pPr>
      <w:r>
        <w:rPr>
          <w:rFonts w:hint="eastAsia"/>
          <w:b w:val="0"/>
          <w:bCs w:val="0"/>
          <w:color w:val="000000"/>
          <w:sz w:val="24"/>
          <w:szCs w:val="24"/>
          <w:highlight w:val="none"/>
        </w:rPr>
        <w:t xml:space="preserve">法定代表人及被授权人身份证正反面：</w:t>
      </w:r>
      <w:r>
        <w:rPr>
          <w:rFonts w:hint="eastAsia"/>
          <w:b w:val="0"/>
          <w:bCs w:val="0"/>
          <w:color w:val="000000"/>
          <w:sz w:val="24"/>
          <w:szCs w:val="24"/>
          <w:highlight w:val="none"/>
        </w:rPr>
      </w:r>
      <w:r/>
    </w:p>
    <w:p>
      <w:pPr>
        <w:pStyle w:val="1024"/>
        <w:jc w:val="center"/>
        <w:spacing w:before="50" w:after="50"/>
        <w:rPr>
          <w:color w:val="000000"/>
          <w:highlight w:val="none"/>
        </w:rPr>
      </w:pPr>
      <w:r>
        <w:rPr>
          <w:rFonts w:hint="eastAsia"/>
          <w:b/>
          <w:bCs/>
          <w:color w:val="000000"/>
          <w:highlight w:val="none"/>
        </w:rPr>
        <w:br w:type="page" w:clear="all"/>
      </w:r>
      <w:r>
        <w:rPr>
          <w:rFonts w:hint="eastAsia"/>
          <w:b/>
          <w:bCs/>
          <w:i/>
          <w:iCs/>
          <w:color w:val="000000"/>
          <w:sz w:val="30"/>
          <w:szCs w:val="30"/>
          <w:highlight w:val="none"/>
          <w:u w:val="single"/>
        </w:rPr>
        <w:t xml:space="preserve">八、投标函</w:t>
      </w:r>
      <w:r>
        <w:rPr>
          <w:color w:val="000000"/>
          <w:highlight w:val="none"/>
        </w:rPr>
      </w:r>
      <w:r/>
    </w:p>
    <w:p>
      <w:pPr>
        <w:pStyle w:val="1027"/>
        <w:ind w:firstLine="480"/>
        <w:spacing w:before="120" w:after="120" w:line="400" w:lineRule="exact"/>
        <w:rPr>
          <w:rFonts w:hint="eastAsia"/>
          <w:b w:val="0"/>
          <w:bCs w:val="0"/>
          <w:color w:val="000000"/>
          <w:sz w:val="24"/>
          <w:szCs w:val="24"/>
          <w:highlight w:val="none"/>
        </w:rPr>
      </w:pPr>
      <w:r>
        <w:rPr>
          <w:rFonts w:hint="eastAsia"/>
          <w:b w:val="0"/>
          <w:bCs w:val="0"/>
          <w:color w:val="000000"/>
          <w:sz w:val="24"/>
          <w:szCs w:val="24"/>
          <w:highlight w:val="none"/>
        </w:rPr>
        <w:t xml:space="preserve">致：盐城市公路事业发展中心</w:t>
      </w:r>
      <w:r>
        <w:rPr>
          <w:rFonts w:hint="eastAsia"/>
          <w:b w:val="0"/>
          <w:bCs w:val="0"/>
          <w:color w:val="000000"/>
          <w:sz w:val="24"/>
          <w:szCs w:val="24"/>
          <w:highlight w:val="none"/>
        </w:rPr>
      </w:r>
      <w:r/>
    </w:p>
    <w:p>
      <w:pPr>
        <w:pStyle w:val="1027"/>
        <w:ind w:firstLine="480"/>
        <w:spacing w:before="120" w:after="120" w:line="400" w:lineRule="exact"/>
        <w:rPr>
          <w:rFonts w:hint="eastAsia"/>
          <w:b w:val="0"/>
          <w:bCs w:val="0"/>
          <w:color w:val="000000"/>
          <w:sz w:val="24"/>
          <w:szCs w:val="24"/>
          <w:highlight w:val="none"/>
        </w:rPr>
      </w:pPr>
      <w:r>
        <w:rPr>
          <w:rFonts w:hint="eastAsia"/>
          <w:b w:val="0"/>
          <w:bCs w:val="0"/>
          <w:color w:val="000000"/>
          <w:sz w:val="24"/>
          <w:szCs w:val="24"/>
          <w:highlight w:val="none"/>
        </w:rPr>
        <w:t xml:space="preserve">根据贵方的</w:t>
      </w:r>
      <w:r>
        <w:rPr>
          <w:rFonts w:hint="eastAsia" w:ascii="宋体" w:hAnsi="宋体" w:cs="宋体"/>
          <w:b w:val="0"/>
          <w:bCs w:val="0"/>
          <w:color w:val="000000"/>
          <w:sz w:val="24"/>
          <w:szCs w:val="24"/>
          <w:highlight w:val="none"/>
          <w:u w:val="single"/>
        </w:rPr>
        <w:t xml:space="preserve">                    </w:t>
      </w:r>
      <w:r>
        <w:rPr>
          <w:rFonts w:hint="eastAsia"/>
          <w:b w:val="0"/>
          <w:bCs w:val="0"/>
          <w:color w:val="000000"/>
          <w:sz w:val="24"/>
          <w:szCs w:val="24"/>
          <w:highlight w:val="none"/>
        </w:rPr>
        <w:t xml:space="preserve">号招标文件，正式授权下述签字人______(姓名)代表我方______________（投标人的名称），全权处理本次项目投标的有关事宜。</w:t>
      </w:r>
      <w:r>
        <w:rPr>
          <w:rFonts w:hint="eastAsia"/>
          <w:b w:val="0"/>
          <w:bCs w:val="0"/>
          <w:color w:val="000000"/>
          <w:sz w:val="24"/>
          <w:szCs w:val="24"/>
          <w:highlight w:val="none"/>
        </w:rPr>
      </w:r>
      <w:r/>
    </w:p>
    <w:p>
      <w:pPr>
        <w:pStyle w:val="1027"/>
        <w:ind w:firstLine="480"/>
        <w:spacing w:before="120" w:after="120" w:line="400" w:lineRule="exact"/>
        <w:rPr>
          <w:rFonts w:hint="eastAsia"/>
          <w:b w:val="0"/>
          <w:bCs w:val="0"/>
          <w:color w:val="000000"/>
          <w:sz w:val="24"/>
          <w:szCs w:val="24"/>
          <w:highlight w:val="none"/>
        </w:rPr>
      </w:pPr>
      <w:r>
        <w:rPr>
          <w:rFonts w:hint="eastAsia"/>
          <w:b w:val="0"/>
          <w:bCs w:val="0"/>
          <w:color w:val="000000"/>
          <w:sz w:val="24"/>
          <w:szCs w:val="24"/>
          <w:highlight w:val="none"/>
        </w:rPr>
        <w:t xml:space="preserve">据此函，__________签字人兹宣布同意如下：</w:t>
      </w:r>
      <w:r>
        <w:rPr>
          <w:rFonts w:hint="eastAsia"/>
          <w:b w:val="0"/>
          <w:bCs w:val="0"/>
          <w:color w:val="000000"/>
          <w:sz w:val="24"/>
          <w:szCs w:val="24"/>
          <w:highlight w:val="none"/>
        </w:rPr>
      </w:r>
      <w:r/>
    </w:p>
    <w:p>
      <w:pPr>
        <w:pStyle w:val="1027"/>
        <w:ind w:firstLine="480"/>
        <w:spacing w:before="120" w:after="120" w:line="400" w:lineRule="exact"/>
        <w:rPr>
          <w:rFonts w:hint="eastAsia"/>
          <w:b w:val="0"/>
          <w:bCs w:val="0"/>
          <w:color w:val="000000"/>
          <w:sz w:val="24"/>
          <w:szCs w:val="24"/>
          <w:highlight w:val="none"/>
        </w:rPr>
      </w:pPr>
      <w:r>
        <w:rPr>
          <w:rFonts w:hint="eastAsia"/>
          <w:b w:val="0"/>
          <w:bCs w:val="0"/>
          <w:color w:val="000000"/>
          <w:sz w:val="24"/>
          <w:szCs w:val="24"/>
          <w:highlight w:val="none"/>
        </w:rPr>
        <w:t xml:space="preserve">1.按招标文件规定的各项要求，向买方提供所需服务（包含与服务相关的货物）。</w:t>
      </w:r>
      <w:r>
        <w:rPr>
          <w:rFonts w:hint="eastAsia"/>
          <w:b w:val="0"/>
          <w:bCs w:val="0"/>
          <w:color w:val="000000"/>
          <w:sz w:val="24"/>
          <w:szCs w:val="24"/>
          <w:highlight w:val="none"/>
        </w:rPr>
      </w:r>
      <w:r/>
    </w:p>
    <w:p>
      <w:pPr>
        <w:pStyle w:val="1027"/>
        <w:ind w:firstLine="480"/>
        <w:spacing w:before="120" w:after="120" w:line="400" w:lineRule="exact"/>
        <w:rPr>
          <w:rFonts w:hint="eastAsia"/>
          <w:b w:val="0"/>
          <w:bCs w:val="0"/>
          <w:color w:val="000000"/>
          <w:sz w:val="24"/>
          <w:szCs w:val="24"/>
          <w:highlight w:val="none"/>
        </w:rPr>
      </w:pPr>
      <w:r>
        <w:rPr>
          <w:rFonts w:hint="eastAsia"/>
          <w:b w:val="0"/>
          <w:bCs w:val="0"/>
          <w:color w:val="000000"/>
          <w:sz w:val="24"/>
          <w:szCs w:val="24"/>
          <w:highlight w:val="none"/>
        </w:rPr>
        <w:t xml:space="preserve">2.我们完全理解贵方不一定将合同授予最低报价的投标人。</w:t>
      </w:r>
      <w:r>
        <w:rPr>
          <w:rFonts w:hint="eastAsia"/>
          <w:b w:val="0"/>
          <w:bCs w:val="0"/>
          <w:color w:val="000000"/>
          <w:sz w:val="24"/>
          <w:szCs w:val="24"/>
          <w:highlight w:val="none"/>
        </w:rPr>
      </w:r>
      <w:r/>
    </w:p>
    <w:p>
      <w:pPr>
        <w:pStyle w:val="1027"/>
        <w:ind w:firstLine="480"/>
        <w:spacing w:before="120" w:after="120" w:line="400" w:lineRule="exact"/>
        <w:rPr>
          <w:rFonts w:hint="eastAsia"/>
          <w:b w:val="0"/>
          <w:bCs w:val="0"/>
          <w:color w:val="000000"/>
          <w:sz w:val="24"/>
          <w:szCs w:val="24"/>
          <w:highlight w:val="none"/>
        </w:rPr>
      </w:pPr>
      <w:r>
        <w:rPr>
          <w:rFonts w:hint="eastAsia"/>
          <w:b w:val="0"/>
          <w:bCs w:val="0"/>
          <w:color w:val="000000"/>
          <w:sz w:val="24"/>
          <w:szCs w:val="24"/>
          <w:highlight w:val="none"/>
        </w:rPr>
        <w:t xml:space="preserve">3.我们已详细审核全部招标文件及其有效补充文件，我们知道必须放弃提出含糊不清或误解问题的权利。</w:t>
      </w:r>
      <w:r>
        <w:rPr>
          <w:rFonts w:hint="eastAsia"/>
          <w:b w:val="0"/>
          <w:bCs w:val="0"/>
          <w:color w:val="000000"/>
          <w:sz w:val="24"/>
          <w:szCs w:val="24"/>
          <w:highlight w:val="none"/>
        </w:rPr>
      </w:r>
      <w:r/>
    </w:p>
    <w:p>
      <w:pPr>
        <w:pStyle w:val="1027"/>
        <w:ind w:firstLine="480"/>
        <w:spacing w:before="120" w:after="120" w:line="400" w:lineRule="exact"/>
        <w:rPr>
          <w:rFonts w:hint="eastAsia"/>
          <w:b w:val="0"/>
          <w:bCs w:val="0"/>
          <w:color w:val="000000"/>
          <w:sz w:val="24"/>
          <w:szCs w:val="24"/>
          <w:highlight w:val="none"/>
        </w:rPr>
      </w:pPr>
      <w:r>
        <w:rPr>
          <w:rFonts w:hint="eastAsia"/>
          <w:b w:val="0"/>
          <w:bCs w:val="0"/>
          <w:color w:val="000000"/>
          <w:sz w:val="24"/>
          <w:szCs w:val="24"/>
          <w:highlight w:val="none"/>
        </w:rPr>
        <w:t xml:space="preserve">4.我们同意从规定的开标日期起遵循本投标文件，并在规定的投标有效期期满之前均具有约束力。</w:t>
      </w:r>
      <w:r>
        <w:rPr>
          <w:rFonts w:hint="eastAsia"/>
          <w:b w:val="0"/>
          <w:bCs w:val="0"/>
          <w:color w:val="000000"/>
          <w:sz w:val="24"/>
          <w:szCs w:val="24"/>
          <w:highlight w:val="none"/>
        </w:rPr>
      </w:r>
      <w:r/>
    </w:p>
    <w:p>
      <w:pPr>
        <w:pStyle w:val="1027"/>
        <w:ind w:firstLine="480"/>
        <w:spacing w:before="120" w:after="120" w:line="400" w:lineRule="exact"/>
        <w:rPr>
          <w:rFonts w:hint="eastAsia"/>
          <w:b w:val="0"/>
          <w:bCs w:val="0"/>
          <w:color w:val="000000"/>
          <w:sz w:val="24"/>
          <w:szCs w:val="24"/>
          <w:highlight w:val="none"/>
        </w:rPr>
      </w:pPr>
      <w:r>
        <w:rPr>
          <w:rFonts w:hint="eastAsia"/>
          <w:b w:val="0"/>
          <w:bCs w:val="0"/>
          <w:color w:val="000000"/>
          <w:sz w:val="24"/>
          <w:szCs w:val="24"/>
          <w:highlight w:val="none"/>
        </w:rPr>
        <w:t xml:space="preserve">5.同意向贵方提供贵方可能另外要求的与投标有关的任何证据或资料，并保证我方已提供和将要提供的文件是真实的、准确的。</w:t>
      </w:r>
      <w:r>
        <w:rPr>
          <w:rFonts w:hint="eastAsia"/>
          <w:b w:val="0"/>
          <w:bCs w:val="0"/>
          <w:color w:val="000000"/>
          <w:sz w:val="24"/>
          <w:szCs w:val="24"/>
          <w:highlight w:val="none"/>
        </w:rPr>
      </w:r>
      <w:r/>
    </w:p>
    <w:p>
      <w:pPr>
        <w:pStyle w:val="1027"/>
        <w:ind w:firstLine="480"/>
        <w:spacing w:before="120" w:after="120" w:line="400" w:lineRule="exact"/>
        <w:rPr>
          <w:rFonts w:hint="eastAsia"/>
          <w:b w:val="0"/>
          <w:bCs w:val="0"/>
          <w:color w:val="000000"/>
          <w:sz w:val="24"/>
          <w:szCs w:val="24"/>
          <w:highlight w:val="none"/>
        </w:rPr>
      </w:pPr>
      <w:r>
        <w:rPr>
          <w:rFonts w:hint="eastAsia"/>
          <w:b w:val="0"/>
          <w:bCs w:val="0"/>
          <w:color w:val="000000"/>
          <w:sz w:val="24"/>
          <w:szCs w:val="24"/>
          <w:highlight w:val="none"/>
        </w:rPr>
        <w:t xml:space="preserve">6.一旦我方中标,我方将根据招标文件的规定，严格履行合同的责任和义务,并保证在招标文件规定的时间完成项目，交付买方验收、使用。</w:t>
      </w:r>
      <w:r>
        <w:rPr>
          <w:rFonts w:hint="eastAsia"/>
          <w:b w:val="0"/>
          <w:bCs w:val="0"/>
          <w:color w:val="000000"/>
          <w:sz w:val="24"/>
          <w:szCs w:val="24"/>
          <w:highlight w:val="none"/>
        </w:rPr>
      </w:r>
      <w:r/>
    </w:p>
    <w:p>
      <w:pPr>
        <w:pStyle w:val="1027"/>
        <w:ind w:firstLine="480"/>
        <w:spacing w:before="120" w:after="120" w:line="400" w:lineRule="exact"/>
        <w:rPr>
          <w:rFonts w:hint="eastAsia"/>
          <w:b w:val="0"/>
          <w:bCs w:val="0"/>
          <w:color w:val="000000"/>
          <w:sz w:val="24"/>
          <w:szCs w:val="24"/>
          <w:highlight w:val="none"/>
        </w:rPr>
      </w:pPr>
      <w:r>
        <w:rPr>
          <w:rFonts w:hint="eastAsia"/>
          <w:b w:val="0"/>
          <w:bCs w:val="0"/>
          <w:color w:val="000000"/>
          <w:sz w:val="24"/>
          <w:szCs w:val="24"/>
          <w:highlight w:val="none"/>
        </w:rPr>
        <w:t xml:space="preserve">7.与本投标有关的正式通讯地址为：</w:t>
      </w:r>
      <w:r>
        <w:rPr>
          <w:rFonts w:hint="eastAsia"/>
          <w:b w:val="0"/>
          <w:bCs w:val="0"/>
          <w:color w:val="000000"/>
          <w:sz w:val="24"/>
          <w:szCs w:val="24"/>
          <w:highlight w:val="none"/>
        </w:rPr>
      </w:r>
      <w:r/>
    </w:p>
    <w:p>
      <w:pPr>
        <w:pStyle w:val="1027"/>
        <w:ind w:firstLine="480"/>
        <w:spacing w:before="120" w:after="120" w:line="400" w:lineRule="exact"/>
        <w:rPr>
          <w:rFonts w:hint="eastAsia"/>
          <w:b w:val="0"/>
          <w:bCs w:val="0"/>
          <w:color w:val="000000"/>
          <w:sz w:val="24"/>
          <w:szCs w:val="24"/>
          <w:highlight w:val="none"/>
        </w:rPr>
      </w:pPr>
      <w:r>
        <w:rPr>
          <w:rFonts w:hint="eastAsia"/>
          <w:b w:val="0"/>
          <w:bCs w:val="0"/>
          <w:color w:val="000000"/>
          <w:sz w:val="24"/>
          <w:szCs w:val="24"/>
          <w:highlight w:val="none"/>
        </w:rPr>
        <w:t xml:space="preserve">地 址：</w:t>
      </w:r>
      <w:r>
        <w:rPr>
          <w:rFonts w:hint="eastAsia"/>
          <w:b w:val="0"/>
          <w:bCs w:val="0"/>
          <w:color w:val="000000"/>
          <w:sz w:val="24"/>
          <w:szCs w:val="24"/>
          <w:highlight w:val="none"/>
        </w:rPr>
      </w:r>
      <w:r/>
    </w:p>
    <w:p>
      <w:pPr>
        <w:pStyle w:val="1027"/>
        <w:ind w:firstLine="480"/>
        <w:spacing w:before="120" w:after="120" w:line="400" w:lineRule="exact"/>
        <w:rPr>
          <w:rFonts w:hint="eastAsia"/>
          <w:b w:val="0"/>
          <w:bCs w:val="0"/>
          <w:color w:val="000000"/>
          <w:sz w:val="24"/>
          <w:szCs w:val="24"/>
          <w:highlight w:val="none"/>
        </w:rPr>
      </w:pPr>
      <w:r>
        <w:rPr>
          <w:rFonts w:hint="eastAsia"/>
          <w:b w:val="0"/>
          <w:bCs w:val="0"/>
          <w:color w:val="000000"/>
          <w:sz w:val="24"/>
          <w:szCs w:val="24"/>
          <w:highlight w:val="none"/>
        </w:rPr>
        <w:t xml:space="preserve">邮 编：</w:t>
      </w:r>
      <w:r>
        <w:rPr>
          <w:rFonts w:hint="eastAsia"/>
          <w:b w:val="0"/>
          <w:bCs w:val="0"/>
          <w:color w:val="000000"/>
          <w:sz w:val="24"/>
          <w:szCs w:val="24"/>
          <w:highlight w:val="none"/>
        </w:rPr>
      </w:r>
      <w:r/>
    </w:p>
    <w:p>
      <w:pPr>
        <w:pStyle w:val="1027"/>
        <w:ind w:firstLine="480"/>
        <w:spacing w:before="120" w:after="120" w:line="400" w:lineRule="exact"/>
        <w:rPr>
          <w:rFonts w:hint="eastAsia"/>
          <w:b w:val="0"/>
          <w:bCs w:val="0"/>
          <w:color w:val="000000"/>
          <w:sz w:val="24"/>
          <w:szCs w:val="24"/>
          <w:highlight w:val="none"/>
        </w:rPr>
      </w:pPr>
      <w:r>
        <w:rPr>
          <w:rFonts w:hint="eastAsia"/>
          <w:b w:val="0"/>
          <w:bCs w:val="0"/>
          <w:color w:val="000000"/>
          <w:sz w:val="24"/>
          <w:szCs w:val="24"/>
          <w:highlight w:val="none"/>
        </w:rPr>
        <w:t xml:space="preserve">电 话：</w:t>
      </w:r>
      <w:r>
        <w:rPr>
          <w:rFonts w:hint="eastAsia"/>
          <w:b w:val="0"/>
          <w:bCs w:val="0"/>
          <w:color w:val="000000"/>
          <w:sz w:val="24"/>
          <w:szCs w:val="24"/>
          <w:highlight w:val="none"/>
        </w:rPr>
      </w:r>
      <w:r/>
    </w:p>
    <w:p>
      <w:pPr>
        <w:pStyle w:val="1027"/>
        <w:ind w:firstLine="480"/>
        <w:spacing w:before="120" w:after="120" w:line="400" w:lineRule="exact"/>
        <w:rPr>
          <w:rFonts w:hint="eastAsia"/>
          <w:b w:val="0"/>
          <w:bCs w:val="0"/>
          <w:color w:val="000000"/>
          <w:sz w:val="24"/>
          <w:szCs w:val="24"/>
          <w:highlight w:val="none"/>
        </w:rPr>
      </w:pPr>
      <w:r>
        <w:rPr>
          <w:rFonts w:hint="eastAsia"/>
          <w:b w:val="0"/>
          <w:bCs w:val="0"/>
          <w:color w:val="000000"/>
          <w:sz w:val="24"/>
          <w:szCs w:val="24"/>
          <w:highlight w:val="none"/>
        </w:rPr>
        <w:t xml:space="preserve">传 真：</w:t>
      </w:r>
      <w:r>
        <w:rPr>
          <w:rFonts w:hint="eastAsia"/>
          <w:b w:val="0"/>
          <w:bCs w:val="0"/>
          <w:color w:val="000000"/>
          <w:sz w:val="24"/>
          <w:szCs w:val="24"/>
          <w:highlight w:val="none"/>
        </w:rPr>
      </w:r>
      <w:r/>
    </w:p>
    <w:p>
      <w:pPr>
        <w:pStyle w:val="1027"/>
        <w:ind w:firstLine="480"/>
        <w:spacing w:before="120" w:after="120" w:line="400" w:lineRule="exact"/>
        <w:rPr>
          <w:rFonts w:hint="eastAsia"/>
          <w:b w:val="0"/>
          <w:bCs w:val="0"/>
          <w:color w:val="000000"/>
          <w:sz w:val="24"/>
          <w:szCs w:val="24"/>
          <w:highlight w:val="none"/>
        </w:rPr>
      </w:pPr>
      <w:r>
        <w:rPr>
          <w:rFonts w:hint="eastAsia"/>
          <w:b w:val="0"/>
          <w:bCs w:val="0"/>
          <w:color w:val="000000"/>
          <w:sz w:val="24"/>
          <w:szCs w:val="24"/>
          <w:highlight w:val="none"/>
        </w:rPr>
        <w:t xml:space="preserve">投标人开户行：</w:t>
      </w:r>
      <w:r>
        <w:rPr>
          <w:rFonts w:hint="eastAsia"/>
          <w:b w:val="0"/>
          <w:bCs w:val="0"/>
          <w:color w:val="000000"/>
          <w:sz w:val="24"/>
          <w:szCs w:val="24"/>
          <w:highlight w:val="none"/>
        </w:rPr>
      </w:r>
      <w:r/>
    </w:p>
    <w:p>
      <w:pPr>
        <w:pStyle w:val="1027"/>
        <w:ind w:firstLine="480"/>
        <w:spacing w:before="120" w:after="120" w:line="400" w:lineRule="exact"/>
        <w:rPr>
          <w:rFonts w:hint="eastAsia"/>
          <w:b w:val="0"/>
          <w:bCs w:val="0"/>
          <w:color w:val="000000"/>
          <w:sz w:val="24"/>
          <w:szCs w:val="24"/>
          <w:highlight w:val="none"/>
        </w:rPr>
      </w:pPr>
      <w:r>
        <w:rPr>
          <w:rFonts w:hint="eastAsia"/>
          <w:b w:val="0"/>
          <w:bCs w:val="0"/>
          <w:color w:val="000000"/>
          <w:sz w:val="24"/>
          <w:szCs w:val="24"/>
          <w:highlight w:val="none"/>
        </w:rPr>
        <w:t xml:space="preserve">账 号：</w:t>
      </w:r>
      <w:r>
        <w:rPr>
          <w:rFonts w:hint="eastAsia"/>
          <w:b w:val="0"/>
          <w:bCs w:val="0"/>
          <w:color w:val="000000"/>
          <w:sz w:val="24"/>
          <w:szCs w:val="24"/>
          <w:highlight w:val="none"/>
        </w:rPr>
      </w:r>
      <w:r/>
    </w:p>
    <w:p>
      <w:pPr>
        <w:pStyle w:val="1027"/>
        <w:ind w:firstLine="480"/>
        <w:spacing w:before="120" w:after="120" w:line="400" w:lineRule="exact"/>
        <w:rPr>
          <w:b w:val="0"/>
          <w:bCs w:val="0"/>
          <w:color w:val="000000"/>
          <w:sz w:val="24"/>
          <w:szCs w:val="24"/>
          <w:highlight w:val="none"/>
        </w:rPr>
      </w:pPr>
      <w:r>
        <w:rPr>
          <w:rFonts w:hint="eastAsia"/>
          <w:b w:val="0"/>
          <w:bCs w:val="0"/>
          <w:color w:val="000000"/>
          <w:sz w:val="24"/>
          <w:szCs w:val="24"/>
          <w:highlight w:val="none"/>
        </w:rPr>
        <w:t xml:space="preserve">日 期：________年____月____日</w:t>
      </w:r>
      <w:r>
        <w:rPr>
          <w:b w:val="0"/>
          <w:bCs w:val="0"/>
          <w:color w:val="000000"/>
          <w:sz w:val="24"/>
          <w:szCs w:val="24"/>
          <w:highlight w:val="none"/>
        </w:rPr>
      </w:r>
      <w:r/>
    </w:p>
    <w:p>
      <w:pPr>
        <w:pStyle w:val="1024"/>
        <w:rPr>
          <w:color w:val="000000"/>
          <w:highlight w:val="none"/>
        </w:rPr>
      </w:pPr>
      <w:r>
        <w:rPr>
          <w:color w:val="000000"/>
          <w:highlight w:val="none"/>
        </w:rPr>
      </w:r>
      <w:r/>
    </w:p>
    <w:p>
      <w:pPr>
        <w:pStyle w:val="1085"/>
        <w:rPr>
          <w:color w:val="000000"/>
          <w:highlight w:val="none"/>
        </w:rPr>
      </w:pPr>
      <w:r>
        <w:rPr>
          <w:color w:val="000000"/>
          <w:highlight w:val="none"/>
        </w:rPr>
      </w:r>
      <w:r/>
    </w:p>
    <w:p>
      <w:pPr>
        <w:pStyle w:val="1024"/>
        <w:jc w:val="center"/>
        <w:spacing w:before="50" w:after="50"/>
        <w:rPr>
          <w:color w:val="000000"/>
          <w:highlight w:val="none"/>
        </w:rPr>
      </w:pPr>
      <w:r>
        <w:rPr>
          <w:color w:val="000000"/>
          <w:highlight w:val="none"/>
        </w:rPr>
        <w:br w:type="page" w:clear="all"/>
      </w:r>
      <w:r>
        <w:rPr>
          <w:rFonts w:hint="eastAsia"/>
          <w:b/>
          <w:bCs/>
          <w:color w:val="000000"/>
          <w:sz w:val="30"/>
          <w:szCs w:val="30"/>
          <w:highlight w:val="none"/>
        </w:rPr>
        <w:t xml:space="preserve">九、中小微企业声明函（服务）</w:t>
      </w:r>
      <w:r>
        <w:rPr>
          <w:color w:val="000000"/>
          <w:highlight w:val="none"/>
        </w:rPr>
      </w:r>
      <w:r/>
    </w:p>
    <w:p>
      <w:pPr>
        <w:pStyle w:val="1027"/>
        <w:ind w:firstLine="480"/>
        <w:spacing w:before="120" w:after="120" w:line="460" w:lineRule="exact"/>
        <w:rPr>
          <w:rFonts w:hint="eastAsia"/>
          <w:b w:val="0"/>
          <w:bCs w:val="0"/>
          <w:color w:val="000000"/>
          <w:sz w:val="24"/>
          <w:szCs w:val="24"/>
          <w:highlight w:val="none"/>
        </w:rPr>
      </w:pPr>
      <w:r>
        <w:rPr>
          <w:rFonts w:hint="eastAsia"/>
          <w:b w:val="0"/>
          <w:bCs w:val="0"/>
          <w:color w:val="000000"/>
          <w:sz w:val="24"/>
          <w:szCs w:val="24"/>
          <w:highlight w:val="none"/>
        </w:rPr>
        <w:t xml:space="preserve">本公司（联合体）郑重声明，根据《政府采购促进中小企业发展管理办法》（财库[2020]46号）的规定，本公司（联合体）参加盐城市招标代理有限公司组织的盐城市公路事业发展中心，采购编号为</w:t>
      </w:r>
      <w:r>
        <w:rPr>
          <w:rFonts w:hint="eastAsia" w:ascii="宋体" w:hAnsi="宋体" w:cs="宋体"/>
          <w:b w:val="0"/>
          <w:bCs w:val="0"/>
          <w:color w:val="000000"/>
          <w:sz w:val="24"/>
          <w:szCs w:val="24"/>
          <w:highlight w:val="none"/>
          <w:u w:val="single"/>
        </w:rPr>
        <w:t xml:space="preserve">               </w:t>
      </w:r>
      <w:r>
        <w:rPr>
          <w:rFonts w:hint="eastAsia"/>
          <w:b w:val="0"/>
          <w:bCs w:val="0"/>
          <w:color w:val="000000"/>
          <w:sz w:val="24"/>
          <w:szCs w:val="24"/>
          <w:highlight w:val="none"/>
        </w:rPr>
        <w:t xml:space="preserve">，</w:t>
      </w:r>
      <w:r>
        <w:rPr>
          <w:rFonts w:hint="eastAsia"/>
          <w:b w:val="0"/>
          <w:bCs w:val="0"/>
          <w:color w:val="000000"/>
          <w:sz w:val="24"/>
          <w:szCs w:val="24"/>
          <w:highlight w:val="none"/>
          <w:u w:val="single"/>
        </w:rPr>
        <w:t xml:space="preserve">2026年盐城市普通国省道小修保养及应急养护工程全过程造价控制及竣工决算审计</w:t>
      </w:r>
      <w:r>
        <w:rPr>
          <w:rFonts w:hint="eastAsia"/>
          <w:b w:val="0"/>
          <w:bCs w:val="0"/>
          <w:color w:val="000000"/>
          <w:sz w:val="24"/>
          <w:szCs w:val="24"/>
          <w:highlight w:val="none"/>
        </w:rPr>
        <w:t xml:space="preserve">的采购活动，服务全部由符合政策的中小微企业承接。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rPr>
          <w:rFonts w:hint="eastAsia"/>
          <w:b w:val="0"/>
          <w:bCs w:val="0"/>
          <w:color w:val="000000"/>
          <w:sz w:val="24"/>
          <w:szCs w:val="24"/>
          <w:highlight w:val="none"/>
        </w:rPr>
      </w:r>
      <w:r/>
    </w:p>
    <w:p>
      <w:pPr>
        <w:pStyle w:val="1027"/>
        <w:ind w:firstLine="480"/>
        <w:spacing w:before="120" w:after="120" w:line="460" w:lineRule="exact"/>
        <w:rPr>
          <w:rFonts w:hint="eastAsia"/>
          <w:b w:val="0"/>
          <w:bCs w:val="0"/>
          <w:color w:val="000000"/>
          <w:sz w:val="24"/>
          <w:szCs w:val="24"/>
          <w:highlight w:val="none"/>
        </w:rPr>
      </w:pPr>
      <w:r>
        <w:rPr>
          <w:rFonts w:hint="eastAsia"/>
          <w:b w:val="0"/>
          <w:bCs w:val="0"/>
          <w:color w:val="000000"/>
          <w:sz w:val="24"/>
          <w:szCs w:val="24"/>
          <w:highlight w:val="none"/>
        </w:rPr>
        <w:t xml:space="preserve">1.</w:t>
      </w:r>
      <w:r>
        <w:rPr>
          <w:rFonts w:hint="eastAsia"/>
          <w:b w:val="0"/>
          <w:bCs w:val="0"/>
          <w:i/>
          <w:iCs/>
          <w:color w:val="000000"/>
          <w:sz w:val="24"/>
          <w:szCs w:val="24"/>
          <w:highlight w:val="none"/>
          <w:u w:val="single"/>
        </w:rPr>
        <w:t xml:space="preserve">（标的名称）</w:t>
      </w:r>
      <w:r>
        <w:rPr>
          <w:rFonts w:hint="eastAsia"/>
          <w:b w:val="0"/>
          <w:bCs w:val="0"/>
          <w:color w:val="000000"/>
          <w:sz w:val="24"/>
          <w:szCs w:val="24"/>
          <w:highlight w:val="none"/>
        </w:rPr>
        <w:t xml:space="preserve">，属于</w:t>
      </w:r>
      <w:r>
        <w:rPr>
          <w:rFonts w:hint="eastAsia"/>
          <w:b w:val="0"/>
          <w:bCs w:val="0"/>
          <w:i/>
          <w:iCs/>
          <w:color w:val="000000"/>
          <w:sz w:val="24"/>
          <w:szCs w:val="24"/>
          <w:highlight w:val="none"/>
          <w:u w:val="single"/>
        </w:rPr>
        <w:t xml:space="preserve">（采购文件中明确的所属行业）</w:t>
      </w:r>
      <w:r>
        <w:rPr>
          <w:rFonts w:hint="eastAsia"/>
          <w:b w:val="0"/>
          <w:bCs w:val="0"/>
          <w:color w:val="000000"/>
          <w:sz w:val="24"/>
          <w:szCs w:val="24"/>
          <w:highlight w:val="none"/>
        </w:rPr>
        <w:t xml:space="preserve">行业；承接企业为</w:t>
      </w:r>
      <w:r>
        <w:rPr>
          <w:rFonts w:hint="eastAsia"/>
          <w:b w:val="0"/>
          <w:bCs w:val="0"/>
          <w:i/>
          <w:iCs/>
          <w:color w:val="000000"/>
          <w:sz w:val="24"/>
          <w:szCs w:val="24"/>
          <w:highlight w:val="none"/>
          <w:u w:val="single"/>
        </w:rPr>
        <w:t xml:space="preserve">（企业名称）</w:t>
      </w:r>
      <w:r>
        <w:rPr>
          <w:rFonts w:hint="eastAsia"/>
          <w:b w:val="0"/>
          <w:bCs w:val="0"/>
          <w:color w:val="000000"/>
          <w:sz w:val="24"/>
          <w:szCs w:val="24"/>
          <w:highlight w:val="none"/>
        </w:rPr>
        <w:t xml:space="preserve">，从业人员</w:t>
      </w:r>
      <w:r>
        <w:rPr>
          <w:rFonts w:hint="eastAsia"/>
          <w:b w:val="0"/>
          <w:bCs w:val="0"/>
          <w:color w:val="000000"/>
          <w:sz w:val="24"/>
          <w:szCs w:val="24"/>
          <w:highlight w:val="none"/>
          <w:u w:val="single"/>
        </w:rPr>
        <w:t xml:space="preserve">    </w:t>
      </w:r>
      <w:r>
        <w:rPr>
          <w:rFonts w:hint="eastAsia"/>
          <w:b w:val="0"/>
          <w:bCs w:val="0"/>
          <w:color w:val="000000"/>
          <w:sz w:val="24"/>
          <w:szCs w:val="24"/>
          <w:highlight w:val="none"/>
        </w:rPr>
        <w:t xml:space="preserve">人，营业收入为</w:t>
      </w:r>
      <w:r>
        <w:rPr>
          <w:rFonts w:hint="eastAsia"/>
          <w:b w:val="0"/>
          <w:bCs w:val="0"/>
          <w:color w:val="000000"/>
          <w:sz w:val="24"/>
          <w:szCs w:val="24"/>
          <w:highlight w:val="none"/>
          <w:u w:val="single"/>
        </w:rPr>
        <w:t xml:space="preserve">    </w:t>
      </w:r>
      <w:r>
        <w:rPr>
          <w:rFonts w:hint="eastAsia"/>
          <w:b w:val="0"/>
          <w:bCs w:val="0"/>
          <w:color w:val="000000"/>
          <w:sz w:val="24"/>
          <w:szCs w:val="24"/>
          <w:highlight w:val="none"/>
        </w:rPr>
        <w:t xml:space="preserve">万元，资产总额为</w:t>
      </w:r>
      <w:r>
        <w:rPr>
          <w:rFonts w:hint="eastAsia"/>
          <w:b w:val="0"/>
          <w:bCs w:val="0"/>
          <w:color w:val="000000"/>
          <w:sz w:val="24"/>
          <w:szCs w:val="24"/>
          <w:highlight w:val="none"/>
          <w:u w:val="single"/>
        </w:rPr>
        <w:t xml:space="preserve">    </w:t>
      </w:r>
      <w:r>
        <w:rPr>
          <w:rFonts w:hint="eastAsia"/>
          <w:b w:val="0"/>
          <w:bCs w:val="0"/>
          <w:color w:val="000000"/>
          <w:sz w:val="24"/>
          <w:szCs w:val="24"/>
          <w:highlight w:val="none"/>
        </w:rPr>
        <w:t xml:space="preserve">万元，属于</w:t>
      </w:r>
      <w:r>
        <w:rPr>
          <w:rFonts w:hint="eastAsia"/>
          <w:b w:val="0"/>
          <w:bCs w:val="0"/>
          <w:i/>
          <w:iCs/>
          <w:color w:val="000000"/>
          <w:sz w:val="24"/>
          <w:szCs w:val="24"/>
          <w:highlight w:val="none"/>
          <w:u w:val="single"/>
        </w:rPr>
        <w:t xml:space="preserve">（中型企业、小型企业、微型企业）</w:t>
      </w:r>
      <w:r>
        <w:rPr>
          <w:rFonts w:hint="eastAsia"/>
          <w:b w:val="0"/>
          <w:bCs w:val="0"/>
          <w:color w:val="000000"/>
          <w:sz w:val="24"/>
          <w:szCs w:val="24"/>
          <w:highlight w:val="none"/>
        </w:rPr>
        <w:t xml:space="preserve">；</w:t>
      </w:r>
      <w:r>
        <w:rPr>
          <w:rFonts w:hint="eastAsia"/>
          <w:b w:val="0"/>
          <w:bCs w:val="0"/>
          <w:color w:val="000000"/>
          <w:sz w:val="24"/>
          <w:szCs w:val="24"/>
          <w:highlight w:val="none"/>
        </w:rPr>
      </w:r>
      <w:r/>
    </w:p>
    <w:p>
      <w:pPr>
        <w:pStyle w:val="1027"/>
        <w:ind w:firstLine="480"/>
        <w:spacing w:before="120" w:after="120" w:line="460" w:lineRule="exact"/>
        <w:rPr>
          <w:rFonts w:hint="eastAsia"/>
          <w:b w:val="0"/>
          <w:bCs w:val="0"/>
          <w:color w:val="000000"/>
          <w:sz w:val="24"/>
          <w:szCs w:val="24"/>
          <w:highlight w:val="none"/>
        </w:rPr>
      </w:pPr>
      <w:r>
        <w:rPr>
          <w:rFonts w:hint="eastAsia"/>
          <w:b w:val="0"/>
          <w:bCs w:val="0"/>
          <w:color w:val="000000"/>
          <w:sz w:val="24"/>
          <w:szCs w:val="24"/>
          <w:highlight w:val="none"/>
        </w:rPr>
        <w:t xml:space="preserve">2.</w:t>
      </w:r>
      <w:r>
        <w:rPr>
          <w:rFonts w:hint="eastAsia"/>
          <w:b w:val="0"/>
          <w:bCs w:val="0"/>
          <w:i/>
          <w:iCs/>
          <w:color w:val="000000"/>
          <w:sz w:val="24"/>
          <w:szCs w:val="24"/>
          <w:highlight w:val="none"/>
          <w:u w:val="single"/>
        </w:rPr>
        <w:t xml:space="preserve"> （标的名称）</w:t>
      </w:r>
      <w:r>
        <w:rPr>
          <w:rFonts w:hint="eastAsia"/>
          <w:b w:val="0"/>
          <w:bCs w:val="0"/>
          <w:color w:val="000000"/>
          <w:sz w:val="24"/>
          <w:szCs w:val="24"/>
          <w:highlight w:val="none"/>
        </w:rPr>
        <w:t xml:space="preserve">，属于</w:t>
      </w:r>
      <w:r>
        <w:rPr>
          <w:rFonts w:hint="eastAsia"/>
          <w:b w:val="0"/>
          <w:bCs w:val="0"/>
          <w:i/>
          <w:iCs/>
          <w:color w:val="000000"/>
          <w:sz w:val="24"/>
          <w:szCs w:val="24"/>
          <w:highlight w:val="none"/>
          <w:u w:val="single"/>
        </w:rPr>
        <w:t xml:space="preserve">（采购文件中明确的所属行业）</w:t>
      </w:r>
      <w:r>
        <w:rPr>
          <w:rFonts w:hint="eastAsia"/>
          <w:b w:val="0"/>
          <w:bCs w:val="0"/>
          <w:color w:val="000000"/>
          <w:sz w:val="24"/>
          <w:szCs w:val="24"/>
          <w:highlight w:val="none"/>
        </w:rPr>
        <w:t xml:space="preserve">行业；承接企业为</w:t>
      </w:r>
      <w:r>
        <w:rPr>
          <w:rFonts w:hint="eastAsia"/>
          <w:b w:val="0"/>
          <w:bCs w:val="0"/>
          <w:i/>
          <w:iCs/>
          <w:color w:val="000000"/>
          <w:sz w:val="24"/>
          <w:szCs w:val="24"/>
          <w:highlight w:val="none"/>
          <w:u w:val="single"/>
        </w:rPr>
        <w:t xml:space="preserve">（企业名称）</w:t>
      </w:r>
      <w:r>
        <w:rPr>
          <w:rFonts w:hint="eastAsia"/>
          <w:b w:val="0"/>
          <w:bCs w:val="0"/>
          <w:color w:val="000000"/>
          <w:sz w:val="24"/>
          <w:szCs w:val="24"/>
          <w:highlight w:val="none"/>
        </w:rPr>
        <w:t xml:space="preserve">，从业人员</w:t>
      </w:r>
      <w:r>
        <w:rPr>
          <w:rFonts w:hint="eastAsia"/>
          <w:b w:val="0"/>
          <w:bCs w:val="0"/>
          <w:color w:val="000000"/>
          <w:sz w:val="24"/>
          <w:szCs w:val="24"/>
          <w:highlight w:val="none"/>
          <w:u w:val="single"/>
        </w:rPr>
        <w:t xml:space="preserve">    </w:t>
      </w:r>
      <w:r>
        <w:rPr>
          <w:rFonts w:hint="eastAsia"/>
          <w:b w:val="0"/>
          <w:bCs w:val="0"/>
          <w:color w:val="000000"/>
          <w:sz w:val="24"/>
          <w:szCs w:val="24"/>
          <w:highlight w:val="none"/>
        </w:rPr>
        <w:t xml:space="preserve">人，营业收入为</w:t>
      </w:r>
      <w:r>
        <w:rPr>
          <w:rFonts w:hint="eastAsia"/>
          <w:b w:val="0"/>
          <w:bCs w:val="0"/>
          <w:color w:val="000000"/>
          <w:sz w:val="24"/>
          <w:szCs w:val="24"/>
          <w:highlight w:val="none"/>
          <w:u w:val="single"/>
        </w:rPr>
        <w:t xml:space="preserve">    </w:t>
      </w:r>
      <w:r>
        <w:rPr>
          <w:rFonts w:hint="eastAsia"/>
          <w:b w:val="0"/>
          <w:bCs w:val="0"/>
          <w:color w:val="000000"/>
          <w:sz w:val="24"/>
          <w:szCs w:val="24"/>
          <w:highlight w:val="none"/>
        </w:rPr>
        <w:t xml:space="preserve">万元，资产总额为</w:t>
      </w:r>
      <w:r>
        <w:rPr>
          <w:rFonts w:hint="eastAsia"/>
          <w:b w:val="0"/>
          <w:bCs w:val="0"/>
          <w:color w:val="000000"/>
          <w:sz w:val="24"/>
          <w:szCs w:val="24"/>
          <w:highlight w:val="none"/>
          <w:u w:val="single"/>
        </w:rPr>
        <w:t xml:space="preserve">    </w:t>
      </w:r>
      <w:r>
        <w:rPr>
          <w:rFonts w:hint="eastAsia"/>
          <w:b w:val="0"/>
          <w:bCs w:val="0"/>
          <w:color w:val="000000"/>
          <w:sz w:val="24"/>
          <w:szCs w:val="24"/>
          <w:highlight w:val="none"/>
        </w:rPr>
        <w:t xml:space="preserve">万元，属于</w:t>
      </w:r>
      <w:r>
        <w:rPr>
          <w:rFonts w:hint="eastAsia"/>
          <w:b w:val="0"/>
          <w:bCs w:val="0"/>
          <w:i/>
          <w:iCs/>
          <w:color w:val="000000"/>
          <w:sz w:val="24"/>
          <w:szCs w:val="24"/>
          <w:highlight w:val="none"/>
          <w:u w:val="single"/>
        </w:rPr>
        <w:t xml:space="preserve">（中型企业、小型企业、微型企业）</w:t>
      </w:r>
      <w:r>
        <w:rPr>
          <w:rFonts w:hint="eastAsia"/>
          <w:b w:val="0"/>
          <w:bCs w:val="0"/>
          <w:color w:val="000000"/>
          <w:sz w:val="24"/>
          <w:szCs w:val="24"/>
          <w:highlight w:val="none"/>
        </w:rPr>
        <w:t xml:space="preserve">；</w:t>
      </w:r>
      <w:r>
        <w:rPr>
          <w:rFonts w:hint="eastAsia"/>
          <w:b w:val="0"/>
          <w:bCs w:val="0"/>
          <w:color w:val="000000"/>
          <w:sz w:val="24"/>
          <w:szCs w:val="24"/>
          <w:highlight w:val="none"/>
        </w:rPr>
      </w:r>
      <w:r/>
    </w:p>
    <w:p>
      <w:pPr>
        <w:pStyle w:val="1027"/>
        <w:ind w:firstLine="480"/>
        <w:spacing w:before="120" w:after="120" w:line="460" w:lineRule="exact"/>
        <w:rPr>
          <w:rFonts w:hint="eastAsia"/>
          <w:b w:val="0"/>
          <w:bCs w:val="0"/>
          <w:color w:val="000000"/>
          <w:sz w:val="24"/>
          <w:szCs w:val="24"/>
          <w:highlight w:val="none"/>
        </w:rPr>
      </w:pPr>
      <w:r>
        <w:rPr>
          <w:rFonts w:hint="eastAsia"/>
          <w:b w:val="0"/>
          <w:bCs w:val="0"/>
          <w:color w:val="000000"/>
          <w:sz w:val="24"/>
          <w:szCs w:val="24"/>
          <w:highlight w:val="none"/>
        </w:rPr>
        <w:t xml:space="preserve">……</w:t>
      </w:r>
      <w:r>
        <w:rPr>
          <w:rFonts w:hint="eastAsia"/>
          <w:b w:val="0"/>
          <w:bCs w:val="0"/>
          <w:color w:val="000000"/>
          <w:sz w:val="24"/>
          <w:szCs w:val="24"/>
          <w:highlight w:val="none"/>
        </w:rPr>
      </w:r>
      <w:r/>
    </w:p>
    <w:p>
      <w:pPr>
        <w:pStyle w:val="1027"/>
        <w:ind w:firstLine="480"/>
        <w:spacing w:before="120" w:after="120" w:line="460" w:lineRule="exact"/>
        <w:rPr>
          <w:rFonts w:hint="eastAsia"/>
          <w:b w:val="0"/>
          <w:bCs w:val="0"/>
          <w:color w:val="000000"/>
          <w:sz w:val="24"/>
          <w:szCs w:val="24"/>
          <w:highlight w:val="none"/>
        </w:rPr>
      </w:pPr>
      <w:r>
        <w:rPr>
          <w:rFonts w:hint="eastAsia"/>
          <w:b w:val="0"/>
          <w:bCs w:val="0"/>
          <w:color w:val="000000"/>
          <w:sz w:val="24"/>
          <w:szCs w:val="24"/>
          <w:highlight w:val="none"/>
        </w:rPr>
        <w:t xml:space="preserve">以上企业，不属于大企业的分支机构，不存在控股股东为大企业的情形，也不存在与大企业的负责人为同一人的情形。</w:t>
      </w:r>
      <w:r>
        <w:rPr>
          <w:rFonts w:hint="eastAsia"/>
          <w:b w:val="0"/>
          <w:bCs w:val="0"/>
          <w:color w:val="000000"/>
          <w:sz w:val="24"/>
          <w:szCs w:val="24"/>
          <w:highlight w:val="none"/>
        </w:rPr>
      </w:r>
      <w:r/>
    </w:p>
    <w:p>
      <w:pPr>
        <w:pStyle w:val="1027"/>
        <w:ind w:firstLine="480"/>
        <w:spacing w:before="120" w:after="120" w:line="460" w:lineRule="exact"/>
        <w:rPr>
          <w:rFonts w:hint="eastAsia"/>
          <w:b w:val="0"/>
          <w:bCs w:val="0"/>
          <w:color w:val="000000"/>
          <w:sz w:val="24"/>
          <w:szCs w:val="24"/>
          <w:highlight w:val="none"/>
        </w:rPr>
      </w:pPr>
      <w:r>
        <w:rPr>
          <w:rFonts w:hint="eastAsia"/>
          <w:b w:val="0"/>
          <w:bCs w:val="0"/>
          <w:color w:val="000000"/>
          <w:sz w:val="24"/>
          <w:szCs w:val="24"/>
          <w:highlight w:val="none"/>
        </w:rPr>
        <w:t xml:space="preserve">本企业对上述声明内容的真实性负责。如有虚假，将依法承担相应责任。</w:t>
      </w:r>
      <w:r>
        <w:rPr>
          <w:rFonts w:hint="eastAsia"/>
          <w:b w:val="0"/>
          <w:bCs w:val="0"/>
          <w:color w:val="000000"/>
          <w:sz w:val="24"/>
          <w:szCs w:val="24"/>
          <w:highlight w:val="none"/>
        </w:rPr>
      </w:r>
      <w:r/>
    </w:p>
    <w:p>
      <w:pPr>
        <w:pStyle w:val="1027"/>
        <w:ind w:firstLine="5520"/>
        <w:spacing w:before="120" w:after="120" w:line="460" w:lineRule="exact"/>
        <w:rPr>
          <w:b w:val="0"/>
          <w:bCs w:val="0"/>
          <w:color w:val="000000"/>
          <w:sz w:val="24"/>
          <w:szCs w:val="24"/>
          <w:highlight w:val="none"/>
        </w:rPr>
      </w:pPr>
      <w:r>
        <w:rPr>
          <w:b w:val="0"/>
          <w:bCs w:val="0"/>
          <w:color w:val="000000"/>
          <w:sz w:val="24"/>
          <w:szCs w:val="24"/>
          <w:highlight w:val="none"/>
        </w:rPr>
      </w:r>
      <w:r/>
    </w:p>
    <w:p>
      <w:pPr>
        <w:pStyle w:val="1027"/>
        <w:ind w:firstLine="5520"/>
        <w:spacing w:before="120" w:after="120" w:line="460" w:lineRule="exact"/>
        <w:rPr>
          <w:rFonts w:hint="eastAsia"/>
          <w:b w:val="0"/>
          <w:bCs w:val="0"/>
          <w:color w:val="000000"/>
          <w:sz w:val="24"/>
          <w:szCs w:val="24"/>
          <w:highlight w:val="none"/>
        </w:rPr>
      </w:pPr>
      <w:r>
        <w:rPr>
          <w:rFonts w:hint="eastAsia"/>
          <w:b w:val="0"/>
          <w:bCs w:val="0"/>
          <w:color w:val="000000"/>
          <w:sz w:val="24"/>
          <w:szCs w:val="24"/>
          <w:highlight w:val="none"/>
        </w:rPr>
        <w:t xml:space="preserve">企业名称（加盖CA电子公章）：</w:t>
      </w:r>
      <w:r>
        <w:rPr>
          <w:rFonts w:hint="eastAsia"/>
          <w:b w:val="0"/>
          <w:bCs w:val="0"/>
          <w:color w:val="000000"/>
          <w:sz w:val="24"/>
          <w:szCs w:val="24"/>
          <w:highlight w:val="none"/>
        </w:rPr>
      </w:r>
      <w:r/>
    </w:p>
    <w:p>
      <w:pPr>
        <w:pStyle w:val="1027"/>
        <w:ind w:firstLine="6480"/>
        <w:spacing w:before="120" w:after="120" w:line="460" w:lineRule="exact"/>
        <w:rPr>
          <w:rFonts w:hint="eastAsia"/>
          <w:b w:val="0"/>
          <w:bCs w:val="0"/>
          <w:color w:val="000000"/>
          <w:sz w:val="24"/>
          <w:szCs w:val="24"/>
          <w:highlight w:val="none"/>
        </w:rPr>
      </w:pPr>
      <w:r>
        <w:rPr>
          <w:rFonts w:hint="eastAsia"/>
          <w:b w:val="0"/>
          <w:bCs w:val="0"/>
          <w:color w:val="000000"/>
          <w:sz w:val="24"/>
          <w:szCs w:val="24"/>
          <w:highlight w:val="none"/>
        </w:rPr>
        <w:t xml:space="preserve">日 期：</w:t>
      </w:r>
      <w:r>
        <w:rPr>
          <w:rFonts w:hint="eastAsia"/>
          <w:b w:val="0"/>
          <w:bCs w:val="0"/>
          <w:color w:val="000000"/>
          <w:sz w:val="24"/>
          <w:szCs w:val="24"/>
          <w:highlight w:val="none"/>
        </w:rPr>
      </w:r>
      <w:r/>
    </w:p>
    <w:p>
      <w:pPr>
        <w:pStyle w:val="1027"/>
        <w:ind w:firstLine="480"/>
        <w:spacing w:before="120" w:after="120" w:line="460" w:lineRule="exact"/>
        <w:rPr>
          <w:rFonts w:hint="eastAsia"/>
          <w:b w:val="0"/>
          <w:bCs w:val="0"/>
          <w:color w:val="000000"/>
          <w:sz w:val="24"/>
          <w:szCs w:val="24"/>
          <w:highlight w:val="none"/>
        </w:rPr>
      </w:pPr>
      <w:r>
        <w:rPr>
          <w:rFonts w:hint="eastAsia"/>
          <w:b w:val="0"/>
          <w:bCs w:val="0"/>
          <w:color w:val="000000"/>
          <w:sz w:val="24"/>
          <w:szCs w:val="24"/>
          <w:highlight w:val="none"/>
        </w:rPr>
        <w:t xml:space="preserve">备注1：从业人员、营业收入、资产总额填报上一年度数据，无上一年度数据的新成立企业可不填报。</w:t>
      </w:r>
      <w:r>
        <w:rPr>
          <w:rFonts w:hint="eastAsia"/>
          <w:b w:val="0"/>
          <w:bCs w:val="0"/>
          <w:color w:val="000000"/>
          <w:sz w:val="24"/>
          <w:szCs w:val="24"/>
          <w:highlight w:val="none"/>
        </w:rPr>
      </w:r>
      <w:r/>
    </w:p>
    <w:p>
      <w:pPr>
        <w:pStyle w:val="1027"/>
        <w:ind w:firstLine="480"/>
        <w:spacing w:before="120" w:after="120" w:line="460" w:lineRule="exact"/>
        <w:rPr>
          <w:rFonts w:hint="eastAsia"/>
          <w:b w:val="0"/>
          <w:bCs w:val="0"/>
          <w:color w:val="000000"/>
          <w:sz w:val="24"/>
          <w:szCs w:val="24"/>
          <w:highlight w:val="none"/>
        </w:rPr>
      </w:pPr>
      <w:r>
        <w:rPr>
          <w:rFonts w:hint="eastAsia"/>
          <w:b w:val="0"/>
          <w:bCs w:val="0"/>
          <w:color w:val="000000"/>
          <w:sz w:val="24"/>
          <w:szCs w:val="24"/>
          <w:highlight w:val="none"/>
        </w:rPr>
        <w:t xml:space="preserve">备注2：投标人如不提供此声明函，价格将不做相应扣除（如项目全面面向中小企业，则资格审查不通过）。</w:t>
      </w:r>
      <w:r>
        <w:rPr>
          <w:rFonts w:hint="eastAsia"/>
          <w:b w:val="0"/>
          <w:bCs w:val="0"/>
          <w:color w:val="000000"/>
          <w:sz w:val="24"/>
          <w:szCs w:val="24"/>
          <w:highlight w:val="none"/>
        </w:rPr>
      </w:r>
      <w:r/>
    </w:p>
    <w:p>
      <w:pPr>
        <w:pStyle w:val="1024"/>
        <w:jc w:val="center"/>
        <w:spacing w:before="50" w:after="50"/>
        <w:rPr>
          <w:color w:val="000000"/>
          <w:highlight w:val="none"/>
        </w:rPr>
      </w:pPr>
      <w:r>
        <w:rPr>
          <w:rFonts w:hint="eastAsia"/>
          <w:b/>
          <w:bCs/>
          <w:color w:val="000000"/>
          <w:highlight w:val="none"/>
        </w:rPr>
        <w:br w:type="page" w:clear="all"/>
      </w:r>
      <w:r>
        <w:rPr>
          <w:rFonts w:hint="eastAsia"/>
          <w:b/>
          <w:bCs/>
          <w:color w:val="000000"/>
          <w:sz w:val="30"/>
          <w:szCs w:val="30"/>
          <w:highlight w:val="none"/>
        </w:rPr>
        <w:t xml:space="preserve">十、残疾人福利性单位声明函</w:t>
      </w:r>
      <w:r>
        <w:rPr>
          <w:color w:val="000000"/>
          <w:highlight w:val="none"/>
        </w:rPr>
      </w:r>
      <w:r/>
    </w:p>
    <w:p>
      <w:pPr>
        <w:pStyle w:val="1027"/>
        <w:ind w:firstLine="480"/>
        <w:spacing w:before="120" w:after="120" w:line="460" w:lineRule="exact"/>
        <w:rPr>
          <w:rFonts w:hint="eastAsia"/>
          <w:b w:val="0"/>
          <w:bCs w:val="0"/>
          <w:color w:val="000000"/>
          <w:sz w:val="24"/>
          <w:szCs w:val="24"/>
          <w:highlight w:val="none"/>
        </w:rPr>
      </w:pPr>
      <w:r>
        <w:rPr>
          <w:rFonts w:hint="eastAsia"/>
          <w:b w:val="0"/>
          <w:bCs w:val="0"/>
          <w:color w:val="000000"/>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b w:val="0"/>
          <w:bCs w:val="0"/>
          <w:color w:val="000000"/>
          <w:sz w:val="24"/>
          <w:szCs w:val="24"/>
          <w:highlight w:val="none"/>
          <w:u w:val="single"/>
        </w:rPr>
        <w:t xml:space="preserve">盐城市公路事业发展中心</w:t>
      </w:r>
      <w:r>
        <w:rPr>
          <w:rFonts w:hint="eastAsia"/>
          <w:b w:val="0"/>
          <w:bCs w:val="0"/>
          <w:color w:val="000000"/>
          <w:sz w:val="24"/>
          <w:szCs w:val="24"/>
          <w:highlight w:val="none"/>
        </w:rPr>
        <w:t xml:space="preserve">单位的采购文件编号为</w:t>
      </w:r>
      <w:r>
        <w:rPr>
          <w:rFonts w:hint="eastAsia" w:ascii="宋体" w:hAnsi="宋体" w:cs="宋体"/>
          <w:b w:val="0"/>
          <w:bCs w:val="0"/>
          <w:color w:val="000000"/>
          <w:sz w:val="24"/>
          <w:szCs w:val="24"/>
          <w:highlight w:val="none"/>
          <w:u w:val="single"/>
        </w:rPr>
        <w:t xml:space="preserve">          </w:t>
      </w:r>
      <w:r>
        <w:rPr>
          <w:rFonts w:hint="eastAsia"/>
          <w:b w:val="0"/>
          <w:bCs w:val="0"/>
          <w:color w:val="000000"/>
          <w:sz w:val="24"/>
          <w:szCs w:val="24"/>
          <w:highlight w:val="none"/>
        </w:rPr>
        <w:t xml:space="preserve">的</w:t>
      </w:r>
      <w:r>
        <w:rPr>
          <w:rFonts w:hint="eastAsia"/>
          <w:b w:val="0"/>
          <w:bCs w:val="0"/>
          <w:color w:val="000000"/>
          <w:sz w:val="24"/>
          <w:szCs w:val="24"/>
          <w:highlight w:val="none"/>
          <w:u w:val="single"/>
        </w:rPr>
        <w:t xml:space="preserve">2026年盐城市普通国省道小修保养及应急养护工程全过程造价控制及竣工决算审计</w:t>
      </w:r>
      <w:r>
        <w:rPr>
          <w:rFonts w:hint="eastAsia"/>
          <w:b w:val="0"/>
          <w:bCs w:val="0"/>
          <w:color w:val="000000"/>
          <w:sz w:val="24"/>
          <w:szCs w:val="24"/>
          <w:highlight w:val="none"/>
        </w:rPr>
        <w:t xml:space="preserve">采购活动由本单位提供服务。</w:t>
      </w:r>
      <w:r>
        <w:rPr>
          <w:rFonts w:hint="eastAsia"/>
          <w:b w:val="0"/>
          <w:bCs w:val="0"/>
          <w:color w:val="000000"/>
          <w:sz w:val="24"/>
          <w:szCs w:val="24"/>
          <w:highlight w:val="none"/>
        </w:rPr>
      </w:r>
      <w:r/>
    </w:p>
    <w:p>
      <w:pPr>
        <w:pStyle w:val="1027"/>
        <w:ind w:firstLine="480"/>
        <w:spacing w:before="120" w:after="120" w:line="460" w:lineRule="exact"/>
        <w:rPr>
          <w:b w:val="0"/>
          <w:bCs w:val="0"/>
          <w:color w:val="000000"/>
          <w:sz w:val="24"/>
          <w:szCs w:val="24"/>
          <w:highlight w:val="none"/>
        </w:rPr>
      </w:pPr>
      <w:r>
        <w:rPr>
          <w:rFonts w:hint="eastAsia"/>
          <w:b w:val="0"/>
          <w:bCs w:val="0"/>
          <w:color w:val="000000"/>
          <w:sz w:val="24"/>
          <w:szCs w:val="24"/>
          <w:highlight w:val="none"/>
        </w:rPr>
        <w:t xml:space="preserve">本单位对上述声明的真实性负责。如有虚假，将依法承担相应责任。</w:t>
      </w:r>
      <w:r>
        <w:rPr>
          <w:b w:val="0"/>
          <w:bCs w:val="0"/>
          <w:color w:val="000000"/>
          <w:sz w:val="24"/>
          <w:szCs w:val="24"/>
          <w:highlight w:val="none"/>
        </w:rPr>
      </w:r>
      <w:r/>
    </w:p>
    <w:p>
      <w:pPr>
        <w:pStyle w:val="1024"/>
        <w:rPr>
          <w:rFonts w:hint="eastAsia"/>
          <w:color w:val="000000"/>
          <w:highlight w:val="none"/>
        </w:rPr>
      </w:pPr>
      <w:r>
        <w:rPr>
          <w:rFonts w:hint="eastAsia"/>
          <w:color w:val="000000"/>
          <w:highlight w:val="none"/>
        </w:rPr>
      </w:r>
      <w:r/>
    </w:p>
    <w:p>
      <w:pPr>
        <w:pStyle w:val="1027"/>
        <w:ind w:firstLine="480"/>
        <w:spacing w:before="120" w:after="120" w:line="460" w:lineRule="exact"/>
        <w:rPr>
          <w:rFonts w:hint="eastAsia"/>
          <w:b w:val="0"/>
          <w:bCs w:val="0"/>
          <w:color w:val="000000"/>
          <w:sz w:val="24"/>
          <w:szCs w:val="24"/>
          <w:highlight w:val="none"/>
        </w:rPr>
      </w:pPr>
      <w:r>
        <w:rPr>
          <w:rFonts w:hint="eastAsia"/>
          <w:b w:val="0"/>
          <w:bCs w:val="0"/>
          <w:color w:val="000000"/>
          <w:sz w:val="24"/>
          <w:szCs w:val="24"/>
          <w:highlight w:val="none"/>
        </w:rPr>
        <w:t xml:space="preserve">备注：1、投标人如不提供此声明函，价格将不做相应扣除（如项目全面面向中小企业，则资格审查不通过）。2、中标人为残疾人福利单位的，此声明函将随中标结果同时公告，接受社会监督。</w:t>
      </w:r>
      <w:r>
        <w:rPr>
          <w:rFonts w:hint="eastAsia"/>
          <w:b w:val="0"/>
          <w:bCs w:val="0"/>
          <w:color w:val="000000"/>
          <w:sz w:val="24"/>
          <w:szCs w:val="24"/>
          <w:highlight w:val="none"/>
        </w:rPr>
      </w:r>
      <w:r/>
    </w:p>
    <w:p>
      <w:pPr>
        <w:pStyle w:val="1027"/>
        <w:ind w:right="720" w:firstLine="480"/>
        <w:jc w:val="right"/>
        <w:spacing w:before="120" w:after="120" w:line="460" w:lineRule="exact"/>
        <w:rPr>
          <w:b w:val="0"/>
          <w:bCs w:val="0"/>
          <w:color w:val="000000"/>
          <w:sz w:val="24"/>
          <w:szCs w:val="24"/>
          <w:highlight w:val="none"/>
        </w:rPr>
      </w:pPr>
      <w:r>
        <w:rPr>
          <w:b w:val="0"/>
          <w:bCs w:val="0"/>
          <w:color w:val="000000"/>
          <w:sz w:val="24"/>
          <w:szCs w:val="24"/>
          <w:highlight w:val="none"/>
        </w:rPr>
      </w:r>
      <w:r/>
    </w:p>
    <w:p>
      <w:pPr>
        <w:pStyle w:val="1027"/>
        <w:ind w:right="720" w:firstLine="480"/>
        <w:jc w:val="right"/>
        <w:spacing w:before="120" w:after="120" w:line="460" w:lineRule="exact"/>
        <w:rPr>
          <w:rFonts w:hint="eastAsia"/>
          <w:b w:val="0"/>
          <w:bCs w:val="0"/>
          <w:color w:val="000000"/>
          <w:sz w:val="24"/>
          <w:szCs w:val="24"/>
          <w:highlight w:val="none"/>
        </w:rPr>
      </w:pPr>
      <w:r>
        <w:rPr>
          <w:rFonts w:hint="eastAsia"/>
          <w:b w:val="0"/>
          <w:bCs w:val="0"/>
          <w:color w:val="000000"/>
          <w:sz w:val="24"/>
          <w:szCs w:val="24"/>
          <w:highlight w:val="none"/>
        </w:rPr>
        <w:t xml:space="preserve">投标人全称（加盖CA电子公章）：</w:t>
      </w:r>
      <w:r>
        <w:rPr>
          <w:rFonts w:hint="eastAsia"/>
          <w:b w:val="0"/>
          <w:bCs w:val="0"/>
          <w:color w:val="000000"/>
          <w:sz w:val="24"/>
          <w:szCs w:val="24"/>
          <w:highlight w:val="none"/>
        </w:rPr>
      </w:r>
      <w:r/>
    </w:p>
    <w:p>
      <w:pPr>
        <w:pStyle w:val="1027"/>
        <w:ind w:right="960" w:firstLine="6720"/>
        <w:spacing w:before="120" w:after="120" w:line="460" w:lineRule="exact"/>
        <w:rPr>
          <w:rFonts w:hint="eastAsia"/>
          <w:b w:val="0"/>
          <w:bCs w:val="0"/>
          <w:color w:val="000000"/>
          <w:sz w:val="24"/>
          <w:szCs w:val="24"/>
          <w:highlight w:val="none"/>
        </w:rPr>
      </w:pPr>
      <w:r>
        <w:rPr>
          <w:rFonts w:hint="eastAsia"/>
          <w:b w:val="0"/>
          <w:bCs w:val="0"/>
          <w:color w:val="000000"/>
          <w:sz w:val="24"/>
          <w:szCs w:val="24"/>
          <w:highlight w:val="none"/>
        </w:rPr>
        <w:t xml:space="preserve">日 期：</w:t>
      </w:r>
      <w:r>
        <w:rPr>
          <w:rFonts w:hint="eastAsia"/>
          <w:b w:val="0"/>
          <w:bCs w:val="0"/>
          <w:color w:val="000000"/>
          <w:sz w:val="24"/>
          <w:szCs w:val="24"/>
          <w:highlight w:val="none"/>
        </w:rPr>
      </w:r>
      <w:r/>
    </w:p>
    <w:p>
      <w:pPr>
        <w:pStyle w:val="1024"/>
        <w:jc w:val="center"/>
        <w:spacing w:before="50" w:after="50"/>
        <w:rPr>
          <w:b/>
          <w:bCs/>
          <w:color w:val="000000"/>
          <w:sz w:val="30"/>
          <w:szCs w:val="30"/>
          <w:highlight w:val="none"/>
        </w:rPr>
      </w:pPr>
      <w:r>
        <w:rPr>
          <w:rFonts w:hint="eastAsia"/>
          <w:b/>
          <w:bCs/>
          <w:color w:val="000000"/>
          <w:highlight w:val="none"/>
        </w:rPr>
        <w:br w:type="page" w:clear="all"/>
      </w:r>
      <w:r>
        <w:rPr>
          <w:rFonts w:hint="eastAsia"/>
          <w:b/>
          <w:bCs/>
          <w:color w:val="000000"/>
          <w:sz w:val="30"/>
          <w:szCs w:val="30"/>
          <w:highlight w:val="none"/>
        </w:rPr>
        <w:t xml:space="preserve">十一、技术要求响应及偏离表（如有</w:t>
      </w:r>
      <w:r>
        <w:rPr>
          <w:b/>
          <w:bCs/>
          <w:color w:val="000000"/>
          <w:sz w:val="30"/>
          <w:szCs w:val="30"/>
          <w:highlight w:val="none"/>
        </w:rPr>
        <w:t xml:space="preserve">）</w:t>
      </w:r>
      <w:r>
        <w:rPr>
          <w:b/>
          <w:bCs/>
          <w:color w:val="000000"/>
          <w:sz w:val="30"/>
          <w:szCs w:val="30"/>
          <w:highlight w:val="none"/>
        </w:rPr>
      </w:r>
      <w:r/>
    </w:p>
    <w:p>
      <w:pPr>
        <w:pStyle w:val="1085"/>
        <w:rPr>
          <w:color w:val="000000"/>
          <w:highlight w:val="none"/>
        </w:rPr>
      </w:pPr>
      <w:r>
        <w:rPr>
          <w:color w:val="000000"/>
          <w:highlight w:val="none"/>
        </w:rPr>
      </w:r>
      <w:r/>
    </w:p>
    <w:p>
      <w:pPr>
        <w:pStyle w:val="1024"/>
        <w:rPr>
          <w:color w:val="000000"/>
          <w:highlight w:val="none"/>
        </w:rPr>
      </w:pPr>
      <w:r>
        <w:rPr>
          <w:rFonts w:hint="eastAsia" w:ascii="宋体" w:hAnsi="宋体" w:cs="宋体"/>
          <w:color w:val="000000"/>
          <w:sz w:val="24"/>
          <w:szCs w:val="24"/>
          <w:highlight w:val="none"/>
        </w:rPr>
        <w:t xml:space="preserve">投标人全称（加盖CA电子公章）：      </w:t>
      </w:r>
      <w:r>
        <w:rPr>
          <w:rFonts w:hint="eastAsia"/>
          <w:color w:val="000000"/>
          <w:highlight w:val="none"/>
        </w:rPr>
        <w:t xml:space="preserve"> </w:t>
      </w:r>
      <w:r>
        <w:rPr>
          <w:color w:val="000000"/>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369"/>
        <w:gridCol w:w="2000"/>
        <w:gridCol w:w="2268"/>
        <w:gridCol w:w="2110"/>
      </w:tblGrid>
      <w:tr>
        <w:trPr>
          <w:cantSplit/>
        </w:trPr>
        <w:tc>
          <w:tcPr>
            <w:tcW w:w="984" w:type="dxa"/>
            <w:vAlign w:val="center"/>
            <w:textDirection w:val="lrTb"/>
            <w:noWrap w:val="false"/>
          </w:tcPr>
          <w:p>
            <w:pPr>
              <w:pStyle w:val="1024"/>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序号</w:t>
            </w:r>
            <w:r>
              <w:rPr>
                <w:rFonts w:hint="eastAsia" w:ascii="宋体" w:hAnsi="宋体" w:cs="宋体"/>
                <w:color w:val="000000"/>
                <w:sz w:val="24"/>
                <w:szCs w:val="24"/>
                <w:highlight w:val="none"/>
              </w:rPr>
            </w:r>
            <w:r/>
          </w:p>
        </w:tc>
        <w:tc>
          <w:tcPr>
            <w:tcW w:w="2369" w:type="dxa"/>
            <w:vAlign w:val="center"/>
            <w:textDirection w:val="lrTb"/>
            <w:noWrap w:val="false"/>
          </w:tcPr>
          <w:p>
            <w:pPr>
              <w:pStyle w:val="1024"/>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招标文件要求</w:t>
            </w:r>
            <w:r>
              <w:rPr>
                <w:rFonts w:hint="eastAsia" w:ascii="宋体" w:hAnsi="宋体" w:cs="宋体"/>
                <w:color w:val="000000"/>
                <w:sz w:val="24"/>
                <w:szCs w:val="24"/>
                <w:highlight w:val="none"/>
              </w:rPr>
            </w:r>
            <w:r/>
          </w:p>
        </w:tc>
        <w:tc>
          <w:tcPr>
            <w:tcW w:w="2000" w:type="dxa"/>
            <w:vAlign w:val="center"/>
            <w:textDirection w:val="lrTb"/>
            <w:noWrap w:val="false"/>
          </w:tcPr>
          <w:p>
            <w:pPr>
              <w:pStyle w:val="1024"/>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投标响应</w:t>
            </w:r>
            <w:r>
              <w:rPr>
                <w:rFonts w:hint="eastAsia" w:ascii="宋体" w:hAnsi="宋体" w:cs="宋体"/>
                <w:color w:val="000000"/>
                <w:sz w:val="24"/>
                <w:szCs w:val="24"/>
                <w:highlight w:val="none"/>
              </w:rPr>
            </w:r>
            <w:r/>
          </w:p>
        </w:tc>
        <w:tc>
          <w:tcPr>
            <w:tcW w:w="2268" w:type="dxa"/>
            <w:vAlign w:val="center"/>
            <w:textDirection w:val="lrTb"/>
            <w:noWrap w:val="false"/>
          </w:tcPr>
          <w:p>
            <w:pPr>
              <w:pStyle w:val="1024"/>
              <w:ind w:right="-514"/>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响应情况（超出、</w:t>
            </w:r>
            <w:r>
              <w:rPr>
                <w:rFonts w:hint="eastAsia" w:ascii="宋体" w:hAnsi="宋体" w:cs="宋体"/>
                <w:color w:val="000000"/>
                <w:sz w:val="24"/>
                <w:szCs w:val="24"/>
                <w:highlight w:val="none"/>
              </w:rPr>
            </w:r>
            <w:r/>
          </w:p>
          <w:p>
            <w:pPr>
              <w:pStyle w:val="1024"/>
              <w:ind w:right="-514"/>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符合或偏离）</w:t>
            </w:r>
            <w:r>
              <w:rPr>
                <w:rFonts w:hint="eastAsia" w:ascii="宋体" w:hAnsi="宋体" w:cs="宋体"/>
                <w:color w:val="000000"/>
                <w:sz w:val="24"/>
                <w:szCs w:val="24"/>
                <w:highlight w:val="none"/>
              </w:rPr>
            </w:r>
            <w:r/>
          </w:p>
        </w:tc>
        <w:tc>
          <w:tcPr>
            <w:tcW w:w="2110" w:type="dxa"/>
            <w:vAlign w:val="center"/>
            <w:textDirection w:val="lrTb"/>
            <w:noWrap w:val="false"/>
          </w:tcPr>
          <w:p>
            <w:pPr>
              <w:pStyle w:val="1024"/>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原因</w:t>
            </w:r>
            <w:r>
              <w:rPr>
                <w:rFonts w:hint="eastAsia" w:ascii="宋体" w:hAnsi="宋体" w:cs="宋体"/>
                <w:color w:val="000000"/>
                <w:sz w:val="24"/>
                <w:szCs w:val="24"/>
                <w:highlight w:val="none"/>
              </w:rPr>
            </w:r>
            <w:r/>
          </w:p>
        </w:tc>
      </w:tr>
      <w:tr>
        <w:trPr>
          <w:cantSplit/>
          <w:trHeight w:val="640"/>
        </w:trPr>
        <w:tc>
          <w:tcPr>
            <w:tcW w:w="984" w:type="dxa"/>
            <w:vAlign w:val="top"/>
            <w:textDirection w:val="lrTb"/>
            <w:noWrap w:val="false"/>
          </w:tcPr>
          <w:p>
            <w:pPr>
              <w:pStyle w:val="1024"/>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369" w:type="dxa"/>
            <w:vAlign w:val="top"/>
            <w:textDirection w:val="lrTb"/>
            <w:noWrap w:val="false"/>
          </w:tcPr>
          <w:p>
            <w:pPr>
              <w:pStyle w:val="1024"/>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000" w:type="dxa"/>
            <w:vAlign w:val="top"/>
            <w:textDirection w:val="lrTb"/>
            <w:noWrap w:val="false"/>
          </w:tcPr>
          <w:p>
            <w:pPr>
              <w:pStyle w:val="1024"/>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268" w:type="dxa"/>
            <w:vAlign w:val="top"/>
            <w:textDirection w:val="lrTb"/>
            <w:noWrap w:val="false"/>
          </w:tcPr>
          <w:p>
            <w:pPr>
              <w:pStyle w:val="1024"/>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110" w:type="dxa"/>
            <w:vAlign w:val="top"/>
            <w:textDirection w:val="lrTb"/>
            <w:noWrap w:val="false"/>
          </w:tcPr>
          <w:p>
            <w:pPr>
              <w:pStyle w:val="1024"/>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Height w:val="640"/>
        </w:trPr>
        <w:tc>
          <w:tcPr>
            <w:tcW w:w="984" w:type="dxa"/>
            <w:vAlign w:val="top"/>
            <w:textDirection w:val="lrTb"/>
            <w:noWrap w:val="false"/>
          </w:tcPr>
          <w:p>
            <w:pPr>
              <w:pStyle w:val="1024"/>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369" w:type="dxa"/>
            <w:vAlign w:val="top"/>
            <w:textDirection w:val="lrTb"/>
            <w:noWrap w:val="false"/>
          </w:tcPr>
          <w:p>
            <w:pPr>
              <w:pStyle w:val="1024"/>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000" w:type="dxa"/>
            <w:vAlign w:val="top"/>
            <w:textDirection w:val="lrTb"/>
            <w:noWrap w:val="false"/>
          </w:tcPr>
          <w:p>
            <w:pPr>
              <w:pStyle w:val="1024"/>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268" w:type="dxa"/>
            <w:vAlign w:val="top"/>
            <w:textDirection w:val="lrTb"/>
            <w:noWrap w:val="false"/>
          </w:tcPr>
          <w:p>
            <w:pPr>
              <w:pStyle w:val="1024"/>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110" w:type="dxa"/>
            <w:vAlign w:val="top"/>
            <w:textDirection w:val="lrTb"/>
            <w:noWrap w:val="false"/>
          </w:tcPr>
          <w:p>
            <w:pPr>
              <w:pStyle w:val="1024"/>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Height w:val="640"/>
        </w:trPr>
        <w:tc>
          <w:tcPr>
            <w:tcW w:w="984" w:type="dxa"/>
            <w:vAlign w:val="top"/>
            <w:textDirection w:val="lrTb"/>
            <w:noWrap w:val="false"/>
          </w:tcPr>
          <w:p>
            <w:pPr>
              <w:pStyle w:val="1024"/>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369" w:type="dxa"/>
            <w:vAlign w:val="top"/>
            <w:textDirection w:val="lrTb"/>
            <w:noWrap w:val="false"/>
          </w:tcPr>
          <w:p>
            <w:pPr>
              <w:pStyle w:val="1024"/>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000" w:type="dxa"/>
            <w:vAlign w:val="top"/>
            <w:textDirection w:val="lrTb"/>
            <w:noWrap w:val="false"/>
          </w:tcPr>
          <w:p>
            <w:pPr>
              <w:pStyle w:val="1024"/>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268" w:type="dxa"/>
            <w:vAlign w:val="top"/>
            <w:textDirection w:val="lrTb"/>
            <w:noWrap w:val="false"/>
          </w:tcPr>
          <w:p>
            <w:pPr>
              <w:pStyle w:val="1024"/>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110" w:type="dxa"/>
            <w:vAlign w:val="top"/>
            <w:textDirection w:val="lrTb"/>
            <w:noWrap w:val="false"/>
          </w:tcPr>
          <w:p>
            <w:pPr>
              <w:pStyle w:val="1024"/>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Height w:val="640"/>
        </w:trPr>
        <w:tc>
          <w:tcPr>
            <w:tcW w:w="984" w:type="dxa"/>
            <w:vAlign w:val="top"/>
            <w:textDirection w:val="lrTb"/>
            <w:noWrap w:val="false"/>
          </w:tcPr>
          <w:p>
            <w:pPr>
              <w:pStyle w:val="1024"/>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369" w:type="dxa"/>
            <w:vAlign w:val="top"/>
            <w:textDirection w:val="lrTb"/>
            <w:noWrap w:val="false"/>
          </w:tcPr>
          <w:p>
            <w:pPr>
              <w:pStyle w:val="1024"/>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000" w:type="dxa"/>
            <w:vAlign w:val="top"/>
            <w:textDirection w:val="lrTb"/>
            <w:noWrap w:val="false"/>
          </w:tcPr>
          <w:p>
            <w:pPr>
              <w:pStyle w:val="1024"/>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268" w:type="dxa"/>
            <w:vAlign w:val="top"/>
            <w:textDirection w:val="lrTb"/>
            <w:noWrap w:val="false"/>
          </w:tcPr>
          <w:p>
            <w:pPr>
              <w:pStyle w:val="1024"/>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110" w:type="dxa"/>
            <w:vAlign w:val="top"/>
            <w:textDirection w:val="lrTb"/>
            <w:noWrap w:val="false"/>
          </w:tcPr>
          <w:p>
            <w:pPr>
              <w:pStyle w:val="1024"/>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Height w:val="640"/>
        </w:trPr>
        <w:tc>
          <w:tcPr>
            <w:tcW w:w="984" w:type="dxa"/>
            <w:vAlign w:val="top"/>
            <w:textDirection w:val="lrTb"/>
            <w:noWrap w:val="false"/>
          </w:tcPr>
          <w:p>
            <w:pPr>
              <w:pStyle w:val="1024"/>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369" w:type="dxa"/>
            <w:vAlign w:val="top"/>
            <w:textDirection w:val="lrTb"/>
            <w:noWrap w:val="false"/>
          </w:tcPr>
          <w:p>
            <w:pPr>
              <w:pStyle w:val="1024"/>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000" w:type="dxa"/>
            <w:vAlign w:val="top"/>
            <w:textDirection w:val="lrTb"/>
            <w:noWrap w:val="false"/>
          </w:tcPr>
          <w:p>
            <w:pPr>
              <w:pStyle w:val="1024"/>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268" w:type="dxa"/>
            <w:vAlign w:val="top"/>
            <w:textDirection w:val="lrTb"/>
            <w:noWrap w:val="false"/>
          </w:tcPr>
          <w:p>
            <w:pPr>
              <w:pStyle w:val="1024"/>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110" w:type="dxa"/>
            <w:vAlign w:val="top"/>
            <w:textDirection w:val="lrTb"/>
            <w:noWrap w:val="false"/>
          </w:tcPr>
          <w:p>
            <w:pPr>
              <w:pStyle w:val="1024"/>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Height w:val="640"/>
        </w:trPr>
        <w:tc>
          <w:tcPr>
            <w:tcW w:w="984" w:type="dxa"/>
            <w:vAlign w:val="top"/>
            <w:textDirection w:val="lrTb"/>
            <w:noWrap w:val="false"/>
          </w:tcPr>
          <w:p>
            <w:pPr>
              <w:pStyle w:val="1024"/>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369" w:type="dxa"/>
            <w:vAlign w:val="top"/>
            <w:textDirection w:val="lrTb"/>
            <w:noWrap w:val="false"/>
          </w:tcPr>
          <w:p>
            <w:pPr>
              <w:pStyle w:val="1024"/>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000" w:type="dxa"/>
            <w:vAlign w:val="top"/>
            <w:textDirection w:val="lrTb"/>
            <w:noWrap w:val="false"/>
          </w:tcPr>
          <w:p>
            <w:pPr>
              <w:pStyle w:val="1024"/>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268" w:type="dxa"/>
            <w:vAlign w:val="top"/>
            <w:textDirection w:val="lrTb"/>
            <w:noWrap w:val="false"/>
          </w:tcPr>
          <w:p>
            <w:pPr>
              <w:pStyle w:val="1024"/>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110" w:type="dxa"/>
            <w:vAlign w:val="top"/>
            <w:textDirection w:val="lrTb"/>
            <w:noWrap w:val="false"/>
          </w:tcPr>
          <w:p>
            <w:pPr>
              <w:pStyle w:val="1024"/>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Height w:val="640"/>
        </w:trPr>
        <w:tc>
          <w:tcPr>
            <w:tcW w:w="984" w:type="dxa"/>
            <w:vAlign w:val="top"/>
            <w:textDirection w:val="lrTb"/>
            <w:noWrap w:val="false"/>
          </w:tcPr>
          <w:p>
            <w:pPr>
              <w:pStyle w:val="1024"/>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369" w:type="dxa"/>
            <w:vAlign w:val="top"/>
            <w:textDirection w:val="lrTb"/>
            <w:noWrap w:val="false"/>
          </w:tcPr>
          <w:p>
            <w:pPr>
              <w:pStyle w:val="1024"/>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000" w:type="dxa"/>
            <w:vAlign w:val="top"/>
            <w:textDirection w:val="lrTb"/>
            <w:noWrap w:val="false"/>
          </w:tcPr>
          <w:p>
            <w:pPr>
              <w:pStyle w:val="1024"/>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268" w:type="dxa"/>
            <w:vAlign w:val="top"/>
            <w:textDirection w:val="lrTb"/>
            <w:noWrap w:val="false"/>
          </w:tcPr>
          <w:p>
            <w:pPr>
              <w:pStyle w:val="1024"/>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110" w:type="dxa"/>
            <w:vAlign w:val="top"/>
            <w:textDirection w:val="lrTb"/>
            <w:noWrap w:val="false"/>
          </w:tcPr>
          <w:p>
            <w:pPr>
              <w:pStyle w:val="1024"/>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Height w:val="640"/>
        </w:trPr>
        <w:tc>
          <w:tcPr>
            <w:tcW w:w="984" w:type="dxa"/>
            <w:vAlign w:val="top"/>
            <w:textDirection w:val="lrTb"/>
            <w:noWrap w:val="false"/>
          </w:tcPr>
          <w:p>
            <w:pPr>
              <w:pStyle w:val="1024"/>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369" w:type="dxa"/>
            <w:vAlign w:val="top"/>
            <w:textDirection w:val="lrTb"/>
            <w:noWrap w:val="false"/>
          </w:tcPr>
          <w:p>
            <w:pPr>
              <w:pStyle w:val="1024"/>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tc>
        <w:tc>
          <w:tcPr>
            <w:tcW w:w="2000" w:type="dxa"/>
            <w:vAlign w:val="top"/>
            <w:textDirection w:val="lrTb"/>
            <w:noWrap w:val="false"/>
          </w:tcPr>
          <w:p>
            <w:pPr>
              <w:pStyle w:val="1024"/>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268" w:type="dxa"/>
            <w:vAlign w:val="top"/>
            <w:textDirection w:val="lrTb"/>
            <w:noWrap w:val="false"/>
          </w:tcPr>
          <w:p>
            <w:pPr>
              <w:pStyle w:val="1024"/>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110" w:type="dxa"/>
            <w:vAlign w:val="top"/>
            <w:textDirection w:val="lrTb"/>
            <w:noWrap w:val="false"/>
          </w:tcPr>
          <w:p>
            <w:pPr>
              <w:pStyle w:val="1024"/>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bl>
    <w:p>
      <w:pPr>
        <w:pStyle w:val="1024"/>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法定代表人或授权代表签字：</w:t>
      </w:r>
      <w:r>
        <w:rPr>
          <w:rFonts w:hint="eastAsia" w:ascii="宋体" w:hAnsi="宋体" w:cs="宋体"/>
          <w:color w:val="000000"/>
          <w:sz w:val="24"/>
          <w:szCs w:val="24"/>
          <w:highlight w:val="none"/>
        </w:rPr>
      </w:r>
      <w:r/>
    </w:p>
    <w:p>
      <w:pPr>
        <w:pStyle w:val="1024"/>
        <w:rPr>
          <w:color w:val="000000"/>
          <w:highlight w:val="none"/>
        </w:rPr>
      </w:pPr>
      <w:r>
        <w:rPr>
          <w:color w:val="000000"/>
          <w:highlight w:val="none"/>
        </w:rPr>
      </w:r>
      <w:r/>
    </w:p>
    <w:p>
      <w:pPr>
        <w:pStyle w:val="1024"/>
        <w:jc w:val="center"/>
        <w:spacing w:before="50" w:after="50"/>
        <w:rPr>
          <w:rFonts w:hint="eastAsia"/>
          <w:b/>
          <w:bCs/>
          <w:color w:val="000000"/>
          <w:sz w:val="30"/>
          <w:szCs w:val="30"/>
          <w:highlight w:val="none"/>
        </w:rPr>
      </w:pPr>
      <w:r>
        <w:rPr>
          <w:color w:val="000000"/>
          <w:highlight w:val="none"/>
        </w:rPr>
        <w:br w:type="page" w:clear="all"/>
      </w:r>
      <w:r>
        <w:rPr>
          <w:rFonts w:hint="eastAsia"/>
          <w:b/>
          <w:bCs/>
          <w:color w:val="000000"/>
          <w:sz w:val="30"/>
          <w:szCs w:val="30"/>
          <w:highlight w:val="none"/>
        </w:rPr>
        <w:t xml:space="preserve">十二、商务要求响应及偏离表（如有</w:t>
      </w:r>
      <w:r>
        <w:rPr>
          <w:b/>
          <w:bCs/>
          <w:color w:val="000000"/>
          <w:sz w:val="30"/>
          <w:szCs w:val="30"/>
          <w:highlight w:val="none"/>
        </w:rPr>
        <w:t xml:space="preserve">）</w:t>
      </w:r>
      <w:r>
        <w:rPr>
          <w:rFonts w:hint="eastAsia"/>
          <w:b/>
          <w:bCs/>
          <w:color w:val="000000"/>
          <w:sz w:val="30"/>
          <w:szCs w:val="30"/>
          <w:highlight w:val="none"/>
        </w:rPr>
      </w:r>
      <w:r/>
    </w:p>
    <w:p>
      <w:pPr>
        <w:pStyle w:val="1085"/>
        <w:rPr>
          <w:rFonts w:hint="eastAsia" w:ascii="宋体" w:hAnsi="宋体" w:cs="宋体"/>
          <w:color w:val="000000"/>
          <w:highlight w:val="none"/>
        </w:rPr>
      </w:pPr>
      <w:r>
        <w:rPr>
          <w:rFonts w:hint="eastAsia" w:ascii="宋体" w:hAnsi="宋体" w:cs="宋体"/>
          <w:color w:val="000000"/>
          <w:highlight w:val="none"/>
        </w:rPr>
      </w:r>
      <w:r/>
    </w:p>
    <w:p>
      <w:pPr>
        <w:pStyle w:val="1024"/>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投标人全称（加盖CA电子公章）：        </w:t>
      </w:r>
      <w:r>
        <w:rPr>
          <w:rFonts w:hint="eastAsia" w:ascii="宋体" w:hAnsi="宋体" w:cs="宋体"/>
          <w:color w:val="000000"/>
          <w:sz w:val="24"/>
          <w:szCs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2486"/>
        <w:gridCol w:w="2889"/>
        <w:gridCol w:w="1347"/>
        <w:gridCol w:w="3234"/>
      </w:tblGrid>
      <w:tr>
        <w:trPr>
          <w:trHeight w:val="567" w:hRule="exact"/>
        </w:trPr>
        <w:tc>
          <w:tcPr>
            <w:tcW w:w="1248" w:type="dxa"/>
            <w:vAlign w:val="top"/>
            <w:textDirection w:val="lrTb"/>
            <w:noWrap w:val="false"/>
          </w:tcPr>
          <w:p>
            <w:pPr>
              <w:pStyle w:val="1024"/>
              <w:jc w:val="center"/>
              <w:spacing w:before="147"/>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w:t>
            </w:r>
            <w:r>
              <w:rPr>
                <w:rFonts w:hint="eastAsia" w:ascii="宋体" w:hAnsi="宋体" w:cs="宋体"/>
                <w:color w:val="000000"/>
                <w:sz w:val="24"/>
                <w:szCs w:val="24"/>
                <w:highlight w:val="none"/>
              </w:rPr>
            </w:r>
            <w:r/>
          </w:p>
        </w:tc>
        <w:tc>
          <w:tcPr>
            <w:tcW w:w="1450" w:type="dxa"/>
            <w:vAlign w:val="top"/>
            <w:textDirection w:val="lrTb"/>
            <w:noWrap w:val="false"/>
          </w:tcPr>
          <w:p>
            <w:pPr>
              <w:pStyle w:val="1024"/>
              <w:jc w:val="center"/>
              <w:spacing w:before="147"/>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招标文件要求</w:t>
            </w:r>
            <w:r>
              <w:rPr>
                <w:rFonts w:hint="eastAsia" w:ascii="宋体" w:hAnsi="宋体" w:cs="宋体"/>
                <w:color w:val="000000"/>
                <w:sz w:val="24"/>
                <w:szCs w:val="24"/>
                <w:highlight w:val="none"/>
              </w:rPr>
            </w:r>
            <w:r/>
          </w:p>
        </w:tc>
        <w:tc>
          <w:tcPr>
            <w:tcW w:w="676" w:type="dxa"/>
            <w:vAlign w:val="top"/>
            <w:textDirection w:val="lrTb"/>
            <w:noWrap w:val="false"/>
          </w:tcPr>
          <w:p>
            <w:pPr>
              <w:pStyle w:val="1024"/>
              <w:jc w:val="center"/>
              <w:spacing w:before="147"/>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是否响应</w:t>
            </w:r>
            <w:r>
              <w:rPr>
                <w:rFonts w:hint="eastAsia" w:ascii="宋体" w:hAnsi="宋体" w:cs="宋体"/>
                <w:color w:val="000000"/>
                <w:sz w:val="24"/>
                <w:szCs w:val="24"/>
                <w:highlight w:val="none"/>
              </w:rPr>
            </w:r>
            <w:r/>
          </w:p>
        </w:tc>
        <w:tc>
          <w:tcPr>
            <w:tcW w:w="1623" w:type="dxa"/>
            <w:vAlign w:val="top"/>
            <w:textDirection w:val="lrTb"/>
            <w:noWrap w:val="false"/>
          </w:tcPr>
          <w:p>
            <w:pPr>
              <w:pStyle w:val="1024"/>
              <w:jc w:val="center"/>
              <w:spacing w:before="147"/>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投标人的承诺或说明</w:t>
            </w:r>
            <w:r>
              <w:rPr>
                <w:rFonts w:hint="eastAsia" w:ascii="宋体" w:hAnsi="宋体" w:cs="宋体"/>
                <w:color w:val="000000"/>
                <w:sz w:val="24"/>
                <w:szCs w:val="24"/>
                <w:highlight w:val="none"/>
              </w:rPr>
            </w:r>
            <w:r/>
          </w:p>
        </w:tc>
      </w:tr>
      <w:tr>
        <w:trPr>
          <w:trHeight w:val="567" w:hRule="exact"/>
        </w:trPr>
        <w:tc>
          <w:tcPr>
            <w:tcW w:w="1248" w:type="dxa"/>
            <w:vAlign w:val="top"/>
            <w:textDirection w:val="lrTb"/>
            <w:noWrap w:val="false"/>
          </w:tcPr>
          <w:p>
            <w:pPr>
              <w:pStyle w:val="1024"/>
              <w:jc w:val="center"/>
              <w:spacing w:before="147"/>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服务期限</w:t>
            </w:r>
            <w:r>
              <w:rPr>
                <w:rFonts w:hint="eastAsia" w:ascii="宋体" w:hAnsi="宋体" w:cs="宋体"/>
                <w:color w:val="000000"/>
                <w:sz w:val="24"/>
                <w:szCs w:val="24"/>
                <w:highlight w:val="none"/>
              </w:rPr>
            </w:r>
            <w:r/>
          </w:p>
        </w:tc>
        <w:tc>
          <w:tcPr>
            <w:tcW w:w="1450" w:type="dxa"/>
            <w:vAlign w:val="top"/>
            <w:textDirection w:val="lrTb"/>
            <w:noWrap w:val="false"/>
          </w:tcPr>
          <w:p>
            <w:pPr>
              <w:pStyle w:val="1024"/>
              <w:spacing w:before="147"/>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676" w:type="dxa"/>
            <w:vAlign w:val="top"/>
            <w:textDirection w:val="lrTb"/>
            <w:noWrap w:val="false"/>
          </w:tcPr>
          <w:p>
            <w:pPr>
              <w:pStyle w:val="1024"/>
              <w:spacing w:before="147"/>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623" w:type="dxa"/>
            <w:vAlign w:val="top"/>
            <w:textDirection w:val="lrTb"/>
            <w:noWrap w:val="false"/>
          </w:tcPr>
          <w:p>
            <w:pPr>
              <w:pStyle w:val="1024"/>
              <w:spacing w:before="147"/>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567" w:hRule="exact"/>
        </w:trPr>
        <w:tc>
          <w:tcPr>
            <w:tcW w:w="1248" w:type="dxa"/>
            <w:vAlign w:val="top"/>
            <w:textDirection w:val="lrTb"/>
            <w:noWrap w:val="false"/>
          </w:tcPr>
          <w:p>
            <w:pPr>
              <w:pStyle w:val="1024"/>
              <w:jc w:val="center"/>
              <w:spacing w:before="147"/>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付款方式</w:t>
            </w:r>
            <w:r>
              <w:rPr>
                <w:rFonts w:hint="eastAsia" w:ascii="宋体" w:hAnsi="宋体" w:cs="宋体"/>
                <w:color w:val="000000"/>
                <w:sz w:val="24"/>
                <w:szCs w:val="24"/>
                <w:highlight w:val="none"/>
              </w:rPr>
            </w:r>
            <w:r/>
          </w:p>
        </w:tc>
        <w:tc>
          <w:tcPr>
            <w:tcW w:w="1450" w:type="dxa"/>
            <w:vAlign w:val="top"/>
            <w:textDirection w:val="lrTb"/>
            <w:noWrap w:val="false"/>
          </w:tcPr>
          <w:p>
            <w:pPr>
              <w:pStyle w:val="1024"/>
              <w:spacing w:before="147"/>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676" w:type="dxa"/>
            <w:vAlign w:val="top"/>
            <w:textDirection w:val="lrTb"/>
            <w:noWrap w:val="false"/>
          </w:tcPr>
          <w:p>
            <w:pPr>
              <w:pStyle w:val="1024"/>
              <w:spacing w:before="147"/>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623" w:type="dxa"/>
            <w:vAlign w:val="top"/>
            <w:textDirection w:val="lrTb"/>
            <w:noWrap w:val="false"/>
          </w:tcPr>
          <w:p>
            <w:pPr>
              <w:pStyle w:val="1024"/>
              <w:spacing w:before="147"/>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567" w:hRule="exact"/>
        </w:trPr>
        <w:tc>
          <w:tcPr>
            <w:tcW w:w="1248" w:type="dxa"/>
            <w:vAlign w:val="top"/>
            <w:textDirection w:val="lrTb"/>
            <w:noWrap w:val="false"/>
          </w:tcPr>
          <w:p>
            <w:pPr>
              <w:pStyle w:val="1024"/>
              <w:jc w:val="center"/>
              <w:spacing w:before="147"/>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投标货币</w:t>
            </w:r>
            <w:r>
              <w:rPr>
                <w:rFonts w:hint="eastAsia" w:ascii="宋体" w:hAnsi="宋体" w:cs="宋体"/>
                <w:color w:val="000000"/>
                <w:sz w:val="24"/>
                <w:szCs w:val="24"/>
                <w:highlight w:val="none"/>
              </w:rPr>
            </w:r>
            <w:r/>
          </w:p>
        </w:tc>
        <w:tc>
          <w:tcPr>
            <w:tcW w:w="1450" w:type="dxa"/>
            <w:vAlign w:val="top"/>
            <w:textDirection w:val="lrTb"/>
            <w:noWrap w:val="false"/>
          </w:tcPr>
          <w:p>
            <w:pPr>
              <w:pStyle w:val="1024"/>
              <w:spacing w:before="147"/>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676" w:type="dxa"/>
            <w:vAlign w:val="top"/>
            <w:textDirection w:val="lrTb"/>
            <w:noWrap w:val="false"/>
          </w:tcPr>
          <w:p>
            <w:pPr>
              <w:pStyle w:val="1024"/>
              <w:ind w:left="43"/>
              <w:spacing w:before="147"/>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623" w:type="dxa"/>
            <w:vAlign w:val="top"/>
            <w:textDirection w:val="lrTb"/>
            <w:noWrap w:val="false"/>
          </w:tcPr>
          <w:p>
            <w:pPr>
              <w:pStyle w:val="1024"/>
              <w:ind w:left="43"/>
              <w:spacing w:before="147"/>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567" w:hRule="exact"/>
        </w:trPr>
        <w:tc>
          <w:tcPr>
            <w:tcW w:w="1248" w:type="dxa"/>
            <w:vAlign w:val="top"/>
            <w:textDirection w:val="lrTb"/>
            <w:noWrap w:val="false"/>
          </w:tcPr>
          <w:p>
            <w:pPr>
              <w:pStyle w:val="1024"/>
              <w:jc w:val="center"/>
              <w:spacing w:before="147"/>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其他</w:t>
            </w:r>
            <w:r>
              <w:rPr>
                <w:rFonts w:hint="eastAsia" w:ascii="宋体" w:hAnsi="宋体" w:cs="宋体"/>
                <w:color w:val="000000"/>
                <w:sz w:val="24"/>
                <w:szCs w:val="24"/>
                <w:highlight w:val="none"/>
              </w:rPr>
            </w:r>
            <w:r/>
          </w:p>
        </w:tc>
        <w:tc>
          <w:tcPr>
            <w:tcW w:w="1450" w:type="dxa"/>
            <w:vAlign w:val="top"/>
            <w:textDirection w:val="lrTb"/>
            <w:noWrap w:val="false"/>
          </w:tcPr>
          <w:p>
            <w:pPr>
              <w:pStyle w:val="1024"/>
              <w:spacing w:before="147"/>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676" w:type="dxa"/>
            <w:vAlign w:val="top"/>
            <w:textDirection w:val="lrTb"/>
            <w:noWrap w:val="false"/>
          </w:tcPr>
          <w:p>
            <w:pPr>
              <w:pStyle w:val="1024"/>
              <w:ind w:left="43"/>
              <w:spacing w:before="147"/>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623" w:type="dxa"/>
            <w:vAlign w:val="top"/>
            <w:textDirection w:val="lrTb"/>
            <w:noWrap w:val="false"/>
          </w:tcPr>
          <w:p>
            <w:pPr>
              <w:pStyle w:val="1024"/>
              <w:ind w:left="43"/>
              <w:spacing w:before="147"/>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567" w:hRule="exact"/>
        </w:trPr>
        <w:tc>
          <w:tcPr>
            <w:tcW w:w="1248" w:type="dxa"/>
            <w:vAlign w:val="top"/>
            <w:textDirection w:val="lrTb"/>
            <w:noWrap w:val="false"/>
          </w:tcPr>
          <w:p>
            <w:pPr>
              <w:pStyle w:val="1024"/>
              <w:jc w:val="center"/>
              <w:spacing w:before="147"/>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50" w:type="dxa"/>
            <w:vAlign w:val="top"/>
            <w:textDirection w:val="lrTb"/>
            <w:noWrap w:val="false"/>
          </w:tcPr>
          <w:p>
            <w:pPr>
              <w:pStyle w:val="1024"/>
              <w:spacing w:before="147"/>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676" w:type="dxa"/>
            <w:vAlign w:val="top"/>
            <w:textDirection w:val="lrTb"/>
            <w:noWrap w:val="false"/>
          </w:tcPr>
          <w:p>
            <w:pPr>
              <w:pStyle w:val="1024"/>
              <w:ind w:left="43"/>
              <w:spacing w:before="147"/>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623" w:type="dxa"/>
            <w:vAlign w:val="top"/>
            <w:textDirection w:val="lrTb"/>
            <w:noWrap w:val="false"/>
          </w:tcPr>
          <w:p>
            <w:pPr>
              <w:pStyle w:val="1024"/>
              <w:ind w:left="43"/>
              <w:spacing w:before="147"/>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567" w:hRule="exact"/>
        </w:trPr>
        <w:tc>
          <w:tcPr>
            <w:tcW w:w="1248" w:type="dxa"/>
            <w:vAlign w:val="top"/>
            <w:textDirection w:val="lrTb"/>
            <w:noWrap w:val="false"/>
          </w:tcPr>
          <w:p>
            <w:pPr>
              <w:pStyle w:val="1024"/>
              <w:spacing w:before="147"/>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50" w:type="dxa"/>
            <w:vAlign w:val="top"/>
            <w:textDirection w:val="lrTb"/>
            <w:noWrap w:val="false"/>
          </w:tcPr>
          <w:p>
            <w:pPr>
              <w:pStyle w:val="1024"/>
              <w:spacing w:before="147"/>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676" w:type="dxa"/>
            <w:vAlign w:val="top"/>
            <w:textDirection w:val="lrTb"/>
            <w:noWrap w:val="false"/>
          </w:tcPr>
          <w:p>
            <w:pPr>
              <w:pStyle w:val="1024"/>
              <w:spacing w:before="147"/>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623" w:type="dxa"/>
            <w:vAlign w:val="top"/>
            <w:textDirection w:val="lrTb"/>
            <w:noWrap w:val="false"/>
          </w:tcPr>
          <w:p>
            <w:pPr>
              <w:pStyle w:val="1024"/>
              <w:spacing w:before="147"/>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567" w:hRule="exact"/>
        </w:trPr>
        <w:tc>
          <w:tcPr>
            <w:tcW w:w="1248" w:type="dxa"/>
            <w:vAlign w:val="top"/>
            <w:textDirection w:val="lrTb"/>
            <w:noWrap w:val="false"/>
          </w:tcPr>
          <w:p>
            <w:pPr>
              <w:pStyle w:val="1024"/>
              <w:spacing w:before="147"/>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50" w:type="dxa"/>
            <w:vAlign w:val="top"/>
            <w:textDirection w:val="lrTb"/>
            <w:noWrap w:val="false"/>
          </w:tcPr>
          <w:p>
            <w:pPr>
              <w:pStyle w:val="1024"/>
              <w:spacing w:before="147"/>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1024"/>
              <w:spacing w:before="147"/>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676" w:type="dxa"/>
            <w:vAlign w:val="top"/>
            <w:textDirection w:val="lrTb"/>
            <w:noWrap w:val="false"/>
          </w:tcPr>
          <w:p>
            <w:pPr>
              <w:pStyle w:val="1024"/>
              <w:spacing w:before="147"/>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623" w:type="dxa"/>
            <w:vAlign w:val="top"/>
            <w:textDirection w:val="lrTb"/>
            <w:noWrap w:val="false"/>
          </w:tcPr>
          <w:p>
            <w:pPr>
              <w:pStyle w:val="1024"/>
              <w:spacing w:before="147"/>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567" w:hRule="exact"/>
        </w:trPr>
        <w:tc>
          <w:tcPr>
            <w:tcW w:w="1248" w:type="dxa"/>
            <w:vAlign w:val="top"/>
            <w:textDirection w:val="lrTb"/>
            <w:noWrap w:val="false"/>
          </w:tcPr>
          <w:p>
            <w:pPr>
              <w:pStyle w:val="1024"/>
              <w:spacing w:before="147"/>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50" w:type="dxa"/>
            <w:vAlign w:val="top"/>
            <w:textDirection w:val="lrTb"/>
            <w:noWrap w:val="false"/>
          </w:tcPr>
          <w:p>
            <w:pPr>
              <w:pStyle w:val="1024"/>
              <w:spacing w:before="147"/>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676" w:type="dxa"/>
            <w:vAlign w:val="top"/>
            <w:textDirection w:val="lrTb"/>
            <w:noWrap w:val="false"/>
          </w:tcPr>
          <w:p>
            <w:pPr>
              <w:pStyle w:val="1024"/>
              <w:spacing w:before="147"/>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623" w:type="dxa"/>
            <w:vAlign w:val="top"/>
            <w:textDirection w:val="lrTb"/>
            <w:noWrap w:val="false"/>
          </w:tcPr>
          <w:p>
            <w:pPr>
              <w:pStyle w:val="1024"/>
              <w:spacing w:before="147"/>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567" w:hRule="exact"/>
        </w:trPr>
        <w:tc>
          <w:tcPr>
            <w:tcW w:w="1248" w:type="dxa"/>
            <w:vAlign w:val="top"/>
            <w:textDirection w:val="lrTb"/>
            <w:noWrap w:val="false"/>
          </w:tcPr>
          <w:p>
            <w:pPr>
              <w:pStyle w:val="1024"/>
              <w:spacing w:before="147"/>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50" w:type="dxa"/>
            <w:vAlign w:val="top"/>
            <w:textDirection w:val="lrTb"/>
            <w:noWrap w:val="false"/>
          </w:tcPr>
          <w:p>
            <w:pPr>
              <w:pStyle w:val="1024"/>
              <w:spacing w:before="147"/>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676" w:type="dxa"/>
            <w:vAlign w:val="top"/>
            <w:textDirection w:val="lrTb"/>
            <w:noWrap w:val="false"/>
          </w:tcPr>
          <w:p>
            <w:pPr>
              <w:pStyle w:val="1024"/>
              <w:spacing w:before="147"/>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623" w:type="dxa"/>
            <w:vAlign w:val="top"/>
            <w:textDirection w:val="lrTb"/>
            <w:noWrap w:val="false"/>
          </w:tcPr>
          <w:p>
            <w:pPr>
              <w:pStyle w:val="1024"/>
              <w:spacing w:before="147"/>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bl>
    <w:p>
      <w:pPr>
        <w:pStyle w:val="1085"/>
        <w:rPr>
          <w:rFonts w:hint="eastAsia" w:ascii="宋体" w:hAnsi="宋体" w:cs="宋体"/>
          <w:color w:val="000000"/>
          <w:highlight w:val="none"/>
        </w:rPr>
      </w:pPr>
      <w:r>
        <w:rPr>
          <w:rFonts w:hint="eastAsia" w:ascii="宋体" w:hAnsi="宋体" w:cs="宋体"/>
          <w:color w:val="000000"/>
          <w:highlight w:val="none"/>
        </w:rPr>
        <w:t xml:space="preserve">法定代表人或授权代表签字：</w:t>
      </w:r>
      <w:r>
        <w:rPr>
          <w:rFonts w:hint="eastAsia" w:ascii="宋体" w:hAnsi="宋体" w:cs="宋体"/>
          <w:color w:val="000000"/>
          <w:highlight w:val="none"/>
        </w:rPr>
      </w:r>
      <w:r/>
    </w:p>
    <w:p>
      <w:pPr>
        <w:pStyle w:val="1085"/>
        <w:rPr>
          <w:color w:val="000000"/>
          <w:highlight w:val="none"/>
        </w:rPr>
      </w:pPr>
      <w:r>
        <w:rPr>
          <w:color w:val="000000"/>
          <w:highlight w:val="none"/>
        </w:rPr>
      </w:r>
      <w:r/>
    </w:p>
    <w:p>
      <w:pPr>
        <w:pStyle w:val="1085"/>
        <w:rPr>
          <w:color w:val="000000"/>
          <w:highlight w:val="none"/>
        </w:rPr>
      </w:pPr>
      <w:r>
        <w:rPr>
          <w:color w:val="000000"/>
          <w:highlight w:val="none"/>
        </w:rPr>
      </w:r>
      <w:r/>
    </w:p>
    <w:p>
      <w:pPr>
        <w:pStyle w:val="1024"/>
        <w:jc w:val="center"/>
        <w:spacing w:before="50" w:after="50"/>
        <w:rPr>
          <w:b/>
          <w:bCs/>
          <w:color w:val="000000"/>
          <w:sz w:val="30"/>
          <w:szCs w:val="30"/>
          <w:highlight w:val="none"/>
        </w:rPr>
      </w:pPr>
      <w:r>
        <w:rPr>
          <w:color w:val="000000"/>
          <w:highlight w:val="none"/>
        </w:rPr>
        <w:br w:type="page" w:clear="all"/>
      </w:r>
      <w:r>
        <w:rPr>
          <w:rFonts w:hint="eastAsia"/>
          <w:b/>
          <w:bCs/>
          <w:color w:val="000000"/>
          <w:sz w:val="30"/>
          <w:szCs w:val="30"/>
          <w:highlight w:val="none"/>
        </w:rPr>
        <w:t xml:space="preserve">十三、开标一览表</w:t>
      </w:r>
      <w:r>
        <w:rPr>
          <w:b/>
          <w:bCs/>
          <w:color w:val="000000"/>
          <w:sz w:val="30"/>
          <w:szCs w:val="30"/>
          <w:highlight w:val="none"/>
        </w:rPr>
      </w:r>
      <w:r/>
    </w:p>
    <w:p>
      <w:pPr>
        <w:pStyle w:val="1085"/>
        <w:rPr>
          <w:color w:val="000000"/>
          <w:highlight w:val="none"/>
        </w:rPr>
      </w:pPr>
      <w:r>
        <w:rPr>
          <w:color w:val="000000"/>
          <w:highlight w:val="none"/>
        </w:rPr>
      </w:r>
      <w:r/>
    </w:p>
    <w:p>
      <w:pPr>
        <w:pStyle w:val="1085"/>
        <w:rPr>
          <w:rFonts w:ascii="宋体" w:hAnsi="宋体" w:cs="宋体"/>
          <w:color w:val="000000"/>
          <w:highlight w:val="none"/>
          <w:u w:val="single"/>
        </w:rPr>
      </w:pPr>
      <w:r>
        <w:rPr>
          <w:color w:val="000000"/>
          <w:highlight w:val="none"/>
        </w:rPr>
        <w:t xml:space="preserve">项目编号：</w:t>
      </w:r>
      <w:r>
        <w:rPr>
          <w:rFonts w:hint="eastAsia" w:ascii="宋体" w:hAnsi="宋体" w:cs="宋体"/>
          <w:color w:val="000000"/>
          <w:highlight w:val="none"/>
          <w:u w:val="single"/>
        </w:rPr>
        <w:t xml:space="preserve">            </w:t>
      </w:r>
      <w:r>
        <w:rPr>
          <w:rFonts w:ascii="宋体" w:hAnsi="宋体" w:cs="宋体"/>
          <w:color w:val="000000"/>
          <w:highlight w:val="none"/>
          <w:u w:val="single"/>
        </w:rPr>
      </w:r>
      <w:r/>
    </w:p>
    <w:p>
      <w:pPr>
        <w:pStyle w:val="1085"/>
        <w:rPr>
          <w:rFonts w:hint="eastAsia"/>
          <w:color w:val="000000"/>
          <w:highlight w:val="none"/>
        </w:rPr>
      </w:pPr>
      <w:r>
        <w:rPr>
          <w:rFonts w:hint="eastAsia"/>
          <w:color w:val="000000"/>
          <w:highlight w:val="none"/>
        </w:rPr>
        <w:t xml:space="preserve">采购包</w:t>
      </w:r>
      <w:r>
        <w:rPr>
          <w:color w:val="000000"/>
          <w:highlight w:val="none"/>
        </w:rPr>
        <w:t xml:space="preserve">：</w:t>
      </w:r>
      <w:r>
        <w:rPr>
          <w:rFonts w:hint="eastAsia" w:ascii="宋体" w:hAnsi="宋体" w:cs="宋体"/>
          <w:color w:val="000000"/>
          <w:highlight w:val="none"/>
          <w:u w:val="single"/>
        </w:rPr>
        <w:t xml:space="preserve">              </w:t>
      </w:r>
      <w:r>
        <w:rPr>
          <w:rFonts w:hint="eastAsia"/>
          <w:color w:val="000000"/>
          <w:highlight w:val="none"/>
        </w:rPr>
      </w:r>
      <w:r/>
    </w:p>
    <w:p>
      <w:pPr>
        <w:pStyle w:val="1085"/>
        <w:rPr>
          <w:color w:val="000000"/>
          <w:highlight w:val="none"/>
        </w:rPr>
      </w:pPr>
      <w:r>
        <w:rPr>
          <w:color w:val="000000"/>
          <w:highlight w:val="none"/>
        </w:rPr>
        <w:t xml:space="preserve">货币单位：人民币元</w:t>
      </w:r>
      <w:r>
        <w:rPr>
          <w:color w:val="000000"/>
          <w:highlight w:val="none"/>
        </w:rPr>
      </w:r>
      <w:r/>
    </w:p>
    <w:p>
      <w:pPr>
        <w:pStyle w:val="1085"/>
        <w:rPr>
          <w:color w:val="000000"/>
          <w:highlight w:val="none"/>
        </w:rPr>
      </w:pPr>
      <w:r>
        <w:rPr>
          <w:color w:val="000000"/>
          <w:highlight w:val="none"/>
        </w:rPr>
        <w:t xml:space="preserve"> </w:t>
      </w:r>
      <w:r>
        <w:rPr>
          <w:color w:val="000000"/>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816"/>
        <w:gridCol w:w="2821"/>
        <w:gridCol w:w="3319"/>
      </w:tblGrid>
      <w:tr>
        <w:trPr>
          <w:trHeight w:val="1134" w:hRule="exact"/>
        </w:trPr>
        <w:tc>
          <w:tcPr>
            <w:tcW w:w="3816" w:type="dxa"/>
            <w:vAlign w:val="center"/>
            <w:textDirection w:val="lrTb"/>
            <w:noWrap w:val="false"/>
          </w:tcPr>
          <w:p>
            <w:pPr>
              <w:pStyle w:val="1085"/>
              <w:jc w:val="center"/>
              <w:rPr>
                <w:color w:val="000000"/>
                <w:highlight w:val="none"/>
              </w:rPr>
            </w:pPr>
            <w:r>
              <w:rPr>
                <w:rFonts w:hint="eastAsia"/>
                <w:color w:val="000000"/>
                <w:highlight w:val="none"/>
              </w:rPr>
              <w:t xml:space="preserve">项目名称</w:t>
            </w:r>
            <w:r>
              <w:rPr>
                <w:color w:val="000000"/>
                <w:highlight w:val="none"/>
              </w:rPr>
            </w:r>
            <w:r/>
          </w:p>
        </w:tc>
        <w:tc>
          <w:tcPr>
            <w:tcW w:w="2821" w:type="dxa"/>
            <w:vAlign w:val="center"/>
            <w:textDirection w:val="lrTb"/>
            <w:noWrap w:val="false"/>
          </w:tcPr>
          <w:p>
            <w:pPr>
              <w:pStyle w:val="1085"/>
              <w:jc w:val="center"/>
              <w:rPr>
                <w:color w:val="000000"/>
                <w:highlight w:val="none"/>
              </w:rPr>
            </w:pPr>
            <w:r>
              <w:rPr>
                <w:rFonts w:hint="eastAsia"/>
                <w:color w:val="000000"/>
                <w:highlight w:val="none"/>
              </w:rPr>
              <w:t xml:space="preserve">项目内容</w:t>
            </w:r>
            <w:r>
              <w:rPr>
                <w:color w:val="000000"/>
                <w:highlight w:val="none"/>
              </w:rPr>
            </w:r>
            <w:r/>
          </w:p>
        </w:tc>
        <w:tc>
          <w:tcPr>
            <w:tcW w:w="3319" w:type="dxa"/>
            <w:vAlign w:val="center"/>
            <w:textDirection w:val="lrTb"/>
            <w:noWrap w:val="false"/>
          </w:tcPr>
          <w:p>
            <w:pPr>
              <w:pStyle w:val="1085"/>
              <w:jc w:val="center"/>
              <w:rPr>
                <w:rFonts w:hint="eastAsia"/>
                <w:color w:val="000000"/>
                <w:highlight w:val="none"/>
              </w:rPr>
            </w:pPr>
            <w:r>
              <w:rPr>
                <w:rFonts w:hint="eastAsia"/>
                <w:color w:val="000000"/>
                <w:highlight w:val="none"/>
              </w:rPr>
              <w:t xml:space="preserve">总价（小写）</w:t>
            </w:r>
            <w:r>
              <w:rPr>
                <w:rFonts w:hint="eastAsia"/>
                <w:color w:val="000000"/>
                <w:highlight w:val="none"/>
              </w:rPr>
            </w:r>
            <w:r/>
          </w:p>
        </w:tc>
      </w:tr>
      <w:tr>
        <w:trPr>
          <w:trHeight w:val="2654" w:hRule="exact"/>
        </w:trPr>
        <w:tc>
          <w:tcPr>
            <w:tcW w:w="3816" w:type="dxa"/>
            <w:vAlign w:val="center"/>
            <w:textDirection w:val="lrTb"/>
            <w:noWrap w:val="false"/>
          </w:tcPr>
          <w:p>
            <w:pPr>
              <w:pStyle w:val="1085"/>
              <w:jc w:val="both"/>
              <w:rPr>
                <w:color w:val="000000"/>
                <w:highlight w:val="none"/>
              </w:rPr>
            </w:pPr>
            <w:r>
              <w:rPr>
                <w:rFonts w:hint="eastAsia" w:ascii="宋体" w:hAnsi="宋体" w:cs="宋体"/>
                <w:color w:val="000000"/>
                <w:highlight w:val="none"/>
              </w:rPr>
              <w:t xml:space="preserve">2026年盐城市普通国省道小修保养及应急养护工程全过程造价控制及竣工决算审计</w:t>
            </w:r>
            <w:r>
              <w:rPr>
                <w:rFonts w:hint="eastAsia" w:ascii="宋体" w:hAnsi="宋体" w:cs="宋体"/>
                <w:color w:val="000000"/>
                <w:highlight w:val="none"/>
              </w:rPr>
              <w:t xml:space="preserve">项目</w:t>
            </w:r>
            <w:r>
              <w:rPr>
                <w:color w:val="000000"/>
                <w:highlight w:val="none"/>
              </w:rPr>
            </w:r>
            <w:r/>
          </w:p>
        </w:tc>
        <w:tc>
          <w:tcPr>
            <w:tcW w:w="2821" w:type="dxa"/>
            <w:vAlign w:val="center"/>
            <w:textDirection w:val="lrTb"/>
            <w:noWrap w:val="false"/>
          </w:tcPr>
          <w:p>
            <w:pPr>
              <w:pStyle w:val="1085"/>
              <w:jc w:val="both"/>
              <w:rPr>
                <w:color w:val="000000"/>
                <w:highlight w:val="none"/>
              </w:rPr>
            </w:pPr>
            <w:r>
              <w:rPr>
                <w:rFonts w:hint="eastAsia"/>
                <w:color w:val="000000"/>
                <w:highlight w:val="none"/>
              </w:rPr>
              <w:t xml:space="preserve">详见投标文件</w:t>
            </w:r>
            <w:r>
              <w:rPr>
                <w:color w:val="000000"/>
                <w:highlight w:val="none"/>
              </w:rPr>
            </w:r>
            <w:r/>
          </w:p>
        </w:tc>
        <w:tc>
          <w:tcPr>
            <w:tcW w:w="3319" w:type="dxa"/>
            <w:vAlign w:val="center"/>
            <w:textDirection w:val="lrTb"/>
            <w:noWrap w:val="false"/>
          </w:tcPr>
          <w:p>
            <w:pPr>
              <w:pStyle w:val="1085"/>
              <w:jc w:val="both"/>
              <w:rPr>
                <w:rFonts w:hint="eastAsia"/>
                <w:color w:val="000000"/>
                <w:highlight w:val="none"/>
              </w:rPr>
            </w:pPr>
            <w:r>
              <w:rPr>
                <w:rFonts w:hint="eastAsia"/>
                <w:color w:val="000000"/>
                <w:highlight w:val="none"/>
                <w:u w:val="single"/>
              </w:rPr>
              <w:t xml:space="preserve">                 </w:t>
            </w:r>
            <w:r>
              <w:rPr>
                <w:rFonts w:hint="eastAsia"/>
                <w:color w:val="000000"/>
                <w:highlight w:val="none"/>
              </w:rPr>
              <w:t xml:space="preserve">元</w:t>
            </w:r>
            <w:r>
              <w:rPr>
                <w:rFonts w:hint="eastAsia"/>
                <w:color w:val="000000"/>
                <w:highlight w:val="none"/>
              </w:rPr>
            </w:r>
            <w:r/>
          </w:p>
        </w:tc>
      </w:tr>
      <w:tr>
        <w:trPr>
          <w:trHeight w:val="1134" w:hRule="exact"/>
        </w:trPr>
        <w:tc>
          <w:tcPr>
            <w:tcW w:w="3816" w:type="dxa"/>
            <w:vAlign w:val="center"/>
            <w:textDirection w:val="lrTb"/>
            <w:noWrap w:val="false"/>
          </w:tcPr>
          <w:p>
            <w:pPr>
              <w:pStyle w:val="1085"/>
              <w:jc w:val="both"/>
              <w:rPr>
                <w:color w:val="000000"/>
                <w:highlight w:val="none"/>
              </w:rPr>
            </w:pPr>
            <w:r>
              <w:rPr>
                <w:rFonts w:hint="eastAsia"/>
                <w:color w:val="000000"/>
                <w:highlight w:val="none"/>
              </w:rPr>
              <w:t xml:space="preserve">总价（大写）</w:t>
            </w:r>
            <w:r>
              <w:rPr>
                <w:color w:val="000000"/>
                <w:highlight w:val="none"/>
              </w:rPr>
            </w:r>
            <w:r/>
          </w:p>
        </w:tc>
        <w:tc>
          <w:tcPr>
            <w:gridSpan w:val="2"/>
            <w:tcW w:w="6140" w:type="dxa"/>
            <w:vAlign w:val="center"/>
            <w:textDirection w:val="lrTb"/>
            <w:noWrap w:val="false"/>
          </w:tcPr>
          <w:p>
            <w:pPr>
              <w:pStyle w:val="1085"/>
              <w:jc w:val="both"/>
              <w:rPr>
                <w:color w:val="000000"/>
                <w:highlight w:val="none"/>
              </w:rPr>
            </w:pPr>
            <w:r>
              <w:rPr>
                <w:rFonts w:hint="eastAsia"/>
                <w:color w:val="000000"/>
                <w:highlight w:val="none"/>
              </w:rPr>
              <w:t xml:space="preserve">金额大写</w:t>
            </w:r>
            <w:r>
              <w:rPr>
                <w:color w:val="000000"/>
                <w:highlight w:val="none"/>
              </w:rPr>
            </w:r>
            <w:r/>
          </w:p>
        </w:tc>
      </w:tr>
    </w:tbl>
    <w:p>
      <w:pPr>
        <w:pStyle w:val="1085"/>
        <w:rPr>
          <w:rFonts w:hint="eastAsia"/>
          <w:color w:val="000000"/>
          <w:highlight w:val="none"/>
        </w:rPr>
      </w:pPr>
      <w:r>
        <w:rPr>
          <w:rFonts w:hint="eastAsia"/>
          <w:color w:val="000000"/>
          <w:highlight w:val="none"/>
        </w:rPr>
        <w:t xml:space="preserve">投标人公章：                               （电子签章）</w:t>
      </w:r>
      <w:r>
        <w:rPr>
          <w:rFonts w:hint="eastAsia"/>
          <w:color w:val="000000"/>
          <w:highlight w:val="none"/>
        </w:rPr>
      </w:r>
      <w:r/>
    </w:p>
    <w:p>
      <w:pPr>
        <w:pStyle w:val="1085"/>
        <w:jc w:val="right"/>
        <w:rPr>
          <w:color w:val="000000"/>
          <w:highlight w:val="none"/>
        </w:rPr>
      </w:pPr>
      <w:r>
        <w:rPr>
          <w:color w:val="000000"/>
          <w:highlight w:val="none"/>
        </w:rPr>
      </w:r>
      <w:r/>
    </w:p>
    <w:p>
      <w:pPr>
        <w:pStyle w:val="1085"/>
        <w:jc w:val="right"/>
        <w:rPr>
          <w:color w:val="000000"/>
          <w:highlight w:val="none"/>
        </w:rPr>
      </w:pPr>
      <w:r>
        <w:rPr>
          <w:rFonts w:hint="eastAsia"/>
          <w:color w:val="000000"/>
          <w:highlight w:val="none"/>
        </w:rPr>
        <w:t xml:space="preserve">日期：</w:t>
      </w:r>
      <w:r>
        <w:rPr>
          <w:rFonts w:hint="eastAsia"/>
          <w:color w:val="000000"/>
          <w:highlight w:val="none"/>
          <w:u w:val="single"/>
        </w:rPr>
        <w:t xml:space="preserve">     </w:t>
      </w:r>
      <w:r>
        <w:rPr>
          <w:rFonts w:hint="eastAsia"/>
          <w:color w:val="000000"/>
          <w:highlight w:val="none"/>
        </w:rPr>
        <w:t xml:space="preserve">年</w:t>
      </w:r>
      <w:r>
        <w:rPr>
          <w:rFonts w:hint="eastAsia"/>
          <w:color w:val="000000"/>
          <w:highlight w:val="none"/>
          <w:u w:val="single"/>
        </w:rPr>
        <w:t xml:space="preserve">     </w:t>
      </w:r>
      <w:r>
        <w:rPr>
          <w:rFonts w:hint="eastAsia"/>
          <w:color w:val="000000"/>
          <w:highlight w:val="none"/>
        </w:rPr>
        <w:t xml:space="preserve">月</w:t>
      </w:r>
      <w:r>
        <w:rPr>
          <w:rFonts w:hint="eastAsia"/>
          <w:color w:val="000000"/>
          <w:highlight w:val="none"/>
          <w:u w:val="single"/>
        </w:rPr>
        <w:t xml:space="preserve">     </w:t>
      </w:r>
      <w:r>
        <w:rPr>
          <w:rFonts w:hint="eastAsia"/>
          <w:color w:val="000000"/>
          <w:highlight w:val="none"/>
        </w:rPr>
        <w:t xml:space="preserve">日</w:t>
      </w:r>
      <w:r>
        <w:rPr>
          <w:color w:val="000000"/>
          <w:highlight w:val="none"/>
        </w:rPr>
      </w:r>
      <w:r/>
    </w:p>
    <w:p>
      <w:pPr>
        <w:pStyle w:val="1085"/>
        <w:jc w:val="right"/>
        <w:rPr>
          <w:color w:val="000000"/>
          <w:highlight w:val="none"/>
        </w:rPr>
      </w:pPr>
      <w:r>
        <w:rPr>
          <w:color w:val="000000"/>
          <w:highlight w:val="none"/>
        </w:rPr>
      </w:r>
      <w:r/>
    </w:p>
    <w:p>
      <w:pPr>
        <w:pStyle w:val="1024"/>
        <w:jc w:val="center"/>
        <w:rPr>
          <w:rFonts w:ascii="黑体" w:hAnsi="宋体" w:eastAsia="黑体" w:cs="黑体"/>
          <w:b/>
          <w:i/>
          <w:color w:val="000000"/>
          <w:sz w:val="32"/>
          <w:szCs w:val="32"/>
          <w:highlight w:val="none"/>
          <w:u w:val="single"/>
        </w:rPr>
      </w:pPr>
      <w:r>
        <w:rPr>
          <w:rFonts w:hint="eastAsia" w:ascii="宋体" w:hAnsi="宋体"/>
          <w:b/>
          <w:bCs/>
          <w:color w:val="000000"/>
          <w:sz w:val="32"/>
          <w:szCs w:val="32"/>
          <w:highlight w:val="none"/>
        </w:rPr>
        <w:br w:type="page" w:clear="all"/>
      </w:r>
      <w:r>
        <w:rPr>
          <w:rFonts w:hint="eastAsia"/>
          <w:b/>
          <w:bCs/>
          <w:color w:val="000000"/>
          <w:sz w:val="30"/>
          <w:szCs w:val="30"/>
          <w:highlight w:val="none"/>
        </w:rPr>
        <w:t xml:space="preserve">十四、</w:t>
      </w:r>
      <w:r>
        <w:rPr>
          <w:rFonts w:hint="eastAsia" w:ascii="黑体" w:hAnsi="宋体" w:eastAsia="黑体" w:cs="黑体"/>
          <w:b/>
          <w:iCs/>
          <w:color w:val="000000"/>
          <w:sz w:val="32"/>
          <w:szCs w:val="32"/>
          <w:highlight w:val="none"/>
        </w:rPr>
        <w:t xml:space="preserve">项目负责人及服务团队人员一览表</w:t>
      </w:r>
      <w:r>
        <w:rPr>
          <w:rFonts w:ascii="黑体" w:hAnsi="宋体" w:eastAsia="黑体" w:cs="黑体"/>
          <w:b/>
          <w:i/>
          <w:color w:val="000000"/>
          <w:sz w:val="32"/>
          <w:szCs w:val="32"/>
          <w:highlight w:val="none"/>
          <w:u w:val="single"/>
        </w:rPr>
      </w:r>
      <w:r/>
    </w:p>
    <w:p>
      <w:pPr>
        <w:pStyle w:val="1024"/>
        <w:jc w:val="center"/>
        <w:rPr>
          <w:rFonts w:ascii="Calibri" w:hAnsi="Calibri"/>
          <w:iCs/>
          <w:color w:val="000000"/>
          <w:sz w:val="24"/>
          <w:szCs w:val="24"/>
          <w:highlight w:val="none"/>
        </w:rPr>
      </w:pPr>
      <w:r>
        <w:rPr>
          <w:rFonts w:ascii="Calibri" w:hAnsi="Calibri"/>
          <w:iCs/>
          <w:color w:val="000000"/>
          <w:sz w:val="24"/>
          <w:szCs w:val="24"/>
          <w:highlight w:val="none"/>
        </w:rPr>
      </w:r>
      <w:r/>
    </w:p>
    <w:tbl>
      <w:tblPr>
        <w:tblW w:w="499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6"/>
        <w:gridCol w:w="1202"/>
        <w:gridCol w:w="1718"/>
        <w:gridCol w:w="1632"/>
        <w:gridCol w:w="2826"/>
        <w:gridCol w:w="1664"/>
      </w:tblGrid>
      <w:tr>
        <w:trPr>
          <w:trHeight w:val="1134" w:hRule="exact"/>
        </w:trPr>
        <w:tc>
          <w:tcPr>
            <w:tcW w:w="455" w:type="dxa"/>
            <w:vAlign w:val="center"/>
            <w:textDirection w:val="lrTb"/>
            <w:noWrap w:val="false"/>
          </w:tcPr>
          <w:p>
            <w:pPr>
              <w:pStyle w:val="1024"/>
              <w:jc w:val="center"/>
              <w:spacing w:before="50" w:after="50"/>
              <w:rPr>
                <w:color w:val="000000"/>
                <w:sz w:val="24"/>
                <w:szCs w:val="24"/>
                <w:highlight w:val="none"/>
              </w:rPr>
            </w:pPr>
            <w:r>
              <w:rPr>
                <w:rFonts w:hint="eastAsia"/>
                <w:color w:val="000000"/>
                <w:sz w:val="24"/>
                <w:szCs w:val="24"/>
                <w:highlight w:val="none"/>
              </w:rPr>
              <w:t xml:space="preserve">序号</w:t>
            </w:r>
            <w:r>
              <w:rPr>
                <w:color w:val="000000"/>
                <w:sz w:val="24"/>
                <w:szCs w:val="24"/>
                <w:highlight w:val="none"/>
              </w:rPr>
            </w:r>
            <w:r/>
          </w:p>
        </w:tc>
        <w:tc>
          <w:tcPr>
            <w:tcW w:w="604" w:type="dxa"/>
            <w:vAlign w:val="center"/>
            <w:textDirection w:val="lrTb"/>
            <w:noWrap w:val="false"/>
          </w:tcPr>
          <w:p>
            <w:pPr>
              <w:pStyle w:val="1024"/>
              <w:jc w:val="center"/>
              <w:spacing w:before="50" w:after="50"/>
              <w:rPr>
                <w:color w:val="000000"/>
                <w:sz w:val="24"/>
                <w:szCs w:val="24"/>
                <w:highlight w:val="none"/>
              </w:rPr>
            </w:pPr>
            <w:r>
              <w:rPr>
                <w:rFonts w:hint="eastAsia"/>
                <w:color w:val="000000"/>
                <w:sz w:val="24"/>
                <w:szCs w:val="24"/>
                <w:highlight w:val="none"/>
              </w:rPr>
              <w:t xml:space="preserve">姓名</w:t>
            </w:r>
            <w:r>
              <w:rPr>
                <w:color w:val="000000"/>
                <w:sz w:val="24"/>
                <w:szCs w:val="24"/>
                <w:highlight w:val="none"/>
              </w:rPr>
            </w:r>
            <w:r/>
          </w:p>
        </w:tc>
        <w:tc>
          <w:tcPr>
            <w:tcW w:w="863" w:type="dxa"/>
            <w:vAlign w:val="center"/>
            <w:textDirection w:val="lrTb"/>
            <w:noWrap w:val="false"/>
          </w:tcPr>
          <w:p>
            <w:pPr>
              <w:pStyle w:val="1024"/>
              <w:jc w:val="center"/>
              <w:spacing w:before="50" w:after="50"/>
              <w:rPr>
                <w:color w:val="000000"/>
                <w:sz w:val="24"/>
                <w:szCs w:val="24"/>
                <w:highlight w:val="none"/>
              </w:rPr>
            </w:pPr>
            <w:r>
              <w:rPr>
                <w:rFonts w:hint="eastAsia"/>
                <w:color w:val="000000"/>
                <w:sz w:val="24"/>
                <w:szCs w:val="24"/>
                <w:highlight w:val="none"/>
              </w:rPr>
              <w:t xml:space="preserve">证书名称</w:t>
            </w:r>
            <w:r>
              <w:rPr>
                <w:color w:val="000000"/>
                <w:sz w:val="24"/>
                <w:szCs w:val="24"/>
                <w:highlight w:val="none"/>
              </w:rPr>
            </w:r>
            <w:r/>
          </w:p>
        </w:tc>
        <w:tc>
          <w:tcPr>
            <w:tcW w:w="820" w:type="dxa"/>
            <w:vAlign w:val="center"/>
            <w:textDirection w:val="lrTb"/>
            <w:noWrap w:val="false"/>
          </w:tcPr>
          <w:p>
            <w:pPr>
              <w:pStyle w:val="1024"/>
              <w:jc w:val="center"/>
              <w:spacing w:before="50" w:after="50"/>
              <w:rPr>
                <w:color w:val="000000"/>
                <w:sz w:val="24"/>
                <w:szCs w:val="24"/>
                <w:highlight w:val="none"/>
              </w:rPr>
            </w:pPr>
            <w:r>
              <w:rPr>
                <w:rFonts w:hint="eastAsia"/>
                <w:color w:val="000000"/>
                <w:sz w:val="24"/>
                <w:szCs w:val="24"/>
                <w:highlight w:val="none"/>
              </w:rPr>
              <w:t xml:space="preserve">证书编号</w:t>
            </w:r>
            <w:r>
              <w:rPr>
                <w:color w:val="000000"/>
                <w:sz w:val="24"/>
                <w:szCs w:val="24"/>
                <w:highlight w:val="none"/>
              </w:rPr>
            </w:r>
            <w:r/>
          </w:p>
        </w:tc>
        <w:tc>
          <w:tcPr>
            <w:tcW w:w="1420" w:type="dxa"/>
            <w:vAlign w:val="center"/>
            <w:textDirection w:val="lrTb"/>
            <w:noWrap w:val="false"/>
          </w:tcPr>
          <w:p>
            <w:pPr>
              <w:pStyle w:val="1024"/>
              <w:jc w:val="center"/>
              <w:spacing w:before="50" w:after="50"/>
              <w:rPr>
                <w:color w:val="000000"/>
                <w:sz w:val="24"/>
                <w:szCs w:val="24"/>
                <w:highlight w:val="none"/>
              </w:rPr>
            </w:pPr>
            <w:r>
              <w:rPr>
                <w:rFonts w:hint="eastAsia"/>
                <w:color w:val="000000"/>
                <w:sz w:val="24"/>
                <w:szCs w:val="24"/>
                <w:highlight w:val="none"/>
              </w:rPr>
              <w:t xml:space="preserve">在服务团队担任职务</w:t>
            </w:r>
            <w:r>
              <w:rPr>
                <w:color w:val="000000"/>
                <w:sz w:val="24"/>
                <w:szCs w:val="24"/>
                <w:highlight w:val="none"/>
              </w:rPr>
            </w:r>
            <w:r/>
          </w:p>
        </w:tc>
        <w:tc>
          <w:tcPr>
            <w:tcW w:w="836" w:type="dxa"/>
            <w:vAlign w:val="center"/>
            <w:textDirection w:val="lrTb"/>
            <w:noWrap w:val="false"/>
          </w:tcPr>
          <w:p>
            <w:pPr>
              <w:pStyle w:val="1024"/>
              <w:jc w:val="center"/>
              <w:spacing w:before="50" w:after="50"/>
              <w:rPr>
                <w:color w:val="000000"/>
                <w:sz w:val="24"/>
                <w:szCs w:val="24"/>
                <w:highlight w:val="none"/>
              </w:rPr>
            </w:pPr>
            <w:r>
              <w:rPr>
                <w:color w:val="000000"/>
                <w:sz w:val="24"/>
                <w:szCs w:val="24"/>
                <w:highlight w:val="none"/>
              </w:rPr>
              <w:t xml:space="preserve">…</w:t>
            </w:r>
            <w:r>
              <w:rPr>
                <w:rFonts w:hint="eastAsia"/>
                <w:color w:val="000000"/>
                <w:sz w:val="24"/>
                <w:szCs w:val="24"/>
                <w:highlight w:val="none"/>
              </w:rPr>
              <w:t xml:space="preserve">.</w:t>
            </w:r>
            <w:r>
              <w:rPr>
                <w:color w:val="000000"/>
                <w:sz w:val="24"/>
                <w:szCs w:val="24"/>
                <w:highlight w:val="none"/>
              </w:rPr>
            </w:r>
            <w:r/>
          </w:p>
        </w:tc>
      </w:tr>
      <w:tr>
        <w:trPr>
          <w:trHeight w:val="1134" w:hRule="exact"/>
        </w:trPr>
        <w:tc>
          <w:tcPr>
            <w:tcW w:w="455" w:type="dxa"/>
            <w:vAlign w:val="top"/>
            <w:textDirection w:val="lrTb"/>
            <w:noWrap w:val="false"/>
          </w:tcPr>
          <w:p>
            <w:pPr>
              <w:pStyle w:val="1024"/>
              <w:jc w:val="center"/>
              <w:spacing w:before="50" w:after="50"/>
              <w:rPr>
                <w:color w:val="000000"/>
                <w:sz w:val="24"/>
                <w:szCs w:val="24"/>
                <w:highlight w:val="none"/>
              </w:rPr>
            </w:pPr>
            <w:r>
              <w:rPr>
                <w:color w:val="000000"/>
                <w:sz w:val="24"/>
                <w:szCs w:val="24"/>
                <w:highlight w:val="none"/>
              </w:rPr>
            </w:r>
            <w:r/>
          </w:p>
        </w:tc>
        <w:tc>
          <w:tcPr>
            <w:tcW w:w="604" w:type="dxa"/>
            <w:vAlign w:val="top"/>
            <w:textDirection w:val="lrTb"/>
            <w:noWrap w:val="false"/>
          </w:tcPr>
          <w:p>
            <w:pPr>
              <w:pStyle w:val="1024"/>
              <w:jc w:val="center"/>
              <w:spacing w:before="50" w:after="50"/>
              <w:rPr>
                <w:color w:val="000000"/>
                <w:sz w:val="24"/>
                <w:szCs w:val="24"/>
                <w:highlight w:val="none"/>
              </w:rPr>
            </w:pPr>
            <w:r>
              <w:rPr>
                <w:color w:val="000000"/>
                <w:sz w:val="24"/>
                <w:szCs w:val="24"/>
                <w:highlight w:val="none"/>
              </w:rPr>
            </w:r>
            <w:r/>
          </w:p>
        </w:tc>
        <w:tc>
          <w:tcPr>
            <w:tcW w:w="863" w:type="dxa"/>
            <w:vAlign w:val="top"/>
            <w:textDirection w:val="lrTb"/>
            <w:noWrap w:val="false"/>
          </w:tcPr>
          <w:p>
            <w:pPr>
              <w:pStyle w:val="1024"/>
              <w:jc w:val="center"/>
              <w:spacing w:before="50" w:after="50"/>
              <w:rPr>
                <w:color w:val="000000"/>
                <w:sz w:val="24"/>
                <w:szCs w:val="24"/>
                <w:highlight w:val="none"/>
              </w:rPr>
            </w:pPr>
            <w:r>
              <w:rPr>
                <w:color w:val="000000"/>
                <w:sz w:val="24"/>
                <w:szCs w:val="24"/>
                <w:highlight w:val="none"/>
              </w:rPr>
            </w:r>
            <w:r/>
          </w:p>
        </w:tc>
        <w:tc>
          <w:tcPr>
            <w:tcW w:w="820" w:type="dxa"/>
            <w:vAlign w:val="top"/>
            <w:textDirection w:val="lrTb"/>
            <w:noWrap w:val="false"/>
          </w:tcPr>
          <w:p>
            <w:pPr>
              <w:pStyle w:val="1024"/>
              <w:jc w:val="center"/>
              <w:spacing w:before="50" w:after="50"/>
              <w:rPr>
                <w:color w:val="000000"/>
                <w:sz w:val="24"/>
                <w:szCs w:val="24"/>
                <w:highlight w:val="none"/>
              </w:rPr>
            </w:pPr>
            <w:r>
              <w:rPr>
                <w:color w:val="000000"/>
                <w:sz w:val="24"/>
                <w:szCs w:val="24"/>
                <w:highlight w:val="none"/>
              </w:rPr>
            </w:r>
            <w:r/>
          </w:p>
        </w:tc>
        <w:tc>
          <w:tcPr>
            <w:tcW w:w="1420" w:type="dxa"/>
            <w:vAlign w:val="top"/>
            <w:textDirection w:val="lrTb"/>
            <w:noWrap w:val="false"/>
          </w:tcPr>
          <w:p>
            <w:pPr>
              <w:pStyle w:val="1024"/>
              <w:jc w:val="center"/>
              <w:spacing w:before="50" w:after="50"/>
              <w:rPr>
                <w:color w:val="000000"/>
                <w:sz w:val="24"/>
                <w:szCs w:val="24"/>
                <w:highlight w:val="none"/>
              </w:rPr>
            </w:pPr>
            <w:r>
              <w:rPr>
                <w:color w:val="000000"/>
                <w:sz w:val="24"/>
                <w:szCs w:val="24"/>
                <w:highlight w:val="none"/>
              </w:rPr>
            </w:r>
            <w:r/>
          </w:p>
        </w:tc>
        <w:tc>
          <w:tcPr>
            <w:tcW w:w="836" w:type="dxa"/>
            <w:vAlign w:val="top"/>
            <w:textDirection w:val="lrTb"/>
            <w:noWrap w:val="false"/>
          </w:tcPr>
          <w:p>
            <w:pPr>
              <w:pStyle w:val="1024"/>
              <w:jc w:val="center"/>
              <w:spacing w:before="50" w:after="50"/>
              <w:rPr>
                <w:color w:val="000000"/>
                <w:sz w:val="24"/>
                <w:szCs w:val="24"/>
                <w:highlight w:val="none"/>
              </w:rPr>
            </w:pPr>
            <w:r>
              <w:rPr>
                <w:color w:val="000000"/>
                <w:sz w:val="24"/>
                <w:szCs w:val="24"/>
                <w:highlight w:val="none"/>
              </w:rPr>
            </w:r>
            <w:r/>
          </w:p>
        </w:tc>
      </w:tr>
      <w:tr>
        <w:trPr>
          <w:trHeight w:val="1134" w:hRule="exact"/>
        </w:trPr>
        <w:tc>
          <w:tcPr>
            <w:tcW w:w="455" w:type="dxa"/>
            <w:vAlign w:val="top"/>
            <w:textDirection w:val="lrTb"/>
            <w:noWrap w:val="false"/>
          </w:tcPr>
          <w:p>
            <w:pPr>
              <w:pStyle w:val="1024"/>
              <w:jc w:val="center"/>
              <w:spacing w:before="50" w:after="50"/>
              <w:rPr>
                <w:color w:val="000000"/>
                <w:sz w:val="24"/>
                <w:szCs w:val="24"/>
                <w:highlight w:val="none"/>
              </w:rPr>
            </w:pPr>
            <w:r>
              <w:rPr>
                <w:color w:val="000000"/>
                <w:sz w:val="24"/>
                <w:szCs w:val="24"/>
                <w:highlight w:val="none"/>
              </w:rPr>
            </w:r>
            <w:r/>
          </w:p>
        </w:tc>
        <w:tc>
          <w:tcPr>
            <w:tcW w:w="604" w:type="dxa"/>
            <w:vAlign w:val="top"/>
            <w:textDirection w:val="lrTb"/>
            <w:noWrap w:val="false"/>
          </w:tcPr>
          <w:p>
            <w:pPr>
              <w:pStyle w:val="1024"/>
              <w:jc w:val="center"/>
              <w:spacing w:before="50" w:after="50"/>
              <w:rPr>
                <w:color w:val="000000"/>
                <w:sz w:val="24"/>
                <w:szCs w:val="24"/>
                <w:highlight w:val="none"/>
              </w:rPr>
            </w:pPr>
            <w:r>
              <w:rPr>
                <w:color w:val="000000"/>
                <w:sz w:val="24"/>
                <w:szCs w:val="24"/>
                <w:highlight w:val="none"/>
              </w:rPr>
            </w:r>
            <w:r/>
          </w:p>
        </w:tc>
        <w:tc>
          <w:tcPr>
            <w:tcW w:w="863" w:type="dxa"/>
            <w:vAlign w:val="top"/>
            <w:textDirection w:val="lrTb"/>
            <w:noWrap w:val="false"/>
          </w:tcPr>
          <w:p>
            <w:pPr>
              <w:pStyle w:val="1024"/>
              <w:jc w:val="center"/>
              <w:spacing w:before="50" w:after="50"/>
              <w:rPr>
                <w:color w:val="000000"/>
                <w:sz w:val="24"/>
                <w:szCs w:val="24"/>
                <w:highlight w:val="none"/>
              </w:rPr>
            </w:pPr>
            <w:r>
              <w:rPr>
                <w:color w:val="000000"/>
                <w:sz w:val="24"/>
                <w:szCs w:val="24"/>
                <w:highlight w:val="none"/>
              </w:rPr>
            </w:r>
            <w:r/>
          </w:p>
        </w:tc>
        <w:tc>
          <w:tcPr>
            <w:tcW w:w="820" w:type="dxa"/>
            <w:vAlign w:val="top"/>
            <w:textDirection w:val="lrTb"/>
            <w:noWrap w:val="false"/>
          </w:tcPr>
          <w:p>
            <w:pPr>
              <w:pStyle w:val="1024"/>
              <w:jc w:val="center"/>
              <w:spacing w:before="50" w:after="50"/>
              <w:rPr>
                <w:color w:val="000000"/>
                <w:sz w:val="24"/>
                <w:szCs w:val="24"/>
                <w:highlight w:val="none"/>
              </w:rPr>
            </w:pPr>
            <w:r>
              <w:rPr>
                <w:color w:val="000000"/>
                <w:sz w:val="24"/>
                <w:szCs w:val="24"/>
                <w:highlight w:val="none"/>
              </w:rPr>
            </w:r>
            <w:r/>
          </w:p>
        </w:tc>
        <w:tc>
          <w:tcPr>
            <w:tcW w:w="1420" w:type="dxa"/>
            <w:vAlign w:val="top"/>
            <w:textDirection w:val="lrTb"/>
            <w:noWrap w:val="false"/>
          </w:tcPr>
          <w:p>
            <w:pPr>
              <w:pStyle w:val="1024"/>
              <w:jc w:val="center"/>
              <w:spacing w:before="50" w:after="50"/>
              <w:rPr>
                <w:color w:val="000000"/>
                <w:sz w:val="24"/>
                <w:szCs w:val="24"/>
                <w:highlight w:val="none"/>
              </w:rPr>
            </w:pPr>
            <w:r>
              <w:rPr>
                <w:color w:val="000000"/>
                <w:sz w:val="24"/>
                <w:szCs w:val="24"/>
                <w:highlight w:val="none"/>
              </w:rPr>
            </w:r>
            <w:r/>
          </w:p>
        </w:tc>
        <w:tc>
          <w:tcPr>
            <w:tcW w:w="836" w:type="dxa"/>
            <w:vAlign w:val="top"/>
            <w:textDirection w:val="lrTb"/>
            <w:noWrap w:val="false"/>
          </w:tcPr>
          <w:p>
            <w:pPr>
              <w:pStyle w:val="1024"/>
              <w:jc w:val="center"/>
              <w:spacing w:before="50" w:after="50"/>
              <w:rPr>
                <w:color w:val="000000"/>
                <w:sz w:val="24"/>
                <w:szCs w:val="24"/>
                <w:highlight w:val="none"/>
              </w:rPr>
            </w:pPr>
            <w:r>
              <w:rPr>
                <w:color w:val="000000"/>
                <w:sz w:val="24"/>
                <w:szCs w:val="24"/>
                <w:highlight w:val="none"/>
              </w:rPr>
            </w:r>
            <w:r/>
          </w:p>
        </w:tc>
      </w:tr>
      <w:tr>
        <w:trPr>
          <w:trHeight w:val="1134" w:hRule="exact"/>
        </w:trPr>
        <w:tc>
          <w:tcPr>
            <w:tcW w:w="455" w:type="dxa"/>
            <w:vAlign w:val="top"/>
            <w:textDirection w:val="lrTb"/>
            <w:noWrap w:val="false"/>
          </w:tcPr>
          <w:p>
            <w:pPr>
              <w:pStyle w:val="1024"/>
              <w:jc w:val="center"/>
              <w:spacing w:before="50" w:after="50"/>
              <w:rPr>
                <w:color w:val="000000"/>
                <w:sz w:val="24"/>
                <w:szCs w:val="24"/>
                <w:highlight w:val="none"/>
              </w:rPr>
            </w:pPr>
            <w:r>
              <w:rPr>
                <w:color w:val="000000"/>
                <w:sz w:val="24"/>
                <w:szCs w:val="24"/>
                <w:highlight w:val="none"/>
              </w:rPr>
            </w:r>
            <w:r/>
          </w:p>
        </w:tc>
        <w:tc>
          <w:tcPr>
            <w:tcW w:w="604" w:type="dxa"/>
            <w:vAlign w:val="top"/>
            <w:textDirection w:val="lrTb"/>
            <w:noWrap w:val="false"/>
          </w:tcPr>
          <w:p>
            <w:pPr>
              <w:pStyle w:val="1024"/>
              <w:jc w:val="center"/>
              <w:spacing w:before="50" w:after="50"/>
              <w:rPr>
                <w:color w:val="000000"/>
                <w:sz w:val="24"/>
                <w:szCs w:val="24"/>
                <w:highlight w:val="none"/>
              </w:rPr>
            </w:pPr>
            <w:r>
              <w:rPr>
                <w:color w:val="000000"/>
                <w:sz w:val="24"/>
                <w:szCs w:val="24"/>
                <w:highlight w:val="none"/>
              </w:rPr>
            </w:r>
            <w:r/>
          </w:p>
        </w:tc>
        <w:tc>
          <w:tcPr>
            <w:tcW w:w="863" w:type="dxa"/>
            <w:vAlign w:val="top"/>
            <w:textDirection w:val="lrTb"/>
            <w:noWrap w:val="false"/>
          </w:tcPr>
          <w:p>
            <w:pPr>
              <w:pStyle w:val="1024"/>
              <w:jc w:val="center"/>
              <w:spacing w:before="50" w:after="50"/>
              <w:rPr>
                <w:color w:val="000000"/>
                <w:sz w:val="24"/>
                <w:szCs w:val="24"/>
                <w:highlight w:val="none"/>
              </w:rPr>
            </w:pPr>
            <w:r>
              <w:rPr>
                <w:color w:val="000000"/>
                <w:sz w:val="24"/>
                <w:szCs w:val="24"/>
                <w:highlight w:val="none"/>
              </w:rPr>
            </w:r>
            <w:r/>
          </w:p>
        </w:tc>
        <w:tc>
          <w:tcPr>
            <w:tcW w:w="820" w:type="dxa"/>
            <w:vAlign w:val="top"/>
            <w:textDirection w:val="lrTb"/>
            <w:noWrap w:val="false"/>
          </w:tcPr>
          <w:p>
            <w:pPr>
              <w:pStyle w:val="1024"/>
              <w:jc w:val="center"/>
              <w:spacing w:before="50" w:after="50"/>
              <w:rPr>
                <w:color w:val="000000"/>
                <w:sz w:val="24"/>
                <w:szCs w:val="24"/>
                <w:highlight w:val="none"/>
              </w:rPr>
            </w:pPr>
            <w:r>
              <w:rPr>
                <w:color w:val="000000"/>
                <w:sz w:val="24"/>
                <w:szCs w:val="24"/>
                <w:highlight w:val="none"/>
              </w:rPr>
            </w:r>
            <w:r/>
          </w:p>
        </w:tc>
        <w:tc>
          <w:tcPr>
            <w:tcW w:w="1420" w:type="dxa"/>
            <w:vAlign w:val="top"/>
            <w:textDirection w:val="lrTb"/>
            <w:noWrap w:val="false"/>
          </w:tcPr>
          <w:p>
            <w:pPr>
              <w:pStyle w:val="1024"/>
              <w:jc w:val="center"/>
              <w:spacing w:before="50" w:after="50"/>
              <w:rPr>
                <w:color w:val="000000"/>
                <w:sz w:val="24"/>
                <w:szCs w:val="24"/>
                <w:highlight w:val="none"/>
              </w:rPr>
            </w:pPr>
            <w:r>
              <w:rPr>
                <w:color w:val="000000"/>
                <w:sz w:val="24"/>
                <w:szCs w:val="24"/>
                <w:highlight w:val="none"/>
              </w:rPr>
            </w:r>
            <w:r/>
          </w:p>
        </w:tc>
        <w:tc>
          <w:tcPr>
            <w:tcW w:w="836" w:type="dxa"/>
            <w:vAlign w:val="top"/>
            <w:textDirection w:val="lrTb"/>
            <w:noWrap w:val="false"/>
          </w:tcPr>
          <w:p>
            <w:pPr>
              <w:pStyle w:val="1024"/>
              <w:jc w:val="center"/>
              <w:spacing w:before="50" w:after="50"/>
              <w:rPr>
                <w:color w:val="000000"/>
                <w:sz w:val="24"/>
                <w:szCs w:val="24"/>
                <w:highlight w:val="none"/>
              </w:rPr>
            </w:pPr>
            <w:r>
              <w:rPr>
                <w:color w:val="000000"/>
                <w:sz w:val="24"/>
                <w:szCs w:val="24"/>
                <w:highlight w:val="none"/>
              </w:rPr>
            </w:r>
            <w:r/>
          </w:p>
        </w:tc>
      </w:tr>
      <w:tr>
        <w:trPr>
          <w:trHeight w:val="1134" w:hRule="exact"/>
        </w:trPr>
        <w:tc>
          <w:tcPr>
            <w:tcW w:w="455" w:type="dxa"/>
            <w:vAlign w:val="top"/>
            <w:textDirection w:val="lrTb"/>
            <w:noWrap w:val="false"/>
          </w:tcPr>
          <w:p>
            <w:pPr>
              <w:pStyle w:val="1024"/>
              <w:jc w:val="center"/>
              <w:spacing w:before="50" w:after="50"/>
              <w:rPr>
                <w:color w:val="000000"/>
                <w:sz w:val="24"/>
                <w:szCs w:val="24"/>
                <w:highlight w:val="none"/>
              </w:rPr>
            </w:pPr>
            <w:r>
              <w:rPr>
                <w:color w:val="000000"/>
                <w:sz w:val="24"/>
                <w:szCs w:val="24"/>
                <w:highlight w:val="none"/>
              </w:rPr>
            </w:r>
            <w:r/>
          </w:p>
        </w:tc>
        <w:tc>
          <w:tcPr>
            <w:tcW w:w="604" w:type="dxa"/>
            <w:vAlign w:val="top"/>
            <w:textDirection w:val="lrTb"/>
            <w:noWrap w:val="false"/>
          </w:tcPr>
          <w:p>
            <w:pPr>
              <w:pStyle w:val="1024"/>
              <w:jc w:val="center"/>
              <w:spacing w:before="50" w:after="50"/>
              <w:rPr>
                <w:color w:val="000000"/>
                <w:sz w:val="24"/>
                <w:szCs w:val="24"/>
                <w:highlight w:val="none"/>
              </w:rPr>
            </w:pPr>
            <w:r>
              <w:rPr>
                <w:color w:val="000000"/>
                <w:sz w:val="24"/>
                <w:szCs w:val="24"/>
                <w:highlight w:val="none"/>
              </w:rPr>
            </w:r>
            <w:r/>
          </w:p>
        </w:tc>
        <w:tc>
          <w:tcPr>
            <w:tcW w:w="863" w:type="dxa"/>
            <w:vAlign w:val="top"/>
            <w:textDirection w:val="lrTb"/>
            <w:noWrap w:val="false"/>
          </w:tcPr>
          <w:p>
            <w:pPr>
              <w:pStyle w:val="1024"/>
              <w:jc w:val="center"/>
              <w:spacing w:before="50" w:after="50"/>
              <w:rPr>
                <w:color w:val="000000"/>
                <w:sz w:val="24"/>
                <w:szCs w:val="24"/>
                <w:highlight w:val="none"/>
              </w:rPr>
            </w:pPr>
            <w:r>
              <w:rPr>
                <w:color w:val="000000"/>
                <w:sz w:val="24"/>
                <w:szCs w:val="24"/>
                <w:highlight w:val="none"/>
              </w:rPr>
            </w:r>
            <w:r/>
          </w:p>
        </w:tc>
        <w:tc>
          <w:tcPr>
            <w:tcW w:w="820" w:type="dxa"/>
            <w:vAlign w:val="top"/>
            <w:textDirection w:val="lrTb"/>
            <w:noWrap w:val="false"/>
          </w:tcPr>
          <w:p>
            <w:pPr>
              <w:pStyle w:val="1024"/>
              <w:jc w:val="center"/>
              <w:spacing w:before="50" w:after="50"/>
              <w:rPr>
                <w:color w:val="000000"/>
                <w:sz w:val="24"/>
                <w:szCs w:val="24"/>
                <w:highlight w:val="none"/>
              </w:rPr>
            </w:pPr>
            <w:r>
              <w:rPr>
                <w:color w:val="000000"/>
                <w:sz w:val="24"/>
                <w:szCs w:val="24"/>
                <w:highlight w:val="none"/>
              </w:rPr>
            </w:r>
            <w:r/>
          </w:p>
        </w:tc>
        <w:tc>
          <w:tcPr>
            <w:tcW w:w="1420" w:type="dxa"/>
            <w:vAlign w:val="top"/>
            <w:textDirection w:val="lrTb"/>
            <w:noWrap w:val="false"/>
          </w:tcPr>
          <w:p>
            <w:pPr>
              <w:pStyle w:val="1024"/>
              <w:jc w:val="center"/>
              <w:spacing w:before="50" w:after="50"/>
              <w:rPr>
                <w:color w:val="000000"/>
                <w:sz w:val="24"/>
                <w:szCs w:val="24"/>
                <w:highlight w:val="none"/>
              </w:rPr>
            </w:pPr>
            <w:r>
              <w:rPr>
                <w:color w:val="000000"/>
                <w:sz w:val="24"/>
                <w:szCs w:val="24"/>
                <w:highlight w:val="none"/>
              </w:rPr>
            </w:r>
            <w:r/>
          </w:p>
        </w:tc>
        <w:tc>
          <w:tcPr>
            <w:tcW w:w="836" w:type="dxa"/>
            <w:vAlign w:val="top"/>
            <w:textDirection w:val="lrTb"/>
            <w:noWrap w:val="false"/>
          </w:tcPr>
          <w:p>
            <w:pPr>
              <w:pStyle w:val="1024"/>
              <w:jc w:val="center"/>
              <w:spacing w:before="50" w:after="50"/>
              <w:rPr>
                <w:color w:val="000000"/>
                <w:sz w:val="24"/>
                <w:szCs w:val="24"/>
                <w:highlight w:val="none"/>
              </w:rPr>
            </w:pPr>
            <w:r>
              <w:rPr>
                <w:color w:val="000000"/>
                <w:sz w:val="24"/>
                <w:szCs w:val="24"/>
                <w:highlight w:val="none"/>
              </w:rPr>
            </w:r>
            <w:r/>
          </w:p>
        </w:tc>
      </w:tr>
      <w:tr>
        <w:trPr>
          <w:trHeight w:val="1134" w:hRule="exact"/>
        </w:trPr>
        <w:tc>
          <w:tcPr>
            <w:tcW w:w="455" w:type="dxa"/>
            <w:vAlign w:val="top"/>
            <w:textDirection w:val="lrTb"/>
            <w:noWrap w:val="false"/>
          </w:tcPr>
          <w:p>
            <w:pPr>
              <w:pStyle w:val="1024"/>
              <w:jc w:val="center"/>
              <w:spacing w:before="50" w:after="50"/>
              <w:rPr>
                <w:color w:val="000000"/>
                <w:sz w:val="24"/>
                <w:szCs w:val="24"/>
                <w:highlight w:val="none"/>
              </w:rPr>
            </w:pPr>
            <w:r>
              <w:rPr>
                <w:color w:val="000000"/>
                <w:sz w:val="24"/>
                <w:szCs w:val="24"/>
                <w:highlight w:val="none"/>
              </w:rPr>
            </w:r>
            <w:r/>
          </w:p>
        </w:tc>
        <w:tc>
          <w:tcPr>
            <w:tcW w:w="604" w:type="dxa"/>
            <w:vAlign w:val="top"/>
            <w:textDirection w:val="lrTb"/>
            <w:noWrap w:val="false"/>
          </w:tcPr>
          <w:p>
            <w:pPr>
              <w:pStyle w:val="1024"/>
              <w:jc w:val="center"/>
              <w:spacing w:before="50" w:after="50"/>
              <w:rPr>
                <w:color w:val="000000"/>
                <w:sz w:val="24"/>
                <w:szCs w:val="24"/>
                <w:highlight w:val="none"/>
              </w:rPr>
            </w:pPr>
            <w:r>
              <w:rPr>
                <w:color w:val="000000"/>
                <w:sz w:val="24"/>
                <w:szCs w:val="24"/>
                <w:highlight w:val="none"/>
              </w:rPr>
            </w:r>
            <w:r/>
          </w:p>
        </w:tc>
        <w:tc>
          <w:tcPr>
            <w:tcW w:w="863" w:type="dxa"/>
            <w:vAlign w:val="top"/>
            <w:textDirection w:val="lrTb"/>
            <w:noWrap w:val="false"/>
          </w:tcPr>
          <w:p>
            <w:pPr>
              <w:pStyle w:val="1024"/>
              <w:jc w:val="center"/>
              <w:spacing w:before="50" w:after="50"/>
              <w:rPr>
                <w:color w:val="000000"/>
                <w:sz w:val="24"/>
                <w:szCs w:val="24"/>
                <w:highlight w:val="none"/>
              </w:rPr>
            </w:pPr>
            <w:r>
              <w:rPr>
                <w:color w:val="000000"/>
                <w:sz w:val="24"/>
                <w:szCs w:val="24"/>
                <w:highlight w:val="none"/>
              </w:rPr>
            </w:r>
            <w:r/>
          </w:p>
        </w:tc>
        <w:tc>
          <w:tcPr>
            <w:tcW w:w="820" w:type="dxa"/>
            <w:vAlign w:val="top"/>
            <w:textDirection w:val="lrTb"/>
            <w:noWrap w:val="false"/>
          </w:tcPr>
          <w:p>
            <w:pPr>
              <w:pStyle w:val="1024"/>
              <w:jc w:val="center"/>
              <w:spacing w:before="50" w:after="50"/>
              <w:rPr>
                <w:color w:val="000000"/>
                <w:sz w:val="24"/>
                <w:szCs w:val="24"/>
                <w:highlight w:val="none"/>
              </w:rPr>
            </w:pPr>
            <w:r>
              <w:rPr>
                <w:color w:val="000000"/>
                <w:sz w:val="24"/>
                <w:szCs w:val="24"/>
                <w:highlight w:val="none"/>
              </w:rPr>
            </w:r>
            <w:r/>
          </w:p>
        </w:tc>
        <w:tc>
          <w:tcPr>
            <w:tcW w:w="1420" w:type="dxa"/>
            <w:vAlign w:val="top"/>
            <w:textDirection w:val="lrTb"/>
            <w:noWrap w:val="false"/>
          </w:tcPr>
          <w:p>
            <w:pPr>
              <w:pStyle w:val="1024"/>
              <w:jc w:val="center"/>
              <w:spacing w:before="50" w:after="50"/>
              <w:rPr>
                <w:color w:val="000000"/>
                <w:sz w:val="24"/>
                <w:szCs w:val="24"/>
                <w:highlight w:val="none"/>
              </w:rPr>
            </w:pPr>
            <w:r>
              <w:rPr>
                <w:color w:val="000000"/>
                <w:sz w:val="24"/>
                <w:szCs w:val="24"/>
                <w:highlight w:val="none"/>
              </w:rPr>
            </w:r>
            <w:r/>
          </w:p>
        </w:tc>
        <w:tc>
          <w:tcPr>
            <w:tcW w:w="836" w:type="dxa"/>
            <w:vAlign w:val="top"/>
            <w:textDirection w:val="lrTb"/>
            <w:noWrap w:val="false"/>
          </w:tcPr>
          <w:p>
            <w:pPr>
              <w:pStyle w:val="1024"/>
              <w:jc w:val="center"/>
              <w:spacing w:before="50" w:after="50"/>
              <w:rPr>
                <w:color w:val="000000"/>
                <w:sz w:val="24"/>
                <w:szCs w:val="24"/>
                <w:highlight w:val="none"/>
              </w:rPr>
            </w:pPr>
            <w:r>
              <w:rPr>
                <w:color w:val="000000"/>
                <w:sz w:val="24"/>
                <w:szCs w:val="24"/>
                <w:highlight w:val="none"/>
              </w:rPr>
            </w:r>
            <w:r/>
          </w:p>
        </w:tc>
      </w:tr>
      <w:tr>
        <w:trPr>
          <w:trHeight w:val="1134" w:hRule="exact"/>
        </w:trPr>
        <w:tc>
          <w:tcPr>
            <w:tcW w:w="455" w:type="dxa"/>
            <w:vAlign w:val="top"/>
            <w:textDirection w:val="lrTb"/>
            <w:noWrap w:val="false"/>
          </w:tcPr>
          <w:p>
            <w:pPr>
              <w:pStyle w:val="1024"/>
              <w:jc w:val="center"/>
              <w:spacing w:before="50" w:after="50"/>
              <w:rPr>
                <w:color w:val="000000"/>
                <w:sz w:val="24"/>
                <w:szCs w:val="24"/>
                <w:highlight w:val="none"/>
              </w:rPr>
            </w:pPr>
            <w:r>
              <w:rPr>
                <w:color w:val="000000"/>
                <w:sz w:val="24"/>
                <w:szCs w:val="24"/>
                <w:highlight w:val="none"/>
              </w:rPr>
            </w:r>
            <w:r/>
          </w:p>
        </w:tc>
        <w:tc>
          <w:tcPr>
            <w:tcW w:w="604" w:type="dxa"/>
            <w:vAlign w:val="top"/>
            <w:textDirection w:val="lrTb"/>
            <w:noWrap w:val="false"/>
          </w:tcPr>
          <w:p>
            <w:pPr>
              <w:pStyle w:val="1024"/>
              <w:jc w:val="center"/>
              <w:spacing w:before="50" w:after="50"/>
              <w:rPr>
                <w:color w:val="000000"/>
                <w:sz w:val="24"/>
                <w:szCs w:val="24"/>
                <w:highlight w:val="none"/>
              </w:rPr>
            </w:pPr>
            <w:r>
              <w:rPr>
                <w:color w:val="000000"/>
                <w:sz w:val="24"/>
                <w:szCs w:val="24"/>
                <w:highlight w:val="none"/>
              </w:rPr>
            </w:r>
            <w:r/>
          </w:p>
        </w:tc>
        <w:tc>
          <w:tcPr>
            <w:tcW w:w="863" w:type="dxa"/>
            <w:vAlign w:val="top"/>
            <w:textDirection w:val="lrTb"/>
            <w:noWrap w:val="false"/>
          </w:tcPr>
          <w:p>
            <w:pPr>
              <w:pStyle w:val="1024"/>
              <w:jc w:val="center"/>
              <w:spacing w:before="50" w:after="50"/>
              <w:rPr>
                <w:color w:val="000000"/>
                <w:sz w:val="24"/>
                <w:szCs w:val="24"/>
                <w:highlight w:val="none"/>
              </w:rPr>
            </w:pPr>
            <w:r>
              <w:rPr>
                <w:color w:val="000000"/>
                <w:sz w:val="24"/>
                <w:szCs w:val="24"/>
                <w:highlight w:val="none"/>
              </w:rPr>
            </w:r>
            <w:r/>
          </w:p>
        </w:tc>
        <w:tc>
          <w:tcPr>
            <w:tcW w:w="820" w:type="dxa"/>
            <w:vAlign w:val="top"/>
            <w:textDirection w:val="lrTb"/>
            <w:noWrap w:val="false"/>
          </w:tcPr>
          <w:p>
            <w:pPr>
              <w:pStyle w:val="1024"/>
              <w:jc w:val="center"/>
              <w:spacing w:before="50" w:after="50"/>
              <w:rPr>
                <w:color w:val="000000"/>
                <w:sz w:val="24"/>
                <w:szCs w:val="24"/>
                <w:highlight w:val="none"/>
              </w:rPr>
            </w:pPr>
            <w:r>
              <w:rPr>
                <w:color w:val="000000"/>
                <w:sz w:val="24"/>
                <w:szCs w:val="24"/>
                <w:highlight w:val="none"/>
              </w:rPr>
            </w:r>
            <w:r/>
          </w:p>
        </w:tc>
        <w:tc>
          <w:tcPr>
            <w:tcW w:w="1420" w:type="dxa"/>
            <w:vAlign w:val="top"/>
            <w:textDirection w:val="lrTb"/>
            <w:noWrap w:val="false"/>
          </w:tcPr>
          <w:p>
            <w:pPr>
              <w:pStyle w:val="1024"/>
              <w:jc w:val="center"/>
              <w:spacing w:before="50" w:after="50"/>
              <w:rPr>
                <w:color w:val="000000"/>
                <w:sz w:val="24"/>
                <w:szCs w:val="24"/>
                <w:highlight w:val="none"/>
              </w:rPr>
            </w:pPr>
            <w:r>
              <w:rPr>
                <w:color w:val="000000"/>
                <w:sz w:val="24"/>
                <w:szCs w:val="24"/>
                <w:highlight w:val="none"/>
              </w:rPr>
            </w:r>
            <w:r/>
          </w:p>
        </w:tc>
        <w:tc>
          <w:tcPr>
            <w:tcW w:w="836" w:type="dxa"/>
            <w:vAlign w:val="top"/>
            <w:textDirection w:val="lrTb"/>
            <w:noWrap w:val="false"/>
          </w:tcPr>
          <w:p>
            <w:pPr>
              <w:pStyle w:val="1024"/>
              <w:jc w:val="center"/>
              <w:spacing w:before="50" w:after="50"/>
              <w:rPr>
                <w:color w:val="000000"/>
                <w:sz w:val="24"/>
                <w:szCs w:val="24"/>
                <w:highlight w:val="none"/>
              </w:rPr>
            </w:pPr>
            <w:r>
              <w:rPr>
                <w:color w:val="000000"/>
                <w:sz w:val="24"/>
                <w:szCs w:val="24"/>
                <w:highlight w:val="none"/>
              </w:rPr>
            </w:r>
            <w:r/>
          </w:p>
        </w:tc>
      </w:tr>
      <w:tr>
        <w:trPr>
          <w:trHeight w:val="1134" w:hRule="exact"/>
        </w:trPr>
        <w:tc>
          <w:tcPr>
            <w:tcW w:w="455" w:type="dxa"/>
            <w:vAlign w:val="top"/>
            <w:textDirection w:val="lrTb"/>
            <w:noWrap w:val="false"/>
          </w:tcPr>
          <w:p>
            <w:pPr>
              <w:pStyle w:val="1024"/>
              <w:jc w:val="center"/>
              <w:spacing w:before="50" w:after="50"/>
              <w:rPr>
                <w:color w:val="000000"/>
                <w:sz w:val="24"/>
                <w:szCs w:val="24"/>
                <w:highlight w:val="none"/>
              </w:rPr>
            </w:pPr>
            <w:r>
              <w:rPr>
                <w:color w:val="000000"/>
                <w:sz w:val="24"/>
                <w:szCs w:val="24"/>
                <w:highlight w:val="none"/>
              </w:rPr>
            </w:r>
            <w:r/>
          </w:p>
        </w:tc>
        <w:tc>
          <w:tcPr>
            <w:tcW w:w="604" w:type="dxa"/>
            <w:vAlign w:val="top"/>
            <w:textDirection w:val="lrTb"/>
            <w:noWrap w:val="false"/>
          </w:tcPr>
          <w:p>
            <w:pPr>
              <w:pStyle w:val="1024"/>
              <w:jc w:val="center"/>
              <w:spacing w:before="50" w:after="50"/>
              <w:rPr>
                <w:color w:val="000000"/>
                <w:sz w:val="24"/>
                <w:szCs w:val="24"/>
                <w:highlight w:val="none"/>
              </w:rPr>
            </w:pPr>
            <w:r>
              <w:rPr>
                <w:color w:val="000000"/>
                <w:sz w:val="24"/>
                <w:szCs w:val="24"/>
                <w:highlight w:val="none"/>
              </w:rPr>
            </w:r>
            <w:r/>
          </w:p>
        </w:tc>
        <w:tc>
          <w:tcPr>
            <w:tcW w:w="863" w:type="dxa"/>
            <w:vAlign w:val="top"/>
            <w:textDirection w:val="lrTb"/>
            <w:noWrap w:val="false"/>
          </w:tcPr>
          <w:p>
            <w:pPr>
              <w:pStyle w:val="1024"/>
              <w:jc w:val="center"/>
              <w:spacing w:before="50" w:after="50"/>
              <w:rPr>
                <w:color w:val="000000"/>
                <w:sz w:val="24"/>
                <w:szCs w:val="24"/>
                <w:highlight w:val="none"/>
              </w:rPr>
            </w:pPr>
            <w:r>
              <w:rPr>
                <w:color w:val="000000"/>
                <w:sz w:val="24"/>
                <w:szCs w:val="24"/>
                <w:highlight w:val="none"/>
              </w:rPr>
            </w:r>
            <w:r/>
          </w:p>
        </w:tc>
        <w:tc>
          <w:tcPr>
            <w:tcW w:w="820" w:type="dxa"/>
            <w:vAlign w:val="top"/>
            <w:textDirection w:val="lrTb"/>
            <w:noWrap w:val="false"/>
          </w:tcPr>
          <w:p>
            <w:pPr>
              <w:pStyle w:val="1024"/>
              <w:jc w:val="center"/>
              <w:spacing w:before="50" w:after="50"/>
              <w:rPr>
                <w:color w:val="000000"/>
                <w:sz w:val="24"/>
                <w:szCs w:val="24"/>
                <w:highlight w:val="none"/>
              </w:rPr>
            </w:pPr>
            <w:r>
              <w:rPr>
                <w:color w:val="000000"/>
                <w:sz w:val="24"/>
                <w:szCs w:val="24"/>
                <w:highlight w:val="none"/>
              </w:rPr>
            </w:r>
            <w:r/>
          </w:p>
        </w:tc>
        <w:tc>
          <w:tcPr>
            <w:tcW w:w="1420" w:type="dxa"/>
            <w:vAlign w:val="top"/>
            <w:textDirection w:val="lrTb"/>
            <w:noWrap w:val="false"/>
          </w:tcPr>
          <w:p>
            <w:pPr>
              <w:pStyle w:val="1024"/>
              <w:jc w:val="center"/>
              <w:spacing w:before="50" w:after="50"/>
              <w:rPr>
                <w:color w:val="000000"/>
                <w:sz w:val="24"/>
                <w:szCs w:val="24"/>
                <w:highlight w:val="none"/>
              </w:rPr>
            </w:pPr>
            <w:r>
              <w:rPr>
                <w:color w:val="000000"/>
                <w:sz w:val="24"/>
                <w:szCs w:val="24"/>
                <w:highlight w:val="none"/>
              </w:rPr>
            </w:r>
            <w:r/>
          </w:p>
        </w:tc>
        <w:tc>
          <w:tcPr>
            <w:tcW w:w="836" w:type="dxa"/>
            <w:vAlign w:val="top"/>
            <w:textDirection w:val="lrTb"/>
            <w:noWrap w:val="false"/>
          </w:tcPr>
          <w:p>
            <w:pPr>
              <w:pStyle w:val="1024"/>
              <w:jc w:val="center"/>
              <w:spacing w:before="50" w:after="50"/>
              <w:rPr>
                <w:color w:val="000000"/>
                <w:sz w:val="24"/>
                <w:szCs w:val="24"/>
                <w:highlight w:val="none"/>
              </w:rPr>
            </w:pPr>
            <w:r>
              <w:rPr>
                <w:color w:val="000000"/>
                <w:sz w:val="24"/>
                <w:szCs w:val="24"/>
                <w:highlight w:val="none"/>
              </w:rPr>
            </w:r>
            <w:r/>
          </w:p>
        </w:tc>
      </w:tr>
    </w:tbl>
    <w:p>
      <w:pPr>
        <w:pStyle w:val="1024"/>
        <w:jc w:val="center"/>
        <w:spacing w:before="50" w:after="50"/>
        <w:rPr>
          <w:color w:val="000000"/>
          <w:sz w:val="24"/>
          <w:szCs w:val="24"/>
          <w:highlight w:val="none"/>
        </w:rPr>
      </w:pPr>
      <w:r>
        <w:rPr>
          <w:color w:val="000000"/>
          <w:sz w:val="24"/>
          <w:szCs w:val="24"/>
          <w:highlight w:val="none"/>
        </w:rPr>
      </w:r>
      <w:r/>
    </w:p>
    <w:p>
      <w:pPr>
        <w:pStyle w:val="1024"/>
        <w:jc w:val="left"/>
        <w:spacing w:before="50" w:after="50"/>
        <w:rPr>
          <w:color w:val="000000"/>
          <w:sz w:val="24"/>
          <w:szCs w:val="24"/>
          <w:highlight w:val="none"/>
        </w:rPr>
      </w:pPr>
      <w:r>
        <w:rPr>
          <w:rFonts w:hint="eastAsia"/>
          <w:color w:val="000000"/>
          <w:sz w:val="24"/>
          <w:szCs w:val="24"/>
          <w:highlight w:val="none"/>
        </w:rPr>
        <w:t xml:space="preserve">注：格式可作参考或自拟。</w:t>
      </w:r>
      <w:r>
        <w:rPr>
          <w:color w:val="000000"/>
          <w:sz w:val="24"/>
          <w:szCs w:val="24"/>
          <w:highlight w:val="none"/>
        </w:rPr>
      </w:r>
      <w:r/>
    </w:p>
    <w:p>
      <w:pPr>
        <w:pStyle w:val="1085"/>
        <w:jc w:val="center"/>
        <w:rPr>
          <w:rFonts w:hint="eastAsia"/>
          <w:b/>
          <w:bCs/>
          <w:color w:val="000000"/>
          <w:sz w:val="30"/>
          <w:szCs w:val="30"/>
          <w:highlight w:val="none"/>
        </w:rPr>
      </w:pPr>
      <w:r>
        <w:rPr>
          <w:rFonts w:hint="eastAsia"/>
          <w:b/>
          <w:bCs/>
          <w:color w:val="000000"/>
          <w:sz w:val="30"/>
          <w:szCs w:val="30"/>
          <w:highlight w:val="none"/>
        </w:rPr>
      </w:r>
      <w:r/>
    </w:p>
    <w:p>
      <w:pPr>
        <w:pStyle w:val="1085"/>
        <w:jc w:val="center"/>
        <w:rPr>
          <w:b/>
          <w:bCs/>
          <w:color w:val="000000"/>
          <w:sz w:val="30"/>
          <w:szCs w:val="30"/>
          <w:highlight w:val="none"/>
        </w:rPr>
      </w:pPr>
      <w:r>
        <w:rPr>
          <w:rFonts w:hint="eastAsia"/>
          <w:b/>
          <w:bCs/>
          <w:color w:val="000000"/>
          <w:sz w:val="30"/>
          <w:szCs w:val="30"/>
          <w:highlight w:val="none"/>
        </w:rPr>
        <w:br w:type="page" w:clear="all"/>
      </w:r>
      <w:r>
        <w:rPr>
          <w:rFonts w:hint="eastAsia"/>
          <w:b/>
          <w:bCs/>
          <w:color w:val="000000"/>
          <w:sz w:val="30"/>
          <w:szCs w:val="30"/>
          <w:highlight w:val="none"/>
        </w:rPr>
        <w:t xml:space="preserve">十五、服务方案</w:t>
      </w:r>
      <w:r>
        <w:rPr>
          <w:b/>
          <w:bCs/>
          <w:color w:val="000000"/>
          <w:sz w:val="30"/>
          <w:szCs w:val="30"/>
          <w:highlight w:val="none"/>
        </w:rPr>
      </w:r>
      <w:r/>
    </w:p>
    <w:p>
      <w:pPr>
        <w:pStyle w:val="1024"/>
        <w:jc w:val="center"/>
        <w:spacing w:before="50" w:after="50"/>
        <w:rPr>
          <w:rFonts w:hint="eastAsia"/>
          <w:b/>
          <w:bCs/>
          <w:color w:val="000000"/>
          <w:sz w:val="30"/>
          <w:szCs w:val="30"/>
          <w:highlight w:val="none"/>
        </w:rPr>
      </w:pPr>
      <w:r>
        <w:rPr>
          <w:rFonts w:hint="eastAsia"/>
          <w:b/>
          <w:bCs/>
          <w:color w:val="000000"/>
          <w:sz w:val="30"/>
          <w:szCs w:val="30"/>
          <w:highlight w:val="none"/>
        </w:rPr>
        <w:t xml:space="preserve">（根据评分标准自行编制）</w:t>
      </w:r>
      <w:r>
        <w:rPr>
          <w:rFonts w:hint="eastAsia"/>
          <w:b/>
          <w:bCs/>
          <w:color w:val="000000"/>
          <w:sz w:val="30"/>
          <w:szCs w:val="30"/>
          <w:highlight w:val="none"/>
        </w:rPr>
      </w:r>
      <w:r/>
    </w:p>
    <w:p>
      <w:pPr>
        <w:pStyle w:val="1085"/>
        <w:rPr>
          <w:color w:val="000000"/>
          <w:highlight w:val="none"/>
        </w:rPr>
      </w:pPr>
      <w:r>
        <w:rPr>
          <w:color w:val="000000"/>
          <w:highlight w:val="none"/>
        </w:rPr>
      </w:r>
      <w:r/>
    </w:p>
    <w:p>
      <w:pPr>
        <w:pStyle w:val="1024"/>
        <w:jc w:val="center"/>
        <w:spacing w:before="50" w:after="50"/>
        <w:rPr>
          <w:color w:val="000000"/>
          <w:highlight w:val="none"/>
        </w:rPr>
      </w:pPr>
      <w:r>
        <w:rPr>
          <w:color w:val="000000"/>
          <w:highlight w:val="none"/>
        </w:rPr>
        <w:br w:type="page" w:clear="all"/>
      </w:r>
      <w:r>
        <w:rPr>
          <w:rFonts w:hint="eastAsia"/>
          <w:b/>
          <w:bCs/>
          <w:color w:val="000000"/>
          <w:sz w:val="30"/>
          <w:szCs w:val="30"/>
          <w:highlight w:val="none"/>
        </w:rPr>
        <w:t xml:space="preserve">十六、盐城市政府采购事前信用承诺书</w:t>
      </w:r>
      <w:r>
        <w:rPr>
          <w:color w:val="000000"/>
          <w:highlight w:val="none"/>
        </w:rPr>
      </w:r>
      <w:r/>
    </w:p>
    <w:p>
      <w:pPr>
        <w:pStyle w:val="1027"/>
        <w:ind w:firstLine="480"/>
        <w:spacing w:before="120" w:after="120" w:line="400" w:lineRule="exact"/>
        <w:rPr>
          <w:rFonts w:hint="eastAsia"/>
          <w:b w:val="0"/>
          <w:bCs w:val="0"/>
          <w:color w:val="000000"/>
          <w:sz w:val="24"/>
          <w:szCs w:val="24"/>
          <w:highlight w:val="none"/>
        </w:rPr>
      </w:pPr>
      <w:r>
        <w:rPr>
          <w:rFonts w:hint="eastAsia"/>
          <w:b w:val="0"/>
          <w:bCs w:val="0"/>
          <w:color w:val="000000"/>
          <w:sz w:val="24"/>
          <w:szCs w:val="24"/>
          <w:highlight w:val="none"/>
        </w:rPr>
        <w:t xml:space="preserve">为营造我市公开、公平、公正、诚实守信的政府采购交易环境，树立诚信守法的投标人形象，本人代表本单位作出以下承诺：</w:t>
      </w:r>
      <w:r>
        <w:rPr>
          <w:rFonts w:hint="eastAsia"/>
          <w:b w:val="0"/>
          <w:bCs w:val="0"/>
          <w:color w:val="000000"/>
          <w:sz w:val="24"/>
          <w:szCs w:val="24"/>
          <w:highlight w:val="none"/>
        </w:rPr>
      </w:r>
      <w:r/>
    </w:p>
    <w:p>
      <w:pPr>
        <w:pStyle w:val="1027"/>
        <w:ind w:firstLine="480"/>
        <w:spacing w:before="120" w:after="120" w:line="400" w:lineRule="exact"/>
        <w:rPr>
          <w:rFonts w:hint="eastAsia"/>
          <w:b w:val="0"/>
          <w:bCs w:val="0"/>
          <w:color w:val="000000"/>
          <w:sz w:val="24"/>
          <w:szCs w:val="24"/>
          <w:highlight w:val="none"/>
        </w:rPr>
      </w:pPr>
      <w:r>
        <w:rPr>
          <w:rFonts w:hint="eastAsia"/>
          <w:b w:val="0"/>
          <w:bCs w:val="0"/>
          <w:color w:val="000000"/>
          <w:sz w:val="24"/>
          <w:szCs w:val="24"/>
          <w:highlight w:val="none"/>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rPr>
          <w:rFonts w:hint="eastAsia"/>
          <w:b w:val="0"/>
          <w:bCs w:val="0"/>
          <w:color w:val="000000"/>
          <w:sz w:val="24"/>
          <w:szCs w:val="24"/>
          <w:highlight w:val="none"/>
        </w:rPr>
      </w:r>
      <w:r/>
    </w:p>
    <w:p>
      <w:pPr>
        <w:pStyle w:val="1027"/>
        <w:ind w:firstLine="480"/>
        <w:spacing w:before="120" w:after="120" w:line="400" w:lineRule="exact"/>
        <w:rPr>
          <w:rFonts w:hint="eastAsia"/>
          <w:b w:val="0"/>
          <w:bCs w:val="0"/>
          <w:color w:val="000000"/>
          <w:sz w:val="24"/>
          <w:szCs w:val="24"/>
          <w:highlight w:val="none"/>
        </w:rPr>
      </w:pPr>
      <w:r>
        <w:rPr>
          <w:rFonts w:hint="eastAsia"/>
          <w:b w:val="0"/>
          <w:bCs w:val="0"/>
          <w:color w:val="000000"/>
          <w:sz w:val="24"/>
          <w:szCs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rPr>
          <w:rFonts w:hint="eastAsia"/>
          <w:b w:val="0"/>
          <w:bCs w:val="0"/>
          <w:color w:val="000000"/>
          <w:sz w:val="24"/>
          <w:szCs w:val="24"/>
          <w:highlight w:val="none"/>
        </w:rPr>
      </w:r>
      <w:r/>
    </w:p>
    <w:p>
      <w:pPr>
        <w:pStyle w:val="1027"/>
        <w:ind w:firstLine="480"/>
        <w:spacing w:before="120" w:after="120" w:line="400" w:lineRule="exact"/>
        <w:rPr>
          <w:rFonts w:hint="eastAsia"/>
          <w:b w:val="0"/>
          <w:bCs w:val="0"/>
          <w:color w:val="000000"/>
          <w:sz w:val="24"/>
          <w:szCs w:val="24"/>
          <w:highlight w:val="none"/>
        </w:rPr>
      </w:pPr>
      <w:r>
        <w:rPr>
          <w:rFonts w:hint="eastAsia"/>
          <w:b w:val="0"/>
          <w:bCs w:val="0"/>
          <w:color w:val="000000"/>
          <w:sz w:val="24"/>
          <w:szCs w:val="24"/>
          <w:highlight w:val="none"/>
        </w:rPr>
        <w:t xml:space="preserve">（三）严格依照国家和省、市关于政府采购的法律、法规、规章、规范性文件，参加政府采购投标活动；积极履行社会责任，促进廉政建设；</w:t>
      </w:r>
      <w:r>
        <w:rPr>
          <w:rFonts w:hint="eastAsia"/>
          <w:b w:val="0"/>
          <w:bCs w:val="0"/>
          <w:color w:val="000000"/>
          <w:sz w:val="24"/>
          <w:szCs w:val="24"/>
          <w:highlight w:val="none"/>
        </w:rPr>
      </w:r>
      <w:r/>
    </w:p>
    <w:p>
      <w:pPr>
        <w:pStyle w:val="1027"/>
        <w:ind w:firstLine="480"/>
        <w:spacing w:before="120" w:after="120" w:line="400" w:lineRule="exact"/>
        <w:rPr>
          <w:rFonts w:hint="eastAsia"/>
          <w:b w:val="0"/>
          <w:bCs w:val="0"/>
          <w:color w:val="000000"/>
          <w:sz w:val="24"/>
          <w:szCs w:val="24"/>
          <w:highlight w:val="none"/>
        </w:rPr>
      </w:pPr>
      <w:r>
        <w:rPr>
          <w:rFonts w:hint="eastAsia"/>
          <w:b w:val="0"/>
          <w:bCs w:val="0"/>
          <w:color w:val="000000"/>
          <w:sz w:val="24"/>
          <w:szCs w:val="24"/>
          <w:highlight w:val="none"/>
        </w:rPr>
        <w:t xml:space="preserve">（四）严格遵守即时信息公示规定，及时维护和更新维护和更新盐城市政府采购网中与本单位相关的信息；</w:t>
      </w:r>
      <w:r>
        <w:rPr>
          <w:rFonts w:hint="eastAsia"/>
          <w:b w:val="0"/>
          <w:bCs w:val="0"/>
          <w:color w:val="000000"/>
          <w:sz w:val="24"/>
          <w:szCs w:val="24"/>
          <w:highlight w:val="none"/>
        </w:rPr>
      </w:r>
      <w:r/>
    </w:p>
    <w:p>
      <w:pPr>
        <w:pStyle w:val="1027"/>
        <w:ind w:firstLine="480"/>
        <w:spacing w:before="120" w:after="120" w:line="400" w:lineRule="exact"/>
        <w:rPr>
          <w:rFonts w:hint="eastAsia"/>
          <w:b w:val="0"/>
          <w:bCs w:val="0"/>
          <w:color w:val="000000"/>
          <w:sz w:val="24"/>
          <w:szCs w:val="24"/>
          <w:highlight w:val="none"/>
        </w:rPr>
      </w:pPr>
      <w:r>
        <w:rPr>
          <w:rFonts w:hint="eastAsia"/>
          <w:b w:val="0"/>
          <w:bCs w:val="0"/>
          <w:color w:val="000000"/>
          <w:sz w:val="24"/>
          <w:szCs w:val="24"/>
          <w:highlight w:val="none"/>
        </w:rPr>
        <w:t xml:space="preserve">（五）自我约束、自我管理，守合同、重信用，自觉维护政府采购交易的良好秩序，与参与本次政府采购活动的其他投标人不存在直接控股或管理关系，不参与围标串标、弄虚作假、骗取中标、干扰评标、违约毁约等行为；</w:t>
      </w:r>
      <w:r>
        <w:rPr>
          <w:rFonts w:hint="eastAsia"/>
          <w:b w:val="0"/>
          <w:bCs w:val="0"/>
          <w:color w:val="000000"/>
          <w:sz w:val="24"/>
          <w:szCs w:val="24"/>
          <w:highlight w:val="none"/>
        </w:rPr>
      </w:r>
      <w:r/>
    </w:p>
    <w:p>
      <w:pPr>
        <w:pStyle w:val="1027"/>
        <w:ind w:firstLine="480"/>
        <w:spacing w:before="120" w:after="120" w:line="400" w:lineRule="exact"/>
        <w:rPr>
          <w:rFonts w:hint="eastAsia"/>
          <w:b w:val="0"/>
          <w:bCs w:val="0"/>
          <w:color w:val="000000"/>
          <w:sz w:val="24"/>
          <w:szCs w:val="24"/>
          <w:highlight w:val="none"/>
        </w:rPr>
      </w:pPr>
      <w:r>
        <w:rPr>
          <w:rFonts w:hint="eastAsia"/>
          <w:b w:val="0"/>
          <w:bCs w:val="0"/>
          <w:color w:val="000000"/>
          <w:sz w:val="24"/>
          <w:szCs w:val="24"/>
          <w:highlight w:val="none"/>
        </w:rPr>
        <w:t xml:space="preserve">（六）自觉接受政府、行业组织、社会公众、新闻舆论的监督；</w:t>
      </w:r>
      <w:r>
        <w:rPr>
          <w:rFonts w:hint="eastAsia"/>
          <w:b w:val="0"/>
          <w:bCs w:val="0"/>
          <w:color w:val="000000"/>
          <w:sz w:val="24"/>
          <w:szCs w:val="24"/>
          <w:highlight w:val="none"/>
        </w:rPr>
      </w:r>
      <w:r/>
    </w:p>
    <w:p>
      <w:pPr>
        <w:pStyle w:val="1027"/>
        <w:ind w:firstLine="480"/>
        <w:spacing w:before="120" w:after="120" w:line="400" w:lineRule="exact"/>
        <w:rPr>
          <w:rFonts w:hint="eastAsia"/>
          <w:b w:val="0"/>
          <w:bCs w:val="0"/>
          <w:color w:val="000000"/>
          <w:sz w:val="24"/>
          <w:szCs w:val="24"/>
          <w:highlight w:val="none"/>
        </w:rPr>
      </w:pPr>
      <w:r>
        <w:rPr>
          <w:rFonts w:hint="eastAsia"/>
          <w:b w:val="0"/>
          <w:bCs w:val="0"/>
          <w:color w:val="000000"/>
          <w:sz w:val="24"/>
          <w:szCs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rPr>
          <w:rFonts w:hint="eastAsia"/>
          <w:b w:val="0"/>
          <w:bCs w:val="0"/>
          <w:color w:val="000000"/>
          <w:sz w:val="24"/>
          <w:szCs w:val="24"/>
          <w:highlight w:val="none"/>
        </w:rPr>
      </w:r>
      <w:r/>
    </w:p>
    <w:p>
      <w:pPr>
        <w:pStyle w:val="1027"/>
        <w:ind w:firstLine="480"/>
        <w:spacing w:before="120" w:after="120" w:line="400" w:lineRule="exact"/>
        <w:rPr>
          <w:rFonts w:hint="eastAsia"/>
          <w:b w:val="0"/>
          <w:bCs w:val="0"/>
          <w:color w:val="000000"/>
          <w:sz w:val="24"/>
          <w:szCs w:val="24"/>
          <w:highlight w:val="none"/>
        </w:rPr>
      </w:pPr>
      <w:r>
        <w:rPr>
          <w:rFonts w:hint="eastAsia"/>
          <w:b w:val="0"/>
          <w:bCs w:val="0"/>
          <w:color w:val="000000"/>
          <w:sz w:val="24"/>
          <w:szCs w:val="24"/>
          <w:highlight w:val="none"/>
        </w:rPr>
        <w:t xml:space="preserve">（八）本人已认真阅读了上述承诺，并向本单位员工作了宣传教育。</w:t>
      </w:r>
      <w:r>
        <w:rPr>
          <w:rFonts w:hint="eastAsia"/>
          <w:b w:val="0"/>
          <w:bCs w:val="0"/>
          <w:color w:val="000000"/>
          <w:sz w:val="24"/>
          <w:szCs w:val="24"/>
          <w:highlight w:val="none"/>
        </w:rPr>
      </w:r>
      <w:r/>
    </w:p>
    <w:p>
      <w:pPr>
        <w:pStyle w:val="1027"/>
        <w:ind w:firstLine="480"/>
        <w:spacing w:before="120" w:after="120" w:line="400" w:lineRule="exact"/>
        <w:rPr>
          <w:b w:val="0"/>
          <w:bCs w:val="0"/>
          <w:color w:val="000000"/>
          <w:sz w:val="24"/>
          <w:szCs w:val="24"/>
          <w:highlight w:val="none"/>
        </w:rPr>
      </w:pPr>
      <w:r>
        <w:rPr>
          <w:b w:val="0"/>
          <w:bCs w:val="0"/>
          <w:color w:val="000000"/>
          <w:sz w:val="24"/>
          <w:szCs w:val="24"/>
          <w:highlight w:val="none"/>
        </w:rPr>
      </w:r>
      <w:r/>
    </w:p>
    <w:p>
      <w:pPr>
        <w:pStyle w:val="1027"/>
        <w:ind w:firstLine="5040"/>
        <w:spacing w:before="120" w:after="120" w:line="400" w:lineRule="exact"/>
        <w:rPr>
          <w:rFonts w:hint="eastAsia"/>
          <w:b w:val="0"/>
          <w:bCs w:val="0"/>
          <w:color w:val="000000"/>
          <w:sz w:val="24"/>
          <w:szCs w:val="24"/>
          <w:highlight w:val="none"/>
        </w:rPr>
      </w:pPr>
      <w:r>
        <w:rPr>
          <w:rFonts w:hint="eastAsia"/>
          <w:b w:val="0"/>
          <w:bCs w:val="0"/>
          <w:color w:val="000000"/>
          <w:sz w:val="24"/>
          <w:szCs w:val="24"/>
          <w:highlight w:val="none"/>
        </w:rPr>
        <w:t xml:space="preserve">法定代表人签名：</w:t>
      </w:r>
      <w:r>
        <w:rPr>
          <w:rFonts w:hint="eastAsia"/>
          <w:b w:val="0"/>
          <w:bCs w:val="0"/>
          <w:color w:val="000000"/>
          <w:sz w:val="24"/>
          <w:szCs w:val="24"/>
          <w:highlight w:val="none"/>
        </w:rPr>
      </w:r>
      <w:r/>
    </w:p>
    <w:p>
      <w:pPr>
        <w:pStyle w:val="1027"/>
        <w:ind w:firstLine="5040"/>
        <w:spacing w:before="120" w:after="120" w:line="400" w:lineRule="exact"/>
        <w:rPr>
          <w:rFonts w:hint="eastAsia"/>
          <w:b w:val="0"/>
          <w:bCs w:val="0"/>
          <w:color w:val="000000"/>
          <w:sz w:val="24"/>
          <w:szCs w:val="24"/>
          <w:highlight w:val="none"/>
        </w:rPr>
      </w:pPr>
      <w:r>
        <w:rPr>
          <w:rFonts w:hint="eastAsia"/>
          <w:b w:val="0"/>
          <w:bCs w:val="0"/>
          <w:color w:val="000000"/>
          <w:sz w:val="24"/>
          <w:szCs w:val="24"/>
          <w:highlight w:val="none"/>
        </w:rPr>
        <w:t xml:space="preserve">单位名称（盖章）：</w:t>
      </w:r>
      <w:r>
        <w:rPr>
          <w:rFonts w:hint="eastAsia"/>
          <w:b w:val="0"/>
          <w:bCs w:val="0"/>
          <w:color w:val="000000"/>
          <w:sz w:val="24"/>
          <w:szCs w:val="24"/>
          <w:highlight w:val="none"/>
        </w:rPr>
      </w:r>
      <w:r/>
    </w:p>
    <w:p>
      <w:pPr>
        <w:pStyle w:val="1027"/>
        <w:ind w:firstLine="5520"/>
        <w:spacing w:before="120" w:after="120" w:line="400" w:lineRule="exact"/>
        <w:rPr>
          <w:rFonts w:hint="eastAsia"/>
          <w:b w:val="0"/>
          <w:bCs w:val="0"/>
          <w:color w:val="000000"/>
          <w:sz w:val="24"/>
          <w:szCs w:val="24"/>
          <w:highlight w:val="none"/>
        </w:rPr>
      </w:pPr>
      <w:r>
        <w:rPr>
          <w:rFonts w:hint="eastAsia"/>
          <w:b w:val="0"/>
          <w:bCs w:val="0"/>
          <w:color w:val="000000"/>
          <w:sz w:val="24"/>
          <w:szCs w:val="24"/>
          <w:highlight w:val="none"/>
        </w:rPr>
        <w:t xml:space="preserve">年   月   日</w:t>
      </w:r>
      <w:r>
        <w:rPr>
          <w:rFonts w:hint="eastAsia"/>
          <w:b w:val="0"/>
          <w:bCs w:val="0"/>
          <w:color w:val="000000"/>
          <w:sz w:val="24"/>
          <w:szCs w:val="24"/>
          <w:highlight w:val="none"/>
        </w:rPr>
      </w:r>
      <w:r/>
    </w:p>
    <w:p>
      <w:pPr>
        <w:pStyle w:val="1085"/>
        <w:rPr>
          <w:rFonts w:hint="eastAsia"/>
          <w:color w:val="000000"/>
          <w:highlight w:val="none"/>
        </w:rPr>
      </w:pPr>
      <w:r>
        <w:rPr>
          <w:rFonts w:hint="eastAsia"/>
          <w:color w:val="000000"/>
          <w:highlight w:val="none"/>
        </w:rPr>
      </w:r>
      <w:r/>
    </w:p>
    <w:p>
      <w:pPr>
        <w:pStyle w:val="1024"/>
        <w:jc w:val="left"/>
        <w:spacing w:line="500" w:lineRule="exact"/>
        <w:widowControl/>
        <w:rPr>
          <w:rFonts w:ascii="黑体" w:eastAsia="黑体"/>
          <w:color w:val="000000"/>
          <w:sz w:val="32"/>
          <w:szCs w:val="32"/>
          <w:highlight w:val="none"/>
        </w:rPr>
      </w:pPr>
      <w:r>
        <w:rPr>
          <w:rFonts w:ascii="黑体" w:eastAsia="黑体"/>
          <w:color w:val="000000"/>
          <w:sz w:val="32"/>
          <w:szCs w:val="32"/>
          <w:highlight w:val="none"/>
        </w:rPr>
      </w:r>
      <w:r/>
    </w:p>
    <w:p>
      <w:pPr>
        <w:pStyle w:val="1024"/>
        <w:jc w:val="center"/>
        <w:spacing w:line="360" w:lineRule="auto"/>
        <w:widowControl/>
        <w:rPr>
          <w:color w:val="000000"/>
          <w:sz w:val="32"/>
          <w:szCs w:val="32"/>
          <w:highlight w:val="none"/>
        </w:rPr>
      </w:pPr>
      <w:r/>
      <w:bookmarkEnd w:id="178"/>
      <w:r/>
      <w:bookmarkEnd w:id="181"/>
      <w:r>
        <w:rPr>
          <w:b/>
          <w:bCs/>
          <w:color w:val="000000"/>
          <w:sz w:val="30"/>
          <w:szCs w:val="30"/>
          <w:highlight w:val="none"/>
        </w:rPr>
        <w:br w:type="page" w:clear="all"/>
      </w:r>
      <w:r>
        <w:rPr>
          <w:rFonts w:hint="eastAsia"/>
          <w:b/>
          <w:bCs/>
          <w:color w:val="000000"/>
          <w:sz w:val="30"/>
          <w:szCs w:val="30"/>
          <w:highlight w:val="none"/>
        </w:rPr>
        <w:t xml:space="preserve">十七、</w:t>
      </w:r>
      <w:r>
        <w:rPr>
          <w:rFonts w:hint="eastAsia" w:ascii="宋体" w:hAnsi="宋体" w:cs="宋体"/>
          <w:b/>
          <w:bCs/>
          <w:color w:val="000000"/>
          <w:sz w:val="32"/>
          <w:szCs w:val="32"/>
          <w:highlight w:val="none"/>
        </w:rPr>
        <w:t xml:space="preserve">异常低价说明函</w:t>
      </w:r>
      <w:r>
        <w:rPr>
          <w:color w:val="000000"/>
          <w:sz w:val="32"/>
          <w:szCs w:val="32"/>
          <w:highlight w:val="none"/>
        </w:rPr>
      </w:r>
      <w:r/>
    </w:p>
    <w:p>
      <w:pPr>
        <w:pStyle w:val="1024"/>
        <w:ind w:firstLine="480"/>
        <w:rPr>
          <w:rFonts w:ascii="宋体" w:hAnsi="宋体" w:cs="宋体"/>
          <w:color w:val="000000"/>
          <w:sz w:val="24"/>
          <w:highlight w:val="none"/>
          <w:u w:val="single"/>
        </w:rPr>
      </w:pPr>
      <w:r>
        <w:rPr>
          <w:rStyle w:val="1134"/>
          <w:rFonts w:hAnsi="宋体"/>
          <w:bCs/>
          <w:color w:val="000000"/>
          <w:sz w:val="24"/>
          <w:szCs w:val="24"/>
          <w:highlight w:val="none"/>
        </w:rPr>
        <w:t xml:space="preserve">（提供项目具体成本测算与报价合理性相关的书面说明及相关证明材料，对投标（响应）价格作出解释</w:t>
      </w:r>
      <w:r>
        <w:rPr>
          <w:rFonts w:hint="eastAsia" w:ascii="宋体" w:hAnsi="宋体" w:cs="宋体"/>
          <w:color w:val="000000"/>
          <w:sz w:val="24"/>
          <w:highlight w:val="none"/>
        </w:rPr>
        <w:t xml:space="preserve">。</w:t>
      </w:r>
      <w:r>
        <w:rPr>
          <w:rStyle w:val="1134"/>
          <w:rFonts w:hAnsi="宋体"/>
          <w:bCs/>
          <w:color w:val="000000"/>
          <w:sz w:val="24"/>
          <w:szCs w:val="24"/>
          <w:highlight w:val="none"/>
        </w:rPr>
        <w:t xml:space="preserve">）</w:t>
      </w:r>
      <w:r>
        <w:rPr>
          <w:rFonts w:ascii="宋体" w:hAnsi="宋体" w:cs="宋体"/>
          <w:color w:val="000000"/>
          <w:sz w:val="24"/>
          <w:highlight w:val="none"/>
          <w:u w:val="single"/>
        </w:rPr>
      </w:r>
      <w:r/>
    </w:p>
    <w:p>
      <w:pPr>
        <w:pStyle w:val="1024"/>
        <w:ind w:firstLine="480"/>
        <w:jc w:val="right"/>
        <w:rPr>
          <w:rFonts w:ascii="宋体" w:hAnsi="宋体" w:cs="宋体"/>
          <w:color w:val="000000"/>
          <w:sz w:val="24"/>
          <w:szCs w:val="24"/>
          <w:highlight w:val="none"/>
        </w:rPr>
      </w:pPr>
      <w:r>
        <w:rPr>
          <w:rFonts w:ascii="宋体" w:hAnsi="宋体" w:cs="宋体"/>
          <w:color w:val="000000"/>
          <w:sz w:val="24"/>
          <w:szCs w:val="24"/>
          <w:highlight w:val="none"/>
        </w:rPr>
      </w:r>
      <w:r/>
    </w:p>
    <w:p>
      <w:pPr>
        <w:pStyle w:val="1024"/>
        <w:ind w:firstLine="480"/>
        <w:jc w:val="right"/>
        <w:rPr>
          <w:rFonts w:ascii="宋体" w:hAnsi="宋体" w:cs="宋体"/>
          <w:color w:val="000000"/>
          <w:sz w:val="24"/>
          <w:szCs w:val="24"/>
          <w:highlight w:val="none"/>
        </w:rPr>
      </w:pPr>
      <w:r>
        <w:rPr>
          <w:rFonts w:ascii="宋体" w:hAnsi="宋体" w:cs="宋体"/>
          <w:color w:val="000000"/>
          <w:sz w:val="24"/>
          <w:szCs w:val="24"/>
          <w:highlight w:val="none"/>
        </w:rPr>
      </w:r>
      <w:r/>
    </w:p>
    <w:p>
      <w:pPr>
        <w:pStyle w:val="1024"/>
        <w:ind w:firstLine="480"/>
        <w:jc w:val="right"/>
        <w:rPr>
          <w:rFonts w:ascii="宋体" w:hAnsi="宋体" w:cs="宋体"/>
          <w:color w:val="000000"/>
          <w:sz w:val="24"/>
          <w:highlight w:val="none"/>
        </w:rPr>
      </w:pPr>
      <w:r>
        <w:rPr>
          <w:rFonts w:hint="eastAsia" w:ascii="宋体" w:hAnsi="宋体" w:cs="宋体"/>
          <w:color w:val="000000"/>
          <w:sz w:val="24"/>
          <w:szCs w:val="24"/>
          <w:highlight w:val="none"/>
        </w:rPr>
        <w:t xml:space="preserve">单位名称（盖章）：</w:t>
      </w:r>
      <w:r>
        <w:rPr>
          <w:rFonts w:ascii="宋体" w:hAnsi="宋体" w:cs="宋体"/>
          <w:color w:val="000000"/>
          <w:sz w:val="24"/>
          <w:highlight w:val="none"/>
        </w:rPr>
      </w:r>
      <w:r/>
    </w:p>
    <w:p>
      <w:pPr>
        <w:pStyle w:val="1024"/>
        <w:ind w:firstLine="5520"/>
        <w:jc w:val="left"/>
        <w:spacing w:line="360" w:lineRule="auto"/>
        <w:widowControl/>
        <w:rPr>
          <w:rFonts w:ascii="宋体" w:hAnsi="宋体" w:cs="宋体"/>
          <w:color w:val="000000"/>
          <w:sz w:val="24"/>
          <w:szCs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szCs w:val="24"/>
          <w:highlight w:val="none"/>
        </w:rPr>
        <w:t xml:space="preserve">法定代表人签名：</w:t>
      </w:r>
      <w:r>
        <w:rPr>
          <w:rFonts w:ascii="宋体" w:hAnsi="宋体" w:cs="宋体"/>
          <w:color w:val="000000"/>
          <w:sz w:val="24"/>
          <w:szCs w:val="24"/>
          <w:highlight w:val="none"/>
        </w:rPr>
      </w:r>
      <w:r/>
    </w:p>
    <w:p>
      <w:pPr>
        <w:pStyle w:val="1024"/>
        <w:jc w:val="center"/>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p>
      <w:pPr>
        <w:pStyle w:val="1024"/>
        <w:jc w:val="center"/>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                       年  月   日</w:t>
      </w:r>
      <w:r>
        <w:rPr>
          <w:rFonts w:ascii="宋体" w:hAnsi="宋体" w:cs="宋体"/>
          <w:color w:val="000000"/>
          <w:sz w:val="24"/>
          <w:szCs w:val="24"/>
          <w:highlight w:val="none"/>
        </w:rPr>
      </w:r>
      <w:r/>
    </w:p>
    <w:p>
      <w:pPr>
        <w:pStyle w:val="1024"/>
        <w:jc w:val="center"/>
        <w:spacing w:before="50" w:after="50" w:line="380" w:lineRule="exact"/>
        <w:rPr>
          <w:rFonts w:hint="eastAsia"/>
          <w:color w:val="000000"/>
          <w:szCs w:val="28"/>
          <w:highlight w:val="none"/>
        </w:rPr>
      </w:pPr>
      <w:r>
        <w:rPr>
          <w:rFonts w:hint="eastAsia"/>
          <w:b/>
          <w:bCs/>
          <w:color w:val="000000"/>
          <w:sz w:val="30"/>
          <w:szCs w:val="30"/>
          <w:highlight w:val="none"/>
        </w:rPr>
        <w:br w:type="page" w:clear="all"/>
      </w:r>
      <w:r>
        <w:rPr>
          <w:rFonts w:hint="eastAsia"/>
          <w:b/>
          <w:bCs/>
          <w:color w:val="000000"/>
          <w:sz w:val="30"/>
          <w:szCs w:val="30"/>
          <w:highlight w:val="none"/>
        </w:rPr>
        <w:t xml:space="preserve">质疑函范本</w:t>
      </w:r>
      <w:r>
        <w:rPr>
          <w:rFonts w:hint="eastAsia"/>
          <w:color w:val="000000"/>
          <w:szCs w:val="28"/>
          <w:highlight w:val="none"/>
        </w:rPr>
      </w:r>
      <w:r/>
    </w:p>
    <w:p>
      <w:pPr>
        <w:pStyle w:val="1072"/>
        <w:jc w:val="both"/>
        <w:spacing w:before="290" w:beforeAutospacing="0" w:afterAutospacing="0" w:line="380" w:lineRule="exact"/>
        <w:rPr>
          <w:rFonts w:hint="eastAsia"/>
          <w:b/>
          <w:bCs/>
          <w:color w:val="000000"/>
          <w:highlight w:val="none"/>
        </w:rPr>
      </w:pPr>
      <w:r>
        <w:rPr>
          <w:rFonts w:hint="eastAsia"/>
          <w:bCs/>
          <w:color w:val="000000"/>
          <w:highlight w:val="none"/>
        </w:rPr>
        <w:t xml:space="preserve">一、质疑供应商基本信息</w:t>
      </w:r>
      <w:r>
        <w:rPr>
          <w:rFonts w:hint="eastAsia"/>
          <w:b/>
          <w:bCs/>
          <w:color w:val="000000"/>
          <w:highlight w:val="none"/>
        </w:rPr>
      </w:r>
      <w:r/>
    </w:p>
    <w:p>
      <w:pPr>
        <w:pStyle w:val="1072"/>
        <w:jc w:val="both"/>
        <w:spacing w:beforeAutospacing="0" w:afterAutospacing="0" w:line="380" w:lineRule="exact"/>
        <w:rPr>
          <w:rFonts w:hint="eastAsia"/>
          <w:b/>
          <w:bCs/>
          <w:color w:val="000000"/>
          <w:highlight w:val="none"/>
        </w:rPr>
      </w:pPr>
      <w:r>
        <w:rPr>
          <w:rFonts w:hint="eastAsia"/>
          <w:bCs/>
          <w:color w:val="000000"/>
          <w:highlight w:val="none"/>
        </w:rPr>
        <w:t xml:space="preserve">质疑供应商：</w:t>
      </w:r>
      <w:r>
        <w:rPr>
          <w:rFonts w:hint="eastAsia"/>
          <w:bCs/>
          <w:color w:val="000000"/>
          <w:highlight w:val="none"/>
          <w:u w:val="single"/>
        </w:rPr>
        <w:t xml:space="preserve">                    </w:t>
      </w:r>
      <w:r>
        <w:rPr>
          <w:rFonts w:hint="eastAsia"/>
          <w:bCs/>
          <w:color w:val="000000"/>
          <w:highlight w:val="none"/>
          <w:u w:val="single"/>
        </w:rPr>
        <w:tab/>
      </w:r>
      <w:r>
        <w:rPr>
          <w:rFonts w:hint="eastAsia"/>
          <w:bCs/>
          <w:color w:val="000000"/>
          <w:highlight w:val="none"/>
          <w:u w:val="single"/>
        </w:rPr>
        <w:t xml:space="preserve">         </w:t>
      </w:r>
      <w:r>
        <w:rPr>
          <w:rFonts w:hint="eastAsia"/>
          <w:bCs/>
          <w:color w:val="000000"/>
          <w:highlight w:val="none"/>
          <w:u w:val="single"/>
        </w:rPr>
        <w:tab/>
      </w:r>
      <w:r>
        <w:rPr>
          <w:rFonts w:hint="eastAsia"/>
          <w:b/>
          <w:bCs/>
          <w:color w:val="000000"/>
          <w:highlight w:val="none"/>
        </w:rPr>
      </w:r>
      <w:r/>
    </w:p>
    <w:p>
      <w:pPr>
        <w:pStyle w:val="1072"/>
        <w:jc w:val="both"/>
        <w:spacing w:beforeAutospacing="0" w:afterAutospacing="0" w:line="380" w:lineRule="exact"/>
        <w:rPr>
          <w:rFonts w:hint="eastAsia"/>
          <w:b/>
          <w:bCs/>
          <w:color w:val="000000"/>
          <w:highlight w:val="none"/>
          <w:u w:val="single"/>
        </w:rPr>
      </w:pPr>
      <w:r>
        <w:rPr>
          <w:rFonts w:hint="eastAsia"/>
          <w:bCs/>
          <w:color w:val="000000"/>
          <w:highlight w:val="none"/>
        </w:rPr>
        <w:t xml:space="preserve">地址：</w:t>
      </w:r>
      <w:r>
        <w:rPr>
          <w:rFonts w:hint="eastAsia"/>
          <w:bCs/>
          <w:color w:val="000000"/>
          <w:highlight w:val="none"/>
          <w:u w:val="single"/>
        </w:rPr>
        <w:t xml:space="preserve">                      </w:t>
      </w:r>
      <w:r>
        <w:rPr>
          <w:rFonts w:hint="eastAsia"/>
          <w:bCs/>
          <w:color w:val="000000"/>
          <w:highlight w:val="none"/>
          <w:u w:val="single"/>
        </w:rPr>
        <w:tab/>
      </w:r>
      <w:r>
        <w:rPr>
          <w:rFonts w:hint="eastAsia"/>
          <w:bCs/>
          <w:color w:val="000000"/>
          <w:highlight w:val="none"/>
          <w:u w:val="single"/>
        </w:rPr>
        <w:tab/>
      </w:r>
      <w:r>
        <w:rPr>
          <w:rFonts w:hint="eastAsia"/>
          <w:bCs/>
          <w:color w:val="000000"/>
          <w:highlight w:val="none"/>
          <w:u w:val="single"/>
        </w:rPr>
        <w:t xml:space="preserve">        </w:t>
      </w:r>
      <w:r>
        <w:rPr>
          <w:rFonts w:hint="eastAsia"/>
          <w:bCs/>
          <w:color w:val="000000"/>
          <w:highlight w:val="none"/>
          <w:u w:val="single"/>
        </w:rPr>
        <w:tab/>
      </w:r>
      <w:r>
        <w:rPr>
          <w:rFonts w:hint="eastAsia"/>
          <w:b/>
          <w:bCs/>
          <w:color w:val="000000"/>
          <w:highlight w:val="none"/>
          <w:u w:val="single"/>
        </w:rPr>
      </w:r>
      <w:r/>
    </w:p>
    <w:p>
      <w:pPr>
        <w:pStyle w:val="1072"/>
        <w:jc w:val="both"/>
        <w:spacing w:beforeAutospacing="0" w:afterAutospacing="0" w:line="380" w:lineRule="exact"/>
        <w:rPr>
          <w:rFonts w:hint="eastAsia"/>
          <w:b/>
          <w:bCs/>
          <w:color w:val="000000"/>
          <w:highlight w:val="none"/>
        </w:rPr>
      </w:pPr>
      <w:r>
        <w:rPr>
          <w:rFonts w:hint="eastAsia"/>
          <w:bCs/>
          <w:color w:val="000000"/>
          <w:highlight w:val="none"/>
        </w:rPr>
        <w:t xml:space="preserve">邮编：</w:t>
      </w:r>
      <w:r>
        <w:rPr>
          <w:rFonts w:hint="eastAsia"/>
          <w:bCs/>
          <w:color w:val="000000"/>
          <w:highlight w:val="none"/>
          <w:u w:val="single"/>
        </w:rPr>
        <w:t xml:space="preserve">                                   </w:t>
      </w:r>
      <w:r>
        <w:rPr>
          <w:rFonts w:hint="eastAsia"/>
          <w:b/>
          <w:bCs/>
          <w:color w:val="000000"/>
          <w:highlight w:val="none"/>
        </w:rPr>
      </w:r>
      <w:r/>
    </w:p>
    <w:p>
      <w:pPr>
        <w:pStyle w:val="1072"/>
        <w:jc w:val="both"/>
        <w:spacing w:beforeAutospacing="0" w:afterAutospacing="0" w:line="380" w:lineRule="exact"/>
        <w:rPr>
          <w:rFonts w:hint="eastAsia"/>
          <w:b/>
          <w:bCs/>
          <w:color w:val="000000"/>
          <w:highlight w:val="none"/>
          <w:u w:val="single"/>
        </w:rPr>
      </w:pPr>
      <w:r>
        <w:rPr>
          <w:rFonts w:hint="eastAsia"/>
          <w:bCs/>
          <w:color w:val="000000"/>
          <w:highlight w:val="none"/>
        </w:rPr>
        <w:t xml:space="preserve">联系人：</w:t>
      </w:r>
      <w:r>
        <w:rPr>
          <w:rFonts w:hint="eastAsia"/>
          <w:bCs/>
          <w:color w:val="000000"/>
          <w:highlight w:val="none"/>
          <w:u w:val="single"/>
        </w:rPr>
        <w:t xml:space="preserve">               </w:t>
      </w:r>
      <w:r>
        <w:rPr>
          <w:rFonts w:hint="eastAsia"/>
          <w:bCs/>
          <w:color w:val="000000"/>
          <w:highlight w:val="none"/>
          <w:u w:val="single"/>
        </w:rPr>
        <w:tab/>
      </w:r>
      <w:r>
        <w:rPr>
          <w:rFonts w:hint="eastAsia"/>
          <w:bCs/>
          <w:color w:val="000000"/>
          <w:highlight w:val="none"/>
          <w:u w:val="single"/>
        </w:rPr>
        <w:tab/>
      </w:r>
      <w:r>
        <w:rPr>
          <w:rFonts w:hint="eastAsia"/>
          <w:bCs/>
          <w:color w:val="000000"/>
          <w:highlight w:val="none"/>
          <w:u w:val="single"/>
        </w:rPr>
        <w:tab/>
      </w:r>
      <w:r>
        <w:rPr>
          <w:rFonts w:hint="eastAsia"/>
          <w:bCs/>
          <w:color w:val="000000"/>
          <w:highlight w:val="none"/>
          <w:u w:val="single"/>
        </w:rPr>
        <w:tab/>
      </w:r>
      <w:r>
        <w:rPr>
          <w:rFonts w:hint="eastAsia"/>
          <w:bCs/>
          <w:color w:val="000000"/>
          <w:highlight w:val="none"/>
          <w:u w:val="single"/>
        </w:rPr>
        <w:tab/>
      </w:r>
      <w:r>
        <w:rPr>
          <w:rFonts w:hint="eastAsia"/>
          <w:bCs/>
          <w:color w:val="000000"/>
          <w:highlight w:val="none"/>
          <w:u w:val="single"/>
        </w:rPr>
        <w:t xml:space="preserve">        </w:t>
      </w:r>
      <w:r>
        <w:rPr>
          <w:rFonts w:hint="eastAsia"/>
          <w:b/>
          <w:bCs/>
          <w:color w:val="000000"/>
          <w:highlight w:val="none"/>
          <w:u w:val="single"/>
        </w:rPr>
      </w:r>
      <w:r/>
    </w:p>
    <w:p>
      <w:pPr>
        <w:pStyle w:val="1072"/>
        <w:jc w:val="both"/>
        <w:spacing w:beforeAutospacing="0" w:afterAutospacing="0" w:line="380" w:lineRule="exact"/>
        <w:rPr>
          <w:rFonts w:hint="eastAsia"/>
          <w:b/>
          <w:bCs/>
          <w:color w:val="000000"/>
          <w:highlight w:val="none"/>
        </w:rPr>
      </w:pPr>
      <w:r>
        <w:rPr>
          <w:rFonts w:hint="eastAsia"/>
          <w:bCs/>
          <w:color w:val="000000"/>
          <w:highlight w:val="none"/>
        </w:rPr>
        <w:t xml:space="preserve">联系电话：</w:t>
      </w:r>
      <w:r>
        <w:rPr>
          <w:rFonts w:hint="eastAsia"/>
          <w:bCs/>
          <w:color w:val="000000"/>
          <w:highlight w:val="none"/>
          <w:u w:val="single"/>
        </w:rPr>
        <w:t xml:space="preserve">                                     </w:t>
      </w:r>
      <w:r>
        <w:rPr>
          <w:rFonts w:hint="eastAsia"/>
          <w:b/>
          <w:bCs/>
          <w:color w:val="000000"/>
          <w:highlight w:val="none"/>
        </w:rPr>
      </w:r>
      <w:r/>
    </w:p>
    <w:p>
      <w:pPr>
        <w:pStyle w:val="1072"/>
        <w:jc w:val="both"/>
        <w:spacing w:beforeAutospacing="0" w:afterAutospacing="0" w:line="380" w:lineRule="exact"/>
        <w:rPr>
          <w:rFonts w:hint="eastAsia"/>
          <w:b/>
          <w:bCs/>
          <w:color w:val="000000"/>
          <w:highlight w:val="none"/>
        </w:rPr>
      </w:pPr>
      <w:r>
        <w:rPr>
          <w:rFonts w:hint="eastAsia"/>
          <w:bCs/>
          <w:color w:val="000000"/>
          <w:highlight w:val="none"/>
        </w:rPr>
        <w:t xml:space="preserve">授权代表：</w:t>
      </w:r>
      <w:r>
        <w:rPr>
          <w:rFonts w:hint="eastAsia"/>
          <w:bCs/>
          <w:color w:val="000000"/>
          <w:highlight w:val="none"/>
          <w:u w:val="single"/>
        </w:rPr>
        <w:t xml:space="preserve">                 </w:t>
      </w:r>
      <w:r>
        <w:rPr>
          <w:rFonts w:hint="eastAsia"/>
          <w:bCs/>
          <w:color w:val="000000"/>
          <w:highlight w:val="none"/>
          <w:u w:val="single"/>
        </w:rPr>
        <w:tab/>
      </w:r>
      <w:r>
        <w:rPr>
          <w:rFonts w:hint="eastAsia"/>
          <w:bCs/>
          <w:color w:val="000000"/>
          <w:highlight w:val="none"/>
          <w:u w:val="single"/>
        </w:rPr>
        <w:tab/>
      </w:r>
      <w:r>
        <w:rPr>
          <w:rFonts w:hint="eastAsia"/>
          <w:bCs/>
          <w:color w:val="000000"/>
          <w:highlight w:val="none"/>
          <w:u w:val="single"/>
        </w:rPr>
        <w:tab/>
      </w:r>
      <w:r>
        <w:rPr>
          <w:rFonts w:hint="eastAsia"/>
          <w:bCs/>
          <w:color w:val="000000"/>
          <w:highlight w:val="none"/>
          <w:u w:val="single"/>
        </w:rPr>
        <w:t xml:space="preserve">    </w:t>
      </w:r>
      <w:r>
        <w:rPr>
          <w:rFonts w:hint="eastAsia"/>
          <w:bCs/>
          <w:color w:val="000000"/>
          <w:highlight w:val="none"/>
          <w:u w:val="single"/>
        </w:rPr>
        <w:tab/>
      </w:r>
      <w:r>
        <w:rPr>
          <w:rFonts w:hint="eastAsia"/>
          <w:bCs/>
          <w:color w:val="000000"/>
          <w:highlight w:val="none"/>
          <w:u w:val="single"/>
        </w:rPr>
        <w:t xml:space="preserve"> </w:t>
      </w:r>
      <w:r>
        <w:rPr>
          <w:rFonts w:hint="eastAsia"/>
          <w:b/>
          <w:bCs/>
          <w:color w:val="000000"/>
          <w:highlight w:val="none"/>
        </w:rPr>
      </w:r>
      <w:r/>
    </w:p>
    <w:p>
      <w:pPr>
        <w:pStyle w:val="1072"/>
        <w:jc w:val="both"/>
        <w:spacing w:beforeAutospacing="0" w:afterAutospacing="0" w:line="380" w:lineRule="exact"/>
        <w:rPr>
          <w:rFonts w:hint="eastAsia"/>
          <w:b/>
          <w:bCs/>
          <w:color w:val="000000"/>
          <w:highlight w:val="none"/>
        </w:rPr>
      </w:pPr>
      <w:r>
        <w:rPr>
          <w:rFonts w:hint="eastAsia"/>
          <w:bCs/>
          <w:color w:val="000000"/>
          <w:highlight w:val="none"/>
        </w:rPr>
        <w:t xml:space="preserve">联系电话：</w:t>
      </w:r>
      <w:r>
        <w:rPr>
          <w:rFonts w:hint="eastAsia"/>
          <w:bCs/>
          <w:color w:val="000000"/>
          <w:highlight w:val="none"/>
          <w:u w:val="single"/>
        </w:rPr>
        <w:t xml:space="preserve">                  </w:t>
      </w:r>
      <w:r>
        <w:rPr>
          <w:rFonts w:hint="eastAsia"/>
          <w:bCs/>
          <w:color w:val="000000"/>
          <w:highlight w:val="none"/>
          <w:u w:val="single"/>
        </w:rPr>
        <w:tab/>
      </w:r>
      <w:r>
        <w:rPr>
          <w:rFonts w:hint="eastAsia"/>
          <w:bCs/>
          <w:color w:val="000000"/>
          <w:highlight w:val="none"/>
          <w:u w:val="single"/>
        </w:rPr>
        <w:tab/>
      </w:r>
      <w:r>
        <w:rPr>
          <w:rFonts w:hint="eastAsia"/>
          <w:bCs/>
          <w:color w:val="000000"/>
          <w:highlight w:val="none"/>
          <w:u w:val="single"/>
        </w:rPr>
        <w:tab/>
      </w:r>
      <w:r>
        <w:rPr>
          <w:rFonts w:hint="eastAsia"/>
          <w:bCs/>
          <w:color w:val="000000"/>
          <w:highlight w:val="none"/>
          <w:u w:val="single"/>
        </w:rPr>
        <w:t xml:space="preserve">        </w:t>
      </w:r>
      <w:r>
        <w:rPr>
          <w:rFonts w:hint="eastAsia"/>
          <w:b/>
          <w:bCs/>
          <w:color w:val="000000"/>
          <w:highlight w:val="none"/>
        </w:rPr>
      </w:r>
      <w:r/>
    </w:p>
    <w:p>
      <w:pPr>
        <w:pStyle w:val="1072"/>
        <w:jc w:val="both"/>
        <w:spacing w:beforeAutospacing="0" w:afterAutospacing="0" w:line="380" w:lineRule="exact"/>
        <w:rPr>
          <w:rFonts w:hint="eastAsia"/>
          <w:b/>
          <w:bCs/>
          <w:color w:val="000000"/>
          <w:highlight w:val="none"/>
          <w:u w:val="single"/>
        </w:rPr>
      </w:pPr>
      <w:r>
        <w:rPr>
          <w:rFonts w:hint="eastAsia"/>
          <w:bCs/>
          <w:color w:val="000000"/>
          <w:highlight w:val="none"/>
        </w:rPr>
        <w:t xml:space="preserve">地址： </w:t>
      </w:r>
      <w:r>
        <w:rPr>
          <w:rFonts w:hint="eastAsia"/>
          <w:bCs/>
          <w:color w:val="000000"/>
          <w:highlight w:val="none"/>
          <w:u w:val="single"/>
        </w:rPr>
        <w:t xml:space="preserve">                  </w:t>
      </w:r>
      <w:r>
        <w:rPr>
          <w:rFonts w:hint="eastAsia"/>
          <w:bCs/>
          <w:color w:val="000000"/>
          <w:highlight w:val="none"/>
          <w:u w:val="single"/>
        </w:rPr>
        <w:tab/>
      </w:r>
      <w:r>
        <w:rPr>
          <w:rFonts w:hint="eastAsia"/>
          <w:bCs/>
          <w:color w:val="000000"/>
          <w:highlight w:val="none"/>
          <w:u w:val="single"/>
        </w:rPr>
        <w:tab/>
      </w:r>
      <w:r>
        <w:rPr>
          <w:rFonts w:hint="eastAsia"/>
          <w:bCs/>
          <w:color w:val="000000"/>
          <w:highlight w:val="none"/>
          <w:u w:val="single"/>
        </w:rPr>
        <w:tab/>
      </w:r>
      <w:r>
        <w:rPr>
          <w:rFonts w:hint="eastAsia"/>
          <w:bCs/>
          <w:color w:val="000000"/>
          <w:highlight w:val="none"/>
          <w:u w:val="single"/>
        </w:rPr>
        <w:tab/>
      </w:r>
      <w:r>
        <w:rPr>
          <w:rFonts w:hint="eastAsia"/>
          <w:bCs/>
          <w:color w:val="000000"/>
          <w:highlight w:val="none"/>
          <w:u w:val="single"/>
        </w:rPr>
        <w:t xml:space="preserve">        </w:t>
      </w:r>
      <w:r>
        <w:rPr>
          <w:rFonts w:hint="eastAsia"/>
          <w:b/>
          <w:bCs/>
          <w:color w:val="000000"/>
          <w:highlight w:val="none"/>
          <w:u w:val="single"/>
        </w:rPr>
      </w:r>
      <w:r/>
    </w:p>
    <w:p>
      <w:pPr>
        <w:pStyle w:val="1072"/>
        <w:jc w:val="both"/>
        <w:spacing w:beforeAutospacing="0" w:afterAutospacing="0" w:line="380" w:lineRule="exact"/>
        <w:rPr>
          <w:rFonts w:hint="eastAsia"/>
          <w:b/>
          <w:bCs/>
          <w:color w:val="000000"/>
          <w:highlight w:val="none"/>
        </w:rPr>
      </w:pPr>
      <w:r>
        <w:rPr>
          <w:rFonts w:hint="eastAsia"/>
          <w:bCs/>
          <w:color w:val="000000"/>
          <w:highlight w:val="none"/>
        </w:rPr>
        <w:t xml:space="preserve">邮编：</w:t>
      </w:r>
      <w:r>
        <w:rPr>
          <w:rFonts w:hint="eastAsia"/>
          <w:bCs/>
          <w:color w:val="000000"/>
          <w:highlight w:val="none"/>
          <w:u w:val="single"/>
        </w:rPr>
        <w:t xml:space="preserve">                                   </w:t>
      </w:r>
      <w:r>
        <w:rPr>
          <w:rFonts w:hint="eastAsia"/>
          <w:b/>
          <w:bCs/>
          <w:color w:val="000000"/>
          <w:highlight w:val="none"/>
        </w:rPr>
      </w:r>
      <w:r/>
    </w:p>
    <w:p>
      <w:pPr>
        <w:pStyle w:val="1072"/>
        <w:jc w:val="both"/>
        <w:spacing w:beforeAutospacing="0" w:afterAutospacing="0" w:line="380" w:lineRule="exact"/>
        <w:rPr>
          <w:rFonts w:hint="eastAsia"/>
          <w:b/>
          <w:bCs/>
          <w:color w:val="000000"/>
          <w:highlight w:val="none"/>
        </w:rPr>
      </w:pPr>
      <w:r>
        <w:rPr>
          <w:rFonts w:hint="eastAsia"/>
          <w:bCs/>
          <w:color w:val="000000"/>
          <w:highlight w:val="none"/>
        </w:rPr>
        <w:t xml:space="preserve">二、质疑项目基本情况</w:t>
      </w:r>
      <w:r>
        <w:rPr>
          <w:rFonts w:hint="eastAsia"/>
          <w:b/>
          <w:bCs/>
          <w:color w:val="000000"/>
          <w:highlight w:val="none"/>
        </w:rPr>
      </w:r>
      <w:r/>
    </w:p>
    <w:p>
      <w:pPr>
        <w:pStyle w:val="1072"/>
        <w:jc w:val="both"/>
        <w:spacing w:beforeAutospacing="0" w:afterAutospacing="0" w:line="380" w:lineRule="exact"/>
        <w:rPr>
          <w:rFonts w:hint="eastAsia"/>
          <w:b/>
          <w:bCs/>
          <w:color w:val="000000"/>
          <w:highlight w:val="none"/>
        </w:rPr>
      </w:pPr>
      <w:r>
        <w:rPr>
          <w:rFonts w:hint="eastAsia"/>
          <w:bCs/>
          <w:color w:val="000000"/>
          <w:highlight w:val="none"/>
        </w:rPr>
        <w:t xml:space="preserve">质疑项目的名称：</w:t>
      </w:r>
      <w:r>
        <w:rPr>
          <w:rFonts w:hint="eastAsia"/>
          <w:bCs/>
          <w:color w:val="000000"/>
          <w:highlight w:val="none"/>
          <w:u w:val="single"/>
        </w:rPr>
        <w:t xml:space="preserve">                             </w:t>
      </w:r>
      <w:r>
        <w:rPr>
          <w:rFonts w:hint="eastAsia"/>
          <w:b/>
          <w:bCs/>
          <w:color w:val="000000"/>
          <w:highlight w:val="none"/>
        </w:rPr>
      </w:r>
      <w:r/>
    </w:p>
    <w:p>
      <w:pPr>
        <w:pStyle w:val="1072"/>
        <w:jc w:val="both"/>
        <w:spacing w:beforeAutospacing="0" w:afterAutospacing="0" w:line="380" w:lineRule="exact"/>
        <w:rPr>
          <w:rFonts w:hint="eastAsia"/>
          <w:b/>
          <w:bCs/>
          <w:color w:val="000000"/>
          <w:highlight w:val="none"/>
          <w:u w:val="single"/>
        </w:rPr>
      </w:pPr>
      <w:r>
        <w:rPr>
          <w:rFonts w:hint="eastAsia"/>
          <w:bCs/>
          <w:color w:val="000000"/>
          <w:highlight w:val="none"/>
        </w:rPr>
        <w:t xml:space="preserve">质疑项目的编号：</w:t>
      </w:r>
      <w:r>
        <w:rPr>
          <w:rFonts w:hint="eastAsia"/>
          <w:bCs/>
          <w:color w:val="000000"/>
          <w:highlight w:val="none"/>
          <w:u w:val="single"/>
        </w:rPr>
        <w:t xml:space="preserve">                            </w:t>
      </w:r>
      <w:r>
        <w:rPr>
          <w:rFonts w:hint="eastAsia"/>
          <w:b/>
          <w:bCs/>
          <w:color w:val="000000"/>
          <w:highlight w:val="none"/>
          <w:u w:val="single"/>
        </w:rPr>
      </w:r>
      <w:r/>
    </w:p>
    <w:p>
      <w:pPr>
        <w:pStyle w:val="1072"/>
        <w:jc w:val="both"/>
        <w:spacing w:beforeAutospacing="0" w:afterAutospacing="0" w:line="380" w:lineRule="exact"/>
        <w:rPr>
          <w:rFonts w:hint="eastAsia"/>
          <w:b/>
          <w:bCs/>
          <w:color w:val="000000"/>
          <w:highlight w:val="none"/>
        </w:rPr>
      </w:pPr>
      <w:r>
        <w:rPr>
          <w:rFonts w:hint="eastAsia"/>
          <w:bCs/>
          <w:color w:val="000000"/>
          <w:highlight w:val="none"/>
        </w:rPr>
        <w:t xml:space="preserve">包号：</w:t>
      </w:r>
      <w:r>
        <w:rPr>
          <w:rFonts w:hint="eastAsia"/>
          <w:bCs/>
          <w:color w:val="000000"/>
          <w:highlight w:val="none"/>
          <w:u w:val="single"/>
        </w:rPr>
        <w:t xml:space="preserve">                       </w:t>
      </w:r>
      <w:r>
        <w:rPr>
          <w:rFonts w:hint="eastAsia"/>
          <w:bCs/>
          <w:color w:val="000000"/>
          <w:highlight w:val="none"/>
          <w:u w:val="single"/>
        </w:rPr>
        <w:tab/>
      </w:r>
      <w:r>
        <w:rPr>
          <w:rFonts w:hint="eastAsia"/>
          <w:bCs/>
          <w:color w:val="000000"/>
          <w:highlight w:val="none"/>
          <w:u w:val="single"/>
        </w:rPr>
        <w:t xml:space="preserve">           </w:t>
      </w:r>
      <w:r>
        <w:rPr>
          <w:rFonts w:hint="eastAsia"/>
          <w:b/>
          <w:bCs/>
          <w:color w:val="000000"/>
          <w:highlight w:val="none"/>
        </w:rPr>
      </w:r>
      <w:r/>
    </w:p>
    <w:p>
      <w:pPr>
        <w:pStyle w:val="1072"/>
        <w:jc w:val="both"/>
        <w:spacing w:beforeAutospacing="0" w:afterAutospacing="0" w:line="380" w:lineRule="exact"/>
        <w:rPr>
          <w:rFonts w:hint="eastAsia"/>
          <w:b/>
          <w:bCs/>
          <w:color w:val="000000"/>
          <w:highlight w:val="none"/>
        </w:rPr>
      </w:pPr>
      <w:r>
        <w:rPr>
          <w:rFonts w:hint="eastAsia"/>
          <w:bCs/>
          <w:color w:val="000000"/>
          <w:highlight w:val="none"/>
        </w:rPr>
        <w:t xml:space="preserve">采购人名称：</w:t>
      </w:r>
      <w:r>
        <w:rPr>
          <w:rFonts w:hint="eastAsia"/>
          <w:bCs/>
          <w:color w:val="000000"/>
          <w:highlight w:val="none"/>
          <w:u w:val="single"/>
        </w:rPr>
        <w:t xml:space="preserve">                               </w:t>
      </w:r>
      <w:r>
        <w:rPr>
          <w:rFonts w:hint="eastAsia"/>
          <w:b/>
          <w:bCs/>
          <w:color w:val="000000"/>
          <w:highlight w:val="none"/>
        </w:rPr>
      </w:r>
      <w:r/>
    </w:p>
    <w:p>
      <w:pPr>
        <w:pStyle w:val="1072"/>
        <w:jc w:val="both"/>
        <w:spacing w:beforeAutospacing="0" w:afterAutospacing="0" w:line="380" w:lineRule="exact"/>
        <w:rPr>
          <w:rFonts w:hint="eastAsia"/>
          <w:b/>
          <w:bCs/>
          <w:color w:val="000000"/>
          <w:highlight w:val="none"/>
        </w:rPr>
      </w:pPr>
      <w:r>
        <w:rPr>
          <w:rFonts w:hint="eastAsia"/>
          <w:bCs/>
          <w:color w:val="000000"/>
          <w:highlight w:val="none"/>
        </w:rPr>
        <w:t xml:space="preserve">采购文件获取日期：</w:t>
      </w:r>
      <w:r>
        <w:rPr>
          <w:rFonts w:hint="eastAsia"/>
          <w:bCs/>
          <w:color w:val="000000"/>
          <w:highlight w:val="none"/>
          <w:u w:val="single"/>
        </w:rPr>
        <w:t xml:space="preserve">                             </w:t>
      </w:r>
      <w:r>
        <w:rPr>
          <w:rFonts w:hint="eastAsia"/>
          <w:b/>
          <w:bCs/>
          <w:color w:val="000000"/>
          <w:highlight w:val="none"/>
        </w:rPr>
      </w:r>
      <w:r/>
    </w:p>
    <w:p>
      <w:pPr>
        <w:pStyle w:val="1072"/>
        <w:jc w:val="both"/>
        <w:spacing w:beforeAutospacing="0" w:afterAutospacing="0" w:line="380" w:lineRule="exact"/>
        <w:rPr>
          <w:rFonts w:hint="eastAsia"/>
          <w:b/>
          <w:bCs/>
          <w:color w:val="000000"/>
          <w:highlight w:val="none"/>
        </w:rPr>
      </w:pPr>
      <w:r>
        <w:rPr>
          <w:rFonts w:hint="eastAsia"/>
          <w:bCs/>
          <w:color w:val="000000"/>
          <w:highlight w:val="none"/>
        </w:rPr>
        <w:t xml:space="preserve">三、质疑事项具体内容</w:t>
      </w:r>
      <w:r>
        <w:rPr>
          <w:rFonts w:hint="eastAsia"/>
          <w:b/>
          <w:bCs/>
          <w:color w:val="000000"/>
          <w:highlight w:val="none"/>
        </w:rPr>
      </w:r>
      <w:r/>
    </w:p>
    <w:p>
      <w:pPr>
        <w:pStyle w:val="1072"/>
        <w:jc w:val="both"/>
        <w:spacing w:beforeAutospacing="0" w:afterAutospacing="0" w:line="380" w:lineRule="exact"/>
        <w:rPr>
          <w:rFonts w:hint="eastAsia"/>
          <w:b/>
          <w:bCs/>
          <w:color w:val="000000"/>
          <w:highlight w:val="none"/>
        </w:rPr>
      </w:pPr>
      <w:r>
        <w:rPr>
          <w:rFonts w:hint="eastAsia"/>
          <w:bCs/>
          <w:color w:val="000000"/>
          <w:highlight w:val="none"/>
        </w:rPr>
        <w:t xml:space="preserve">质疑事项1：</w:t>
      </w:r>
      <w:r>
        <w:rPr>
          <w:rFonts w:hint="eastAsia"/>
          <w:bCs/>
          <w:color w:val="000000"/>
          <w:highlight w:val="none"/>
          <w:u w:val="single"/>
        </w:rPr>
        <w:t xml:space="preserve">                                </w:t>
      </w:r>
      <w:r>
        <w:rPr>
          <w:rFonts w:hint="eastAsia"/>
          <w:b/>
          <w:bCs/>
          <w:color w:val="000000"/>
          <w:highlight w:val="none"/>
        </w:rPr>
      </w:r>
      <w:r/>
    </w:p>
    <w:p>
      <w:pPr>
        <w:pStyle w:val="1072"/>
        <w:spacing w:beforeAutospacing="0" w:afterAutospacing="0" w:line="380" w:lineRule="exact"/>
        <w:rPr>
          <w:rFonts w:hint="eastAsia"/>
          <w:b/>
          <w:bCs/>
          <w:color w:val="000000"/>
          <w:highlight w:val="none"/>
        </w:rPr>
      </w:pPr>
      <w:r>
        <w:rPr>
          <w:rFonts w:hint="eastAsia"/>
          <w:bCs/>
          <w:color w:val="000000"/>
          <w:highlight w:val="none"/>
        </w:rPr>
        <w:t xml:space="preserve">事实依据：</w:t>
      </w:r>
      <w:r>
        <w:rPr>
          <w:rFonts w:hint="eastAsia"/>
          <w:bCs/>
          <w:color w:val="000000"/>
          <w:highlight w:val="none"/>
          <w:u w:val="single"/>
        </w:rPr>
        <w:t xml:space="preserve">                                   </w:t>
      </w:r>
      <w:r>
        <w:rPr>
          <w:rFonts w:hint="eastAsia"/>
          <w:b/>
          <w:bCs/>
          <w:color w:val="000000"/>
          <w:highlight w:val="none"/>
        </w:rPr>
      </w:r>
      <w:r/>
    </w:p>
    <w:p>
      <w:pPr>
        <w:pStyle w:val="1072"/>
        <w:jc w:val="both"/>
        <w:spacing w:beforeAutospacing="0" w:afterAutospacing="0" w:line="380" w:lineRule="exact"/>
        <w:rPr>
          <w:rFonts w:hint="eastAsia"/>
          <w:b/>
          <w:bCs/>
          <w:color w:val="000000"/>
          <w:highlight w:val="none"/>
        </w:rPr>
      </w:pPr>
      <w:r>
        <w:rPr>
          <w:rFonts w:hint="eastAsia"/>
          <w:bCs/>
          <w:color w:val="000000"/>
          <w:highlight w:val="none"/>
        </w:rPr>
        <w:t xml:space="preserve">法律依据：</w:t>
      </w:r>
      <w:r>
        <w:rPr>
          <w:rFonts w:hint="eastAsia"/>
          <w:bCs/>
          <w:color w:val="000000"/>
          <w:highlight w:val="none"/>
          <w:u w:val="single"/>
        </w:rPr>
        <w:t xml:space="preserve">                                   </w:t>
      </w:r>
      <w:r>
        <w:rPr>
          <w:rFonts w:hint="eastAsia"/>
          <w:b/>
          <w:bCs/>
          <w:color w:val="000000"/>
          <w:highlight w:val="none"/>
        </w:rPr>
      </w:r>
      <w:r/>
    </w:p>
    <w:p>
      <w:pPr>
        <w:pStyle w:val="1072"/>
        <w:jc w:val="both"/>
        <w:spacing w:beforeAutospacing="0" w:afterAutospacing="0" w:line="380" w:lineRule="exact"/>
        <w:rPr>
          <w:rFonts w:hint="eastAsia"/>
          <w:b/>
          <w:bCs/>
          <w:color w:val="000000"/>
          <w:highlight w:val="none"/>
        </w:rPr>
      </w:pPr>
      <w:r>
        <w:rPr>
          <w:rFonts w:hint="eastAsia"/>
          <w:bCs/>
          <w:color w:val="000000"/>
          <w:highlight w:val="none"/>
        </w:rPr>
        <w:t xml:space="preserve">质疑事项2</w:t>
      </w:r>
      <w:r>
        <w:rPr>
          <w:rFonts w:hint="eastAsia"/>
          <w:b/>
          <w:bCs/>
          <w:color w:val="000000"/>
          <w:highlight w:val="none"/>
        </w:rPr>
      </w:r>
      <w:r/>
    </w:p>
    <w:p>
      <w:pPr>
        <w:pStyle w:val="1072"/>
        <w:jc w:val="both"/>
        <w:spacing w:beforeAutospacing="0" w:afterAutospacing="0" w:line="380" w:lineRule="exact"/>
        <w:rPr>
          <w:rFonts w:hint="eastAsia"/>
          <w:b/>
          <w:bCs/>
          <w:color w:val="000000"/>
          <w:highlight w:val="none"/>
        </w:rPr>
      </w:pPr>
      <w:r>
        <w:rPr>
          <w:rFonts w:hint="eastAsia"/>
          <w:bCs/>
          <w:color w:val="000000"/>
          <w:highlight w:val="none"/>
        </w:rPr>
        <w:t xml:space="preserve">……</w:t>
      </w:r>
      <w:r>
        <w:rPr>
          <w:rFonts w:hint="eastAsia"/>
          <w:b/>
          <w:bCs/>
          <w:color w:val="000000"/>
          <w:highlight w:val="none"/>
        </w:rPr>
      </w:r>
      <w:r/>
    </w:p>
    <w:p>
      <w:pPr>
        <w:pStyle w:val="1072"/>
        <w:jc w:val="both"/>
        <w:spacing w:beforeAutospacing="0" w:afterAutospacing="0" w:line="380" w:lineRule="exact"/>
        <w:rPr>
          <w:rFonts w:hint="eastAsia"/>
          <w:b/>
          <w:bCs/>
          <w:color w:val="000000"/>
          <w:highlight w:val="none"/>
        </w:rPr>
      </w:pPr>
      <w:r>
        <w:rPr>
          <w:rFonts w:hint="eastAsia"/>
          <w:bCs/>
          <w:color w:val="000000"/>
          <w:highlight w:val="none"/>
        </w:rPr>
        <w:t xml:space="preserve">四、与质疑事项相关的质疑请求</w:t>
      </w:r>
      <w:r>
        <w:rPr>
          <w:rFonts w:hint="eastAsia"/>
          <w:b/>
          <w:bCs/>
          <w:color w:val="000000"/>
          <w:highlight w:val="none"/>
        </w:rPr>
      </w:r>
      <w:r/>
    </w:p>
    <w:p>
      <w:pPr>
        <w:pStyle w:val="1072"/>
        <w:jc w:val="both"/>
        <w:spacing w:beforeAutospacing="0" w:afterAutospacing="0" w:line="380" w:lineRule="exact"/>
        <w:rPr>
          <w:rFonts w:hint="eastAsia"/>
          <w:b/>
          <w:bCs/>
          <w:color w:val="000000"/>
          <w:highlight w:val="none"/>
        </w:rPr>
      </w:pPr>
      <w:r>
        <w:rPr>
          <w:rFonts w:hint="eastAsia"/>
          <w:bCs/>
          <w:color w:val="000000"/>
          <w:highlight w:val="none"/>
        </w:rPr>
        <w:t xml:space="preserve">请求：</w:t>
      </w:r>
      <w:r>
        <w:rPr>
          <w:rFonts w:hint="eastAsia"/>
          <w:bCs/>
          <w:color w:val="000000"/>
          <w:highlight w:val="none"/>
          <w:u w:val="single"/>
        </w:rPr>
        <w:t xml:space="preserve">                                        </w:t>
      </w:r>
      <w:r>
        <w:rPr>
          <w:rFonts w:hint="eastAsia"/>
          <w:b/>
          <w:bCs/>
          <w:color w:val="000000"/>
          <w:highlight w:val="none"/>
        </w:rPr>
      </w:r>
      <w:r/>
    </w:p>
    <w:p>
      <w:pPr>
        <w:pStyle w:val="1072"/>
        <w:jc w:val="both"/>
        <w:spacing w:beforeAutospacing="0" w:afterAutospacing="0" w:line="380" w:lineRule="exact"/>
        <w:rPr>
          <w:rFonts w:hint="eastAsia"/>
          <w:b/>
          <w:bCs/>
          <w:color w:val="000000"/>
          <w:highlight w:val="none"/>
        </w:rPr>
      </w:pPr>
      <w:r>
        <w:rPr>
          <w:rFonts w:hint="eastAsia"/>
          <w:bCs/>
          <w:color w:val="000000"/>
          <w:highlight w:val="none"/>
        </w:rPr>
        <w:t xml:space="preserve">签字(签章)：                 公章：               日期：    </w:t>
      </w:r>
      <w:r>
        <w:rPr>
          <w:rFonts w:hint="eastAsia"/>
          <w:b/>
          <w:bCs/>
          <w:color w:val="000000"/>
          <w:highlight w:val="none"/>
        </w:rPr>
      </w:r>
      <w:r/>
    </w:p>
    <w:p>
      <w:pPr>
        <w:pStyle w:val="1072"/>
        <w:jc w:val="both"/>
        <w:spacing w:beforeAutospacing="0" w:afterAutospacing="0" w:line="380" w:lineRule="exact"/>
        <w:rPr>
          <w:rFonts w:hint="eastAsia"/>
          <w:b/>
          <w:bCs/>
          <w:color w:val="000000"/>
          <w:highlight w:val="none"/>
        </w:rPr>
      </w:pPr>
      <w:r>
        <w:rPr>
          <w:rFonts w:hint="eastAsia"/>
          <w:bCs/>
          <w:color w:val="000000"/>
          <w:highlight w:val="none"/>
        </w:rPr>
        <w:t xml:space="preserve">质疑函制作说明：</w:t>
      </w:r>
      <w:r>
        <w:rPr>
          <w:rFonts w:hint="eastAsia"/>
          <w:b/>
          <w:bCs/>
          <w:color w:val="000000"/>
          <w:highlight w:val="none"/>
        </w:rPr>
      </w:r>
      <w:r/>
    </w:p>
    <w:p>
      <w:pPr>
        <w:pStyle w:val="1072"/>
        <w:ind w:firstLine="480"/>
        <w:spacing w:beforeAutospacing="0" w:afterAutospacing="0" w:line="380" w:lineRule="exact"/>
        <w:rPr>
          <w:rFonts w:hint="eastAsia"/>
          <w:b/>
          <w:bCs/>
          <w:color w:val="000000"/>
          <w:highlight w:val="none"/>
        </w:rPr>
      </w:pPr>
      <w:r>
        <w:rPr>
          <w:rFonts w:hint="eastAsia"/>
          <w:bCs/>
          <w:color w:val="000000"/>
          <w:highlight w:val="none"/>
        </w:rPr>
        <w:t xml:space="preserve">1.供应商提出质疑时，应提交质疑函和必要的证明材料。</w:t>
      </w:r>
      <w:r>
        <w:rPr>
          <w:rFonts w:hint="eastAsia"/>
          <w:b/>
          <w:bCs/>
          <w:color w:val="000000"/>
          <w:highlight w:val="none"/>
        </w:rPr>
      </w:r>
      <w:r/>
    </w:p>
    <w:p>
      <w:pPr>
        <w:pStyle w:val="1072"/>
        <w:ind w:firstLine="480"/>
        <w:spacing w:beforeAutospacing="0" w:afterAutospacing="0" w:line="380" w:lineRule="exact"/>
        <w:rPr>
          <w:rFonts w:hint="eastAsia"/>
          <w:b/>
          <w:bCs/>
          <w:color w:val="000000"/>
          <w:highlight w:val="none"/>
        </w:rPr>
      </w:pPr>
      <w:r>
        <w:rPr>
          <w:rFonts w:hint="eastAsia"/>
          <w:bCs/>
          <w:color w:val="000000"/>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rFonts w:hint="eastAsia"/>
          <w:b/>
          <w:bCs/>
          <w:color w:val="000000"/>
          <w:highlight w:val="none"/>
        </w:rPr>
      </w:r>
      <w:r/>
    </w:p>
    <w:p>
      <w:pPr>
        <w:pStyle w:val="1072"/>
        <w:ind w:firstLine="480"/>
        <w:spacing w:beforeAutospacing="0" w:afterAutospacing="0" w:line="380" w:lineRule="exact"/>
        <w:rPr>
          <w:rFonts w:hint="eastAsia"/>
          <w:bCs/>
          <w:color w:val="000000"/>
          <w:highlight w:val="none"/>
        </w:rPr>
      </w:pPr>
      <w:r>
        <w:rPr>
          <w:rFonts w:hint="eastAsia"/>
          <w:bCs/>
          <w:color w:val="000000"/>
          <w:highlight w:val="none"/>
        </w:rPr>
        <w:t xml:space="preserve">3.质疑供应商若对项目的某一分包进行质疑，质疑函中应列明具体分包号。</w:t>
      </w:r>
      <w:r>
        <w:rPr>
          <w:rFonts w:hint="eastAsia"/>
          <w:bCs/>
          <w:color w:val="000000"/>
          <w:highlight w:val="none"/>
        </w:rPr>
      </w:r>
      <w:r/>
    </w:p>
    <w:p>
      <w:pPr>
        <w:pStyle w:val="1072"/>
        <w:ind w:firstLine="480"/>
        <w:spacing w:beforeAutospacing="0" w:afterAutospacing="0" w:line="380" w:lineRule="exact"/>
        <w:rPr>
          <w:rFonts w:hint="eastAsia"/>
          <w:bCs/>
          <w:color w:val="000000"/>
          <w:highlight w:val="none"/>
        </w:rPr>
      </w:pPr>
      <w:r>
        <w:rPr>
          <w:rFonts w:hint="eastAsia"/>
          <w:bCs/>
          <w:color w:val="000000"/>
          <w:highlight w:val="none"/>
        </w:rPr>
        <w:t xml:space="preserve">4.质疑函的质疑事项应具体、明确，并有必要的事实依据和法律依据。</w:t>
      </w:r>
      <w:r>
        <w:rPr>
          <w:rFonts w:hint="eastAsia"/>
          <w:bCs/>
          <w:color w:val="000000"/>
          <w:highlight w:val="none"/>
        </w:rPr>
      </w:r>
      <w:r/>
    </w:p>
    <w:p>
      <w:pPr>
        <w:pStyle w:val="1072"/>
        <w:ind w:firstLine="480"/>
        <w:spacing w:beforeAutospacing="0" w:afterAutospacing="0" w:line="380" w:lineRule="exact"/>
        <w:rPr>
          <w:rFonts w:hint="eastAsia"/>
          <w:bCs/>
          <w:color w:val="000000"/>
          <w:highlight w:val="none"/>
        </w:rPr>
      </w:pPr>
      <w:r>
        <w:rPr>
          <w:rFonts w:hint="eastAsia"/>
          <w:bCs/>
          <w:color w:val="000000"/>
          <w:highlight w:val="none"/>
        </w:rPr>
        <w:t xml:space="preserve">5.质疑函的质疑请求应与质疑事项相关。</w:t>
      </w:r>
      <w:r>
        <w:rPr>
          <w:rFonts w:hint="eastAsia"/>
          <w:bCs/>
          <w:color w:val="000000"/>
          <w:highlight w:val="none"/>
        </w:rPr>
      </w:r>
      <w:r/>
    </w:p>
    <w:p>
      <w:pPr>
        <w:pStyle w:val="1072"/>
        <w:ind w:firstLine="480"/>
        <w:spacing w:beforeAutospacing="0" w:afterAutospacing="0" w:line="380" w:lineRule="exact"/>
        <w:rPr>
          <w:rFonts w:hint="eastAsia"/>
          <w:bCs/>
          <w:color w:val="000000"/>
          <w:highlight w:val="none"/>
        </w:rPr>
      </w:pPr>
      <w:r>
        <w:rPr>
          <w:rFonts w:hint="eastAsia"/>
          <w:bCs/>
          <w:color w:val="000000"/>
          <w:highlight w:val="none"/>
        </w:rPr>
        <w:t xml:space="preserve">6.质疑供应商为自然人的，质疑函应由本人签字；质疑供应商为法人或者其他组织的，质疑函应由法定代表人、主要负责人，或者其授权代表签字或者盖章，并加盖公章。</w:t>
      </w:r>
      <w:r>
        <w:rPr>
          <w:rFonts w:hint="eastAsia"/>
          <w:bCs/>
          <w:color w:val="000000"/>
          <w:highlight w:val="none"/>
        </w:rPr>
      </w:r>
      <w:r/>
    </w:p>
    <w:sectPr>
      <w:headerReference w:type="default" r:id="rId12"/>
      <w:footnotePr/>
      <w:endnotePr/>
      <w:type w:val="nextPage"/>
      <w:pgSz w:w="11906" w:h="16838" w:orient="portrait"/>
      <w:pgMar w:top="1440" w:right="1083" w:bottom="1440" w:left="1083" w:header="851"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隶书">
    <w:panose1 w:val="02010509060101010101"/>
  </w:font>
  <w:font w:name="Symbol">
    <w:panose1 w:val="05050102010706020507"/>
  </w:font>
  <w:font w:name="Wingdings">
    <w:panose1 w:val="05000000000000000000"/>
  </w:font>
  <w:font w:name="Tahoma">
    <w:panose1 w:val="020B0604030504040204"/>
  </w:font>
  <w:font w:name="Calibri">
    <w:panose1 w:val="020F0502020204030204"/>
  </w:font>
  <w:font w:name="仿宋">
    <w:panose1 w:val="02010609060101010101"/>
  </w:font>
  <w:font w:name="等线 Light">
    <w:panose1 w:val="02010600030101010101"/>
  </w:font>
  <w:font w:name="方正仿宋_GBK">
    <w:panose1 w:val="020B0503020202020204"/>
  </w:font>
  <w:font w:name="方正黑体_GBK">
    <w:panose1 w:val="020B050302020202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9"/>
      <w:jc w:val="center"/>
      <w:tabs>
        <w:tab w:val="center" w:pos="4153" w:leader="none"/>
        <w:tab w:val="right" w:pos="8306" w:leader="none"/>
      </w:tabs>
      <w:rPr>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9"/>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72</w:t>
                          </w:r>
                          <w:r>
                            <w:fldChar w:fldCharType="end"/>
                          </w:r>
                          <w:r>
                            <w:t xml:space="preserve"> 页</w:t>
                          </w:r>
                          <w:r/>
                        </w:p>
                        <w:p>
                          <w:pPr>
                            <w:pStyle w:val="1024"/>
                          </w:pPr>
                          <w:r/>
                          <w:r/>
                        </w:p>
                      </w:txbxContent>
                    </wps:txbx>
                    <wps:bodyPr wrap="none" lIns="0" tIns="0" rIns="0" bIns="0" upright="1">
                      <a:spAutoFit/>
                    </wps:bodyPr>
                  </wps:wsp>
                </a:graphicData>
              </a:graphic>
            </wp:anchor>
          </w:drawing>
        </mc:Choice>
        <mc:Fallback>
          <w:pict>
            <v:shape id="shape 0" o:spid="_x0000_s0"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9"/>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72</w:t>
                    </w:r>
                    <w:r>
                      <w:fldChar w:fldCharType="end"/>
                    </w:r>
                    <w:r>
                      <w:t xml:space="preserve"> 页</w:t>
                    </w:r>
                    <w:r/>
                  </w:p>
                  <w:p>
                    <w:pPr>
                      <w:pStyle w:val="1024"/>
                    </w:pPr>
                    <w:r/>
                    <w:r/>
                  </w:p>
                </w:txbxContent>
              </v:textbox>
            </v:shape>
          </w:pict>
        </mc:Fallback>
      </mc:AlternateContent>
    </w: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9"/>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59"/>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1024"/>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59"/>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1024"/>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9"/>
                            <w:tabs>
                              <w:tab w:val="clear" w:pos="4153" w:leader="none"/>
                              <w:tab w:val="clear" w:pos="8306" w:leader="none"/>
                            </w:tabs>
                          </w:pPr>
                          <w:r>
                            <w:rPr>
                              <w:rFonts w:hint="eastAsia"/>
                            </w:rPr>
                            <w:t xml:space="preserve">38</w:t>
                          </w:r>
                          <w:r/>
                        </w:p>
                        <w:p>
                          <w:pPr>
                            <w:pStyle w:val="1024"/>
                          </w:pPr>
                          <w:r/>
                          <w:r/>
                        </w:p>
                      </w:txbxContent>
                    </wps:txbx>
                    <wps:bodyPr wrap="none" lIns="0" tIns="0" rIns="0" bIns="0" upright="1">
                      <a:spAutoFit/>
                    </wps:bodyPr>
                  </wps:wsp>
                </a:graphicData>
              </a:graphic>
            </wp:anchor>
          </w:drawing>
        </mc:Choice>
        <mc:Fallback>
          <w:pict>
            <v:shape id="shape 2" o:spid="_x0000_s2"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9"/>
                      <w:tabs>
                        <w:tab w:val="clear" w:pos="4153" w:leader="none"/>
                        <w:tab w:val="clear" w:pos="8306" w:leader="none"/>
                      </w:tabs>
                    </w:pPr>
                    <w:r>
                      <w:rPr>
                        <w:rFonts w:hint="eastAsia"/>
                      </w:rPr>
                      <w:t xml:space="preserve">38</w:t>
                    </w:r>
                    <w:r/>
                  </w:p>
                  <w:p>
                    <w:pPr>
                      <w:pStyle w:val="1024"/>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9"/>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375285" cy="131445"/>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375285" cy="131445"/>
                      </a:xfrm>
                      <a:prstGeom prst="rect">
                        <a:avLst/>
                      </a:prstGeom>
                      <a:noFill/>
                      <a:ln>
                        <a:noFill/>
                      </a:ln>
                    </wps:spPr>
                    <wps:txbx>
                      <w:txbxContent>
                        <w:p>
                          <w:pPr>
                            <w:pStyle w:val="1059"/>
                            <w:tabs>
                              <w:tab w:val="clear" w:pos="4153" w:leader="none"/>
                              <w:tab w:val="clear" w:pos="8306" w:leader="none"/>
                            </w:tabs>
                          </w:pPr>
                          <w:r>
                            <w:rPr>
                              <w:lang w:val="zh-CN"/>
                            </w:rPr>
                            <w:t xml:space="preserve"> </w:t>
                          </w:r>
                          <w:r>
                            <w:rPr>
                              <w:b/>
                              <w:bCs/>
                            </w:rPr>
                            <w:fldChar w:fldCharType="begin"/>
                          </w:r>
                          <w:r>
                            <w:rPr>
                              <w:b/>
                              <w:bCs/>
                            </w:rPr>
                            <w:instrText xml:space="preserve">PAGE  \* Arabic  \* MERGEFORMAT</w:instrText>
                          </w:r>
                          <w:r>
                            <w:rPr>
                              <w:b/>
                              <w:bCs/>
                            </w:rPr>
                            <w:fldChar w:fldCharType="separate"/>
                          </w:r>
                          <w:r>
                            <w:rPr>
                              <w:b/>
                              <w:bCs/>
                              <w:lang w:val="zh-CN"/>
                            </w:rPr>
                            <w:t xml:space="preserve">31</w:t>
                          </w:r>
                          <w:r>
                            <w:rPr>
                              <w:b/>
                              <w:bCs/>
                            </w:rPr>
                            <w:fldChar w:fldCharType="end"/>
                          </w:r>
                          <w:r>
                            <w:rPr>
                              <w:lang w:val="zh-CN"/>
                            </w:rPr>
                            <w:t xml:space="preserve"> / </w:t>
                          </w:r>
                          <w:r>
                            <w:fldChar w:fldCharType="begin"/>
                          </w:r>
                          <w:r>
                            <w:instrText xml:space="preserve">NUMPAGES  \* Arabic  \* MERGEFORMAT</w:instrText>
                          </w:r>
                          <w:r>
                            <w:fldChar w:fldCharType="separate"/>
                          </w:r>
                          <w:r>
                            <w:rPr>
                              <w:b/>
                              <w:bCs/>
                              <w:lang w:val="zh-CN"/>
                            </w:rPr>
                            <w:t xml:space="preserve">72</w:t>
                          </w:r>
                          <w:r>
                            <w:rPr>
                              <w:b/>
                              <w:bCs/>
                              <w:lang w:val="zh-CN"/>
                            </w:rPr>
                            <w:fldChar w:fldCharType="end"/>
                          </w:r>
                          <w:r/>
                        </w:p>
                        <w:p>
                          <w:pPr>
                            <w:pStyle w:val="1024"/>
                          </w:pPr>
                          <w:r/>
                          <w:r/>
                        </w:p>
                      </w:txbxContent>
                    </wps:txbx>
                    <wps:bodyPr wrap="none" lIns="0" tIns="0" rIns="0" bIns="0" upright="1">
                      <a:spAutoFit/>
                    </wps:bodyPr>
                  </wps:wsp>
                </a:graphicData>
              </a:graphic>
            </wp:anchor>
          </w:drawing>
        </mc:Choice>
        <mc:Fallback>
          <w:pict>
            <v:shape id="shape 3" o:spid="_x0000_s3" o:spt="202" type="#_x0000_t202" style="position:absolute;z-index:251658242;o:allowoverlap:true;o:allowincell:true;mso-position-horizontal-relative:margin;mso-position-horizontal:center;mso-position-vertical-relative:text;margin-top:0.0pt;mso-position-vertical:absolute;width:29.5pt;height:10.3pt;mso-wrap-distance-left:9.0pt;mso-wrap-distance-top:0.0pt;mso-wrap-distance-right:9.0pt;mso-wrap-distance-bottom:0.0pt;visibility:visible;" filled="f" stroked="f">
              <v:textbox inset="0,0,0,0">
                <w:txbxContent>
                  <w:p>
                    <w:pPr>
                      <w:pStyle w:val="1059"/>
                      <w:tabs>
                        <w:tab w:val="clear" w:pos="4153" w:leader="none"/>
                        <w:tab w:val="clear" w:pos="8306" w:leader="none"/>
                      </w:tabs>
                    </w:pPr>
                    <w:r>
                      <w:rPr>
                        <w:lang w:val="zh-CN"/>
                      </w:rPr>
                      <w:t xml:space="preserve"> </w:t>
                    </w:r>
                    <w:r>
                      <w:rPr>
                        <w:b/>
                        <w:bCs/>
                      </w:rPr>
                      <w:fldChar w:fldCharType="begin"/>
                    </w:r>
                    <w:r>
                      <w:rPr>
                        <w:b/>
                        <w:bCs/>
                      </w:rPr>
                      <w:instrText xml:space="preserve">PAGE  \* Arabic  \* MERGEFORMAT</w:instrText>
                    </w:r>
                    <w:r>
                      <w:rPr>
                        <w:b/>
                        <w:bCs/>
                      </w:rPr>
                      <w:fldChar w:fldCharType="separate"/>
                    </w:r>
                    <w:r>
                      <w:rPr>
                        <w:b/>
                        <w:bCs/>
                        <w:lang w:val="zh-CN"/>
                      </w:rPr>
                      <w:t xml:space="preserve">31</w:t>
                    </w:r>
                    <w:r>
                      <w:rPr>
                        <w:b/>
                        <w:bCs/>
                      </w:rPr>
                      <w:fldChar w:fldCharType="end"/>
                    </w:r>
                    <w:r>
                      <w:rPr>
                        <w:lang w:val="zh-CN"/>
                      </w:rPr>
                      <w:t xml:space="preserve"> / </w:t>
                    </w:r>
                    <w:r>
                      <w:fldChar w:fldCharType="begin"/>
                    </w:r>
                    <w:r>
                      <w:instrText xml:space="preserve">NUMPAGES  \* Arabic  \* MERGEFORMAT</w:instrText>
                    </w:r>
                    <w:r>
                      <w:fldChar w:fldCharType="separate"/>
                    </w:r>
                    <w:r>
                      <w:rPr>
                        <w:b/>
                        <w:bCs/>
                        <w:lang w:val="zh-CN"/>
                      </w:rPr>
                      <w:t xml:space="preserve">72</w:t>
                    </w:r>
                    <w:r>
                      <w:rPr>
                        <w:b/>
                        <w:bCs/>
                        <w:lang w:val="zh-CN"/>
                      </w:rPr>
                      <w:fldChar w:fldCharType="end"/>
                    </w:r>
                    <w:r/>
                  </w:p>
                  <w:p>
                    <w:pPr>
                      <w:pStyle w:val="1024"/>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1"/>
      <w:jc w:val="both"/>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1"/>
      <w:tabs>
        <w:tab w:val="center" w:pos="4153" w:leader="none"/>
        <w:tab w:val="right" w:pos="8306" w:leader="none"/>
      </w:tabs>
    </w:pPr>
    <w:r>
      <w:rPr>
        <w:rFonts w:eastAsia="隶书"/>
        <w:color w:val="000000"/>
        <w:spacing w:val="40"/>
        <w:sz w:val="21"/>
        <w:szCs w:val="21"/>
      </w:rPr>
      <w:t xml:space="preserve">政府采购招标文件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1"/>
      <w:tabs>
        <w:tab w:val="center" w:pos="4153" w:leader="none"/>
        <w:tab w:val="right" w:pos="8306" w:leader="none"/>
      </w:tabs>
      <w:pBdr>
        <w:bottom w:val="none" w:color="000000"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1"/>
      <w:tabs>
        <w:tab w:val="center" w:pos="4153" w:leader="none"/>
        <w:tab w:val="right" w:pos="8306" w:leader="none"/>
      </w:tabs>
      <w:rPr>
        <w:rFonts w:eastAsia="隶书"/>
        <w:color w:val="ff0000"/>
        <w:spacing w:val="40"/>
        <w:sz w:val="21"/>
        <w:szCs w:val="21"/>
      </w:rPr>
    </w:pPr>
    <w:r>
      <w:rPr>
        <w:rFonts w:eastAsia="隶书"/>
        <w:color w:val="000000"/>
        <w:spacing w:val="40"/>
        <w:sz w:val="21"/>
        <w:szCs w:val="21"/>
      </w:rPr>
      <w:t xml:space="preserve">政府采购招标文件</w:t>
    </w:r>
    <w:r>
      <w:rPr>
        <w:rFonts w:eastAsia="隶书"/>
        <w:color w:val="ff0000"/>
        <w:spacing w:val="40"/>
        <w:sz w:val="21"/>
        <w:szCs w:val="21"/>
      </w:rPr>
    </w:r>
    <w:r/>
  </w:p>
  <w:p>
    <w:pPr>
      <w:pStyle w:val="1061"/>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117"/>
      <w:isLgl w:val="false"/>
      <w:suff w:val="tab"/>
      <w:lvlText w:val="附录%1."/>
      <w:lvlJc w:val="left"/>
      <w:pPr>
        <w:pStyle w:val="1024"/>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102"/>
      <w:isLgl w:val="false"/>
      <w:suff w:val="tab"/>
      <w:lvlText w:val="%1."/>
      <w:lvlJc w:val="left"/>
      <w:pPr>
        <w:pStyle w:val="1024"/>
        <w:ind w:left="709" w:hanging="709"/>
        <w:tabs>
          <w:tab w:val="num" w:pos="709" w:leader="none"/>
        </w:tabs>
      </w:pPr>
      <w:rPr>
        <w:rFonts w:hint="eastAsia"/>
      </w:rPr>
    </w:lvl>
    <w:lvl w:ilvl="1">
      <w:start w:val="1"/>
      <w:numFmt w:val="decimal"/>
      <w:isLgl w:val="false"/>
      <w:suff w:val="tab"/>
      <w:lvlText w:val="%1.%2"/>
      <w:lvlJc w:val="left"/>
      <w:pPr>
        <w:pStyle w:val="1024"/>
        <w:ind w:left="709" w:hanging="709"/>
        <w:tabs>
          <w:tab w:val="num" w:pos="709" w:leader="none"/>
        </w:tabs>
      </w:pPr>
      <w:rPr>
        <w:rFonts w:hint="eastAsia"/>
      </w:rPr>
    </w:lvl>
    <w:lvl w:ilvl="2">
      <w:start w:val="1"/>
      <w:numFmt w:val="decimal"/>
      <w:isLgl w:val="false"/>
      <w:suff w:val="tab"/>
      <w:lvlText w:val="%1.%2.%3."/>
      <w:lvlJc w:val="left"/>
      <w:pPr>
        <w:pStyle w:val="1024"/>
        <w:ind w:left="425" w:hanging="425"/>
        <w:tabs>
          <w:tab w:val="num" w:pos="425" w:leader="none"/>
        </w:tabs>
      </w:pPr>
      <w:rPr>
        <w:rFonts w:hint="eastAsia"/>
      </w:rPr>
    </w:lvl>
    <w:lvl w:ilvl="3">
      <w:start w:val="1"/>
      <w:numFmt w:val="decimal"/>
      <w:isLgl w:val="false"/>
      <w:suff w:val="tab"/>
      <w:lvlText w:val="%1.%2.%3.%4."/>
      <w:lvlJc w:val="left"/>
      <w:pPr>
        <w:pStyle w:val="1024"/>
        <w:ind w:left="851" w:hanging="851"/>
        <w:tabs>
          <w:tab w:val="num" w:pos="851" w:leader="none"/>
        </w:tabs>
      </w:pPr>
      <w:rPr>
        <w:rFonts w:hint="eastAsia"/>
      </w:rPr>
    </w:lvl>
    <w:lvl w:ilvl="4">
      <w:start w:val="1"/>
      <w:numFmt w:val="decimal"/>
      <w:isLgl w:val="false"/>
      <w:suff w:val="tab"/>
      <w:lvlText w:val="%1.%2.%3.%4.%5."/>
      <w:lvlJc w:val="left"/>
      <w:pPr>
        <w:pStyle w:val="1024"/>
        <w:ind w:left="992" w:hanging="992"/>
        <w:tabs>
          <w:tab w:val="num" w:pos="992" w:leader="none"/>
        </w:tabs>
      </w:pPr>
      <w:rPr>
        <w:rFonts w:hint="eastAsia"/>
      </w:rPr>
    </w:lvl>
    <w:lvl w:ilvl="5">
      <w:start w:val="1"/>
      <w:numFmt w:val="decimal"/>
      <w:isLgl w:val="false"/>
      <w:suff w:val="tab"/>
      <w:lvlText w:val="%1.%2.%3.%4.%5.%6."/>
      <w:lvlJc w:val="left"/>
      <w:pPr>
        <w:pStyle w:val="1024"/>
        <w:ind w:left="1134" w:hanging="1134"/>
        <w:tabs>
          <w:tab w:val="num" w:pos="1134" w:leader="none"/>
        </w:tabs>
      </w:pPr>
      <w:rPr>
        <w:rFonts w:hint="eastAsia"/>
      </w:rPr>
    </w:lvl>
    <w:lvl w:ilvl="6">
      <w:start w:val="1"/>
      <w:numFmt w:val="decimal"/>
      <w:isLgl w:val="false"/>
      <w:suff w:val="tab"/>
      <w:lvlText w:val="%1.%2.%3.%4.%5.%6.%7."/>
      <w:lvlJc w:val="left"/>
      <w:pPr>
        <w:pStyle w:val="1024"/>
        <w:ind w:left="1276" w:hanging="1276"/>
        <w:tabs>
          <w:tab w:val="num" w:pos="1276" w:leader="none"/>
        </w:tabs>
      </w:pPr>
      <w:rPr>
        <w:rFonts w:hint="eastAsia"/>
      </w:rPr>
    </w:lvl>
    <w:lvl w:ilvl="7">
      <w:start w:val="1"/>
      <w:numFmt w:val="decimal"/>
      <w:isLgl w:val="false"/>
      <w:suff w:val="tab"/>
      <w:lvlText w:val="%1.%2.%3.%4.%5.%6.%7.%8."/>
      <w:lvlJc w:val="left"/>
      <w:pPr>
        <w:pStyle w:val="1024"/>
        <w:ind w:left="1418" w:hanging="1418"/>
        <w:tabs>
          <w:tab w:val="num" w:pos="1418" w:leader="none"/>
        </w:tabs>
      </w:pPr>
      <w:rPr>
        <w:rFonts w:hint="eastAsia"/>
      </w:rPr>
    </w:lvl>
    <w:lvl w:ilvl="8">
      <w:start w:val="1"/>
      <w:numFmt w:val="decimal"/>
      <w:isLgl w:val="false"/>
      <w:suff w:val="tab"/>
      <w:lvlText w:val="%1.%2.%3.%4.%5.%6.%7.%8.%9."/>
      <w:lvlJc w:val="left"/>
      <w:pPr>
        <w:pStyle w:val="1024"/>
        <w:ind w:left="1559" w:hanging="1559"/>
        <w:tabs>
          <w:tab w:val="num" w:pos="1559" w:leader="none"/>
        </w:tabs>
      </w:pPr>
      <w:rPr>
        <w:rFonts w:hint="eastAsia"/>
      </w:rPr>
    </w:lvl>
  </w:abstractNum>
  <w:abstractNum w:abstractNumId="2">
    <w:multiLevelType w:val="hybridMultilevel"/>
    <w:lvl w:ilvl="0">
      <w:start w:val="1"/>
      <w:numFmt w:val="decimal"/>
      <w:isLgl w:val="false"/>
      <w:suff w:val="nothing"/>
      <w:lvlText w:val="（%1）"/>
      <w:lvlJc w:val="left"/>
      <w:pPr>
        <w:pStyle w:val="102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pStyle w:val="1024"/>
        <w:ind w:left="0" w:firstLine="0"/>
      </w:pPr>
      <w:rPr>
        <w:rFonts w:hint="eastAsia"/>
      </w:rPr>
    </w:lvl>
    <w:lvl w:ilvl="1">
      <w:start w:val="1"/>
      <w:numFmt w:val="decimal"/>
      <w:isLgl w:val="false"/>
      <w:suff w:val="nothing"/>
      <w:lvlText w:val="%2、"/>
      <w:lvlJc w:val="left"/>
      <w:pPr>
        <w:pStyle w:val="1024"/>
        <w:ind w:left="0" w:firstLine="0"/>
      </w:pPr>
      <w:rPr>
        <w:rFonts w:hint="eastAsia"/>
      </w:rPr>
    </w:lvl>
    <w:lvl w:ilvl="2">
      <w:start w:val="1"/>
      <w:numFmt w:val="decimal"/>
      <w:isLgl w:val="false"/>
      <w:suff w:val="nothing"/>
      <w:lvlText w:val="%2.%3 "/>
      <w:lvlJc w:val="left"/>
      <w:pPr>
        <w:pStyle w:val="1024"/>
        <w:ind w:left="0" w:firstLine="0"/>
      </w:pPr>
      <w:rPr>
        <w:rFonts w:hint="eastAsia"/>
      </w:rPr>
    </w:lvl>
    <w:lvl w:ilvl="3">
      <w:start w:val="1"/>
      <w:numFmt w:val="decimal"/>
      <w:isLgl w:val="false"/>
      <w:suff w:val="nothing"/>
      <w:lvlText w:val="%2.%3.%4 "/>
      <w:lvlJc w:val="left"/>
      <w:pPr>
        <w:pStyle w:val="1024"/>
        <w:ind w:left="0" w:firstLine="0"/>
      </w:pPr>
      <w:rPr>
        <w:rFonts w:hint="eastAsia"/>
      </w:rPr>
    </w:lvl>
    <w:lvl w:ilvl="4">
      <w:start w:val="1"/>
      <w:numFmt w:val="decimal"/>
      <w:isLgl w:val="false"/>
      <w:suff w:val="nothing"/>
      <w:lvlText w:val="%2.%3.%4.%5 "/>
      <w:lvlJc w:val="left"/>
      <w:pPr>
        <w:pStyle w:val="1024"/>
        <w:ind w:left="0" w:firstLine="0"/>
      </w:pPr>
      <w:rPr>
        <w:rFonts w:hint="eastAsia"/>
      </w:rPr>
    </w:lvl>
    <w:lvl w:ilvl="5">
      <w:start w:val="1"/>
      <w:numFmt w:val="decimal"/>
      <w:pStyle w:val="1030"/>
      <w:isLgl w:val="false"/>
      <w:suff w:val="nothing"/>
      <w:lvlText w:val=""/>
      <w:lvlJc w:val="left"/>
      <w:pPr>
        <w:pStyle w:val="1024"/>
        <w:ind w:left="0" w:firstLine="0"/>
      </w:pPr>
      <w:rPr>
        <w:rFonts w:hint="eastAsia"/>
      </w:rPr>
    </w:lvl>
    <w:lvl w:ilvl="6">
      <w:start w:val="1"/>
      <w:numFmt w:val="decimal"/>
      <w:pStyle w:val="1031"/>
      <w:isLgl w:val="false"/>
      <w:suff w:val="nothing"/>
      <w:lvlText w:val=""/>
      <w:lvlJc w:val="left"/>
      <w:pPr>
        <w:pStyle w:val="1024"/>
        <w:ind w:left="0" w:firstLine="0"/>
      </w:pPr>
      <w:rPr>
        <w:rFonts w:hint="eastAsia"/>
      </w:rPr>
    </w:lvl>
    <w:lvl w:ilvl="7">
      <w:start w:val="1"/>
      <w:numFmt w:val="decimal"/>
      <w:pStyle w:val="1032"/>
      <w:isLgl w:val="false"/>
      <w:suff w:val="nothing"/>
      <w:lvlText w:val=""/>
      <w:lvlJc w:val="left"/>
      <w:pPr>
        <w:pStyle w:val="1024"/>
        <w:ind w:left="0" w:firstLine="0"/>
      </w:pPr>
      <w:rPr>
        <w:rFonts w:hint="eastAsia"/>
      </w:rPr>
    </w:lvl>
    <w:lvl w:ilvl="8">
      <w:start w:val="1"/>
      <w:numFmt w:val="decimal"/>
      <w:pStyle w:val="1033"/>
      <w:isLgl w:val="false"/>
      <w:suff w:val="nothing"/>
      <w:lvlText w:val=""/>
      <w:lvlJc w:val="left"/>
      <w:pPr>
        <w:pStyle w:val="1024"/>
        <w:ind w:left="0" w:firstLine="0"/>
      </w:pPr>
      <w:rPr>
        <w:rFonts w:hint="eastAsia"/>
      </w:rPr>
    </w:lvl>
  </w:abstractNum>
  <w:abstractNum w:abstractNumId="4">
    <w:multiLevelType w:val="hybridMultilevel"/>
    <w:lvl w:ilvl="0">
      <w:start w:val="1"/>
      <w:numFmt w:val="bullet"/>
      <w:pStyle w:val="1049"/>
      <w:isLgl w:val="false"/>
      <w:suff w:val="tab"/>
      <w:lvlText w:val=""/>
      <w:lvlJc w:val="left"/>
      <w:pPr>
        <w:pStyle w:val="1024"/>
        <w:ind w:left="780" w:hanging="360"/>
        <w:tabs>
          <w:tab w:val="num"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isLgl w:val="false"/>
      <w:suff w:val="tab"/>
      <w:lvlText w:val="第%1章"/>
      <w:lvlJc w:val="left"/>
      <w:pPr>
        <w:pStyle w:val="1024"/>
        <w:ind w:left="1581" w:hanging="1440"/>
        <w:tabs>
          <w:tab w:val="num" w:pos="1581" w:leader="none"/>
        </w:tabs>
      </w:pPr>
      <w:rPr>
        <w:rFonts w:hint="eastAsia" w:ascii="方正小标宋_GBK" w:eastAsia="方正小标宋_GBK"/>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4"/>
  </w:num>
  <w:num w:numId="3">
    <w:abstractNumId w:val="1"/>
  </w:num>
  <w:num w:numId="4">
    <w:abstractNumId w:val="0"/>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46">
    <w:name w:val="Heading 1"/>
    <w:basedOn w:val="1024"/>
    <w:next w:val="1024"/>
    <w:link w:val="847"/>
    <w:uiPriority w:val="9"/>
    <w:qFormat/>
    <w:pPr>
      <w:keepLines/>
      <w:keepNext/>
      <w:spacing w:before="480" w:after="200"/>
      <w:outlineLvl w:val="0"/>
    </w:pPr>
    <w:rPr>
      <w:rFonts w:ascii="Arial" w:hAnsi="Arial" w:eastAsia="Arial" w:cs="Arial"/>
      <w:sz w:val="40"/>
      <w:szCs w:val="40"/>
    </w:rPr>
  </w:style>
  <w:style w:type="character" w:styleId="847">
    <w:name w:val="Heading 1 Char"/>
    <w:link w:val="846"/>
    <w:uiPriority w:val="9"/>
    <w:rPr>
      <w:rFonts w:ascii="Arial" w:hAnsi="Arial" w:eastAsia="Arial" w:cs="Arial"/>
      <w:sz w:val="40"/>
      <w:szCs w:val="40"/>
    </w:rPr>
  </w:style>
  <w:style w:type="paragraph" w:styleId="848">
    <w:name w:val="Heading 2"/>
    <w:basedOn w:val="1024"/>
    <w:next w:val="1024"/>
    <w:link w:val="849"/>
    <w:uiPriority w:val="9"/>
    <w:unhideWhenUsed/>
    <w:qFormat/>
    <w:pPr>
      <w:keepLines/>
      <w:keepNext/>
      <w:spacing w:before="360" w:after="200"/>
      <w:outlineLvl w:val="1"/>
    </w:pPr>
    <w:rPr>
      <w:rFonts w:ascii="Arial" w:hAnsi="Arial" w:eastAsia="Arial" w:cs="Arial"/>
      <w:sz w:val="34"/>
    </w:rPr>
  </w:style>
  <w:style w:type="character" w:styleId="849">
    <w:name w:val="Heading 2 Char"/>
    <w:link w:val="848"/>
    <w:uiPriority w:val="9"/>
    <w:rPr>
      <w:rFonts w:ascii="Arial" w:hAnsi="Arial" w:eastAsia="Arial" w:cs="Arial"/>
      <w:sz w:val="34"/>
    </w:rPr>
  </w:style>
  <w:style w:type="paragraph" w:styleId="850">
    <w:name w:val="Heading 3"/>
    <w:basedOn w:val="1024"/>
    <w:next w:val="1024"/>
    <w:link w:val="851"/>
    <w:uiPriority w:val="9"/>
    <w:unhideWhenUsed/>
    <w:qFormat/>
    <w:pPr>
      <w:keepLines/>
      <w:keepNext/>
      <w:spacing w:before="320" w:after="200"/>
      <w:outlineLvl w:val="2"/>
    </w:pPr>
    <w:rPr>
      <w:rFonts w:ascii="Arial" w:hAnsi="Arial" w:eastAsia="Arial" w:cs="Arial"/>
      <w:sz w:val="30"/>
      <w:szCs w:val="30"/>
    </w:rPr>
  </w:style>
  <w:style w:type="character" w:styleId="851">
    <w:name w:val="Heading 3 Char"/>
    <w:link w:val="850"/>
    <w:uiPriority w:val="9"/>
    <w:rPr>
      <w:rFonts w:ascii="Arial" w:hAnsi="Arial" w:eastAsia="Arial" w:cs="Arial"/>
      <w:sz w:val="30"/>
      <w:szCs w:val="30"/>
    </w:rPr>
  </w:style>
  <w:style w:type="paragraph" w:styleId="852">
    <w:name w:val="Heading 4"/>
    <w:basedOn w:val="1024"/>
    <w:next w:val="1024"/>
    <w:link w:val="853"/>
    <w:uiPriority w:val="9"/>
    <w:unhideWhenUsed/>
    <w:qFormat/>
    <w:pPr>
      <w:keepLines/>
      <w:keepNext/>
      <w:spacing w:before="320" w:after="200"/>
      <w:outlineLvl w:val="3"/>
    </w:pPr>
    <w:rPr>
      <w:rFonts w:ascii="Arial" w:hAnsi="Arial" w:eastAsia="Arial" w:cs="Arial"/>
      <w:b/>
      <w:bCs/>
      <w:sz w:val="26"/>
      <w:szCs w:val="26"/>
    </w:rPr>
  </w:style>
  <w:style w:type="character" w:styleId="853">
    <w:name w:val="Heading 4 Char"/>
    <w:link w:val="852"/>
    <w:uiPriority w:val="9"/>
    <w:rPr>
      <w:rFonts w:ascii="Arial" w:hAnsi="Arial" w:eastAsia="Arial" w:cs="Arial"/>
      <w:b/>
      <w:bCs/>
      <w:sz w:val="26"/>
      <w:szCs w:val="26"/>
    </w:rPr>
  </w:style>
  <w:style w:type="paragraph" w:styleId="854">
    <w:name w:val="Heading 5"/>
    <w:basedOn w:val="1024"/>
    <w:next w:val="1024"/>
    <w:link w:val="855"/>
    <w:uiPriority w:val="9"/>
    <w:unhideWhenUsed/>
    <w:qFormat/>
    <w:pPr>
      <w:keepLines/>
      <w:keepNext/>
      <w:spacing w:before="320" w:after="200"/>
      <w:outlineLvl w:val="4"/>
    </w:pPr>
    <w:rPr>
      <w:rFonts w:ascii="Arial" w:hAnsi="Arial" w:eastAsia="Arial" w:cs="Arial"/>
      <w:b/>
      <w:bCs/>
      <w:sz w:val="24"/>
      <w:szCs w:val="24"/>
    </w:rPr>
  </w:style>
  <w:style w:type="character" w:styleId="855">
    <w:name w:val="Heading 5 Char"/>
    <w:link w:val="854"/>
    <w:uiPriority w:val="9"/>
    <w:rPr>
      <w:rFonts w:ascii="Arial" w:hAnsi="Arial" w:eastAsia="Arial" w:cs="Arial"/>
      <w:b/>
      <w:bCs/>
      <w:sz w:val="24"/>
      <w:szCs w:val="24"/>
    </w:rPr>
  </w:style>
  <w:style w:type="paragraph" w:styleId="856">
    <w:name w:val="Heading 6"/>
    <w:basedOn w:val="1024"/>
    <w:next w:val="1024"/>
    <w:link w:val="857"/>
    <w:uiPriority w:val="9"/>
    <w:unhideWhenUsed/>
    <w:qFormat/>
    <w:pPr>
      <w:keepLines/>
      <w:keepNext/>
      <w:spacing w:before="320" w:after="200"/>
      <w:outlineLvl w:val="5"/>
    </w:pPr>
    <w:rPr>
      <w:rFonts w:ascii="Arial" w:hAnsi="Arial" w:eastAsia="Arial" w:cs="Arial"/>
      <w:b/>
      <w:bCs/>
      <w:sz w:val="22"/>
      <w:szCs w:val="22"/>
    </w:rPr>
  </w:style>
  <w:style w:type="character" w:styleId="857">
    <w:name w:val="Heading 6 Char"/>
    <w:link w:val="856"/>
    <w:uiPriority w:val="9"/>
    <w:rPr>
      <w:rFonts w:ascii="Arial" w:hAnsi="Arial" w:eastAsia="Arial" w:cs="Arial"/>
      <w:b/>
      <w:bCs/>
      <w:sz w:val="22"/>
      <w:szCs w:val="22"/>
    </w:rPr>
  </w:style>
  <w:style w:type="paragraph" w:styleId="858">
    <w:name w:val="Heading 7"/>
    <w:basedOn w:val="1024"/>
    <w:next w:val="1024"/>
    <w:link w:val="859"/>
    <w:uiPriority w:val="9"/>
    <w:unhideWhenUsed/>
    <w:qFormat/>
    <w:pPr>
      <w:keepLines/>
      <w:keepNext/>
      <w:spacing w:before="320" w:after="200"/>
      <w:outlineLvl w:val="6"/>
    </w:pPr>
    <w:rPr>
      <w:rFonts w:ascii="Arial" w:hAnsi="Arial" w:eastAsia="Arial" w:cs="Arial"/>
      <w:b/>
      <w:bCs/>
      <w:i/>
      <w:iCs/>
      <w:sz w:val="22"/>
      <w:szCs w:val="22"/>
    </w:rPr>
  </w:style>
  <w:style w:type="character" w:styleId="859">
    <w:name w:val="Heading 7 Char"/>
    <w:link w:val="858"/>
    <w:uiPriority w:val="9"/>
    <w:rPr>
      <w:rFonts w:ascii="Arial" w:hAnsi="Arial" w:eastAsia="Arial" w:cs="Arial"/>
      <w:b/>
      <w:bCs/>
      <w:i/>
      <w:iCs/>
      <w:sz w:val="22"/>
      <w:szCs w:val="22"/>
    </w:rPr>
  </w:style>
  <w:style w:type="paragraph" w:styleId="860">
    <w:name w:val="Heading 8"/>
    <w:basedOn w:val="1024"/>
    <w:next w:val="1024"/>
    <w:link w:val="861"/>
    <w:uiPriority w:val="9"/>
    <w:unhideWhenUsed/>
    <w:qFormat/>
    <w:pPr>
      <w:keepLines/>
      <w:keepNext/>
      <w:spacing w:before="320" w:after="200"/>
      <w:outlineLvl w:val="7"/>
    </w:pPr>
    <w:rPr>
      <w:rFonts w:ascii="Arial" w:hAnsi="Arial" w:eastAsia="Arial" w:cs="Arial"/>
      <w:i/>
      <w:iCs/>
      <w:sz w:val="22"/>
      <w:szCs w:val="22"/>
    </w:rPr>
  </w:style>
  <w:style w:type="character" w:styleId="861">
    <w:name w:val="Heading 8 Char"/>
    <w:link w:val="860"/>
    <w:uiPriority w:val="9"/>
    <w:rPr>
      <w:rFonts w:ascii="Arial" w:hAnsi="Arial" w:eastAsia="Arial" w:cs="Arial"/>
      <w:i/>
      <w:iCs/>
      <w:sz w:val="22"/>
      <w:szCs w:val="22"/>
    </w:rPr>
  </w:style>
  <w:style w:type="paragraph" w:styleId="862">
    <w:name w:val="Heading 9"/>
    <w:basedOn w:val="1024"/>
    <w:next w:val="1024"/>
    <w:link w:val="863"/>
    <w:uiPriority w:val="9"/>
    <w:unhideWhenUsed/>
    <w:qFormat/>
    <w:pPr>
      <w:keepLines/>
      <w:keepNext/>
      <w:spacing w:before="320" w:after="200"/>
      <w:outlineLvl w:val="8"/>
    </w:pPr>
    <w:rPr>
      <w:rFonts w:ascii="Arial" w:hAnsi="Arial" w:eastAsia="Arial" w:cs="Arial"/>
      <w:i/>
      <w:iCs/>
      <w:sz w:val="21"/>
      <w:szCs w:val="21"/>
    </w:rPr>
  </w:style>
  <w:style w:type="character" w:styleId="863">
    <w:name w:val="Heading 9 Char"/>
    <w:link w:val="862"/>
    <w:uiPriority w:val="9"/>
    <w:rPr>
      <w:rFonts w:ascii="Arial" w:hAnsi="Arial" w:eastAsia="Arial" w:cs="Arial"/>
      <w:i/>
      <w:iCs/>
      <w:sz w:val="21"/>
      <w:szCs w:val="21"/>
    </w:rPr>
  </w:style>
  <w:style w:type="paragraph" w:styleId="864">
    <w:name w:val="List Paragraph"/>
    <w:basedOn w:val="1024"/>
    <w:uiPriority w:val="34"/>
    <w:qFormat/>
    <w:pPr>
      <w:contextualSpacing/>
      <w:ind w:left="720"/>
    </w:pPr>
  </w:style>
  <w:style w:type="paragraph" w:styleId="865">
    <w:name w:val="No Spacing"/>
    <w:uiPriority w:val="1"/>
    <w:qFormat/>
    <w:pPr>
      <w:spacing w:before="0" w:after="0" w:line="240" w:lineRule="auto"/>
    </w:pPr>
  </w:style>
  <w:style w:type="paragraph" w:styleId="866">
    <w:name w:val="Title"/>
    <w:basedOn w:val="1024"/>
    <w:next w:val="1024"/>
    <w:link w:val="867"/>
    <w:uiPriority w:val="10"/>
    <w:qFormat/>
    <w:pPr>
      <w:contextualSpacing/>
      <w:spacing w:before="300" w:after="200"/>
    </w:pPr>
    <w:rPr>
      <w:sz w:val="48"/>
      <w:szCs w:val="48"/>
    </w:rPr>
  </w:style>
  <w:style w:type="character" w:styleId="867">
    <w:name w:val="Title Char"/>
    <w:link w:val="866"/>
    <w:uiPriority w:val="10"/>
    <w:rPr>
      <w:sz w:val="48"/>
      <w:szCs w:val="48"/>
    </w:rPr>
  </w:style>
  <w:style w:type="paragraph" w:styleId="868">
    <w:name w:val="Subtitle"/>
    <w:basedOn w:val="1024"/>
    <w:next w:val="1024"/>
    <w:link w:val="869"/>
    <w:uiPriority w:val="11"/>
    <w:qFormat/>
    <w:pPr>
      <w:spacing w:before="200" w:after="200"/>
    </w:pPr>
    <w:rPr>
      <w:sz w:val="24"/>
      <w:szCs w:val="24"/>
    </w:rPr>
  </w:style>
  <w:style w:type="character" w:styleId="869">
    <w:name w:val="Subtitle Char"/>
    <w:link w:val="868"/>
    <w:uiPriority w:val="11"/>
    <w:rPr>
      <w:sz w:val="24"/>
      <w:szCs w:val="24"/>
    </w:rPr>
  </w:style>
  <w:style w:type="paragraph" w:styleId="870">
    <w:name w:val="Quote"/>
    <w:basedOn w:val="1024"/>
    <w:next w:val="1024"/>
    <w:link w:val="871"/>
    <w:uiPriority w:val="29"/>
    <w:qFormat/>
    <w:pPr>
      <w:ind w:left="720" w:right="720"/>
    </w:pPr>
    <w:rPr>
      <w:i/>
    </w:rPr>
  </w:style>
  <w:style w:type="character" w:styleId="871">
    <w:name w:val="Quote Char"/>
    <w:link w:val="870"/>
    <w:uiPriority w:val="29"/>
    <w:rPr>
      <w:i/>
    </w:rPr>
  </w:style>
  <w:style w:type="paragraph" w:styleId="872">
    <w:name w:val="Intense Quote"/>
    <w:basedOn w:val="1024"/>
    <w:next w:val="1024"/>
    <w:link w:val="87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3">
    <w:name w:val="Intense Quote Char"/>
    <w:link w:val="872"/>
    <w:uiPriority w:val="30"/>
    <w:rPr>
      <w:i/>
    </w:rPr>
  </w:style>
  <w:style w:type="paragraph" w:styleId="874">
    <w:name w:val="Header"/>
    <w:basedOn w:val="1024"/>
    <w:link w:val="875"/>
    <w:uiPriority w:val="99"/>
    <w:unhideWhenUsed/>
    <w:pPr>
      <w:spacing w:after="0" w:line="240" w:lineRule="auto"/>
      <w:tabs>
        <w:tab w:val="center" w:pos="7143" w:leader="none"/>
        <w:tab w:val="right" w:pos="14287" w:leader="none"/>
      </w:tabs>
    </w:pPr>
  </w:style>
  <w:style w:type="character" w:styleId="875">
    <w:name w:val="Header Char"/>
    <w:link w:val="874"/>
    <w:uiPriority w:val="99"/>
  </w:style>
  <w:style w:type="paragraph" w:styleId="876">
    <w:name w:val="Footer"/>
    <w:basedOn w:val="1024"/>
    <w:link w:val="879"/>
    <w:uiPriority w:val="99"/>
    <w:unhideWhenUsed/>
    <w:pPr>
      <w:spacing w:after="0" w:line="240" w:lineRule="auto"/>
      <w:tabs>
        <w:tab w:val="center" w:pos="7143" w:leader="none"/>
        <w:tab w:val="right" w:pos="14287" w:leader="none"/>
      </w:tabs>
    </w:pPr>
  </w:style>
  <w:style w:type="character" w:styleId="877">
    <w:name w:val="Footer Char"/>
    <w:link w:val="876"/>
    <w:uiPriority w:val="99"/>
  </w:style>
  <w:style w:type="paragraph" w:styleId="878">
    <w:name w:val="Caption"/>
    <w:basedOn w:val="1024"/>
    <w:next w:val="1024"/>
    <w:uiPriority w:val="35"/>
    <w:semiHidden/>
    <w:unhideWhenUsed/>
    <w:qFormat/>
    <w:pPr>
      <w:spacing w:line="276" w:lineRule="auto"/>
    </w:pPr>
    <w:rPr>
      <w:b/>
      <w:bCs/>
      <w:color w:val="4f81bd" w:themeColor="accent1"/>
      <w:sz w:val="18"/>
      <w:szCs w:val="18"/>
    </w:rPr>
  </w:style>
  <w:style w:type="character" w:styleId="879">
    <w:name w:val="Caption Char"/>
    <w:basedOn w:val="878"/>
    <w:link w:val="876"/>
    <w:uiPriority w:val="99"/>
  </w:style>
  <w:style w:type="table" w:styleId="88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8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8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8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8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8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9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9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9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9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9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9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9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9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9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9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0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0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1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1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1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1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1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1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1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1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1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1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2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2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2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2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2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2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2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3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3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3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3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3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3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3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3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3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4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4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4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4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4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4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4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4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4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4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5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5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5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5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5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5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6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6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6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6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6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7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7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7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7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7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7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7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7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8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8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8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8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8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8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9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9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9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9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9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0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0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0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0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0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0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06">
    <w:name w:val="Hyperlink"/>
    <w:uiPriority w:val="99"/>
    <w:unhideWhenUsed/>
    <w:rPr>
      <w:color w:val="0000ff" w:themeColor="hyperlink"/>
      <w:u w:val="single"/>
    </w:rPr>
  </w:style>
  <w:style w:type="paragraph" w:styleId="1007">
    <w:name w:val="footnote text"/>
    <w:basedOn w:val="1024"/>
    <w:link w:val="1008"/>
    <w:uiPriority w:val="99"/>
    <w:semiHidden/>
    <w:unhideWhenUsed/>
    <w:pPr>
      <w:spacing w:after="40" w:line="240" w:lineRule="auto"/>
    </w:pPr>
    <w:rPr>
      <w:sz w:val="18"/>
    </w:rPr>
  </w:style>
  <w:style w:type="character" w:styleId="1008">
    <w:name w:val="Footnote Text Char"/>
    <w:link w:val="1007"/>
    <w:uiPriority w:val="99"/>
    <w:rPr>
      <w:sz w:val="18"/>
    </w:rPr>
  </w:style>
  <w:style w:type="character" w:styleId="1009">
    <w:name w:val="footnote reference"/>
    <w:uiPriority w:val="99"/>
    <w:unhideWhenUsed/>
    <w:rPr>
      <w:vertAlign w:val="superscript"/>
    </w:rPr>
  </w:style>
  <w:style w:type="paragraph" w:styleId="1010">
    <w:name w:val="endnote text"/>
    <w:basedOn w:val="1024"/>
    <w:link w:val="1011"/>
    <w:uiPriority w:val="99"/>
    <w:semiHidden/>
    <w:unhideWhenUsed/>
    <w:pPr>
      <w:spacing w:after="0" w:line="240" w:lineRule="auto"/>
    </w:pPr>
    <w:rPr>
      <w:sz w:val="20"/>
    </w:rPr>
  </w:style>
  <w:style w:type="character" w:styleId="1011">
    <w:name w:val="Endnote Text Char"/>
    <w:link w:val="1010"/>
    <w:uiPriority w:val="99"/>
    <w:rPr>
      <w:sz w:val="20"/>
    </w:rPr>
  </w:style>
  <w:style w:type="character" w:styleId="1012">
    <w:name w:val="endnote reference"/>
    <w:uiPriority w:val="99"/>
    <w:semiHidden/>
    <w:unhideWhenUsed/>
    <w:rPr>
      <w:vertAlign w:val="superscript"/>
    </w:rPr>
  </w:style>
  <w:style w:type="paragraph" w:styleId="1013">
    <w:name w:val="toc 1"/>
    <w:basedOn w:val="1024"/>
    <w:next w:val="1024"/>
    <w:uiPriority w:val="39"/>
    <w:unhideWhenUsed/>
    <w:pPr>
      <w:ind w:left="0" w:right="0" w:firstLine="0"/>
      <w:spacing w:after="57"/>
    </w:pPr>
  </w:style>
  <w:style w:type="paragraph" w:styleId="1014">
    <w:name w:val="toc 2"/>
    <w:basedOn w:val="1024"/>
    <w:next w:val="1024"/>
    <w:uiPriority w:val="39"/>
    <w:unhideWhenUsed/>
    <w:pPr>
      <w:ind w:left="283" w:right="0" w:firstLine="0"/>
      <w:spacing w:after="57"/>
    </w:pPr>
  </w:style>
  <w:style w:type="paragraph" w:styleId="1015">
    <w:name w:val="toc 3"/>
    <w:basedOn w:val="1024"/>
    <w:next w:val="1024"/>
    <w:uiPriority w:val="39"/>
    <w:unhideWhenUsed/>
    <w:pPr>
      <w:ind w:left="567" w:right="0" w:firstLine="0"/>
      <w:spacing w:after="57"/>
    </w:pPr>
  </w:style>
  <w:style w:type="paragraph" w:styleId="1016">
    <w:name w:val="toc 4"/>
    <w:basedOn w:val="1024"/>
    <w:next w:val="1024"/>
    <w:uiPriority w:val="39"/>
    <w:unhideWhenUsed/>
    <w:pPr>
      <w:ind w:left="850" w:right="0" w:firstLine="0"/>
      <w:spacing w:after="57"/>
    </w:pPr>
  </w:style>
  <w:style w:type="paragraph" w:styleId="1017">
    <w:name w:val="toc 5"/>
    <w:basedOn w:val="1024"/>
    <w:next w:val="1024"/>
    <w:uiPriority w:val="39"/>
    <w:unhideWhenUsed/>
    <w:pPr>
      <w:ind w:left="1134" w:right="0" w:firstLine="0"/>
      <w:spacing w:after="57"/>
    </w:pPr>
  </w:style>
  <w:style w:type="paragraph" w:styleId="1018">
    <w:name w:val="toc 6"/>
    <w:basedOn w:val="1024"/>
    <w:next w:val="1024"/>
    <w:uiPriority w:val="39"/>
    <w:unhideWhenUsed/>
    <w:pPr>
      <w:ind w:left="1417" w:right="0" w:firstLine="0"/>
      <w:spacing w:after="57"/>
    </w:pPr>
  </w:style>
  <w:style w:type="paragraph" w:styleId="1019">
    <w:name w:val="toc 7"/>
    <w:basedOn w:val="1024"/>
    <w:next w:val="1024"/>
    <w:uiPriority w:val="39"/>
    <w:unhideWhenUsed/>
    <w:pPr>
      <w:ind w:left="1701" w:right="0" w:firstLine="0"/>
      <w:spacing w:after="57"/>
    </w:pPr>
  </w:style>
  <w:style w:type="paragraph" w:styleId="1020">
    <w:name w:val="toc 8"/>
    <w:basedOn w:val="1024"/>
    <w:next w:val="1024"/>
    <w:uiPriority w:val="39"/>
    <w:unhideWhenUsed/>
    <w:pPr>
      <w:ind w:left="1984" w:right="0" w:firstLine="0"/>
      <w:spacing w:after="57"/>
    </w:pPr>
  </w:style>
  <w:style w:type="paragraph" w:styleId="1021">
    <w:name w:val="toc 9"/>
    <w:basedOn w:val="1024"/>
    <w:next w:val="1024"/>
    <w:uiPriority w:val="39"/>
    <w:unhideWhenUsed/>
    <w:pPr>
      <w:ind w:left="2268" w:right="0" w:firstLine="0"/>
      <w:spacing w:after="57"/>
    </w:pPr>
  </w:style>
  <w:style w:type="paragraph" w:styleId="1022">
    <w:name w:val="TOC Heading"/>
    <w:uiPriority w:val="39"/>
    <w:unhideWhenUsed/>
  </w:style>
  <w:style w:type="paragraph" w:styleId="1023">
    <w:name w:val="table of figures"/>
    <w:basedOn w:val="1024"/>
    <w:next w:val="1024"/>
    <w:uiPriority w:val="99"/>
    <w:unhideWhenUsed/>
    <w:pPr>
      <w:spacing w:after="0" w:afterAutospacing="0"/>
    </w:pPr>
  </w:style>
  <w:style w:type="paragraph" w:styleId="1024" w:default="1">
    <w:name w:val="Normal"/>
    <w:next w:val="1024"/>
    <w:link w:val="1024"/>
    <w:qFormat/>
    <w:pPr>
      <w:jc w:val="both"/>
      <w:widowControl w:val="off"/>
    </w:pPr>
    <w:rPr>
      <w:sz w:val="21"/>
      <w:szCs w:val="21"/>
      <w:lang w:val="en-US" w:eastAsia="zh-CN" w:bidi="ar-SA"/>
    </w:rPr>
  </w:style>
  <w:style w:type="paragraph" w:styleId="1025">
    <w:name w:val="标题 1"/>
    <w:basedOn w:val="1024"/>
    <w:next w:val="1024"/>
    <w:link w:val="1036"/>
    <w:qFormat/>
    <w:pPr>
      <w:jc w:val="center"/>
      <w:keepNext/>
      <w:outlineLvl w:val="0"/>
    </w:pPr>
    <w:rPr>
      <w:rFonts w:ascii="楷体_GB2312" w:eastAsia="楷体_GB2312"/>
      <w:sz w:val="28"/>
      <w:szCs w:val="28"/>
    </w:rPr>
  </w:style>
  <w:style w:type="paragraph" w:styleId="1026">
    <w:name w:val="标题 2"/>
    <w:basedOn w:val="1024"/>
    <w:next w:val="1024"/>
    <w:link w:val="1024"/>
    <w:qFormat/>
    <w:pPr>
      <w:jc w:val="center"/>
      <w:keepLines/>
      <w:keepNext/>
      <w:spacing w:before="260" w:after="260" w:line="416" w:lineRule="auto"/>
      <w:outlineLvl w:val="1"/>
    </w:pPr>
    <w:rPr>
      <w:rFonts w:ascii="Arial" w:hAnsi="Arial" w:eastAsia="幼圆" w:cs="Arial"/>
      <w:b/>
      <w:bCs/>
      <w:sz w:val="44"/>
      <w:szCs w:val="44"/>
    </w:rPr>
  </w:style>
  <w:style w:type="paragraph" w:styleId="1027">
    <w:name w:val="标题 3"/>
    <w:basedOn w:val="1024"/>
    <w:next w:val="1038"/>
    <w:link w:val="1037"/>
    <w:qFormat/>
    <w:pPr>
      <w:keepLines/>
      <w:keepNext/>
      <w:spacing w:before="260" w:after="260" w:line="416" w:lineRule="auto"/>
      <w:outlineLvl w:val="2"/>
    </w:pPr>
    <w:rPr>
      <w:b/>
      <w:bCs/>
      <w:sz w:val="32"/>
      <w:szCs w:val="32"/>
    </w:rPr>
  </w:style>
  <w:style w:type="paragraph" w:styleId="1028">
    <w:name w:val="标题 4"/>
    <w:basedOn w:val="1024"/>
    <w:next w:val="1024"/>
    <w:link w:val="1024"/>
    <w:qFormat/>
    <w:pPr>
      <w:keepLines/>
      <w:keepNext/>
      <w:spacing w:before="280" w:after="290" w:line="376" w:lineRule="auto"/>
      <w:outlineLvl w:val="3"/>
    </w:pPr>
    <w:rPr>
      <w:rFonts w:ascii="Arial" w:hAnsi="Arial" w:eastAsia="黑体" w:cs="Arial"/>
      <w:b/>
      <w:bCs/>
      <w:sz w:val="28"/>
      <w:szCs w:val="28"/>
    </w:rPr>
  </w:style>
  <w:style w:type="paragraph" w:styleId="1029">
    <w:name w:val="标题 5"/>
    <w:basedOn w:val="1024"/>
    <w:next w:val="1038"/>
    <w:link w:val="1024"/>
    <w:qFormat/>
    <w:pPr>
      <w:keepNext/>
      <w:outlineLvl w:val="4"/>
    </w:pPr>
    <w:rPr>
      <w:rFonts w:ascii="宋体"/>
      <w:color w:val="000000"/>
      <w:sz w:val="28"/>
      <w:szCs w:val="28"/>
    </w:rPr>
  </w:style>
  <w:style w:type="paragraph" w:styleId="1030">
    <w:name w:val="标题 6"/>
    <w:basedOn w:val="1024"/>
    <w:next w:val="1024"/>
    <w:link w:val="1024"/>
    <w:qFormat/>
    <w:pPr>
      <w:numPr>
        <w:ilvl w:val="5"/>
        <w:numId w:val="1"/>
      </w:numPr>
      <w:keepLines/>
      <w:keepNext/>
      <w:spacing w:before="240" w:after="64" w:line="320" w:lineRule="auto"/>
      <w:outlineLvl w:val="5"/>
    </w:pPr>
    <w:rPr>
      <w:rFonts w:ascii="Arial" w:hAnsi="Arial" w:eastAsia="黑体"/>
      <w:b/>
      <w:bCs/>
      <w:sz w:val="24"/>
      <w:szCs w:val="24"/>
    </w:rPr>
  </w:style>
  <w:style w:type="paragraph" w:styleId="1031">
    <w:name w:val="标题 7"/>
    <w:basedOn w:val="1024"/>
    <w:next w:val="1024"/>
    <w:link w:val="1024"/>
    <w:qFormat/>
    <w:pPr>
      <w:numPr>
        <w:ilvl w:val="6"/>
        <w:numId w:val="1"/>
      </w:numPr>
      <w:keepLines/>
      <w:keepNext/>
      <w:spacing w:before="240" w:after="64" w:line="320" w:lineRule="auto"/>
      <w:outlineLvl w:val="6"/>
    </w:pPr>
    <w:rPr>
      <w:b/>
      <w:bCs/>
      <w:sz w:val="24"/>
      <w:szCs w:val="24"/>
    </w:rPr>
  </w:style>
  <w:style w:type="paragraph" w:styleId="1032">
    <w:name w:val="标题 8"/>
    <w:basedOn w:val="1024"/>
    <w:next w:val="1024"/>
    <w:link w:val="1024"/>
    <w:qFormat/>
    <w:pPr>
      <w:numPr>
        <w:ilvl w:val="7"/>
        <w:numId w:val="1"/>
      </w:numPr>
      <w:keepLines/>
      <w:keepNext/>
      <w:spacing w:before="240" w:after="64" w:line="320" w:lineRule="auto"/>
      <w:outlineLvl w:val="7"/>
    </w:pPr>
    <w:rPr>
      <w:rFonts w:ascii="Arial" w:hAnsi="Arial" w:eastAsia="黑体"/>
      <w:sz w:val="24"/>
      <w:szCs w:val="24"/>
    </w:rPr>
  </w:style>
  <w:style w:type="paragraph" w:styleId="1033">
    <w:name w:val="标题 9"/>
    <w:basedOn w:val="1024"/>
    <w:next w:val="1024"/>
    <w:link w:val="1024"/>
    <w:qFormat/>
    <w:pPr>
      <w:numPr>
        <w:ilvl w:val="8"/>
        <w:numId w:val="1"/>
      </w:numPr>
      <w:keepLines/>
      <w:keepNext/>
      <w:spacing w:before="240" w:after="64" w:line="320" w:lineRule="auto"/>
      <w:outlineLvl w:val="8"/>
    </w:pPr>
    <w:rPr>
      <w:rFonts w:ascii="Arial" w:hAnsi="Arial" w:eastAsia="黑体"/>
    </w:rPr>
  </w:style>
  <w:style w:type="character" w:styleId="1034">
    <w:name w:val="默认段落字体"/>
    <w:next w:val="1034"/>
    <w:link w:val="1024"/>
    <w:uiPriority w:val="1"/>
    <w:unhideWhenUsed/>
  </w:style>
  <w:style w:type="table" w:styleId="1035">
    <w:name w:val="普通表格"/>
    <w:next w:val="1035"/>
    <w:link w:val="1024"/>
    <w:uiPriority w:val="99"/>
    <w:unhideWhenUsed/>
    <w:tblPr/>
  </w:style>
  <w:style w:type="character" w:styleId="1036">
    <w:name w:val="标题 1 Char1"/>
    <w:next w:val="1036"/>
    <w:link w:val="1025"/>
    <w:rPr>
      <w:rFonts w:ascii="楷体_GB2312" w:eastAsia="楷体_GB2312"/>
      <w:sz w:val="28"/>
      <w:szCs w:val="28"/>
    </w:rPr>
  </w:style>
  <w:style w:type="character" w:styleId="1037">
    <w:name w:val="标题 3 Char"/>
    <w:next w:val="1037"/>
    <w:link w:val="1027"/>
    <w:qFormat/>
    <w:rPr>
      <w:rFonts w:eastAsia="宋体"/>
      <w:b/>
      <w:bCs/>
      <w:sz w:val="32"/>
      <w:szCs w:val="32"/>
      <w:lang w:val="en-US" w:eastAsia="zh-CN" w:bidi="ar-SA"/>
    </w:rPr>
  </w:style>
  <w:style w:type="paragraph" w:styleId="1038">
    <w:name w:val="正文缩进"/>
    <w:basedOn w:val="1024"/>
    <w:next w:val="1038"/>
    <w:link w:val="1039"/>
    <w:uiPriority w:val="99"/>
    <w:qFormat/>
    <w:pPr>
      <w:ind w:firstLine="420"/>
    </w:pPr>
  </w:style>
  <w:style w:type="character" w:styleId="1039">
    <w:name w:val="正文缩进 Char"/>
    <w:next w:val="1039"/>
    <w:link w:val="1038"/>
    <w:qFormat/>
    <w:rPr>
      <w:sz w:val="21"/>
      <w:szCs w:val="21"/>
    </w:rPr>
  </w:style>
  <w:style w:type="paragraph" w:styleId="1040">
    <w:name w:val="列表 3"/>
    <w:basedOn w:val="1024"/>
    <w:next w:val="1040"/>
    <w:link w:val="1024"/>
    <w:qFormat/>
    <w:pPr>
      <w:ind w:left="100" w:hanging="200"/>
    </w:pPr>
  </w:style>
  <w:style w:type="paragraph" w:styleId="1041">
    <w:name w:val="目录 7"/>
    <w:basedOn w:val="1024"/>
    <w:next w:val="1024"/>
    <w:link w:val="1024"/>
    <w:semiHidden/>
    <w:qFormat/>
    <w:pPr>
      <w:ind w:left="1260"/>
      <w:jc w:val="left"/>
    </w:pPr>
  </w:style>
  <w:style w:type="paragraph" w:styleId="1042">
    <w:name w:val="文档结构图"/>
    <w:basedOn w:val="1024"/>
    <w:next w:val="1042"/>
    <w:link w:val="1043"/>
    <w:semiHidden/>
    <w:qFormat/>
    <w:pPr>
      <w:shd w:val="clear" w:color="auto" w:fill="000080"/>
    </w:pPr>
  </w:style>
  <w:style w:type="character" w:styleId="1043">
    <w:name w:val="文档结构图 Char"/>
    <w:next w:val="1043"/>
    <w:link w:val="1042"/>
    <w:qFormat/>
    <w:rPr>
      <w:rFonts w:eastAsia="宋体"/>
      <w:sz w:val="21"/>
      <w:szCs w:val="21"/>
      <w:lang w:val="en-US" w:eastAsia="zh-CN" w:bidi="ar-SA"/>
    </w:rPr>
  </w:style>
  <w:style w:type="paragraph" w:styleId="1044">
    <w:name w:val="批注文字"/>
    <w:basedOn w:val="1024"/>
    <w:next w:val="1044"/>
    <w:link w:val="1024"/>
    <w:semiHidden/>
    <w:qFormat/>
    <w:pPr>
      <w:jc w:val="left"/>
    </w:pPr>
  </w:style>
  <w:style w:type="paragraph" w:styleId="1045">
    <w:name w:val="正文文本 3"/>
    <w:basedOn w:val="1024"/>
    <w:next w:val="1045"/>
    <w:link w:val="1024"/>
    <w:qFormat/>
    <w:rPr>
      <w:rFonts w:ascii="仿宋_GB2312" w:hAnsi="Arial" w:eastAsia="仿宋_GB2312"/>
      <w:sz w:val="32"/>
      <w:szCs w:val="32"/>
    </w:rPr>
  </w:style>
  <w:style w:type="paragraph" w:styleId="1046">
    <w:name w:val="正文文本"/>
    <w:basedOn w:val="1024"/>
    <w:next w:val="1024"/>
    <w:link w:val="1024"/>
    <w:qFormat/>
    <w:rPr>
      <w:rFonts w:ascii="楷体_GB2312" w:hAnsi="Arial" w:eastAsia="楷体_GB2312"/>
      <w:sz w:val="28"/>
      <w:szCs w:val="28"/>
    </w:rPr>
  </w:style>
  <w:style w:type="paragraph" w:styleId="1047">
    <w:name w:val="正文文本缩进"/>
    <w:basedOn w:val="1024"/>
    <w:next w:val="1047"/>
    <w:link w:val="1024"/>
    <w:qFormat/>
    <w:pPr>
      <w:ind w:firstLine="645"/>
    </w:pPr>
    <w:rPr>
      <w:rFonts w:ascii="楷体_GB2312" w:eastAsia="楷体_GB2312"/>
      <w:sz w:val="32"/>
      <w:szCs w:val="32"/>
    </w:rPr>
  </w:style>
  <w:style w:type="paragraph" w:styleId="1048">
    <w:name w:val="列表 2"/>
    <w:basedOn w:val="1024"/>
    <w:next w:val="1048"/>
    <w:link w:val="1024"/>
    <w:qFormat/>
    <w:pPr>
      <w:ind w:left="100" w:hanging="200"/>
    </w:pPr>
  </w:style>
  <w:style w:type="paragraph" w:styleId="1049">
    <w:name w:val="列表项目符号 2"/>
    <w:basedOn w:val="1024"/>
    <w:next w:val="1049"/>
    <w:link w:val="1024"/>
    <w:qFormat/>
    <w:pPr>
      <w:numPr>
        <w:ilvl w:val="0"/>
        <w:numId w:val="2"/>
      </w:numPr>
      <w:tabs>
        <w:tab w:val="left" w:pos="780" w:leader="none"/>
      </w:tabs>
    </w:pPr>
  </w:style>
  <w:style w:type="paragraph" w:styleId="1050">
    <w:name w:val="索引 4"/>
    <w:basedOn w:val="1024"/>
    <w:next w:val="1024"/>
    <w:link w:val="1024"/>
    <w:semiHidden/>
    <w:qFormat/>
    <w:pPr>
      <w:ind w:left="1260"/>
    </w:pPr>
  </w:style>
  <w:style w:type="paragraph" w:styleId="1051">
    <w:name w:val="目录 5"/>
    <w:basedOn w:val="1024"/>
    <w:next w:val="1024"/>
    <w:link w:val="1024"/>
    <w:semiHidden/>
    <w:qFormat/>
    <w:pPr>
      <w:ind w:left="840"/>
      <w:jc w:val="left"/>
    </w:pPr>
  </w:style>
  <w:style w:type="paragraph" w:styleId="1052">
    <w:name w:val="目录 3"/>
    <w:basedOn w:val="1024"/>
    <w:next w:val="1024"/>
    <w:link w:val="1024"/>
    <w:semiHidden/>
    <w:qFormat/>
    <w:pPr>
      <w:ind w:left="420"/>
      <w:jc w:val="left"/>
    </w:pPr>
    <w:rPr>
      <w:i/>
      <w:iCs/>
      <w:szCs w:val="24"/>
    </w:rPr>
  </w:style>
  <w:style w:type="paragraph" w:styleId="1053">
    <w:name w:val="纯文本"/>
    <w:basedOn w:val="1024"/>
    <w:next w:val="1053"/>
    <w:link w:val="1054"/>
    <w:qFormat/>
    <w:rPr>
      <w:rFonts w:ascii="宋体" w:hAnsi="Courier New"/>
    </w:rPr>
  </w:style>
  <w:style w:type="character" w:styleId="1054">
    <w:name w:val="纯文本 Char"/>
    <w:next w:val="1054"/>
    <w:link w:val="1053"/>
    <w:uiPriority w:val="99"/>
    <w:qFormat/>
    <w:rPr>
      <w:rFonts w:ascii="宋体" w:hAnsi="Courier New" w:cs="Courier New"/>
      <w:sz w:val="21"/>
      <w:szCs w:val="21"/>
    </w:rPr>
  </w:style>
  <w:style w:type="paragraph" w:styleId="1055">
    <w:name w:val="目录 8"/>
    <w:basedOn w:val="1024"/>
    <w:next w:val="1024"/>
    <w:link w:val="1024"/>
    <w:semiHidden/>
    <w:qFormat/>
    <w:pPr>
      <w:ind w:left="1470"/>
      <w:jc w:val="left"/>
    </w:pPr>
  </w:style>
  <w:style w:type="paragraph" w:styleId="1056">
    <w:name w:val="日期"/>
    <w:basedOn w:val="1024"/>
    <w:next w:val="1024"/>
    <w:link w:val="1024"/>
    <w:qFormat/>
    <w:rPr>
      <w:sz w:val="24"/>
      <w:szCs w:val="24"/>
    </w:rPr>
  </w:style>
  <w:style w:type="paragraph" w:styleId="1057">
    <w:name w:val="正文文本缩进 2"/>
    <w:basedOn w:val="1024"/>
    <w:next w:val="1057"/>
    <w:link w:val="1024"/>
    <w:qFormat/>
    <w:pPr>
      <w:ind w:left="630" w:firstLine="645"/>
    </w:pPr>
    <w:rPr>
      <w:rFonts w:ascii="Arial" w:hAnsi="Arial" w:eastAsia="仿宋_GB2312" w:cs="Arial"/>
      <w:sz w:val="32"/>
      <w:szCs w:val="32"/>
    </w:rPr>
  </w:style>
  <w:style w:type="paragraph" w:styleId="1058">
    <w:name w:val="批注框文本"/>
    <w:basedOn w:val="1024"/>
    <w:next w:val="1058"/>
    <w:link w:val="1024"/>
    <w:semiHidden/>
    <w:qFormat/>
    <w:rPr>
      <w:sz w:val="18"/>
      <w:szCs w:val="18"/>
    </w:rPr>
  </w:style>
  <w:style w:type="paragraph" w:styleId="1059">
    <w:name w:val="页脚"/>
    <w:basedOn w:val="1024"/>
    <w:next w:val="1059"/>
    <w:link w:val="1060"/>
    <w:uiPriority w:val="99"/>
    <w:qFormat/>
    <w:pPr>
      <w:jc w:val="left"/>
      <w:tabs>
        <w:tab w:val="center" w:pos="4153" w:leader="none"/>
        <w:tab w:val="right" w:pos="8306" w:leader="none"/>
      </w:tabs>
    </w:pPr>
    <w:rPr>
      <w:sz w:val="18"/>
      <w:szCs w:val="18"/>
    </w:rPr>
  </w:style>
  <w:style w:type="character" w:styleId="1060">
    <w:name w:val="页脚 Char"/>
    <w:next w:val="1060"/>
    <w:link w:val="1059"/>
    <w:uiPriority w:val="99"/>
    <w:qFormat/>
    <w:rPr>
      <w:sz w:val="18"/>
      <w:szCs w:val="18"/>
    </w:rPr>
  </w:style>
  <w:style w:type="paragraph" w:styleId="1061">
    <w:name w:val="页眉"/>
    <w:basedOn w:val="1024"/>
    <w:next w:val="1061"/>
    <w:link w:val="1062"/>
    <w:uiPriority w:val="99"/>
    <w:qFormat/>
    <w:pPr>
      <w:jc w:val="center"/>
      <w:tabs>
        <w:tab w:val="center" w:pos="4153" w:leader="none"/>
        <w:tab w:val="right" w:pos="8306" w:leader="none"/>
      </w:tabs>
      <w:pBdr>
        <w:bottom w:val="single" w:color="000000" w:sz="6" w:space="1"/>
      </w:pBdr>
    </w:pPr>
    <w:rPr>
      <w:sz w:val="18"/>
      <w:szCs w:val="18"/>
    </w:rPr>
  </w:style>
  <w:style w:type="character" w:styleId="1062">
    <w:name w:val="页眉 Char"/>
    <w:next w:val="1062"/>
    <w:link w:val="1061"/>
    <w:uiPriority w:val="99"/>
    <w:qFormat/>
    <w:rPr>
      <w:sz w:val="18"/>
      <w:szCs w:val="18"/>
    </w:rPr>
  </w:style>
  <w:style w:type="paragraph" w:styleId="1063">
    <w:name w:val="目录 1"/>
    <w:basedOn w:val="1024"/>
    <w:next w:val="1024"/>
    <w:link w:val="1024"/>
    <w:semiHidden/>
    <w:qFormat/>
    <w:pPr>
      <w:jc w:val="left"/>
      <w:spacing w:before="120" w:after="120" w:line="400" w:lineRule="exact"/>
      <w:tabs>
        <w:tab w:val="right" w:pos="8720" w:leader="dot"/>
      </w:tabs>
    </w:pPr>
    <w:rPr>
      <w:rFonts w:ascii="宋体" w:hAnsi="宋体"/>
      <w:caps/>
      <w:sz w:val="24"/>
      <w:szCs w:val="24"/>
    </w:rPr>
  </w:style>
  <w:style w:type="paragraph" w:styleId="1064">
    <w:name w:val="目录 4"/>
    <w:basedOn w:val="1024"/>
    <w:next w:val="1024"/>
    <w:link w:val="1024"/>
    <w:semiHidden/>
    <w:qFormat/>
    <w:pPr>
      <w:ind w:left="630"/>
      <w:jc w:val="left"/>
    </w:pPr>
  </w:style>
  <w:style w:type="paragraph" w:styleId="1065">
    <w:name w:val="列表"/>
    <w:basedOn w:val="1024"/>
    <w:next w:val="1065"/>
    <w:link w:val="1024"/>
    <w:qFormat/>
    <w:pPr>
      <w:ind w:left="200" w:hanging="200"/>
    </w:pPr>
  </w:style>
  <w:style w:type="paragraph" w:styleId="1066">
    <w:name w:val="目录 6"/>
    <w:basedOn w:val="1024"/>
    <w:next w:val="1024"/>
    <w:link w:val="1024"/>
    <w:semiHidden/>
    <w:qFormat/>
    <w:pPr>
      <w:ind w:left="1050"/>
      <w:jc w:val="left"/>
    </w:pPr>
  </w:style>
  <w:style w:type="paragraph" w:styleId="1067">
    <w:name w:val="正文文本缩进 3"/>
    <w:basedOn w:val="1024"/>
    <w:next w:val="1067"/>
    <w:link w:val="1024"/>
    <w:qFormat/>
    <w:pPr>
      <w:ind w:left="645" w:firstLine="645"/>
    </w:pPr>
    <w:rPr>
      <w:rFonts w:ascii="Arial" w:hAnsi="Arial" w:eastAsia="仿宋_GB2312" w:cs="Arial"/>
      <w:color w:val="ffff00"/>
      <w:sz w:val="32"/>
      <w:szCs w:val="32"/>
    </w:rPr>
  </w:style>
  <w:style w:type="paragraph" w:styleId="1068">
    <w:name w:val="图表目录"/>
    <w:basedOn w:val="1024"/>
    <w:next w:val="1024"/>
    <w:link w:val="1024"/>
    <w:semiHidden/>
    <w:qFormat/>
    <w:pPr>
      <w:ind w:left="840" w:hanging="420"/>
    </w:pPr>
  </w:style>
  <w:style w:type="paragraph" w:styleId="1069">
    <w:name w:val="目录 2"/>
    <w:basedOn w:val="1024"/>
    <w:next w:val="1024"/>
    <w:link w:val="1024"/>
    <w:semiHidden/>
    <w:qFormat/>
    <w:pPr>
      <w:ind w:left="210"/>
      <w:jc w:val="left"/>
    </w:pPr>
    <w:rPr>
      <w:smallCaps/>
      <w:szCs w:val="24"/>
    </w:rPr>
  </w:style>
  <w:style w:type="paragraph" w:styleId="1070">
    <w:name w:val="目录 9"/>
    <w:basedOn w:val="1024"/>
    <w:next w:val="1024"/>
    <w:link w:val="1024"/>
    <w:semiHidden/>
    <w:qFormat/>
    <w:pPr>
      <w:ind w:left="1680"/>
      <w:jc w:val="left"/>
    </w:pPr>
  </w:style>
  <w:style w:type="paragraph" w:styleId="1071">
    <w:name w:val="正文文本 2"/>
    <w:basedOn w:val="1024"/>
    <w:next w:val="1071"/>
    <w:link w:val="1024"/>
    <w:qFormat/>
    <w:pPr>
      <w:jc w:val="center"/>
      <w:widowControl/>
    </w:pPr>
    <w:rPr>
      <w:rFonts w:ascii="楷体_GB2312" w:eastAsia="楷体_GB2312"/>
      <w:sz w:val="28"/>
      <w:szCs w:val="28"/>
    </w:rPr>
  </w:style>
  <w:style w:type="paragraph" w:styleId="1072">
    <w:name w:val="普通(网站)"/>
    <w:basedOn w:val="1024"/>
    <w:next w:val="1072"/>
    <w:link w:val="1073"/>
    <w:uiPriority w:val="99"/>
    <w:qFormat/>
    <w:pPr>
      <w:jc w:val="left"/>
      <w:spacing w:before="100" w:beforeAutospacing="1" w:after="100" w:afterAutospacing="1"/>
      <w:widowControl/>
    </w:pPr>
    <w:rPr>
      <w:rFonts w:ascii="宋体" w:hAnsi="宋体" w:cs="宋体"/>
      <w:sz w:val="24"/>
      <w:szCs w:val="24"/>
    </w:rPr>
  </w:style>
  <w:style w:type="character" w:styleId="1073">
    <w:name w:val="普通(网站) Char"/>
    <w:next w:val="1073"/>
    <w:link w:val="1072"/>
    <w:qFormat/>
    <w:rPr>
      <w:rFonts w:ascii="宋体" w:hAnsi="宋体" w:cs="宋体"/>
      <w:sz w:val="24"/>
      <w:szCs w:val="24"/>
    </w:rPr>
  </w:style>
  <w:style w:type="paragraph" w:styleId="1074">
    <w:name w:val="索引 1"/>
    <w:basedOn w:val="1024"/>
    <w:next w:val="1024"/>
    <w:link w:val="1024"/>
    <w:semiHidden/>
    <w:qFormat/>
    <w:pPr>
      <w:spacing w:line="240" w:lineRule="atLeast"/>
    </w:pPr>
    <w:rPr>
      <w:b/>
      <w:bCs/>
    </w:rPr>
  </w:style>
  <w:style w:type="paragraph" w:styleId="1075">
    <w:name w:val="标题"/>
    <w:basedOn w:val="1024"/>
    <w:next w:val="1024"/>
    <w:link w:val="1024"/>
    <w:uiPriority w:val="10"/>
    <w:qFormat/>
    <w:pPr>
      <w:ind w:firstLine="640"/>
      <w:jc w:val="left"/>
      <w:spacing w:line="560" w:lineRule="exact"/>
      <w:outlineLvl w:val="0"/>
    </w:pPr>
    <w:rPr>
      <w:rFonts w:ascii="方正仿宋_GBK" w:hAnsi="方正仿宋_GBK" w:eastAsia="方正仿宋_GBK"/>
    </w:rPr>
  </w:style>
  <w:style w:type="paragraph" w:styleId="1076">
    <w:name w:val="批注主题"/>
    <w:basedOn w:val="1044"/>
    <w:next w:val="1044"/>
    <w:link w:val="1024"/>
    <w:semiHidden/>
    <w:qFormat/>
    <w:rPr>
      <w:b/>
      <w:bCs/>
    </w:rPr>
  </w:style>
  <w:style w:type="paragraph" w:styleId="1077">
    <w:name w:val="正文首行缩进"/>
    <w:basedOn w:val="1046"/>
    <w:next w:val="1077"/>
    <w:link w:val="1024"/>
    <w:qFormat/>
    <w:pPr>
      <w:ind w:firstLine="200"/>
      <w:spacing w:line="360" w:lineRule="auto"/>
    </w:pPr>
    <w:rPr>
      <w:rFonts w:ascii="仿宋_GB2312" w:eastAsia="仿宋_GB2312"/>
      <w:sz w:val="30"/>
      <w:szCs w:val="30"/>
    </w:rPr>
  </w:style>
  <w:style w:type="paragraph" w:styleId="1078">
    <w:name w:val="正文首行缩进 2"/>
    <w:basedOn w:val="1047"/>
    <w:next w:val="1078"/>
    <w:link w:val="1024"/>
    <w:qFormat/>
    <w:pPr>
      <w:ind w:firstLine="420"/>
      <w:spacing w:line="360" w:lineRule="auto"/>
    </w:pPr>
    <w:rPr>
      <w:rFonts w:ascii="宋体" w:hAnsi="宋体" w:eastAsia="宋体"/>
      <w:sz w:val="21"/>
      <w:szCs w:val="20"/>
    </w:rPr>
  </w:style>
  <w:style w:type="table" w:styleId="1079">
    <w:name w:val="网格型"/>
    <w:basedOn w:val="1035"/>
    <w:next w:val="1079"/>
    <w:link w:val="1024"/>
    <w:qFormat/>
    <w:pPr>
      <w:jc w:val="both"/>
      <w:widowControl w:val="off"/>
    </w:pPr>
    <w:tblPr/>
  </w:style>
  <w:style w:type="character" w:styleId="1080">
    <w:name w:val="要点"/>
    <w:next w:val="1080"/>
    <w:link w:val="1024"/>
    <w:qFormat/>
    <w:rPr>
      <w:b/>
      <w:bCs/>
    </w:rPr>
  </w:style>
  <w:style w:type="character" w:styleId="1081">
    <w:name w:val="页码"/>
    <w:next w:val="1081"/>
    <w:link w:val="1024"/>
    <w:qFormat/>
  </w:style>
  <w:style w:type="character" w:styleId="1082">
    <w:name w:val="已访问的超链接"/>
    <w:next w:val="1082"/>
    <w:link w:val="1024"/>
    <w:uiPriority w:val="99"/>
    <w:qFormat/>
    <w:rPr>
      <w:rFonts w:hint="eastAsia" w:ascii="宋体" w:hAnsi="宋体" w:eastAsia="宋体" w:cs="宋体"/>
      <w:color w:val="000000"/>
      <w:sz w:val="12"/>
      <w:szCs w:val="12"/>
      <w:u w:val="none"/>
    </w:rPr>
  </w:style>
  <w:style w:type="character" w:styleId="1083">
    <w:name w:val="超链接"/>
    <w:next w:val="1083"/>
    <w:link w:val="1024"/>
    <w:uiPriority w:val="99"/>
    <w:qFormat/>
    <w:rPr>
      <w:rFonts w:hint="eastAsia" w:ascii="宋体" w:hAnsi="宋体" w:eastAsia="宋体" w:cs="宋体"/>
      <w:color w:val="000000"/>
      <w:sz w:val="12"/>
      <w:szCs w:val="12"/>
      <w:u w:val="none"/>
    </w:rPr>
  </w:style>
  <w:style w:type="character" w:styleId="1084">
    <w:name w:val="批注引用"/>
    <w:next w:val="1084"/>
    <w:link w:val="1024"/>
    <w:semiHidden/>
    <w:qFormat/>
    <w:rPr>
      <w:sz w:val="21"/>
      <w:szCs w:val="21"/>
    </w:rPr>
  </w:style>
  <w:style w:type="paragraph" w:styleId="1085">
    <w:name w:val="Default"/>
    <w:next w:val="1085"/>
    <w:link w:val="1024"/>
    <w:qFormat/>
    <w:pPr>
      <w:widowControl w:val="off"/>
    </w:pPr>
    <w:rPr>
      <w:color w:val="000000"/>
      <w:sz w:val="24"/>
      <w:szCs w:val="24"/>
      <w:lang w:val="en-US" w:eastAsia="zh-CN" w:bidi="ar-SA"/>
    </w:rPr>
  </w:style>
  <w:style w:type="paragraph" w:styleId="1086">
    <w:name w:val="Heading11"/>
    <w:next w:val="1024"/>
    <w:link w:val="1024"/>
    <w:qFormat/>
    <w:pPr>
      <w:jc w:val="both"/>
      <w:keepNext/>
      <w:widowControl w:val="off"/>
    </w:pPr>
    <w:rPr>
      <w:rFonts w:ascii="等线 Light" w:eastAsia="等线 Light"/>
      <w:sz w:val="28"/>
      <w:lang w:val="en-US" w:eastAsia="zh-CN" w:bidi="ar-SA"/>
    </w:rPr>
  </w:style>
  <w:style w:type="character" w:styleId="1087">
    <w:name w:val="普通正文 Char"/>
    <w:next w:val="1087"/>
    <w:link w:val="1088"/>
    <w:qFormat/>
    <w:rPr>
      <w:rFonts w:ascii="Arial" w:hAnsi="Arial"/>
      <w:sz w:val="24"/>
      <w:szCs w:val="24"/>
    </w:rPr>
  </w:style>
  <w:style w:type="paragraph" w:styleId="1088">
    <w:name w:val="普通正文"/>
    <w:basedOn w:val="1024"/>
    <w:next w:val="1088"/>
    <w:link w:val="1087"/>
    <w:qFormat/>
    <w:pPr>
      <w:ind w:firstLine="480"/>
      <w:jc w:val="left"/>
      <w:spacing w:before="120" w:after="120" w:line="360" w:lineRule="auto"/>
    </w:pPr>
    <w:rPr>
      <w:rFonts w:ascii="Arial" w:hAnsi="Arial"/>
      <w:sz w:val="24"/>
      <w:szCs w:val="24"/>
    </w:rPr>
  </w:style>
  <w:style w:type="character" w:styleId="1089">
    <w:name w:val="列出段落 Char"/>
    <w:next w:val="1089"/>
    <w:link w:val="1090"/>
    <w:qFormat/>
    <w:rPr>
      <w:rFonts w:ascii="Calibri" w:hAnsi="Calibri"/>
      <w:sz w:val="24"/>
      <w:szCs w:val="24"/>
      <w:lang w:eastAsia="en-US" w:bidi="en-US"/>
    </w:rPr>
  </w:style>
  <w:style w:type="paragraph" w:styleId="1090">
    <w:name w:val="列出段落1"/>
    <w:basedOn w:val="1024"/>
    <w:next w:val="1090"/>
    <w:link w:val="1089"/>
    <w:qFormat/>
    <w:pPr>
      <w:contextualSpacing/>
      <w:ind w:left="720"/>
      <w:jc w:val="left"/>
      <w:widowControl/>
    </w:pPr>
    <w:rPr>
      <w:sz w:val="24"/>
      <w:szCs w:val="24"/>
      <w:lang w:eastAsia="en-US" w:bidi="en-US"/>
    </w:rPr>
  </w:style>
  <w:style w:type="character" w:styleId="1091">
    <w:name w:val="二级目录 Char"/>
    <w:next w:val="1091"/>
    <w:link w:val="1092"/>
    <w:qFormat/>
    <w:rPr>
      <w:b/>
      <w:sz w:val="30"/>
      <w:szCs w:val="28"/>
    </w:rPr>
  </w:style>
  <w:style w:type="paragraph" w:styleId="1092">
    <w:name w:val="二级目录"/>
    <w:next w:val="1024"/>
    <w:link w:val="1091"/>
    <w:qFormat/>
    <w:pPr>
      <w:ind w:left="907" w:hanging="907"/>
      <w:tabs>
        <w:tab w:val="left" w:pos="907" w:leader="none"/>
        <w:tab w:val="left" w:pos="1145" w:leader="none"/>
      </w:tabs>
      <w:outlineLvl w:val="1"/>
    </w:pPr>
    <w:rPr>
      <w:b/>
      <w:sz w:val="30"/>
      <w:szCs w:val="28"/>
      <w:lang w:val="en-US" w:eastAsia="zh-CN" w:bidi="ar-SA"/>
    </w:rPr>
  </w:style>
  <w:style w:type="character" w:styleId="1093">
    <w:name w:val="apple-converted-space"/>
    <w:next w:val="1093"/>
    <w:link w:val="1024"/>
    <w:uiPriority w:val="99"/>
    <w:qFormat/>
  </w:style>
  <w:style w:type="character" w:styleId="1094">
    <w:name w:val="Char Char Char Char Char"/>
    <w:next w:val="1094"/>
    <w:link w:val="1095"/>
    <w:qFormat/>
    <w:rPr>
      <w:rFonts w:ascii="Tahoma" w:hAnsi="Tahoma" w:eastAsia="宋体"/>
      <w:sz w:val="24"/>
      <w:szCs w:val="24"/>
      <w:lang w:val="en-US" w:eastAsia="zh-CN" w:bidi="ar-SA"/>
    </w:rPr>
  </w:style>
  <w:style w:type="paragraph" w:styleId="1095">
    <w:name w:val="Char Char Char Char"/>
    <w:basedOn w:val="1042"/>
    <w:next w:val="1095"/>
    <w:link w:val="1094"/>
    <w:qFormat/>
    <w:pPr>
      <w:spacing w:line="360" w:lineRule="auto"/>
    </w:pPr>
    <w:rPr>
      <w:rFonts w:ascii="Tahoma" w:hAnsi="Tahoma"/>
      <w:sz w:val="24"/>
      <w:szCs w:val="24"/>
    </w:rPr>
  </w:style>
  <w:style w:type="character" w:styleId="1096">
    <w:name w:val="font5 Char"/>
    <w:next w:val="1096"/>
    <w:link w:val="1024"/>
    <w:qFormat/>
    <w:rPr>
      <w:rFonts w:ascii="宋体" w:hAnsi="宋体" w:eastAsia="宋体"/>
      <w:sz w:val="28"/>
      <w:szCs w:val="28"/>
      <w:lang w:val="en-US" w:eastAsia="zh-CN" w:bidi="ar-SA"/>
    </w:rPr>
  </w:style>
  <w:style w:type="character" w:styleId="1097">
    <w:name w:val="font11"/>
    <w:next w:val="1097"/>
    <w:link w:val="1024"/>
    <w:qFormat/>
    <w:rPr>
      <w:rFonts w:hint="eastAsia" w:ascii="宋体" w:hAnsi="宋体" w:eastAsia="宋体" w:cs="宋体"/>
      <w:color w:val="000000"/>
      <w:sz w:val="21"/>
      <w:szCs w:val="21"/>
      <w:u w:val="none"/>
    </w:rPr>
  </w:style>
  <w:style w:type="paragraph" w:styleId="1098">
    <w:name w:val="标题3"/>
    <w:basedOn w:val="1024"/>
    <w:next w:val="1024"/>
    <w:link w:val="1024"/>
    <w:qFormat/>
    <w:pPr>
      <w:ind w:firstLine="624"/>
      <w:spacing w:line="590" w:lineRule="atLeast"/>
    </w:pPr>
    <w:rPr>
      <w:rFonts w:ascii="方正黑体_GBK" w:eastAsia="方正黑体_GBK"/>
      <w:sz w:val="32"/>
      <w:szCs w:val="32"/>
    </w:rPr>
  </w:style>
  <w:style w:type="paragraph" w:styleId="1099">
    <w:name w:val="4"/>
    <w:basedOn w:val="1024"/>
    <w:next w:val="1067"/>
    <w:link w:val="1024"/>
    <w:uiPriority w:val="99"/>
    <w:qFormat/>
    <w:pPr>
      <w:ind w:firstLine="420"/>
      <w:spacing w:line="360" w:lineRule="auto"/>
    </w:pPr>
    <w:rPr>
      <w:color w:val="ff0000"/>
      <w:sz w:val="24"/>
      <w:szCs w:val="24"/>
    </w:rPr>
  </w:style>
  <w:style w:type="paragraph" w:styleId="1100">
    <w:name w:val="Char"/>
    <w:basedOn w:val="1042"/>
    <w:next w:val="1100"/>
    <w:link w:val="1024"/>
    <w:qFormat/>
    <w:rPr>
      <w:rFonts w:ascii="Tahoma" w:hAnsi="Tahoma"/>
      <w:sz w:val="24"/>
      <w:szCs w:val="24"/>
    </w:rPr>
  </w:style>
  <w:style w:type="paragraph" w:styleId="1101">
    <w:name w:val="table_lines"/>
    <w:basedOn w:val="1024"/>
    <w:next w:val="1101"/>
    <w:link w:val="1024"/>
    <w:qFormat/>
    <w:pPr>
      <w:jc w:val="left"/>
      <w:widowControl/>
    </w:pPr>
    <w:rPr>
      <w:sz w:val="20"/>
      <w:szCs w:val="20"/>
      <w:lang w:val="de-DE" w:eastAsia="de-DE"/>
    </w:rPr>
  </w:style>
  <w:style w:type="paragraph" w:styleId="1102">
    <w:name w:val="样式1"/>
    <w:basedOn w:val="1024"/>
    <w:next w:val="1102"/>
    <w:link w:val="1024"/>
    <w:qFormat/>
    <w:pPr>
      <w:numPr>
        <w:ilvl w:val="0"/>
        <w:numId w:val="3"/>
      </w:numPr>
      <w:tabs>
        <w:tab w:val="left" w:pos="709" w:leader="none"/>
      </w:tabs>
    </w:pPr>
    <w:rPr>
      <w:rFonts w:ascii="宋体" w:hAnsi="宋体"/>
    </w:rPr>
  </w:style>
  <w:style w:type="paragraph" w:styleId="1103">
    <w:name w:val="xl27"/>
    <w:basedOn w:val="1024"/>
    <w:next w:val="1103"/>
    <w:link w:val="102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04">
    <w:name w:val="Char Char Char Char Char Char Char Char Char Char"/>
    <w:basedOn w:val="1024"/>
    <w:next w:val="1104"/>
    <w:link w:val="1024"/>
    <w:qFormat/>
    <w:pPr>
      <w:spacing w:line="360" w:lineRule="auto"/>
    </w:pPr>
    <w:rPr>
      <w:sz w:val="24"/>
      <w:szCs w:val="20"/>
    </w:rPr>
  </w:style>
  <w:style w:type="paragraph" w:styleId="1105">
    <w:name w:val="Char Char Char Char1"/>
    <w:basedOn w:val="1042"/>
    <w:next w:val="1105"/>
    <w:link w:val="1024"/>
    <w:qFormat/>
    <w:pPr>
      <w:spacing w:line="360" w:lineRule="auto"/>
    </w:pPr>
    <w:rPr>
      <w:rFonts w:ascii="Tahoma" w:hAnsi="Tahoma"/>
      <w:sz w:val="24"/>
      <w:szCs w:val="24"/>
    </w:rPr>
  </w:style>
  <w:style w:type="paragraph" w:styleId="1106">
    <w:name w:val="xl26"/>
    <w:basedOn w:val="1024"/>
    <w:next w:val="1106"/>
    <w:link w:val="102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07">
    <w:name w:val="列出段落"/>
    <w:basedOn w:val="1024"/>
    <w:next w:val="1044"/>
    <w:link w:val="1024"/>
    <w:uiPriority w:val="34"/>
    <w:qFormat/>
    <w:pPr>
      <w:contextualSpacing/>
      <w:ind w:left="720"/>
      <w:jc w:val="left"/>
      <w:widowControl/>
    </w:pPr>
    <w:rPr>
      <w:rFonts w:ascii="Calibri" w:hAnsi="Calibri"/>
      <w:sz w:val="24"/>
      <w:szCs w:val="24"/>
      <w:lang w:eastAsia="en-US" w:bidi="en-US"/>
    </w:rPr>
  </w:style>
  <w:style w:type="paragraph" w:styleId="1108">
    <w:name w:val="正文 A"/>
    <w:next w:val="1109"/>
    <w:link w:val="1024"/>
    <w:qFormat/>
    <w:pPr>
      <w:jc w:val="both"/>
      <w:widowControl w:val="off"/>
    </w:pPr>
    <w:rPr>
      <w:rFonts w:eastAsia="Times New Roman" w:cs="Calibri"/>
      <w:color w:val="000000"/>
      <w:sz w:val="21"/>
      <w:szCs w:val="21"/>
      <w:lang w:val="en-US" w:eastAsia="zh-CN" w:bidi="ar-SA"/>
    </w:rPr>
  </w:style>
  <w:style w:type="paragraph" w:styleId="1109">
    <w:name w:val="段"/>
    <w:next w:val="1108"/>
    <w:link w:val="1024"/>
    <w:qFormat/>
    <w:pPr>
      <w:ind w:firstLine="200"/>
      <w:jc w:val="both"/>
    </w:pPr>
    <w:rPr>
      <w:rFonts w:ascii="宋体"/>
      <w:sz w:val="21"/>
      <w:lang w:val="en-US" w:eastAsia="zh-CN" w:bidi="ar-SA"/>
    </w:rPr>
  </w:style>
  <w:style w:type="paragraph" w:styleId="1110">
    <w:name w:val="正文（绿盟科技）"/>
    <w:next w:val="1110"/>
    <w:link w:val="1024"/>
    <w:qFormat/>
    <w:pPr>
      <w:spacing w:line="300" w:lineRule="auto"/>
    </w:pPr>
    <w:rPr>
      <w:rFonts w:ascii="Arial" w:hAnsi="Arial"/>
      <w:sz w:val="21"/>
      <w:szCs w:val="21"/>
      <w:lang w:val="en-US" w:eastAsia="zh-CN" w:bidi="ar-SA"/>
    </w:rPr>
  </w:style>
  <w:style w:type="paragraph" w:styleId="1111">
    <w:name w:val="Char1"/>
    <w:basedOn w:val="1024"/>
    <w:next w:val="1111"/>
    <w:link w:val="1024"/>
    <w:qFormat/>
    <w:pPr>
      <w:ind w:firstLine="200"/>
      <w:tabs>
        <w:tab w:val="left" w:pos="360" w:leader="none"/>
      </w:tabs>
    </w:pPr>
    <w:rPr>
      <w:sz w:val="28"/>
      <w:szCs w:val="30"/>
    </w:rPr>
  </w:style>
  <w:style w:type="paragraph" w:styleId="1112">
    <w:name w:val="标题1"/>
    <w:basedOn w:val="1024"/>
    <w:next w:val="1024"/>
    <w:link w:val="1024"/>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13">
    <w:name w:val="xl29"/>
    <w:basedOn w:val="1024"/>
    <w:next w:val="1113"/>
    <w:link w:val="1024"/>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14">
    <w:name w:val="xl25"/>
    <w:basedOn w:val="1024"/>
    <w:next w:val="1114"/>
    <w:link w:val="1024"/>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15">
    <w:name w:val="font5"/>
    <w:basedOn w:val="1024"/>
    <w:next w:val="1115"/>
    <w:link w:val="1024"/>
    <w:qFormat/>
    <w:pPr>
      <w:jc w:val="left"/>
      <w:spacing w:before="100" w:beforeAutospacing="1" w:after="100" w:afterAutospacing="1"/>
      <w:widowControl/>
    </w:pPr>
    <w:rPr>
      <w:rFonts w:hint="eastAsia" w:ascii="宋体" w:hAnsi="宋体"/>
      <w:sz w:val="28"/>
      <w:szCs w:val="28"/>
    </w:rPr>
  </w:style>
  <w:style w:type="paragraph" w:styleId="1116">
    <w:name w:val="正文首行缩进（绿盟科技）"/>
    <w:basedOn w:val="1110"/>
    <w:next w:val="1116"/>
    <w:link w:val="1024"/>
    <w:qFormat/>
    <w:pPr>
      <w:ind w:firstLine="200"/>
      <w:spacing w:after="50"/>
    </w:pPr>
  </w:style>
  <w:style w:type="paragraph" w:styleId="1117">
    <w:name w:val="附录1"/>
    <w:next w:val="1117"/>
    <w:link w:val="1024"/>
    <w:qFormat/>
    <w:pPr>
      <w:numPr>
        <w:ilvl w:val="0"/>
        <w:numId w:val="4"/>
      </w:numPr>
      <w:spacing w:before="240" w:line="600" w:lineRule="atLeast"/>
      <w:tabs>
        <w:tab w:val="left" w:pos="907" w:leader="none"/>
      </w:tabs>
    </w:pPr>
    <w:rPr>
      <w:b/>
      <w:i/>
      <w:sz w:val="28"/>
      <w:lang w:val="en-US" w:eastAsia="zh-CN" w:bidi="ar-SA"/>
    </w:rPr>
  </w:style>
  <w:style w:type="paragraph" w:styleId="1118">
    <w:name w:val="Body Text(ch)"/>
    <w:basedOn w:val="1024"/>
    <w:next w:val="1046"/>
    <w:link w:val="1024"/>
    <w:qFormat/>
    <w:pPr>
      <w:spacing w:after="120"/>
    </w:pPr>
    <w:rPr>
      <w:rFonts w:ascii="宋体" w:hAnsi="Arial"/>
      <w:bCs/>
      <w:iCs/>
      <w:szCs w:val="24"/>
    </w:rPr>
  </w:style>
  <w:style w:type="paragraph" w:styleId="1119">
    <w:name w:val="font7"/>
    <w:basedOn w:val="1024"/>
    <w:next w:val="1119"/>
    <w:link w:val="1024"/>
    <w:qFormat/>
    <w:pPr>
      <w:jc w:val="left"/>
      <w:spacing w:before="100" w:beforeAutospacing="1" w:after="100" w:afterAutospacing="1"/>
      <w:widowControl/>
    </w:pPr>
    <w:rPr>
      <w:rFonts w:hint="eastAsia" w:ascii="宋体" w:hAnsi="宋体"/>
      <w:sz w:val="18"/>
      <w:szCs w:val="18"/>
    </w:rPr>
  </w:style>
  <w:style w:type="paragraph" w:styleId="1120">
    <w:name w:val="xl28"/>
    <w:basedOn w:val="1024"/>
    <w:next w:val="1120"/>
    <w:link w:val="1024"/>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21">
    <w:name w:val="图标"/>
    <w:basedOn w:val="1024"/>
    <w:next w:val="1024"/>
    <w:link w:val="1024"/>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22">
    <w:name w:val="xl24"/>
    <w:basedOn w:val="1024"/>
    <w:next w:val="1122"/>
    <w:link w:val="102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23">
    <w:name w:val="table_1stline"/>
    <w:basedOn w:val="1024"/>
    <w:next w:val="1123"/>
    <w:link w:val="1024"/>
    <w:qFormat/>
    <w:pPr>
      <w:jc w:val="left"/>
      <w:spacing w:before="120"/>
      <w:widowControl/>
    </w:pPr>
    <w:rPr>
      <w:bCs/>
      <w:sz w:val="20"/>
      <w:szCs w:val="20"/>
      <w:lang w:val="de-DE" w:eastAsia="de-DE"/>
    </w:rPr>
  </w:style>
  <w:style w:type="paragraph" w:styleId="1124">
    <w:name w:val="普通 (Web)"/>
    <w:basedOn w:val="1024"/>
    <w:next w:val="1124"/>
    <w:link w:val="1024"/>
    <w:qFormat/>
    <w:pPr>
      <w:jc w:val="left"/>
      <w:spacing w:before="100" w:beforeAutospacing="1" w:after="100" w:afterAutospacing="1"/>
      <w:widowControl/>
    </w:pPr>
    <w:rPr>
      <w:rFonts w:ascii="宋体" w:hAnsi="宋体"/>
      <w:sz w:val="24"/>
      <w:szCs w:val="24"/>
    </w:rPr>
  </w:style>
  <w:style w:type="paragraph" w:styleId="1125">
    <w:name w:val="Table Paragraph"/>
    <w:basedOn w:val="1024"/>
    <w:next w:val="1125"/>
    <w:link w:val="1024"/>
    <w:uiPriority w:val="1"/>
    <w:qFormat/>
    <w:rPr>
      <w:rFonts w:ascii="宋体" w:hAnsi="宋体" w:cs="宋体"/>
      <w:lang w:val="zh-CN" w:bidi="zh-CN"/>
    </w:rPr>
  </w:style>
  <w:style w:type="paragraph" w:styleId="1126">
    <w:name w:val="**正文"/>
    <w:basedOn w:val="1024"/>
    <w:next w:val="1126"/>
    <w:link w:val="1024"/>
    <w:qFormat/>
    <w:pPr>
      <w:ind w:firstLine="480"/>
      <w:spacing w:line="360" w:lineRule="auto"/>
    </w:pPr>
    <w:rPr>
      <w:sz w:val="20"/>
      <w:szCs w:val="32"/>
    </w:rPr>
  </w:style>
  <w:style w:type="paragraph" w:styleId="1127">
    <w:name w:val="Char Char Char Char Char Char Char Char"/>
    <w:basedOn w:val="1024"/>
    <w:next w:val="1127"/>
    <w:link w:val="1024"/>
    <w:qFormat/>
    <w:pPr>
      <w:jc w:val="left"/>
      <w:spacing w:after="160" w:line="240" w:lineRule="exact"/>
      <w:widowControl/>
    </w:pPr>
    <w:rPr>
      <w:rFonts w:ascii="Verdana" w:hAnsi="Verdana"/>
      <w:sz w:val="20"/>
      <w:szCs w:val="20"/>
      <w:lang w:eastAsia="en-US"/>
    </w:rPr>
  </w:style>
  <w:style w:type="paragraph" w:styleId="1128">
    <w:name w:val="xl30"/>
    <w:basedOn w:val="1024"/>
    <w:next w:val="1128"/>
    <w:link w:val="1024"/>
    <w:qFormat/>
    <w:pPr>
      <w:jc w:val="center"/>
      <w:spacing w:before="100" w:beforeAutospacing="1" w:after="100" w:afterAutospacing="1"/>
      <w:widowControl/>
    </w:pPr>
    <w:rPr>
      <w:rFonts w:ascii="宋体" w:hAnsi="宋体"/>
      <w:b/>
      <w:bCs/>
      <w:sz w:val="36"/>
      <w:szCs w:val="36"/>
    </w:rPr>
  </w:style>
  <w:style w:type="paragraph" w:styleId="1129">
    <w:name w:val="font6"/>
    <w:basedOn w:val="1024"/>
    <w:next w:val="1129"/>
    <w:link w:val="1024"/>
    <w:qFormat/>
    <w:pPr>
      <w:jc w:val="left"/>
      <w:spacing w:before="100" w:beforeAutospacing="1" w:after="100" w:afterAutospacing="1"/>
      <w:widowControl/>
    </w:pPr>
    <w:rPr>
      <w:rFonts w:hint="eastAsia" w:ascii="宋体" w:hAnsi="宋体"/>
      <w:sz w:val="28"/>
      <w:szCs w:val="28"/>
      <w:u w:val="single"/>
    </w:rPr>
  </w:style>
  <w:style w:type="paragraph" w:styleId="1130">
    <w:name w:val="Char Char Char Char Char Char Char Char1"/>
    <w:basedOn w:val="1024"/>
    <w:next w:val="1130"/>
    <w:link w:val="1024"/>
    <w:qFormat/>
    <w:pPr>
      <w:jc w:val="left"/>
      <w:spacing w:after="160" w:line="240" w:lineRule="exact"/>
      <w:widowControl/>
    </w:pPr>
    <w:rPr>
      <w:rFonts w:ascii="Verdana" w:hAnsi="Verdana"/>
      <w:sz w:val="20"/>
      <w:szCs w:val="20"/>
      <w:lang w:eastAsia="en-US"/>
    </w:rPr>
  </w:style>
  <w:style w:type="paragraph" w:styleId="1131">
    <w:name w:val="列出段落2"/>
    <w:basedOn w:val="1024"/>
    <w:next w:val="1131"/>
    <w:link w:val="1024"/>
    <w:uiPriority w:val="34"/>
    <w:qFormat/>
    <w:pPr>
      <w:ind w:firstLine="420"/>
    </w:pPr>
  </w:style>
  <w:style w:type="paragraph" w:styleId="1132">
    <w:name w:val="首行缩进"/>
    <w:basedOn w:val="1024"/>
    <w:next w:val="1132"/>
    <w:link w:val="1024"/>
    <w:qFormat/>
    <w:pPr>
      <w:ind w:firstLine="420"/>
      <w:spacing w:line="360" w:lineRule="auto"/>
    </w:pPr>
  </w:style>
  <w:style w:type="paragraph" w:styleId="1133">
    <w:name w:val="Index41"/>
    <w:basedOn w:val="1024"/>
    <w:next w:val="1024"/>
    <w:link w:val="1024"/>
    <w:semiHidden/>
    <w:qFormat/>
    <w:pPr>
      <w:ind w:left="600"/>
    </w:pPr>
  </w:style>
  <w:style w:type="character" w:styleId="1134">
    <w:name w:val="NormalCharacter1"/>
    <w:next w:val="1134"/>
    <w:link w:val="1135"/>
    <w:semiHidden/>
    <w:qFormat/>
    <w:rPr>
      <w:rFonts w:ascii="Wingdings 2" w:hAnsi="Wingdings 2"/>
    </w:rPr>
  </w:style>
  <w:style w:type="paragraph" w:styleId="1135">
    <w:name w:val="UserStyle_0"/>
    <w:basedOn w:val="1024"/>
    <w:next w:val="1135"/>
    <w:link w:val="1134"/>
    <w:qFormat/>
    <w:rPr>
      <w:rFonts w:ascii="Wingdings 2" w:hAnsi="Wingdings 2"/>
    </w:rPr>
  </w:style>
  <w:style w:type="paragraph" w:styleId="1136">
    <w:name w:val="报告正文"/>
    <w:basedOn w:val="1024"/>
    <w:next w:val="1136"/>
    <w:link w:val="1024"/>
    <w:qFormat/>
    <w:pPr>
      <w:ind w:firstLine="200"/>
      <w:spacing w:line="360" w:lineRule="auto"/>
    </w:pPr>
    <w:rPr>
      <w:rFonts w:ascii="宋体" w:hAnsi="宋体"/>
      <w:sz w:val="24"/>
      <w:szCs w:val="44"/>
    </w:rPr>
  </w:style>
  <w:style w:type="paragraph" w:styleId="1137">
    <w:name w:val="检测报告正文"/>
    <w:basedOn w:val="1024"/>
    <w:next w:val="1137"/>
    <w:link w:val="1024"/>
    <w:qFormat/>
    <w:pPr>
      <w:ind w:firstLine="200"/>
      <w:jc w:val="left"/>
      <w:spacing w:line="360" w:lineRule="auto"/>
    </w:pPr>
    <w:rPr>
      <w:rFonts w:ascii="仿宋_GB2312" w:eastAsia="仿宋_GB2312"/>
      <w:sz w:val="24"/>
      <w:szCs w:val="20"/>
    </w:rPr>
  </w:style>
  <w:style w:type="paragraph" w:styleId="1138">
    <w:name w:val="7 表格内文字"/>
    <w:basedOn w:val="1024"/>
    <w:next w:val="1138"/>
    <w:link w:val="1024"/>
    <w:qFormat/>
    <w:pPr>
      <w:jc w:val="center"/>
      <w:widowControl/>
    </w:pPr>
    <w:rPr>
      <w:rFonts w:ascii="宋体" w:hAnsi="宋体"/>
      <w:sz w:val="24"/>
    </w:rPr>
  </w:style>
  <w:style w:type="paragraph" w:styleId="1139">
    <w:name w:val="ZDY正文"/>
    <w:basedOn w:val="1024"/>
    <w:next w:val="1139"/>
    <w:link w:val="1024"/>
    <w:qFormat/>
    <w:pPr>
      <w:ind w:firstLine="480"/>
      <w:spacing w:line="360" w:lineRule="auto"/>
    </w:pPr>
    <w:rPr>
      <w:sz w:val="24"/>
    </w:rPr>
  </w:style>
  <w:style w:type="paragraph" w:styleId="1140">
    <w:name w:val="修订"/>
    <w:next w:val="1140"/>
    <w:link w:val="1024"/>
    <w:uiPriority w:val="99"/>
    <w:unhideWhenUsed/>
    <w:rPr>
      <w:sz w:val="21"/>
      <w:szCs w:val="21"/>
      <w:lang w:val="en-US" w:eastAsia="zh-CN" w:bidi="ar-SA"/>
    </w:rPr>
  </w:style>
  <w:style w:type="character" w:styleId="1141">
    <w:name w:val="grame"/>
    <w:next w:val="1141"/>
    <w:link w:val="1024"/>
  </w:style>
  <w:style w:type="paragraph" w:styleId="1142">
    <w:name w:val="正文格式"/>
    <w:basedOn w:val="1024"/>
    <w:next w:val="1142"/>
    <w:link w:val="1024"/>
    <w:qFormat/>
    <w:pPr>
      <w:ind w:firstLine="482"/>
      <w:spacing w:line="360" w:lineRule="auto"/>
      <w:widowControl/>
    </w:pPr>
    <w:rPr>
      <w:rFonts w:ascii="Calibri" w:hAnsi="Calibri"/>
      <w:sz w:val="24"/>
      <w:szCs w:val="22"/>
    </w:rPr>
  </w:style>
  <w:style w:type="character" w:styleId="1143">
    <w:name w:val="页脚 字符"/>
    <w:next w:val="1143"/>
    <w:link w:val="1024"/>
    <w:uiPriority w:val="99"/>
  </w:style>
  <w:style w:type="character" w:styleId="1144">
    <w:name w:val="font51"/>
    <w:next w:val="1144"/>
    <w:link w:val="1024"/>
    <w:rPr>
      <w:rFonts w:hint="eastAsia" w:ascii="仿宋_GB2312" w:eastAsia="仿宋_GB2312"/>
      <w:color w:val="000000"/>
      <w:sz w:val="20"/>
      <w:szCs w:val="20"/>
      <w:u w:val="none"/>
    </w:rPr>
  </w:style>
  <w:style w:type="character" w:styleId="1145">
    <w:name w:val="font61"/>
    <w:next w:val="1145"/>
    <w:link w:val="1024"/>
    <w:rPr>
      <w:rFonts w:hint="eastAsia" w:ascii="宋体" w:hAnsi="宋体" w:eastAsia="宋体"/>
      <w:color w:val="000000"/>
      <w:sz w:val="20"/>
      <w:szCs w:val="20"/>
      <w:u w:val="none"/>
    </w:rPr>
  </w:style>
  <w:style w:type="character" w:styleId="1146">
    <w:name w:val="font41"/>
    <w:next w:val="1146"/>
    <w:link w:val="1024"/>
    <w:rPr>
      <w:rFonts w:hint="eastAsia" w:ascii="仿宋_GB2312" w:eastAsia="仿宋_GB2312" w:cs="仿宋_GB2312"/>
      <w:i w:val="0"/>
      <w:iCs w:val="0"/>
      <w:color w:val="000000"/>
      <w:sz w:val="24"/>
      <w:szCs w:val="24"/>
      <w:u w:val="none"/>
    </w:rPr>
  </w:style>
  <w:style w:type="character" w:styleId="1147">
    <w:name w:val="font81"/>
    <w:next w:val="1147"/>
    <w:link w:val="1024"/>
    <w:rPr>
      <w:rFonts w:hint="eastAsia" w:ascii="宋体" w:hAnsi="宋体" w:eastAsia="宋体" w:cs="宋体"/>
      <w:i w:val="0"/>
      <w:iCs w:val="0"/>
      <w:color w:val="000000"/>
      <w:sz w:val="24"/>
      <w:szCs w:val="24"/>
      <w:u w:val="none"/>
    </w:rPr>
  </w:style>
  <w:style w:type="character" w:styleId="1148">
    <w:name w:val="font91"/>
    <w:next w:val="1148"/>
    <w:link w:val="1024"/>
    <w:rPr>
      <w:rFonts w:hint="eastAsia" w:ascii="宋体" w:hAnsi="宋体" w:eastAsia="宋体" w:cs="宋体"/>
      <w:i w:val="0"/>
      <w:iCs w:val="0"/>
      <w:color w:val="000000"/>
      <w:sz w:val="24"/>
      <w:szCs w:val="24"/>
      <w:u w:val="none"/>
    </w:rPr>
  </w:style>
  <w:style w:type="character" w:styleId="1149">
    <w:name w:val="font71"/>
    <w:next w:val="1149"/>
    <w:link w:val="1024"/>
    <w:rPr>
      <w:rFonts w:hint="eastAsia" w:ascii="仿宋_GB2312" w:eastAsia="仿宋_GB2312" w:cs="仿宋_GB2312"/>
      <w:i w:val="0"/>
      <w:iCs w:val="0"/>
      <w:color w:val="000000"/>
      <w:sz w:val="24"/>
      <w:szCs w:val="24"/>
      <w:u w:val="none"/>
    </w:rPr>
  </w:style>
  <w:style w:type="character" w:styleId="1150">
    <w:name w:val="font101"/>
    <w:next w:val="1150"/>
    <w:link w:val="1024"/>
    <w:rPr>
      <w:rFonts w:hint="eastAsia" w:ascii="宋体" w:hAnsi="宋体" w:eastAsia="宋体" w:cs="宋体"/>
      <w:i w:val="0"/>
      <w:iCs w:val="0"/>
      <w:color w:val="000000"/>
      <w:sz w:val="24"/>
      <w:szCs w:val="24"/>
      <w:u w:val="none"/>
    </w:rPr>
  </w:style>
  <w:style w:type="character" w:styleId="1151">
    <w:name w:val="未处理的提及"/>
    <w:next w:val="1151"/>
    <w:link w:val="1024"/>
    <w:uiPriority w:val="99"/>
    <w:unhideWhenUsed/>
    <w:rPr>
      <w:color w:val="605e5c"/>
      <w:shd w:val="clear" w:color="auto" w:fill="e1dfdd"/>
    </w:rPr>
  </w:style>
  <w:style w:type="character" w:styleId="1152">
    <w:name w:val="标题 1 Char"/>
    <w:next w:val="1152"/>
    <w:link w:val="1024"/>
    <w:rPr>
      <w:rFonts w:ascii="楷体_GB2312" w:eastAsia="楷体_GB2312"/>
      <w:sz w:val="28"/>
      <w:szCs w:val="28"/>
    </w:rPr>
  </w:style>
  <w:style w:type="paragraph" w:styleId="1153">
    <w:name w:val="正文首行缩进 21"/>
    <w:basedOn w:val="1154"/>
    <w:next w:val="1153"/>
    <w:link w:val="1024"/>
    <w:qFormat/>
    <w:pPr>
      <w:ind w:firstLine="420"/>
    </w:pPr>
  </w:style>
  <w:style w:type="paragraph" w:styleId="1154">
    <w:name w:val="正文文本缩进1"/>
    <w:basedOn w:val="1024"/>
    <w:next w:val="1154"/>
    <w:link w:val="1024"/>
    <w:qFormat/>
    <w:pPr>
      <w:ind w:left="420"/>
      <w:spacing w:after="120"/>
    </w:pPr>
  </w:style>
  <w:style w:type="paragraph" w:styleId="1155">
    <w:name w:val="Table Text"/>
    <w:basedOn w:val="1024"/>
    <w:next w:val="1155"/>
    <w:link w:val="1024"/>
    <w:semiHidden/>
    <w:qFormat/>
    <w:rPr>
      <w:rFonts w:ascii="宋体" w:hAnsi="宋体" w:eastAsia="宋体" w:cs="宋体"/>
    </w:rPr>
  </w:style>
  <w:style w:type="table" w:styleId="1156">
    <w:name w:val="Table Normal"/>
    <w:next w:val="1156"/>
    <w:link w:val="1024"/>
    <w:unhideWhenUsed/>
    <w:qFormat/>
    <w:rPr>
      <w:lang w:val="en-US" w:eastAsia="zh-CN" w:bidi="ar-SA"/>
    </w:rPr>
    <w:tblPr/>
  </w:style>
  <w:style w:type="paragraph" w:styleId="1157">
    <w:name w:val="寄信人地址1"/>
    <w:basedOn w:val="1158"/>
    <w:next w:val="1157"/>
    <w:link w:val="1024"/>
    <w:qFormat/>
    <w:rPr>
      <w:rFonts w:ascii="Arial" w:hAnsi="Arial"/>
    </w:rPr>
  </w:style>
  <w:style w:type="paragraph" w:styleId="1158">
    <w:name w:val="正文111"/>
    <w:next w:val="1024"/>
    <w:link w:val="1024"/>
    <w:qFormat/>
    <w:pPr>
      <w:jc w:val="both"/>
      <w:widowControl w:val="off"/>
    </w:pPr>
    <w:rPr>
      <w:sz w:val="21"/>
      <w:szCs w:val="24"/>
      <w:lang w:val="en-US" w:eastAsia="zh-CN" w:bidi="ar-SA"/>
    </w:rPr>
  </w:style>
  <w:style w:type="paragraph" w:styleId="1159">
    <w:name w:val="正文缩进1"/>
    <w:basedOn w:val="1024"/>
    <w:next w:val="1159"/>
    <w:link w:val="1024"/>
    <w:qFormat/>
    <w:pPr>
      <w:ind w:firstLine="420"/>
    </w:pPr>
    <w:rPr>
      <w:szCs w:val="21"/>
    </w:rPr>
  </w:style>
  <w:style w:type="character" w:styleId="1160" w:default="1">
    <w:name w:val="Default Paragraph Font"/>
    <w:uiPriority w:val="1"/>
    <w:semiHidden/>
    <w:unhideWhenUsed/>
  </w:style>
  <w:style w:type="numbering" w:styleId="1161" w:default="1">
    <w:name w:val="No List"/>
    <w:uiPriority w:val="99"/>
    <w:semiHidden/>
    <w:unhideWhenUsed/>
  </w:style>
  <w:style w:type="table" w:styleId="116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财政厅局</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江苏卫生信息</dc:title>
  <dc:creator>政府采</dc:creator>
  <cp:lastModifiedBy>滕玉宝</cp:lastModifiedBy>
  <cp:revision>6</cp:revision>
  <dcterms:created xsi:type="dcterms:W3CDTF">2026-08-11T02:29:00Z</dcterms:created>
  <dcterms:modified xsi:type="dcterms:W3CDTF">2026-09-02T09:15:07Z</dcterms:modified>
</cp:coreProperties>
</file>