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项目名称：盐城市长江路实验学校理化生实验室标准化考场项目（二次）</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项目编号：JSZC-320991-JSZH-G2025-0072</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285"/>
        <w:spacing w:before="120" w:after="12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采 购 人：盐城市长江路实验学校</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招标代理：江苏智汇锡建工程项目管理有限公司</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2026年4月</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940"/>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2160" w:right="0" w:hanging="144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招标公告……………………………………1</w:t>
      </w:r>
      <w:r/>
    </w:p>
    <w:p>
      <w:pPr>
        <w:ind w:left="2160" w:right="0" w:hanging="144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投标人须知…………………………………4</w:t>
      </w:r>
      <w:r>
        <w:rPr>
          <w:rFonts w:ascii="SimSun" w:hAnsi="SimSun" w:eastAsia="SimSun" w:cs="SimSun"/>
          <w:color w:val="000000"/>
          <w:sz w:val="36"/>
        </w:rPr>
        <w:t xml:space="preserve">  </w:t>
      </w:r>
      <w:r/>
    </w:p>
    <w:p>
      <w:pPr>
        <w:ind w:left="2160" w:right="0" w:hanging="144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合同文本……………………………………18</w:t>
      </w:r>
      <w:r/>
    </w:p>
    <w:p>
      <w:pPr>
        <w:ind w:left="2160" w:right="0" w:hanging="144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采购需求……………………………………25</w:t>
      </w:r>
      <w:r/>
    </w:p>
    <w:p>
      <w:pPr>
        <w:ind w:left="2160" w:right="0" w:hanging="144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评标方法与评标标准………………………57</w:t>
      </w:r>
      <w:r/>
    </w:p>
    <w:p>
      <w:pPr>
        <w:ind w:left="0" w:right="0" w:firstLine="720"/>
        <w:jc w:val="both"/>
        <w:spacing w:before="0" w:after="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投标文件格式………………………………63</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680"/>
        <w:ind w:left="0" w:right="0" w:firstLine="3200"/>
        <w:spacing w:before="480" w:after="200" w:line="456"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0"/>
        </w:rPr>
        <w:t xml:space="preserve">第一章招标公告</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u w:val="single"/>
              </w:rPr>
              <w:t xml:space="preserve">盐城市长江路实验学校理化生实验室标准化考场项目 JSZC-320991-JSZH-G2025-0072 招标项目的潜在投标人应在“苏采云”系统内免费下载（投标人必须在苏采云系统中获取采购文件，方能参与政府采购项目） 获取招标文件，并于2026-5-27 09:00 （北京时间）前递交投标文件。</w:t>
            </w:r>
            <w:r/>
          </w:p>
        </w:tc>
      </w:tr>
    </w:tbl>
    <w:p>
      <w:pPr>
        <w:pStyle w:val="681"/>
        <w:ind w:left="0" w:right="0" w:firstLine="0"/>
        <w:spacing w:before="361"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一、项目基本情况</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项目编号：JSZC-320991-JSZH-G2025-0072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项目名称：盐城市长江路实验学校理化生实验室标准化考场项目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预算金额：270.000000万元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最高限价（如有）：270万元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采购需求：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盐城市长江路实验学校理化生实验室标准化考场项目，主要包括物理、化学、生物三个学科各1间标准化实验考场建设以及校级实验操作考试管理中心建设。具体详见招标文件第四章项目需求。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合同履行期限：供货总周期60天。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本项目（是/否）接受联合体投标：否</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二、申请人的资格要求：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（一）满足《中华人民共和国政府采购法》第二十二条规定：</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1.法人或者其他组织的营业执照等证明文件，自然人的身份证明。</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2.上一年度的财务状况报表（成立不满一年无需提供）</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3.具备履行合同所必需的设备和专业技术能力的书面声明</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5.参加政府采购活动前3年内在经营活动中没有重大违法记录的书面声明。</w:t>
      </w:r>
      <w:r/>
    </w:p>
    <w:p>
      <w:pPr>
        <w:ind w:left="0" w:right="0" w:firstLine="0"/>
        <w:spacing w:before="0" w:after="2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6.法律、行政法规规定的其他条件。</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（二）落实政府采购政策需满足的资格要求：</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无</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（三）本项目的特定资格要求：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2.单位负责人为同一人或者存在直接控股、管理关系的不同供应商，不得参加同一合同项下的政府采购活动</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三、获取招标文件</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时间：自招标文件公告发布之日起5个工作日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地点：“苏采云”系统内免费下载（投标人必须在苏采云系统中获取采购文件，方能参与政府采购项目）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方式：本项目采用网上注册登记方式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售价：0.00元 </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四、提交投标文件截止时间、开标时间和地点</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2026-05-27 09:00 （北京时间）</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地点：“苏采云”政府采购交易系统网上开标大厅 </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五、公告期限</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自本公告发布之日起5个工作日。</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六、其他补充事宜</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领取CA和办理电子签章（请至盐城市府西路1号盐城市公共资源交易中心四楼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2.潜在供应商访问电子招标响应交易平台的网络地址和方法：</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2.2 潜在投标人访问“苏采云”系统方法：江苏省政府采购网首页-“苏采云”链接。</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2.3 采购文件（后缀名为“.kedt”）、供应商操作手册及政府采购客户端 工具可通过“苏采云”系统相应链接进行下载。</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2.4 采购代理机构将数据电文形式的采购文件加载至“苏采云”系统，供潜在供应商下载或者查阅。</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2.5 请潜在投标单位提前安装相应的控件（详见《“苏采云”系统供应商操作手册》）并使用谷歌浏览器登录“苏采云”系统参与不见面开评标。</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如潜在投标人未按上述要求操作，将自行承担所产生的风险。</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3.有关本次招标的事项若存在变动或修改，敬请及时关注盐城市政府采购中心在“中国政府采购网”、“江苏政府采购网”、“盐城市政府采购网”发布的更正公告。</w:t>
      </w:r>
      <w:r/>
    </w:p>
    <w:p>
      <w:pPr>
        <w:ind w:left="0" w:right="0" w:firstLine="0"/>
        <w:jc w:val="both"/>
        <w:spacing w:before="0" w:after="21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4.本次招标不收取投标保证金，不收取质量保证金。</w:t>
      </w:r>
      <w:r/>
    </w:p>
    <w:p>
      <w:pPr>
        <w:pStyle w:val="681"/>
        <w:ind w:left="0" w:right="0" w:firstLine="0"/>
        <w:spacing w:before="0" w:after="105" w:line="38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七、对本次招标提出询问，请按以下方式联系。</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1.采购人信息 </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单位名称：盐城市长江路实验学校</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单位地址：盐城经济技术开发区长江路23号</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联系人：陈先生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联系电话：134 0750 5052</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2.采购代理机构信息（如有）</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单位名称：江苏智汇锡建工程项目管理有限公司</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单位地址：盐城市盐都区瞰都公馆10号楼1001</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联系人：张先生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联系电话：15061668067</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3.项目联系方式</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项目联系人：张先生</w:t>
      </w:r>
      <w:r/>
    </w:p>
    <w:p>
      <w:pPr>
        <w:ind w:left="0" w:right="0" w:firstLine="0"/>
        <w:spacing w:before="0" w:after="21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电话：15061668067</w:t>
      </w:r>
      <w:r/>
    </w:p>
    <w:p>
      <w:pPr>
        <w:ind w:left="0" w:right="0" w:firstLine="0"/>
        <w:jc w:val="center"/>
        <w:spacing w:before="203" w:after="203"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03" w:after="203"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第二章投标人须知</w:t>
      </w:r>
      <w:r/>
    </w:p>
    <w:p>
      <w:pPr>
        <w:pStyle w:val="682"/>
        <w:ind w:left="0" w:right="0" w:firstLine="118"/>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一、总则</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1、招标方式</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2、合格的投标人</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2.1满足招标公告中投标人的资格要求的规定。</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满足本文件实质性条款的规定。</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3、适用法律</w:t>
      </w:r>
      <w:r/>
    </w:p>
    <w:p>
      <w:pPr>
        <w:ind w:left="0" w:right="0" w:firstLine="42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4、投标费用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投标人应自行承担所有与参加投标有关的费用，无论投标过程中的做法和结果如何，采购人在任何情况下均无义务和责任承担这些费用。</w:t>
      </w:r>
      <w:r/>
    </w:p>
    <w:p>
      <w:pPr>
        <w:pStyle w:val="683"/>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5、招标文件的约束力</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投标人一旦参加本项目采购活动，即被认为接受了本招标文件的规定和约束，并且视为自招标公告期限届满之日起知道或应当知道自身权益是否受到了损害。</w:t>
      </w:r>
      <w:r/>
    </w:p>
    <w:p>
      <w:pPr>
        <w:pStyle w:val="683"/>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6、招标文件的解释</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本招标文件由采购人负责解释。</w:t>
      </w:r>
      <w:r/>
    </w:p>
    <w:p>
      <w:pPr>
        <w:pStyle w:val="682"/>
        <w:ind w:left="0" w:right="0" w:firstLine="24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二、招标文件</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7、招标文件构成</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招标文件有以下部分组成：</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（3）合同条款及格式</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（4）项目需求</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请仔细检查招标文件是否齐全，如有缺漏请立即与采购人或招标代理机构联系解决。</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8、招标文件的询问及澄清</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任何要求对招标文件进行询问的投标人，应在投标截止日期10日前按招标公告中的通讯地址，向采购人或者采购代理机构提出。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9、招标文件的修改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在投标截止时间前，采购人或者采购代理机构可以对招标文件进行修改。</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采购人有权依法推迟投标截止日期和开标日期。</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招标文件的修改将在中国政府采购网、江苏政府采购网、盐城市政府采购网公布，补充文件将作为招标文件的组成部分，并对投标人具有约束力。</w:t>
      </w:r>
      <w:r/>
    </w:p>
    <w:p>
      <w:pPr>
        <w:pStyle w:val="682"/>
        <w:ind w:left="0" w:right="0" w:firstLine="36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三、投标文件的编制</w:t>
      </w:r>
      <w:r/>
    </w:p>
    <w:p>
      <w:pPr>
        <w:pStyle w:val="683"/>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10、投标文件的语言及度量衡单位</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投标人提交的投标文件以及投标人与采购人就有关投标的所有来往通知、函件和文件均应使用简体中文。</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除技术性能另有规定外，投标文件所使用的度量衡单位，均须采用国家法定计量单位。</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11、投标文件构成</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投标人编写的投标文件应包括资格证明文件、符合性证明文件、投标分项报价表、技术参数响应及偏离表、商务条款响应及偏离表、其他证明文件、投标函、开标一览表等部分。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11.2如标书制作工具中格式和内容与中国政府采购网、江苏政府采购网、盐城市政府采购网发布的招标文件不一致，请以中国政府采购网、江苏政府采购网、盐城市政府采购网发布的招标文件为准。</w:t>
      </w:r>
      <w:r/>
    </w:p>
    <w:p>
      <w:pPr>
        <w:pStyle w:val="683"/>
        <w:ind w:left="0" w:right="0" w:firstLine="482"/>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12、证明投标人资格及符合招标文件规定的文件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投标人应按照招标文件要求提交证明文件，证明其及投标标的符合招标文件规定。</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12.2招标文件对证明文件无明确形式要求的，证明文件可以以文字资料、图纸和数据等形式提交。</w:t>
      </w:r>
      <w:r/>
    </w:p>
    <w:p>
      <w:pPr>
        <w:pStyle w:val="683"/>
        <w:ind w:left="0" w:right="0" w:firstLine="361"/>
        <w:jc w:val="both"/>
        <w:spacing w:before="0" w:after="0" w:line="29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13、投标分项报价表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投标人应按照招标文件规定格式填报投标分项报价表。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标的物</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采购人需求的设备及技术服务等。</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13.3有关费用处理的约定</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13.3.1投标人根据现场实际情况、采购人提供的维保清单报价表、自身实力、结合市场行情报价，此报价应包括为完成招标文件中的所有内容。即主要包括（但不限于）：设备费用（含全套设备、辅材、配件、备品备件、专用工具、技术资料等）、直接和间接成本费、劳务费、清洁费、包装费、采购费、生产费、运杂费（含运输费）、招标代理费、装卸费、保险费、保修费、管理费、配合费、安装费、调试费、检测费、技术（含操作、维护等）培训及售后服务费、招标代理服务费、税金、利润、风险费、成品保护费、不可预见费及其他一切相关费用等所需的全部费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13.3.2本项目报价为全费用固定综合单价（即将所有费用均摊销至各综合单价中），投标人根据采购人提供的清单报全费用综合单价和总价。项目结算时，供货量按实结算；除设计变更或采购人调整项目内容或合同约定调整外，一律不调整中标全费用综合单价。</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13.3.3本项目招标代理服务费按苏招协【2022】002号收费标准的55%收取。</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上述费用由中标人支付，投标人投标时综合考虑进报价中，不得单列，凡漏项或少计均视为优惠招标人，不另行增加费用。中标后中标单位在领取中标通知书前直接将招标代理服务费向招标代理公司一次性付清。</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13.4其它费用处理</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招标文件未列明，而投标人认为必需的费用也需列入报价。</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13.5投标货币</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投标文件中的单价和总价无特殊规定的采用人民币报价，以元为单位标注。招标文件中另有规定的按规定执行。</w:t>
      </w:r>
      <w:r/>
    </w:p>
    <w:p>
      <w:pPr>
        <w:ind w:left="0" w:right="0" w:firstLine="482"/>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14、技术参数响应及偏离表、商务条款响应及偏离表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14.1对招标文件中的技术与商务条款要求逐项作出响应或偏离，并说明原因（如有）。</w:t>
      </w:r>
      <w:r/>
    </w:p>
    <w:p>
      <w:pPr>
        <w:ind w:left="0" w:right="0" w:firstLine="482"/>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15、投标函和开标一览表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16、投标有效期</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16.1投标有效期为采购中心规定的开标之日后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2"/>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17、投标有效期的延长</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682"/>
        <w:ind w:left="0" w:right="0" w:firstLine="361"/>
        <w:jc w:val="both"/>
        <w:spacing w:before="203" w:after="203" w:line="3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四、投标文件的递交</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18、电子投标文件的递交</w:t>
      </w:r>
      <w:r/>
    </w:p>
    <w:p>
      <w:pPr>
        <w:ind w:left="525"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19、投标截止日期</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20、投标文件的拒收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采购人拒绝接收在其规定的投标截止时间后上传的任何投标文件。</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21、投标文件的撤回和修改</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五、开标与评标</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22、开标</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采购人将在招标公告中规定的时间和地点组织公开开标。投标人应当按照《操作手册》规定，参加开标活动和在苏采云系统规定的时间内对投标文件进行解密。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22.2开标仪式由采购人组织。苏采云系统将自动对项目进行开标，并宣布各投标人名称和投标价格。</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22.4投标人如果对开标过程和开标记录有疑义，应当根据《操作手册》规定提出，如苏采云系统中《开标记录表》宣布后5分钟内未提出的，视同认可开标结果。</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23、评标委员会</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23.1开标后，采购人将立即组织评标委员会（以下简称评委会）进行评标。</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23.3评委会独立工作，负责评审所有投标文件并确定中标侯选人。</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24、评标过程的保密与公正</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24.1凡是与审查、澄清、评价和比较投标的有关资料以及授标建议等，采购人、评委、采购代理机构均不得向投标人或与评标无关的其他人员透露。</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采购人和评标委员会不向未中标的投标人解释未中标原因，也不公布评标过程中的相关细节。</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25、投标文件的澄清</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26、对投标文件的初审</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未通过资格审查或符合性审查的投标人，采购人将在苏采云系统中告知未通过资格审查或符合性审查的原因，评审结束后，采购人将不再告知未通过资格审查或符合性审查的原因。</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采用最低评标价法的采购项目，报价相同的，由评标委员会按照招标文件规定的方式（招标文件未规定的通过随机提供相同品牌产品的不同投标人参加同一合同项下投标的，以其中通过资格审查、符合性审查且报价最低的参加评标；抽取的方式）确定一个参加评标的投标人，其他投标无效。</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26.7投标人在开、评标全过程中应保持通讯畅通，及时登录苏采云系统查阅、答复相关信息，并安排专人与采购中心及评标委员会联系。</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27、无效投标条款和废标条款</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27.1.9投标文件含有采购人不能接受的附加条件的。</w:t>
      </w:r>
      <w:r/>
    </w:p>
    <w:p>
      <w:pPr>
        <w:ind w:left="40" w:right="40" w:firstLine="480"/>
        <w:jc w:val="both"/>
        <w:spacing w:before="0" w:after="2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w:t>
      </w:r>
      <w:r>
        <w:rPr>
          <w:rFonts w:ascii="SimSun" w:hAnsi="SimSun" w:eastAsia="SimSun" w:cs="SimSun"/>
          <w:b/>
          <w:color w:val="000000"/>
          <w:sz w:val="24"/>
        </w:rPr>
        <w:t xml:space="preserve">投标人不能证明其报价合理性的，评标委员会应当将其作为无效投标处理。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（一）评审过程中出现下列情形之一的，评标委员会应当启动异常低价投标审查程序：</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1.投标（响应）报价低于全部通过符合性审查投标人投标（响应）报价平均值50%的，即投标（响应）报价&lt;全部通过符合性审查投标人投标（响应）报价平均值×50%；</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2.投标（响应）报价低于通过符合性审查的次低报价投标人投标（响应）报价50%的，即投标（响应）报价&lt;通过符合性审查的次低报价投标人投标（响应）报价×50%；</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3.投标（响应）报价低于采购项目最高限价45%的，即投标（响应）报价&lt;采购项目最高限价×45%；</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4.评审委员会基于专业判断，认为投标人报价过低，有可能影响产品质量或者不能诚信履约的其他情形。</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采购人可以结合具体项目实际情况，提高上述第1项至第3项中启动异常低价投标（响应）审查的数值标准，但是最高不得超过65%。</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相关法律法规对投标人报价有规定的，从其规定。</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27.1.13不同投标人从同一个投标单位或者同一个自然人的互联网协议地址下载招标文件、上传投标文件（IP、MAC地址一致的）。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27.2.2出现影响采购公正的违法、违规行为的。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0"/>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28、确定中标单位</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采购人将在中国政府采购网、江苏政府采购网、盐城市政府采购网发布中标公告，公告期限为1个工作日。</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28.4若有充分证据证明，中标人出现下列情况之一的，一经查实，将被取消中标资格：</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28.4.2向采购人、采购代理机构行贿或者提供其他不正当利益的。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29、质疑处理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ind w:left="0" w:right="0" w:firstLine="482"/>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2"/>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r>
      <w:r/>
    </w:p>
    <w:p>
      <w:pPr>
        <w:ind w:left="0" w:right="0" w:firstLine="482"/>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4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30、中标通知书</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七、授予合同</w:t>
      </w:r>
      <w:r/>
    </w:p>
    <w:p>
      <w:pPr>
        <w:ind w:left="0" w:right="0" w:firstLine="482"/>
        <w:jc w:val="both"/>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31.2招标文件、中标人的投标文件及招标过程中有关澄清、承诺文件均应作为合同附件。</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32、货物（包含与货物相关的服务）的追加</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33、政府采购履约资金扶持政策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33.政府采购政策功能落实</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33.1政府采购线上合同信用融资政策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33.2进口产品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33.3中小企业、监狱企业及残疾人福利性单位</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33.3.1中小企业定义：</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w:t>
      </w:r>
      <w:r>
        <w:rPr>
          <w:rFonts w:ascii="SimSun" w:hAnsi="SimSun" w:eastAsia="SimSun" w:cs="SimSun"/>
          <w:color w:val="000000"/>
          <w:sz w:val="24"/>
        </w:rPr>
        <w:t xml:space="preserve">6 号）。</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33.3.2供应商提供的货物、工程或者服务符合下列情形的，享受中小企业扶持政策：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33.3.2.1在货物采购项目中，货物由中小企业制造，即货物由中小企业生产且使用该中小企业商号或者注册商标；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33.3.2.2在工程采购项目中，工程由中小企业承建，即工程施工单位为中小企业；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33.3.2.3在服务采购项目中，服务由中小企业承接，即提供服务的人员为中小企业依照《中华人民共和国劳动合同法》订立劳动合同的从业人员。</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33.3.3在货物采购项目中，供应商提供的货物既有中小企业制造货物，也有大型企业制造货物的，不享受中小企业扶持政策。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33.3.4以联合体形式参加政府采购活动，联合体各方均为中小企业的，联合体视同中小企业。其中，联合体各方均为小微企业的，联合体视同小微企业。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33.3.6残疾人福利单位定义：享受政府采购支持政策的残疾人福利性单位应当同时满足以下条件：</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33.3.6.1安置的残疾人占本单位在职职工人数的比例不低于25%（含25%），并且安置的残疾人人数不少于10 人（含10 人）；</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33.3.6.2依法与安置的每位残疾人签订了一年以上（含一年）的劳动合同或服务协议；</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33.3.6.3为安置的每位残疾人按月足额缴纳了基本养老保险、基本医疗保险、失业保险、工伤保险和生育保险等社会保险费；</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33.3.6.4通过银行等金融机构向安置的每位残疾人，按月支付了不低于单位所在区县适用的经省级人民政府批准的月最低工资标准的工资；</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33.3.7本项目是否专门面向中小企业预留采购份额见第一章《招标公告》。</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33.3.8采购标的对应的中小企业划分标准所属行业见第四章《采购需求》。</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33.3.9小微企业价格评审优惠的政策：见第五章《评标方法和评标标准》。</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33.4政府采购节能产品、环境标志产品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w:t>
      </w:r>
      <w:r>
        <w:rPr>
          <w:rFonts w:ascii="SimSun" w:hAnsi="SimSun" w:eastAsia="SimSun" w:cs="SimSun"/>
          <w:color w:val="000000"/>
          <w:sz w:val="24"/>
        </w:rPr>
        <w:t xml:space="preserve">应当优先采购节能产品、环境标志产品。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33.5绿色包装</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33.6政府采购创新产品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招标人优先采购各级政府部门公开发布的有效期内的创新产品、创新服务、首台套、首购首用等《目录》的创新产品。</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33.7绿色数据中心政策 </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中若涉及到数据中心采购，招标人应依据《绿色数据中心政府采购需求标准（试行）》（财办库〔2023〕7号）文件精神，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招标文件，并在合同中明确对相关指标的验收方式和违约责任。招标人应当在履约验收中对供应商提供的产品或服务进行抽查检测，必要时可委托取得相关资质的第三方机构对其进行检测、认证。因检测、认证</w:t>
      </w:r>
      <w:r>
        <w:rPr>
          <w:rFonts w:ascii="SimSun" w:hAnsi="SimSun" w:eastAsia="SimSun" w:cs="SimSun"/>
          <w:color w:val="000000"/>
          <w:sz w:val="24"/>
        </w:rPr>
        <w:t xml:space="preserve">涉及生产过程或检测时间长等原因，不能在验收过程中开展检测、认证的，可要求供应商在验收阶段提供相关检测报告、认证报告。</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34、履约保证金</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签订合同时，须向采购人缴纳履约保证金合同金额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35、电子履约保函（保险）政策</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left="0" w:right="0" w:firstLine="482"/>
        <w:jc w:val="both"/>
        <w:spacing w:before="97" w:after="97"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36、本文件中若涉及到数据中心采购，应按照《&lt;绿色数据中心政府采购需求标准（试行）&gt;的通知》（财库〔2023〕7号）执行。</w:t>
      </w:r>
      <w:r/>
    </w:p>
    <w:p>
      <w:pPr>
        <w:ind w:left="0" w:right="0" w:firstLine="24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760"/>
        <w:jc w:val="both"/>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17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17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 合同条款及格式</w:t>
      </w:r>
      <w:r/>
    </w:p>
    <w:p>
      <w:pPr>
        <w:ind w:left="0" w:right="0" w:firstLine="0"/>
        <w:jc w:val="center"/>
        <w:spacing w:before="145" w:after="145"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盐城经济技术开发区政府采购合同（货物）（合同编号）</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SimSun" w:hAnsi="SimSun" w:eastAsia="SimSun" w:cs="SimSun"/>
          <w:color w:val="000000"/>
          <w:sz w:val="24"/>
          <w:u w:val="single"/>
        </w:rPr>
        <w:t xml:space="preserve">盐城市长江路实验学校</w:t>
      </w:r>
      <w:r/>
    </w:p>
    <w:p>
      <w:pPr>
        <w:ind w:left="0" w:right="0" w:firstLine="0"/>
        <w:jc w:val="both"/>
        <w:spacing w:before="120" w:after="12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SimSun" w:hAnsi="SimSun" w:eastAsia="SimSun" w:cs="SimSun"/>
          <w:color w:val="000000"/>
          <w:sz w:val="24"/>
          <w:u w:val="single"/>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甲、乙双方根据</w:t>
      </w:r>
      <w:r>
        <w:rPr>
          <w:rFonts w:ascii="SimSun" w:hAnsi="SimSun" w:eastAsia="SimSun" w:cs="SimSun"/>
          <w:color w:val="000000"/>
          <w:sz w:val="24"/>
          <w:u w:val="single"/>
        </w:rPr>
        <w:t xml:space="preserve">盐城市长江路实验学校理化生实验室标准化考场项目</w:t>
      </w:r>
      <w:r>
        <w:rPr>
          <w:rFonts w:ascii="SimSun" w:hAnsi="SimSun" w:eastAsia="SimSun" w:cs="SimSun"/>
          <w:color w:val="000000"/>
          <w:sz w:val="24"/>
        </w:rPr>
        <w:t xml:space="preserve">公开招标的结果，签署本合同。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一、采购范围及内容：</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1.1货物名称：盐城市长江路实验学校理化生实验室标准化考场项目</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1.2型号规格：详见采购需求</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1.3数量（单位）：详见采购需求</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二、设备质量与供货期</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1、质量要求：设备质量等级为“合格”，并符合招标文件中技术要求、国家现行的相关规范标准及有关部门最新颁布的相应的最新标准；项目确保按规范和标准验收，且达国家合格标准。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货期：供货总周期60天。本项目具体供货批次、供货时间、供货数量均以招标人通知为准，收到招标人通知后5日内中标人需将全套设备运送至招标指定的各地点并由专业人员安装调试到位。安装标准须符合国家有关安全技术规范和技术标准。</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三、合同价</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1、总价为</w:t>
      </w:r>
      <w:r>
        <w:rPr>
          <w:rFonts w:ascii="SimSun" w:hAnsi="SimSun" w:eastAsia="SimSun" w:cs="SimSun"/>
          <w:b/>
          <w:color w:val="000000"/>
          <w:sz w:val="24"/>
          <w:u w:val="single"/>
        </w:rPr>
        <w:t xml:space="preserve">人民币元整（¥：    ）</w:t>
      </w:r>
      <w:r>
        <w:rPr>
          <w:rFonts w:ascii="SimSun" w:hAnsi="SimSun" w:eastAsia="SimSun" w:cs="SimSun"/>
          <w:color w:val="000000"/>
          <w:sz w:val="24"/>
        </w:rPr>
        <w:t xml:space="preserve">，本合同价是指乙方为完成招标文件、采购清单中确定的所有内容。乙方已充分考虑为完成上述内容所必须的全部设备并进行相关服务所需的所有费用，即主要包括（但不限于）：设备费用（含全套设备、配件、备品备件、专用工具、技术资料等）、招标代理费、直接和间接成本费、劳务费、清洁费、包装费、采购费、生产费、运杂费（含运输费）、装卸费、保险费、保修费、管理费、配合费、安装费、调试费、检测费、技术（含操作、维护等）培训及售后服务费、税金、利润、风险费、成品保护费、不可预见费及其他一切相关费用等所需的全部费用，凡漏项或少计均视为优</w:t>
      </w:r>
      <w:r>
        <w:rPr>
          <w:rFonts w:ascii="SimSun" w:hAnsi="SimSun" w:eastAsia="SimSun" w:cs="SimSun"/>
          <w:color w:val="000000"/>
          <w:sz w:val="24"/>
        </w:rPr>
        <w:t xml:space="preserve">惠，甲方不另行增加费用。各类风险和政策性调整等风险已包括在合同价中，最终结算时除合同约定调整外一律不予调整。</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2、乙方已充分考虑人工、材料、生产、供货周期等一切导致设备上涨的风险因素，其一切风险均由乙方自行负责。</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3、如合同履行过程中根据现场实际情况设备数量增加或者减少，以经甲方核实认定后的设备数量为准调整合同价。调整部分数量的综合单价应按乙方投标时投标文件中所报的设备综合单价为准。</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四、付款方式</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1、合同签订后支付预付合同价款的30%；</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2、设备供应完成，安装、调试、完成，项目竣工验收合格后，2026年年底支付至合同总价的55%；</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3、设备供应完成，安装、调试、完成，项目竣工验收合格后，经审计2027年年底付至审定价的95%；</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4、2028年年底按审定价付清余款。</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yellow"/>
        </w:rPr>
        <w:t xml:space="preserve">注：1、以上付款均不计任何利息和相关费用，付款一律通过银行结转。</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五、结算方式</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1、项目结算总价=∑中标综合单价×实际供货量±甲方调整项目内容或合同约定调整价款；其中中标综合单价结算时一律不予调整（除甲方调整项目内容或合同约定调整外），供货量按实结算。</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2、甲方调整项目内容或合同约定调整价款的确定：</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1）在投标报价书中有相同单价的，执行投标报价书中的单价；</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2）在投标报价书中有类似单价的，参照投标报价书中的类似单价执行；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3）在投标报价书中没有单价或类似单价的，其单价由乙方提出，经甲方认可执行。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3、因乙方自身原因造成供货量增加的，乙方无权要求任何补偿。</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六、交付与验收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所供设备必须为全新配套原装的，技术上先进和成熟的，是用一流的工艺和最佳材料制造而成的，并完全符合招标文件要求、采购清单和投标承诺、国家现行的相关规范标准、有关部门最新颁布的相应的最新标准及合同规定的质量、技术要求和性能的要求。</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2、乙方向甲方提供设备供货清单。当设备到达交货地点后，甲方对设备数量和外包装进行验收，并签发“收到设备证明”文件。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3、乙方完成本项目的采购、运输、安装、调试后可向甲方申请项目验收。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4、乙方交付验收时应先用书面、电传等方式通告甲方。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5、甲方在收到乙方提交的项目验收书面申请后，将在15个工作日内安排测试，具体验收时间由甲方商定。</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6、设备运行测试和验收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6.1甲方依据合同对设备品质进行逐项验收，工程师现场安装测试和仪器校正，提供中英文仪器使用说明书，并进行加电测试。此期间，设备应正常运行。</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6.2不合格的设备需无条件更换。</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7、甲方在收到验收报告后一月内未书面签收也未提出异议的，视为甲方验收合格。</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项目验收不通过的，乙方应在甲方规定的期限内进行整改；整改后仍不能通过验收的，甲方有权聘请第三方进行整改，由此产生的费用由乙方承担（费用总额不超过本合同总价），同时乙方还应承担逾期支付项目成果对甲方造成的经济损失。</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9、验收标准根据有关规定及技术要求，直至验收通过为准。</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七、售后服务</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1、乙方应按招标文件规定的货物性能、技术要求、质量标准向甲方提供未经使用的全新产品。</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2、乙方提供的货物在质保期内因货物本身的质量问题发生故障，乙方应负责免费更换。对达不到技术要求者，根据实际情况，经双方协商，可按以下办法处理：</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3、如在使用过程中发生质量问题，乙方在接到甲方通知后在 2小时内到达甲方现场。</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在质保期内，乙方应对货物出现的质量及安全问题负责处理解决并承担一切费用。</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5、上述的货物免费质量保修期为</w:t>
      </w:r>
      <w:r>
        <w:rPr>
          <w:rFonts w:ascii="SimSun" w:hAnsi="SimSun" w:eastAsia="SimSun" w:cs="SimSun"/>
          <w:color w:val="000000"/>
          <w:sz w:val="24"/>
          <w:highlight w:val="yellow"/>
          <w:u w:val="single"/>
        </w:rPr>
        <w:t xml:space="preserve"> 2 </w:t>
      </w:r>
      <w:r>
        <w:rPr>
          <w:rFonts w:ascii="SimSun" w:hAnsi="SimSun" w:eastAsia="SimSun" w:cs="SimSun"/>
          <w:color w:val="000000"/>
          <w:sz w:val="24"/>
        </w:rPr>
        <w:t xml:space="preserve">年，因人为因素出现的故障不在免费保修范围内。超过免费质量保修期的机器设备，终生维修（除采购人不再要求继续维修外），维修时只收部件成本费。</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6、售后服务：投标人须按招标文件要求和投标人的承诺执行。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注：其它按照乙方在投标文件中承诺的优于招标文件要求的服务执行。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八、双方的权利与义务</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甲方的权利与义务</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1、自本合同生效后向乙方提供本项目相关的资料，向乙方提供必要的支持，协助乙方履行工作。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2、在履行合同时保守在履行本合同过程中获知的对方商业秘密。</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3、可随时监督、检查乙方的工作进度、现场作业情况。</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4、依据本合同约定按时支付合同价款。</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乙方的权利与义务</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1、严格按投标文件、合同约定完成本项目的全部内容。</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2、对甲方提供的要求保密的相关资料负有保密责任。</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3、设备发运时附相关技术资料，包括设备安装前对安装环境的要求、设备安装图、操作手册、应用指南和故障处理等。</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4、向甲方技术人员及运行、维修操作人员进行培训，直到能够单独操作及进行简单的日常维修、维护为止。</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5、随时接受甲方的监督与检查。</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6、提交进度付款申请表，要求支付进度款。</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1、甲方不能按时支付进度款，由甲方承担违约责任，每迟延支付一天，向乙方支付逾期支付部分万分之五的违约金。</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2、因乙方原因，不能按时交付验收的，乙方应承担违约责任，向甲方支付合同总价30%的违约金。</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3、其他违约责任按照《中华人民共和国民法典》、《中华人民共和国招投标法》等法律法规执行。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甲、乙双方应通过友好协商，解决在执行本合同中所发生的或与本合同有关的一切争议，如协商仍得不到解决，任何一方均可依法向项目所在地人民法院起诉。</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十一、不可抗力</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1、不可抗力事故系指甲、乙双方当事人在缔结合同时所不能预见的，并且它的发生及其后果是无法避免和无法克服的事故,如战争，严重火灾、洪水、台风、地震等。</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2、受阻一方应在不可抗力事故发生后尽快用电报、传真或电传通知对方，并于事故发生后7天内将有关当局出具的证明文件用特快专递或挂号信寄给对方审阅确认。</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签约任一方由于受诸不可抗力事故的影响而不能执行合同时，履行合同的期限应予以延长，延长的期限应相当于事故所影响的时间；一旦不可抗力事故的影响持续30天以上，甲、乙双方应通过友好协商在合理的时间内达成进一步履行合同的协议；如果不可抗力事故的影响使得本合同的履行不可能、不必要或者无意义的，任一方征得对方同意可以解除本合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十二、保修期限</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1、根据招标文件要求及投标承诺，待合同所供设备由乙方按期、按质、按量供货及安装、调试完毕，并经甲方验收合格之日起开始计算质保期。</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质保期为</w:t>
      </w:r>
      <w:r>
        <w:rPr>
          <w:rFonts w:ascii="SimSun" w:hAnsi="SimSun" w:eastAsia="SimSun" w:cs="SimSun"/>
          <w:b/>
          <w:color w:val="000000"/>
          <w:sz w:val="24"/>
          <w:u w:val="single"/>
        </w:rPr>
        <w:t xml:space="preserve">  </w:t>
      </w:r>
      <w:r>
        <w:rPr>
          <w:rFonts w:ascii="SimSun" w:hAnsi="SimSun" w:eastAsia="SimSun" w:cs="SimSun"/>
          <w:b/>
          <w:color w:val="000000"/>
          <w:sz w:val="24"/>
          <w:highlight w:val="yellow"/>
          <w:u w:val="single"/>
        </w:rPr>
        <w:t xml:space="preserve">2</w:t>
      </w:r>
      <w:r>
        <w:rPr>
          <w:rFonts w:ascii="SimSun" w:hAnsi="SimSun" w:eastAsia="SimSun" w:cs="SimSun"/>
          <w:b/>
          <w:color w:val="000000"/>
          <w:sz w:val="24"/>
          <w:u w:val="single"/>
        </w:rPr>
        <w:t xml:space="preserve">  </w:t>
      </w:r>
      <w:r>
        <w:rPr>
          <w:rFonts w:ascii="SimSun" w:hAnsi="SimSun" w:eastAsia="SimSun" w:cs="SimSun"/>
          <w:b/>
          <w:color w:val="000000"/>
          <w:sz w:val="24"/>
        </w:rPr>
        <w:t xml:space="preserve">年（自甲方验收单签字日期之日起计），</w:t>
      </w:r>
      <w:r>
        <w:rPr>
          <w:rFonts w:ascii="SimSun" w:hAnsi="SimSun" w:eastAsia="SimSun" w:cs="SimSun"/>
          <w:color w:val="000000"/>
          <w:sz w:val="24"/>
        </w:rPr>
        <w:t xml:space="preserve">具体按乙方投标承诺执行。</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十三、履约保证金</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1、本项目履约保证金为人民币</w:t>
      </w:r>
      <w:r>
        <w:rPr>
          <w:rFonts w:ascii="SimSun" w:hAnsi="SimSun" w:eastAsia="SimSun" w:cs="SimSun"/>
          <w:color w:val="000000"/>
          <w:sz w:val="24"/>
          <w:u w:val="single"/>
        </w:rPr>
        <w:t xml:space="preserve">     元整</w:t>
      </w:r>
      <w:r>
        <w:rPr>
          <w:rFonts w:ascii="SimSun" w:hAnsi="SimSun" w:eastAsia="SimSun" w:cs="SimSun"/>
          <w:color w:val="000000"/>
          <w:sz w:val="24"/>
        </w:rPr>
        <w:t xml:space="preserve">（¥</w:t>
      </w:r>
      <w:r>
        <w:rPr>
          <w:rFonts w:ascii="SimSun" w:hAnsi="SimSun" w:eastAsia="SimSun" w:cs="SimSun"/>
          <w:color w:val="000000"/>
          <w:sz w:val="24"/>
          <w:u w:val="single"/>
        </w:rPr>
        <w:t xml:space="preserve">：元</w:t>
      </w:r>
      <w:r>
        <w:rPr>
          <w:rFonts w:ascii="SimSun" w:hAnsi="SimSun" w:eastAsia="SimSun" w:cs="SimSun"/>
          <w:color w:val="000000"/>
          <w:sz w:val="24"/>
        </w:rPr>
        <w:t xml:space="preserve">）（合同价的10%），履约保证金鼓励采购人对AA评级及以上政府采购投标人（需提供信用管理部门备案的第三方信用报告），免收履约保证金或降低履约保证金缴纳比例（本项目约定降低履约保证金缴纳比例，履约保证金调整为合同价的5%）。依据《关于在全省政府采购领域推行电子履约保函（保险）的通知》，鼓励供应商自愿使用履约保函（保险）代替缴纳履约保证金</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保证金缴纳形式：除单位基本账户缴纳的现金之外，采购人接受供应商以支票、汇票、本票、保函、政府采购电子履约保函（保险）平台（www.jsdzbh.com）在线申请履约保函（保险）等非现金形式缴纳或提交履约保证金。</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3、履约保证金的退还：</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3.1方式：无息退还至投标人缴纳履约保证金的账户。如为保函，在到期时自行失效。</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3.2时间：验收合格且采购人收到发票后30日内。</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3.3条件：按合同要求全部履约完成并经采购人验收合格，且采购人收到中标人出具的发票。</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4、不予退还情形：</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（2）中标人不履行与采购人订立的合同的；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（3）中标人所供货物或服务不符合招标文件规定要求的；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（4）中标人采取欺骗、弄虚作假方式投标的或与其它投标人串通投标的；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（5）中标人将合同内容转包、违法分包的；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（6）中标人故意捏造事实或伪造证明材料，进行虚假恶意投诉或反映的；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（7）中标人出现无故不履约的行为的。</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5、逾期退还的违约责任：采购人逾期无故未退还履约保证金的，按中国人民银行同期贷款基准利率上浮20%后的利率支付超期资金占用费，但因供应商自身原因导致无法及时退还的除外。</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十四、合同的解除、转让、修改、补充</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一）合同的解除</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1、甲方和乙方协商一致，可以解除合同；</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2、因不可抗力致使不能实现合同目的，未受不可抗力影响的一方有权解除合同；</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3、有权解除合同的一方，应当在不可抗力发生之后三十天内书面通知对方以主张解除合同，合同在书面通知到达对方时解除。</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二）合同的转让</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合同的部分和全部都不得转让。</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三）合同修改、补充</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合同的修改、补充应事先经甲、乙双方同意，并签字、盖章确认，作为补充合同。签字、盖章后立即生效。若补充合同与前合同发生冲突，以最新的补充合同为准。</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十五、合同份数</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本合同一式陆份，以中文书写，甲、乙双方各执叁份。</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十六、补充</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1、合同文件组成及解释顺序：</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①本合同；</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②投标文件；</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③中标通知书；</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④相关技术规范、标准；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⑤招标文件。</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甲、乙双方有关项目的洽商、变更等书面协议或文件视为本合同的组成部分。</w:t>
      </w:r>
      <w:r/>
    </w:p>
    <w:p>
      <w:pPr>
        <w:ind w:left="0" w:right="0" w:firstLine="47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2、本合同签订后，经甲、乙双方当事人协商一致，可以对本合同有关条款进行变更或者补充但应当以书面形式确认。</w:t>
      </w:r>
      <w:r/>
    </w:p>
    <w:p>
      <w:pPr>
        <w:ind w:left="0" w:right="0" w:firstLine="47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乙方所供设备在供货、安装、调试及验收过程中发现技术参数及要求不符合招标文件规定要求的，则甲方有权视为乙方放弃中标资格，且履约保证金不予退还（如给甲方造成的损失超过投标保证金数额的，乙方还应当对超过部分予以赔偿）。</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任意一方欲提前解除本合同，应提前通知对方。甲方提前解除合同的，无权要求乙方返还已付费用并应对乙方遭受的损失承担赔偿责任；乙方无故解除合同的，除返还甲方全部已支付费用外，还应支付甲方合同总金额的10%作为赔偿。</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5、任何一方没有行使其权利或没有就对方的违约行为采取任何行动，不应被视为是对权利的放弃或对追究违约责任或义务的放弃。</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6、未经甲方书面同意，乙方不得部分转包或分包其应履行的合同项下的义务。</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7、合同书写应用简体中文。甲、乙双方所有的来往函电以及与合同有关的文件均应以简体中文书写。</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乙双方可以以书面、口头或电子邮件的方式进行沟通，重要事件（有关合同履行）的沟通应以书面的方式进行。有当事人签字或单位盖章的原件为正式文件，具有法律效力。其他沟通记录在各方均认同的情况下可作为正式文件使用。</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9、未尽事宜</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合同未尽事宜，按《中华人民共和国民法典》和国家其他相关法律法规的有关规定及甲、乙双方协商解决。</w:t>
      </w:r>
      <w:r/>
    </w:p>
    <w:p>
      <w:pPr>
        <w:ind w:left="0" w:right="0" w:firstLine="463"/>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十七、合同的生效</w:t>
      </w:r>
      <w:r/>
    </w:p>
    <w:p>
      <w:pPr>
        <w:ind w:left="613"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w:t>
      </w:r>
      <w:r>
        <w:rPr>
          <w:rFonts w:ascii="SimSun" w:hAnsi="SimSun" w:eastAsia="SimSun" w:cs="SimSun"/>
          <w:color w:val="000000"/>
          <w:sz w:val="24"/>
          <w:u w:val="single"/>
        </w:rPr>
        <w:t xml:space="preserve">    </w:t>
      </w:r>
      <w:r>
        <w:rPr>
          <w:rFonts w:ascii="SimSun" w:hAnsi="SimSun" w:eastAsia="SimSun" w:cs="SimSun"/>
          <w:color w:val="000000"/>
          <w:sz w:val="24"/>
        </w:rPr>
        <w:t xml:space="preserve"> 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613" w:right="0" w:firstLine="0"/>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rPr>
          <w:rFonts w:ascii="SimSun" w:hAnsi="SimSun" w:eastAsia="SimSun" w:cs="SimSun"/>
          <w:color w:val="000000"/>
          <w:sz w:val="24"/>
          <w:u w:val="single"/>
        </w:rPr>
        <w:t xml:space="preserve">盐城市长江路实验学校</w:t>
      </w:r>
      <w:r>
        <w:rPr>
          <w:rFonts w:ascii="SimSun" w:hAnsi="SimSun" w:eastAsia="SimSun" w:cs="SimSun"/>
          <w:color w:val="000000"/>
          <w:sz w:val="24"/>
        </w:rPr>
        <w:t xml:space="preserve">本合同甲、乙双方约定</w:t>
      </w:r>
      <w:r>
        <w:rPr>
          <w:rFonts w:ascii="SimSun" w:hAnsi="SimSun" w:eastAsia="SimSun" w:cs="SimSun"/>
          <w:color w:val="000000"/>
          <w:sz w:val="24"/>
          <w:u w:val="single"/>
        </w:rPr>
        <w:t xml:space="preserve"> 签字、盖章后 </w:t>
      </w:r>
      <w:r>
        <w:rPr>
          <w:rFonts w:ascii="SimSun" w:hAnsi="SimSun" w:eastAsia="SimSun" w:cs="SimSun"/>
          <w:color w:val="000000"/>
          <w:sz w:val="24"/>
        </w:rPr>
        <w:t xml:space="preserve">生效。</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乙方（盖章）： </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（签章/签字）                                         （签章/签字）</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w:t>
      </w:r>
      <w:r/>
    </w:p>
    <w:p>
      <w:pPr>
        <w:ind w:left="0" w:right="0" w:firstLine="46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地址：</w:t>
      </w:r>
      <w:r/>
    </w:p>
    <w:p>
      <w:pPr>
        <w:ind w:left="0" w:right="0" w:firstLine="454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      年    月   日</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1、项目编号：JSZC-320991-JSZH-G2025-0072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2、项目名称：盐城市长江路实验学校理化生实验室标准化考场项目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3、采购方式：公开招标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4、预算金额：</w:t>
      </w:r>
      <w:r>
        <w:rPr>
          <w:rFonts w:ascii="SimSun" w:hAnsi="SimSun" w:eastAsia="SimSun" w:cs="SimSun"/>
          <w:b/>
          <w:color w:val="000000"/>
          <w:sz w:val="24"/>
        </w:rPr>
        <w:t xml:space="preserve">270万元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5、最高限价：</w:t>
      </w:r>
      <w:r>
        <w:rPr>
          <w:rFonts w:ascii="SimSun" w:hAnsi="SimSun" w:eastAsia="SimSun" w:cs="SimSun"/>
          <w:b/>
          <w:color w:val="000000"/>
          <w:sz w:val="24"/>
        </w:rPr>
        <w:t xml:space="preserve">270万元</w:t>
      </w:r>
      <w:r>
        <w:rPr>
          <w:rFonts w:ascii="SimSun" w:hAnsi="SimSun" w:eastAsia="SimSun" w:cs="SimSun"/>
          <w:color w:val="000000"/>
          <w:sz w:val="24"/>
        </w:rPr>
        <w:t xml:space="preserve">，投标报价高于最高限价的，采购人将不予接受，视为无效标书。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6、合同履行期限：供货总周期60天。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7、质量要求：设备质量等级为“合格”，并符合招标文件中技术要求、国家现行的相关规范标准及有关部门最新颁布的相应的最新标准；项目确保按规范和标准验收，且达国家合格标准。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二、采购清单</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2"/>
        <w:gridCol w:w="702"/>
        <w:gridCol w:w="51"/>
        <w:gridCol w:w="6844"/>
        <w:gridCol w:w="598"/>
        <w:gridCol w:w="599"/>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技术参数要求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6"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一、考场实验操作教考管理平台软件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实验考试监考管理系统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【角色管理】</w:t>
              <w:br/>
              <w:t xml:space="preserve">支持管理员增、删、改、相关角色信息，设定角色类型，状态及权限。</w:t>
              <w:br/>
              <w:t xml:space="preserve">【用户管理】</w:t>
              <w:br/>
              <w:t xml:space="preserve">支持管理员增、删、改、相关用户信息。</w:t>
              <w:br/>
              <w:t xml:space="preserve">【菜单管理】</w:t>
              <w:br/>
              <w:t xml:space="preserve">支持管理员增、删、改、查相关菜单信息，可修改菜单名称和顺序。</w:t>
              <w:br/>
              <w:t xml:space="preserve">★【实验室管理】</w:t>
              <w:br/>
              <w:t xml:space="preserve">支持管理员增、删、改、查相关实验室信息，可配置实验室IP信息及绑定终端摄像头IP信息，可查看实验室全摄像头画面，可一键导入导出摄像头配置文件。（提供满足此项技术要求具有CMA或CNAS认证的第三方检测机构出具的测试报告扫描件加盖投标人电子签章）</w:t>
              <w:br/>
              <w:t xml:space="preserve">【服务器管理】</w:t>
              <w:br/>
              <w:t xml:space="preserve">支持管理员查看服务器当前使</w:t>
            </w:r>
            <w:r>
              <w:rPr>
                <w:rFonts w:ascii="SimSun" w:hAnsi="SimSun" w:eastAsia="SimSun" w:cs="SimSun"/>
                <w:color w:val="000000"/>
                <w:sz w:val="18"/>
              </w:rPr>
              <w:t xml:space="preserve">用情况，譬如CPU使用率、内存占用率及磁盘占用率。</w:t>
              <w:br/>
              <w:t xml:space="preserve">【考试导入管理】</w:t>
              <w:br/>
              <w:t xml:space="preserve">支持管理员选择两种及以上方式导入考试数据包，譬如在线导入及本地上传。</w:t>
              <w:br/>
              <w:t xml:space="preserve">【配置管理】</w:t>
              <w:br/>
              <w:t xml:space="preserve">支持管理员配置考生验证方式，支持两种及以上方式，譬如准考证验证及人脸验证。</w:t>
              <w:br/>
              <w:t xml:space="preserve">【视频存储】</w:t>
              <w:br/>
              <w:t xml:space="preserve">支持将考试视频存储在本地服务器，也支持将视频上传至指定汇聚点存储服务。</w:t>
              <w:br/>
              <w:t xml:space="preserve">【终端控制】</w:t>
              <w:br/>
              <w:t xml:space="preserve">支持对考试APP进行批量的启动、关闭、重启等操作。</w:t>
              <w:br/>
              <w:t xml:space="preserve">【设备检测】</w:t>
              <w:br/>
              <w:t xml:space="preserve">系统能够检测到摄像头、平板、电子目镜等设备的连接状态。</w:t>
              <w:br/>
              <w:t xml:space="preserve">【发起补考】</w:t>
              <w:br/>
              <w:t xml:space="preserve">支持快速发起补考，勾选补考考生，设定考试时间，</w:t>
            </w:r>
            <w:r>
              <w:rPr>
                <w:rFonts w:ascii="SimSun" w:hAnsi="SimSun" w:eastAsia="SimSun" w:cs="SimSun"/>
                <w:color w:val="000000"/>
                <w:sz w:val="18"/>
              </w:rPr>
              <w:t xml:space="preserve">即可生成批次进行考核。</w:t>
              <w:br/>
              <w:t xml:space="preserve">【抽签管理】</w:t>
              <w:br/>
              <w:t xml:space="preserve">★1.选择方案：系统支持一键选择X/Y方案，来确定学生座位。（提供满足此项技术要求具有CMA或CNAS认证的第三方检测机构出具的测试报告扫描件加盖投标人电子签章）</w:t>
              <w:br/>
              <w:t xml:space="preserve">2.随机抽签：系统支持一键抽签，来确定学生座位。</w:t>
              <w:br/>
              <w:t xml:space="preserve">3.支持预览、打印抽签结果。</w:t>
              <w:br/>
              <w:t xml:space="preserve">【监考管理】</w:t>
              <w:br/>
              <w:t xml:space="preserve">1.支持查看考点下每个考场的终端录制的实时画面；</w:t>
              <w:br/>
              <w:t xml:space="preserve">2.支持统一切换视角；</w:t>
              <w:br/>
              <w:t xml:space="preserve">3.支持查看每台设备的登录考生信息，包括考生姓名、准考证号、座位号、批次号、场次等；</w:t>
              <w:br/>
              <w:t xml:space="preserve">4.支持重新下发考生验证信息</w:t>
              <w:br/>
              <w:t xml:space="preserve">5.支持查看检测考生视频完</w:t>
            </w:r>
            <w:r>
              <w:rPr>
                <w:rFonts w:ascii="SimSun" w:hAnsi="SimSun" w:eastAsia="SimSun" w:cs="SimSun"/>
                <w:color w:val="000000"/>
                <w:sz w:val="18"/>
              </w:rPr>
              <w:t xml:space="preserve">整性。</w:t>
              <w:br/>
              <w:t xml:space="preserve">【异常管理】</w:t>
              <w:br/>
              <w:t xml:space="preserve">支持提交缺考、设备异常及违规等异常提交。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实验考试学生端管理系统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【状态显示】</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支持显示系统编号及设备链接情况，含服务器及显微镜。</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【考生验证】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支持通过两种及以上两种方式进行身份验证，譬如准考证验证及人脸验证。</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【考前确认】</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1.支持通过终端考前确认考试注意事项及个人信息。</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2.支持通过终端考前确认实验清单，确认无误后等候统一开考。</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【开始考试】</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1.页面显示试题详情及答题区域。</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2.支持多种题型包括填空题、选择题、表格题及标注题。</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3.支持接入显微镜抓拍显微镜画面。</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★4.为了应对软硬件突发状况，保证考试正常进行，支持发生异常后能自动恢复考试，即现场发生异常后 ,学生端重新点击进入程序，学生端可继续考试，答题信息实时保存，无需再次输入。（提供满足此项技术要求具有CMA或CNAS认证的第三方检测机构出具的测试报告</w:t>
            </w:r>
            <w:r>
              <w:rPr>
                <w:rFonts w:ascii="SimSun" w:hAnsi="SimSun" w:eastAsia="SimSun" w:cs="SimSun"/>
                <w:color w:val="000000"/>
                <w:sz w:val="18"/>
              </w:rPr>
              <w:t xml:space="preserve">扫描件加盖投标人电子签章</w:t>
            </w:r>
            <w:r>
              <w:rPr>
                <w:rFonts w:ascii="Arial" w:hAnsi="Arial" w:eastAsia="Arial" w:cs="Arial"/>
                <w:color w:val="000000"/>
                <w:sz w:val="18"/>
              </w:rPr>
              <w:t xml:space="preserve">）</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5.支持考生提前交卷。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实验教学学生端管理系统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【系统登录】</w:t>
              <w:br/>
              <w:t xml:space="preserve">1.支持通过学号密码登录。</w:t>
              <w:br/>
              <w:t xml:space="preserve">2.支持学生在一台设备上登录多个账号，以便课堂进行分组实验</w:t>
              <w:br/>
              <w:t xml:space="preserve">【课堂互动】</w:t>
              <w:br/>
              <w:t xml:space="preserve">1.支持学生参与老师发起的实验。</w:t>
              <w:br/>
              <w:t xml:space="preserve">2.支持学生参与老师发起的问题抢答，题型包含抢答，抽选。</w:t>
              <w:br/>
              <w:t xml:space="preserve">【自评互评】</w:t>
              <w:br/>
              <w:t xml:space="preserve">支持学生接收教师下发的实验操作视频进行自评。</w:t>
              <w:br/>
              <w:t xml:space="preserve">【实验视频】</w:t>
              <w:br/>
              <w:t xml:space="preserve">支持学生以实验名称筛选实验资源，资源含基础信息、实验视频、仪器耗材、实验步骤、评分要点及注意事项等。</w:t>
              <w:br/>
              <w:t xml:space="preserve">【实验评测】</w:t>
              <w:br/>
              <w:t xml:space="preserve">★支持学生自行选择实验，可通过年级、科目、实验名称进行筛选，点击AI评分的实验，有摄像头检测的弹框，所有摄像头打勾</w:t>
            </w:r>
            <w:r>
              <w:rPr>
                <w:rFonts w:ascii="SimSun" w:hAnsi="SimSun" w:eastAsia="SimSun" w:cs="SimSun"/>
                <w:color w:val="000000"/>
                <w:sz w:val="18"/>
              </w:rPr>
              <w:t xml:space="preserve">，表示摄像头正常工作，完成练习，可查看历史评测报告。（提供满足此项技术要求具有CMA或CNAS认证的第三方检测机构出具的测试报告扫描件加盖投标人电子签章）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实验教学教师端管理系统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【系统登录】 </w:t>
              <w:br/>
              <w:t xml:space="preserve">支持通过账号密码登录。</w:t>
              <w:br/>
              <w:t xml:space="preserve">【上课管理】</w:t>
              <w:br/>
              <w:t xml:space="preserve">1.支持快速选择班级，实验，开始上课。</w:t>
              <w:br/>
              <w:t xml:space="preserve">2.支持查看学生签到情况，修改学生星星数量、统计缺勤情况。</w:t>
              <w:br/>
              <w:t xml:space="preserve">★3.支持教师使用移动端进行板书教学，板书内容可实时同步学生端屏。（提供满足此项技术要求具有CMA或CNAS认证的第三方检测机构出具的测试报告扫描件加盖投标人电子签章）</w:t>
              <w:br/>
              <w:t xml:space="preserve">4.支持将教学资源同屏至学生终端。</w:t>
              <w:br/>
              <w:t xml:space="preserve">5.支持下发实验操作试题，进行实验操作后开启学生自评/分组互评模式，全程录制操作视频，教师可当堂回放点评。</w:t>
              <w:br/>
              <w:t xml:space="preserve">★6.支持教师进行互动，可进行随机答题、抢答</w:t>
            </w:r>
            <w:r>
              <w:rPr>
                <w:rFonts w:ascii="SimSun" w:hAnsi="SimSun" w:eastAsia="SimSun" w:cs="SimSun"/>
                <w:color w:val="000000"/>
                <w:sz w:val="18"/>
              </w:rPr>
              <w:t xml:space="preserve">、测试等多种提问方式，及时反馈学生答题统计结果。（提供满足此项技术要求具有CMA或CNAS认证的第三方检测机构出具的测试报告扫描件加盖投标人电子签章）</w:t>
              <w:br/>
              <w:t xml:space="preserve">7.支持选择任一实验桌，将操作画面同屏至大小屏，进行学生示范。</w:t>
              <w:br/>
              <w:t xml:space="preserve">8.支持实时显示异常设备情况。</w:t>
              <w:br/>
              <w:t xml:space="preserve">【我的课本】</w:t>
              <w:br/>
              <w:t xml:space="preserve">1.支持查看教案</w:t>
              <w:br/>
              <w:t xml:space="preserve">2.支持查看标准题库和个人题库，可收藏。</w:t>
              <w:br/>
              <w:t xml:space="preserve">3.支持查看其他资源。</w:t>
              <w:br/>
              <w:t xml:space="preserve">【班级管理】</w:t>
              <w:br/>
              <w:t xml:space="preserve">支持教师查看班级课堂数据统计，含上课时长、互动次数及学生视频等实验详情。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6"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二、考试终端、管理终端及网络设备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16"/>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1.处理器：核心数≥8，主频≥2.8GHz，（安全可靠等级≥Ⅱ级）2.内存容量：≥8G DDR4，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3.硬盘：≥512GB 固态硬盘，4.显卡: 集成显卡，接口支持；HDMI+VGA，5.声卡: 集成声卡，6.网卡：主板集成10/100/1000M以太网卡，7.键盘、鼠标：与主机同品牌抗菌键盘，抗菌鼠标，8.显示器：≥23.8英寸液晶显示器。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教考一体终端（核心产品）</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1、终端采用一体化设计，支架、主机、屏幕、摄像头等不可随意拆卸，其中支架俯视角高度685mm；</w:t>
              <w:br/>
              <w:t xml:space="preserve">2、终端底部具有吸盘、支架，可根据需要固定在桌面也可便携移动；</w:t>
              <w:br/>
              <w:t xml:space="preserve">3、能实时视频采集考生考试过程，视频数据自动存储到本机，并自动传输至上一级存储设备上；</w:t>
              <w:br/>
              <w:t xml:space="preserve">4、处理器：≥6核处理器、 频率≥1.8GHz、存储：≥4G RAM+32G存储；</w:t>
              <w:br/>
              <w:t xml:space="preserve">5、设备应≥15英寸触摸屏，分辨率≥1920*1080，并可以在可活动角度悬停并上下可调自动悬停；</w:t>
              <w:br/>
              <w:t xml:space="preserve">6、具有≥1个USB2.0接口，≥1个USB3.0接口；</w:t>
              <w:br/>
              <w:t xml:space="preserve">7、视频采集：≥3路摄</w:t>
            </w:r>
            <w:r>
              <w:rPr>
                <w:rFonts w:ascii="SimSun" w:hAnsi="SimSun" w:eastAsia="SimSun" w:cs="SimSun"/>
                <w:color w:val="000000"/>
                <w:sz w:val="18"/>
              </w:rPr>
              <w:t xml:space="preserve">像头，每路摄像头≥450万像素，每路摄像头均支持≥1920*1080分辨率，支持多码流传输，视频帧率≥25 帧/秒，支持H.264/H.265/MJPEG视频压缩编码，支持本地存储或本地视频汇聚与缓存功能； </w:t>
              <w:br/>
              <w:t xml:space="preserve">8、拍摄角度：每个摄像头均固定机位，满足正视角、侧视角、俯视角度等角度的拍摄，且画面均无翻转，满足实验考试和教学的拍摄需要；</w:t>
              <w:br/>
              <w:t xml:space="preserve">9、当俯拍摄像头支架工作状态时无外力影响下，自动打开至取景位置，当收纳时俯拍摄像头支架无外力影响下自动复位至收纳状态；</w:t>
              <w:br/>
              <w:t xml:space="preserve">10、侧拍摄像头支架工作时无外力影响下，先自动上升到指定</w:t>
            </w:r>
            <w:r>
              <w:rPr>
                <w:rFonts w:ascii="SimSun" w:hAnsi="SimSun" w:eastAsia="SimSun" w:cs="SimSun"/>
                <w:color w:val="000000"/>
                <w:sz w:val="18"/>
              </w:rPr>
              <w:t xml:space="preserve">位置后，再自动上升至正常取景位置，当需要收纳状态时无外力影响下，先自动下降至指定位置时再自动下降到收纳状态</w:t>
              <w:br/>
              <w:t xml:space="preserve">11、供电：具有220V转DC持续供电；</w:t>
              <w:br/>
              <w:t xml:space="preserve">12、终端机的每路摄像头均具有独立的IP地址，均能提供独立的IP网络视频流供第三方监控系统调用，支持标准RTSP、ONVIF协议；当终端软件停止运行时，监考端、服务器以及第三方NVR依然可正常获取摄像头的视频画面，确保录制安全性；支持本机视频录制，与其它端的视频录制功能互不影响，即使在断网或服务器故障的情况下也能正常使用；支持在本机视频录制过程中进行书写批注，</w:t>
            </w:r>
            <w:r>
              <w:rPr>
                <w:rFonts w:ascii="SimSun" w:hAnsi="SimSun" w:eastAsia="SimSun" w:cs="SimSun"/>
                <w:color w:val="000000"/>
                <w:sz w:val="18"/>
              </w:rPr>
              <w:t xml:space="preserve">批注方式多样，包括但不限于手写、方框、箭头、圆圈等，可以调整批注笔触的粗细、颜色，批注完成后可以截图保存；提供文件管理页面，方便查看所有录制的视频和批注截图；</w:t>
              <w:br/>
              <w:t xml:space="preserve">13、整体采用压铸铝合金+塑料材质，辅助结构为高强度镀锌钢。</w:t>
              <w:br/>
              <w:t xml:space="preserve">★14、在40℃温度下加电运行2h以及恢复2h后，能进行工作正常。在0℃温度下加电运行2h,以及恢复2h后，进行最后检测，能进行工作正常。提供满足以上技术要求具有CMA或CNAS认证的第三方检测机构出具的检测报告扫描件加盖投标人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高清电子目镜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1.≥200万像素高清分辨率  2.适配传统光学单目显微镜  3.USB接口</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智慧终端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numPr>
                <w:ilvl w:val="0"/>
                <w:numId w:val="6"/>
              </w:numP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处理器：≥八核性能处理器,2、屏幕：≥12英寸  ,3、分辨率：≥2560*1600 ,4、内存：≥8+256G,5、电池：≥10000mAh</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无线投屏器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1.高清无线投屏器，支持扫码连接，≥4K高清</w:t>
              <w:br/>
              <w:t xml:space="preserve">2.实现手机、平板、教学终端，无线投屏功能，流畅无时延。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无线AP</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tcPr>
          <w:p>
            <w:pPr>
              <w:numPr>
                <w:ilvl w:val="0"/>
                <w:numId w:val="7"/>
              </w:numPr>
              <w:spacing w:before="0" w:after="20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频段：双频，2.无线协议：Wi-Fi ，3.WAN接入口：千兆网口，4.LAN口数量：≥8个，5.无线速率：≥3000M，6.总带机量：151-200终端，7.防火墙：支持防火墙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AP供电单元</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POE供电模块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桌垫</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材质：橡胶+防水布，尺寸：≥1200*600MM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交换机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1.性能：整机交换容量：≥240Gbps；转发性能：≥78Mpps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2.端口：48个10/100/1000Base-T以太网端口；4个1000Base-X以太网端口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3.静态MAC配置；支持MAC地址学习数目限制；支持端口镜像和流镜像功能；支持端口聚合；支持端口隔离；支持STP/RSTP/MSTP；支持IEEE 802.3ad（动态链路聚合）、静态端口聚合</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4.支持DHCP Relay；支持DHCP Client；支持DHCP Snooping；支持DHCP Snooping Option82</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5.支持用户分级管理和口令保护；支持SSHv2，为用户登录提供安全加密通道；支持SSL，保障数据传输安全；支持可控IP地址的FTP登录和口令机制；支持防Dos攻击；支持MAC地址限制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三、实验室设备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1.台面：采用≥采用12.7mm厚实芯理化板制作，四周圆角处理，光滑无毛刺。</w:t>
              <w:br/>
              <w:t xml:space="preserve">2.柜体：全钢结构，采用≥1.0mm高强度镀锌钢板，切割折弯成型，组件焊接工艺，打磨平整，表面经环氧树脂喷涂处理；整体结构设计合理，预留电脑主机、键盘托、实物展台、教师电源安装位置。</w:t>
              <w:br/>
              <w:t xml:space="preserve">3.拉手：采用不锈钢拉手。</w:t>
              <w:br/>
              <w:t xml:space="preserve">4.门板及抽面：采用双层结构，组装式设计，保证单层钢板双面都喷涂处理，门板中间填充隔音材料，减少关门时产生的噪音。防撞胶垫：装于抽屉及门板内侧，减缓碰撞，保护柜体。</w:t>
              <w:br/>
              <w:t xml:space="preserve">5.不锈钢防腐合页，采用优质不锈钢模具一体成型。</w:t>
              <w:br/>
              <w:t xml:space="preserve">6.防</w:t>
            </w:r>
            <w:r>
              <w:rPr>
                <w:rFonts w:ascii="SimSun" w:hAnsi="SimSun" w:eastAsia="SimSun" w:cs="SimSun"/>
                <w:color w:val="000000"/>
                <w:sz w:val="18"/>
              </w:rPr>
              <w:t xml:space="preserve">腐三节静音导轨，三节滚珠滑轨，承重性强，滑动顺滑。</w:t>
              <w:br/>
              <w:t xml:space="preserve">7.固定桌脚：采用柜体内置可调ABS调整脚，保证调整脚前后都可以调节高低。</w:t>
              <w:br/>
              <w:t xml:space="preserve">8.规格：≥2400*700*900(mm)</w:t>
              <w:br/>
              <w:t xml:space="preserve">★教师演示讲台技术要求满足:GB/T 24820-2024 实验室家具通用技术条件</w:t>
              <w:br/>
              <w:t xml:space="preserve">（1）实验台高:立姿≤900mm；</w:t>
              <w:br/>
              <w:t xml:space="preserve">（2）容膝空间净高≥700mm；</w:t>
              <w:br/>
              <w:t xml:space="preserve">（3）容膝空间净深≥80mm；</w:t>
              <w:br/>
              <w:t xml:space="preserve">（4）符合翘曲度中面板、正视面板件对角线长度标准；</w:t>
              <w:br/>
              <w:t xml:space="preserve">（5）符合平整度中面板、正视面板件标准；</w:t>
              <w:br/>
              <w:t xml:space="preserve">（6）符合分缝要求；</w:t>
              <w:br/>
              <w:t xml:space="preserve">（7）着地平稳性≤2.0mm；</w:t>
              <w:br/>
              <w:t xml:space="preserve">（8</w:t>
            </w:r>
            <w:r>
              <w:rPr>
                <w:rFonts w:ascii="SimSun" w:hAnsi="SimSun" w:eastAsia="SimSun" w:cs="SimSun"/>
                <w:color w:val="000000"/>
                <w:sz w:val="18"/>
              </w:rPr>
              <w:t xml:space="preserve">）安全性能：实验台面接缝应平整、紧密，不应渗水、开缝。实验台的把手不应有可积聚物质的凹槽。</w:t>
              <w:br/>
              <w:t xml:space="preserve">（9）实验台力学性能-实验台强度：1）符合水平静载荷试验标准；2）符合主台面垂直静载荷试验标准；3）符合台面挠度试验标准；4）符合跌落试验标准。</w:t>
              <w:br/>
              <w:t xml:space="preserve">（10）实验台力学性能-实验台耐久性：1）符合水平耐久性试验标准；2）符合垂直耐久性试验标准。</w:t>
              <w:br/>
              <w:t xml:space="preserve">（11）实验台力学性能-独立式实验台稳定性：1）符合水平冲击稳定性试验标准；2）符合垂直加载稳定性试验标准；3）符合具有推拉构件的稳定性试验标准。</w:t>
              <w:br/>
              <w:t xml:space="preserve">提供满足以上技术要求具有CMA</w:t>
            </w:r>
            <w:r>
              <w:rPr>
                <w:rFonts w:ascii="SimSun" w:hAnsi="SimSun" w:eastAsia="SimSun" w:cs="SimSun"/>
                <w:color w:val="000000"/>
                <w:sz w:val="18"/>
              </w:rPr>
              <w:t xml:space="preserve">或CNAS认证的第三方检测机构出具的检测报告扫描件加盖投标人电子签章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br/>
              <w:t xml:space="preserve">★陶瓷台面技术要求满足：</w:t>
              <w:br/>
              <w:t xml:space="preserve">（1）止滑要求：台面需有止滑功能，止滑槽宽13.5mm±1mm、深1.5mm±0.5mm，止滑槽凹槽表面釉面与操作面釉面一制，为一体烧制釉面， 非后期破坏釉面开槽。 </w:t>
              <w:br/>
              <w:t xml:space="preserve">（2）承重要求：针对不同的实验，需要不同的仪器以及实验器材，所以台面要有承重性能。需提供台面承重性能的</w:t>
            </w:r>
            <w:r>
              <w:rPr>
                <w:rFonts w:ascii="SimSun" w:hAnsi="SimSun" w:eastAsia="SimSun" w:cs="SimSun"/>
                <w:color w:val="000000"/>
                <w:sz w:val="18"/>
              </w:rPr>
              <w:t xml:space="preserve">检测报告，参照T/CIQA10-2020 附录A 标准，台面加载面650mm*650mm，均匀施加700kg载荷，保载不低于480 小时，结果没有破损。</w:t>
              <w:br/>
              <w:t xml:space="preserve">（3）耐腐蚀要求：为确保台面耐化学腐蚀性能的稳定，需提供台面耐高浓度酸、碱的检测报告，其中，体积分数为0.18 的盐酸溶液；体积分数为0.05 的乳酸溶液；100g/L氢氧化钾溶液的台面耐腐蚀检测，参照GB/T3810.13-2016 标准，检测结果需达到GHA 级。</w:t>
              <w:br/>
              <w:t xml:space="preserve">（4）耐污染要求：为确保台面在使用过程中容易清洁，性能满足或优于GB/T3810.14-</w:t>
            </w:r>
            <w:r>
              <w:rPr>
                <w:rFonts w:ascii="SimSun" w:hAnsi="SimSun" w:eastAsia="SimSun" w:cs="SimSun"/>
                <w:color w:val="000000"/>
                <w:sz w:val="18"/>
              </w:rPr>
              <w:t xml:space="preserve">2016 标准，检测结果达到5 级。</w:t>
              <w:br/>
              <w:t xml:space="preserve">（5）放射要求：为确保实验操作人员的放射安全性，性能满足或优于GB6566-2010 标准，放射性的实测值：内照射指数≤0.5；外照射指数≤0.9 的检测结果。 </w:t>
              <w:br/>
              <w:t xml:space="preserve">（6）破坏安全性：为确保台面在使用过程中不会出现断裂、开裂的质量问题，性能满足或优于GB/T3810.4-2016 标准，破坏强度≥14000N；断裂模数平均值≥54MPa 的检测结果。</w:t>
              <w:br/>
              <w:t xml:space="preserve">提供满足以上技术要求具有CMA 或CNAS 认证的第三方检测机构出具的检测报告扫描件加盖投标人电子签章</w:t>
              <w:br/>
              <w:t xml:space="preserve">2.柜体：全钢结构</w:t>
            </w:r>
            <w:r>
              <w:rPr>
                <w:rFonts w:ascii="SimSun" w:hAnsi="SimSun" w:eastAsia="SimSun" w:cs="SimSun"/>
                <w:color w:val="000000"/>
                <w:sz w:val="18"/>
              </w:rPr>
              <w:t xml:space="preserve">，采用≥1.0mm高强度镀锌钢板，切割折弯成型，组件焊接工艺，打磨平整，表面经环氧树脂喷涂处理；整体结构设计合理，预留电脑主机、键盘托、实物展台、教师电源安装位置。</w:t>
              <w:br/>
              <w:t xml:space="preserve">3.拉手：采用不锈钢拉手。</w:t>
              <w:br/>
              <w:t xml:space="preserve">4.门板及抽面：采用双层结构，组装式设计，保证单层钢板双面都喷涂处理，门板中间填充隔音材料，减少关门时产生的噪音。防撞胶垫：装于抽屉及门板内侧，减缓碰撞，保护柜体。</w:t>
              <w:br/>
              <w:t xml:space="preserve">5.不锈钢防腐合页，采用优质不锈钢模具一体成型。</w:t>
              <w:br/>
              <w:t xml:space="preserve">6.防腐三节静音导轨，三节滚珠滑轨，承重性强，滑动顺滑。</w:t>
              <w:br/>
              <w:t xml:space="preserve">7.固定桌脚：采用柜体内置可调ABS调整脚，</w:t>
            </w:r>
            <w:r>
              <w:rPr>
                <w:rFonts w:ascii="SimSun" w:hAnsi="SimSun" w:eastAsia="SimSun" w:cs="SimSun"/>
                <w:color w:val="000000"/>
                <w:sz w:val="18"/>
              </w:rPr>
              <w:t xml:space="preserve">保证调整脚前后都可以调节高低。</w:t>
              <w:br/>
              <w:t xml:space="preserve">8.规格：≥3000*700*900(mm)。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1.台面：采用≥12.7mm厚实芯理化板制作，四周圆角处理，光滑无毛刺。</w:t>
              <w:br/>
              <w:t xml:space="preserve">2.柜体：全钢结构，采用≥1.0mm高强度镀锌钢板，切割折弯成型，组件焊接工艺，打磨平整，表面经环氧树脂喷涂处理；整体结构设计合理，预留电脑主机、键盘托、实物展台、教师电源安装位置。</w:t>
              <w:br/>
              <w:t xml:space="preserve">3.拉手：采用不锈钢拉手。</w:t>
              <w:br/>
              <w:t xml:space="preserve">4.门板及抽面：采用双层结构，组装式设计，保证单层钢板双面都喷涂处理，门板中间填充隔音材料，减少关门时产生的噪音。防撞胶垫：装于抽屉及门板内侧，减缓碰撞，保护柜体。</w:t>
              <w:br/>
              <w:t xml:space="preserve">5.不锈钢防腐合页，采用优质不锈钢模具一体成型。</w:t>
              <w:br/>
              <w:t xml:space="preserve">6.防腐三</w:t>
            </w:r>
            <w:r>
              <w:rPr>
                <w:rFonts w:ascii="SimSun" w:hAnsi="SimSun" w:eastAsia="SimSun" w:cs="SimSun"/>
                <w:color w:val="000000"/>
                <w:sz w:val="18"/>
              </w:rPr>
              <w:t xml:space="preserve">节静音导轨，三节滚珠滑轨，承重性强，滑动顺滑。</w:t>
              <w:br/>
              <w:t xml:space="preserve">7.固定桌脚：采用柜体内置可调ABS调整脚，保证调整脚前后都可以调节高低。</w:t>
              <w:br/>
              <w:t xml:space="preserve">8.规格：≥3000*700*900(mm)。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实验室专用水槽</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1.规格：≥550*450*300(mm)</w:t>
              <w:br/>
              <w:t xml:space="preserve">2.采用PP一体化成型水槽，易清洁，耐腐蚀特点。</w:t>
              <w:br/>
              <w:t xml:space="preserve">★实验室专用水槽技术要求满足：</w:t>
              <w:br/>
              <w:t xml:space="preserve">（1）垂直冲击试验要求：检测条件高度:≥300mm次数:≥500 次，a,零部件无断裂、无豁裂;b,零部件未出现严重影响使用功能的磨损和变形</w:t>
              <w:br/>
              <w:t xml:space="preserve">（2）密度检测依据GB/T1033.1-2008方法A的标准。</w:t>
              <w:br/>
              <w:t xml:space="preserve">提供满足以上技术要求具有CMA或CNAS认证的由第三方检测机构出具的检测报告扫描件加盖投标人电子签章。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三联高低位龙头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鹅颈式实验室专用优质化验水嘴：主体采用铜质，表面环氧树脂喷涂。阀芯采用陶瓷阀芯，配置一个高位水龙头，两个低位水龙头，便于多用途使用。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洗眼器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洗眼喷头：采用不助燃PC材质模铸一体成形制作，具有防尘功能，上面防尘盖平常可防尘，使用时可随时被水冲开，并降低突然打开时短暂的高水压，避免冲伤眼睛。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紧急冲淋</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不锈钢材质1、紧急冲淋洗眼装置的关节采用插拔式的连接方式，既缩短整个产品的安装工时，又能彻底解决管件连接处的漏水问题，轻松满足360度任意定位安装的人性化需要，外观整洁大方，检修及部件更换更加便捷。</w:t>
              <w:br/>
              <w:t xml:space="preserve">2、主体、冲淋阀、洗眼阀、洗眼盆、拉手、推手和脚踏等部件均采用卫生级304不锈钢无缝钢管，镍含量超过8%，耐腐蚀性能出众。</w:t>
              <w:br/>
              <w:t xml:space="preserve">3、采用冷轧工艺生产，不易变形，同时管壁光滑无油脂，经久耐用。</w:t>
              <w:br/>
              <w:t xml:space="preserve">4、洗眼喷头内置减压装置，防止对眼睛二次伤害；配置水压调节系统来适应不同场所的水压。</w:t>
              <w:br/>
              <w:t xml:space="preserve">5、冲淋球阀和洗眼球阀均采用双片式阀门</w:t>
            </w:r>
            <w:r>
              <w:rPr>
                <w:rFonts w:ascii="SimSun" w:hAnsi="SimSun" w:eastAsia="SimSun" w:cs="SimSun"/>
                <w:color w:val="000000"/>
                <w:sz w:val="18"/>
              </w:rPr>
              <w:t xml:space="preserve">结构，密封性和抗压性能更好，使用寿命更长。</w:t>
              <w:br/>
              <w:t xml:space="preserve">6、阀门管道采用由任（即活接头）的管道连接设计，使维修保养费用极低，避免了由于阀门或部件损坏后无法更换而导致整个洗眼器报废的情况。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化学学生实验桌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1.新型塑钢铝结构：≥1200*600*780mm。</w:t>
              <w:br/>
              <w:t xml:space="preserve">2.台面：采用≥15mm厚陶瓷台面，陶瓷台面坯体黑色一体实芯和釉面经高温一体煅烧而成。陶瓷台面表面釉面为实验室专业釉面不会受外界环境影响而脱落脱层，具有耐污染、耐化学腐蚀、无放射性物质、防撞抗冲击、承重力强等功能。</w:t>
              <w:br/>
              <w:t xml:space="preserve">3.结构：新型塑钢铝结构，学生位镂空式，。</w:t>
              <w:br/>
              <w:t xml:space="preserve">4.专用书包斗ABS注塑一体注塑成型尺寸≥445*338*168mm，中间设挂凳卡。</w:t>
              <w:br/>
              <w:t xml:space="preserve">★化学学生实验桌技术要求满足: GB/T 24820-2024 实验室家具通用技术条件。</w:t>
              <w:br/>
              <w:t xml:space="preserve">（1）理化性能-通用要</w:t>
            </w:r>
            <w:r>
              <w:rPr>
                <w:rFonts w:ascii="SimSun" w:hAnsi="SimSun" w:eastAsia="SimSun" w:cs="SimSun"/>
                <w:color w:val="000000"/>
                <w:sz w:val="18"/>
              </w:rPr>
              <w:t xml:space="preserve">求 硬质覆面理化1）耐划痕：加载1.5N，表面无大于90%的连续划痕或表面装饰花纹无破坏现象；2）表面耐磨性 素色—磨350r后应无露底现象；</w:t>
              <w:br/>
              <w:t xml:space="preserve">（2）理化性能-其他要求1）物理实验台面抗冲击：冲击高度：1m</w:t>
              <w:br/>
              <w:t xml:space="preserve">（3）实验台力学性能-实验台强度1）水平静载荷试验，符合标准；2）主台面垂直静载荷试验，符合标准；3）台面挠度试验，符合标准；4）跌落试验，符合标准；</w:t>
              <w:br/>
              <w:t xml:space="preserve">（4）实验台力学性能-独立式实验台稳定性1）水平冲击稳定性试验，符合标准；2）垂直加载稳定性试验，符合标准；</w:t>
              <w:br/>
              <w:t xml:space="preserve">（5）甲醛释放量mg/L ，≤1.5mg/</w:t>
            </w:r>
            <w:r>
              <w:rPr>
                <w:rFonts w:ascii="SimSun" w:hAnsi="SimSun" w:eastAsia="SimSun" w:cs="SimSun"/>
                <w:color w:val="000000"/>
                <w:sz w:val="18"/>
              </w:rPr>
              <w:t xml:space="preserve">L</w:t>
              <w:br/>
              <w:t xml:space="preserve">提供满足以上技术要求具有CMA或CNAS认证的第三方检测机构出具的检测报告扫描件加盖投标人电子签章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学生实验桌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学生实验桌</w:t>
              <w:br/>
              <w:t xml:space="preserve">1.新型塑钢铝结构：≥1200*600*780mm。</w:t>
              <w:br/>
              <w:t xml:space="preserve">2.台面：采用≥12.7m实芯理化板.</w:t>
              <w:br/>
              <w:t xml:space="preserve">3.结构：新型塑钢铝结构，学生位镂空式，。</w:t>
              <w:br/>
              <w:t xml:space="preserve">4.专用书包斗ABS注塑一体注塑成型尺寸≥445*338*168mm，中间设挂凳卡。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多功能防溅水槽柜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1、水槽柜整体尺寸为≥600*450*820mm</w:t>
              <w:br/>
              <w:t xml:space="preserve">2、底围：≥590x440x61.5mm，中间部分尺寸≥601x450x817mm；材质≥1.0mm镀锌钢板，表面经防锈处理、环氧树脂静电粉末涂装处理；</w:t>
              <w:br/>
              <w:t xml:space="preserve">3、一体水槽，PP改性材质，水槽上部内径尺寸为≥405x480mm，底部内径尺寸为≥346*436mm，水槽最高深度为≥360mm，洗涤时水不易外溅；水槽内部带滴水架，滴水架带不少于10根滴水棒，滴水棒可以翻转收纳；</w:t>
              <w:br/>
              <w:t xml:space="preserve">4、水槽柜预留收纳翻盖，有收纳水管功能；检修门带锁，底围安装1寸定向轮</w:t>
              <w:br/>
              <w:t xml:space="preserve">5、★多功能防溅水</w:t>
            </w:r>
            <w:r>
              <w:rPr>
                <w:rFonts w:ascii="SimSun" w:hAnsi="SimSun" w:eastAsia="SimSun" w:cs="SimSun"/>
                <w:color w:val="000000"/>
                <w:sz w:val="18"/>
              </w:rPr>
              <w:t xml:space="preserve">槽柜技术要求满足：</w:t>
              <w:br/>
              <w:t xml:space="preserve">（1）水槽柜滴水架：滴水架具有折叠隐藏功能；</w:t>
              <w:br/>
              <w:t xml:space="preserve">（2）水槽柜隐藏设计：柜体上部设计有隐藏式上下水管功能，可以搭配上走水电的需求；</w:t>
              <w:br/>
              <w:t xml:space="preserve">（3）水槽柜过滤功能：下水带2层过滤装置，可以过滤不同的杂质；</w:t>
              <w:br/>
              <w:t xml:space="preserve">（4）水槽柜排水功能：水槽底部设置矩形式下水口，可以快速排出水槽废水。</w:t>
              <w:br/>
              <w:t xml:space="preserve">提供满足以上技术要求具有CMA或CNAS认证的第三方检测机构出具的检测报告扫描件加盖投标人电子签章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升降折叠水龙头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1.主体材质为加厚铜管，主管管径≥26mm铜管，表面经环氧树脂喷涂处理。</w:t>
              <w:br/>
              <w:t xml:space="preserve">2.双龙头可以独立折叠式设计，使用时打开折叠双联龙头在使用过程中可以自由升降水嘴，以满足不同身高的高度仪器清洗要求使用。其中一个出水嘴加装了可调节水花装置，保证实验过程中对水花的不同要求，调节方便，美观耐用。</w:t>
              <w:br/>
              <w:t xml:space="preserve">3.实验室龙头采用壁式安装，壁厚≥2.5mm，固定底座直径50mm(正负2mm)，底座锁母与台面中间添加齿形止退垫，使连接后不易松动稳定性强，与台面安装牢固。双联龙头可以分开折叠90度收纳，保证实验室的整洁美观。</w:t>
              <w:br/>
              <w:t xml:space="preserve">4.开关旋钮：</w:t>
            </w:r>
            <w:r>
              <w:rPr>
                <w:rFonts w:ascii="SimSun" w:hAnsi="SimSun" w:eastAsia="SimSun" w:cs="SimSun"/>
                <w:color w:val="000000"/>
                <w:sz w:val="18"/>
              </w:rPr>
              <w:t xml:space="preserve">材质PP，符合人体工学设计，启闭方式为平面式，开关标识清晰醒目，装配好的开关旋钮应平稳轻便无卡阻，与阀杆连接后不易松动稳定性强。</w:t>
              <w:br/>
              <w:t xml:space="preserve">5.水咀三通与上控水阀，用200T四拉液压机、模具一体热冲成形，密度高，强度大，牢固耐用。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下水装置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底部带S弯防臭设计，与地面下水管密封连接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多功能柱</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1、整体采用实验室专用PP材质，四周圆弧处理，前后二块拼接而成，可拆装，内部隐藏实验线管及通风管道，方便检修。</w:t>
              <w:br/>
              <w:t xml:space="preserve">2、多功能柱技术要求满足：GB/T 32487-2016塑料家具通用技术条件</w:t>
              <w:br/>
              <w:t xml:space="preserve">（1）耐老化性（室内≥500h）满足：外观颜色≥4级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实验凳</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1.规格：Φ≥315*450-500（mm）                          </w:t>
              <w:br/>
              <w:t xml:space="preserve">2.凳脚材质：4个凳脚采用不小于17*34*1.7（mm）钢管模具弯制一次成型，全圆满焊接完成，结构牢固，经高温粉体烤漆处理，长时间使用也不会产生表面烤漆剥落现象 螺旋升降式，升降距离≥50mm，最高离地距离≥500mm，凳面Ф≥315*高450-500（mm），</w:t>
              <w:br/>
              <w:t xml:space="preserve">3.聚丙烯凳面材质：采用聚丙烯共聚级注塑。表面细纹咬花，防滑不发光，凳面底部镶嵌4枚螺纹，采用标准螺栓与圆型托盘固定。</w:t>
              <w:br/>
              <w:t xml:space="preserve">4.脚垫材质：采用PP加耐磨</w:t>
            </w:r>
            <w:r>
              <w:rPr>
                <w:rFonts w:ascii="SimSun" w:hAnsi="SimSun" w:eastAsia="SimSun" w:cs="SimSun"/>
                <w:color w:val="000000"/>
                <w:sz w:val="18"/>
              </w:rPr>
              <w:t xml:space="preserve">纤维增强塑料，实心倒勾式一体射出成型。</w:t>
              <w:br/>
              <w:t xml:space="preserve">5.凳托与凳脚留有一定的空间便于凳子挂在挂凳扣上，方便教室的打扫。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144</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四、物理吊装及控制系统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1、教师演示台配备总漏电保护和分组保护，可分组控制学生的高低压电源，确保学生实验安全方便；</w:t>
              <w:br/>
              <w:t xml:space="preserve">2、教师电源总控采用≥225*127mm尺寸的面板，具备智能控制按键，并能显示电源电压；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5、低压大电流值为40A，自动关断；</w:t>
              <w:br/>
              <w:t xml:space="preserve">6、教学电源：220V交流输出为带安全门的插座，带有电源指示，学生低压交流电源可通过智能控</w:t>
            </w:r>
            <w:r>
              <w:rPr>
                <w:rFonts w:ascii="SimSun" w:hAnsi="SimSun" w:eastAsia="SimSun" w:cs="SimSun"/>
                <w:color w:val="000000"/>
                <w:sz w:val="18"/>
              </w:rPr>
              <w:t xml:space="preserve">制按键直接选取0～24V电压，最小调节单元为1V，分组输送至学生桌；低压直流电压教师能准确控制，最小调节单元为0.1V。</w:t>
              <w:br/>
              <w:t xml:space="preserve">7、★教师演示电源技术要求满足：JY/T0374-2004《教学实验室设备电源系统》</w:t>
              <w:br/>
              <w:t xml:space="preserve">（1）教师电源交流输出电压的测试符合标准。</w:t>
              <w:br/>
              <w:t xml:space="preserve">（2）教师电源直流稳压输出电压的测试符合标准。</w:t>
              <w:br/>
              <w:t xml:space="preserve">（3）机械强度之250N恒定力试验符合标准。</w:t>
              <w:br/>
              <w:t xml:space="preserve">（4）机械强度之外壳冲击试验符合标准。</w:t>
              <w:br/>
              <w:t xml:space="preserve">（5）未接地的可触及零部件符合标准。</w:t>
              <w:br/>
              <w:t xml:space="preserve">（6）抗电强度试验符合标准。</w:t>
              <w:br/>
              <w:t xml:space="preserve">提供满足以上技术要求具有CMA或CNAS认证的第三方检测机</w:t>
            </w:r>
            <w:r>
              <w:rPr>
                <w:rFonts w:ascii="SimSun" w:hAnsi="SimSun" w:eastAsia="SimSun" w:cs="SimSun"/>
                <w:color w:val="000000"/>
                <w:sz w:val="18"/>
              </w:rPr>
              <w:t xml:space="preserve">构出具的检测报告扫描件加盖投标人电子签章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集中控制系统。可执行各分项分页控制；</w:t>
              <w:br/>
              <w:t xml:space="preserve">（1）升降控制：可以实现单个控制，可以集中控制，可以任意组合控制；</w:t>
              <w:br/>
              <w:t xml:space="preserve">（2）220V电源控制：控制学生AC220V电源；</w:t>
              <w:br/>
              <w:t xml:space="preserve">（3）低压控制：教室主控，分组控制。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电源供应装置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1、采用ABS材质，模具一体成型。模块内预留220V高压电源、0-24V低压电源、网络接口位置。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模块储藏装置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采用ABS材质，模具一体成型。四周带氛围灯设计。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低压电源模块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1、教师主控型，学生低压电源都可接收主控电源发送的锁定信号，在锁定指示灯点亮后，学生接收老师输送的设定电源电压，教师锁定时,学生自己无法操作，这样可避免学生的误操作。可以分组或独立控制；</w:t>
              <w:br/>
              <w:t xml:space="preserve">2、学生电源采用耐磨、耐腐蚀、耐高温的PC亮光薄膜面板，学生电源的控制采用按钮式按键，可以随意设置电压，贴片元件生产技术，微电脑控制，采用不小于41*20mm尺寸面板，用于展示学生的交直流电压数据；</w:t>
              <w:br/>
              <w:t xml:space="preserve">3、学生交流电源通过上下键0～24V电压，最小调节单元可达1V,额定电流2A；</w:t>
              <w:br/>
              <w:t xml:space="preserve">4、学生直流电源也是通过上下键选取，调节范围</w:t>
            </w:r>
            <w:r>
              <w:rPr>
                <w:rFonts w:ascii="SimSun" w:hAnsi="SimSun" w:eastAsia="SimSun" w:cs="SimSun"/>
                <w:color w:val="000000"/>
                <w:sz w:val="18"/>
              </w:rPr>
              <w:t xml:space="preserve">为1.5～24V，分辨率可达0.1V,额定电流2.5A。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伸缩线束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含高低压供电线缆和网络线缆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电源模块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采用220V，多功能安全插座;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智能升降系统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采用自动升降系统，自带保护功能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综合布线</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2.5mm²电线，给学生低压电源供电；1mm²屏蔽电源线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安装支架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环氧树脂喷涂金属吊杆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五、化学吊装及控制，通风系统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1、教师演示台配备总漏电保护和分组保护，可分组控制学生的高低压电源，确保学生实验安全方便；</w:t>
              <w:br/>
              <w:t xml:space="preserve">2、教师电源总控采用不小于225*127mm尺寸的面板，具备智能控制按键，并能显示电源电压；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5、低压大电流值为40A，自动关断；</w:t>
              <w:br/>
              <w:t xml:space="preserve">6、教学电源：220V交流输出为带安全门的插座，带有电源指示，学生低压交流电源可通过智</w:t>
            </w:r>
            <w:r>
              <w:rPr>
                <w:rFonts w:ascii="SimSun" w:hAnsi="SimSun" w:eastAsia="SimSun" w:cs="SimSun"/>
                <w:color w:val="000000"/>
                <w:sz w:val="18"/>
              </w:rPr>
              <w:t xml:space="preserve">能控制按键直接选取0～24V电压，最小调节单元为1V，分组输送至学生桌；低压直流电压教师能准确控制，最小调节单元为0.1V。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通风矢量控制系统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机矢量控制变频器：应用空间电压矢量控制原理，采用模块化设计、双CPU控制，是集数字技术、计算机技术、现代自控技术于一体的高科技产品，具有精度高、噪音低、转矩大、性能可靠等特点。主要参数指标为：1.频率指示、异常指示、转速指示、状态指示等均由LED显示；2.输入额定电压：三相380V，±15%；3.输入额定频率：50/60HZ；4.控制方式：空间电压矢量控制；5.输出频率：1.00~400.0HZ；6.过载能力：150%额定电流；7.保护功能：输入缺相、输入欠压、直流过压、过载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顶装智能控制平台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集中控制系统。可执行各分项分页控制。</w:t>
              <w:br/>
              <w:t xml:space="preserve">照明控制：控制顶装照明。</w:t>
              <w:br/>
              <w:t xml:space="preserve">电源控制：控制学生AC220V电源和低压电源。</w:t>
              <w:br/>
              <w:t xml:space="preserve">摇臂控制：控制摇臂升降。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1、APP登入有网络注册功能，注册后登入系统操作，使用者忘记密码方便找回，同时方便升级系统，带来新的体验。</w:t>
              <w:br/>
              <w:t xml:space="preserve">2、能使用APP能控制总电源关闭；</w:t>
              <w:br/>
              <w:t xml:space="preserve">3、APP能显示当前温度、相对湿度及当前时间；</w:t>
              <w:br/>
              <w:t xml:space="preserve">4、使用APP能控制学生低压电源的交流电压，且电压值为实测值。如APP给学生交流3V，学生电源电压实测电压为3V；</w:t>
              <w:br/>
              <w:t xml:space="preserve">5、使用APP同时控制电风光源开启与关闭，同时可以扩展功能（监控布防、空调控制等等）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温湿度监视系统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内置精密温湿度传感装置，实时监控房间内的温度和湿度，保障室内舒适的环境舒适性，能在智能控制平台中实时显示当前环境的温度和湿度。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铝合金万向罩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1、关节：高密度PP材质表面磨砂，可360°旋转调节。</w:t>
              <w:br/>
              <w:t xml:space="preserve">2、关节密封圈：高密度橡胶。在关节之间随着旋钮压力加大而产生阻尼效果。</w:t>
              <w:br/>
              <w:t xml:space="preserve">3、关节连接杆：304不锈钢双头连接杆。</w:t>
              <w:br/>
              <w:t xml:space="preserve">4、关节盖：高密度PP材质表面磨砂，组合式安装拆装方便。</w:t>
              <w:br/>
              <w:t xml:space="preserve">5、关节松紧选钮：高密度PP材质，调节旋流可以调节关节旋转扭矩。</w:t>
              <w:br/>
              <w:t xml:space="preserve">6、铝合金万向罩口：直径不小于230mm，高密度铝合金制成，防止实验时的火焰使其燃烧。</w:t>
              <w:br/>
              <w:t xml:space="preserve">7、导管：4节直径不小于55mm的抗氧化抗腐蚀的镁硅铝合金，表面做特氟龙表面处理，耐酸、耐碱、耐划痕。</w:t>
              <w:br/>
              <w:t xml:space="preserve">8、旋转关节：采用抗氧化抗</w:t>
            </w:r>
            <w:r>
              <w:rPr>
                <w:rFonts w:ascii="SimSun" w:hAnsi="SimSun" w:eastAsia="SimSun" w:cs="SimSun"/>
                <w:color w:val="000000"/>
                <w:sz w:val="18"/>
              </w:rPr>
              <w:t xml:space="preserve">腐蚀的镁硅铝合金，和铝合金万向罩口连接的导管设计旋转功能。</w:t>
              <w:br/>
              <w:t xml:space="preserve">9、扭簧：使用90度的≥4mm专用弹簧钢抗氧化处理，防止吸风罩自重导致导管下滑。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万向吸风罩底座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钢制固定底座，抗氧化抗腐蚀的镁硅铝合金方管，根据不同的组合方式可选择丝口和挂口结构，拆装方便。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室内通风主管道、支管道均采用防腐蚀材质，主管道：定制风管，满足实验室通风要求；接口保证无漏风。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1、采用防腐蚀材质，具有整体结构性能好、严密性高等优点，同时具有耐酸碱性能。</w:t>
              <w:br/>
              <w:t xml:space="preserve">2、规格：定制风管，满足实验室通风要求，</w:t>
              <w:br/>
              <w:t xml:space="preserve">3、管卡采用碳钢制作，表面经防锈处理，具有耐腐蚀、防火、防潮等功能。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防腐风机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功率：≥5.5KW。风量：7100-13500m3/h。风压：926-735Pa。噪音：≤55dB(A)</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风机控制线</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2.5mm²*3+1.5mm²*2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1、整体采用≥1.5mm冷轧钢板，经激光雕刻机精细雕刻，数控折弯成型，表面经环氧树脂粉末喷涂高温固化处理。要做到承重性能强和耐酸碱、耐腐蚀。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整体采用抗倍特板，保护主体构架内的供应系统的安全，防止灰尘进入罩体内。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智能摇臂升降系统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接收智能控制系统信号实现远程遥控，动力为直流24V低压电机推送杆，固定于≥3mm厚专用铝合金模具一体成型，外部保护罩为铝合金模具一次成型，摇臂上装电源、选配网络及上下水模块。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规格：≥65*65*8mm（2个/组）接收智能化控制系统控制，内含多功能插座2个。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采用485网络模块接口，含设备中网线，方便与教室网络对接，不含教室网络布线及网线。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铝合金材质，在电系统出现故障时紧急制动，确保实验时安全。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模块化设计，每组模块间采用活接式连接，方便安装、检修。采用2.5mm²电线进行系统布线。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接收智能化控制系统控制，功能面板采用≥1170*85mm，配置LED日光灯1根，每根≥15W，灯罩采用ABS一次成型，设计安装磨砂透明均光板，不仅能使光线扩散均匀更能起到安全防护作用。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采用双槽钢横梁吊装方式，减少楼板承重，防止左右晃动，可进行上下、左右的平衡调节，实验功能板离地2m左右。主要辅件有：槽钢、三角构件、直角座、龙骨架连接件、吊装挂件、安装连接板等。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六、生物吊装及控制系统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1、教师演示台配备总漏电保护和分组保护，可分组控制学生的高低压电源，确保学生实验安全方便；</w:t>
              <w:br/>
              <w:t xml:space="preserve">2、教师电源总控采用不小于225*127mm尺寸的面板，具备智能控制按键，并能显示电源电压；</w:t>
              <w:br/>
              <w:t xml:space="preserve">3、教师交流电源通过智能控制按键直接选取0～24V电压，最小调节单元可达1V,额定电流3A；</w:t>
              <w:br/>
              <w:t xml:space="preserve">4、教师直流电源也是通过智能控制按键直接选取，调节范围为1.5～24V，分辨率可达0.1V,额定电流3A；</w:t>
              <w:br/>
              <w:t xml:space="preserve">5、低压大电流值为40A，自动关断；</w:t>
              <w:br/>
              <w:t xml:space="preserve">6、教学电源：220V交流输出为带安全门的插座，带有电源指示，学生低压交流电源可通过智</w:t>
            </w:r>
            <w:r>
              <w:rPr>
                <w:rFonts w:ascii="SimSun" w:hAnsi="SimSun" w:eastAsia="SimSun" w:cs="SimSun"/>
                <w:color w:val="000000"/>
                <w:sz w:val="18"/>
              </w:rPr>
              <w:t xml:space="preserve">能控制按键直接选取0～24V电压，最小调节单元为1V，分组输送至学生桌；低压直流电压教师能准确控制，最小调节单元为0.1V。</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智能控制平台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集中控制系统。可执行各分项分页控制。</w:t>
              <w:br/>
              <w:t xml:space="preserve">照明控制：控制顶装照明。</w:t>
              <w:br/>
              <w:t xml:space="preserve">电源控制：控制学生AC220V电源和低压电源。</w:t>
              <w:br/>
              <w:t xml:space="preserve">摇臂控制：控制摇臂升降。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1、APP登入有网络注册功能，注册后登入系统操作，使用者忘记密码方便找回，同时方便升级系统，带来新的体验。</w:t>
              <w:br/>
              <w:t xml:space="preserve">2、能使用APP能控制总电源关闭；</w:t>
              <w:br/>
              <w:t xml:space="preserve">3、APP能显示当前温度、相对湿度及当前时间；</w:t>
              <w:br/>
              <w:t xml:space="preserve">4、使用APP能控制学生低压电源的交流电压，且电压值为实测值。如APP给学生交流3V，学生电源电压实测电压为3V；</w:t>
              <w:br/>
              <w:t xml:space="preserve">5、使用APP同时控制电风光源开启与关闭，同时可以扩展功能（监控布防、空调控制等等）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内置精密温湿度传感装置，实时监控房间内的温度和湿度，保障室内舒适的环境舒适性，能在智能控制平台中实时显示当前环境的温度和湿度。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1、整体采用≥1.5mm冷轧钢板，经激光雕刻机精细雕刻，数控折弯成型，表面经环氧树脂粉末喷涂高温固化处理。要做到承重性能强和耐酸碱、耐腐蚀。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整体采用抗倍特板，保护主体构架内的供应系统的安全，防止灰尘进入罩体内。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接收智能控制系统信号实现远程遥控，动力为直流24V低压电机推送杆，固定于≥3mm厚专用铝合金模具一体成型，外部保护罩为铝合金模具一次成型，摇臂上装电源、选配网络及上下水模块。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规格：≥65*65*8mm（2个/组）接收智能化控制系统控制，内含多功能插座2个。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采用485网络模块接口，含设备中网线，方便与教室网络对接，不含教室网络布线及网线。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铝合金材质，在电系统出现故障时紧急制动，确保实验时安全。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模块化设计，每组模块间采用活接式连接，方便安装、检修。采用2.5mm²电线进行系统布线。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接收智能化控制系统控制，功能面板采用≥1170*85mm，配置LED日光灯1根，每根≥15W，灯罩采用ABS一次成型，设计安装磨砂透明均光板，不仅能使光线扩散均匀更能起到安全防护作用。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采用双槽钢横梁吊装方式，减少楼板承重，防止左右晃动，可进行上下、左右的平衡调节，实验功能板离地2m左右。主要辅件有：槽钢、三角构件、直角座、龙骨架连接件、吊装挂件、安装连接板等。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七、考场辅助设备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采用深度学习硬件及算法，提供精准的人车分类侦测，支持越界侦测，区域入侵侦测，进入区域侦测和离开区域侦测，支持声音报警联动;</w:t>
              <w:br/>
              <w:t xml:space="preserve">支持人脸抓拍;</w:t>
              <w:br/>
              <w:t xml:space="preserve">最高分辨率可达2688 × 1520 @25 fps，在该分辨率下可输出实时图像;</w:t>
              <w:br/>
              <w:t xml:space="preserve">支持背光补偿，强光抑制，3D数字降噪，120 dB宽动态，适应不同环境;</w:t>
              <w:br/>
              <w:t xml:space="preserve">支持萤石平台，支持电动变焦;</w:t>
              <w:br/>
              <w:t xml:space="preserve">≥1个内置麦克风，≥1个内置扬声器，支持双向语音对讲;</w:t>
              <w:br/>
              <w:t xml:space="preserve">支持最大256 GB MicroSD/MicroSDHC/MicroSDXC卡本地存储;</w:t>
              <w:br/>
              <w:t xml:space="preserve">支持≥1路报警输入，≥1路报警输出（报</w:t>
            </w:r>
            <w:r>
              <w:rPr>
                <w:rFonts w:ascii="SimSun" w:hAnsi="SimSun" w:eastAsia="SimSun" w:cs="SimSun"/>
                <w:color w:val="000000"/>
                <w:sz w:val="18"/>
              </w:rPr>
              <w:t xml:space="preserve">警输出最大支持AC24 V/DC24 V，1 A），≥1路音频输入，≥1路音频输出;</w:t>
              <w:br/>
              <w:t xml:space="preserve">DC12 V，100 mA电源输出，建议用于拾音器供电;</w:t>
              <w:br/>
              <w:t xml:space="preserve">采用高效阵列红外灯，使用寿命长，红外照射距离最远可达30 m;</w:t>
              <w:br/>
              <w:t xml:space="preserve">符合IP66防尘防水及IK10防暴设计，可靠性高;</w:t>
              <w:br/>
              <w:t xml:space="preserve">传感器类型：1/3" Progressive Scan CMOS</w:t>
              <w:br/>
              <w:t xml:space="preserve">最低照度：彩色：0.005 Lux @（F1.2，AGC ON），0 Lux with IR</w:t>
              <w:br/>
              <w:t xml:space="preserve">宽动态：120 dB</w:t>
              <w:br/>
              <w:t xml:space="preserve">调节角度：水平：0°~355°，垂直：0°~75°，旋转：0°~355</w:t>
            </w:r>
            <w:r>
              <w:rPr>
                <w:rFonts w:ascii="SimSun" w:hAnsi="SimSun" w:eastAsia="SimSun" w:cs="SimSun"/>
                <w:color w:val="000000"/>
                <w:sz w:val="18"/>
              </w:rPr>
              <w:t xml:space="preserve">° </w:t>
              <w:br/>
              <w:t xml:space="preserve">焦距&amp;视场角：（电动变焦）2.7~12 mm：水平视场角：106°~36°，垂直视场角：57°~20°，对角视场角：125°~41° </w:t>
              <w:br/>
              <w:t xml:space="preserve">补光灯类型：红外灯</w:t>
              <w:br/>
              <w:t xml:space="preserve">补光距离：最远可达30 m</w:t>
              <w:br/>
              <w:t xml:space="preserve">防补光过曝：支持</w:t>
              <w:br/>
              <w:t xml:space="preserve">红外波长范围：850 nm </w:t>
              <w:br/>
              <w:t xml:space="preserve">最大图像尺寸：2688 × 1520</w:t>
              <w:br/>
              <w:t xml:space="preserve"> 视频压缩标准：主码流：H.265/H.264</w:t>
              <w:br/>
              <w:t xml:space="preserve">子码流：H.265/H.264/MJPEG</w:t>
              <w:br/>
              <w:t xml:space="preserve">第三码流：H.265/H.264 </w:t>
              <w:br/>
              <w:t xml:space="preserve">网络：1个RJ45 10 M/100 M自适应以太网口</w:t>
              <w:br/>
              <w:t xml:space="preserve">SD卡扩展：内置MicroSD/MicroSDHC/</w:t>
            </w:r>
            <w:r>
              <w:rPr>
                <w:rFonts w:ascii="SimSun" w:hAnsi="SimSun" w:eastAsia="SimSun" w:cs="SimSun"/>
                <w:color w:val="000000"/>
                <w:sz w:val="18"/>
              </w:rPr>
              <w:t xml:space="preserve">MicroSDXC插槽，最大支持256 GB</w:t>
              <w:br/>
              <w:t xml:space="preserve">音频：1路输入（Line in），最大输入幅值：3.3 Vpp，输入阻抗：4.7 kΩ，接口类型：非平衡</w:t>
              <w:br/>
              <w:t xml:space="preserve">1路输出（Line out），最大输出幅值：3.3 Vpp，输出阻抗：100 Ω，接口类型：非平衡 复位：支持</w:t>
              <w:br/>
              <w:t xml:space="preserve">启动和工作温湿度：-30 °C~60 °C，湿度小于95%（无凝结）</w:t>
              <w:br/>
              <w:t xml:space="preserve">恢复出厂设置：支持RESET按键，客户端或浏览器恢复</w:t>
              <w:br/>
              <w:t xml:space="preserve">电流及功耗：DC：12 V，0.9 A，最大功耗：10.8 W</w:t>
              <w:br/>
              <w:t xml:space="preserve">PoE：802.3af，36 V~57 V，0.36 A~0</w:t>
            </w:r>
            <w:r>
              <w:rPr>
                <w:rFonts w:ascii="SimSun" w:hAnsi="SimSun" w:eastAsia="SimSun" w:cs="SimSun"/>
                <w:color w:val="000000"/>
                <w:sz w:val="18"/>
              </w:rPr>
              <w:t xml:space="preserve">.23 A，最大功耗：12.95 W</w:t>
              <w:br/>
              <w:t xml:space="preserve">供电方式：DC：12 V ± 25%，支持防反接保护</w:t>
              <w:br/>
              <w:t xml:space="preserve">PoE：802.3af，Class 3</w:t>
              <w:br/>
              <w:t xml:space="preserve">电源接口类型：Ø5.5 mm圆口 </w:t>
              <w:br/>
              <w:t xml:space="preserve">防护：IP66，IK10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麦克风: 一个高灵敏度全指向驻极体麦</w:t>
              <w:br/>
              <w:t xml:space="preserve">动态范围: 0 dB~90 dB</w:t>
              <w:br/>
              <w:t xml:space="preserve">最大承受音压: 120 dBSPL</w:t>
              <w:br/>
              <w:t xml:space="preserve">拾音范围: 0 m~5 m</w:t>
              <w:br/>
              <w:t xml:space="preserve">灵敏度: -32 dB</w:t>
              <w:br/>
              <w:t xml:space="preserve">输出信号幅度: 2.5 Vpp</w:t>
              <w:br/>
              <w:t xml:space="preserve">信噪比: 90 dB</w:t>
              <w:br/>
              <w:t xml:space="preserve">频率响应: 20 Hz~20 kHz</w:t>
              <w:br/>
              <w:t xml:space="preserve">音频传输距离: ≥500 m</w:t>
              <w:br/>
              <w:t xml:space="preserve">接口类型: LINE OUT</w:t>
              <w:br/>
              <w:t xml:space="preserve">输出阻抗: 600Ω</w:t>
              <w:br/>
              <w:t xml:space="preserve">保护电路: 雷击保护、电源极性反转保护、静电防护</w:t>
              <w:br/>
              <w:t xml:space="preserve">工作温度: -10℃～50℃（室内）</w:t>
              <w:br/>
              <w:t xml:space="preserve">降噪调节: 数字降噪，自适应调节（和主机搭配使用时支持）</w:t>
              <w:br/>
              <w:t xml:space="preserve">音量调节: 支持软件调节（与主拾</w:t>
            </w:r>
            <w:r>
              <w:rPr>
                <w:rFonts w:ascii="SimSun" w:hAnsi="SimSun" w:eastAsia="SimSun" w:cs="SimSun"/>
                <w:color w:val="000000"/>
                <w:sz w:val="18"/>
              </w:rPr>
              <w:t xml:space="preserve">音器级联时可用）</w:t>
              <w:br/>
              <w:t xml:space="preserve">指向特性: 全指向</w:t>
              <w:br/>
              <w:t xml:space="preserve">采样率: 8khz、16khz、32khz可选，默认16khz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信号屏蔽器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屏蔽范围广：发射功率≥50W，屏蔽半径最大可到20m。;</w:t>
              <w:br/>
              <w:t xml:space="preserve">工作频率：CDMA：869-884 MHz;GSM:925-962MHz;3G1:2008-2026MHz;WIFI:2400-2485MHz;4G:1805-1995MHz;3G2:2110-2174MHz;4G1:2298-2404MHz;4G2:2515-2677MHz;5G1:3299-3603MHz;5G2:4798-4903MHz;5G3:703-801MHz;5.8G:5725-5850MHz; </w:t>
              <w:br/>
              <w:t xml:space="preserve">网络通信：可实现联网互通，搭配平台实现</w:t>
            </w:r>
            <w:r>
              <w:rPr>
                <w:rFonts w:ascii="SimSun" w:hAnsi="SimSun" w:eastAsia="SimSun" w:cs="SimSun"/>
                <w:color w:val="000000"/>
                <w:sz w:val="18"/>
              </w:rPr>
              <w:t xml:space="preserve">设备统一管理，统一开关。 </w:t>
              <w:br/>
              <w:t xml:space="preserve">电源：200V-242V ，50/60Hz</w:t>
              <w:br/>
              <w:t xml:space="preserve">功耗：＜300W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八、校级平台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实验考试智能管理平台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【数据管理】</w:t>
              <w:br/>
              <w:t xml:space="preserve">1.班级管理：支持管理员增、删、改、查相关班级信息，可下载模板，对照模板填写相关信息，批量导入学生信息及学生照片。</w:t>
              <w:br/>
              <w:t xml:space="preserve">2.实验室管理：支持管理员增、删、改、查相关实验室信息，可配置实验室行数列数及状态。</w:t>
              <w:br/>
              <w:t xml:space="preserve">3.器耗材管理：支持管理员增、删、改、查相关器耗材信息。</w:t>
              <w:br/>
              <w:t xml:space="preserve">【系统管理】</w:t>
              <w:br/>
              <w:t xml:space="preserve">1.菜单管理：支持管理员增、删、改、查相关菜单信息，可修改菜单名称和顺序。</w:t>
              <w:br/>
              <w:t xml:space="preserve">2.消息中心：支持查看信息中心，可进行标记已读操作。</w:t>
              <w:br/>
              <w:t xml:space="preserve">【考试管理】</w:t>
              <w:br/>
              <w:t xml:space="preserve">★1.试题管理：支持管理员增、删、改、查相关实验信息，可设定实验相关信息，如注意</w:t>
            </w:r>
            <w:r>
              <w:rPr>
                <w:rFonts w:ascii="SimSun" w:hAnsi="SimSun" w:eastAsia="SimSun" w:cs="SimSun"/>
                <w:color w:val="000000"/>
                <w:sz w:val="18"/>
              </w:rPr>
              <w:t xml:space="preserve">事项、使用机位、所需器材耗材、评分点及题型。（提供满足此项技术要求具有CMA或CNAS认证的第三方检测机构出具的测试报告扫描件加盖投标人电子签章）</w:t>
              <w:br/>
              <w:t xml:space="preserve">2.考试创建：支持管理员创建考试，按照系统提示步骤逐一完成考试基础信息配置、试题配置、座位试题绑定等操作完成创建。</w:t>
              <w:br/>
              <w:t xml:space="preserve">3.考试联动：支持市级/县级创建考试，下发至校级考试通知，学校自主系统上报参考生数据，完成考试联动。</w:t>
              <w:br/>
              <w:t xml:space="preserve">4.考试列表：支持管理员查看考试列表信息，可筛选，可查看考试状态，可查看批次信息，可导出数据包。</w:t>
              <w:br/>
              <w:t xml:space="preserve">【模板管理】</w:t>
              <w:br/>
              <w:t xml:space="preserve">1.座位模板管理：支持管理员增、删</w:t>
            </w:r>
            <w:r>
              <w:rPr>
                <w:rFonts w:ascii="SimSun" w:hAnsi="SimSun" w:eastAsia="SimSun" w:cs="SimSun"/>
                <w:color w:val="000000"/>
                <w:sz w:val="18"/>
              </w:rPr>
              <w:t xml:space="preserve">、改、查相关座位模板信息，可配置模板行列数及对座位号进行编号。</w:t>
              <w:br/>
              <w:t xml:space="preserve">2.考试规则管理：支持管理员增、删、改、查相关考试规则信息，可选择考试模式，可选三种及以上不同模式，可设置考试时长及间隔时长，可设置提前交卷时间及提前报道时间。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实验考试阅卷管理系统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【数据导入】</w:t>
              <w:br/>
              <w:t xml:space="preserve">1.支持管理员选择两种及以上方式导入阅卷数据包，譬如在线导入及离线导入。</w:t>
              <w:br/>
              <w:t xml:space="preserve">2.支持批量导入老师信息，以小组形式划分为阅卷组，仲裁组，质检组及中心组等。</w:t>
              <w:br/>
              <w:t xml:space="preserve">3.支持导入AI成绩。</w:t>
              <w:br/>
              <w:t xml:space="preserve">【规则设置】</w:t>
              <w:br/>
              <w:t xml:space="preserve">1.支持管理员设置阅卷规则，可设置动态阅卷方式进行分配，可设置阅卷轮次，可设置仲裁方式及仲裁分值，譬如总分偏差仲裁，得分点偏差仲裁。</w:t>
              <w:br/>
              <w:t xml:space="preserve">2.支持管理员根据试题设置默认机位。</w:t>
              <w:br/>
              <w:t xml:space="preserve">3.支持管理教师权限，如给仲裁老师设置阅卷权限</w:t>
              <w:br/>
              <w:t xml:space="preserve">★【进度查看】</w:t>
              <w:br/>
              <w:t xml:space="preserve">1.支持查看阅卷总进度</w:t>
              <w:br/>
              <w:t xml:space="preserve">2.支持查看仲裁总进度</w:t>
              <w:br/>
              <w:t xml:space="preserve">3.支持查看中心审查进度</w:t>
            </w:r>
            <w:r>
              <w:rPr>
                <w:rFonts w:ascii="SimSun" w:hAnsi="SimSun" w:eastAsia="SimSun" w:cs="SimSun"/>
                <w:color w:val="000000"/>
                <w:sz w:val="18"/>
              </w:rPr>
              <w:br/>
              <w:t xml:space="preserve">（提供满足此项技术要求具有CMA或CNAS认证的第三方检测机构出具的测试报告扫描件加盖投标人电子签章）</w:t>
              <w:br/>
              <w:t xml:space="preserve">【成绩统计】</w:t>
              <w:br/>
              <w:t xml:space="preserve">1.支持查询考生成绩</w:t>
              <w:br/>
              <w:t xml:space="preserve">2.支持导出成绩</w:t>
              <w:br/>
              <w:t xml:space="preserve">【保密协议】</w:t>
              <w:br/>
              <w:t xml:space="preserve">支持设定保密协议确认环节， 在用户初次登录时,系统可自动弹出保密协议，经确认才可以开启阅卷仲裁等相关阅卷工作。</w:t>
              <w:br/>
              <w:t xml:space="preserve">★【采样】</w:t>
              <w:br/>
              <w:t xml:space="preserve">支持阅卷前进行采样，可采标准卷及样卷。（提供满足此项技术要求具有CMA或CNAS认证的第三方检测机构出具的测试报告扫描件加盖投标人电子签章）</w:t>
              <w:br/>
              <w:t xml:space="preserve">【标准卷测试】</w:t>
              <w:br/>
              <w:t xml:space="preserve">支持进行标准卷测试，通过才可进行正式评分。</w:t>
              <w:br/>
              <w:t xml:space="preserve">【试评正评】</w:t>
            </w:r>
            <w:r>
              <w:rPr>
                <w:rFonts w:ascii="SimSun" w:hAnsi="SimSun" w:eastAsia="SimSun" w:cs="SimSun"/>
                <w:color w:val="000000"/>
                <w:sz w:val="18"/>
              </w:rPr>
              <w:br/>
              <w:t xml:space="preserve">支持按小组独立展开试评，正评。</w:t>
              <w:br/>
              <w:t xml:space="preserve">【画面切换】</w:t>
              <w:br/>
              <w:t xml:space="preserve">支持切换视频摄像头机位，支持双击放大查看单路视频画面。</w:t>
              <w:br/>
              <w:t xml:space="preserve">【倍速播放】</w:t>
              <w:br/>
              <w:t xml:space="preserve">支持阅卷视频倍速播放，播放速度可以设置范围为0.5-8倍。</w:t>
              <w:br/>
              <w:t xml:space="preserve">【答题卡阅卷】</w:t>
              <w:br/>
              <w:t xml:space="preserve">支持显示评分标准及考生答题卡，可点击查看学生答案和截图。</w:t>
              <w:br/>
              <w:t xml:space="preserve">【仲裁答卷】</w:t>
              <w:br/>
              <w:t xml:space="preserve">支持对仲裁卷进行核查，可查看视频，答卷，一评分数，二评分数，标红需仲裁的评分点。</w:t>
              <w:br/>
              <w:t xml:space="preserve">【抽样质检】</w:t>
              <w:br/>
              <w:t xml:space="preserve">★1.支持选择指定试卷进行抽样质检，如评卷员评过的试卷、评卷组长仲裁过的试卷（提供满足此项技术要求具有CMA或CNAS认证的第三方检测机构出具的测试报</w:t>
            </w:r>
            <w:r>
              <w:rPr>
                <w:rFonts w:ascii="SimSun" w:hAnsi="SimSun" w:eastAsia="SimSun" w:cs="SimSun"/>
                <w:color w:val="000000"/>
                <w:sz w:val="18"/>
              </w:rPr>
              <w:t xml:space="preserve">告扫描件加盖投标人电子签章）</w:t>
              <w:br/>
              <w:t xml:space="preserve">2.支持质疑，老师若对抽检试卷存在异议，可上报提交为质疑卷。</w:t>
              <w:br/>
              <w:t xml:space="preserve">【处理问题卷】</w:t>
              <w:br/>
              <w:t xml:space="preserve">系统支持处理问题卷。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实验教学智能管理平台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【系统管理】</w:t>
              <w:br/>
              <w:t xml:space="preserve">1.用户管理：支持管理员增、删、改、查相关用户信息，可一键重置用户账号密码。</w:t>
              <w:br/>
              <w:t xml:space="preserve">2.角色管理：支持管理员新增、编辑相关角色信息，可设置关联角色权限。</w:t>
              <w:br/>
              <w:t xml:space="preserve">3.支持学校对接上级平台，支持自定义系统名称、在系统上传显示学校标志；</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【基础数据】</w:t>
              <w:br/>
              <w:t xml:space="preserve">1.课本管理：支持管理员新增、编辑电子课本的章、节。</w:t>
              <w:br/>
              <w:t xml:space="preserve">2.题库管理：支持管理员新增、编辑、删除题目。</w:t>
              <w:br/>
              <w:t xml:space="preserve">3.器耗材管理：支持管理员增、删、改、查相关器耗材信息，可下载模板，批量导入仪器耗材。</w:t>
              <w:br/>
              <w:t xml:space="preserve">4.危化品管理：系统支持管理员增、删、改、查相关危化品材信息，可下载模板，批量导入危化品。</w:t>
              <w:br/>
              <w:t xml:space="preserve">5.实验管理：支持管理员实验相关信息填写，如实验基础信息、器耗材、危化品、实验步骤、评分要点、实验描述、注意事项、实验视频等。</w:t>
              <w:br/>
              <w:t xml:space="preserve">【学校管理】</w:t>
              <w:br/>
              <w:t xml:space="preserve">1.教师管理：支持管理员增、删、改、查相关教师信息，可下载模板，批量导入教</w:t>
            </w:r>
            <w:r>
              <w:rPr>
                <w:rFonts w:ascii="SimSun" w:hAnsi="SimSun" w:eastAsia="SimSun" w:cs="SimSun"/>
                <w:color w:val="000000"/>
                <w:sz w:val="18"/>
              </w:rPr>
              <w:t xml:space="preserve">师信息。</w:t>
              <w:br/>
              <w:t xml:space="preserve">2.学生管理：支持管理员增、删、改、查相关学生信息，可下载模板，批量导入学生，可查看学生详情。</w:t>
              <w:br/>
              <w:t xml:space="preserve">★3.班级管理：支持对班级的教师、学生等相关数据管理，包含管理班级各科老师、学生，查看班级每堂课课堂报告，包括出勤人数，上课时长，互动次数，学生获得奖励数量、答题数量及平均正确率，查看学生实验视频等。（提供满足此项技术要求具有CMA或CNAS认证的第三方检测机构出具的测试报告扫描件加盖投标人电子签章）</w:t>
              <w:br/>
              <w:t xml:space="preserve">4.实验室管理：支持管理员增、删、改、查相关实验室信息，可配置实验室行数列数、状态及摄像头配置。</w:t>
              <w:br/>
              <w:t xml:space="preserve">【教</w:t>
            </w:r>
            <w:r>
              <w:rPr>
                <w:rFonts w:ascii="SimSun" w:hAnsi="SimSun" w:eastAsia="SimSun" w:cs="SimSun"/>
                <w:color w:val="000000"/>
                <w:sz w:val="18"/>
              </w:rPr>
              <w:t xml:space="preserve">学功能】</w:t>
              <w:br/>
              <w:t xml:space="preserve">1.电子课本：支持查看电子教材，以教材版本、科目、年级、章节维度划分。</w:t>
              <w:br/>
              <w:t xml:space="preserve">2.实验教案：支持教师收藏标准教案，上传个人教案、题目及其他教学资源，标准资源。</w:t>
              <w:br/>
              <w:t xml:space="preserve">3.实验资源：支持教师以实验名称筛选实验资源，资源含基础信息、实验视频、仪器耗材、实验步骤、评分要点及注意事项等。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AI智能赋分系统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1、支持用户在常用浏览器登录管理算力终端设备；</w:t>
              <w:br/>
              <w:t xml:space="preserve">2、实验包：支持批量导入算法评分包，上传后可以查看实验原理视频，每个算法评分包对应实验科目、实验题目及实验ID；支持删除评分包；</w:t>
              <w:br/>
              <w:t xml:space="preserve">3、评分记录：可查看AI评分的完整历史记录，包括对应视频的回放链接，以及实验得分的详细记录；</w:t>
              <w:br/>
              <w:t xml:space="preserve">4、评分数据导出：支持导出评分数据记录；</w:t>
              <w:br/>
              <w:t xml:space="preserve">5、AI考题：可以将考题设置为AI评分题，设置后阅卷组长可以在阅卷配置开启AI评分；</w:t>
              <w:br/>
              <w:t xml:space="preserve">6、置信卷：可以设置一个置信阈值，当考卷的AI评分结果＜阈值时，自动标记考卷异常，需要人工阅卷；</w:t>
              <w:br/>
              <w:t xml:space="preserve">7、AI评分配</w:t>
            </w:r>
            <w:r>
              <w:rPr>
                <w:rFonts w:ascii="SimSun" w:hAnsi="SimSun" w:eastAsia="SimSun" w:cs="SimSun"/>
                <w:color w:val="000000"/>
                <w:sz w:val="18"/>
              </w:rPr>
              <w:t xml:space="preserve">置：可以设置AI评分结果是否为最终成绩，不开启则需要人工复核；</w:t>
              <w:br/>
              <w:t xml:space="preserve">8、AI评分列表：具有AI评分列表，可以查看考试名称、考试状态、阅卷状态、考试科目、评卷方式、考试时间等信息。支持一键开启AI评卷，系统自动分配学生视频到算力终端设备；</w:t>
              <w:br/>
              <w:t xml:space="preserve">9、AI历史评分：支持查看考卷实验评分结果，可以同步显示2路视频画面回放，AI评分依据包含关键帧截图及关键帧视频回放按钮，支持跳转至关键帧时间点，快速复核；</w:t>
              <w:br/>
              <w:t xml:space="preserve">10、人工复核：当AI评分结果非最终成绩，阅卷老师可以根据AI评分结果进行复核打分，提交评分后按阅卷老师的评分作为最终成</w:t>
            </w:r>
            <w:r>
              <w:rPr>
                <w:rFonts w:ascii="SimSun" w:hAnsi="SimSun" w:eastAsia="SimSun" w:cs="SimSun"/>
                <w:color w:val="000000"/>
                <w:sz w:val="18"/>
              </w:rPr>
              <w:t xml:space="preserve">绩；每份考卷可以显示AI评分及老师评分信息；</w:t>
              <w:br/>
              <w:t xml:space="preserve">11、实验管理：支持显示AI实验评分题目，支持增、删、改、查题目；</w:t>
              <w:br/>
              <w:t xml:space="preserve">12、实验个性化配置：可以针对特定实验进行个性化配置。包括设置实验时长、选择实验的应用模式、设定实验步骤的内容、确定AI可接受的误差范围以及分层级配置实验评分标准，给不同层级评分点灵活设置分值。</w:t>
              <w:br/>
              <w:t xml:space="preserve">可根据实验题目评分标准，通过对物体进行智能判别与分析，并对学生实验操作过程及其完成情况进行全自动评价；</w:t>
              <w:br/>
              <w:t xml:space="preserve">14、创建自定义实验：可基于标准实验库创建新实验，可根据业务需求对实验库里的评分点进行灵活组合，分</w:t>
            </w:r>
            <w:r>
              <w:rPr>
                <w:rFonts w:ascii="SimSun" w:hAnsi="SimSun" w:eastAsia="SimSun" w:cs="SimSun"/>
                <w:color w:val="000000"/>
                <w:sz w:val="18"/>
              </w:rPr>
              <w:t xml:space="preserve">拆等形成一套自定义实验，并可对实验名，实验分值，实验报告习题等按照指定要求进行匹配设置并直接应用。</w:t>
              <w:br/>
              <w:t xml:space="preserve">15、AI练习模式：学生可以选择物化生实验题目；练习前可以查看仪器清单；可以对学生的实验操作进行点评；</w:t>
              <w:br/>
              <w:t xml:space="preserve">16、AI测评模式：学生可以选择物化生实验考题，测评过程不显示任何步骤提示，可以填写实验报告；实验操作结束后点击提交，系统自动生成测评成绩单，每一项得分点的得分和失分情况统计，可以查看实验操作回放；</w:t>
              <w:br/>
              <w:t xml:space="preserve">17、支持教学过程中AI实现评分，可以根据实验题的评分点对学生操作步骤进行点评；</w:t>
              <w:br/>
              <w:t xml:space="preserve">18、支持显示AI赋分过程</w:t>
            </w:r>
            <w:r>
              <w:rPr>
                <w:rFonts w:ascii="SimSun" w:hAnsi="SimSun" w:eastAsia="SimSun" w:cs="SimSun"/>
                <w:color w:val="000000"/>
                <w:sz w:val="18"/>
              </w:rPr>
              <w:t xml:space="preserve">。</w:t>
              <w:br/>
              <w:t xml:space="preserve">19、竞赛模式：支持选择同一科目的一个或多个实验中的步骤进行组合出题，系统将先进行仪器识别校验确保仪器完整，比赛开始后主持端同时查看选手的比赛实时画面以及得分情况，并可随时结束比赛，选手端展示评分要求及实时得分，并最终自动生成比赛结果选出优胜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运维监管系统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【实验室管理】</w:t>
              <w:br/>
              <w:t xml:space="preserve">1.基础管理：支持管理员增、删、改实验室信息，包括IP信息。</w:t>
              <w:br/>
              <w:t xml:space="preserve">2.设备绑定：支持管理员进行设备绑定操作，包括一体机、摄像头及平板。</w:t>
              <w:br/>
              <w:t xml:space="preserve">3.终端控制：支持管理员对终端进行启动、重启、关闭、卸载、安装及清除缓存等操作。</w:t>
              <w:br/>
              <w:t xml:space="preserve">4.数据导出：支持管理员导出本校运维单据。</w:t>
              <w:br/>
              <w:t xml:space="preserve">【服务器管理】</w:t>
              <w:br/>
              <w:t xml:space="preserve">1.基础管理：支持管理员增、删、改服务器信息，包括IP地址、部署服务、系统版本等信息。</w:t>
              <w:br/>
              <w:t xml:space="preserve">2.数据监管：支持管理员实时查看CPU使用率、内存占有率及硬盘占有率等数据。</w:t>
              <w:br/>
              <w:t xml:space="preserve">【基础数据管理】</w:t>
              <w:br/>
              <w:t xml:space="preserve">1.设备管理：支持管理员增、删、改、查</w:t>
            </w:r>
            <w:r>
              <w:rPr>
                <w:rFonts w:ascii="SimSun" w:hAnsi="SimSun" w:eastAsia="SimSun" w:cs="SimSun"/>
                <w:color w:val="000000"/>
                <w:sz w:val="18"/>
              </w:rPr>
              <w:t xml:space="preserve">设备信息，包括参数信息。</w:t>
              <w:br/>
              <w:t xml:space="preserve">2.服务器管理：支持管理员增、删、改、查服务器信息，包括参数信息。</w:t>
              <w:br/>
              <w:t xml:space="preserve">3.安装包管理：支持管理员增、删、改、查、下载安装包信息。</w:t>
              <w:br/>
              <w:t xml:space="preserve">【系统数据管理】</w:t>
              <w:br/>
              <w:t xml:space="preserve">1.字典管理：支持管理员增、删、改、查字典信息。</w:t>
              <w:br/>
              <w:t xml:space="preserve">2.角色管理：支持管理员新增、编辑、删除相关角色信息，可设置关联角色权限。</w:t>
              <w:br/>
              <w:t xml:space="preserve">3.用户管理：支持管理员增、删、改、查相关用户信息，可一键重置用户账号密码。</w:t>
              <w:br/>
              <w:t xml:space="preserve">4.系统设置：支持学校自定义系统名称、在系统上传显示学校标志；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应用管理服务器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1.2U机架式服务器，配置原厂导轨、安全面板,支持≥10个PCIE4.0插槽；</w:t>
              <w:br/>
              <w:t xml:space="preserve">2.CPU配置≥2颗2.5GHz、16核 ，配置≥32GB 3200MT/s DDR4内存，可扩展≥32根DDR4内存，支持最大内存容量≥4TB；（安全可靠等级≥Ⅱ级）</w:t>
              <w:br/>
              <w:t xml:space="preserve">3.实配≥3*4T HDD硬盘，配置≥12个3.5寸热插拔硬盘槽位，可扩展至16个3.5寸硬盘槽位，同时可扩展4个2.5寸小盘。全部硬盘可在不打开主机箱盖的情况下热插拔维护；</w:t>
              <w:br/>
              <w:t xml:space="preserve">4.配置独立Raid阵列卡，支持RAID0/1/10/5/6/50/60，≥1GB缓存</w:t>
            </w:r>
            <w:r>
              <w:rPr>
                <w:rFonts w:ascii="SimSun" w:hAnsi="SimSun" w:eastAsia="SimSun" w:cs="SimSun"/>
                <w:color w:val="000000"/>
                <w:sz w:val="18"/>
              </w:rPr>
              <w:t xml:space="preserve">，支持缓存数据保护，且后备保护时间不受限制； </w:t>
              <w:br/>
              <w:t xml:space="preserve">5.配置≥4个千兆以太网电接口；</w:t>
              <w:br/>
              <w:t xml:space="preserve">6.支持双宽企业级GPU≥3块，支持单宽企业级GPU≥8块，配置≥1个Type-C+1个VGA+5个USB 3.0接口+1个USB 2.0接口+1Gb独立的远程管理控制端口；</w:t>
              <w:br/>
              <w:t xml:space="preserve">7.实配热插拔冗余≥800W电源，热插拔冗余风扇；</w:t>
              <w:br/>
              <w:t xml:space="preserve">8.支持虚拟化加速，支持加密虚拟化和内存，支持国密算法SM2/SM3/SM4。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AI算法服务器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1、CPU总数≥9个，≥1个主控节点CPU，≥8个算力节点CPU；</w:t>
              <w:br/>
              <w:t xml:space="preserve">2、处理器：每个主控节点≥8核，工作频率2.4GHz；每个算力节点8核，主频2.2GHz；</w:t>
              <w:br/>
              <w:t xml:space="preserve">3、运行内存：算力节点总内存128GB，主控节点总内存8GB；</w:t>
              <w:br/>
              <w:t xml:space="preserve">4、标准机架式，采用国产算力芯片；每个算力模组的算力芯片核心数8核，主频2.3G，RAM16G，ROM64G，INT8算力32TOPS、FP16算力16TFLOPS；</w:t>
              <w:br/>
              <w:t xml:space="preserve">5、视频解码能力：具备H.265、H.264解码和智能分析，支持256路1080P@25fps 高清视频解码；</w:t>
              <w:br/>
              <w:t xml:space="preserve">6、网络</w:t>
            </w:r>
            <w:r>
              <w:rPr>
                <w:rFonts w:ascii="SimSun" w:hAnsi="SimSun" w:eastAsia="SimSun" w:cs="SimSun"/>
                <w:color w:val="000000"/>
                <w:sz w:val="18"/>
              </w:rPr>
              <w:t xml:space="preserve">接口：≥2个10GE光口，2个千兆RJ45口；</w:t>
              <w:br/>
              <w:t xml:space="preserve">7、支持≥3.5寸SATA存储扩展；</w:t>
              <w:br/>
              <w:t xml:space="preserve">8、支持HDMI2.0接口；</w:t>
              <w:br/>
              <w:t xml:space="preserve">9、集成BMC管理系统，提供基于Web的管理界面，BMC管理系统可进行二次开发；</w:t>
              <w:br/>
              <w:t xml:space="preserve">10、应具备多种部署方式，同时满足部署于校级机房和部署考场方案，满足考试及教学的AI赋分要求。</w:t>
              <w:br/>
              <w:t xml:space="preserve">11、操作系统：出厂预装正版操作系统。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监控硬盘录像机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2U机架式嵌入式网络硬盘录像机，整机采用短机箱设计，搭载高性能ATX电源</w:t>
              <w:br/>
              <w:t xml:space="preserve">存储接口：配4*8T;9个SATA接口，可满配12TB硬盘</w:t>
              <w:br/>
              <w:t xml:space="preserve">视频接口：≥2×HDMI，2×VGA</w:t>
              <w:br/>
              <w:t xml:space="preserve">网络接口：≥2×RJ45 10/100/1000Mbps自适应以太网口</w:t>
              <w:br/>
              <w:t xml:space="preserve">报警接口：≥16路报警输入，4路报警输出</w:t>
              <w:br/>
              <w:t xml:space="preserve">串行接口：1路RS-232接口，1路全双工RS-485接口</w:t>
              <w:br/>
              <w:t xml:space="preserve">USB接口：2×USB 2.0，2×USB 3.0</w:t>
              <w:br/>
              <w:t xml:space="preserve">扩展接口：1×eSATA</w:t>
              <w:br/>
              <w:t xml:space="preserve">输入带宽：256Mbps</w:t>
              <w:br/>
              <w:t xml:space="preserve">输出带宽：256Mbps</w:t>
              <w:br/>
              <w:t xml:space="preserve">接入能力：16路H.264、H.26</w:t>
            </w:r>
            <w:r>
              <w:rPr>
                <w:rFonts w:ascii="SimSun" w:hAnsi="SimSun" w:eastAsia="SimSun" w:cs="SimSun"/>
                <w:color w:val="000000"/>
                <w:sz w:val="18"/>
              </w:rPr>
              <w:t xml:space="preserve">5格式高清码流接入</w:t>
              <w:br/>
              <w:t xml:space="preserve">解码能力：最大支持32×1080P</w:t>
              <w:br/>
              <w:t xml:space="preserve">显示能力：最大支持8K+1080P、2×4K异源输出</w:t>
              <w:br/>
              <w:t xml:space="preserve">RAID模式：RAID0、RAID1、RAID5、RAID6、RAID10，支持全局热备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三层交换机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1.性能：整机交换容量 ≥336Gbps；转发性能 ≥96Mpps</w:t>
              <w:br/>
              <w:t xml:space="preserve">2.端口：≥24个10/100/1000M以太网电接口；≥4个SFP端口</w:t>
              <w:br/>
              <w:t xml:space="preserve">3.支持IPv4/IPv6静态路由</w:t>
              <w:br/>
              <w:t xml:space="preserve">4.支持端口镜像和流镜像功能</w:t>
              <w:br/>
              <w:t xml:space="preserve">5.支持MAC地址认证</w:t>
              <w:br/>
              <w:t xml:space="preserve">6.支持IP Source Guard</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1、容量：≥32U机柜</w:t>
              <w:br/>
              <w:t xml:space="preserve">2、尺寸：≥1600*600*1000mm </w:t>
              <w:br/>
              <w:t xml:space="preserve">3、产品承重：静载≥800KG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路由器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1.双WAN+4LAN口千兆企业级高速有线路由器</w:t>
              <w:br/>
              <w:t xml:space="preserve">2.适用带宽：≥1Gbps</w:t>
              <w:br/>
              <w:t xml:space="preserve">3.IPSec VPN 隧道数：128</w:t>
              <w:br/>
              <w:t xml:space="preserve">4.AC电源额定范围：100～240V 50/60Hz</w:t>
              <w:br/>
              <w:t xml:space="preserve">5.带机量：250-350个</w:t>
              <w:br/>
              <w:t xml:space="preserve">6.支持 Ethernet，Ethernet II，VLAN，端口镜像、PPP、PPPOE Client、PPPOE Server 等</w:t>
              <w:br/>
              <w:t xml:space="preserve">7.支持包过滤防火墙</w:t>
              <w:br/>
              <w:t xml:space="preserve">8.支持 IPSec 和 L2TP VPN</w:t>
              <w:br/>
              <w:t xml:space="preserve">9.支持 HTTP 协议 URL 过滤，网站黑白名单，关键字模糊匹配10.支持 DDoS 攻击防范和统计</w:t>
              <w:br/>
            </w:r>
            <w:r>
              <w:rPr>
                <w:rFonts w:ascii="SimSun" w:hAnsi="SimSun" w:eastAsia="SimSun" w:cs="SimSun"/>
                <w:color w:val="000000"/>
                <w:sz w:val="18"/>
              </w:rPr>
              <w:t xml:space="preserve">11.支持基于 IP 地址和接口连接数限制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校机房改造及配件</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光纤、光模块等配件及施工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6"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九、抽签室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抽签打印机</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1、黑白激光三合一多功能一体机</w:t>
              <w:br/>
              <w:t xml:space="preserve">2、打印速度：25-34页/分</w:t>
              <w:br/>
              <w:t xml:space="preserve">3、纸张输入容量：150-249页</w:t>
              <w:br/>
              <w:t xml:space="preserve">4、基础功能：复印，扫描，打印</w:t>
              <w:br/>
              <w:t xml:space="preserve">3、打印分辨率：1200*1200dpi</w:t>
              <w:br/>
              <w:t xml:space="preserve">4、内存≥128MB。</w:t>
              <w:br/>
              <w:t xml:space="preserve">5、支持自动双面打印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1、处理器：核心数≥8，主频≥2.8GHz，（安全可靠等级≥Ⅱ级）2、内存：8GB(8Gx1) 3200MHZ DDR4，3、硬盘：512GB 固态硬盘4、显示器：23.8寸 5、网卡：千兆网卡6、显卡：≥2G</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采用深度学习硬件及算法，提供精准的人车分类侦测，支持越界侦测，区域入侵侦测，进入区域侦测和离开区域侦测，支持声音报警联动;</w:t>
              <w:br/>
              <w:t xml:space="preserve">支持人脸抓拍;</w:t>
              <w:br/>
              <w:t xml:space="preserve">最高分辨率可达2688 × 1520 @25 fps，在该分辨率下可输出实时图像;</w:t>
              <w:br/>
              <w:t xml:space="preserve">支持背光补偿，强光抑制，3D数字降噪，120 dB宽动态，适应不同环境;</w:t>
              <w:br/>
              <w:t xml:space="preserve">支持萤石平台，支持电动变焦;</w:t>
              <w:br/>
              <w:t xml:space="preserve">≥1个内置麦克风，≥1个内置扬声器，支持双向语音对讲;</w:t>
              <w:br/>
              <w:t xml:space="preserve">支持最大256 GB MicroSD/MicroSDHC/MicroSDXC卡本地存储;</w:t>
              <w:br/>
              <w:t xml:space="preserve">支持1路报警输入，1路报警输出（报警输</w:t>
            </w:r>
            <w:r>
              <w:rPr>
                <w:rFonts w:ascii="SimSun" w:hAnsi="SimSun" w:eastAsia="SimSun" w:cs="SimSun"/>
                <w:color w:val="000000"/>
                <w:sz w:val="18"/>
              </w:rPr>
              <w:t xml:space="preserve">出最大支持AC24 V/DC24 V，1 A），1路音频输入，1路音频输出;</w:t>
              <w:br/>
              <w:t xml:space="preserve">采用高效阵列红外灯，使用寿命长，红外照射距离最远可达30 m;</w:t>
              <w:br/>
              <w:t xml:space="preserve">符合IP66防尘防水及IK10防暴设计，可靠性高;</w:t>
              <w:br/>
              <w:t xml:space="preserve">传感器类型：1/3" Progressive Scan CMOS</w:t>
              <w:br/>
              <w:t xml:space="preserve">最低照度：彩色：0.005 Lux @（F1.2，AGC ON），0 Lux with IR</w:t>
              <w:br/>
              <w:t xml:space="preserve">宽动态：120 dB</w:t>
              <w:br/>
              <w:t xml:space="preserve">调节角度：水平：0°~355°，垂直：0°~75°，旋转：0°~355° </w:t>
              <w:br/>
              <w:t xml:space="preserve">焦距&amp;视场角：（电动变焦）2.7~12 mm：水平视场角：1</w:t>
            </w:r>
            <w:r>
              <w:rPr>
                <w:rFonts w:ascii="SimSun" w:hAnsi="SimSun" w:eastAsia="SimSun" w:cs="SimSun"/>
                <w:color w:val="000000"/>
                <w:sz w:val="18"/>
              </w:rPr>
              <w:t xml:space="preserve">06°~36°，垂直视场角：57°~20°，对角视场角：125°~41° </w:t>
              <w:br/>
              <w:t xml:space="preserve">补光灯类型：红外灯</w:t>
              <w:br/>
              <w:t xml:space="preserve">补光距离：最远可达30 m</w:t>
              <w:br/>
              <w:t xml:space="preserve">防补光过曝：支持</w:t>
              <w:br/>
              <w:t xml:space="preserve">红外波长范围：850 nm </w:t>
              <w:br/>
              <w:t xml:space="preserve">最大图像尺寸：2688 × 1520</w:t>
              <w:br/>
              <w:t xml:space="preserve">视频压缩标准：主码流：H.265/H.264</w:t>
              <w:br/>
              <w:t xml:space="preserve">子码流：H.265/H.264/MJPEG</w:t>
              <w:br/>
              <w:t xml:space="preserve">第三码流：H.265/H.264 </w:t>
              <w:br/>
              <w:t xml:space="preserve">SD卡扩展：内置MicroSD/MicroSDHC/MicroSDXC插槽，最大支持256 GB</w:t>
              <w:br/>
              <w:t xml:space="preserve">音频：1路输入（Line in），最大输入幅值：3.3 Vpp，输入阻抗：4.</w:t>
            </w:r>
            <w:r>
              <w:rPr>
                <w:rFonts w:ascii="SimSun" w:hAnsi="SimSun" w:eastAsia="SimSun" w:cs="SimSun"/>
                <w:color w:val="000000"/>
                <w:sz w:val="18"/>
              </w:rPr>
              <w:t xml:space="preserve">7 kΩ，接口类型：非平衡</w:t>
              <w:br/>
              <w:t xml:space="preserve">1路输出（Line out），最大输出幅值：3.3 Vpp，输出阻抗：100 Ω，接口类型：非平衡 </w:t>
              <w:br/>
              <w:t xml:space="preserve">启动和工作温湿度：-30 °C~60 °C，湿度小于95%（无凝结）</w:t>
              <w:br/>
              <w:t xml:space="preserve">电流及功耗：DC：12 V，0.9 A，最大功耗：10.8 W</w:t>
              <w:br/>
              <w:t xml:space="preserve">PoE：802.3af，36 V~57 V，0.36 A~0.23 A，最大功耗：12.95 W</w:t>
              <w:br/>
              <w:t xml:space="preserve">PoE：802.3af，Class 3</w:t>
              <w:br/>
              <w:t xml:space="preserve">防护：IP66，IK10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采用高灵敏度高保真麦克风，全向拾音、声音清晰、抗干扰能力强 </w:t>
              <w:br/>
              <w:t xml:space="preserve">动态范围: 0 dB~90 dB </w:t>
              <w:br/>
              <w:t xml:space="preserve">最大承受音压: 120 dBSPL </w:t>
              <w:br/>
              <w:t xml:space="preserve">拾音范围: 0 m~5 m </w:t>
              <w:br/>
              <w:t xml:space="preserve">灵敏度: -32 dB </w:t>
              <w:br/>
              <w:t xml:space="preserve">输出信号幅度: 2.5 Vpp </w:t>
              <w:br/>
              <w:t xml:space="preserve">信噪比: 90 dB </w:t>
              <w:br/>
              <w:t xml:space="preserve">频率响应: 20 Hz~20 kHz </w:t>
              <w:br/>
              <w:t xml:space="preserve">音频传输距离: ≥500 m </w:t>
              <w:br/>
              <w:t xml:space="preserve">接口类型: LINE OUT </w:t>
              <w:br/>
              <w:t xml:space="preserve">输出阻抗: 600Ω </w:t>
              <w:br/>
              <w:t xml:space="preserve">电源电压: DC12V </w:t>
              <w:br/>
              <w:t xml:space="preserve">保护电路: 雷击保护、电源极性反转保护、静电防护 </w:t>
              <w:br/>
              <w:t xml:space="preserve">工作温度: -10℃～50℃（室内） </w:t>
              <w:br/>
              <w:t xml:space="preserve">降噪调节: 数字</w:t>
            </w:r>
            <w:r>
              <w:rPr>
                <w:rFonts w:ascii="SimSun" w:hAnsi="SimSun" w:eastAsia="SimSun" w:cs="SimSun"/>
                <w:color w:val="000000"/>
                <w:sz w:val="18"/>
              </w:rPr>
              <w:t xml:space="preserve">降噪，自适应调节（和主机搭配使用时支持） </w:t>
              <w:br/>
              <w:t xml:space="preserve">音量调节: 支持软件调节（与主拾音器级联时可用） </w:t>
              <w:br/>
              <w:t xml:space="preserve">指向特性: 全指向 </w:t>
              <w:br/>
              <w:t xml:space="preserve">采样率: 8khz、16khz、32khz可选，默认16khz</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十、装修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1、实验室制度牌：包含实验室管理制度、工作职责等相关内容2幅。 </w:t>
              <w:br/>
              <w:t xml:space="preserve">2、学科元素展示：内容包含学科文化知识点，营造学科氛围。 </w:t>
              <w:br/>
              <w:t xml:space="preserve">3、投标前请自行勘察现场，整体装修以使用方认可为准。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顶面改造，面积约85.17㎡，顶面彩色乳胶漆，石膏板天花吊顶（38轻钢龙骨，12mm纸面石膏板，样式符合不校要求），≥50*75*0.4铝方通，铝单板表面经过铬化等前处理，在采取氟碳喷涂处理，配备与吊顶适配的光源。</w:t>
              <w:br/>
              <w:t xml:space="preserve">2、地面铺设PVC地板胶（线管：DN25国标阻燃PVC线管，电线：国标优质铜芯线4m²、2.5㎡ ）</w:t>
              <w:br/>
              <w:t xml:space="preserve">3、教室原有地面清理，面积约85.17㎡。</w:t>
              <w:br/>
              <w:t xml:space="preserve">4、网络布线信号控制线：RVVP 聚氯乙烯护套纯无氧铜屏蔽2芯线，  </w:t>
              <w:br/>
              <w:t xml:space="preserve">每个终端配1个网络插座、1个电源插座，含以下材料和布线施工：六类网线，网络</w:t>
            </w:r>
            <w:r>
              <w:rPr>
                <w:rFonts w:ascii="SimSun" w:hAnsi="SimSun" w:eastAsia="SimSun" w:cs="SimSun"/>
                <w:color w:val="000000"/>
                <w:sz w:val="18"/>
              </w:rPr>
              <w:t xml:space="preserve">插座、网络跳线，电源插座，电源线，线槽、PVC水管等及人工费，调试费等。   </w:t>
              <w:br/>
              <w:t xml:space="preserve">6、原有教室设备拆除并搬运到甲方指定位置及垃圾清运。 </w:t>
              <w:br/>
              <w:t xml:space="preserve">7、投标前请自行勘察现场，整体装修以使用方认可为准。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1、实验室制度牌：包含实验室管理制度、工作职责等相关内容2幅。 </w:t>
              <w:br/>
              <w:t xml:space="preserve">2、学科元素展示：内容包含学科文化知识点，营造学科氛围。 </w:t>
              <w:br/>
              <w:t xml:space="preserve">3、投标前请自行勘察现场，整体装修以使用方认可为准。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1、顶面改造，面积约76.17㎡，顶面乳胶漆，石膏板天花吊顶（38轻钢龙骨，12mm纸面石膏板），50*75*0.4铝方通，铝单板表面经过铬化等前处理，在采取氟碳喷涂处理，配备与吊顶适配的光源。 </w:t>
              <w:br/>
              <w:t xml:space="preserve">2、地面铺设PVC地板胶（线管：DN25国标阻燃PVC线管，电线：国标优质铜芯线4m²、2.5㎡ ）       </w:t>
              <w:br/>
              <w:t xml:space="preserve">3、教室原有地面清理，面积约76.17㎡。</w:t>
              <w:br/>
              <w:t xml:space="preserve">4、网络布线信号控制线：RVVP 聚氯乙烯护套纯无氧铜屏蔽2芯线，  </w:t>
              <w:br/>
              <w:t xml:space="preserve">5、每个终端配1个网络插座、1个电源插座，含以下材料和布线施工：六类网线，网络插座</w:t>
            </w:r>
            <w:r>
              <w:rPr>
                <w:rFonts w:ascii="SimSun" w:hAnsi="SimSun" w:eastAsia="SimSun" w:cs="SimSun"/>
                <w:color w:val="000000"/>
                <w:sz w:val="18"/>
              </w:rPr>
              <w:t xml:space="preserve">、网络跳线，电源插座，电源线，线槽、PVC水管等及人工费，调试费、等。  </w:t>
              <w:br/>
              <w:t xml:space="preserve">6、原有教室设备拆除并搬运到甲方指定位置及垃圾清运。  </w:t>
              <w:br/>
              <w:t xml:space="preserve">7、投标前请自行勘察现场，整体装修以使用方认可为准。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室外装饰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1.走廊理化生文化氛围建设； </w:t>
              <w:br/>
              <w:t xml:space="preserve">2.投标前请自行勘察现场，整体文化布置以使用方认可为准。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6"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十一、户外LED显示屏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室外LED模组</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1.像素点间距：≤4mm，模组尺寸：320mm*160mm，像素密度：≥62500Dots/㎡，水平视角≥140°，垂直视角≥130°；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2.水平相对错位等级：CS≤1％；</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3.失真效果检测：显示画面无几何畸变、扭曲、比例失调情况，无亮度、色温非线性失真；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4.在1×105～1×109Ω技术要求下满足点对点电阻（A面）≤2.69×108；点对点电阻（B面）≤2.35×108；</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5.信号传输协议：使用DTL传输协议，采用type-c接口，电源信号盲插功能，无需区分方向；</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具有高密集成光学设计技术和哑光涂层技术，有效降低光强辐射，抑制摩尔纹、避免长时间观看产生的眩目和刺痛感不易产生视觉疲劳，提供满足此项技术要求具有CMA或CNAS认证的第三方检测机构出具的测试报告扫描件加盖投标人电子签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7.通过冷热冲击试验，高温100℃，低温-40℃，高低温各保持0.5h，中间转换不超过（3-5分钟）min，试验进行200循环，试验结束后，产品能正常工作；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8.散热系数：≤200（W/m·K）；</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9.色度补偿：在最常规的白场应用场景下，具有白场亮色度补偿技术，能够快速准确地对当前LED显示屏亮色度进行补偿，使显示屏白场亮色度达到目标状态；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10.信号衰减：≤200mV；</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11.LED显示屏通过高温高湿工作、低温工作、高温高湿存储、低温存储等测试，试验后，产品外观结构和功能无异常；</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12.支持HDR、HDR10 optima和HLG，高对比度的逆光场景下，HDR高亮度动态范围兼顾高光和阴影细节，接近人眼所见；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防电击保护分类：依据GB4943.1-2022标准，使用基本绝缘作为基本安全防护，同时使用保护连接和保护接地作为附加安全防护，达到防电击保护I类设备，提供满足此项技术要求具有CMA或CNAS认证的第三方检测机构出具的测试报告扫描件加盖投标人电子签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★14.延迟时间：≤1帧，降低视频源播放延迟效果，提供满足此项技术要求具有CMA或CNAS认证的第三方检测机构出具的测试报告扫描件加盖投标人电子签章；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15.像素光强均匀性：LRJ≤10％、LGJ≤10％、LBJ≤10％；</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温度变化试验：-40℃~85℃、循环次数：6次、暴露时间：4h、温度变化速率：1K/min，试验前后样品无异常，提供满足此项技术要求具有CMA或CNAS认证的第三方检测机构出具的测试报告扫描件加盖投标人电子签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17.蓝光辐射等级：具有蓝光护眼功能，符合A级要求；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18.屏幕温升：显示屏在点亮5分钟后的温度升幅≤5℃，点亮15分钟后的温度升幅＜10℃，点亮30分钟以上温度＜15℃，最大亮度白色连续工作2小时，表面温升＜18℃，符合GB 4943.1-2022要求；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9.统一管理：一体化控制平台，模块化统一管理，可对所有LED显示模块进行统一管理，设置亮度、坐标、色温、灰度等参数；</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20.具有防信息泄漏功能；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21.白平衡补偿和修正功能：具有智能的白平衡补偿和修正功能，白平衡点要求，出厂白平衡调校依据标准要求：x=0.313±5％ y=0.329±5％；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LED专用电源</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1.输入电压：176VAC~264VAC，输出电压：4.5V，输出电流：40A；</w:t>
              <w:br/>
              <w:t xml:space="preserve">2.工作温度：-40℃-70℃，工作湿度：20%RH-90%RH；</w:t>
              <w:br/>
              <w:t xml:space="preserve">3.散热方式：自然对流散热，需紧贴金属机箱外壳散热；</w:t>
              <w:br/>
              <w:t xml:space="preserve">4.耐压：I/P-O/P：3.0KVAC I/P-FG：1.5KVAC O/P-FG：0.5KVAC；</w:t>
              <w:br/>
              <w:t xml:space="preserve">5.所投开关电源通过过载保护测试。</w:t>
              <w:br/>
              <w:t xml:space="preserve">6.为保证系统的一致性与稳定性，开关电源必须与LED显示屏建议为同一品牌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全彩接收卡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1.单卡最大支持40组数据输出。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2.为保证接收卡工作稳定性，减少接插连接件，减少故障点，接收卡不得使用转接板连接。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3.为保证显示效果，接收卡需支持高灰高刷、低亮高灰显示。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4.为保证接收卡带载冗余，接收卡可最高带载不得低于2048，最宽带载不得低于1024。</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5.为减少电压波动对显示屏的影响，接收卡需支持宽电压输入。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6.为保证显示屏的画质一致性，接收卡需支持逐点校正功能。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7.为解决因箱体及模组拼接造成的显示屏亮暗线问题，接收卡需支持修缝功能。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8.为方便显示屏后期维护，接收卡需支持测试屏幕连接功能，维护人员无需工程文件，即可快速定位接收卡顺序。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9.为提高屏幕调试的多样性和便捷性，需同时支持设备和千兆网络调屏。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10.为有效提高画质色彩，显示屏需具备gama调节功能，修正颜色跳变及偏色，有效控制显示屏低灰不均匀、白平衡漂移等问题，提高画质色彩。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11.为让LED模组还原真实色彩，接收卡需具备颜色空间调整功能，使显示屏的色彩呈现更精准，可解决因显示屏色域差异而导致的颜色失真问题。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12.为方便后期维护，接收卡需支持参数回读，接收卡信息回读，接收卡固件升级，提高显示效果。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13.为保证产品性能不断优化、更新迭代，接收需支持升级的功能，且接收卡升级过程中需具备有断电保护功能。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14.为保证显示屏持续无故障安全运行，接收卡需支持网线热备份功能。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15.为方便调试、维护，接收卡需支持通过指示灯判断屏体工作状态。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16.为方便后期模组调试、维护，接收卡需支持硬件测试功能。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17.为防止固件加载错误，方便后期系统升级，升级固件需由软件根据接收卡版本自动推荐。</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18.为方便后期系统可扩展，接收卡需配合多功能卡实现音频的远距离传输。</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19.为提高快速安装搭建的便捷性，接收卡需支持免设置维护。</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20.为提高接收卡供电的可靠性，接收卡需具备两种电源接口。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21.为有效提高维护效率，接收卡需坏板快速定位功能。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22.为保证产品使用安全，产品具备抗电击及能量危险防护特性。</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23.为节约使用和维护成本，接收卡需支持数据组交换功能，在特殊单元板或接口顺序接错或接口有余量的情况下、部分接口损坏等，可通过仿真图拖动修改HUB接口位置、进行数据组交换，并单独固化到接收卡中。</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24.为提高模组兼容性及适应多样化显示屏，接收卡支持列译码、行译码、抽点显示、位置留空与数据偏移功能，支持行信号自定义、接收卡旋转、镜像画面显示、反扫设置、OE微调和数据模式、RGB组数设置。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25.★为保障系统信息安全，要求核心运算芯片和通讯芯片必须为高性能国产芯片，提供满足此项技术要求的相关证明材料扫描件加盖投标人电子签章。</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26.为保障接收卡稳定性，接收卡需具备防静电措施。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27.为便于显示屏维护，在不改变网线连接的情况下，支持对指定接收卡参数单独调整，同时不影响其他接收卡参数和显示。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28.为保证控制系统兼容性、稳定性，控制系统（视频控制器、独立主控、同步接收卡）采用同一生产厂家同一品牌产品，严禁贴牌</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29.为有效消除手机拍摄时出现的扫描线，提高观赏性，接收卡需支持1/2/4/8/16/32倍倍频技术。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30.为保证显示效果，接收卡的亮度有效率与刷新率、灰度等级相对独立，可单独对亮度有效率进行调节而不引起其他两项参数变化。</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31.为保障信号传输稳定性，图像数据由发送端到接收端只有一帧延迟。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32.为避免接收卡电源接反造成损失，需具备电源接反保护电路。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33.为满足复杂显示屏的安装、调试和维护，接收卡需支持Mapping功能和端口Mapping功能，快速查找所有接收卡位置和单个接收卡连接模组位置。</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34.为适用不同场景使用需求，接收卡需支持选择保留最后一帧或黑屏。</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35.为方便安装、灵活带载模组，接收卡需支持多开功能，支持正常/2/3/4/6/8开输出选择。</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36.为方便快速点亮、测试屏幕模组，接收卡需支持智能设置和自定义模组功能。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37.为增强屏幕的实用性和多样化，接收卡需支持不规则箱体构造功能，可任意接插模组位置、旋转模组方向、加载不同模组文件、添加扇形箱体等，完成异形屏幕显示。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38.为满足任意模组和IC的支持，接收卡需支持不同芯片厂商各种PWM芯片、双锁存芯片、通用芯片.支持静态屏、1/2~1/128扫之间的任意扫描类型。</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39.为支持非标准形状的屏幕调试和维护，接收卡需支持复杂屏幕配置，进行非标准异形屏幕设置。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视频处理器</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1.为方便安装，设备应符合标准机架式结构。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2.支持以下输出信号接口：</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LAN(RJ45)×4（带网口连接状态指示），支持上下、左右任意拼接；整机最大支持分辨率为260万像素，最宽8192像素，最高2160像素，支持自定义分辨率。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为方便查看设备工作状态：设备需自带128*64液晶屏，可通过液晶屏显示设备运行参数与状态，包括：按键锁定状态、信号源状态、LED屏幕分辨率等。支持窗口属性设置、输入设置、保存/调用场景、亮度设置、画面冻结、LED测试、按键锁定、语言和版本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4.支持至少6路信号输入，不低于1路 HDMI、1路DVI、1路VGA、2路CVBS 和1路USB。</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5.为保障大屏清晰度，设备需支持3840*2160@30HZ输入分辨率。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6.为达到音视频同步切换效果，视频处理器应同时具备HDMI、、DVI、VGA、USB信号源带音频输入功能，达到音视频同步切换效果。</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7.为方便对接音响设备，处理器需自带Audio（PJ35）音频输出。（不得使用多功能卡）（可出具检测报告）</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8.为避免因网线故障引起的显示屏显示异常，设备需支持备份功能。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9.为提高设备分辨率兼容性，设备需支持EDID配置管理。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10.为解决输入信号产生的黑边问题，保证满屏显示，设备需具备对任意信号源做任意裁剪/去黑边。</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11.为解决画面尺寸缩小限制，保留图像细节，减轻画面放大多倍后产生的失焦现象，设备需支持Super Resolution放大技术及视频补偿处理算法功能。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12.为避免过电压、过电流的冲击，保护输入输出I/O接口，设备需具备通道保护功能，通道间相互独立且彼此互补。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13.为保证显示屏的画质一致性，处理器需支持逐点校正功能。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14.为方便使用，设备需同时支持面板和PC 2种调试方式，支持可可查看场景设置、保存场景和调用场景功能，，场景数不低于8个。</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15.为方便使用中快速切换信号，设备需支持快捷切换任意画面信道的功能。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16.支持LED屏幕测试，黑屏、红屏、绿屏、蓝屏、白屏等任意显示切换。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17.支持亮度调节。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18.支持色温、对比度、饱和度调节。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19.支持画面冻结。</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20.为方便后期使用，随时随地查看设备状态，设备需支持远程查看运行状态功能。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21.设备需具备网线检测功能，通过指示灯状态判断网线通断问题。</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22.为方便调试和使用，处理器旋钮需具备自动精准对位功能（需提供相关证书）。</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23.支持编辑定时任务，支持定时切换通道、场景。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24.为防止误操作，导致显示屏参数紊乱，需具备菜单锁功能，锁定后不能进行参数更改，但不影响信道正常切换。</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25.为防止误操作，需支持全键锁锁定功能。</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26.为保证系统稳定，操作简单方便，以及售后服务统一可靠，控制系统（视频控制器）必须具备优秀的前端视频处理功能，不再另行配置其他品牌或同一品牌下其他型号的视频处理器。控制系统（含视频控制器、独立主控、同步接收卡）及播控系统（含播控软件及服务器）采用同一生产厂家同一品牌产品。</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27.为方便屏幕带载显示，设备网口需支持单网口带载最长2048点，最高1920点，总点数65万。</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28.为方便管理使用，设备需支持串口中控协议对接，方便管理使用。</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29.为兼容不同输入信号的显示，设备需支持HDCP2.0\1.4。</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30.正常工作时，噪声不大于45dB(A)(距离 1m处）。</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31.设备外壳防护等级符合GB/T 4208-2017中IP20等级的要求。</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32.为有效降低设备温度和噪音，设备需支持散热风扇智能管理，可根据温度自动调节转速。</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33.为配合不同类型屏幕使用，设备需支持通过PC配置软件在线完成固件升级，以及对输出后连设备（接收卡、多功能卡）升级，升级完成后可实时刷新显示设备的固件版本信息。</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34.为保障视频同步性，设备需支持视频输入源为60Hz时，视频拼接处理+LED发送部分整体延迟≤16.67ms。</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35.为方便播放使用，设备需支持U盘即插即播功能，且支持控制素材播放、暂停、上一个、下一个等。</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36.为减少光污染，达到节能环保，设备需支持接入亮度传感器，根据环境亮度自动调节大屏亮度。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钢架结构</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LED屏现场定制框架结构，采用国产优质材料，符合安全载重标准，不锈钢烤漆或铝塑板包边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31.75</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箱体</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由冷轧钢板制成，采用表面静电喷涂。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屏体后盖</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后盖或铝塑板包边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智能配电柜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1.控制方式：RS485转USB控制，+中控485协议，网络TCP协议，网络UDP协议,+多台联控+RF无线遥控+按键启动+网口控制</w:t>
              <w:br/>
              <w:t xml:space="preserve">2.产品特点: 手自动一体，遥控开关，PLC远程控制，定时开关，分步上电，温度监测，烟雾监测，温湿度采集保护</w:t>
              <w:br/>
              <w:t xml:space="preserve">3.软件实时监控温度，烟雾。</w:t>
              <w:br/>
              <w:t xml:space="preserve">4.支持分布式阶级上电/断电功能。</w:t>
              <w:br/>
              <w:t xml:space="preserve">5.支持高温断电，烟雾断电，过流，短路断电。</w:t>
              <w:br/>
              <w:t xml:space="preserve">6.支持遥控，电脑控制。</w:t>
              <w:br/>
              <w:t xml:space="preserve">7.设备前端和电脑端同时报警。</w:t>
              <w:br/>
              <w:t xml:space="preserve">8.可自定义编辑启动时间，停止时间，每日定时开关机编辑点不少于4个，每个定时点带是否启用功能，在一</w:t>
            </w:r>
            <w:r>
              <w:rPr>
                <w:rFonts w:ascii="SimSun" w:hAnsi="SimSun" w:eastAsia="SimSun" w:cs="SimSun"/>
                <w:color w:val="000000"/>
                <w:sz w:val="18"/>
              </w:rPr>
              <w:t xml:space="preserve">周内每天可设置不同的定时点和每组星期；每组定时单独控制，每组星期单独选项。</w:t>
              <w:br/>
              <w:t xml:space="preserve">9.功率≥40KW</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前门为玻璃门，后门为高密度网孔门；可同时安装脚轮和支撑脚；可关闭的上部、下部多处走线通道，底部大直线孔尺寸可按需调整；可选配安装底座，达到固定机柜、底部过线、底部送冷风、防鼠的要求；可方便拆御的左右侧门和前后门；防护等级：IP 20；表面处理：脱脂、酸洗、磷化、静电喷塑；≥600×600×1200mm。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辅材及安装调试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屏体内电源线、电源至配电箱接线、控制线、信号线、YJV4*35+1*16主电缆、超五类网线、RVV 3X4电线、高清线、制冷设备、控制主机、管材等。</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制冷设备【制冷量（W）：3510（200-4200）；制冷功率（W）：975（80-1550）；能效比APF：4.29 循环风量：650】，控制主机【1.处理器：核心数≥8，主频≥2.8GHz，（安全可靠等级≥Ⅱ级）2.内存容量：≥8G  3.硬盘：≥512GB 固态硬盘，4.显卡: 集成显卡，接口支持；HDMI+VGA，5.声卡: 集成声卡，6.网卡：主板集成10/100/1000M以太网卡】</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用电接入及恢复</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室外大屏至配电箱连接到配电箱，墙面地面开槽及原状恢复。施工时应符合相关法律法规及安全标准。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安装调试</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含强电布置、安装调试、开关面板等辅材在内的一切相关费用。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r>
      <w:tr>
        <w:trPr>
          <w:trHeight w:val="285"/>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56"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十二、初中理化虚拟现实VR教学系统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中学化学VR教学系统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1.与教学强相关：每个实验内容包含教学、考核两个主要模式。</w:t>
              <w:br/>
              <w:t xml:space="preserve">★2.成绩比例折线图：可按时间区间、班级、课件条件，查看班级成绩等级比例（A、B、C、D四个等级）。（提供系统功能截图加盖投人盖章）</w:t>
              <w:br/>
              <w:t xml:space="preserve">3.成绩比例统计表：可统计班级成绩A等级比例，包含班级名称、课件名称、A等级比例、考试时间；可按A等级比例升降序排列</w:t>
              <w:br/>
              <w:t xml:space="preserve">4.班级详情统计表：可统计班级每一位学生的成绩等级和知识点正误情况，包含学生姓名、成绩等级、知识点正误详情等信息</w:t>
              <w:br/>
              <w:t xml:space="preserve">5.实验功能：</w:t>
              <w:br/>
              <w:t xml:space="preserve">★5.1实验内以模拟人体手部形态的方式与实验物体进行交互，模拟手部抓取</w:t>
            </w:r>
            <w:r>
              <w:rPr>
                <w:rFonts w:ascii="SimSun" w:hAnsi="SimSun" w:eastAsia="SimSun" w:cs="SimSun"/>
                <w:color w:val="000000"/>
                <w:sz w:val="20"/>
              </w:rPr>
              <w:t xml:space="preserve">、捏拿等动作，增加实验的仿真效果；（提供系统功能截图加盖投人盖章）</w:t>
              <w:br/>
              <w:t xml:space="preserve">★5.2实验内两只模拟手均可与虚拟实验物体进行交互，例如抓取、旋转、放置等操作；（提供系统功能截图加盖投人盖章）</w:t>
              <w:br/>
              <w:t xml:space="preserve">5.3实验内实提供实验重新开始、一键整理实验器材功能；系统提供高度的探究性操作类实验，学生可以自主探究。非预先设定的固定场景或实验过程，非纯观看式3D模型展示，非纯视频式被动介绍知识。</w:t>
              <w:br/>
              <w:t xml:space="preserve">5.4实验内具备教学模式和考核模式两种不同教学模式，教学模式下，每一步实验操作前均配备语音解说进行指导；语音结束前，用户无法进行实验操作；</w:t>
              <w:br/>
              <w:t xml:space="preserve">5.</w:t>
            </w:r>
            <w:r>
              <w:rPr>
                <w:rFonts w:ascii="SimSun" w:hAnsi="SimSun" w:eastAsia="SimSun" w:cs="SimSun"/>
                <w:color w:val="000000"/>
                <w:sz w:val="20"/>
              </w:rPr>
              <w:t xml:space="preserve">5实验内每件实验器材均在触碰时显示实验器材名称，不触碰时则不显示；</w:t>
              <w:br/>
              <w:t xml:space="preserve">5.6选择某个实验步骤时，实验步骤放大高亮显示并附带选择成功动效音效；</w:t>
              <w:br/>
              <w:t xml:space="preserve">5.7实验器材在可拿取、放置、交互时均高亮进行提示；实验器材在高亮状态下用模拟手成功拿取、触碰时也高亮进行提示，两种高亮以颜色进行区分；</w:t>
              <w:br/>
              <w:t xml:space="preserve">5.8实验器材拿取后对下一步放置位置应进行位置提示；</w:t>
              <w:br/>
              <w:t xml:space="preserve">5.9实验内提供实验步骤进度显示及实验步骤任选功能，用户可直接进入对应选择实验步骤，无需从头开始实验操作；</w:t>
              <w:br/>
              <w:t xml:space="preserve">5.10支持6DoF，视野角度变化控制，以及移动的上下前后左右位移控制。</w:t>
            </w:r>
            <w:r>
              <w:rPr>
                <w:rFonts w:ascii="SimSun" w:hAnsi="SimSun" w:eastAsia="SimSun" w:cs="SimSun"/>
                <w:color w:val="000000"/>
                <w:sz w:val="20"/>
              </w:rPr>
              <w:t xml:space="preserve">实时追踪用户在真实世界的走动并动态同步在用户虚拟世界中所处的环境和场景。</w:t>
              <w:br/>
              <w:t xml:space="preserve">5.11实验内菜单栏提供显示和隐藏功能；</w:t>
              <w:br/>
              <w:t xml:space="preserve">5.12实验内提供实验教学语音关闭、开启功能；</w:t>
              <w:br/>
              <w:t xml:space="preserve">5.13实验内提供空间位置调整、视觉画面校正等功能，用户可调节胸前与桌面的距离；</w:t>
              <w:br/>
              <w:t xml:space="preserve">5.14实验内，考核模式下，实验正误、步骤时长等多种数据同步至教学管理平台。</w:t>
              <w:br/>
              <w:t xml:space="preserve">5.15系统所有模型均为经过烘焙的三维仿真模型，仿真度高。采用三维场景展示，具备高沉浸感。支持用户通过 VR 头盔进行实验场景的观察，支持用户 360 度旋转视角。系统分辨率不能低于192</w:t>
            </w:r>
            <w:r>
              <w:rPr>
                <w:rFonts w:ascii="SimSun" w:hAnsi="SimSun" w:eastAsia="SimSun" w:cs="SimSun"/>
                <w:color w:val="000000"/>
                <w:sz w:val="20"/>
              </w:rPr>
              <w:t xml:space="preserve">0*1200，可对场景模型进行实时顶点优化，根据视觉效果调整优化比例。</w:t>
              <w:br/>
              <w:t xml:space="preserve">6.实验内容：化学实验数量要求不少于10个，灭火的原理，酸、碱的化学性质（上），酸、碱的化学性质（下），溶液酸碱性的检验，氧气的实验室制取与性质，二氧化碳的实验室制取与性质，金属的化学性质和某些化学性质，一定质量分数的氯化钠溶液的配制，粗盐中难溶性杂质的去除，燃烧的条件。（提供系统功能截图）</w:t>
              <w:br/>
              <w:t xml:space="preserve">7.教师可通过WEB端对学生端进行控制，包含但不限于头盔一键关机，实验课程一键开启、关闭，内容播控，实时监控。</w:t>
              <w:br/>
              <w:t xml:space="preserve">8.所有课件操作均支持在无互联网环</w:t>
            </w:r>
            <w:r>
              <w:rPr>
                <w:rFonts w:ascii="SimSun" w:hAnsi="SimSun" w:eastAsia="SimSun" w:cs="SimSun"/>
                <w:color w:val="000000"/>
                <w:sz w:val="20"/>
              </w:rPr>
              <w:t xml:space="preserve">境下正常操作使用。</w:t>
              <w:br/>
              <w:t xml:space="preserve">9.在同一软件系统平台中进行沉浸式操作、集成，方便用户管理、使用。可以在软件系统平台内部使用手柄进行不同VR资源间的切换操作。</w:t>
              <w:br/>
              <w:t xml:space="preserve">10.系统具备良好的交互仿真，实现实验过程中的器具操作方式；</w:t>
              <w:br/>
              <w:t xml:space="preserve">11.系统具备良好的数据仿真，实现实验过程中的设备参数设置；</w:t>
              <w:br/>
              <w:t xml:space="preserve">12.系统具备良好的环境仿真，实现实验过程中的操作环境属实；</w:t>
              <w:br/>
              <w:t xml:space="preserve">13.支持数据仿真，实验结果误差需要控制在指定范围内，结果可以导出；</w:t>
              <w:br/>
              <w:t xml:space="preserve">14.支持实验过程智能指导和虚拟实验结果自动批改功能；</w:t>
              <w:br/>
              <w:t xml:space="preserve">15.系统提供操作帮助，言简意赅描述实验如何开展；</w:t>
              <w:br/>
            </w:r>
            <w:r>
              <w:rPr>
                <w:rFonts w:ascii="SimSun" w:hAnsi="SimSun" w:eastAsia="SimSun" w:cs="SimSun"/>
                <w:color w:val="000000"/>
                <w:sz w:val="20"/>
              </w:rPr>
              <w:t xml:space="preserve">16.系统支持用户从任意视角、任意距离观察场景元素；</w:t>
              <w:br/>
              <w:t xml:space="preserve">17.系统画面效果精美，采用虚拟现实实时渲染处理；</w:t>
              <w:br/>
              <w:t xml:space="preserve">18.系统须优化处理，确保实时运行帧数高于25帧/秒；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虚拟现实头盔</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numPr>
                <w:ilvl w:val="0"/>
                <w:numId w:val="8"/>
              </w:numPr>
              <w:spacing w:before="0" w:after="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处理器：≥8核，最高主频≥ 2.84GHz</w:t>
            </w:r>
            <w:r/>
          </w:p>
          <w:p>
            <w:pPr>
              <w:numPr>
                <w:ilvl w:val="0"/>
                <w:numId w:val="8"/>
              </w:numPr>
              <w:spacing w:before="0" w:after="200" w:line="25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GPU：主频 ≥587MHz</w:t>
              <w:br/>
              <w:t xml:space="preserve">3. 内存：6GB RAM，LPDDR4X</w:t>
              <w:br/>
              <w:t xml:space="preserve">4. 闪存：UFS3.0 256GB</w:t>
              <w:br/>
              <w:t xml:space="preserve">5. WIFI：2X2 MIMO WIFI6 802.11 b/g/n/ac/ax，2.4G/5G双频</w:t>
              <w:br/>
              <w:t xml:space="preserve">6. BT：BT5.1</w:t>
              <w:br/>
              <w:t xml:space="preserve">7. 屏幕：5.5 inch x 1 SFR TFT</w:t>
              <w:br/>
              <w:t xml:space="preserve">8. 分辨率：3664x1920，PPI：773</w:t>
              <w:br/>
              <w:t xml:space="preserve">9. 刷新率：72/90Hz</w:t>
              <w:br/>
              <w:t xml:space="preserve">10. 视场角：98°</w:t>
              <w:br/>
              <w:t xml:space="preserve">11. 透镜：菲涅尔</w:t>
              <w:br/>
              <w:t xml:space="preserve">12. 瞳距调节：支持物理瞳距调节，三档：58/63.5/69mm</w:t>
              <w:br/>
              <w:t xml:space="preserve">13. 护眼模式：通过T</w:t>
            </w:r>
            <w:r>
              <w:rPr>
                <w:rFonts w:ascii="SimSun" w:hAnsi="SimSun" w:eastAsia="SimSun" w:cs="SimSun"/>
                <w:color w:val="000000"/>
                <w:sz w:val="20"/>
              </w:rPr>
              <w:t xml:space="preserve">UV低蓝光认证，可以在系统设置中开启该功能</w:t>
              <w:br/>
              <w:t xml:space="preserve">14. 9轴传感器：1KHz采样频率</w:t>
              <w:br/>
              <w:t xml:space="preserve">15. P-senor： 人脸佩戴感应</w:t>
              <w:br/>
              <w:t xml:space="preserve">16. 前置摄像头：鱼眼摄像头(640x480@120Hz, FOV:166°) x 4，支持头部6DoF定位</w:t>
              <w:br/>
              <w:t xml:space="preserve">17. 手柄：6DoF体感手柄 x 2，支持光学定位，支持线性振动马达</w:t>
              <w:br/>
              <w:t xml:space="preserve">18. 机身按键：电源键，APP键（返回键），确认键，Home键，音量加，音量减</w:t>
              <w:br/>
              <w:t xml:space="preserve">19. 人体工程设计：前置头盔和后置电池组成更为合理的力学分担设计，佩戴面部舒适</w:t>
              <w:br/>
              <w:t xml:space="preserve">20. 充电：支持QC3.0快速充电</w:t>
              <w:br/>
              <w:t xml:space="preserve">21</w:t>
            </w:r>
            <w:r>
              <w:rPr>
                <w:rFonts w:ascii="SimSun" w:hAnsi="SimSun" w:eastAsia="SimSun" w:cs="SimSun"/>
                <w:color w:val="000000"/>
                <w:sz w:val="20"/>
              </w:rPr>
              <w:t xml:space="preserve">. 电池容量≥5300mAh</w:t>
              <w:br/>
              <w:t xml:space="preserve">22. 扬声器：内置双立体声喇叭</w:t>
              <w:br/>
              <w:t xml:space="preserve">23. 麦克风：双麦克降噪，全指向麦克风</w:t>
              <w:br/>
              <w:t xml:space="preserve">24. 3.5mm音频接口：连接第三方立体声耳机使用 </w:t>
              <w:br/>
              <w:t xml:space="preserve">25. Led灯：三色Led 显示开机，关机，充电状态</w:t>
              <w:br/>
              <w:t xml:space="preserve">26. 第三方软件安装：支持正常安装和显示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VR学习空间系统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1.本软件支持6DOF一体机双手柄操作。</w:t>
              <w:br/>
              <w:t xml:space="preserve">2.启动课件</w:t>
              <w:br/>
              <w:t xml:space="preserve">2.1启动课件：点击主界面课程分类入口，可打开对应类型课件列表，再点击课件封面可启动课件。</w:t>
              <w:br/>
              <w:t xml:space="preserve">★2.2分类导航：首页课程分类支持按全景课堂、互动实验室、安全教育、科普教育、互动微课，互动实验室课程可按照物理、化学、生物分类；（提供系统功能截图加盖投标人公章）</w:t>
              <w:br/>
              <w:t xml:space="preserve">2.3翻页：课件列表支持点击上一页、下一页按钮翻页。</w:t>
              <w:br/>
              <w:t xml:space="preserve">2.4未购买课程：点击主界面课程分类入口，可打开对应类型课程演示视频观看。</w:t>
              <w:br/>
              <w:t xml:space="preserve">3.操作微课</w:t>
              <w:br/>
              <w:t xml:space="preserve">3.1模型分解：可自动分解模型，能够看到模型各个零部件</w:t>
            </w:r>
            <w:r>
              <w:rPr>
                <w:rFonts w:ascii="SimSun" w:hAnsi="SimSun" w:eastAsia="SimSun" w:cs="SimSun"/>
                <w:color w:val="000000"/>
                <w:sz w:val="20"/>
              </w:rPr>
              <w:t xml:space="preserve">；</w:t>
              <w:br/>
              <w:t xml:space="preserve">3.2模型标签：可查看模型中的各部分结构知识点标签，并对知识点进行陈述和讲解；</w:t>
              <w:br/>
              <w:t xml:space="preserve">3.3模型动画：可播放模型自带演示动画；</w:t>
              <w:br/>
              <w:t xml:space="preserve">3.4模型透视：可通过透视功能看到模型的内部结构；</w:t>
              <w:br/>
              <w:t xml:space="preserve">3.5尺寸/角度调整：支持放大/缩小模型，支持左右旋转模型，可以不同视角查看模型；</w:t>
              <w:br/>
              <w:t xml:space="preserve">3.6退出课件：可关闭当前模型，打开微课课件列表。</w:t>
              <w:br/>
              <w:t xml:space="preserve">4.场景漫游</w:t>
              <w:br/>
              <w:t xml:space="preserve">4.1漫游移动：支持在3D虚拟场景中漫游，可原地转向；</w:t>
              <w:br/>
              <w:t xml:space="preserve">4.2模型互动：支持与场景中的化学实验模型、蝴蝶模型、音叉模型、手摇发电机模型互动。</w:t>
              <w:br/>
              <w:t xml:space="preserve">5新手引导</w:t>
              <w:br/>
              <w:t xml:space="preserve">5.1新手引导：点击主界面“帮</w:t>
            </w:r>
            <w:r>
              <w:rPr>
                <w:rFonts w:ascii="SimSun" w:hAnsi="SimSun" w:eastAsia="SimSun" w:cs="SimSun"/>
                <w:color w:val="000000"/>
                <w:sz w:val="20"/>
              </w:rPr>
              <w:t xml:space="preserve">助”图标可启动新手引导机制，可系统性地按照步骤学习使用手柄按键、漫游、使用虚拟双手操作等交互方式；</w:t>
              <w:br/>
              <w:t xml:space="preserve">5.2操作提示：首次启动某类课件，可查看该类课件的操作提示面板；</w:t>
              <w:br/>
              <w:t xml:space="preserve">5.3按键指南：支持触碰桌面上的手柄模型打开按键使用指南面板，查看所有使用场景下的按键操作说明。</w:t>
              <w:br/>
              <w:t xml:space="preserve">6系统特性</w:t>
              <w:br/>
              <w:t xml:space="preserve">6.1开机自启动；能屏蔽所有与学习无关的VR影视、游戏等内容；</w:t>
              <w:br/>
              <w:t xml:space="preserve">6.2内容自动更新机制：自动从云端拉取新的课件资源信息；</w:t>
              <w:br/>
              <w:t xml:space="preserve">6.3WIFI高级设置：提供WIFI设置功能，提供WIFI设置自动记忆功能；</w:t>
              <w:br/>
              <w:t xml:space="preserve">6.4电量及连接状态显示：提供一体机</w:t>
            </w:r>
            <w:r>
              <w:rPr>
                <w:rFonts w:ascii="SimSun" w:hAnsi="SimSun" w:eastAsia="SimSun" w:cs="SimSun"/>
                <w:color w:val="000000"/>
                <w:sz w:val="20"/>
              </w:rPr>
              <w:t xml:space="preserve">剩余电量显示功能，提供是否处于课堂教学连接状态显示功能。</w:t>
              <w:br/>
              <w:t xml:space="preserve">7.需提供未来学校虚拟仿真相关计算机软件著作权证书。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教师端VR播控系统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处理器：核心数≥8，主频≥2.8GHz，内存：16G及以上，端口：显示端口HDMI接口，显卡：独立显卡，硬盘：固态硬盘（SSD），256G及以上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VR教学管理系统</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总体要求：系统必须是基于Web网页的SAAS系统模式，可以运行在多种设备的主流网页浏览器上（包括但不限于Chrome、360、Firfox、Edge等，推荐Chrome浏览器）。系统主要面向学校（学校管理员、老师、学生）提供服务。能够对授权的VR课件库进行管理，分发到头显；能够对本校各VR教室的VR一体机进行统一管理，能够进行VR授课活动。</w:t>
              <w:br/>
              <w:t xml:space="preserve">2.用户管理系统</w:t>
              <w:br/>
              <w:t xml:space="preserve">2.1账号激活：用户能够通过平台创建账号，设置账号密码。</w:t>
              <w:br/>
              <w:t xml:space="preserve">2.2修改密码：可支持重设6~10位数字、字母组合密码。</w:t>
              <w:br/>
              <w:t xml:space="preserve">2.3平台使用手册：至少包含使</w:t>
            </w:r>
            <w:r>
              <w:rPr>
                <w:rFonts w:ascii="SimSun" w:hAnsi="SimSun" w:eastAsia="SimSun" w:cs="SimSun"/>
                <w:color w:val="000000"/>
                <w:sz w:val="20"/>
              </w:rPr>
              <w:t xml:space="preserve">用准备、登录说明、操作说明等信息。</w:t>
              <w:br/>
              <w:t xml:space="preserve">3.资源推荐</w:t>
              <w:br/>
              <w:t xml:space="preserve">3.1系列课件资源推荐：能以卡片形式推荐不同系列的课件资源。</w:t>
              <w:br/>
              <w:t xml:space="preserve">3.2课件资源上新推荐：可推荐用户未有的上新课件资源。</w:t>
              <w:br/>
              <w:t xml:space="preserve">3.3首页资源筛选：可按已购买、未购买、课件类型、课件所属学段、课件所属学科筛选。（提供系统功能截图）</w:t>
              <w:br/>
              <w:t xml:space="preserve">4.我的课程</w:t>
              <w:br/>
              <w:t xml:space="preserve">4.1课程列表</w:t>
              <w:br/>
              <w:t xml:space="preserve">4.1.1课程信息列表：至少包含课程数量、课程名称、课程包含课件资源的封面图和数量等信息</w:t>
              <w:br/>
              <w:t xml:space="preserve">4.1.2课程搜索：可按课程名称关键词搜索；</w:t>
              <w:br/>
              <w:t xml:space="preserve">4.1.3课程操作：可对列表中的课程进行编辑、删除，也可选择某一课程上课；</w:t>
            </w:r>
            <w:r>
              <w:rPr>
                <w:rFonts w:ascii="SimSun" w:hAnsi="SimSun" w:eastAsia="SimSun" w:cs="SimSun"/>
                <w:color w:val="000000"/>
                <w:sz w:val="20"/>
              </w:rPr>
              <w:br/>
              <w:t xml:space="preserve">4.2新建课程</w:t>
              <w:br/>
              <w:t xml:space="preserve">4.2.1资源筛选：可按云端资源、我的资源、课件所属学段、课件所属学科、课件类型筛选。</w:t>
              <w:br/>
              <w:t xml:space="preserve">4.2.2添加课件资源：可鼠标拖动课件资源添加或点击加入课程按钮添加，课件资源包含授权资源和上传资源。（提供系统功能截图）</w:t>
              <w:br/>
              <w:t xml:space="preserve">4.2.3上传资源：可自行上传本地资源（图片、视频、PPT、Excel、Pdf、Word）做为课件进行播放，图片、视频根据平台规则自动转换成2D、3D图片或视频。</w:t>
              <w:br/>
              <w:t xml:space="preserve">4.2.4编辑课程：可对课程中的课件资源进行添加、清除。</w:t>
              <w:br/>
              <w:t xml:space="preserve">4.2.5保存课程：可自定义课程名称。</w:t>
              <w:br/>
              <w:t xml:space="preserve">5.上课播控</w:t>
              <w:br/>
              <w:t xml:space="preserve">5.1</w:t>
            </w:r>
            <w:r>
              <w:rPr>
                <w:rFonts w:ascii="SimSun" w:hAnsi="SimSun" w:eastAsia="SimSun" w:cs="SimSun"/>
                <w:color w:val="000000"/>
                <w:sz w:val="20"/>
              </w:rPr>
              <w:t xml:space="preserve">上课选项</w:t>
              <w:br/>
              <w:t xml:space="preserve">5.1.1可选择指定班级和设备组进行上课播控</w:t>
              <w:br/>
              <w:t xml:space="preserve">5.2课件列表</w:t>
              <w:br/>
              <w:t xml:space="preserve">5.2.1至少包含上课课程的课件名称及说明等信息</w:t>
              <w:br/>
              <w:t xml:space="preserve">5.3设备列表</w:t>
              <w:br/>
              <w:t xml:space="preserve">5.3.1设备信息列表：至少包含设备编号、对应学生姓名、连接状态、播放状态、控制模式、电量、声音、课件安装情况等信息</w:t>
              <w:br/>
              <w:t xml:space="preserve">5.3.2课件安装：可对所选设备进行指定课件安装，可批量操作</w:t>
              <w:br/>
              <w:t xml:space="preserve">5.3.3登出：可将已登录设备进行登出操作，可批量操作</w:t>
              <w:br/>
              <w:t xml:space="preserve">5.4班级视图</w:t>
              <w:br/>
              <w:t xml:space="preserve">5.4.1上线学生和未上线学生信息列表：至少包含上线学生姓名、设备号、头盔实时画面、未上线学生姓名等信息</w:t>
              <w:br/>
              <w:t xml:space="preserve">5.4.2可实时</w:t>
            </w:r>
            <w:r>
              <w:rPr>
                <w:rFonts w:ascii="SimSun" w:hAnsi="SimSun" w:eastAsia="SimSun" w:cs="SimSun"/>
                <w:color w:val="000000"/>
                <w:sz w:val="20"/>
              </w:rPr>
              <w:t xml:space="preserve">监控班级所有学生头盔的实时画面，也可单独监控某一个学生</w:t>
              <w:br/>
              <w:t xml:space="preserve">5.5播放控制</w:t>
              <w:br/>
              <w:t xml:space="preserve">5.5.1可选择不同课件内容播放</w:t>
              <w:br/>
              <w:t xml:space="preserve">5.6设备控制</w:t>
              <w:br/>
              <w:t xml:space="preserve">5.6.1可批量控制所有设备，也可单独控制某一或指定多台VR设备的课件播放与停止</w:t>
              <w:br/>
              <w:t xml:space="preserve">5.6.2可同时控制所有或指定的VR设备关机</w:t>
              <w:br/>
              <w:t xml:space="preserve">5.6.3可控制播控模式状态开启或关闭，切换设备处于播控模式或自由模式</w:t>
              <w:br/>
              <w:t xml:space="preserve">5.6.4可自定义设备的安全活动范围（活动半径、眼睛距地面高度）</w:t>
              <w:br/>
              <w:t xml:space="preserve">5.6.5可同时控制所有或指定的VR设备静音或开启声音</w:t>
              <w:br/>
              <w:t xml:space="preserve">6班级管理</w:t>
              <w:br/>
              <w:t xml:space="preserve">6.1班级列表</w:t>
              <w:br/>
              <w:t xml:space="preserve">6.1.1班级信息列表：至少包含班级名称</w:t>
            </w:r>
            <w:r>
              <w:rPr>
                <w:rFonts w:ascii="SimSun" w:hAnsi="SimSun" w:eastAsia="SimSun" w:cs="SimSun"/>
                <w:color w:val="000000"/>
                <w:sz w:val="20"/>
              </w:rPr>
              <w:t xml:space="preserve">、学生数、创建时间等信息</w:t>
              <w:br/>
              <w:t xml:space="preserve">6.1.2新建班级：至少包含创建班级名称、选择班级学生。也可删除班级等信息</w:t>
              <w:br/>
              <w:t xml:space="preserve">6.1.3编辑班级：至少包含编辑班级名称等信息</w:t>
              <w:br/>
              <w:t xml:space="preserve">6.1.4班级学生：可查看班级内学生姓名、学号等信息</w:t>
              <w:br/>
              <w:t xml:space="preserve">6.2班级学生</w:t>
              <w:br/>
              <w:t xml:space="preserve">6.2.1学生信息列表：至少包含学生序号、姓名、学号等信息</w:t>
              <w:br/>
              <w:t xml:space="preserve">6.2.2新建、编辑学生：至少包含学生姓名、学号、移除学生等信息</w:t>
              <w:br/>
              <w:t xml:space="preserve">6.2.3可导入、导出学生列表，Excel形式等信息</w:t>
              <w:br/>
              <w:t xml:space="preserve">7资源管理</w:t>
              <w:br/>
              <w:t xml:space="preserve">7.1资源列表</w:t>
              <w:br/>
              <w:t xml:space="preserve">7.1.1课件资源信息：至少包含资源ID、资源名称、上传人、文件大小、上传时间等信息</w:t>
            </w:r>
            <w:r>
              <w:rPr>
                <w:rFonts w:ascii="SimSun" w:hAnsi="SimSun" w:eastAsia="SimSun" w:cs="SimSun"/>
                <w:color w:val="000000"/>
                <w:sz w:val="20"/>
              </w:rPr>
              <w:t xml:space="preserve">。</w:t>
              <w:br/>
              <w:t xml:space="preserve">7.2新增资源</w:t>
              <w:br/>
              <w:t xml:space="preserve">7.2.1可上传资源文件，至少能够支持.png、.jpg、.jpeg格式全景图片和.mp4格式全景视频文件上传</w:t>
              <w:br/>
              <w:t xml:space="preserve">8安装管理</w:t>
              <w:br/>
              <w:t xml:space="preserve">8.1安装信息列表</w:t>
              <w:br/>
              <w:t xml:space="preserve">8.1.1可按课件或设备条件、课件类型条件查看：至少包含课件名称、封面图、安装情况等信息</w:t>
              <w:br/>
              <w:t xml:space="preserve">8.1.2安装或卸载课件：可对指定设备安装或卸载所选课件，可批量操作</w:t>
              <w:br/>
              <w:t xml:space="preserve">8.2安装详情</w:t>
              <w:br/>
              <w:t xml:space="preserve">8.2.1按设备查看，可查看所选设备已安装、未安装、安装中、安装失败的课件；可对已安装课件进行卸载操作，对未安装课件进行安装操作</w:t>
              <w:br/>
              <w:t xml:space="preserve">8.2.2按课件查看，可查看所有设备对所选</w:t>
            </w:r>
            <w:r>
              <w:rPr>
                <w:rFonts w:ascii="SimSun" w:hAnsi="SimSun" w:eastAsia="SimSun" w:cs="SimSun"/>
                <w:color w:val="000000"/>
                <w:sz w:val="20"/>
              </w:rPr>
              <w:t xml:space="preserve">课件的安装情况</w:t>
              <w:br/>
              <w:t xml:space="preserve">9.设备管理</w:t>
              <w:br/>
              <w:t xml:space="preserve">9.1设备列表</w:t>
              <w:br/>
              <w:t xml:space="preserve">9.1.1设备信息列表：至少包含设备编号、设备唯一码、设备型号、序列号、可用容量、剩余电量、注册时间等信息</w:t>
              <w:br/>
              <w:t xml:space="preserve">9.1.2新设备设置：可通过输入设备注册码，绑定新设备到平台</w:t>
              <w:br/>
              <w:t xml:space="preserve">9.1.3分组管理：可对设备进行分组管理，创建设备组</w:t>
              <w:br/>
              <w:t xml:space="preserve">9.2分组管理</w:t>
              <w:br/>
              <w:t xml:space="preserve">9.2.1设备组列表：至少包含设备组序号、设备组名称、设备数等信息</w:t>
              <w:br/>
              <w:t xml:space="preserve">9.2.2新建、编辑设备组：可创建或编辑设备组名称、添加或解除设备。也可删除已有设备组</w:t>
              <w:br/>
              <w:t xml:space="preserve">10.账号管理</w:t>
              <w:br/>
              <w:t xml:space="preserve">10.1账号信息列表：至少包含教师账号、名称、所属学段</w:t>
            </w:r>
            <w:r>
              <w:rPr>
                <w:rFonts w:ascii="SimSun" w:hAnsi="SimSun" w:eastAsia="SimSun" w:cs="SimSun"/>
                <w:color w:val="000000"/>
                <w:sz w:val="20"/>
              </w:rPr>
              <w:t xml:space="preserve">、学科、创建时间等信息</w:t>
              <w:br/>
              <w:t xml:space="preserve">10.2新增、编辑账号，可新增或编辑教师账号的账号信息,也可删除已有教师账号</w:t>
              <w:br/>
              <w:t xml:space="preserve">11系统要求</w:t>
              <w:br/>
              <w:t xml:space="preserve">11.1支持并发50台以上VR设备同时在线播控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无线基站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1.支持频段</w:t>
              <w:br/>
              <w:t xml:space="preserve">NSA：n41/78/79/28</w:t>
              <w:br/>
              <w:t xml:space="preserve">SA:n5/n8/n41/78/79/28/1</w:t>
              <w:br/>
              <w:t xml:space="preserve">LTE_ TDD：B34/B39/B40/B41；</w:t>
              <w:br/>
              <w:t xml:space="preserve">LTE_FDD:B1/3/5/8/28;WiFi：2.4GHz&amp;5GHz</w:t>
              <w:br/>
              <w:t xml:space="preserve">2.支持防火墙，支持PP2P/L2TP</w:t>
              <w:br/>
              <w:t xml:space="preserve">3.2个1000Mbps以太网口；</w:t>
              <w:br/>
              <w:t xml:space="preserve">4.支持天线外接</w:t>
              <w:br/>
              <w:t xml:space="preserve">5.wifi传输：802.11a/b/g/n/ac/ax</w:t>
              <w:br/>
              <w:t xml:space="preserve">6.LED：1个网络工作状态灯，1个wifi指示灯，1个电源指示灯，</w:t>
              <w:br/>
              <w:t xml:space="preserve">7.最大支持128用户设备接入；</w:t>
              <w:br/>
              <w:t xml:space="preserve">8.NEC一触即连</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运动单车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top"/>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一、产品配置：运动单车+VR眼镜+显示屏+运动单车系统+VR骑行系统</w:t>
              <w:br/>
              <w:t xml:space="preserve">二、运动单车技术参数：</w:t>
              <w:br/>
              <w:t xml:space="preserve">2-1.单车尺寸：</w:t>
            </w:r>
            <w:r>
              <w:rPr>
                <w:rFonts w:ascii="SimSun" w:hAnsi="SimSun" w:eastAsia="SimSun" w:cs="SimSun"/>
                <w:color w:val="000000"/>
                <w:sz w:val="18"/>
              </w:rPr>
              <w:t xml:space="preserve">≥</w:t>
            </w:r>
            <w:r>
              <w:rPr>
                <w:rFonts w:ascii="SimSun" w:hAnsi="SimSun" w:eastAsia="SimSun" w:cs="SimSun"/>
                <w:color w:val="000000"/>
                <w:sz w:val="20"/>
              </w:rPr>
              <w:t xml:space="preserve">106cm*66cm*125cm；</w:t>
              <w:br/>
              <w:t xml:space="preserve">2-2．阻力调节：≥32档电磁控阻力调节 </w:t>
              <w:br/>
              <w:t xml:space="preserve">2-3．方向控制：四色实体按键</w:t>
              <w:br/>
              <w:t xml:space="preserve">2-4．心率检测：手握式脉搏传感运动心率</w:t>
              <w:br/>
              <w:t xml:space="preserve">2-5．惯性飞轮：≥10kg</w:t>
              <w:br/>
              <w:t xml:space="preserve">2-6．展开尺寸：≥1060*660*1250(mm)</w:t>
              <w:br/>
              <w:t xml:space="preserve">2-7．整机承重：≥120kg</w:t>
              <w:br/>
              <w:t xml:space="preserve">2-8．净重/毛重：≥30kg/35.5kg </w:t>
              <w:br/>
              <w:t xml:space="preserve">2-9.使用终端≥10英寸，设备自身集成摄录像、蓝牙、扩展口、互联网等功能。运行速度流畅，多点式触摸。</w:t>
              <w:br/>
              <w:t xml:space="preserve">三、VR眼镜技术参数：</w:t>
              <w:br/>
              <w:t xml:space="preserve">3-1.VR眼镜：显示屏≥5.5英寸，分辨率≥3664 ×192</w:t>
            </w:r>
            <w:r>
              <w:rPr>
                <w:rFonts w:ascii="SimSun" w:hAnsi="SimSun" w:eastAsia="SimSun" w:cs="SimSun"/>
                <w:color w:val="000000"/>
                <w:sz w:val="20"/>
              </w:rPr>
              <w:t xml:space="preserve">0像素，视场角98°，配USB3.0 扩展口，兼容佩戴眼镜，连续使用时间≥2.5小时，处理器：≥ 8 核 最高主频≥ 2.84GHz，运存 6GB LPDDR4X, 2133MHz 电池容量≥ 5300mAh。</w:t>
              <w:br/>
              <w:t xml:space="preserve">四、显示屏技术参数：</w:t>
              <w:br/>
              <w:t xml:space="preserve">4-1.尺寸:≥43吋</w:t>
              <w:br/>
              <w:t xml:space="preserve">4-2.分辨率:≥1920*1080像素</w:t>
              <w:br/>
              <w:t xml:space="preserve">4-3.屏幕长宽比例:≥16：9</w:t>
              <w:br/>
              <w:t xml:space="preserve">4-4.显示尺寸(mm) ≥942.2(宽)×530.4(高) mm</w:t>
              <w:br/>
              <w:t xml:space="preserve">4-5.可视角度:全视角</w:t>
              <w:br/>
              <w:t xml:space="preserve">4-6.面板操作方式:支持触控</w:t>
              <w:br/>
              <w:t xml:space="preserve">4-7.内置电脑:工控主板；4核以上嵌入式处理器，</w:t>
            </w:r>
            <w:r>
              <w:rPr>
                <w:rFonts w:ascii="SimSun" w:hAnsi="SimSun" w:eastAsia="SimSun" w:cs="SimSun"/>
                <w:color w:val="000000"/>
                <w:sz w:val="20"/>
              </w:rPr>
              <w:t xml:space="preserve">主频达到1.8GHz，内存:≥4GB，储存:≥32G，外接口:至少HDMI/VGA/音频/串口各一个，有线网卡:板载千兆网卡，无线网卡:≥双频2.4GHz</w:t>
              <w:br/>
              <w:t xml:space="preserve">4-8.功耗:≤110W</w:t>
              <w:br/>
              <w:t xml:space="preserve">4-9.喇叭:≥2*8W</w:t>
              <w:br/>
              <w:t xml:space="preserve">4-10.电源:AC220V</w:t>
              <w:br/>
              <w:t xml:space="preserve">五、运动单车系统技术参数：</w:t>
              <w:br/>
              <w:t xml:space="preserve">5-1系统至少包含运动减压、休闲放松、档案管理、注册登录模块</w:t>
              <w:br/>
              <w:t xml:space="preserve">5-2运动减压区：包含相关运动游戏。可通过单车前把按钮控制系统运行。 </w:t>
              <w:br/>
              <w:t xml:space="preserve">5-3休闲放松区 ：包含相关绿色休闲放松场景。 </w:t>
              <w:br/>
              <w:t xml:space="preserve">5-4档案管理： 自动生成用户使用档案，训练反馈报告反馈体验者</w:t>
            </w:r>
            <w:r>
              <w:rPr>
                <w:rFonts w:ascii="SimSun" w:hAnsi="SimSun" w:eastAsia="SimSun" w:cs="SimSun"/>
                <w:color w:val="000000"/>
                <w:sz w:val="20"/>
              </w:rPr>
              <w:t xml:space="preserve">个人信息、时间、模块等信息。包括消耗卡路里、运动历程等数据。 </w:t>
              <w:br/>
              <w:t xml:space="preserve">5-5注册登录：注册登录功能，支持账户、密码、出生日期、性别等用户数据的登录系统。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VR双人蛋椅</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5"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设备尺寸：长宽高≥2m*1.1m*1.9 m</w:t>
              <w:br/>
              <w:t xml:space="preserve">1.主机配置：处理器：核心数≥4 ；内存容量≥8GB,硬盘容量：固态≥240GB,独立显卡：≥1050 4G,数量：1台;</w:t>
              <w:br/>
              <w:t xml:space="preserve">2.外置显示屏：显示屏≥19寸高清屏,分辨率：≥1920*1080,鼠标、键盘,数量：1套;</w:t>
              <w:br/>
              <w:t xml:space="preserve">3.VR体验装置：VR头戴：Fast-LCD高清屏、瞳距范围：54mm-74mm、视场角：110°、分辨率：2560*1440、镜片：菲涅尔透镜、传感器：重力传感器、指南针、陀螺仪、接口：HDMI接口/2*USB2.0接口、重量：305g、设计：采</w:t>
            </w:r>
            <w:r>
              <w:rPr>
                <w:rFonts w:ascii="SimSun" w:hAnsi="SimSun" w:eastAsia="SimSun" w:cs="SimSun"/>
                <w:color w:val="000000"/>
                <w:sz w:val="22"/>
              </w:rPr>
              <w:t xml:space="preserve">用人体工学设计，贴合面部，可拆卸、延时：16ms、定时精度：＜2mn</w:t>
              <w:br/>
              <w:t xml:space="preserve">4.伺服电机：通信方式： RSCAN或RS485 、支持工业以太网通信接口，可用于多机组网、可用播放软件采集影片的动作和播放影片的动作、内置12路数字输出、2路模拟输出、8路数字输入信号接口 、通讯接口、数字式特效编程系统、支持16路特效数字输出、最大支持256路视频放映系统、帧同步精度0.01s</w:t>
              <w:br/>
              <w:t xml:space="preserve">控制卡：控制系统：计算机自动控制、功率750W、Pmax:10A、Fuse:self reset、Volt:24Vdc±30%</w:t>
              <w:br/>
              <w:t xml:space="preserve">5.手柄：双手</w:t>
            </w:r>
            <w:r>
              <w:rPr>
                <w:rFonts w:ascii="SimSun" w:hAnsi="SimSun" w:eastAsia="SimSun" w:cs="SimSun"/>
                <w:color w:val="000000"/>
                <w:sz w:val="22"/>
              </w:rPr>
              <w:t xml:space="preserve">柄按钮，实现和内容实时互动                                                                                                       6、软件场景包含：</w:t>
              <w:br/>
              <w:t xml:space="preserve">（1）各类场景内容体验≥100款</w:t>
              <w:br/>
              <w:t xml:space="preserve">（2）具备心理综合管理软件、正向引导语音和背景音乐，每个场景不低于2个互动体验。</w:t>
              <w:br/>
              <w:t xml:space="preserve">（3）放松场景内容≥15款                                                           </w:t>
            </w:r>
            <w:r>
              <w:rPr>
                <w:rFonts w:ascii="SimSun" w:hAnsi="SimSun" w:eastAsia="SimSun" w:cs="SimSun"/>
                <w:color w:val="000000"/>
                <w:sz w:val="22"/>
              </w:rPr>
              <w:t xml:space="preserve">       </w:t>
              <w:br/>
              <w:t xml:space="preserve">（4）通过VR头盔进行心理量表测试，可采用头盔定位操控，检测量表≥20款，测试完成对结果进行评定并引导。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r>
      <w:tr>
        <w:trPr>
          <w:trHeight w:val="28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5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实验考试监考管理系统演示（演示项）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44"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1.为保证快速进入考试，教考一体终端通过控制按键可以一键实现升降2路摄像头支架，升起时摄像头支架自动打开至取景位置，一键实现下降时摄像头支架自动复位至收纳状态。（演示）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2.在考试过程中教考一体终端摄像头支架被误触到非取景位置，摄像头支架可自动复位至正常取景位置。（演示）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3.试题编制：通过考务模块，可以编制理化生任一门实验的实操试题。（演示）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4.教师监考：教师通过监考机可以正常开展实验实操考试监考工作。（演示）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5.视频录制：开启实验考试，学生操作实验的过程通过视频采集系统可以录制成视频。（演示）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6.断网考试：采集终端断网后，可以正常完成一场考试，考试结果不影响后续的正常阅卷。（演示）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视频评卷：通过阅卷模块，可以导入答题包，支持查看评卷配置、样卷及标准卷管理、智能賦分、普通评卷、仲裁卷管理、评卷质检、评卷进度、成绩复核、成绩复核中心组、现场评分、成绩统计、分析等功能。（演示）</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演示要求：“演示项”投标时需提供上述顺序的演示视频，演示产品型号须与所投产品型号一致，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如超过15分钟，超出15分钟的视频不予认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9"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2"/>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采购标的对应的中小企业划分标准所属行业一览表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1"/>
        <w:gridCol w:w="4835"/>
        <w:gridCol w:w="35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42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420"/>
              <w:spacing w:before="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5"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盐城市长江路实验学校理化生实验室标准化考场项目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78" w:type="dxa"/>
            <w:vAlign w:val="center"/>
            <w:textDirection w:val="lrTb"/>
            <w:noWrap w:val="false"/>
          </w:tcPr>
          <w:p>
            <w:pPr>
              <w:ind w:left="0" w:right="0" w:firstLine="0"/>
              <w:jc w:val="center"/>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工业</w:t>
            </w:r>
            <w:r/>
          </w:p>
        </w:tc>
      </w:tr>
    </w:tbl>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5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pStyle w:val="683"/>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一、评标方法与定标原则</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本项目采用</w:t>
      </w:r>
      <w:r>
        <w:rPr>
          <w:rFonts w:ascii="Arial" w:hAnsi="Arial" w:eastAsia="Arial" w:cs="Arial"/>
          <w:color w:val="000000"/>
          <w:sz w:val="24"/>
          <w:u w:val="single"/>
        </w:rPr>
        <w:t xml:space="preserve"> 综合评分 </w:t>
      </w:r>
      <w:r>
        <w:rPr>
          <w:rFonts w:ascii="Arial" w:hAnsi="Arial" w:eastAsia="Arial" w:cs="Arial"/>
          <w:color w:val="000000"/>
          <w:sz w:val="24"/>
        </w:rPr>
        <w:t xml:space="preserve">法。投标文件满足招标文件全部实质性要求，且按照评审因素的量化指标评审得分最高的投标人为中标候选人。</w:t>
      </w:r>
      <w:r/>
    </w:p>
    <w:p>
      <w:pPr>
        <w:ind w:left="0" w:right="-4" w:firstLine="480"/>
        <w:spacing w:before="0" w:after="200" w:line="43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w:t>
      </w:r>
      <w:r/>
    </w:p>
    <w:p>
      <w:pPr>
        <w:ind w:left="0" w:right="-4" w:firstLine="480"/>
        <w:spacing w:before="0" w:after="200" w:line="439"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排名第一的中标候选人放弃中标，或因不可抗力提出不能履行合同，或者被查实存在影响中标结果的违法行为等情形，不符合中标条件的，本项目直接重新招标，不确定其他投标人为中标人。</w:t>
      </w:r>
      <w:r/>
    </w:p>
    <w:p>
      <w:pPr>
        <w:pStyle w:val="683"/>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二、对投标文件的初审</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投标文件初审分为资格审查和符合性审查。</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资格审查</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开标结束后，采购人或者采购代理机构依法对投标人的资格进行审查。</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审查投标文件中的资格、资信证明文件等，以确定投标人是否具备投标资格。（资格审查需提供的材料详见《资格信誉等证明文件要求》）</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符合性审查</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评标委员会对符合资格的投标人的投标文件进行符合性审查。</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依据招标文件的规定，从投标文件的有效性、完整性和对招标文件的响应程度进行审查，以确定其是否满足招标文件的实质性要求。</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明确响应的投标应该是与招标文件要求的全部条款、条件和规格相符，没有重大偏离或保留的投标。</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标委员会按照少数服从多数的原则作出结论。认定评委决定投标文件的响应性只根据投标文件本身的内容，而不寻求外部的证据。</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如果投标文件没有明确响应招标文件的要求，评标委员会将按无效投标处理，投标人不得通过修改或撤销不合要求的偏离或保留而使其投标成为明确响应的投标。</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评标委员会将对确定为明确响应的投标进行进一步审核，投标文件报价出现前后不一致的，除招标文件另有规定外，按照下列规定修正：</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投标文件中开标一览表内容与投标文件中相应内容不一致的，以开标一览表为准；</w:t>
      </w:r>
      <w:r/>
    </w:p>
    <w:p>
      <w:pPr>
        <w:ind w:left="0" w:right="0" w:firstLine="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大写金额和小写金额不一致的，以大写金额为准；</w:t>
      </w:r>
      <w:r/>
    </w:p>
    <w:p>
      <w:pPr>
        <w:ind w:left="0" w:right="0" w:firstLine="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单价金额小数点或者百分比有明显错位的，以开标一览表的总价为准，并修改单价；</w:t>
      </w:r>
      <w:r/>
    </w:p>
    <w:p>
      <w:pPr>
        <w:ind w:left="0" w:right="0" w:firstLine="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总价金额与按单价汇总金额不一致的，以单价金额计算结果为准。</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将按上述修正错误的方法调整投标文件中的投标报价，修正后的报价应当采用书面形式，并加盖公章，或者由法定代表人或其授权的代表签字，经投标人确认后产生约束力，投标人不确认的，其投标无效。</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非单一产品采购，采购人根据采购项目技术构成、产品价格比重等合理确定核心产品，并在招标文件中载明。多家投标人提供的核心产品品牌相同的按上述规定处理。</w:t>
      </w:r>
      <w:r/>
    </w:p>
    <w:p>
      <w:pPr>
        <w:pStyle w:val="683"/>
        <w:ind w:left="0" w:right="0" w:firstLine="482"/>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三、评分标准</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政府采购政策功能落实</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、小微型企业价格扣除</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）本项目对小型和微型企业产品给予</w:t>
      </w:r>
      <w:r>
        <w:rPr>
          <w:rFonts w:ascii="SimSun" w:hAnsi="SimSun" w:eastAsia="SimSun" w:cs="SimSun"/>
          <w:color w:val="000000"/>
          <w:sz w:val="24"/>
        </w:rPr>
        <w:t xml:space="preserve">20%</w:t>
      </w:r>
      <w:r>
        <w:rPr>
          <w:rFonts w:ascii="Arial" w:hAnsi="Arial" w:eastAsia="Arial" w:cs="Arial"/>
          <w:color w:val="000000"/>
          <w:sz w:val="24"/>
        </w:rPr>
        <w:t xml:space="preserve">的扣除价格，用扣除后的价格参与评审。</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）供应商需按照采购文件的要求提供相应的《企业声明函》。</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）企业标准请参照《关于印发中小企业划型标准规定的通知》（工信部联企业</w:t>
      </w:r>
      <w:r>
        <w:rPr>
          <w:rFonts w:ascii="SimSun" w:hAnsi="SimSun" w:eastAsia="SimSun" w:cs="SimSun"/>
          <w:color w:val="000000"/>
          <w:sz w:val="24"/>
        </w:rPr>
        <w:t xml:space="preserve">[2011]300</w:t>
      </w:r>
      <w:r>
        <w:rPr>
          <w:rFonts w:ascii="Arial" w:hAnsi="Arial" w:eastAsia="Arial" w:cs="Arial"/>
          <w:color w:val="000000"/>
          <w:sz w:val="24"/>
        </w:rPr>
        <w:t xml:space="preserve">号）文件规定自行填写。</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）在货物采购项目中，供应商提供的货物既有中小企业制造货物，也有大型企业制造货物的，不享受本办法规定的中小企业扶持政策。</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、残疾人福利单位价格扣除</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）本项目对残疾人福利性单位视同小型、微型企业，给予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）残疾人福利单位标准请参照《关于促进残疾人就业政府采购政策的通知》（财库〔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号），需提供《残疾人福利性单位声明函》，格式自拟。</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、监狱和戒毒企业价格扣除</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）本项目对监狱和戒毒企业（简称监狱企业）视同小型、微型企业，给予</w:t>
      </w:r>
      <w:r>
        <w:rPr>
          <w:rFonts w:ascii="SimSun" w:hAnsi="SimSun" w:eastAsia="SimSun" w:cs="SimSun"/>
          <w:color w:val="000000"/>
          <w:sz w:val="24"/>
        </w:rPr>
        <w:t xml:space="preserve">10%</w:t>
      </w:r>
      <w:r>
        <w:rPr>
          <w:rFonts w:ascii="Arial" w:hAnsi="Arial" w:eastAsia="Arial" w:cs="Arial"/>
          <w:color w:val="000000"/>
          <w:sz w:val="24"/>
        </w:rPr>
        <w:t xml:space="preserve">的价格扣除，用扣除后的价格参与评审。</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）监狱企业参加政府采购活动时，需提供由省级以上监狱管理局、戒毒管理局</w:t>
      </w:r>
      <w:r>
        <w:rPr>
          <w:rFonts w:ascii="SimSun" w:hAnsi="SimSun" w:eastAsia="SimSun" w:cs="SimSun"/>
          <w:color w:val="000000"/>
          <w:sz w:val="24"/>
        </w:rPr>
        <w:t xml:space="preserve">(</w:t>
      </w:r>
      <w:r>
        <w:rPr>
          <w:rFonts w:ascii="Arial" w:hAnsi="Arial" w:eastAsia="Arial" w:cs="Arial"/>
          <w:color w:val="000000"/>
          <w:sz w:val="24"/>
        </w:rPr>
        <w:t xml:space="preserve">含新疆生产建设兵团</w:t>
      </w:r>
      <w:r>
        <w:rPr>
          <w:rFonts w:ascii="SimSun" w:hAnsi="SimSun" w:eastAsia="SimSun" w:cs="SimSun"/>
          <w:color w:val="000000"/>
          <w:sz w:val="24"/>
        </w:rPr>
        <w:t xml:space="preserve">)</w:t>
      </w:r>
      <w:r>
        <w:rPr>
          <w:rFonts w:ascii="Arial" w:hAnsi="Arial" w:eastAsia="Arial" w:cs="Arial"/>
          <w:color w:val="000000"/>
          <w:sz w:val="24"/>
        </w:rPr>
        <w:t xml:space="preserve">出具的属于监狱企业的证明文件。供应商如不提供上述证明文件，价格将不做相应扣除。</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）监狱企业标准请参照《关于政府采购支持监狱企业发展有关问题的通知》（财库</w:t>
      </w:r>
      <w:r>
        <w:rPr>
          <w:rFonts w:ascii="SimSun" w:hAnsi="SimSun" w:eastAsia="SimSun" w:cs="SimSun"/>
          <w:color w:val="000000"/>
          <w:sz w:val="24"/>
        </w:rPr>
        <w:t xml:space="preserve">[2014]68</w:t>
      </w:r>
      <w:r>
        <w:rPr>
          <w:rFonts w:ascii="Arial" w:hAnsi="Arial" w:eastAsia="Arial" w:cs="Arial"/>
          <w:color w:val="000000"/>
          <w:sz w:val="24"/>
        </w:rPr>
        <w:t xml:space="preserve">号）。</w:t>
      </w:r>
      <w:r/>
    </w:p>
    <w:p>
      <w:pPr>
        <w:ind w:left="0" w:right="0" w:firstLine="480"/>
        <w:spacing w:before="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、残疾人福利单位、监狱企业属于小型、微型企业的，不重复享受政策。</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6、供应商对于投标产品的商品包装、快递包装应按照“财办库〔2020〕123号《关于印发《商品包装政府采购需求标准（试行）》、《快递包装政府采购需求标准（试行）》的通知》”执行。</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评标委员会仅对通过以上评审、确定为实质性响应磋商文件要求的投标文件进行评价和比较。本次招标的评审方法采用</w:t>
      </w:r>
      <w:r>
        <w:rPr>
          <w:rFonts w:ascii="SimSun" w:hAnsi="SimSun" w:eastAsia="SimSun" w:cs="SimSun"/>
          <w:color w:val="000000"/>
          <w:sz w:val="24"/>
          <w:u w:val="single"/>
        </w:rPr>
        <w:t xml:space="preserve">综合评分法</w:t>
      </w:r>
      <w:r>
        <w:rPr>
          <w:rFonts w:ascii="SimSun" w:hAnsi="SimSun" w:eastAsia="SimSun" w:cs="SimSun"/>
          <w:color w:val="000000"/>
          <w:sz w:val="24"/>
        </w:rPr>
        <w:t xml:space="preserve">，评标委员会将按以下评审方法和标准进行评分，总分值为100分。</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9"/>
        <w:gridCol w:w="948"/>
        <w:gridCol w:w="962"/>
        <w:gridCol w:w="6238"/>
        <w:gridCol w:w="538"/>
      </w:tblGrid>
      <w:tr>
        <w:trPr>
          <w:trHeight w:val="5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评分项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分值</w:t>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9"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满足采购文件要求且投标报价最低的投标报价为评标基准价，其价格分为满分。其他投标单位的价格分统一按照下列公式计算：投标报价得分=（评标基准价/投标报价）×30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30</w:t>
            </w:r>
            <w:r/>
          </w:p>
        </w:tc>
      </w:tr>
      <w:tr>
        <w:trPr>
          <w:trHeight w:val="2197"/>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技术指标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根据投标人提供的投标文件，对招标文件所要求的“采购内容及技术参数要求”的响应和满足程度进行评分，完全满足或正偏离招标文件“采购内容及技术参数要求”的得满分37分，负偏离扣分。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1.加“★”项的，每负偏离一项扣1分，共计：27分；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2.带“演示”项的，每负偏离一项扣1分，共计7分；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3.除“★”“演示”以外项的，每负偏离一项扣0.1分，扣完为止。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注：各投标人需针对“技术参数要求”在投标文件《技术参数偏离表》中逐条列出响应及偏差情况并予以说明。如需提供证明材料的，以提供的证明材料内容为准，否则视为负偏离。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37</w:t>
            </w:r>
            <w:r/>
          </w:p>
        </w:tc>
      </w:tr>
      <w:tr>
        <w:trPr>
          <w:trHeight w:val="3271"/>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软件产品质量保证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为确保软件质量及软件安全性能，实验考试监考管理系统、实验考试学生端管理系统、实验教学学生端管理系统、实验考试智能管理系统、实验考试阅卷管理系统、实验教学智能管理平台系统：系统符合 GB/T 22239-2019《信息安全技术网络安全等级保护基本要求》三级中安全计算环境的相关标准要求测试报告；符合GB/T 25000.51-2016《系统与软件工程 系统与软件质量要求和评价第51部分：就绪可用软件产品的质量要求和测试细则》软件测试报告。单个系统同时（单个系统缺项不得分）提供上述所列的检测报告和产品证书的得0.</w:t>
            </w:r>
            <w:r>
              <w:rPr>
                <w:rFonts w:ascii="SimSun" w:hAnsi="SimSun" w:eastAsia="SimSun" w:cs="SimSun"/>
                <w:color w:val="000000"/>
                <w:sz w:val="18"/>
              </w:rPr>
              <w:t xml:space="preserve">5分，最高得3分。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21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18"/>
              </w:rPr>
              <w:t xml:space="preserve">综合实力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或产品生产厂家通过质量管理体系认证、环境管理体系认证、职业健康安全管理体系、信息安全管理体系认证、隐私信息安全管理体系认证、知识产权管理体系认证、供应链安全管理体系认证，提供有效期内的认证证书且认证范围必需包含实验室设备，每提供一项得1分，本项最高得7分。（投标时须同时提供证书原件扫描件和官网查询截图加盖投标人公章，提供不全不得分）。认证证书查询官网“全国认证认可信息公共服务平台http://cx.cnca.cn/CertECloud/index/index/pag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2022"/>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人员配置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投标人拟派技术负责人具有系统集成项目管理工程师证书、网络信息安全工程师证书、注册信息安全工程师，每提供1项得1分，同项证书不重复得分，本项最高得3分。</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（提供相应证书原件扫描件及相应人员投标截止时间前3个月内任意一个月在本单位缴纳养老保险的证明扫描件加盖投标人公章，未提供或提供不全不得分）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040"/>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jc w:val="both"/>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投标人或核心产品制造商自2023年1月1日以来（以合同签订时间为准），具有类似政府采购项目业绩，每提供一个案例得1分，最高得3分。</w:t>
              <w:br/>
              <w:t xml:space="preserve">（证明材料：1、须提供合同、验收单（或验收报告）、客户评价加盖投标人公章，三项内容缺一不可；2、提供的证明材料须能体现相关评审因素，不提供或者不能提供有效证明的不得分。）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04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669" w:type="dxa"/>
            <w:vAlign w:val="center"/>
            <w:vMerge w:val="restart"/>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948" w:type="dxa"/>
            <w:vAlign w:val="center"/>
            <w:vMerge w:val="restart"/>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方案设计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根据本项目的采购需求，提供项目设计方案，主要包括平面布局图、效果图、水电施工图，图纸设计科学、布局合理、图纸内容详细完整。提供的设计方案内容详细全面，具有科学性、针对性、可行性、逻辑合理的，得7分；方案完整基本可行的得5分；方案内容完整性欠缺的得3分；不提供或不满足需求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安装验收方案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详尽的项目实施方案包含安装验收方案的制定，落实送货安装时间和人员安排，确保按期保质保量交付使用。内容完善可实施性强得3分，内容完善基本可行的得2分，内容有缺陷需完善后实施的得1分，不满足需求或不可行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进度保证措施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明确的进度保证措施、从深化设计、产品生产、到场验收、安装、调试等方面进行进度安排，有完善的体系。措施完善可实施性强、体系内容详细满足项目需求的得3分，措施基本完善、体系内容、体系内容基本满足项目需求的得2分，措施粗略、内容有缺陷需完善后实施的得1分，不满足需求或不可行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r>
      <w:tr>
        <w:trPr>
          <w:trHeight w:val="10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售后服务及培训方案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38" w:type="dxa"/>
            <w:vAlign w:val="center"/>
            <w:textDirection w:val="lrTb"/>
            <w:noWrap w:val="false"/>
          </w:tcPr>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提供详细完整的售后服务措施和方案、保障措施，主要包括售后服务资质、服务团队专业人员、响应程度、质保期外维修服务网点及数量、备品备件的准备等内容进行打分。培训方案，包括不限于：培训方式与计划、培训讲师、形成正式文件等，评委会根据方案内容综合评分，最高得4分。</w:t>
              <w:br/>
              <w:t xml:space="preserve">1、售后服务及培训方案方案内容详细完整、售后服务体系完备、维护人员及驻场服务人员充足且服务方案针对性强，措施合理，故障响应及修复时间及反馈机制；培训方案完整合理，培训讲师经验丰富、教材完备、可行性强的，得4分；</w:t>
              <w:br/>
              <w:t xml:space="preserve">2、提供的方案在售后服务、培训方案中存在不</w:t>
            </w:r>
            <w:r>
              <w:rPr>
                <w:rFonts w:ascii="SimSun" w:hAnsi="SimSun" w:eastAsia="SimSun" w:cs="SimSun"/>
                <w:color w:val="000000"/>
                <w:sz w:val="18"/>
              </w:rPr>
              <w:t xml:space="preserve">足，但不影响项目实施的，得 2 分；</w:t>
              <w:br/>
              <w:t xml:space="preserve">3、提供的方案售后服务、培训方案中有缺漏或相关度不高的，得 1 分；</w:t>
              <w:br/>
              <w:t xml:space="preserve">4、未提交任何方案，或方案完全不符合项目实际需要，得 0 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r>
    </w:tbl>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pStyle w:val="680"/>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（正本或副本）</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keepLines/>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招 标 编 号：</w:t>
      </w:r>
      <w:r>
        <w:rPr>
          <w:rFonts w:ascii="SimSun" w:hAnsi="SimSun" w:eastAsia="SimSun" w:cs="SimSun"/>
          <w:b/>
          <w:color w:val="000000"/>
          <w:sz w:val="36"/>
          <w:u w:val="single"/>
        </w:rPr>
        <w:t xml:space="preserve">                      </w:t>
      </w:r>
      <w:r/>
    </w:p>
    <w:p>
      <w:pPr>
        <w:ind w:left="0" w:right="0" w:firstLine="1084"/>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w:t>
      </w:r>
      <w:r>
        <w:rPr>
          <w:rFonts w:ascii="SimSun" w:hAnsi="SimSun" w:eastAsia="SimSun" w:cs="SimSun"/>
          <w:b/>
          <w:color w:val="000000"/>
          <w:sz w:val="36"/>
          <w:u w:val="single"/>
        </w:rPr>
        <w:t xml:space="preserve">（加盖CA电子公章）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2891"/>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投标主要文件目录</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一、法人或者其他组织的营业执照等证明文件，自然人的身份证明</w:t>
      </w:r>
      <w:r/>
    </w:p>
    <w:p>
      <w:pPr>
        <w:ind w:left="0" w:right="0" w:firstLine="48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二、上一年度的财务状况报表</w:t>
      </w:r>
      <w:r>
        <w:rPr>
          <w:rFonts w:ascii="SimSun" w:hAnsi="SimSun" w:eastAsia="SimSun" w:cs="SimSun"/>
          <w:b/>
          <w:color w:val="000000"/>
          <w:sz w:val="24"/>
          <w:u w:val="single"/>
        </w:rPr>
        <w:t xml:space="preserve">（至少提供资产负债表、利润表、现金流量表，</w:t>
      </w:r>
      <w:r/>
    </w:p>
    <w:p>
      <w:pPr>
        <w:ind w:left="48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投标人成立不满一年无需提供）</w:t>
      </w:r>
      <w:r/>
    </w:p>
    <w:p>
      <w:pPr>
        <w:ind w:left="48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三、具备履行合同所必需的设备和专业技术能力的书面声明</w:t>
      </w:r>
      <w:r/>
    </w:p>
    <w:p>
      <w:pPr>
        <w:ind w:left="48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五、参加政府采购活动前 3 年内在经营活动中没有重大违法记录的书面声明</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六、法人授权书</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七、投标函</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八、小微企业声明函</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九、残疾人福利性单位声明函</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十、投标分项报价表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十一、技术参数响应及偏离表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十二、商务条款响应及偏离表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十三、开标一览表</w:t>
      </w:r>
      <w:r/>
    </w:p>
    <w:p>
      <w:pPr>
        <w:ind w:left="0" w:right="0" w:firstLine="480"/>
        <w:jc w:val="both"/>
        <w:spacing w:before="50" w:after="5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十四、技术文件</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十五、盐城经济技术开发区政府采购事前信用承诺书</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十六、招标文件中规定要求提供的证明材料和投标人认为需要提供的其他材料</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3840"/>
        <w:spacing w:before="0" w:after="20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供应商名称（公章）：</w:t>
      </w:r>
      <w:r>
        <w:rPr>
          <w:rFonts w:ascii="Arial" w:hAnsi="Arial" w:eastAsia="Arial" w:cs="Arial"/>
          <w:b/>
          <w:i/>
          <w:color w:val="000000"/>
          <w:sz w:val="24"/>
          <w:u w:val="single"/>
        </w:rPr>
        <w:t xml:space="preserve">（加盖</w:t>
      </w:r>
      <w:r>
        <w:rPr>
          <w:rFonts w:ascii="SimSun" w:hAnsi="SimSun" w:eastAsia="SimSun" w:cs="SimSun"/>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法定代表人或授权代表（签字或盖章）：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rPr>
          <w:rFonts w:ascii="SimSun" w:hAnsi="SimSun" w:eastAsia="SimSun" w:cs="SimSun"/>
          <w:b/>
          <w:color w:val="000000"/>
          <w:sz w:val="44"/>
        </w:rPr>
        <w:t xml:space="preserve">      </w:t>
      </w:r>
      <w:r/>
    </w:p>
    <w:p>
      <w:pPr>
        <w:ind w:left="0" w:right="0" w:firstLine="3092"/>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560"/>
        <w:spacing w:before="0" w:after="200" w:line="113"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供应商名称（公章）：</w:t>
      </w:r>
      <w:r>
        <w:rPr>
          <w:rFonts w:ascii="Arial" w:hAnsi="Arial" w:eastAsia="Arial" w:cs="Arial"/>
          <w:b/>
          <w:i/>
          <w:color w:val="000000"/>
          <w:sz w:val="24"/>
          <w:u w:val="single"/>
        </w:rPr>
        <w:t xml:space="preserve">（加盖</w:t>
      </w:r>
      <w:r>
        <w:rPr>
          <w:rFonts w:ascii="SimSun" w:hAnsi="SimSun" w:eastAsia="SimSun" w:cs="SimSun"/>
          <w:b/>
          <w:i/>
          <w:color w:val="000000"/>
          <w:sz w:val="24"/>
          <w:u w:val="single"/>
        </w:rPr>
        <w:t xml:space="preserve">CA</w:t>
      </w:r>
      <w:r>
        <w:rPr>
          <w:rFonts w:ascii="Arial" w:hAnsi="Arial" w:eastAsia="Arial" w:cs="Arial"/>
          <w:b/>
          <w:i/>
          <w:color w:val="000000"/>
          <w:sz w:val="24"/>
          <w:u w:val="single"/>
        </w:rPr>
        <w:t xml:space="preserve">电子公章）</w:t>
      </w:r>
      <w:r/>
    </w:p>
    <w:p>
      <w:pPr>
        <w:ind w:left="0" w:right="0" w:firstLine="0"/>
        <w:spacing w:before="0" w:after="20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法定代表人或授权代表（签字或盖章）：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rPr>
          <w:rFonts w:ascii="SimSun" w:hAnsi="SimSun" w:eastAsia="SimSun" w:cs="SimSun"/>
          <w:color w:val="000000"/>
          <w:sz w:val="24"/>
        </w:rPr>
        <w:t xml:space="preserve">                                              </w:t>
      </w:r>
      <w:r>
        <w:rPr>
          <w:rFonts w:ascii="Arial" w:hAnsi="Arial" w:eastAsia="Arial" w:cs="Arial"/>
          <w:color w:val="000000"/>
          <w:sz w:val="24"/>
        </w:rPr>
        <w:t xml:space="preserve">     日期：</w:t>
      </w:r>
      <w:r>
        <w:rPr>
          <w:rFonts w:ascii="Arial" w:hAnsi="Arial" w:eastAsia="Arial" w:cs="Arial"/>
          <w:color w:val="000000"/>
          <w:sz w:val="24"/>
          <w:u w:val="single"/>
        </w:rPr>
        <w:t xml:space="preserve">     </w:t>
      </w:r>
      <w:r>
        <w:rPr>
          <w:rFonts w:ascii="Arial" w:hAnsi="Arial" w:eastAsia="Arial" w:cs="Arial"/>
          <w:color w:val="000000"/>
          <w:sz w:val="24"/>
        </w:rPr>
        <w:t xml:space="preserve">年</w:t>
      </w:r>
      <w:r>
        <w:rPr>
          <w:rFonts w:ascii="Arial" w:hAnsi="Arial" w:eastAsia="Arial" w:cs="Arial"/>
          <w:color w:val="000000"/>
          <w:sz w:val="24"/>
          <w:u w:val="single"/>
        </w:rPr>
        <w:t xml:space="preserve">    </w:t>
      </w:r>
      <w:r>
        <w:rPr>
          <w:rFonts w:ascii="Arial" w:hAnsi="Arial" w:eastAsia="Arial" w:cs="Arial"/>
          <w:color w:val="000000"/>
          <w:sz w:val="24"/>
        </w:rPr>
        <w:t xml:space="preserve">月</w:t>
      </w:r>
      <w:r>
        <w:rPr>
          <w:rFonts w:ascii="Arial" w:hAnsi="Arial" w:eastAsia="Arial" w:cs="Arial"/>
          <w:color w:val="000000"/>
          <w:sz w:val="24"/>
          <w:u w:val="single"/>
        </w:rPr>
        <w:t xml:space="preserve">    </w:t>
      </w:r>
      <w:r>
        <w:rPr>
          <w:rFonts w:ascii="Arial" w:hAnsi="Arial" w:eastAsia="Arial" w:cs="Arial"/>
          <w:color w:val="000000"/>
          <w:sz w:val="24"/>
        </w:rPr>
        <w:t xml:space="preserve">日</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六、法人授权书</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72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0" w:after="200" w:line="27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3390"/>
        <w:jc w:val="both"/>
        <w:spacing w:before="260" w:after="26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Hei" w:hAnsi="SimHei" w:eastAsia="SimHei" w:cs="SimHei"/>
          <w:b/>
          <w:i/>
          <w:color w:val="000000"/>
          <w:sz w:val="32"/>
          <w:u w:val="single"/>
        </w:rPr>
        <w:t xml:space="preserve">七、投标函</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盐城市长江路实验学校</w:t>
      </w:r>
      <w:r/>
    </w:p>
    <w:p>
      <w:pPr>
        <w:ind w:left="0" w:right="0" w:firstLine="48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1.按招标文件规定的各项要求，向贵方提供所需服务。</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2.我方完全理解贵方不一定将合同授予最低报价的投标人。</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3.我方已详细审核全部招标文件及其有效补充文件，我方知道必须放弃提出含糊不清或误解问题的权利。</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4.我方同意从规定的开标日期起遵循本投标文件，并在规定的投标有效期期满之前均具有约束力。</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5.如果在开标后规定的投标有效期内撤回投标或中标后拒绝签订合同，则按照国家相关法律法规受到相应处罚。</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6.同意向贵方提供贵方可能另外要求的与投标有关的任何证据或资料，并保证我方已提供和将要提供的文件是真实的、准确的。</w:t>
      </w:r>
      <w:r/>
    </w:p>
    <w:p>
      <w:pPr>
        <w:ind w:left="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7.一旦我方中标,我方将根据招标文件的规定，严格履行合同的责任和义务,并保证在招标文件规定的时间完成项目，交付买方验收、使用。</w:t>
      </w:r>
      <w:r/>
    </w:p>
    <w:p>
      <w:pPr>
        <w:ind w:left="425"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8.与本投标有关的正式通讯地址为：</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投标人授权代表姓名（签字）： </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投标人（公章）： </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560" w:right="0" w:firstLine="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321"/>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321"/>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八、小微企业声明函（货物）</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组织的采购编号为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6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九、残疾人福利性单位声明函</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100" w:after="100" w:line="2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numPr>
          <w:ilvl w:val="0"/>
          <w:numId w:val="9"/>
        </w:numPr>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投标分项报价表</w:t>
      </w:r>
      <w:r/>
    </w:p>
    <w:p>
      <w:pPr>
        <w:ind w:left="0" w:right="0" w:firstLine="120"/>
        <w:spacing w:before="0" w:after="200" w:line="499"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714500"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12735" name=""/>
                        <pic:cNvPicPr>
                          <a:picLocks noChangeAspect="1"/>
                        </pic:cNvPicPr>
                        <pic:nvPr/>
                      </pic:nvPicPr>
                      <pic:blipFill>
                        <a:blip/>
                        <a:stretch/>
                      </pic:blipFill>
                      <pic:spPr bwMode="auto">
                        <a:xfrm>
                          <a:off x="0" y="0"/>
                          <a:ext cx="1714500"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5.0pt;height:0.8pt;mso-wrap-distance-left:0.0pt;mso-wrap-distance-top:0.0pt;mso-wrap-distance-right:0.0pt;mso-wrap-distance-bottom:0.0pt;" stroked="false">
                <v:path textboxrect="0,0,0,0"/>
              </v:shape>
            </w:pict>
          </mc:Fallback>
        </mc:AlternateContent>
      </w:r>
      <w:r>
        <w:rPr>
          <w:rFonts w:ascii="Arial" w:hAnsi="Arial" w:eastAsia="Arial" w:cs="Arial"/>
          <w:color w:val="000000"/>
          <w:sz w:val="24"/>
        </w:rPr>
        <w:t xml:space="preserve">投标人全称：</w:t>
      </w:r>
      <w:r>
        <w:rPr>
          <w:rFonts w:ascii="SimSun" w:hAnsi="SimSun" w:eastAsia="SimSun" w:cs="SimSun"/>
          <w:color w:val="000000"/>
          <w:sz w:val="24"/>
        </w:rPr>
        <w:t xml:space="preserve">（加盖CA电子签章）</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2914"/>
        <w:gridCol w:w="2306"/>
        <w:gridCol w:w="674"/>
        <w:gridCol w:w="830"/>
        <w:gridCol w:w="830"/>
        <w:gridCol w:w="83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所投货物品牌(或生产企业)及型号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合价（元）</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一、考场实验操作教考管理平台软件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实验考试监考管理系统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实验考试学生端管理系统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实验教学学生端管理系统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实验教学教师端管理系统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二、考试终端、管理终端及网络设备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ff"/>
                <w:sz w:val="16"/>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教考一体终端（核心产品）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高清电子目镜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智慧终端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无线投屏器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无线AP</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AP供电单元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桌垫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三、实验室设备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教师演示讲台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实验室专用水槽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三联高低位龙头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洗眼器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紧急冲淋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化学学生实验桌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学生实验桌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多功能防溅水槽柜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升降折叠水龙头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下水装置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6"/>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四、物理吊装及控制系统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集中控制系统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电源供应装置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模块储藏装置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低压电源模块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伸缩线束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智能升降系统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综合布线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安装支架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五、化学吊装及控制，通风系统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通风矢量控制系统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顶装智能控制平台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温湿度监视系统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铝合金万向罩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万向吸风罩底座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行程通风系统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防腐风机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风机控制线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智能摇臂升降系统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多功能电源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六、生物吊装及控制系统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教师演示电源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远程控制系统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主体框架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防尘保护罩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升降系统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模块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急停装置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供电线路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智能控制系统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系统安装辅件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七、考场辅助设备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信号屏蔽器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八、校级平台</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实验考试智能管理平台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实验考试阅卷管理系统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实验教学智能管理平台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AI智能赋分系统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运维监管系统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应用管理服务器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AI算法服务器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监控硬盘录像机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三层交换机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路由器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校机房改造及配件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九、抽签室</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抽签打印机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实验室智慧工作站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巡考摄像头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拾音器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十、装修</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室内文化布置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辅材、综合布线、安装调试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室外装饰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十一、户外LED显示屏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室外LED模组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LED专用电源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148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全彩接收卡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视频处理器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钢架结构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箱体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屏体后盖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平方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29.49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智能配电柜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机柜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辅材及安装调试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用电接入及恢复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安装调试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5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十二、初中理化虚拟现实VR教学系统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中学化学VR教学系统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虚拟现实头盔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VR学习空间系统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教师端VR播控系统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VR教学管理系统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无线基站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运动单车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VR双人蛋椅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4"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79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86" w:type="dxa"/>
            <w:vAlign w:val="center"/>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合计：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70"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大写：</w:t>
            </w:r>
            <w:r>
              <w:rPr>
                <w:rFonts w:ascii="SimSun" w:hAnsi="SimSun" w:eastAsia="SimSun" w:cs="SimSun"/>
                <w:b/>
                <w:color w:val="000000"/>
                <w:sz w:val="18"/>
                <w:u w:val="single"/>
              </w:rPr>
              <w:t xml:space="preserve">                 </w:t>
            </w:r>
            <w:r>
              <w:rPr>
                <w:rFonts w:ascii="SimSun" w:hAnsi="SimSun" w:eastAsia="SimSun" w:cs="SimSun"/>
                <w:b/>
                <w:color w:val="000000"/>
                <w:sz w:val="18"/>
              </w:rPr>
              <w:t xml:space="preserve"> 小写：</w:t>
            </w:r>
            <w:r>
              <w:rPr>
                <w:rFonts w:ascii="SimSun" w:hAnsi="SimSun" w:eastAsia="SimSun" w:cs="SimSun"/>
                <w:b/>
                <w:color w:val="000000"/>
                <w:sz w:val="28"/>
                <w:u w:val="single"/>
              </w:rPr>
              <w:t xml:space="preserve">       </w:t>
            </w:r>
            <w:r/>
          </w:p>
        </w:tc>
      </w:tr>
    </w:tbl>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注</w:t>
      </w:r>
      <w:r>
        <w:rPr>
          <w:rFonts w:ascii="SimSun" w:hAnsi="SimSun" w:eastAsia="SimSun" w:cs="SimSun"/>
          <w:color w:val="000000"/>
          <w:sz w:val="24"/>
        </w:rPr>
        <w:t xml:space="preserve">1.</w:t>
      </w:r>
      <w:r>
        <w:rPr>
          <w:rFonts w:ascii="Arial" w:hAnsi="Arial" w:eastAsia="Arial" w:cs="Arial"/>
          <w:color w:val="000000"/>
          <w:sz w:val="24"/>
        </w:rPr>
        <w:t xml:space="preserve">投标报价应是招标文件所确定招标范围内全部工作内容的价格体现，投标人的报价应包括所投产品（含相关附配件、软件）费用、包装费、运输费、装卸费、安装调试费、测试费、培训费、验收费、质量保修期内维保费、售后服务费、投标费用、税金、各类风险费、管理费、利润、招标代理费及其他有关的为完成本项目发生的所有费用，对投标人认为没有考虑到的费用项目采购人将不予支付，并认为此项费用已包含在投标报价中；</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本项目提供相同品牌</w:t>
      </w:r>
      <w:r>
        <w:rPr>
          <w:rFonts w:ascii="Arial" w:hAnsi="Arial" w:eastAsia="Arial" w:cs="Arial"/>
          <w:b/>
          <w:color w:val="000000"/>
          <w:sz w:val="24"/>
        </w:rPr>
        <w:t xml:space="preserve">核心产品</w:t>
      </w:r>
      <w:r>
        <w:rPr>
          <w:rFonts w:ascii="SimSun" w:hAnsi="SimSun" w:eastAsia="SimSun" w:cs="SimSun"/>
          <w:b/>
          <w:color w:val="000000"/>
          <w:sz w:val="24"/>
        </w:rPr>
        <w:t xml:space="preserve">（</w:t>
      </w:r>
      <w:r>
        <w:rPr>
          <w:rFonts w:ascii="Arial" w:hAnsi="Arial" w:eastAsia="Arial" w:cs="Arial"/>
          <w:b/>
          <w:color w:val="000000"/>
          <w:sz w:val="24"/>
        </w:rPr>
        <w:t xml:space="preserve">教考一体终端</w:t>
      </w:r>
      <w:r>
        <w:rPr>
          <w:rFonts w:ascii="SimSun" w:hAnsi="SimSun" w:eastAsia="SimSun" w:cs="SimSun"/>
          <w:b/>
          <w:color w:val="000000"/>
          <w:sz w:val="24"/>
        </w:rPr>
        <w:t xml:space="preserve">）</w:t>
      </w:r>
      <w:r>
        <w:rPr>
          <w:rFonts w:ascii="Arial" w:hAnsi="Arial" w:eastAsia="Arial" w:cs="Arial"/>
          <w:color w:val="000000"/>
          <w:sz w:val="24"/>
        </w:rPr>
        <w:t xml:space="preserve">且通过资格审查、符合性审查的不同投标人按一家投标人计算，评审后得分最高的同品牌投标人获得中标人推荐资格；评审得分相同的，按投标报价由低到高排列；得分且投标报价相同的并列，投标文件满足招标文件全部实质性要求，且按照评审因素的量化指标评审得分最高得投标人为排名第一的中标候选人。</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3.报价</w:t>
      </w:r>
      <w:r>
        <w:rPr>
          <w:rFonts w:ascii="Arial" w:hAnsi="Arial" w:eastAsia="Arial" w:cs="Arial"/>
          <w:color w:val="000000"/>
          <w:sz w:val="24"/>
        </w:rPr>
        <w:t xml:space="preserve">高于最高限价的作无效标</w:t>
      </w:r>
      <w:r>
        <w:rPr>
          <w:rFonts w:ascii="SimSun" w:hAnsi="SimSun" w:eastAsia="SimSun" w:cs="SimSun"/>
          <w:color w:val="000000"/>
          <w:sz w:val="24"/>
        </w:rPr>
        <w:t xml:space="preserve">处理</w:t>
      </w:r>
      <w:r>
        <w:rPr>
          <w:rFonts w:ascii="Arial" w:hAnsi="Arial" w:eastAsia="Arial" w:cs="Arial"/>
          <w:color w:val="000000"/>
          <w:sz w:val="24"/>
        </w:rPr>
        <w:t xml:space="preserve">。</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投标单位：</w:t>
      </w:r>
      <w:r>
        <w:rPr>
          <w:rFonts w:ascii="SimSun" w:hAnsi="SimSun" w:eastAsia="SimSun" w:cs="SimSun"/>
          <w:color w:val="000000"/>
          <w:sz w:val="24"/>
        </w:rPr>
        <w:t xml:space="preserve">（加盖CA电子签章）</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20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法定代表人或代理人：</w:t>
      </w:r>
      <w:r>
        <w:rPr>
          <w:rFonts w:ascii="SimSun" w:hAnsi="SimSun" w:eastAsia="SimSun" w:cs="SimSun"/>
          <w:color w:val="000000"/>
          <w:sz w:val="24"/>
        </w:rPr>
        <w:t xml:space="preserve"> </w:t>
      </w:r>
      <w:r>
        <w:rPr>
          <w:rFonts w:ascii="Arial" w:hAnsi="Arial" w:eastAsia="Arial" w:cs="Arial"/>
          <w:color w:val="000000"/>
          <w:sz w:val="24"/>
        </w:rPr>
        <w:t xml:space="preserve">（签字或盖章）</w:t>
      </w:r>
      <w:r/>
    </w:p>
    <w:p>
      <w:pPr>
        <w:ind w:left="0" w:right="0" w:firstLine="0"/>
        <w:jc w:val="right"/>
        <w:spacing w:before="0" w:after="200" w:line="273" w:lineRule="atLeast"/>
        <w:tabs>
          <w:tab w:val="left" w:pos="180" w:leader="none"/>
        </w:tabs>
        <w:pBdr>
          <w:top w:val="none" w:color="000000" w:sz="4" w:space="0"/>
          <w:left w:val="none" w:color="000000" w:sz="4" w:space="0"/>
          <w:bottom w:val="none" w:color="000000" w:sz="4" w:space="0"/>
          <w:right w:val="none" w:color="000000" w:sz="4" w:space="0"/>
        </w:pBdr>
      </w:pPr>
      <w:r>
        <w:rPr>
          <w:rFonts w:ascii="Tahoma" w:hAnsi="Tahoma" w:eastAsia="Tahoma" w:cs="Tahoma"/>
          <w:color w:val="000000"/>
          <w:sz w:val="24"/>
        </w:rPr>
        <w:t xml:space="preserve"> </w:t>
      </w:r>
      <w:r/>
    </w:p>
    <w:p>
      <w:pPr>
        <w:ind w:left="0" w:right="480" w:firstLine="1440"/>
        <w:jc w:val="right"/>
        <w:spacing w:before="0" w:after="200" w:line="273" w:lineRule="atLeast"/>
        <w:tabs>
          <w:tab w:val="left" w:pos="18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日期：年月日</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十一、技术参数响应及偏离表</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4"/>
        <w:gridCol w:w="2852"/>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注：1、按照基本技术要求详细填列。</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2、行数不够，可自行添加。</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3.投标人按照自身实际服务能力填写投标技术参数要求，所有技术参数要求必须在此表体现，不接受其他形式的投标技术响应说明；投标技术参数要求不得低于招标文件要求的技术参数，未填写投标技术参数要求及达不到技术参数要求的按本项目评分标准中技术符合性的约定作相应处理。</w:t>
      </w:r>
      <w:r/>
    </w:p>
    <w:p>
      <w:pPr>
        <w:ind w:left="0" w:right="0" w:firstLine="480"/>
        <w:spacing w:before="0" w:after="200" w:line="47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4.投标人如在投标过程中提供虚假材料谋取中标成交的或采取不正当手段诋毁、排挤其他供应商的,将承担相应法律责任。</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十二、商务条款响应及偏离表</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8"/>
        <w:gridCol w:w="2700"/>
        <w:gridCol w:w="1260"/>
        <w:gridCol w:w="3020"/>
      </w:tblGrid>
      <w:tr>
        <w:trPr>
          <w:trHeight w:val="64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投标人的承诺或说明</w:t>
            </w:r>
            <w:r/>
          </w:p>
        </w:tc>
      </w:tr>
      <w:tr>
        <w:trPr>
          <w:trHeight w:val="7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售后技术服务要求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交验方式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43"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43"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8"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0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0" w:type="dxa"/>
            <w:vAlign w:val="top"/>
            <w:textDirection w:val="lrTb"/>
            <w:noWrap w:val="false"/>
          </w:tcPr>
          <w:p>
            <w:pPr>
              <w:ind w:left="0" w:right="0" w:firstLine="0"/>
              <w:jc w:val="both"/>
              <w:spacing w:before="208"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2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w:t>
      </w:r>
      <w:r/>
    </w:p>
    <w:p>
      <w:pPr>
        <w:ind w:left="0" w:right="0" w:firstLine="3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十三、开标一览表</w:t>
      </w:r>
      <w:r/>
    </w:p>
    <w:tbl>
      <w:tblPr>
        <w:tblStyle w:val="7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47"/>
        <w:gridCol w:w="6971"/>
      </w:tblGrid>
      <w:tr>
        <w:trPr>
          <w:trHeight w:val="9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编 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9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47"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 目 名 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71"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盐城市长江路实验学校理化生实验室标准化考场项目</w:t>
            </w:r>
            <w:r/>
          </w:p>
        </w:tc>
      </w:tr>
      <w:tr>
        <w:trPr>
          <w:trHeight w:val="85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项目投标报价：（大写）</w:t>
            </w:r>
            <w:r>
              <w:rPr>
                <w:rFonts w:ascii="SimSun" w:hAnsi="SimSun" w:eastAsia="SimSun" w:cs="SimSun"/>
                <w:b/>
                <w:color w:val="000000"/>
                <w:sz w:val="28"/>
                <w:u w:val="single"/>
              </w:rPr>
              <w:t xml:space="preserve">             </w:t>
            </w:r>
            <w:r>
              <w:rPr>
                <w:rFonts w:ascii="SimSun" w:hAnsi="SimSun" w:eastAsia="SimSun" w:cs="SimSun"/>
                <w:b/>
                <w:color w:val="000000"/>
                <w:sz w:val="28"/>
              </w:rPr>
              <w:t xml:space="preserve">（小写）</w:t>
            </w:r>
            <w:r>
              <w:rPr>
                <w:rFonts w:ascii="SimSun" w:hAnsi="SimSun" w:eastAsia="SimSun" w:cs="SimSun"/>
                <w:b/>
                <w:color w:val="000000"/>
                <w:sz w:val="28"/>
                <w:u w:val="single"/>
              </w:rPr>
              <w:t xml:space="preserve">                              </w:t>
            </w:r>
            <w:r>
              <w:rPr>
                <w:rFonts w:ascii="SimSun" w:hAnsi="SimSun" w:eastAsia="SimSun" w:cs="SimSun"/>
                <w:b/>
                <w:color w:val="000000"/>
                <w:sz w:val="28"/>
              </w:rPr>
              <w:t xml:space="preserve"> </w:t>
            </w:r>
            <w:r/>
          </w:p>
        </w:tc>
      </w:tr>
      <w:tr>
        <w:trPr>
          <w:trHeight w:val="75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供货期限：</w:t>
            </w:r>
            <w:r/>
          </w:p>
        </w:tc>
      </w:tr>
      <w:tr>
        <w:trPr>
          <w:trHeight w:val="79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质量要求：</w:t>
            </w:r>
            <w:r/>
          </w:p>
        </w:tc>
      </w:tr>
      <w:tr>
        <w:trPr>
          <w:trHeight w:val="85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我方承诺：本项目免费质量保修期为</w:t>
            </w:r>
            <w:r>
              <w:rPr>
                <w:rFonts w:ascii="SimSun" w:hAnsi="SimSun" w:eastAsia="SimSun" w:cs="SimSun"/>
                <w:color w:val="000000"/>
                <w:sz w:val="28"/>
                <w:u w:val="single"/>
              </w:rPr>
              <w:t xml:space="preserve">      </w:t>
            </w:r>
            <w:r>
              <w:rPr>
                <w:rFonts w:ascii="SimSun" w:hAnsi="SimSun" w:eastAsia="SimSun" w:cs="SimSun"/>
                <w:color w:val="000000"/>
                <w:sz w:val="28"/>
              </w:rPr>
              <w:t xml:space="preserve">年。如果我方中标，将派出</w:t>
            </w:r>
            <w:r>
              <w:rPr>
                <w:rFonts w:ascii="SimSun" w:hAnsi="SimSun" w:eastAsia="SimSun" w:cs="SimSun"/>
                <w:color w:val="000000"/>
                <w:sz w:val="28"/>
                <w:u w:val="single"/>
              </w:rPr>
              <w:t xml:space="preserve">     </w:t>
            </w:r>
            <w:r>
              <w:rPr>
                <w:rFonts w:ascii="SimSun" w:hAnsi="SimSun" w:eastAsia="SimSun" w:cs="SimSun"/>
                <w:color w:val="000000"/>
                <w:sz w:val="28"/>
              </w:rPr>
              <w:t xml:space="preserve">（姓名）作为本项目的项目负责人（项目经理）。</w:t>
            </w:r>
            <w:r/>
          </w:p>
        </w:tc>
      </w:tr>
      <w:tr>
        <w:trPr>
          <w:trHeight w:val="869"/>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8" w:type="dxa"/>
            <w:vAlign w:val="center"/>
            <w:textDirection w:val="lrTb"/>
            <w:noWrap w:val="false"/>
          </w:tcPr>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是否提供《投标人企业（单位）类型声明函》：见</w:t>
            </w:r>
            <w:r>
              <w:rPr>
                <w:rFonts w:ascii="SimSun" w:hAnsi="SimSun" w:eastAsia="SimSun" w:cs="SimSun"/>
                <w:b/>
                <w:color w:val="000000"/>
                <w:sz w:val="28"/>
                <w:u w:val="single"/>
              </w:rPr>
              <w:t xml:space="preserve">（    ）</w:t>
            </w:r>
            <w:r>
              <w:rPr>
                <w:rFonts w:ascii="SimSun" w:hAnsi="SimSun" w:eastAsia="SimSun" w:cs="SimSun"/>
                <w:b/>
                <w:color w:val="000000"/>
                <w:sz w:val="28"/>
              </w:rPr>
              <w:t xml:space="preserve">页</w:t>
            </w:r>
            <w:r/>
          </w:p>
        </w:tc>
      </w:tr>
    </w:tbl>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填写说明：</w:t>
      </w:r>
      <w:r/>
    </w:p>
    <w:p>
      <w:pPr>
        <w:numPr>
          <w:ilvl w:val="0"/>
          <w:numId w:val="10"/>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开标一览表不得填报选择性报价，否则将作为无效投标；</w:t>
      </w:r>
      <w:r/>
    </w:p>
    <w:p>
      <w:pPr>
        <w:numPr>
          <w:ilvl w:val="0"/>
          <w:numId w:val="10"/>
        </w:numPr>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开标一览表中报价与投标价格明细表中不符时，以开标一览表为准；</w:t>
      </w:r>
      <w:r/>
    </w:p>
    <w:p>
      <w:pPr>
        <w:ind w:left="0" w:right="0" w:firstLine="264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0"/>
        <w:spacing w:before="0" w:after="0" w:line="41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投标人（加盖CA电子签章）： </w:t>
      </w:r>
      <w:r/>
    </w:p>
    <w:p>
      <w:pPr>
        <w:ind w:left="0" w:right="0" w:firstLine="480"/>
        <w:jc w:val="right"/>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法定代表人或授权代表（签字或盖章）：</w:t>
      </w:r>
      <w:r/>
    </w:p>
    <w:p>
      <w:pPr>
        <w:ind w:left="0" w:right="0" w:firstLine="48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pStyle w:val="681"/>
        <w:ind w:left="0" w:right="0" w:firstLine="3213"/>
        <w:jc w:val="both"/>
        <w:spacing w:before="120" w:after="249"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十四、技术文件</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十五、盐城经济技术开发区政府采购事前信用承诺书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为营造我区公开、公平、公正、诚实守信的政府采购交易环境，树立诚信守法的投标人形象，本人代表本单位作出以下承诺：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（四）严格遵守即时信息公示规定，及时维护和更新维护和更新盐城市政府采购网中与本单位相关的信息；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十六、招标文件中规定要求提供的证明材料和投标人认为需要提供的其他材料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100" w:after="10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82"/>
        <w:ind w:left="0" w:right="0" w:firstLine="0"/>
        <w:jc w:val="both"/>
        <w:spacing w:before="0" w:after="0" w:line="41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2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2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200" w:line="25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r/>
      <w:r/>
    </w:p>
    <w:sectPr>
      <w:footerReference w:type="default" r:id="rId9"/>
      <w:footnotePr/>
      <w:endnotePr/>
      <w:type w:val="nextPage"/>
      <w:pgSz w:w="11906" w:h="16838" w:orient="portrait"/>
      <w:pgMar w:top="1134" w:right="850" w:bottom="1134" w:left="1701" w:header="709" w:footer="709" w:gutter="0"/>
      <w:pgNumType w:start="1"/>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楷体_GB2312">
    <w:panose1 w:val="02010609060101010101"/>
  </w:font>
  <w:font w:name="黑体">
    <w:panose1 w:val="02010609060101010101"/>
  </w:font>
  <w:font w:name="仿宋_GB2312">
    <w:panose1 w:val="02010609060101010101"/>
  </w:font>
  <w:font w:name="幼圆">
    <w:panose1 w:val="02010509060101010101"/>
  </w:font>
  <w:font w:name="Tahoma">
    <w:panose1 w:val="020B060403050404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80" w:hanging="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80" w:hanging="48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0"/>
  </w:num>
  <w:num w:numId="3">
    <w:abstractNumId w:val="2"/>
  </w:num>
  <w:num w:numId="4">
    <w:abstractNumId w:val="4"/>
  </w:num>
  <w:num w:numId="5">
    <w:abstractNumId w:val="1"/>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next w:val="691"/>
    <w:uiPriority w:val="0"/>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680">
    <w:name w:val="Heading 1"/>
    <w:basedOn w:val="679"/>
    <w:next w:val="679"/>
    <w:link w:val="722"/>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23"/>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24"/>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5"/>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6"/>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27"/>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8"/>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29"/>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0"/>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正文1"/>
    <w:basedOn w:val="679"/>
    <w:uiPriority w:val="0"/>
    <w:qFormat/>
    <w:pPr>
      <w:ind w:firstLine="420"/>
      <w:spacing w:line="400" w:lineRule="exact"/>
    </w:pPr>
    <w:rPr>
      <w:rFonts w:ascii="宋体" w:hAnsi="宋体"/>
    </w:rPr>
  </w:style>
  <w:style w:type="paragraph" w:styleId="692">
    <w:name w:val="toc 7"/>
    <w:basedOn w:val="679"/>
    <w:next w:val="679"/>
    <w:uiPriority w:val="39"/>
    <w:unhideWhenUsed/>
    <w:qFormat/>
    <w:pPr>
      <w:ind w:left="1701" w:right="0" w:firstLine="0"/>
      <w:spacing w:after="57"/>
    </w:pPr>
  </w:style>
  <w:style w:type="paragraph" w:styleId="693">
    <w:name w:val="Caption"/>
    <w:basedOn w:val="679"/>
    <w:next w:val="6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4">
    <w:name w:val="annotation text"/>
    <w:basedOn w:val="679"/>
    <w:uiPriority w:val="0"/>
    <w:qFormat/>
    <w:pPr>
      <w:jc w:val="left"/>
    </w:pPr>
  </w:style>
  <w:style w:type="paragraph" w:styleId="695">
    <w:name w:val="Body Text Indent"/>
    <w:basedOn w:val="679"/>
    <w:next w:val="696"/>
    <w:uiPriority w:val="0"/>
    <w:qFormat/>
    <w:pPr>
      <w:ind w:firstLine="480"/>
      <w:tabs>
        <w:tab w:val="left" w:pos="180" w:leader="none"/>
      </w:tabs>
    </w:pPr>
    <w:rPr>
      <w:rFonts w:ascii="Tahoma" w:hAnsi="Tahoma"/>
      <w:sz w:val="24"/>
    </w:rPr>
  </w:style>
  <w:style w:type="paragraph" w:styleId="696">
    <w:name w:val="envelope return"/>
    <w:basedOn w:val="679"/>
    <w:uiPriority w:val="0"/>
    <w:qFormat/>
    <w:rPr>
      <w:rFonts w:ascii="Arial" w:hAnsi="Arial"/>
    </w:rPr>
  </w:style>
  <w:style w:type="paragraph" w:styleId="697">
    <w:name w:val="toc 5"/>
    <w:basedOn w:val="679"/>
    <w:next w:val="679"/>
    <w:uiPriority w:val="39"/>
    <w:unhideWhenUsed/>
    <w:qFormat/>
    <w:pPr>
      <w:ind w:left="1134" w:right="0" w:firstLine="0"/>
      <w:spacing w:after="57"/>
    </w:pPr>
  </w:style>
  <w:style w:type="paragraph" w:styleId="698">
    <w:name w:val="toc 3"/>
    <w:basedOn w:val="679"/>
    <w:next w:val="679"/>
    <w:uiPriority w:val="39"/>
    <w:unhideWhenUsed/>
    <w:qFormat/>
    <w:pPr>
      <w:ind w:left="567" w:right="0" w:firstLine="0"/>
      <w:spacing w:after="57"/>
    </w:pPr>
  </w:style>
  <w:style w:type="paragraph" w:styleId="699">
    <w:name w:val="toc 8"/>
    <w:basedOn w:val="679"/>
    <w:next w:val="679"/>
    <w:uiPriority w:val="39"/>
    <w:unhideWhenUsed/>
    <w:qFormat/>
    <w:pPr>
      <w:ind w:left="1984" w:right="0" w:firstLine="0"/>
      <w:spacing w:after="57"/>
    </w:pPr>
  </w:style>
  <w:style w:type="paragraph" w:styleId="700">
    <w:name w:val="endnote text"/>
    <w:basedOn w:val="679"/>
    <w:link w:val="866"/>
    <w:uiPriority w:val="99"/>
    <w:semiHidden/>
    <w:unhideWhenUsed/>
    <w:qFormat/>
    <w:pPr>
      <w:spacing w:after="0" w:line="240" w:lineRule="auto"/>
    </w:pPr>
    <w:rPr>
      <w:sz w:val="20"/>
    </w:rPr>
  </w:style>
  <w:style w:type="paragraph" w:styleId="701">
    <w:name w:val="Footer"/>
    <w:basedOn w:val="679"/>
    <w:link w:val="739"/>
    <w:uiPriority w:val="99"/>
    <w:unhideWhenUsed/>
    <w:qFormat/>
    <w:pPr>
      <w:spacing w:after="0" w:line="240" w:lineRule="auto"/>
      <w:tabs>
        <w:tab w:val="center" w:pos="7143" w:leader="none"/>
        <w:tab w:val="right" w:pos="14287" w:leader="none"/>
      </w:tabs>
    </w:pPr>
  </w:style>
  <w:style w:type="paragraph" w:styleId="702">
    <w:name w:val="Header"/>
    <w:basedOn w:val="679"/>
    <w:link w:val="737"/>
    <w:uiPriority w:val="99"/>
    <w:unhideWhenUsed/>
    <w:qFormat/>
    <w:pPr>
      <w:spacing w:after="0" w:line="240" w:lineRule="auto"/>
      <w:tabs>
        <w:tab w:val="center" w:pos="7143" w:leader="none"/>
        <w:tab w:val="right" w:pos="14287" w:leader="none"/>
      </w:tabs>
    </w:pPr>
  </w:style>
  <w:style w:type="paragraph" w:styleId="703">
    <w:name w:val="toc 1"/>
    <w:basedOn w:val="679"/>
    <w:next w:val="679"/>
    <w:uiPriority w:val="39"/>
    <w:unhideWhenUsed/>
    <w:qFormat/>
    <w:pPr>
      <w:ind w:left="0" w:right="0" w:firstLine="0"/>
      <w:spacing w:after="57"/>
    </w:pPr>
  </w:style>
  <w:style w:type="paragraph" w:styleId="704">
    <w:name w:val="toc 4"/>
    <w:basedOn w:val="679"/>
    <w:next w:val="679"/>
    <w:uiPriority w:val="39"/>
    <w:unhideWhenUsed/>
    <w:qFormat/>
    <w:pPr>
      <w:ind w:left="850" w:right="0" w:firstLine="0"/>
      <w:spacing w:after="57"/>
    </w:pPr>
  </w:style>
  <w:style w:type="paragraph" w:styleId="705">
    <w:name w:val="Subtitle"/>
    <w:basedOn w:val="679"/>
    <w:next w:val="679"/>
    <w:link w:val="732"/>
    <w:uiPriority w:val="11"/>
    <w:qFormat/>
    <w:pPr>
      <w:spacing w:before="200" w:after="200"/>
    </w:pPr>
    <w:rPr>
      <w:sz w:val="24"/>
      <w:szCs w:val="24"/>
    </w:rPr>
  </w:style>
  <w:style w:type="paragraph" w:styleId="706">
    <w:name w:val="footnote text"/>
    <w:basedOn w:val="679"/>
    <w:link w:val="865"/>
    <w:uiPriority w:val="99"/>
    <w:semiHidden/>
    <w:unhideWhenUsed/>
    <w:qFormat/>
    <w:pPr>
      <w:spacing w:after="40" w:line="240" w:lineRule="auto"/>
    </w:pPr>
    <w:rPr>
      <w:sz w:val="18"/>
    </w:rPr>
  </w:style>
  <w:style w:type="paragraph" w:styleId="707">
    <w:name w:val="toc 6"/>
    <w:basedOn w:val="679"/>
    <w:next w:val="679"/>
    <w:uiPriority w:val="39"/>
    <w:unhideWhenUsed/>
    <w:qFormat/>
    <w:pPr>
      <w:ind w:left="1417" w:right="0" w:firstLine="0"/>
      <w:spacing w:after="57"/>
    </w:pPr>
  </w:style>
  <w:style w:type="paragraph" w:styleId="708">
    <w:name w:val="table of figures"/>
    <w:basedOn w:val="679"/>
    <w:next w:val="679"/>
    <w:uiPriority w:val="99"/>
    <w:unhideWhenUsed/>
    <w:qFormat/>
    <w:pPr>
      <w:spacing w:after="0" w:afterAutospacing="0"/>
    </w:pPr>
  </w:style>
  <w:style w:type="paragraph" w:styleId="709">
    <w:name w:val="toc 2"/>
    <w:basedOn w:val="679"/>
    <w:next w:val="679"/>
    <w:uiPriority w:val="39"/>
    <w:unhideWhenUsed/>
    <w:qFormat/>
    <w:pPr>
      <w:ind w:left="283" w:right="0" w:firstLine="0"/>
      <w:spacing w:after="57"/>
    </w:pPr>
  </w:style>
  <w:style w:type="paragraph" w:styleId="710">
    <w:name w:val="toc 9"/>
    <w:basedOn w:val="679"/>
    <w:next w:val="679"/>
    <w:uiPriority w:val="39"/>
    <w:unhideWhenUsed/>
    <w:qFormat/>
    <w:pPr>
      <w:ind w:left="2268" w:right="0" w:firstLine="0"/>
      <w:spacing w:after="57"/>
    </w:pPr>
  </w:style>
  <w:style w:type="paragraph" w:styleId="711">
    <w:name w:val="Normal (Web)"/>
    <w:basedOn w:val="679"/>
    <w:uiPriority w:val="0"/>
    <w:qFormat/>
    <w:pPr>
      <w:jc w:val="left"/>
      <w:spacing w:beforeAutospacing="1" w:afterAutospacing="1"/>
    </w:pPr>
    <w:rPr>
      <w:rFonts w:cs="Times New Roman"/>
      <w:sz w:val="24"/>
    </w:rPr>
  </w:style>
  <w:style w:type="paragraph" w:styleId="712">
    <w:name w:val="Title"/>
    <w:basedOn w:val="679"/>
    <w:next w:val="679"/>
    <w:link w:val="731"/>
    <w:uiPriority w:val="10"/>
    <w:qFormat/>
    <w:pPr>
      <w:contextualSpacing/>
      <w:spacing w:before="300" w:after="200"/>
    </w:pPr>
    <w:rPr>
      <w:sz w:val="48"/>
      <w:szCs w:val="48"/>
    </w:rPr>
  </w:style>
  <w:style w:type="paragraph" w:styleId="713">
    <w:name w:val="Body Text First Indent 2"/>
    <w:basedOn w:val="695"/>
    <w:uiPriority w:val="0"/>
    <w:qFormat/>
    <w:pPr>
      <w:ind w:firstLine="420"/>
    </w:pPr>
  </w:style>
  <w:style w:type="table" w:styleId="714">
    <w:name w:val="Table Grid"/>
    <w:basedOn w:val="690"/>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5">
    <w:name w:val="Strong"/>
    <w:basedOn w:val="689"/>
    <w:uiPriority w:val="22"/>
    <w:qFormat/>
    <w:rPr>
      <w:b/>
    </w:rPr>
  </w:style>
  <w:style w:type="character" w:styleId="716">
    <w:name w:val="endnote reference"/>
    <w:uiPriority w:val="99"/>
    <w:semiHidden/>
    <w:unhideWhenUsed/>
    <w:qFormat/>
    <w:rPr>
      <w:vertAlign w:val="superscript"/>
    </w:rPr>
  </w:style>
  <w:style w:type="character" w:styleId="717">
    <w:name w:val="Hyperlink"/>
    <w:basedOn w:val="689"/>
    <w:uiPriority w:val="99"/>
    <w:unhideWhenUsed/>
    <w:qFormat/>
    <w:rPr>
      <w:color w:val="0563c1"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character" w:styleId="719" w:customStyle="1">
    <w:name w:val="font41"/>
    <w:basedOn w:val="689"/>
    <w:uiPriority w:val="0"/>
    <w:qFormat/>
    <w:rPr>
      <w:rFonts w:hint="eastAsia" w:ascii="宋体" w:hAnsi="宋体" w:eastAsia="宋体" w:cs="宋体"/>
      <w:color w:val="000000"/>
      <w:sz w:val="18"/>
      <w:szCs w:val="18"/>
      <w:u w:val="none"/>
    </w:rPr>
  </w:style>
  <w:style w:type="paragraph" w:styleId="720" w:customStyle="1">
    <w:name w:val="标题 21"/>
    <w:basedOn w:val="679"/>
    <w:next w:val="679"/>
    <w:uiPriority w:val="0"/>
    <w:qFormat/>
    <w:pPr>
      <w:jc w:val="center"/>
      <w:keepLines/>
      <w:keepNext/>
      <w:spacing w:before="260" w:after="260" w:line="416" w:lineRule="auto"/>
      <w:outlineLvl w:val="1"/>
    </w:pPr>
    <w:rPr>
      <w:rFonts w:ascii="Arial" w:hAnsi="Arial" w:eastAsia="幼圆"/>
      <w:b/>
      <w:sz w:val="44"/>
      <w:szCs w:val="20"/>
    </w:rPr>
  </w:style>
  <w:style w:type="paragraph" w:styleId="721" w:customStyle="1">
    <w:name w:val="彩色列表1"/>
    <w:basedOn w:val="679"/>
    <w:uiPriority w:val="0"/>
    <w:qFormat/>
    <w:pPr>
      <w:ind w:firstLine="420"/>
    </w:pPr>
    <w:rPr>
      <w:szCs w:val="24"/>
    </w:rPr>
  </w:style>
  <w:style w:type="character" w:styleId="722" w:customStyle="1">
    <w:name w:val="Heading 1 Char"/>
    <w:link w:val="680"/>
    <w:uiPriority w:val="9"/>
    <w:qFormat/>
    <w:rPr>
      <w:rFonts w:ascii="Arial" w:hAnsi="Arial" w:eastAsia="Arial" w:cs="Arial"/>
      <w:sz w:val="40"/>
      <w:szCs w:val="40"/>
    </w:rPr>
  </w:style>
  <w:style w:type="character" w:styleId="723" w:customStyle="1">
    <w:name w:val="Heading 2 Char"/>
    <w:link w:val="681"/>
    <w:uiPriority w:val="9"/>
    <w:qFormat/>
    <w:rPr>
      <w:rFonts w:ascii="Arial" w:hAnsi="Arial" w:eastAsia="Arial" w:cs="Arial"/>
      <w:sz w:val="34"/>
    </w:rPr>
  </w:style>
  <w:style w:type="character" w:styleId="724" w:customStyle="1">
    <w:name w:val="Heading 3 Char"/>
    <w:link w:val="682"/>
    <w:uiPriority w:val="9"/>
    <w:qFormat/>
    <w:rPr>
      <w:rFonts w:ascii="Arial" w:hAnsi="Arial" w:eastAsia="Arial" w:cs="Arial"/>
      <w:sz w:val="30"/>
      <w:szCs w:val="30"/>
    </w:rPr>
  </w:style>
  <w:style w:type="character" w:styleId="725" w:customStyle="1">
    <w:name w:val="Heading 4 Char"/>
    <w:link w:val="683"/>
    <w:uiPriority w:val="9"/>
    <w:qFormat/>
    <w:rPr>
      <w:rFonts w:ascii="Arial" w:hAnsi="Arial" w:eastAsia="Arial" w:cs="Arial"/>
      <w:b/>
      <w:bCs/>
      <w:sz w:val="26"/>
      <w:szCs w:val="26"/>
    </w:rPr>
  </w:style>
  <w:style w:type="character" w:styleId="726" w:customStyle="1">
    <w:name w:val="Heading 5 Char"/>
    <w:link w:val="684"/>
    <w:uiPriority w:val="9"/>
    <w:qFormat/>
    <w:rPr>
      <w:rFonts w:ascii="Arial" w:hAnsi="Arial" w:eastAsia="Arial" w:cs="Arial"/>
      <w:b/>
      <w:bCs/>
      <w:sz w:val="24"/>
      <w:szCs w:val="24"/>
    </w:rPr>
  </w:style>
  <w:style w:type="character" w:styleId="727" w:customStyle="1">
    <w:name w:val="Heading 6 Char"/>
    <w:link w:val="685"/>
    <w:uiPriority w:val="9"/>
    <w:qFormat/>
    <w:rPr>
      <w:rFonts w:ascii="Arial" w:hAnsi="Arial" w:eastAsia="Arial" w:cs="Arial"/>
      <w:b/>
      <w:bCs/>
      <w:sz w:val="22"/>
      <w:szCs w:val="22"/>
    </w:rPr>
  </w:style>
  <w:style w:type="character" w:styleId="728" w:customStyle="1">
    <w:name w:val="Heading 7 Char"/>
    <w:link w:val="686"/>
    <w:uiPriority w:val="9"/>
    <w:qFormat/>
    <w:rPr>
      <w:rFonts w:ascii="Arial" w:hAnsi="Arial" w:eastAsia="Arial" w:cs="Arial"/>
      <w:b/>
      <w:bCs/>
      <w:i/>
      <w:iCs/>
      <w:sz w:val="22"/>
      <w:szCs w:val="22"/>
    </w:rPr>
  </w:style>
  <w:style w:type="character" w:styleId="729" w:customStyle="1">
    <w:name w:val="Heading 8 Char"/>
    <w:link w:val="687"/>
    <w:uiPriority w:val="9"/>
    <w:qFormat/>
    <w:rPr>
      <w:rFonts w:ascii="Arial" w:hAnsi="Arial" w:eastAsia="Arial" w:cs="Arial"/>
      <w:i/>
      <w:iCs/>
      <w:sz w:val="22"/>
      <w:szCs w:val="22"/>
    </w:rPr>
  </w:style>
  <w:style w:type="character" w:styleId="730" w:customStyle="1">
    <w:name w:val="Heading 9 Char"/>
    <w:link w:val="688"/>
    <w:uiPriority w:val="9"/>
    <w:qFormat/>
    <w:rPr>
      <w:rFonts w:ascii="Arial" w:hAnsi="Arial" w:eastAsia="Arial" w:cs="Arial"/>
      <w:i/>
      <w:iCs/>
      <w:sz w:val="21"/>
      <w:szCs w:val="21"/>
    </w:rPr>
  </w:style>
  <w:style w:type="character" w:styleId="731" w:customStyle="1">
    <w:name w:val="Title Char"/>
    <w:link w:val="712"/>
    <w:uiPriority w:val="10"/>
    <w:qFormat/>
    <w:rPr>
      <w:sz w:val="48"/>
      <w:szCs w:val="48"/>
    </w:rPr>
  </w:style>
  <w:style w:type="character" w:styleId="732" w:customStyle="1">
    <w:name w:val="Subtitle Char"/>
    <w:link w:val="705"/>
    <w:uiPriority w:val="11"/>
    <w:qFormat/>
    <w:rPr>
      <w:sz w:val="24"/>
      <w:szCs w:val="24"/>
    </w:rPr>
  </w:style>
  <w:style w:type="paragraph" w:styleId="733">
    <w:name w:val="Quote"/>
    <w:basedOn w:val="679"/>
    <w:next w:val="679"/>
    <w:link w:val="734"/>
    <w:uiPriority w:val="29"/>
    <w:qFormat/>
    <w:pPr>
      <w:ind w:left="720" w:right="720"/>
    </w:pPr>
    <w:rPr>
      <w:i/>
    </w:rPr>
  </w:style>
  <w:style w:type="character" w:styleId="734" w:customStyle="1">
    <w:name w:val="Quote Char"/>
    <w:link w:val="733"/>
    <w:uiPriority w:val="29"/>
    <w:qFormat/>
    <w:rPr>
      <w:i/>
    </w:rPr>
  </w:style>
  <w:style w:type="paragraph" w:styleId="735">
    <w:name w:val="Intense Quote"/>
    <w:basedOn w:val="679"/>
    <w:next w:val="679"/>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Intense Quote Char"/>
    <w:link w:val="735"/>
    <w:uiPriority w:val="30"/>
    <w:qFormat/>
    <w:rPr>
      <w:i/>
    </w:rPr>
  </w:style>
  <w:style w:type="character" w:styleId="737" w:customStyle="1">
    <w:name w:val="Header Char"/>
    <w:link w:val="702"/>
    <w:uiPriority w:val="99"/>
    <w:qFormat/>
  </w:style>
  <w:style w:type="character" w:styleId="738" w:customStyle="1">
    <w:name w:val="Footer Char"/>
    <w:link w:val="701"/>
    <w:uiPriority w:val="99"/>
    <w:qFormat/>
  </w:style>
  <w:style w:type="character" w:styleId="739" w:customStyle="1">
    <w:name w:val="Caption Char"/>
    <w:link w:val="701"/>
    <w:uiPriority w:val="99"/>
    <w:qFormat/>
  </w:style>
  <w:style w:type="table" w:styleId="740" w:customStyle="1">
    <w:name w:val="Table Grid Light"/>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9" w:customStyle="1">
    <w:name w:val="Grid Table 2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0"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basedOn w:val="690"/>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basedOn w:val="690"/>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basedOn w:val="690"/>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basedOn w:val="690"/>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basedOn w:val="690"/>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basedOn w:val="690"/>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basedOn w:val="690"/>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9" w:customStyle="1">
    <w:name w:val="Grid Table 4 - Accent 2"/>
    <w:basedOn w:val="690"/>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0" w:customStyle="1">
    <w:name w:val="Grid Table 4 - Accent 3"/>
    <w:basedOn w:val="690"/>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1" w:customStyle="1">
    <w:name w:val="Grid Table 4 - Accent 4"/>
    <w:basedOn w:val="690"/>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2" w:customStyle="1">
    <w:name w:val="Grid Table 4 - Accent 5"/>
    <w:basedOn w:val="690"/>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3" w:customStyle="1">
    <w:name w:val="Grid Table 4 - Accent 6"/>
    <w:basedOn w:val="690"/>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4"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6" w:customStyle="1">
    <w:name w:val="Grid Table 5 Dark - Accent 2"/>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7" w:customStyle="1">
    <w:name w:val="Grid Table 5 Dark - Accent 3"/>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8" w:customStyle="1">
    <w:name w:val="Grid Table 5 Dark- Accent 4"/>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9" w:customStyle="1">
    <w:name w:val="Grid Table 5 Dark - Accent 5"/>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0" w:customStyle="1">
    <w:name w:val="Grid Table 5 Dark - Accent 6"/>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1"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basedOn w:val="690"/>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3" w:customStyle="1">
    <w:name w:val="Grid Table 6 Colorful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4" w:customStyle="1">
    <w:name w:val="Grid Table 6 Colorful - Accent 3"/>
    <w:basedOn w:val="690"/>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85" w:customStyle="1">
    <w:name w:val="Grid Table 6 Colorful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6" w:customStyle="1">
    <w:name w:val="Grid Table 6 Colorful - Accent 5"/>
    <w:basedOn w:val="690"/>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7" w:customStyle="1">
    <w:name w:val="Grid Table 6 Colorful - Accent 6"/>
    <w:basedOn w:val="690"/>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8"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basedOn w:val="690"/>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basedOn w:val="690"/>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basedOn w:val="690"/>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basedOn w:val="690"/>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basedOn w:val="690"/>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basedOn w:val="690"/>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basedOn w:val="690"/>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7" w:customStyle="1">
    <w:name w:val="List Table 1 Light - Accent 2"/>
    <w:basedOn w:val="690"/>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8" w:customStyle="1">
    <w:name w:val="List Table 1 Light - Accent 3"/>
    <w:basedOn w:val="690"/>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9" w:customStyle="1">
    <w:name w:val="List Table 1 Light - Accent 4"/>
    <w:basedOn w:val="690"/>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0" w:customStyle="1">
    <w:name w:val="List Table 1 Light - Accent 5"/>
    <w:basedOn w:val="690"/>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1" w:customStyle="1">
    <w:name w:val="List Table 1 Light - Accent 6"/>
    <w:basedOn w:val="690"/>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2"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basedOn w:val="690"/>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4" w:customStyle="1">
    <w:name w:val="List Table 2 - Accent 2"/>
    <w:basedOn w:val="690"/>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5" w:customStyle="1">
    <w:name w:val="List Table 2 - Accent 3"/>
    <w:basedOn w:val="690"/>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6" w:customStyle="1">
    <w:name w:val="List Table 2 - Accent 4"/>
    <w:basedOn w:val="690"/>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7" w:customStyle="1">
    <w:name w:val="List Table 2 - Accent 5"/>
    <w:basedOn w:val="690"/>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8" w:customStyle="1">
    <w:name w:val="List Table 2 - Accent 6"/>
    <w:basedOn w:val="690"/>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9"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basedOn w:val="690"/>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1" w:customStyle="1">
    <w:name w:val="List Table 3 - Accent 2"/>
    <w:basedOn w:val="690"/>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2" w:customStyle="1">
    <w:name w:val="List Table 3 - Accent 3"/>
    <w:basedOn w:val="690"/>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3" w:customStyle="1">
    <w:name w:val="List Table 3 - Accent 4"/>
    <w:basedOn w:val="690"/>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4" w:customStyle="1">
    <w:name w:val="List Table 3 - Accent 5"/>
    <w:basedOn w:val="690"/>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5" w:customStyle="1">
    <w:name w:val="List Table 3 - Accent 6"/>
    <w:basedOn w:val="690"/>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6"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basedOn w:val="690"/>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8" w:customStyle="1">
    <w:name w:val="List Table 4 - Accent 2"/>
    <w:basedOn w:val="690"/>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9" w:customStyle="1">
    <w:name w:val="List Table 4 - Accent 3"/>
    <w:basedOn w:val="690"/>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0" w:customStyle="1">
    <w:name w:val="List Table 4 - Accent 4"/>
    <w:basedOn w:val="690"/>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1" w:customStyle="1">
    <w:name w:val="List Table 4 - Accent 5"/>
    <w:basedOn w:val="690"/>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2" w:customStyle="1">
    <w:name w:val="List Table 4 - Accent 6"/>
    <w:basedOn w:val="690"/>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3"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basedOn w:val="690"/>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basedOn w:val="690"/>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basedOn w:val="690"/>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basedOn w:val="690"/>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basedOn w:val="690"/>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basedOn w:val="690"/>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basedOn w:val="690"/>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2" w:customStyle="1">
    <w:name w:val="List Table 6 Colorful - Accent 2"/>
    <w:basedOn w:val="690"/>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3" w:customStyle="1">
    <w:name w:val="List Table 6 Colorful - Accent 3"/>
    <w:basedOn w:val="690"/>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4" w:customStyle="1">
    <w:name w:val="List Table 6 Colorful - Accent 4"/>
    <w:basedOn w:val="690"/>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5" w:customStyle="1">
    <w:name w:val="List Table 6 Colorful - Accent 5"/>
    <w:basedOn w:val="690"/>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6" w:customStyle="1">
    <w:name w:val="List Table 6 Colorful - Accent 6"/>
    <w:basedOn w:val="690"/>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7"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basedOn w:val="690"/>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basedOn w:val="690"/>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basedOn w:val="690"/>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basedOn w:val="690"/>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basedOn w:val="690"/>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basedOn w:val="690"/>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4" w:customStyle="1">
    <w:name w:val="Lined - Accent"/>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6" w:customStyle="1">
    <w:name w:val="Lined - Accent 2"/>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7" w:customStyle="1">
    <w:name w:val="Lined - Accent 3"/>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8" w:customStyle="1">
    <w:name w:val="Lined - Accent 4"/>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9" w:customStyle="1">
    <w:name w:val="Lined - Accent 5"/>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0" w:customStyle="1">
    <w:name w:val="Lined - Accent 6"/>
    <w:basedOn w:val="69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1" w:customStyle="1">
    <w:name w:val="Bordered &amp; Lined - Accent"/>
    <w:basedOn w:val="69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basedOn w:val="690"/>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3" w:customStyle="1">
    <w:name w:val="Bordered &amp; Lined - Accent 2"/>
    <w:basedOn w:val="690"/>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4" w:customStyle="1">
    <w:name w:val="Bordered &amp; Lined - Accent 3"/>
    <w:basedOn w:val="690"/>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5" w:customStyle="1">
    <w:name w:val="Bordered &amp; Lined - Accent 4"/>
    <w:basedOn w:val="690"/>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6" w:customStyle="1">
    <w:name w:val="Bordered &amp; Lined - Accent 5"/>
    <w:basedOn w:val="690"/>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7" w:customStyle="1">
    <w:name w:val="Bordered &amp; Lined - Accent 6"/>
    <w:basedOn w:val="690"/>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8" w:customStyle="1">
    <w:name w:val="Bordered"/>
    <w:basedOn w:val="69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basedOn w:val="690"/>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0" w:customStyle="1">
    <w:name w:val="Bordered - Accent 2"/>
    <w:basedOn w:val="690"/>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1" w:customStyle="1">
    <w:name w:val="Bordered - Accent 3"/>
    <w:basedOn w:val="690"/>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2" w:customStyle="1">
    <w:name w:val="Bordered - Accent 4"/>
    <w:basedOn w:val="690"/>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3" w:customStyle="1">
    <w:name w:val="Bordered - Accent 5"/>
    <w:basedOn w:val="690"/>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4" w:customStyle="1">
    <w:name w:val="Bordered - Accent 6"/>
    <w:basedOn w:val="690"/>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5" w:customStyle="1">
    <w:name w:val="Footnote Text Char"/>
    <w:link w:val="706"/>
    <w:uiPriority w:val="99"/>
    <w:qFormat/>
    <w:rPr>
      <w:sz w:val="18"/>
    </w:rPr>
  </w:style>
  <w:style w:type="character" w:styleId="866" w:customStyle="1">
    <w:name w:val="Endnote Text Char"/>
    <w:link w:val="700"/>
    <w:uiPriority w:val="99"/>
    <w:qFormat/>
    <w:rPr>
      <w:sz w:val="20"/>
    </w:rPr>
  </w:style>
  <w:style w:type="paragraph" w:styleId="867" w:customStyle="1">
    <w:name w:val="TOC Heading"/>
    <w:uiPriority w:val="39"/>
    <w:unhideWhenUsed/>
    <w:qFormat/>
    <w:pPr>
      <w:spacing w:before="0" w:beforeAutospacing="0" w:after="200" w:afterAutospacing="0" w:line="276" w:lineRule="auto"/>
    </w:pPr>
    <w:rPr>
      <w:rFonts w:hint="default" w:asciiTheme="minorHAnsi" w:hAnsiTheme="minorHAnsi" w:eastAsiaTheme="minorHAnsi" w:cstheme="minorBidi"/>
      <w:sz w:val="22"/>
      <w:szCs w:val="22"/>
      <w:lang w:val="en-US" w:eastAsia="en-US" w:bidi="ar-SA"/>
    </w:rPr>
  </w:style>
  <w:style w:type="paragraph" w:styleId="868">
    <w:name w:val="No Spacing"/>
    <w:basedOn w:val="679"/>
    <w:uiPriority w:val="1"/>
    <w:qFormat/>
    <w:pPr>
      <w:spacing w:after="0" w:line="240" w:lineRule="auto"/>
    </w:pPr>
  </w:style>
  <w:style w:type="paragraph" w:styleId="869">
    <w:name w:val="List Paragraph"/>
    <w:basedOn w:val="679"/>
    <w:uiPriority w:val="34"/>
    <w:qFormat/>
    <w:pPr>
      <w:contextualSpacing/>
      <w:ind w:left="720"/>
    </w:pPr>
  </w:style>
  <w:style w:type="paragraph" w:styleId="870" w:customStyle="1">
    <w:name w:val="正文首行缩进1"/>
    <w:basedOn w:val="871"/>
    <w:next w:val="875"/>
    <w:uiPriority w:val="0"/>
    <w:qFormat/>
    <w:pPr>
      <w:ind w:firstLine="200"/>
      <w:spacing w:line="360" w:lineRule="auto"/>
    </w:pPr>
    <w:rPr>
      <w:rFonts w:ascii="仿宋_GB2312" w:eastAsia="仿宋_GB2312"/>
      <w:sz w:val="30"/>
      <w:szCs w:val="30"/>
    </w:rPr>
  </w:style>
  <w:style w:type="paragraph" w:styleId="871" w:customStyle="1">
    <w:name w:val="正文文本1"/>
    <w:basedOn w:val="679"/>
    <w:next w:val="872"/>
    <w:uiPriority w:val="0"/>
    <w:qFormat/>
    <w:rPr>
      <w:rFonts w:ascii="楷体_GB2312" w:hAnsi="Arial" w:eastAsia="楷体_GB2312"/>
      <w:sz w:val="28"/>
      <w:szCs w:val="28"/>
    </w:rPr>
  </w:style>
  <w:style w:type="paragraph" w:styleId="872" w:customStyle="1">
    <w:name w:val="一级条标题"/>
    <w:basedOn w:val="873"/>
    <w:next w:val="8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3" w:customStyle="1">
    <w:name w:val="章标题"/>
    <w:next w:val="6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4" w:customStyle="1">
    <w:name w:val="段"/>
    <w:next w:val="67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75" w:customStyle="1">
    <w:name w:val="目录 61"/>
    <w:basedOn w:val="679"/>
    <w:next w:val="679"/>
    <w:uiPriority w:val="0"/>
    <w:semiHidden/>
    <w:qFormat/>
    <w:pPr>
      <w:ind w:left="1050"/>
      <w:jc w:val="left"/>
    </w:pPr>
  </w:style>
  <w:style w:type="paragraph" w:styleId="876" w:customStyle="1">
    <w:name w:val="正文 A"/>
    <w:next w:val="874"/>
    <w:uiPriority w:val="0"/>
    <w:qFormat/>
    <w:pPr>
      <w:jc w:val="both"/>
      <w:widowControl w:val="off"/>
    </w:pPr>
    <w:rPr>
      <w:rFonts w:hint="default" w:ascii="Calibri" w:hAnsi="Calibri" w:eastAsia="Calibri" w:cs="Calibri"/>
      <w:color w:val="000000"/>
      <w:sz w:val="21"/>
      <w:szCs w:val="21"/>
      <w:lang w:val="en-US" w:eastAsia="zh-CN" w:bidi="ar-SA"/>
    </w:rPr>
  </w:style>
  <w:style w:type="paragraph" w:styleId="877" w:customStyle="1">
    <w:name w:val="普通(网站)1"/>
    <w:basedOn w:val="679"/>
    <w:uiPriority w:val="0"/>
    <w:qFormat/>
    <w:pPr>
      <w:jc w:val="left"/>
      <w:spacing w:beforeAutospacing="1" w:afterAutospacing="1"/>
    </w:pPr>
    <w:rPr>
      <w:rFonts w:cs="Times New Roman"/>
      <w:sz w:val="24"/>
    </w:rPr>
  </w:style>
  <w:style w:type="character" w:styleId="878" w:customStyle="1">
    <w:name w:val="font71"/>
    <w:basedOn w:val="689"/>
    <w:uiPriority w:val="0"/>
    <w:qFormat/>
    <w:rPr>
      <w:rFonts w:hint="eastAsia" w:ascii="宋体" w:hAnsi="宋体" w:eastAsia="宋体" w:cs="宋体"/>
      <w:color w:val="c00000"/>
      <w:sz w:val="18"/>
      <w:szCs w:val="18"/>
      <w:u w:val="none"/>
    </w:rPr>
  </w:style>
  <w:style w:type="paragraph" w:styleId="879" w:customStyle="1">
    <w:name w:val="批注文字1"/>
    <w:basedOn w:val="679"/>
    <w:uiPriority w:val="0"/>
    <w:qFormat/>
    <w:pPr>
      <w:jc w:val="left"/>
    </w:pPr>
  </w:style>
  <w:style w:type="character" w:styleId="880" w:customStyle="1">
    <w:name w:val="font11"/>
    <w:basedOn w:val="689"/>
    <w:uiPriority w:val="0"/>
    <w:qFormat/>
    <w:rPr>
      <w:rFonts w:hint="eastAsia" w:ascii="宋体" w:hAnsi="宋体" w:eastAsia="宋体" w:cs="宋体"/>
      <w:color w:val="000000"/>
      <w:sz w:val="18"/>
      <w:szCs w:val="18"/>
      <w:u w:val="none"/>
    </w:rPr>
  </w:style>
  <w:style w:type="character" w:styleId="881" w:customStyle="1">
    <w:name w:val="font61"/>
    <w:basedOn w:val="689"/>
    <w:uiPriority w:val="0"/>
    <w:qFormat/>
    <w:rPr>
      <w:rFonts w:hint="eastAsia" w:ascii="宋体" w:hAnsi="宋体" w:eastAsia="宋体" w:cs="宋体"/>
      <w:color w:val="000000"/>
      <w:sz w:val="18"/>
      <w:szCs w:val="18"/>
      <w:u w:val="none"/>
    </w:rPr>
  </w:style>
  <w:style w:type="numbering" w:styleId="8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李想</dc:creator>
  <cp:lastModifiedBy>张俊东</cp:lastModifiedBy>
  <cp:revision>10</cp:revision>
  <dcterms:created xsi:type="dcterms:W3CDTF">2024-06-14T06:57:00Z</dcterms:created>
  <dcterms:modified xsi:type="dcterms:W3CDTF">2026-04-29T08:40:09Z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3C8B320738414EACA60620D01DB0FF69_13</vt:lpwstr>
  </property>
  <property fmtid="{D5CDD505-2E9C-101B-9397-08002B2CF9AE}" pid="4" name="KSOTemplateDocerSaveRecord">
    <vt:lpwstr>eyJoZGlkIjoiMDljYzUzMWQ4OWI0YzBkYjYzMDRhZTY5ZjZkYmFmYTgiLCJ1c2VySWQiOiIzNzA2MTg2In0=</vt:lpwstr>
  </property>
</Properties>
</file>