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84"/>
          <w:szCs w:val="84"/>
          <w:highlight w:val="none"/>
        </w:rPr>
      </w:pPr>
      <w:r/>
      <w:bookmarkStart w:id="205" w:name="_GoBack"/>
      <w:r/>
      <w:bookmarkEnd w:id="205"/>
      <w:r/>
      <w:r/>
    </w:p>
    <w:p>
      <w:pP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jc w:val="center"/>
        <w:rPr>
          <w:rFonts w:hint="eastAsia" w:ascii="宋体" w:hAnsi="宋体" w:cs="宋体"/>
          <w:color w:val="auto"/>
          <w:sz w:val="44"/>
          <w:szCs w:val="44"/>
          <w:highlight w:val="none"/>
        </w:rPr>
      </w:pPr>
      <w:r>
        <w:rPr>
          <w:rFonts w:hint="eastAsia" w:ascii="宋体" w:hAnsi="宋体" w:cs="宋体"/>
          <w:b/>
          <w:color w:val="auto"/>
          <w:sz w:val="84"/>
          <w:highlight w:val="none"/>
        </w:rPr>
        <w:t xml:space="preserve">招 标 文 件</w:t>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ind w:firstLine="1080"/>
        <w:rPr>
          <w:rFonts w:hint="eastAsia" w:ascii="宋体" w:hAnsi="宋体" w:eastAsia="宋体" w:cs="宋体"/>
          <w:bCs/>
          <w:color w:val="auto"/>
          <w:sz w:val="30"/>
          <w:szCs w:val="30"/>
          <w:highlight w:val="none"/>
          <w:lang w:eastAsia="zh-CN"/>
        </w:rPr>
      </w:pPr>
      <w:r>
        <w:rPr>
          <w:rFonts w:hint="eastAsia" w:ascii="宋体" w:hAnsi="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JSZC-320902-YDCW-G2026-0003</w:t>
      </w:r>
      <w:r/>
    </w:p>
    <w:p>
      <w:pPr>
        <w:jc w:val="center"/>
        <w:spacing w:line="300" w:lineRule="auto"/>
        <w:rPr>
          <w:rFonts w:hint="eastAsia" w:ascii="宋体" w:hAnsi="宋体" w:cs="宋体"/>
          <w:bCs/>
          <w:color w:val="auto"/>
          <w:highlight w:val="none"/>
        </w:rPr>
      </w:pPr>
      <w:r>
        <w:rPr>
          <w:rFonts w:hint="eastAsia" w:ascii="宋体" w:hAnsi="宋体" w:cs="宋体"/>
          <w:bCs/>
          <w:color w:val="auto"/>
          <w:highlight w:val="none"/>
        </w:rPr>
      </w:r>
      <w:r/>
    </w:p>
    <w:p>
      <w:pPr>
        <w:ind w:firstLine="1080"/>
        <w:spacing w:line="480" w:lineRule="auto"/>
        <w:rPr>
          <w:rFonts w:hint="eastAsia" w:ascii="宋体" w:hAnsi="宋体" w:cs="宋体"/>
          <w:bCs/>
          <w:color w:val="auto"/>
          <w:sz w:val="36"/>
          <w:highlight w:val="none"/>
        </w:rPr>
      </w:pPr>
      <w:r>
        <w:rPr>
          <w:rFonts w:hint="eastAsia" w:ascii="宋体" w:hAnsi="宋体" w:cs="宋体"/>
          <w:bCs/>
          <w:color w:val="auto"/>
          <w:sz w:val="36"/>
          <w:highlight w:val="none"/>
        </w:rPr>
        <w:t xml:space="preserve">项目名称：</w:t>
      </w:r>
      <w:bookmarkStart w:id="0" w:name="OLE_LINK17"/>
      <w:r>
        <w:rPr>
          <w:rFonts w:hint="eastAsia" w:ascii="宋体" w:hAnsi="宋体" w:cs="宋体"/>
          <w:bCs/>
          <w:color w:val="auto"/>
          <w:sz w:val="36"/>
          <w:highlight w:val="none"/>
        </w:rPr>
        <w:t xml:space="preserve">亭湖区7座中型闸站运行管护项目</w:t>
      </w:r>
      <w:bookmarkEnd w:id="0"/>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color w:val="auto"/>
          <w:spacing w:val="15"/>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6"/>
          <w:highlight w:val="none"/>
        </w:rPr>
        <w:t xml:space="preserve">采购单位：</w:t>
      </w:r>
      <w:r>
        <w:rPr>
          <w:rFonts w:hint="eastAsia" w:ascii="宋体" w:hAnsi="宋体" w:cs="宋体"/>
          <w:color w:val="auto"/>
          <w:spacing w:val="15"/>
          <w:sz w:val="36"/>
          <w:highlight w:val="none"/>
        </w:rPr>
        <w:t xml:space="preserve">盐城市亭湖区水利局</w:t>
      </w:r>
      <w:r/>
    </w:p>
    <w:p>
      <w:pPr>
        <w:spacing w:after="12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spacing w:after="120"/>
        <w:rPr>
          <w:rFonts w:hint="eastAsia" w:ascii="宋体" w:hAnsi="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6"/>
          <w:highlight w:val="none"/>
        </w:rPr>
        <w:t xml:space="preserve">2026年4月</w:t>
      </w:r>
      <w:r>
        <w:rPr>
          <w:rFonts w:hint="eastAsia" w:ascii="宋体" w:hAnsi="宋体" w:cs="宋体"/>
          <w:b/>
          <w:color w:val="auto"/>
          <w:sz w:val="44"/>
          <w:highlight w:val="none"/>
        </w:rPr>
        <w:br w:type="page" w:clear="all"/>
      </w:r>
      <w:r/>
    </w:p>
    <w:p>
      <w:pPr>
        <w:jc w:val="center"/>
        <w:rPr>
          <w:rFonts w:hint="eastAsia" w:ascii="宋体" w:hAnsi="宋体" w:cs="宋体"/>
          <w:b/>
          <w:color w:val="auto"/>
          <w:sz w:val="44"/>
          <w:highlight w:val="none"/>
        </w:rPr>
      </w:pPr>
      <w:r>
        <w:rPr>
          <w:rFonts w:hint="eastAsia" w:ascii="宋体" w:hAnsi="宋体" w:cs="宋体"/>
          <w:b/>
          <w:color w:val="auto"/>
          <w:sz w:val="44"/>
          <w:highlight w:val="none"/>
        </w:rPr>
        <w:t xml:space="preserve">总  目  录</w:t>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第一章  招标公告………………………………3</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第二章  投标人须知</w:t>
      </w:r>
      <w:r>
        <w:rPr>
          <w:rFonts w:hint="eastAsia" w:ascii="宋体" w:hAnsi="宋体" w:cs="宋体"/>
          <w:color w:val="auto"/>
          <w:sz w:val="36"/>
          <w:szCs w:val="36"/>
          <w:highlight w:val="none"/>
        </w:rPr>
        <w:t xml:space="preserve">…</w:t>
      </w:r>
      <w:r>
        <w:rPr>
          <w:rFonts w:hint="eastAsia" w:ascii="宋体" w:hAnsi="宋体" w:cs="宋体"/>
          <w:color w:val="auto"/>
          <w:sz w:val="36"/>
          <w:highlight w:val="none"/>
        </w:rPr>
        <w:t xml:space="preserve">…………………………6</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第三章  合同文本………………………</w:t>
      </w:r>
      <w:bookmarkStart w:id="1" w:name="OLE_LINK16"/>
      <w:r>
        <w:rPr>
          <w:rFonts w:hint="eastAsia" w:ascii="宋体" w:hAnsi="宋体" w:cs="宋体"/>
          <w:color w:val="auto"/>
          <w:sz w:val="36"/>
          <w:highlight w:val="none"/>
        </w:rPr>
        <w:t xml:space="preserve">……</w:t>
      </w:r>
      <w:bookmarkEnd w:id="1"/>
      <w:r>
        <w:rPr>
          <w:rFonts w:hint="eastAsia" w:ascii="宋体" w:hAnsi="宋体" w:cs="宋体"/>
          <w:color w:val="auto"/>
          <w:sz w:val="36"/>
          <w:highlight w:val="none"/>
        </w:rPr>
        <w:t xml:space="preserve">…18</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第四章  采购需求………………………………2</w:t>
      </w:r>
      <w:r>
        <w:rPr>
          <w:rFonts w:ascii="宋体" w:hAnsi="宋体" w:cs="宋体"/>
          <w:color w:val="auto"/>
          <w:sz w:val="36"/>
          <w:highlight w:val="none"/>
        </w:rPr>
        <w:t xml:space="preserve">7</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第五章  评标方法与评标标准…………………</w:t>
      </w:r>
      <w:r>
        <w:rPr>
          <w:rFonts w:ascii="宋体" w:hAnsi="宋体" w:cs="宋体"/>
          <w:color w:val="auto"/>
          <w:sz w:val="36"/>
          <w:highlight w:val="none"/>
        </w:rPr>
        <w:t xml:space="preserve">39</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第六章  投标文件格式…………………………4</w:t>
      </w:r>
      <w:r>
        <w:rPr>
          <w:rFonts w:ascii="宋体" w:hAnsi="宋体" w:cs="宋体"/>
          <w:color w:val="auto"/>
          <w:sz w:val="36"/>
          <w:highlight w:val="none"/>
        </w:rPr>
        <w:t xml:space="preserve">4</w:t>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tabs>
          <w:tab w:val="left" w:pos="5057" w:leader="none"/>
        </w:tabs>
        <w:rPr>
          <w:rFonts w:hint="eastAsia" w:ascii="宋体" w:hAnsi="宋体" w:cs="宋体"/>
          <w:color w:val="auto"/>
          <w:sz w:val="36"/>
          <w:highlight w:val="none"/>
        </w:rPr>
        <w:outlineLvl w:val="0"/>
      </w:pPr>
      <w:r>
        <w:rPr>
          <w:rFonts w:hint="eastAsia" w:ascii="宋体" w:hAnsi="宋体" w:cs="宋体"/>
          <w:color w:val="auto"/>
          <w:sz w:val="36"/>
          <w:highlight w:val="none"/>
        </w:rPr>
        <w:tab/>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spacing w:line="700" w:lineRule="exact"/>
        <w:rPr>
          <w:rFonts w:hint="eastAsia" w:ascii="宋体" w:hAnsi="宋体" w:cs="宋体"/>
          <w:color w:val="auto"/>
          <w:highlight w:val="none"/>
        </w:rPr>
        <w:outlineLvl w:val="0"/>
      </w:pPr>
      <w:r>
        <w:rPr>
          <w:rFonts w:hint="eastAsia" w:ascii="宋体" w:hAnsi="宋体" w:cs="宋体"/>
          <w:color w:val="auto"/>
          <w:highlight w:val="none"/>
        </w:rPr>
      </w:r>
      <w:r/>
    </w:p>
    <w:p>
      <w:pPr>
        <w:jc w:val="center"/>
        <w:spacing w:line="700" w:lineRule="exact"/>
        <w:rPr>
          <w:rFonts w:hint="eastAsia" w:ascii="宋体" w:hAnsi="宋体" w:cs="宋体"/>
          <w:color w:val="auto"/>
          <w:sz w:val="30"/>
          <w:szCs w:val="30"/>
          <w:highlight w:val="none"/>
        </w:rPr>
        <w:outlineLvl w:val="0"/>
      </w:pPr>
      <w:r>
        <w:rPr>
          <w:rFonts w:hint="eastAsia" w:ascii="宋体" w:hAnsi="宋体" w:cs="宋体"/>
          <w:color w:val="auto"/>
          <w:sz w:val="44"/>
          <w:szCs w:val="44"/>
          <w:highlight w:val="none"/>
        </w:rPr>
        <w:t xml:space="preserve">第一章  招标公告</w:t>
      </w:r>
      <w:r/>
    </w:p>
    <w:tbl>
      <w:tblPr>
        <w:tblStyle w:val="714"/>
        <w:tblW w:w="913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9"/>
      </w:tblGrid>
      <w:tr>
        <w:trPr>
          <w:trHeight w:val="1436"/>
        </w:trPr>
        <w:tc>
          <w:tcPr>
            <w:tcW w:w="9139" w:type="dxa"/>
            <w:textDirection w:val="lrTb"/>
            <w:noWrap w:val="false"/>
          </w:tcPr>
          <w:p>
            <w:pPr>
              <w:pStyle w:val="897"/>
              <w:ind w:firstLine="0"/>
              <w:jc w:val="both"/>
              <w:spacing w:before="0" w:after="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项目概况</w:t>
            </w:r>
            <w:r/>
          </w:p>
          <w:p>
            <w:pPr>
              <w:pStyle w:val="897"/>
              <w:ind w:firstLine="420"/>
              <w:jc w:val="both"/>
              <w:spacing w:before="0" w:after="0"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亭湖区7座中型闸站运行管护项目的潜在投标人可在“苏采云”系统内免费下载（投标人必须在苏采云系统中获取采购文件，方能参与政府采购项目），并于</w:t>
            </w:r>
            <w:r>
              <w:rPr>
                <w:rFonts w:hint="eastAsia" w:ascii="宋体" w:hAnsi="宋体" w:cs="宋体"/>
                <w:color w:val="auto"/>
                <w:sz w:val="21"/>
                <w:szCs w:val="21"/>
                <w:highlight w:val="none"/>
                <w:u w:val="single"/>
              </w:rPr>
              <w:t xml:space="preserve">2026年05月19日09点00分</w:t>
            </w:r>
            <w:r>
              <w:rPr>
                <w:rFonts w:hint="eastAsia" w:ascii="宋体" w:hAnsi="宋体" w:cs="宋体"/>
                <w:color w:val="auto"/>
                <w:sz w:val="21"/>
                <w:szCs w:val="21"/>
                <w:highlight w:val="none"/>
              </w:rPr>
              <w:t xml:space="preserve">（北京时间）前递交投标文件。</w:t>
            </w:r>
            <w:r/>
          </w:p>
        </w:tc>
      </w:tr>
    </w:tbl>
    <w:p>
      <w:pPr>
        <w:ind w:firstLine="422"/>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ind w:firstLine="420"/>
        <w:spacing w:line="400" w:lineRule="atLeast"/>
        <w:tabs>
          <w:tab w:val="left" w:pos="9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JSZC-320902-YDCW-G2026-0003</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项目名称：亭湖区7座中型闸站运行管护项目</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采购方式：公开招标</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bookmarkStart w:id="2" w:name="OLE_LINK70"/>
      <w:r>
        <w:rPr>
          <w:rFonts w:hint="eastAsia" w:ascii="宋体" w:hAnsi="宋体" w:cs="宋体"/>
          <w:color w:val="auto"/>
          <w:sz w:val="21"/>
          <w:szCs w:val="21"/>
          <w:highlight w:val="none"/>
        </w:rPr>
        <w:t xml:space="preserve">210.0000万元</w:t>
      </w:r>
      <w:bookmarkEnd w:id="2"/>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最高限价（如有）：210.00万元，投标报价高于最高限价的，视为无效标书。</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采购需求：</w:t>
      </w:r>
      <w:bookmarkStart w:id="3" w:name="OLE_LINK73"/>
      <w:r>
        <w:rPr>
          <w:rFonts w:hint="eastAsia" w:ascii="宋体" w:hAnsi="宋体" w:cs="宋体"/>
          <w:color w:val="auto"/>
          <w:sz w:val="21"/>
          <w:szCs w:val="21"/>
          <w:highlight w:val="none"/>
          <w:lang w:val="zh-CN"/>
        </w:rPr>
        <w:t xml:space="preserve">全面负责串场河三英闸站、串场河新兴闸站、永新河南闸站、中岗河南闸站、永丰渠西闸站、龙灶河闸站、青墩中心河南闸站的安全运行，</w:t>
      </w:r>
      <w:r>
        <w:rPr>
          <w:rFonts w:hint="eastAsia" w:ascii="宋体" w:hAnsi="宋体" w:cs="宋体"/>
          <w:color w:val="auto"/>
          <w:sz w:val="21"/>
          <w:szCs w:val="21"/>
          <w:highlight w:val="none"/>
        </w:rPr>
        <w:t xml:space="preserve">严格</w:t>
      </w:r>
      <w:r>
        <w:rPr>
          <w:rFonts w:hint="eastAsia" w:ascii="宋体" w:hAnsi="宋体" w:cs="宋体"/>
          <w:color w:val="auto"/>
          <w:sz w:val="21"/>
          <w:szCs w:val="21"/>
          <w:highlight w:val="none"/>
          <w:lang w:val="zh-CN"/>
        </w:rPr>
        <w:t xml:space="preserve">执行亭湖区防指</w:t>
      </w:r>
      <w:r>
        <w:rPr>
          <w:rFonts w:hint="eastAsia" w:ascii="宋体" w:hAnsi="宋体" w:cs="宋体"/>
          <w:color w:val="auto"/>
          <w:sz w:val="21"/>
          <w:szCs w:val="21"/>
          <w:highlight w:val="none"/>
        </w:rPr>
        <w:t xml:space="preserve">办</w:t>
      </w:r>
      <w:r>
        <w:rPr>
          <w:rFonts w:hint="eastAsia" w:ascii="宋体" w:hAnsi="宋体" w:cs="宋体"/>
          <w:color w:val="auto"/>
          <w:sz w:val="21"/>
          <w:szCs w:val="21"/>
          <w:highlight w:val="none"/>
          <w:lang w:val="zh-CN"/>
        </w:rPr>
        <w:t xml:space="preserve">下达的工程运行调度指令，负责闸站的日常维修养护工作，闸站设施及相关附属设备的保洁。负责</w:t>
      </w:r>
      <w:r>
        <w:rPr>
          <w:rFonts w:hint="eastAsia" w:ascii="宋体" w:hAnsi="宋体" w:cs="宋体"/>
          <w:color w:val="auto"/>
          <w:sz w:val="21"/>
          <w:szCs w:val="21"/>
          <w:highlight w:val="none"/>
        </w:rPr>
        <w:t xml:space="preserve">闸</w:t>
      </w:r>
      <w:r>
        <w:rPr>
          <w:rFonts w:hint="eastAsia" w:ascii="宋体" w:hAnsi="宋体" w:cs="宋体"/>
          <w:color w:val="auto"/>
          <w:sz w:val="21"/>
          <w:szCs w:val="21"/>
          <w:highlight w:val="none"/>
          <w:lang w:val="zh-CN"/>
        </w:rPr>
        <w:t xml:space="preserve">站工程运行管理、工程设备</w:t>
      </w:r>
      <w:r>
        <w:rPr>
          <w:rFonts w:hint="eastAsia" w:ascii="宋体" w:hAnsi="宋体" w:cs="宋体"/>
          <w:color w:val="auto"/>
          <w:sz w:val="21"/>
          <w:szCs w:val="21"/>
          <w:highlight w:val="none"/>
        </w:rPr>
        <w:t xml:space="preserve">设施</w:t>
      </w:r>
      <w:r>
        <w:rPr>
          <w:rFonts w:hint="eastAsia" w:ascii="宋体" w:hAnsi="宋体" w:cs="宋体"/>
          <w:color w:val="auto"/>
          <w:sz w:val="21"/>
          <w:szCs w:val="21"/>
          <w:highlight w:val="none"/>
          <w:lang w:val="zh-CN"/>
        </w:rPr>
        <w:t xml:space="preserve">管理、建（构）筑物管理、安全管理、档案管理等。</w:t>
      </w:r>
      <w:r>
        <w:rPr>
          <w:rFonts w:hint="eastAsia" w:ascii="宋体" w:hAnsi="宋体" w:cs="宋体"/>
          <w:color w:val="auto"/>
          <w:sz w:val="21"/>
          <w:szCs w:val="21"/>
          <w:highlight w:val="none"/>
        </w:rPr>
        <w:t xml:space="preserve">详见采购文件第四章采购需求。</w:t>
      </w:r>
      <w:bookmarkEnd w:id="3"/>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合同履行期限：一年</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本项目（是/否）接受联合体投标：否</w:t>
      </w:r>
      <w:r/>
    </w:p>
    <w:p>
      <w:pPr>
        <w:ind w:firstLine="422"/>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1.1法人或者其他组织的营业执照等证明文件或自然人的身份证明；</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1.2上一年度的财务状况报告（成立不满一年无需提供）；</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1.3具备履行合同所必需的设备和专业技术能力的书面声明；</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1.5参加政府采购活动前3年内在经营活动中没有重大违法记录的书面声明。</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1.6法律、行政法规规定的其他条件。</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1.8单位负责人为同一人或者存在直接控股、管理关系的不同供应商，不得参加同一合同项下的政府采购活动。</w:t>
      </w:r>
      <w:r/>
    </w:p>
    <w:p>
      <w:pPr>
        <w:ind w:firstLine="420"/>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2.落实政府采购政策需满足的资格要求：无</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3.本项目的特定资格要求：无</w:t>
      </w:r>
      <w:r/>
    </w:p>
    <w:p>
      <w:pPr>
        <w:ind w:firstLine="422"/>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1.时间：自招标文件公告发布之日起5个工作日</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2.地点：“苏采云”系统内免费下载（投标人必须在苏采云系统中获取采购文件，方能参与政府采购项目。）</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3.方式：本项目采用网上注册登记方式</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4.售价：0元</w:t>
      </w:r>
      <w:r/>
    </w:p>
    <w:p>
      <w:pPr>
        <w:ind w:firstLine="420"/>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四、提交投标文件截止时间、开标时间和地点</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rPr>
        <w:t xml:space="preserve">05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rPr>
        <w:t xml:space="preserve">（北京时间）</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w:t>
      </w:r>
      <w:bookmarkStart w:id="4" w:name="_Toc35393625"/>
      <w:r/>
      <w:bookmarkStart w:id="5" w:name="_Toc38985267"/>
      <w:r/>
      <w:bookmarkStart w:id="6" w:name="_Toc28359084"/>
      <w:r/>
      <w:bookmarkStart w:id="7" w:name="_Toc28359007"/>
      <w:r/>
      <w:bookmarkStart w:id="8" w:name="_Toc35393794"/>
      <w:r>
        <w:rPr>
          <w:rFonts w:hint="eastAsia" w:ascii="宋体" w:hAnsi="宋体" w:cs="宋体"/>
          <w:color w:val="auto"/>
          <w:sz w:val="21"/>
          <w:szCs w:val="21"/>
          <w:highlight w:val="none"/>
        </w:rPr>
        <w:t xml:space="preserve">苏采云“不见面”开标大厅</w:t>
      </w:r>
      <w:r/>
    </w:p>
    <w:p>
      <w:pPr>
        <w:ind w:firstLine="422"/>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五、公告期限</w:t>
      </w:r>
      <w:bookmarkEnd w:id="4"/>
      <w:r/>
      <w:bookmarkEnd w:id="5"/>
      <w:r/>
      <w:bookmarkEnd w:id="6"/>
      <w:r/>
      <w:bookmarkEnd w:id="7"/>
      <w:r/>
      <w:bookmarkEnd w:id="8"/>
      <w:r/>
      <w:r/>
    </w:p>
    <w:p>
      <w:pPr>
        <w:ind w:firstLine="420"/>
        <w:spacing w:line="400" w:lineRule="atLeast"/>
        <w:tabs>
          <w:tab w:val="left" w:pos="900" w:leader="none"/>
        </w:tabs>
        <w:rPr>
          <w:rFonts w:hint="eastAsia" w:ascii="宋体" w:hAnsi="宋体" w:cs="宋体"/>
          <w:color w:val="auto"/>
          <w:sz w:val="21"/>
          <w:szCs w:val="21"/>
          <w:highlight w:val="none"/>
        </w:rPr>
      </w:pPr>
      <w:r/>
      <w:bookmarkStart w:id="9" w:name="_Toc38985268"/>
      <w:r/>
      <w:bookmarkStart w:id="10" w:name="_Toc35393795"/>
      <w:r/>
      <w:bookmarkStart w:id="11" w:name="_Toc35393626"/>
      <w:r>
        <w:rPr>
          <w:rFonts w:hint="eastAsia" w:ascii="宋体" w:hAnsi="宋体" w:cs="宋体"/>
          <w:color w:val="auto"/>
          <w:sz w:val="21"/>
          <w:szCs w:val="21"/>
          <w:highlight w:val="none"/>
        </w:rPr>
        <w:t xml:space="preserve">自本公告发布之日起5个工作日</w:t>
      </w:r>
      <w:bookmarkEnd w:id="9"/>
      <w:r/>
      <w:bookmarkEnd w:id="10"/>
      <w:r/>
      <w:bookmarkEnd w:id="11"/>
      <w:r/>
      <w:r/>
    </w:p>
    <w:p>
      <w:pPr>
        <w:ind w:firstLine="422"/>
        <w:spacing w:line="400" w:lineRule="atLeast"/>
        <w:tabs>
          <w:tab w:val="left" w:pos="9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领取CA和办理电子签章</w:t>
      </w:r>
      <w:bookmarkStart w:id="12" w:name="OLE_LINK77"/>
      <w:r>
        <w:rPr>
          <w:rFonts w:hint="eastAsia" w:ascii="宋体" w:hAnsi="宋体" w:cs="宋体"/>
          <w:color w:val="auto"/>
          <w:sz w:val="21"/>
          <w:szCs w:val="21"/>
          <w:highlight w:val="none"/>
        </w:rPr>
        <w:t xml:space="preserve">（请至盐城市府西路1号盐城市公共资源交易中心四楼大厅10号，11号窗口</w:t>
      </w:r>
      <w:r>
        <w:rPr>
          <w:rFonts w:hint="eastAsia" w:ascii="宋体" w:hAnsi="宋体" w:cs="宋体"/>
          <w:color w:val="auto"/>
          <w:sz w:val="24"/>
          <w:szCs w:val="24"/>
          <w:highlight w:val="none"/>
        </w:rPr>
        <w:t xml:space="preserve">办理</w:t>
      </w:r>
      <w:bookmarkEnd w:id="12"/>
      <w:r>
        <w:rPr>
          <w:rFonts w:hint="eastAsia" w:ascii="宋体" w:hAnsi="宋体" w:cs="宋体"/>
          <w:color w:val="auto"/>
          <w:sz w:val="21"/>
          <w:szCs w:val="21"/>
          <w:highlight w:val="non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潜在供应商访问电子招标响应交易平台的网络地址和方法： </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 潜在投标人访问“苏采云”系统方法：江苏省政府采购网首页-“苏采云”链接。 </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 采购文件（后缀名为“.kedt”）、供应商操作手册及政府采购客户端工具可通过“苏采云”系统相应链接进行下载。 </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 采购代理机构将数据电文形式的采购文件加载至“苏采云”系统，供潜在供应商下载或者查阅。 </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 请潜在投标单位提前安装相应的控件（详见《“苏采云”系统供应商操作手册》）并使用谷歌浏览器登录“苏采云”系统参与不见面开评标。</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如潜在投标人未按上述要求操作，将自行承担所产生的风险。</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3.有关本次招标的事项若存在变动或修改，敬请及时关注在“中国政府采购网”“江苏政府采购网”“盐城市政府采购网”发布的更正公告。</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4.本次招标不收取投标保证金，不收取质量保证金。</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七、对本次招标提出询问，请按以下方式联系</w:t>
      </w:r>
      <w:r/>
    </w:p>
    <w:p>
      <w:pPr>
        <w:ind w:firstLine="422"/>
        <w:spacing w:line="400" w:lineRule="atLeast"/>
        <w:tabs>
          <w:tab w:val="left" w:pos="900" w:leader="none"/>
        </w:tabs>
        <w:rPr>
          <w:rFonts w:hint="eastAsia" w:ascii="宋体" w:hAnsi="宋体" w:cs="宋体"/>
          <w:color w:val="auto"/>
          <w:sz w:val="21"/>
          <w:szCs w:val="21"/>
          <w:highlight w:val="none"/>
        </w:rPr>
      </w:pPr>
      <w:r/>
      <w:bookmarkStart w:id="13" w:name="_Toc35393637"/>
      <w:r/>
      <w:bookmarkStart w:id="14" w:name="_Toc28359019"/>
      <w:r/>
      <w:bookmarkStart w:id="15" w:name="_Toc35393806"/>
      <w:r/>
      <w:bookmarkStart w:id="16" w:name="_Toc28359096"/>
      <w:r>
        <w:rPr>
          <w:rFonts w:hint="eastAsia" w:ascii="宋体" w:hAnsi="宋体" w:cs="宋体"/>
          <w:color w:val="auto"/>
          <w:sz w:val="21"/>
          <w:szCs w:val="21"/>
          <w:highlight w:val="none"/>
        </w:rPr>
        <w:t xml:space="preserve">1.采购人信息</w:t>
      </w:r>
      <w:bookmarkEnd w:id="13"/>
      <w:r/>
      <w:bookmarkEnd w:id="14"/>
      <w:r/>
      <w:bookmarkEnd w:id="15"/>
      <w:r/>
      <w:bookmarkEnd w:id="16"/>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称：盐城市亭湖区水利局</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址：盐城市亭湖区希望大道59号</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 系 人：梁先生</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联系方式：13770116777</w:t>
      </w:r>
      <w:r/>
    </w:p>
    <w:p>
      <w:pPr>
        <w:ind w:firstLine="422"/>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称：盐城市畅为企业管理服务有限公司</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址：盐城市西环路293号瞰都公馆10幢15楼东</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 系 人：李先生</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联系方式：0515-88321829、17834761557</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项目联系人：李先生</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话：0515-88321829、17834761557</w:t>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atLeast"/>
        <w:tabs>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rFonts w:hint="eastAsia" w:ascii="宋体" w:hAnsi="宋体" w:cs="宋体"/>
          <w:color w:val="auto"/>
          <w:sz w:val="44"/>
          <w:szCs w:val="44"/>
          <w:highlight w:val="none"/>
        </w:rP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第二章  投标人须知</w:t>
      </w:r>
      <w:r/>
    </w:p>
    <w:p>
      <w:pPr>
        <w:ind w:firstLine="422"/>
        <w:spacing w:line="400" w:lineRule="exact"/>
        <w:rPr>
          <w:rFonts w:hint="eastAsia" w:ascii="宋体" w:hAnsi="宋体" w:cs="宋体"/>
          <w:b/>
          <w:color w:val="auto"/>
          <w:sz w:val="21"/>
          <w:szCs w:val="21"/>
          <w:highlight w:val="none"/>
        </w:rPr>
      </w:pPr>
      <w:r/>
      <w:bookmarkStart w:id="17" w:name="_Toc120614214"/>
      <w:r/>
      <w:bookmarkStart w:id="18" w:name="_Toc513029203"/>
      <w:r/>
      <w:bookmarkStart w:id="19" w:name="_Toc16938519"/>
      <w:r/>
      <w:bookmarkStart w:id="20" w:name="_Toc20823275"/>
      <w:r>
        <w:rPr>
          <w:rFonts w:hint="eastAsia" w:ascii="宋体" w:hAnsi="宋体" w:cs="宋体"/>
          <w:b/>
          <w:color w:val="auto"/>
          <w:sz w:val="21"/>
          <w:szCs w:val="21"/>
          <w:highlight w:val="none"/>
        </w:rPr>
        <w:t xml:space="preserve">一、总则</w:t>
      </w:r>
      <w:bookmarkEnd w:id="17"/>
      <w:r/>
      <w:bookmarkEnd w:id="18"/>
      <w:r/>
      <w:bookmarkEnd w:id="19"/>
      <w:r/>
      <w:bookmarkEnd w:id="20"/>
      <w:r/>
      <w:r/>
    </w:p>
    <w:p>
      <w:pPr>
        <w:ind w:firstLine="420"/>
        <w:spacing w:line="400" w:lineRule="exact"/>
        <w:rPr>
          <w:rFonts w:hint="eastAsia" w:ascii="宋体" w:hAnsi="宋体" w:cs="宋体"/>
          <w:bCs/>
          <w:color w:val="auto"/>
          <w:sz w:val="21"/>
          <w:szCs w:val="21"/>
          <w:highlight w:val="none"/>
        </w:rPr>
      </w:pPr>
      <w:r/>
      <w:bookmarkStart w:id="21" w:name="_Hlt16619475"/>
      <w:r/>
      <w:bookmarkEnd w:id="21"/>
      <w:r>
        <w:rPr>
          <w:rFonts w:hint="eastAsia" w:ascii="宋体" w:hAnsi="宋体" w:cs="宋体"/>
          <w:bCs/>
          <w:color w:val="auto"/>
          <w:sz w:val="21"/>
          <w:szCs w:val="21"/>
          <w:highlight w:val="none"/>
        </w:rPr>
        <w:t xml:space="preserve">1、招标方式</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1.1本次招标采取公开招标方式，本招标文件仅适用于招标公告中所述项目。</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2、合格的投标人</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2.1满足招标公告中供应商的资格要求的规定。</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2.2满足本文件实质性要求和条件的规定。</w:t>
      </w:r>
      <w:r/>
    </w:p>
    <w:p>
      <w:pPr>
        <w:numPr>
          <w:ilvl w:val="0"/>
          <w:numId w:val="1"/>
        </w:num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适用法律和标准</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3.2在本项目政府采购活动过程中，如果所执行的标准有更新的，按照最新标准执行。</w:t>
      </w:r>
      <w:r/>
    </w:p>
    <w:p>
      <w:pPr>
        <w:ind w:left="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4、投标费用</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4.1投标人应自行承担所有与参加投标有关的费用，无论投标过程中的做法和结果如何，采购人及采购代理机构在任何情况下均无义务和责任承担这些费用。</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4.2</w:t>
      </w:r>
      <w:bookmarkStart w:id="22" w:name="OLE_LINK29"/>
      <w:r>
        <w:rPr>
          <w:rFonts w:hint="eastAsia" w:ascii="宋体" w:hAnsi="宋体" w:cs="宋体"/>
          <w:bCs/>
          <w:color w:val="auto"/>
          <w:sz w:val="21"/>
          <w:szCs w:val="21"/>
          <w:highlight w:val="none"/>
        </w:rPr>
        <w:t xml:space="preserve">本项目招标代理费参照苏招协〔2022〕002号文执行，由采购人支付。</w:t>
      </w:r>
      <w:bookmarkEnd w:id="22"/>
      <w:r/>
      <w:r/>
    </w:p>
    <w:p>
      <w:pPr>
        <w:ind w:left="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5、招标文件的约束力</w:t>
      </w:r>
      <w:r/>
    </w:p>
    <w:p>
      <w:pPr>
        <w:ind w:firstLine="42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5.1 投标人一旦参加本项目采购活动，即被认为接受了本招标文件的规定和约束。</w:t>
      </w:r>
      <w:r/>
    </w:p>
    <w:p>
      <w:pPr>
        <w:ind w:firstLine="422"/>
        <w:spacing w:line="400" w:lineRule="exact"/>
        <w:rPr>
          <w:rFonts w:hint="eastAsia" w:ascii="宋体" w:hAnsi="宋体" w:cs="宋体"/>
          <w:b/>
          <w:bCs/>
          <w:color w:val="auto"/>
          <w:sz w:val="21"/>
          <w:szCs w:val="21"/>
          <w:highlight w:val="none"/>
        </w:rPr>
      </w:pPr>
      <w:r/>
      <w:bookmarkStart w:id="23" w:name="_Toc513029209"/>
      <w:r/>
      <w:bookmarkStart w:id="24" w:name="_Toc120614215"/>
      <w:r/>
      <w:bookmarkStart w:id="25" w:name="_Toc16938525"/>
      <w:r/>
      <w:bookmarkStart w:id="26" w:name="_Toc20823281"/>
      <w:r>
        <w:rPr>
          <w:rFonts w:hint="eastAsia" w:ascii="宋体" w:hAnsi="宋体" w:cs="宋体"/>
          <w:b/>
          <w:bCs/>
          <w:color w:val="auto"/>
          <w:sz w:val="21"/>
          <w:szCs w:val="21"/>
          <w:highlight w:val="none"/>
        </w:rPr>
        <w:t xml:space="preserve">二、招标文件</w:t>
      </w:r>
      <w:bookmarkEnd w:id="23"/>
      <w:r/>
      <w:bookmarkEnd w:id="24"/>
      <w:r/>
      <w:bookmarkEnd w:id="25"/>
      <w:r/>
      <w:bookmarkEnd w:id="26"/>
      <w:r/>
      <w:bookmarkStart w:id="27" w:name="_Toc513029210"/>
      <w:r/>
      <w:bookmarkStart w:id="28" w:name="_Toc20823282"/>
      <w:r/>
      <w:bookmarkStart w:id="29" w:name="_Toc16938526"/>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6、招标文件构成</w:t>
      </w:r>
      <w:bookmarkEnd w:id="27"/>
      <w:r/>
      <w:bookmarkEnd w:id="28"/>
      <w:r/>
      <w:bookmarkEnd w:id="29"/>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 招标文件由以下部分组成：</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(1)招标公告</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（2）投标人须知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（3）合同文本</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（4）采购需求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（5）评标方法与评标标准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（6）投标文件格式</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请仔细检查招标文件是否齐全，如有缺漏请立即与采购代理机构联系解决。</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hint="eastAsia" w:ascii="宋体" w:hAnsi="宋体" w:cs="宋体"/>
          <w:color w:val="auto"/>
          <w:sz w:val="21"/>
          <w:szCs w:val="21"/>
          <w:highlight w:val="none"/>
        </w:rPr>
      </w:pPr>
      <w:r/>
      <w:bookmarkStart w:id="30" w:name="_Toc513029211"/>
      <w:r/>
      <w:bookmarkStart w:id="31" w:name="_Toc16938527"/>
      <w:r/>
      <w:bookmarkStart w:id="32" w:name="_Toc462564070"/>
      <w:r/>
      <w:bookmarkStart w:id="33" w:name="_Toc20823283"/>
      <w:r>
        <w:rPr>
          <w:rFonts w:hint="eastAsia" w:ascii="宋体" w:hAnsi="宋体" w:cs="宋体"/>
          <w:color w:val="auto"/>
          <w:sz w:val="21"/>
          <w:szCs w:val="21"/>
          <w:highlight w:val="none"/>
        </w:rPr>
        <w:t xml:space="preserve">7、招标文件的澄清</w:t>
      </w:r>
      <w:bookmarkEnd w:id="30"/>
      <w:r/>
      <w:bookmarkEnd w:id="31"/>
      <w:r/>
      <w:bookmarkEnd w:id="32"/>
      <w:r/>
      <w:bookmarkEnd w:id="33"/>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7.1任何要求对招标文件进行澄清的投标人，应在投标截止期十日前按招标公告中的通讯地址，以书面形式通知采购</w:t>
      </w:r>
      <w:bookmarkStart w:id="34" w:name="OLE_LINK1"/>
      <w:r>
        <w:rPr>
          <w:rFonts w:hint="eastAsia" w:ascii="宋体" w:hAnsi="宋体" w:cs="宋体"/>
          <w:color w:val="auto"/>
          <w:sz w:val="21"/>
          <w:szCs w:val="21"/>
          <w:highlight w:val="none"/>
        </w:rPr>
        <w:t xml:space="preserve">代理机构</w:t>
      </w:r>
      <w:bookmarkEnd w:id="34"/>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bookmarkStart w:id="35" w:name="_Toc16938528"/>
      <w:r/>
      <w:bookmarkStart w:id="36" w:name="_Toc462564071"/>
      <w:r/>
      <w:bookmarkStart w:id="37" w:name="_Toc513029212"/>
      <w:r/>
      <w:bookmarkStart w:id="38" w:name="_Toc20823284"/>
      <w:r>
        <w:rPr>
          <w:rFonts w:hint="eastAsia" w:ascii="宋体" w:hAnsi="宋体" w:cs="宋体"/>
          <w:color w:val="auto"/>
          <w:sz w:val="21"/>
          <w:szCs w:val="21"/>
          <w:highlight w:val="none"/>
        </w:rPr>
        <w:t xml:space="preserve">8、招标文件的修改</w:t>
      </w:r>
      <w:bookmarkEnd w:id="35"/>
      <w:r/>
      <w:bookmarkEnd w:id="36"/>
      <w:r/>
      <w:bookmarkEnd w:id="37"/>
      <w:r/>
      <w:bookmarkEnd w:id="38"/>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8.1在投标截止时间前，采购人可以对招标文件进行修改。</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8.2采购人有权按照法定的要求推迟投标截止日期和开标日期。</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8.3招标文件的修改将在中国政府采购网、江苏政府采购网、盐城市政府采购网公布，补充文件将作为招标文件的组成部分，并对投标人具有约束力。</w:t>
      </w:r>
      <w:r/>
    </w:p>
    <w:p>
      <w:pPr>
        <w:ind w:firstLine="422"/>
        <w:spacing w:line="400" w:lineRule="exact"/>
        <w:rPr>
          <w:rFonts w:hint="eastAsia" w:ascii="宋体" w:hAnsi="宋体" w:cs="宋体"/>
          <w:b/>
          <w:bCs/>
          <w:color w:val="auto"/>
          <w:sz w:val="21"/>
          <w:szCs w:val="21"/>
          <w:highlight w:val="none"/>
        </w:rPr>
      </w:pPr>
      <w:r/>
      <w:bookmarkStart w:id="39" w:name="_Toc16938529"/>
      <w:r/>
      <w:bookmarkStart w:id="40" w:name="_Toc20823285"/>
      <w:r/>
      <w:bookmarkStart w:id="41" w:name="_Toc513029213"/>
      <w:r/>
      <w:bookmarkStart w:id="42" w:name="_Toc120614216"/>
      <w:r/>
      <w:bookmarkStart w:id="43" w:name="_Toc462564072"/>
      <w:r>
        <w:rPr>
          <w:rFonts w:hint="eastAsia" w:ascii="宋体" w:hAnsi="宋体" w:cs="宋体"/>
          <w:b/>
          <w:bCs/>
          <w:color w:val="auto"/>
          <w:sz w:val="21"/>
          <w:szCs w:val="21"/>
          <w:highlight w:val="none"/>
        </w:rPr>
        <w:t xml:space="preserve">三、投标文件的编制</w:t>
      </w:r>
      <w:bookmarkEnd w:id="39"/>
      <w:r/>
      <w:bookmarkEnd w:id="40"/>
      <w:r/>
      <w:bookmarkEnd w:id="41"/>
      <w:r/>
      <w:bookmarkEnd w:id="42"/>
      <w:r/>
      <w:bookmarkEnd w:id="43"/>
      <w:r/>
      <w:r/>
    </w:p>
    <w:p>
      <w:pPr>
        <w:ind w:firstLine="420"/>
        <w:spacing w:line="400" w:lineRule="exact"/>
        <w:rPr>
          <w:rFonts w:hint="eastAsia" w:ascii="宋体" w:hAnsi="宋体" w:cs="宋体"/>
          <w:color w:val="auto"/>
          <w:sz w:val="21"/>
          <w:szCs w:val="21"/>
          <w:highlight w:val="none"/>
        </w:rPr>
      </w:pPr>
      <w:r/>
      <w:bookmarkStart w:id="44" w:name="_Toc513029214"/>
      <w:r/>
      <w:bookmarkStart w:id="45" w:name="_Toc462564073"/>
      <w:r/>
      <w:bookmarkStart w:id="46" w:name="_Toc16938530"/>
      <w:r/>
      <w:bookmarkStart w:id="47" w:name="_Toc20823286"/>
      <w:r>
        <w:rPr>
          <w:rFonts w:hint="eastAsia" w:ascii="宋体" w:hAnsi="宋体" w:cs="宋体"/>
          <w:color w:val="auto"/>
          <w:sz w:val="21"/>
          <w:szCs w:val="21"/>
          <w:highlight w:val="none"/>
        </w:rPr>
        <w:t xml:space="preserve">9、投标文件的语言及度量衡单位</w:t>
      </w:r>
      <w:bookmarkEnd w:id="44"/>
      <w:r/>
      <w:bookmarkEnd w:id="45"/>
      <w:r/>
      <w:bookmarkEnd w:id="46"/>
      <w:r/>
      <w:bookmarkEnd w:id="47"/>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9.1投标人提交的投标文件以及投标人与采购代理机构就有关投标的所有来往通知、函件和文件均应使用</w:t>
      </w:r>
      <w:r>
        <w:rPr>
          <w:rFonts w:hint="eastAsia" w:ascii="宋体" w:hAnsi="宋体" w:cs="宋体"/>
          <w:b/>
          <w:bCs/>
          <w:color w:val="auto"/>
          <w:sz w:val="21"/>
          <w:szCs w:val="21"/>
          <w:highlight w:val="none"/>
        </w:rPr>
        <w:t xml:space="preserve">简体中文</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9.2除技术性能另有规定外，投标文件所使用的度量衡单位，均须采用国家法定计量单位。</w:t>
      </w:r>
      <w:r/>
    </w:p>
    <w:p>
      <w:pPr>
        <w:ind w:firstLine="420"/>
        <w:spacing w:line="400" w:lineRule="exact"/>
        <w:rPr>
          <w:rFonts w:hint="eastAsia" w:ascii="宋体" w:hAnsi="宋体" w:cs="宋体"/>
          <w:color w:val="auto"/>
          <w:sz w:val="21"/>
          <w:szCs w:val="21"/>
          <w:highlight w:val="none"/>
        </w:rPr>
      </w:pPr>
      <w:r/>
      <w:bookmarkStart w:id="48" w:name="_Toc513029215"/>
      <w:r/>
      <w:bookmarkStart w:id="49" w:name="_Toc462564074"/>
      <w:r/>
      <w:bookmarkStart w:id="50" w:name="_Toc16938531"/>
      <w:r/>
      <w:bookmarkStart w:id="51" w:name="_Toc20823287"/>
      <w:r>
        <w:rPr>
          <w:rFonts w:hint="eastAsia" w:ascii="宋体" w:hAnsi="宋体" w:cs="宋体"/>
          <w:color w:val="auto"/>
          <w:sz w:val="21"/>
          <w:szCs w:val="21"/>
          <w:highlight w:val="none"/>
        </w:rPr>
        <w:t xml:space="preserve">10、投标文件构成</w:t>
      </w:r>
      <w:bookmarkEnd w:id="48"/>
      <w:r/>
      <w:bookmarkEnd w:id="49"/>
      <w:r/>
      <w:bookmarkEnd w:id="50"/>
      <w:r/>
      <w:bookmarkEnd w:id="51"/>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cs="宋体"/>
          <w:color w:val="auto"/>
          <w:sz w:val="21"/>
          <w:szCs w:val="21"/>
          <w:highlight w:val="none"/>
        </w:rPr>
      </w:pPr>
      <w:r/>
      <w:bookmarkStart w:id="52" w:name="_Toc513029216"/>
      <w:r/>
      <w:bookmarkStart w:id="53" w:name="_Toc14577357"/>
      <w:r/>
      <w:bookmarkStart w:id="54" w:name="_Toc49090509"/>
      <w:r/>
      <w:bookmarkStart w:id="55" w:name="_Toc49090507"/>
      <w:r/>
      <w:bookmarkStart w:id="56" w:name="_Toc513029219"/>
      <w:r/>
      <w:bookmarkStart w:id="57" w:name="_Toc14577354"/>
      <w:r>
        <w:rPr>
          <w:rFonts w:hint="eastAsia" w:ascii="宋体" w:hAnsi="宋体" w:cs="宋体"/>
          <w:color w:val="auto"/>
          <w:sz w:val="21"/>
          <w:szCs w:val="21"/>
          <w:highlight w:val="none"/>
        </w:rPr>
        <w:t xml:space="preserve">11、证明投标人及投标标的符合招标文件规定的文件</w:t>
      </w:r>
      <w:bookmarkEnd w:id="52"/>
      <w:r/>
      <w:bookmarkEnd w:id="53"/>
      <w:r/>
      <w:bookmarkEnd w:id="54"/>
      <w:r/>
      <w:bookmarkEnd w:id="55"/>
      <w:r/>
      <w:bookmarkEnd w:id="56"/>
      <w:r/>
      <w:bookmarkEnd w:id="57"/>
      <w:r/>
      <w:r/>
    </w:p>
    <w:p>
      <w:pPr>
        <w:ind w:firstLine="420"/>
        <w:spacing w:line="400" w:lineRule="exact"/>
        <w:rPr>
          <w:rFonts w:hint="eastAsia" w:ascii="宋体" w:hAnsi="宋体" w:cs="宋体"/>
          <w:color w:val="auto"/>
          <w:sz w:val="21"/>
          <w:szCs w:val="21"/>
          <w:highlight w:val="none"/>
        </w:rPr>
      </w:pPr>
      <w:r/>
      <w:bookmarkStart w:id="58" w:name="_Toc49090508"/>
      <w:r/>
      <w:bookmarkStart w:id="59" w:name="_Toc14577355"/>
      <w:r>
        <w:rPr>
          <w:rFonts w:hint="eastAsia" w:ascii="宋体" w:hAnsi="宋体" w:cs="宋体"/>
          <w:color w:val="auto"/>
          <w:sz w:val="21"/>
          <w:szCs w:val="21"/>
          <w:highlight w:val="none"/>
        </w:rPr>
        <w:t xml:space="preserve">11.1投标人应按照法律、法规、规章和规范性文件以及招标文件要求提交证明文件，证明其及投标标的符合招标文件规定。</w:t>
      </w:r>
      <w:bookmarkEnd w:id="58"/>
      <w:r/>
      <w:bookmarkEnd w:id="59"/>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11.2招标文件对证明文件无明确形式要求的，证明文件可以以文字资料、图纸和数据等形式提交。</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12、投标分项报价表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12.1投标人应按照招标文件规定格式填报投标分项报价表。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12.2投标货币。投标文件中的单价和总价无特殊规定的采用人民币报价，以元为单位标注。招标文件中另有规定的按规定执行。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13、技术要求响应及偏离表、商务要求响应及偏离表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13.1投标人需对招标文件中的技术要求与商务要求逐项作出响应或偏离，并说明原因。</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13.2投标人可在投标文件中提供认为需要的其他技术文件或说明。</w:t>
      </w:r>
      <w:r/>
    </w:p>
    <w:p>
      <w:pPr>
        <w:ind w:firstLine="420"/>
        <w:spacing w:line="400" w:lineRule="exact"/>
        <w:rPr>
          <w:rFonts w:hint="eastAsia" w:ascii="宋体" w:hAnsi="宋体" w:cs="宋体"/>
          <w:color w:val="auto"/>
          <w:sz w:val="21"/>
          <w:szCs w:val="21"/>
          <w:highlight w:val="none"/>
        </w:rPr>
      </w:pPr>
      <w:r/>
      <w:bookmarkStart w:id="60" w:name="_Toc49090510"/>
      <w:r/>
      <w:bookmarkStart w:id="61" w:name="_Toc14577359"/>
      <w:r>
        <w:rPr>
          <w:rFonts w:hint="eastAsia" w:ascii="宋体" w:hAnsi="宋体" w:cs="宋体"/>
          <w:color w:val="auto"/>
          <w:sz w:val="21"/>
          <w:szCs w:val="21"/>
          <w:highlight w:val="none"/>
        </w:rPr>
        <w:t xml:space="preserve">14、投标函和开标一览表</w:t>
      </w:r>
      <w:bookmarkEnd w:id="60"/>
      <w:r/>
      <w:bookmarkEnd w:id="61"/>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14.1投标人应按照招标文件中提供的格式完整、正确填写投标函、开标一览表。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hint="eastAsia" w:ascii="宋体" w:hAnsi="宋体" w:cs="宋体"/>
          <w:color w:val="auto"/>
          <w:sz w:val="21"/>
          <w:szCs w:val="21"/>
          <w:highlight w:val="none"/>
        </w:rPr>
      </w:pPr>
      <w:r/>
      <w:bookmarkStart w:id="62" w:name="_Toc49090511"/>
      <w:r/>
      <w:bookmarkStart w:id="63" w:name="_Toc14577360"/>
      <w:r>
        <w:rPr>
          <w:rFonts w:hint="eastAsia" w:ascii="宋体" w:hAnsi="宋体" w:cs="宋体"/>
          <w:color w:val="auto"/>
          <w:sz w:val="21"/>
          <w:szCs w:val="21"/>
          <w:highlight w:val="none"/>
        </w:rPr>
        <w:t xml:space="preserve">15、投标有效期</w:t>
      </w:r>
      <w:bookmarkEnd w:id="62"/>
      <w:r/>
      <w:bookmarkEnd w:id="63"/>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15.1投标有效期为采购人规定的开标之日后</w:t>
      </w:r>
      <w:r>
        <w:rPr>
          <w:rFonts w:hint="eastAsia" w:ascii="宋体" w:hAnsi="宋体" w:cs="宋体"/>
          <w:b/>
          <w:bCs/>
          <w:color w:val="auto"/>
          <w:sz w:val="21"/>
          <w:szCs w:val="21"/>
          <w:highlight w:val="none"/>
          <w:u w:val="single"/>
        </w:rPr>
        <w:t xml:space="preserve">九十（90）天</w:t>
      </w:r>
      <w:r>
        <w:rPr>
          <w:rFonts w:hint="eastAsia" w:ascii="宋体" w:hAnsi="宋体" w:cs="宋体"/>
          <w:color w:val="auto"/>
          <w:sz w:val="21"/>
          <w:szCs w:val="21"/>
          <w:highlight w:val="none"/>
        </w:rPr>
        <w:t xml:space="preserve">。投标有效期比规定短的将被视为未实质性响应招标文件而予以拒绝。</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16、投标有效期的延长</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2"/>
        <w:spacing w:line="400" w:lineRule="exact"/>
        <w:rPr>
          <w:rFonts w:hint="eastAsia" w:ascii="宋体" w:hAnsi="宋体" w:cs="宋体"/>
          <w:b/>
          <w:bCs/>
          <w:color w:val="auto"/>
          <w:sz w:val="21"/>
          <w:szCs w:val="21"/>
          <w:highlight w:val="none"/>
        </w:rPr>
      </w:pPr>
      <w:r/>
      <w:bookmarkStart w:id="64" w:name="_Toc16938540"/>
      <w:r/>
      <w:bookmarkStart w:id="65" w:name="_Toc513029224"/>
      <w:r/>
      <w:bookmarkStart w:id="66" w:name="_Toc20823296"/>
      <w:r/>
      <w:bookmarkStart w:id="67" w:name="_Toc120614217"/>
      <w:r>
        <w:rPr>
          <w:rFonts w:hint="eastAsia" w:ascii="宋体" w:hAnsi="宋体" w:cs="宋体"/>
          <w:b/>
          <w:bCs/>
          <w:color w:val="auto"/>
          <w:sz w:val="21"/>
          <w:szCs w:val="21"/>
          <w:highlight w:val="none"/>
        </w:rPr>
        <w:t xml:space="preserve">四、投标文件的递交</w:t>
      </w:r>
      <w:bookmarkEnd w:id="64"/>
      <w:r/>
      <w:bookmarkEnd w:id="65"/>
      <w:r/>
      <w:bookmarkEnd w:id="66"/>
      <w:r/>
      <w:bookmarkEnd w:id="67"/>
      <w:r/>
      <w:r/>
    </w:p>
    <w:p>
      <w:pPr>
        <w:ind w:firstLine="420"/>
        <w:spacing w:line="400" w:lineRule="exact"/>
        <w:rPr>
          <w:rFonts w:hint="eastAsia" w:ascii="宋体" w:hAnsi="宋体" w:cs="宋体"/>
          <w:color w:val="auto"/>
          <w:sz w:val="21"/>
          <w:szCs w:val="21"/>
          <w:highlight w:val="none"/>
        </w:rPr>
      </w:pPr>
      <w:r/>
      <w:bookmarkStart w:id="68" w:name="_Toc16938541"/>
      <w:r/>
      <w:bookmarkStart w:id="69" w:name="_Toc513029225"/>
      <w:r/>
      <w:bookmarkStart w:id="70" w:name="_Toc462564084"/>
      <w:r/>
      <w:bookmarkStart w:id="71" w:name="_Toc20823297"/>
      <w:r>
        <w:rPr>
          <w:rFonts w:hint="eastAsia" w:ascii="宋体" w:hAnsi="宋体" w:cs="宋体"/>
          <w:color w:val="auto"/>
          <w:sz w:val="21"/>
          <w:szCs w:val="21"/>
          <w:highlight w:val="none"/>
        </w:rPr>
        <w:t xml:space="preserve">17、投标文件</w:t>
      </w:r>
      <w:bookmarkEnd w:id="68"/>
      <w:r/>
      <w:bookmarkEnd w:id="69"/>
      <w:r/>
      <w:bookmarkEnd w:id="70"/>
      <w:r/>
      <w:bookmarkEnd w:id="71"/>
      <w:r>
        <w:rPr>
          <w:rFonts w:hint="eastAsia" w:ascii="宋体" w:hAnsi="宋体" w:cs="宋体"/>
          <w:color w:val="auto"/>
          <w:sz w:val="21"/>
          <w:szCs w:val="21"/>
          <w:highlight w:val="none"/>
        </w:rPr>
        <w:t xml:space="preserve">的递交</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 电子投标文件的递交</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投标人应当按照《操作手册》规定，在投标截止时间前制作并上传电子投标文件。</w:t>
      </w:r>
      <w:bookmarkStart w:id="72" w:name="_Toc16938542"/>
      <w:r/>
      <w:bookmarkEnd w:id="72"/>
      <w:r/>
      <w:bookmarkStart w:id="73" w:name="_Toc20823298"/>
      <w:r/>
      <w:bookmarkEnd w:id="73"/>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18、投标截止时间</w:t>
      </w:r>
      <w:r/>
    </w:p>
    <w:p>
      <w:pPr>
        <w:ind w:firstLine="420"/>
        <w:spacing w:line="400" w:lineRule="exact"/>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18.1投标人上传电子投标文件的时间不得迟于招标公告中规定的投标截止时间。</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cs="宋体"/>
          <w:color w:val="auto"/>
          <w:sz w:val="21"/>
          <w:szCs w:val="21"/>
          <w:highlight w:val="none"/>
        </w:rPr>
      </w:pPr>
      <w:r/>
      <w:bookmarkStart w:id="74" w:name="_Toc16938543"/>
      <w:r/>
      <w:bookmarkStart w:id="75" w:name="_Toc513029227"/>
      <w:r/>
      <w:bookmarkStart w:id="76" w:name="_Toc20823299"/>
      <w:r>
        <w:rPr>
          <w:rFonts w:hint="eastAsia" w:ascii="宋体" w:hAnsi="宋体" w:cs="宋体"/>
          <w:color w:val="auto"/>
          <w:sz w:val="21"/>
          <w:szCs w:val="21"/>
          <w:highlight w:val="none"/>
        </w:rPr>
        <w:t xml:space="preserve">19、投标文件</w:t>
      </w:r>
      <w:bookmarkEnd w:id="74"/>
      <w:r/>
      <w:bookmarkEnd w:id="75"/>
      <w:r/>
      <w:bookmarkEnd w:id="76"/>
      <w:r>
        <w:rPr>
          <w:rFonts w:hint="eastAsia" w:ascii="宋体" w:hAnsi="宋体" w:cs="宋体"/>
          <w:color w:val="auto"/>
          <w:sz w:val="21"/>
          <w:szCs w:val="21"/>
          <w:highlight w:val="none"/>
        </w:rPr>
        <w:t xml:space="preserve">的拒收</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19.1采购人拒绝接收在其规定的投标截止时间后上传的任何投标文件。</w:t>
      </w:r>
      <w:r/>
    </w:p>
    <w:p>
      <w:pPr>
        <w:ind w:firstLine="420"/>
        <w:spacing w:line="400" w:lineRule="exact"/>
        <w:rPr>
          <w:rFonts w:hint="eastAsia" w:ascii="宋体" w:hAnsi="宋体" w:cs="宋体"/>
          <w:color w:val="auto"/>
          <w:sz w:val="21"/>
          <w:szCs w:val="21"/>
          <w:highlight w:val="none"/>
        </w:rPr>
      </w:pPr>
      <w:r/>
      <w:bookmarkStart w:id="77" w:name="_Toc16938544"/>
      <w:r/>
      <w:bookmarkStart w:id="78" w:name="_Toc513029228"/>
      <w:r/>
      <w:bookmarkStart w:id="79" w:name="_Toc20823300"/>
      <w:r>
        <w:rPr>
          <w:rFonts w:hint="eastAsia" w:ascii="宋体" w:hAnsi="宋体" w:cs="宋体"/>
          <w:color w:val="auto"/>
          <w:sz w:val="21"/>
          <w:szCs w:val="21"/>
          <w:highlight w:val="none"/>
        </w:rPr>
        <w:t xml:space="preserve">20、投标文件的撤回和修改</w:t>
      </w:r>
      <w:bookmarkEnd w:id="77"/>
      <w:r/>
      <w:bookmarkEnd w:id="78"/>
      <w:r/>
      <w:bookmarkEnd w:id="79"/>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20.1投标文件的撤回</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20.1.1电子投标文件的撤回</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投标人可在投标截止时间前，撤回其电子投标文件，具体操作方法见《操作手册》。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20.1.2投标人撤回电子投标文件，则认为其不再参与本项目投标活动。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 投标文件的修改</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20.2.1投标人可在投标截止时间前，对其电子投标文件进行修改，具体操作方法见《操作手册》。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20.2.2在投标截止时间之后，投标人不得对其电子投标文件作任何修改。</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20.3在投标截止时间至招标文件中规定的投标有效期满之间的这段时间内，投标人不得撤回其投标。</w:t>
      </w:r>
      <w:r/>
    </w:p>
    <w:p>
      <w:pPr>
        <w:ind w:firstLine="422"/>
        <w:spacing w:line="400" w:lineRule="exact"/>
        <w:rPr>
          <w:rFonts w:hint="eastAsia" w:ascii="宋体" w:hAnsi="宋体" w:cs="宋体"/>
          <w:b/>
          <w:bCs/>
          <w:color w:val="auto"/>
          <w:sz w:val="21"/>
          <w:szCs w:val="21"/>
          <w:highlight w:val="none"/>
        </w:rPr>
      </w:pPr>
      <w:r/>
      <w:bookmarkStart w:id="80" w:name="_Toc120614218"/>
      <w:r/>
      <w:bookmarkStart w:id="81" w:name="_Toc513029229"/>
      <w:r/>
      <w:bookmarkStart w:id="82" w:name="_Toc20823301"/>
      <w:r/>
      <w:bookmarkStart w:id="83" w:name="_Toc16938545"/>
      <w:r>
        <w:rPr>
          <w:rFonts w:hint="eastAsia" w:ascii="宋体" w:hAnsi="宋体" w:cs="宋体"/>
          <w:b/>
          <w:bCs/>
          <w:color w:val="auto"/>
          <w:sz w:val="21"/>
          <w:szCs w:val="21"/>
          <w:highlight w:val="none"/>
        </w:rPr>
        <w:t xml:space="preserve">五、开标与评标</w:t>
      </w:r>
      <w:bookmarkEnd w:id="80"/>
      <w:r/>
      <w:bookmarkEnd w:id="81"/>
      <w:r/>
      <w:bookmarkEnd w:id="82"/>
      <w:r/>
      <w:bookmarkEnd w:id="83"/>
      <w:r/>
      <w:r/>
    </w:p>
    <w:p>
      <w:pPr>
        <w:ind w:firstLine="420"/>
        <w:spacing w:line="400" w:lineRule="exact"/>
        <w:rPr>
          <w:rFonts w:hint="eastAsia" w:ascii="宋体" w:hAnsi="宋体" w:cs="宋体"/>
          <w:color w:val="auto"/>
          <w:sz w:val="21"/>
          <w:szCs w:val="21"/>
          <w:highlight w:val="none"/>
        </w:rPr>
      </w:pPr>
      <w:r/>
      <w:bookmarkStart w:id="84" w:name="_Toc513029230"/>
      <w:r/>
      <w:bookmarkStart w:id="85" w:name="_Toc16938546"/>
      <w:r/>
      <w:bookmarkStart w:id="86" w:name="_Toc20823302"/>
      <w:r>
        <w:rPr>
          <w:rFonts w:hint="eastAsia" w:ascii="宋体" w:hAnsi="宋体" w:cs="宋体"/>
          <w:color w:val="auto"/>
          <w:sz w:val="21"/>
          <w:szCs w:val="21"/>
          <w:highlight w:val="none"/>
        </w:rPr>
        <w:t xml:space="preserve">21、开标</w:t>
      </w:r>
      <w:bookmarkEnd w:id="84"/>
      <w:r/>
      <w:bookmarkEnd w:id="85"/>
      <w:r/>
      <w:bookmarkEnd w:id="86"/>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21.2开标仪式由采购代理机构组织。苏采云系统将自动对项目进行开标，并宣布各投标人名称和投标价格。</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21.3投标人在开标过程中涉及到的投标文件解密、开标结果确认等工作，应按照《操作手册》规定执行。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rPr>
          <w:rFonts w:hint="eastAsia" w:ascii="宋体" w:hAnsi="宋体" w:cs="宋体"/>
          <w:color w:val="auto"/>
          <w:sz w:val="21"/>
          <w:szCs w:val="21"/>
          <w:highlight w:val="none"/>
        </w:rPr>
      </w:pPr>
      <w:r/>
      <w:bookmarkStart w:id="87" w:name="_Toc16938547"/>
      <w:r/>
      <w:bookmarkStart w:id="88" w:name="_Toc20823303"/>
      <w:r/>
      <w:bookmarkStart w:id="89" w:name="_Toc513029231"/>
      <w:r>
        <w:rPr>
          <w:rFonts w:hint="eastAsia" w:ascii="宋体" w:hAnsi="宋体" w:cs="宋体"/>
          <w:color w:val="auto"/>
          <w:sz w:val="21"/>
          <w:szCs w:val="21"/>
          <w:highlight w:val="none"/>
        </w:rPr>
        <w:t xml:space="preserve">22、评标委员会</w:t>
      </w:r>
      <w:bookmarkEnd w:id="87"/>
      <w:r/>
      <w:bookmarkEnd w:id="88"/>
      <w:r/>
      <w:bookmarkEnd w:id="89"/>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22.1开标后，采购代理机构将立即组织评标委员会（以下简称评委会）进行评标。</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22.2评委会由采购人代表和有关技术、经济等方面的专家组成，且人员构成符合政府采购有关规定。</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22.3评委会独立工作，负责评审所有投标文件并确定中标候选人。</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23、评标过程的保密与公正</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23.1凡是与审查、澄清、评价和比较投标的有关资料以及授标建议等，采购人、评委、采购代理机构均不得向投标人或与评标无关的其他人员透露。</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23.2在评标过程中，投标人不得以任何行为影响评标过程，否则其投标文件将被作为无效投标文件。</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23.3采购人和评标委员会不向未中标的投标人解释未中标原因，也不公布评标过程中的相关细节。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20"/>
        <w:spacing w:line="400" w:lineRule="exact"/>
        <w:rPr>
          <w:rFonts w:hint="eastAsia" w:ascii="宋体" w:hAnsi="宋体" w:cs="宋体"/>
          <w:color w:val="auto"/>
          <w:sz w:val="21"/>
          <w:szCs w:val="21"/>
          <w:highlight w:val="none"/>
        </w:rPr>
      </w:pPr>
      <w:r/>
      <w:bookmarkStart w:id="90" w:name="_Toc20823304"/>
      <w:r/>
      <w:bookmarkStart w:id="91" w:name="_Toc513029232"/>
      <w:r/>
      <w:bookmarkStart w:id="92" w:name="_Toc16938548"/>
      <w:r>
        <w:rPr>
          <w:rFonts w:hint="eastAsia" w:ascii="宋体" w:hAnsi="宋体" w:cs="宋体"/>
          <w:color w:val="auto"/>
          <w:sz w:val="21"/>
          <w:szCs w:val="21"/>
          <w:highlight w:val="none"/>
        </w:rPr>
        <w:t xml:space="preserve">24、投标文件的澄清</w:t>
      </w:r>
      <w:bookmarkEnd w:id="90"/>
      <w:r/>
      <w:bookmarkEnd w:id="91"/>
      <w:r/>
      <w:bookmarkEnd w:id="92"/>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投标人的澄清、说明或者补正不得超出投标文件的范围或者改变投标文件的实质性内容。</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评标委员会并非对每个投标人都做澄清要求。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24.3接到评委会澄清、说明和补正要求的投标人如未按规定作出澄清、说明和补正，其风险由投标人自行承担。</w:t>
      </w:r>
      <w:r/>
    </w:p>
    <w:p>
      <w:pPr>
        <w:ind w:firstLine="420"/>
        <w:spacing w:line="400" w:lineRule="exact"/>
        <w:rPr>
          <w:rFonts w:hint="eastAsia" w:ascii="宋体" w:hAnsi="宋体" w:cs="宋体"/>
          <w:color w:val="auto"/>
          <w:sz w:val="21"/>
          <w:szCs w:val="21"/>
          <w:highlight w:val="none"/>
        </w:rPr>
      </w:pPr>
      <w:r/>
      <w:bookmarkStart w:id="93" w:name="_Toc20823305"/>
      <w:r/>
      <w:bookmarkStart w:id="94" w:name="_Toc16938549"/>
      <w:r/>
      <w:bookmarkStart w:id="95" w:name="_Toc513029233"/>
      <w:r>
        <w:rPr>
          <w:rFonts w:hint="eastAsia" w:ascii="宋体" w:hAnsi="宋体" w:cs="宋体"/>
          <w:color w:val="auto"/>
          <w:sz w:val="21"/>
          <w:szCs w:val="21"/>
          <w:highlight w:val="none"/>
        </w:rPr>
        <w:t xml:space="preserve">25、对投标文件的初审</w:t>
      </w:r>
      <w:bookmarkEnd w:id="93"/>
      <w:r/>
      <w:bookmarkEnd w:id="94"/>
      <w:r/>
      <w:bookmarkEnd w:id="95"/>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25.1投标文件初审分为资格审查和符合性审查。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(1)投标文件中开标一览表内容与投标文件中相应内容不一致的，以开标一览表为准。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（2）大写金额和小写金额不一致的，以大写金额为准。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（3）单价金额小数点或者百分比有明显错位的，以开标一览表的总价为准，并修改单价。</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（4）总价金额与按单价汇总金额不一致的，以单价金额计算结果为准。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同时出现两种以上错误的，按照前款规定的顺序修正。</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cs="宋体"/>
          <w:color w:val="auto"/>
          <w:sz w:val="21"/>
          <w:szCs w:val="21"/>
          <w:highlight w:val="none"/>
        </w:rPr>
      </w:pPr>
      <w:r/>
      <w:bookmarkStart w:id="96" w:name="_Toc16938550"/>
      <w:r/>
      <w:bookmarkStart w:id="97" w:name="_Toc20823306"/>
      <w:r/>
      <w:bookmarkStart w:id="98" w:name="_Toc513029234"/>
      <w:r>
        <w:rPr>
          <w:rFonts w:hint="eastAsia" w:ascii="宋体" w:hAnsi="宋体" w:cs="宋体"/>
          <w:color w:val="auto"/>
          <w:sz w:val="21"/>
          <w:szCs w:val="21"/>
          <w:highlight w:val="none"/>
        </w:rPr>
        <w:t xml:space="preserve">25.6投标人在开、评标全过程中应保持通信畅通，及时登录苏采云系统查阅、答复相关信息，并安排专人与采购代理机构及评标委员会联系。</w:t>
      </w:r>
      <w:bookmarkEnd w:id="96"/>
      <w:r/>
      <w:bookmarkEnd w:id="97"/>
      <w:r/>
      <w:bookmarkEnd w:id="98"/>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26、无效投标条款和废标条款</w:t>
      </w:r>
      <w:r/>
    </w:p>
    <w:p>
      <w:pPr>
        <w:ind w:firstLine="420"/>
        <w:spacing w:line="400" w:lineRule="exact"/>
        <w:rPr>
          <w:rFonts w:hint="eastAsia" w:ascii="宋体" w:hAnsi="宋体" w:cs="宋体"/>
          <w:color w:val="auto"/>
          <w:sz w:val="21"/>
          <w:szCs w:val="21"/>
          <w:highlight w:val="none"/>
        </w:rPr>
      </w:pPr>
      <w:r/>
      <w:bookmarkStart w:id="99" w:name="_Toc513029235"/>
      <w:r/>
      <w:bookmarkStart w:id="100" w:name="_Toc16938551"/>
      <w:r/>
      <w:bookmarkStart w:id="101" w:name="_Toc20823307"/>
      <w:r>
        <w:rPr>
          <w:rFonts w:hint="eastAsia" w:ascii="宋体" w:hAnsi="宋体" w:cs="宋体"/>
          <w:color w:val="auto"/>
          <w:sz w:val="21"/>
          <w:szCs w:val="21"/>
          <w:highlight w:val="none"/>
        </w:rPr>
        <w:t xml:space="preserve">26.1无效投标条款</w:t>
      </w:r>
      <w:bookmarkEnd w:id="99"/>
      <w:r/>
      <w:bookmarkEnd w:id="100"/>
      <w:r/>
      <w:bookmarkEnd w:id="101"/>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26.1.1投标人在苏采云系统规定的时间内未成功解密电子投标文件的。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26.1.2投标人未按照招标文件要求上传电子投标文件的。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26.1.3同一投标人提交两个（含两个）以上不同的投标报价的。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26.1.4投标人不具备招标文件中规定资格要求的。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26.1.5投标人的报价超过了采购预算或最高限价的。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26.1.6未通过符合性审查的。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26.1.7不符合招标文件中规定的实质性要求和条件的（本招标文件中斜体且有下划线部分为实质性要求和条件）。</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26.1.9投标文件含有采购人不能接受的附加条件的。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26.1.10投标人不能证明其报价合理性的，评标委员会应当将其作为无效投标处理。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（一）评审过程中出现下列情形之一的，评标委员会应当启动异常低价投标审查程序：</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3.投标（响应）报价低于采购项目最高限价45%的，即投标（响应）报价&lt;采购项目最高限价×45%；</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相关法律法规对供应商报价有规定的，从其规定。</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26.1.11投标文件未按照招标文件要求加盖CA电子公章的。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26.1.12其他法律、法规及本招标文件规定的属无效投标的情形。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26.2废标条款</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26.2.1符合专业条件的供应商或者对招标文件作实质响应的供应商不足三家的。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26.2.2出现影响采购公正的违法、违规行为的。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26.2.3因重大变故，采购任务取消的。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26.2.4评标委员会认定招标文件存在歧义、重大缺陷导致评审工作无法进行。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26.2.5因苏采云系统系统故障原因造成开标不成功的。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 投标截止时间结束后参加投标的供应商不足三家的处理：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cs="宋体"/>
          <w:b/>
          <w:bCs/>
          <w:color w:val="auto"/>
          <w:sz w:val="21"/>
          <w:szCs w:val="21"/>
          <w:highlight w:val="none"/>
        </w:rPr>
      </w:pPr>
      <w:r/>
      <w:bookmarkStart w:id="102" w:name="_Toc120614219"/>
      <w:r>
        <w:rPr>
          <w:rFonts w:hint="eastAsia" w:ascii="宋体" w:hAnsi="宋体" w:cs="宋体"/>
          <w:b/>
          <w:bCs/>
          <w:color w:val="auto"/>
          <w:sz w:val="21"/>
          <w:szCs w:val="21"/>
          <w:highlight w:val="none"/>
        </w:rPr>
        <w:t xml:space="preserve">六、定标</w:t>
      </w:r>
      <w:bookmarkEnd w:id="102"/>
      <w:r/>
      <w:r/>
    </w:p>
    <w:p>
      <w:pPr>
        <w:ind w:firstLine="420"/>
        <w:spacing w:line="400" w:lineRule="exact"/>
        <w:rPr>
          <w:rFonts w:hint="eastAsia" w:ascii="宋体" w:hAnsi="宋体" w:cs="宋体"/>
          <w:color w:val="auto"/>
          <w:sz w:val="21"/>
          <w:szCs w:val="21"/>
          <w:highlight w:val="none"/>
        </w:rPr>
      </w:pPr>
      <w:r/>
      <w:bookmarkStart w:id="103" w:name="_Toc20823310"/>
      <w:r/>
      <w:bookmarkStart w:id="104" w:name="_Toc513029238"/>
      <w:r/>
      <w:bookmarkStart w:id="105" w:name="_Toc16938554"/>
      <w:r>
        <w:rPr>
          <w:rFonts w:hint="eastAsia" w:ascii="宋体" w:hAnsi="宋体" w:cs="宋体"/>
          <w:color w:val="auto"/>
          <w:sz w:val="21"/>
          <w:szCs w:val="21"/>
          <w:highlight w:val="none"/>
        </w:rPr>
        <w:t xml:space="preserve">27、</w:t>
      </w:r>
      <w:bookmarkEnd w:id="103"/>
      <w:r>
        <w:rPr>
          <w:rFonts w:hint="eastAsia" w:ascii="宋体" w:hAnsi="宋体" w:cs="宋体"/>
          <w:color w:val="auto"/>
          <w:sz w:val="21"/>
          <w:szCs w:val="21"/>
          <w:highlight w:val="none"/>
        </w:rPr>
        <w:t xml:space="preserve">确定</w:t>
      </w:r>
      <w:bookmarkEnd w:id="104"/>
      <w:r/>
      <w:bookmarkEnd w:id="105"/>
      <w:r>
        <w:rPr>
          <w:rFonts w:hint="eastAsia" w:ascii="宋体" w:hAnsi="宋体" w:cs="宋体"/>
          <w:color w:val="auto"/>
          <w:sz w:val="21"/>
          <w:szCs w:val="21"/>
          <w:highlight w:val="none"/>
        </w:rPr>
        <w:t xml:space="preserve">中标单位</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27.1中标候选人的选取原则和数量见招标文件第五章规定。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27.2采购人应根据评委会推荐的中标候选人确定中标人。</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27.3采购代理机构将在“中国政府采购网”“江苏政府采购网”“盐城市政府采购网”发布中标公告，公告期限为1个工作日。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27.4若有充分证据证明，中标人出现下列情况之一的，一经查实，将被取消中标资格：</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27.4.1提供虚假材料谋取中标的。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27.4.2向采购人、采购代理机构行贿或者提供其他不正当利益的。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27.4.3属于本文件规定的无效条件，但在评标过程中又未被评委会发现的。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27.4.4与采购人或者其他供应商恶意串通的。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27.4.5采取不正当手段诋毁、排挤其他供应商的。</w:t>
      </w:r>
      <w:r/>
    </w:p>
    <w:p>
      <w:pPr>
        <w:ind w:firstLine="420"/>
        <w:spacing w:line="400" w:lineRule="exact"/>
        <w:rPr>
          <w:rFonts w:hint="eastAsia" w:ascii="宋体" w:hAnsi="宋体" w:cs="宋体"/>
          <w:color w:val="auto"/>
          <w:sz w:val="21"/>
          <w:szCs w:val="21"/>
          <w:highlight w:val="none"/>
        </w:rPr>
      </w:pPr>
      <w:r/>
      <w:bookmarkStart w:id="106" w:name="_Toc200451960"/>
      <w:r>
        <w:rPr>
          <w:rFonts w:hint="eastAsia" w:ascii="宋体" w:hAnsi="宋体" w:cs="宋体"/>
          <w:color w:val="auto"/>
          <w:sz w:val="21"/>
          <w:szCs w:val="21"/>
          <w:highlight w:val="none"/>
        </w:rPr>
        <w:t xml:space="preserve">27.5 有下列情形之一的，视为投标人串通投标，投标无效：</w:t>
      </w:r>
      <w:bookmarkEnd w:id="106"/>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27.5.1不同投标人的投标文件由同一单位或者个人编制。</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27.5.2不同投标人委托同一单位或者个人办理投标事宜。</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27.5.3不同投标人的投标文件载明的项目管理成员或者联系人员为同一人。</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27.5.4不同投标人的投标文件异常一致或者投标报价呈规律性差异。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28、质疑处理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28.2.1对可以质疑的采购文件提出质疑的，为收到采购文件之日或者采购文件公告期限届满之日；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28.2.2对采购过程提出质疑的，为各采购程序环节结束之日；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28.2.3对中标或者成交结果提出质疑的，为中标或者成交结果公告期限届满之日。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39"/>
        <w:ind w:firstLine="420"/>
        <w:jc w:val="both"/>
        <w:spacing w:before="0" w:beforeAutospacing="0" w:after="0" w:afterAutospacing="0" w:line="400" w:lineRule="exact"/>
        <w:rPr>
          <w:rFonts w:hint="eastAsia"/>
          <w:color w:val="auto"/>
          <w:sz w:val="21"/>
          <w:szCs w:val="21"/>
          <w:highlight w:val="none"/>
        </w:rPr>
      </w:pPr>
      <w:r>
        <w:rPr>
          <w:rFonts w:hint="eastAsia"/>
          <w:color w:val="auto"/>
          <w:sz w:val="21"/>
          <w:szCs w:val="21"/>
          <w:highlight w:val="none"/>
        </w:rPr>
        <w:t xml:space="preserve">采购人及代理机构只接收以纸质原件形式送达的质疑,采购人和代理机构不接受未填写快递运单的快件。质疑接收部门为盐城市畅为企业管理服务有限公司招标代理部，联系地址：盐城市西环路293号瞰都公馆10号楼1501，联系电话：0515-88321829。</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28.5 以下情形的质疑不予受理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28.5.1内容不符合《政府采购质疑和投诉办法》第十二条规定的质疑。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28.5.2超出政府采购法定期限的质疑。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28.5.3以传真、电子邮件等方式递交的非原件形式的质疑。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28.5.4未参加投标活动的供应商或在投标活动中自身权益未受到损害的供应商所提出的质疑。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28.5.5供应商组成联合体参加投标，联合体中任何一方或多方未按要求签字、盖章、加盖公章的质疑。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29、中标通知书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00" w:lineRule="exact"/>
        <w:rPr>
          <w:rFonts w:hint="eastAsia" w:ascii="宋体" w:hAnsi="宋体" w:cs="宋体"/>
          <w:b/>
          <w:bCs/>
          <w:color w:val="auto"/>
          <w:sz w:val="21"/>
          <w:szCs w:val="21"/>
          <w:highlight w:val="none"/>
        </w:rPr>
      </w:pPr>
      <w:r/>
      <w:bookmarkStart w:id="107" w:name="_Toc20823308"/>
      <w:r/>
      <w:bookmarkStart w:id="108" w:name="_Toc513029236"/>
      <w:r/>
      <w:bookmarkStart w:id="109" w:name="_Toc16938552"/>
      <w:r/>
      <w:bookmarkStart w:id="110" w:name="_Toc120614220"/>
      <w:r>
        <w:rPr>
          <w:rFonts w:hint="eastAsia" w:ascii="宋体" w:hAnsi="宋体" w:cs="宋体"/>
          <w:b/>
          <w:bCs/>
          <w:color w:val="auto"/>
          <w:sz w:val="21"/>
          <w:szCs w:val="21"/>
          <w:highlight w:val="none"/>
        </w:rPr>
        <w:t xml:space="preserve">七、授予合同</w:t>
      </w:r>
      <w:bookmarkEnd w:id="107"/>
      <w:r/>
      <w:bookmarkEnd w:id="108"/>
      <w:r/>
      <w:bookmarkEnd w:id="109"/>
      <w:r/>
      <w:bookmarkEnd w:id="110"/>
      <w:r/>
      <w:r/>
    </w:p>
    <w:p>
      <w:pPr>
        <w:ind w:firstLine="420"/>
        <w:spacing w:line="400" w:lineRule="exact"/>
        <w:rPr>
          <w:rFonts w:hint="eastAsia" w:ascii="宋体" w:hAnsi="宋体" w:cs="宋体"/>
          <w:color w:val="auto"/>
          <w:sz w:val="21"/>
          <w:szCs w:val="21"/>
          <w:highlight w:val="none"/>
        </w:rPr>
      </w:pPr>
      <w:r/>
      <w:bookmarkStart w:id="111" w:name="_Toc16938553"/>
      <w:r/>
      <w:bookmarkStart w:id="112" w:name="_Toc20823309"/>
      <w:r/>
      <w:bookmarkStart w:id="113" w:name="_Toc513029237"/>
      <w:r>
        <w:rPr>
          <w:rFonts w:hint="eastAsia" w:ascii="宋体" w:hAnsi="宋体" w:cs="宋体"/>
          <w:color w:val="auto"/>
          <w:sz w:val="21"/>
          <w:szCs w:val="21"/>
          <w:highlight w:val="none"/>
        </w:rPr>
        <w:t xml:space="preserve">30、签订合同</w:t>
      </w:r>
      <w:bookmarkEnd w:id="111"/>
      <w:r/>
      <w:bookmarkEnd w:id="112"/>
      <w:r/>
      <w:bookmarkEnd w:id="113"/>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30.l中标人应当在中标通知书发出之日起三十日内，按照招标文件确定的事项与采购人签订政府采购合同。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30.2招标文件、中标人的投标文件及招标过程中有关澄清、承诺文件均应作为合同附件。</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30.3签订合同后，</w:t>
      </w:r>
      <w:r>
        <w:rPr>
          <w:rFonts w:hint="eastAsia" w:ascii="宋体" w:hAnsi="宋体" w:cs="宋体"/>
          <w:i/>
          <w:iCs/>
          <w:color w:val="auto"/>
          <w:sz w:val="21"/>
          <w:szCs w:val="21"/>
          <w:highlight w:val="none"/>
          <w:u w:val="single"/>
        </w:rPr>
        <w:t xml:space="preserve">中标人不得将合同标的进行转包。</w:t>
      </w:r>
      <w:r>
        <w:rPr>
          <w:rFonts w:hint="eastAsia" w:ascii="宋体" w:hAnsi="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31、服务（包含与服务相关的货物）的追加</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32、政府采购政策功能落实</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32.1政府采购线上合同信用融资政策</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32.2进口产品</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32.3中小企业、监狱企业及残疾人福利性单位</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32.3.1中小企业定义：</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中小企业是</w:t>
      </w:r>
      <w:r>
        <w:rPr>
          <w:rFonts w:hint="eastAsia" w:ascii="宋体" w:hAnsi="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32.3.2供应商提供的货物、工程或者服务符合下列情形的，享受中小企业扶持政策：</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32.3.2.1在货物采购项目中，货物由中小企业制造，即货物由中小企业生产且使用该中小企业商号或者注册商标；</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32.3.2.2在工程采购项目中，工程由中小企业承建，即工程施工单位为中小企业；</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32.3.3在货物采购项目中，供应商提供的货物既有中小企业制造货物，也有大型企业制造货物的，不享受中小企业扶持政策。</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32.3.6残疾人福利单位定义：享受政府采购支持政策的残疾人福利性单位应当同时满足以下条件：</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32.3.6.1安置的残疾人占本单位在职职工人数的比例不低于25%（含25%），并且安置的残疾人人数不少于10 人（含10 人）；</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32.3.6.2依法与安置的每位残疾人签订了一年以上（含一年）的劳动合同或服务协议；</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32.3.6.3为安置的每位残疾人按月足额缴纳了基本养老保险、基本医疗保险、失业保险、工伤保险和生育保险等社会保险费；</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32.3.7本项目是否专门面向中小企业预留采购份额见第一章《招标公告》。</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32.3.8采购标的对应的中小企业划分标准所属行业见第四章《采购需求》。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32.3.9小微企业价格评审优惠的政策：见第五章《评标方法和评标标准》。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32.4政府采购节能产品、环境标志产品</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32.4.1严格执行政府采购关于支持</w:t>
      </w:r>
      <w:r>
        <w:rPr>
          <w:rFonts w:hint="eastAsia" w:ascii="宋体" w:hAnsi="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32.5绿色包装</w:t>
      </w:r>
      <w:r/>
    </w:p>
    <w:p>
      <w:pPr>
        <w:ind w:firstLine="420"/>
        <w:spacing w:line="400" w:lineRule="exact"/>
        <w:rPr>
          <w:rFonts w:hint="eastAsia" w:ascii="宋体" w:hAnsi="宋体" w:cs="宋体"/>
          <w:color w:val="auto"/>
          <w:sz w:val="21"/>
          <w:szCs w:val="21"/>
          <w:highlight w:val="none"/>
        </w:rPr>
      </w:pPr>
      <w:r/>
      <w:bookmarkStart w:id="114" w:name="OLE_LINK132"/>
      <w:r>
        <w:rPr>
          <w:rFonts w:hint="eastAsia" w:ascii="宋体" w:hAnsi="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bookmarkEnd w:id="114"/>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32.6政府采购创新产品</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32.7绿色数据中心政策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32.8实施本国产品标准及相关政策</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auto"/>
          <w:sz w:val="21"/>
          <w:szCs w:val="21"/>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32.9履约保证金政策</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确需收取履约保证金的，履约保证金的缴纳形式：</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如以履约保函（保险）形式缴纳履约保证金，供应商可通过政府采购电子履约保函（保险）平台（www.jsdzbh.com）在线申请履约保函（保险）。</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33、预付款制度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本项目落实预付款制度，预付款比例为</w:t>
      </w:r>
      <w:r>
        <w:rPr>
          <w:rFonts w:hint="eastAsia" w:ascii="宋体" w:hAnsi="宋体" w:cs="宋体"/>
          <w:color w:val="auto"/>
          <w:sz w:val="21"/>
          <w:szCs w:val="21"/>
          <w:highlight w:val="none"/>
          <w:u w:val="single"/>
        </w:rPr>
        <w:t xml:space="preserve">30</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。在签订合同时，中标、成交供应商明确书面表示无需预付款或者主动要求降低预付款比例的，采购人可就预付款比例作相应调整。</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color w:val="auto"/>
          <w:szCs w:val="24"/>
          <w:highlight w:val="none"/>
        </w:rPr>
        <w:t xml:space="preserve"> </w:t>
      </w:r>
      <w:r/>
    </w:p>
    <w:p>
      <w:pPr>
        <w:jc w:val="center"/>
        <w:spacing w:line="700" w:lineRule="exact"/>
        <w:rPr>
          <w:rFonts w:hint="eastAsia" w:ascii="宋体" w:hAnsi="宋体" w:cs="宋体"/>
          <w:color w:val="auto"/>
          <w:sz w:val="24"/>
          <w:szCs w:val="24"/>
          <w:highlight w:val="none"/>
        </w:rPr>
        <w:outlineLvl w:val="0"/>
      </w:pPr>
      <w:r>
        <w:rPr>
          <w:rFonts w:hint="eastAsia" w:ascii="宋体" w:hAnsi="宋体" w:cs="宋体"/>
          <w:color w:val="auto"/>
          <w:sz w:val="21"/>
          <w:szCs w:val="21"/>
          <w:highlight w:val="none"/>
        </w:rPr>
        <w:br w:type="page" w:clear="all"/>
      </w:r>
      <w:bookmarkStart w:id="115" w:name="_Toc16938559"/>
      <w:r/>
      <w:bookmarkStart w:id="116" w:name="_Toc513029243"/>
      <w:r/>
      <w:bookmarkStart w:id="117" w:name="_Toc20823315"/>
      <w:r>
        <w:rPr>
          <w:rFonts w:hint="eastAsia" w:ascii="宋体" w:hAnsi="宋体" w:cs="宋体"/>
          <w:color w:val="auto"/>
          <w:sz w:val="44"/>
          <w:szCs w:val="44"/>
          <w:highlight w:val="none"/>
        </w:rPr>
        <w:t xml:space="preserve">第三章  合同文本</w:t>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以下为中标后签订本项目合同的通用条款，中标人不得提出实质性的修改。</w:t>
      </w:r>
      <w:bookmarkEnd w:id="115"/>
      <w:r/>
      <w:bookmarkEnd w:id="116"/>
      <w:r/>
      <w:bookmarkEnd w:id="117"/>
      <w:r/>
      <w:r/>
    </w:p>
    <w:p>
      <w:pPr>
        <w:pStyle w:val="739"/>
        <w:jc w:val="center"/>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政府采购合同（服务）（合同编号）</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项目名称：亭湖区7座中型闸站运行管护项目</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739"/>
        <w:ind w:firstLine="480"/>
        <w:jc w:val="both"/>
        <w:spacing w:before="0" w:beforeAutospacing="0" w:after="0" w:afterAutospacing="0" w:line="440" w:lineRule="exact"/>
        <w:rPr>
          <w:rFonts w:hint="eastAsia"/>
          <w:color w:val="auto"/>
          <w:sz w:val="21"/>
          <w:szCs w:val="21"/>
          <w:highlight w:val="none"/>
          <w:u w:val="single"/>
        </w:rPr>
      </w:pPr>
      <w:r>
        <w:rPr>
          <w:rFonts w:hint="eastAsia"/>
          <w:color w:val="auto"/>
          <w:sz w:val="21"/>
          <w:szCs w:val="21"/>
          <w:highlight w:val="none"/>
        </w:rPr>
        <w:t xml:space="preserve">甲方：（买方）</w:t>
      </w:r>
      <w:r>
        <w:rPr>
          <w:rFonts w:hint="eastAsia"/>
          <w:color w:val="auto"/>
          <w:sz w:val="21"/>
          <w:szCs w:val="21"/>
          <w:highlight w:val="none"/>
          <w:u w:val="single"/>
        </w:rPr>
        <w:t xml:space="preserve">                     </w:t>
      </w:r>
      <w:r/>
    </w:p>
    <w:p>
      <w:pPr>
        <w:pStyle w:val="739"/>
        <w:ind w:firstLine="480"/>
        <w:jc w:val="both"/>
        <w:spacing w:before="0" w:beforeAutospacing="0" w:after="0" w:afterAutospacing="0" w:line="440" w:lineRule="exact"/>
        <w:rPr>
          <w:rFonts w:hint="eastAsia"/>
          <w:color w:val="auto"/>
          <w:sz w:val="21"/>
          <w:szCs w:val="21"/>
          <w:highlight w:val="none"/>
          <w:u w:val="single"/>
        </w:rPr>
      </w:pPr>
      <w:r>
        <w:rPr>
          <w:rFonts w:hint="eastAsia"/>
          <w:color w:val="auto"/>
          <w:sz w:val="21"/>
          <w:szCs w:val="21"/>
          <w:highlight w:val="none"/>
        </w:rPr>
        <w:t xml:space="preserve">乙方：（卖方）</w:t>
      </w:r>
      <w:r>
        <w:rPr>
          <w:rFonts w:hint="eastAsia"/>
          <w:color w:val="auto"/>
          <w:sz w:val="21"/>
          <w:szCs w:val="21"/>
          <w:highlight w:val="none"/>
          <w:u w:val="single"/>
        </w:rPr>
        <w:t xml:space="preserve">                     </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甲、乙双方根据</w:t>
      </w:r>
      <w:r>
        <w:rPr>
          <w:rFonts w:hint="eastAsia"/>
          <w:color w:val="auto"/>
          <w:sz w:val="21"/>
          <w:szCs w:val="21"/>
          <w:highlight w:val="none"/>
          <w:u w:val="single"/>
        </w:rPr>
        <w:t xml:space="preserve">亭湖区7座中型闸站运行管护项目</w:t>
      </w:r>
      <w:r>
        <w:rPr>
          <w:rFonts w:hint="eastAsia"/>
          <w:color w:val="auto"/>
          <w:sz w:val="21"/>
          <w:szCs w:val="21"/>
          <w:highlight w:val="none"/>
        </w:rPr>
        <w:t xml:space="preserve">公开招标的结果，签署本合同。</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一、合同内容</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1.1 标的名称：</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1.2标的质量：</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1.3 标的数量（规模）：</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1.4 履行时间（期限）：</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1.5 履行地点：</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1.6履行方式：</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二、合同金额</w:t>
      </w:r>
      <w:r/>
    </w:p>
    <w:p>
      <w:pPr>
        <w:pStyle w:val="716"/>
        <w:spacing w:line="420" w:lineRule="exact"/>
        <w:widowControl/>
        <w:rPr>
          <w:rFonts w:hint="eastAsia"/>
          <w:color w:val="auto"/>
          <w:sz w:val="21"/>
          <w:szCs w:val="21"/>
          <w:highlight w:val="none"/>
        </w:rPr>
      </w:pPr>
      <w:r>
        <w:rPr>
          <w:rFonts w:hint="eastAsia"/>
          <w:color w:val="auto"/>
          <w:sz w:val="21"/>
          <w:szCs w:val="21"/>
          <w:highlight w:val="none"/>
        </w:rPr>
        <w:t xml:space="preserve">2.1本合同金额为（大写）：</w:t>
      </w:r>
      <w:r>
        <w:rPr>
          <w:rFonts w:hint="eastAsia"/>
          <w:color w:val="auto"/>
          <w:sz w:val="21"/>
          <w:szCs w:val="21"/>
          <w:highlight w:val="none"/>
          <w:u w:val="single"/>
        </w:rPr>
        <w:t xml:space="preserve">             </w:t>
      </w:r>
      <w:r>
        <w:rPr>
          <w:rFonts w:hint="eastAsia"/>
          <w:color w:val="auto"/>
          <w:sz w:val="21"/>
          <w:szCs w:val="21"/>
          <w:highlight w:val="none"/>
        </w:rPr>
        <w:t xml:space="preserve"> 圆（</w:t>
      </w:r>
      <w:r>
        <w:rPr>
          <w:rFonts w:hint="eastAsia"/>
          <w:color w:val="auto"/>
          <w:sz w:val="21"/>
          <w:szCs w:val="21"/>
          <w:highlight w:val="none"/>
          <w:u w:val="single"/>
        </w:rPr>
        <w:t xml:space="preserve">          </w:t>
      </w:r>
      <w:r>
        <w:rPr>
          <w:rFonts w:hint="eastAsia"/>
          <w:color w:val="auto"/>
          <w:sz w:val="21"/>
          <w:szCs w:val="21"/>
          <w:highlight w:val="none"/>
        </w:rPr>
        <w:t xml:space="preserve">元）人民币或其他币种。</w:t>
      </w:r>
      <w:bookmarkStart w:id="118" w:name="OLE_LINK49"/>
      <w:r>
        <w:rPr>
          <w:rFonts w:hint="eastAsia"/>
          <w:color w:val="auto"/>
          <w:sz w:val="21"/>
          <w:szCs w:val="21"/>
          <w:highlight w:val="none"/>
        </w:rPr>
        <w:t xml:space="preserve">报价</w:t>
      </w:r>
      <w:r>
        <w:rPr>
          <w:rFonts w:hint="eastAsia"/>
          <w:color w:val="auto"/>
          <w:sz w:val="21"/>
          <w:szCs w:val="21"/>
          <w:highlight w:val="none"/>
        </w:rPr>
        <w:t xml:space="preserve">主要包括（但不限于）：设施设备日常运行等人员工资及节假日加班费等补助、社会保险费（含养老保险、医疗保险、失业金、工伤保险）、意外伤害险费、材料费、设备费、设备折旧费、设施设备日常运行维护费、</w:t>
      </w:r>
      <w:r>
        <w:rPr>
          <w:rFonts w:hint="eastAsia"/>
          <w:color w:val="auto"/>
          <w:sz w:val="21"/>
          <w:szCs w:val="21"/>
          <w:highlight w:val="none"/>
          <w:lang w:val="zh-CN"/>
        </w:rPr>
        <w:t xml:space="preserve">闸站设施及相关附属设备的</w:t>
      </w:r>
      <w:r>
        <w:rPr>
          <w:rFonts w:hint="eastAsia"/>
          <w:color w:val="auto"/>
          <w:sz w:val="21"/>
          <w:szCs w:val="21"/>
          <w:highlight w:val="none"/>
        </w:rPr>
        <w:t xml:space="preserve">保洁费、运营期的材料损耗及购置费、绿化维护费、闸</w:t>
      </w:r>
      <w:r>
        <w:rPr>
          <w:rFonts w:hint="eastAsia"/>
          <w:color w:val="auto"/>
          <w:sz w:val="21"/>
          <w:szCs w:val="21"/>
          <w:highlight w:val="none"/>
          <w:lang w:val="zh-CN"/>
        </w:rPr>
        <w:t xml:space="preserve">站工程运行管理</w:t>
      </w:r>
      <w:r>
        <w:rPr>
          <w:rFonts w:hint="eastAsia"/>
          <w:color w:val="auto"/>
          <w:sz w:val="21"/>
          <w:szCs w:val="21"/>
          <w:highlight w:val="none"/>
        </w:rPr>
        <w:t xml:space="preserve">费</w:t>
      </w:r>
      <w:r>
        <w:rPr>
          <w:rFonts w:hint="eastAsia"/>
          <w:color w:val="auto"/>
          <w:sz w:val="21"/>
          <w:szCs w:val="21"/>
          <w:highlight w:val="none"/>
          <w:lang w:val="zh-CN"/>
        </w:rPr>
        <w:t xml:space="preserve">、工程设备</w:t>
      </w:r>
      <w:r>
        <w:rPr>
          <w:rFonts w:hint="eastAsia"/>
          <w:color w:val="auto"/>
          <w:sz w:val="21"/>
          <w:szCs w:val="21"/>
          <w:highlight w:val="none"/>
        </w:rPr>
        <w:t xml:space="preserve">设施</w:t>
      </w:r>
      <w:r>
        <w:rPr>
          <w:rFonts w:hint="eastAsia"/>
          <w:color w:val="auto"/>
          <w:sz w:val="21"/>
          <w:szCs w:val="21"/>
          <w:highlight w:val="none"/>
          <w:lang w:val="zh-CN"/>
        </w:rPr>
        <w:t xml:space="preserve">管理</w:t>
      </w:r>
      <w:r>
        <w:rPr>
          <w:rFonts w:hint="eastAsia"/>
          <w:color w:val="auto"/>
          <w:sz w:val="21"/>
          <w:szCs w:val="21"/>
          <w:highlight w:val="none"/>
        </w:rPr>
        <w:t xml:space="preserve">费</w:t>
      </w:r>
      <w:r>
        <w:rPr>
          <w:rFonts w:hint="eastAsia"/>
          <w:color w:val="auto"/>
          <w:sz w:val="21"/>
          <w:szCs w:val="21"/>
          <w:highlight w:val="none"/>
          <w:lang w:val="zh-CN"/>
        </w:rPr>
        <w:t xml:space="preserve">、安全管理、</w:t>
      </w:r>
      <w:r>
        <w:rPr>
          <w:rFonts w:hint="eastAsia"/>
          <w:color w:val="auto"/>
          <w:sz w:val="21"/>
          <w:szCs w:val="21"/>
          <w:highlight w:val="none"/>
        </w:rPr>
        <w:t xml:space="preserve">高温补贴（如有）、服装费、福利费、劳保用品费、现场管理费、税收、利润、不可预见费及其它一切相关费</w:t>
      </w:r>
      <w:r>
        <w:rPr>
          <w:rFonts w:hint="eastAsia"/>
          <w:color w:val="auto"/>
          <w:sz w:val="21"/>
          <w:szCs w:val="21"/>
          <w:highlight w:val="none"/>
          <w:lang w:val="zh-CN"/>
        </w:rPr>
        <w:t xml:space="preserve">用</w:t>
      </w:r>
      <w:r>
        <w:rPr>
          <w:rFonts w:hint="eastAsia"/>
          <w:color w:val="auto"/>
          <w:sz w:val="21"/>
          <w:szCs w:val="21"/>
          <w:highlight w:val="none"/>
          <w:lang w:val="zh-CN"/>
        </w:rPr>
        <w:t xml:space="preserve">（电费及机组大修费用、单项维修养护、单座闸站单项备品备件超过3000元除外）。</w:t>
      </w:r>
      <w:r>
        <w:rPr>
          <w:rFonts w:hint="eastAsia"/>
          <w:color w:val="auto"/>
          <w:sz w:val="21"/>
          <w:szCs w:val="21"/>
          <w:highlight w:val="none"/>
          <w:lang w:val="zh-CN"/>
        </w:rPr>
        <w:t xml:space="preserve">等所需</w:t>
      </w:r>
      <w:r>
        <w:rPr>
          <w:rFonts w:hint="eastAsia"/>
          <w:color w:val="auto"/>
          <w:sz w:val="21"/>
          <w:szCs w:val="21"/>
          <w:highlight w:val="none"/>
        </w:rPr>
        <w:t xml:space="preserve">的全部费用的价格体现，凡漏项或少计均视为优惠，甲方不另行增加费用。各类风险和政策性调整等风险已包括在投标报价中，</w:t>
      </w:r>
      <w:r>
        <w:rPr>
          <w:rFonts w:hint="eastAsia"/>
          <w:b/>
          <w:bCs/>
          <w:color w:val="auto"/>
          <w:sz w:val="21"/>
          <w:szCs w:val="21"/>
          <w:highlight w:val="none"/>
        </w:rPr>
        <w:t xml:space="preserve">最终结算时除合同约定调整外一律不予结算。</w:t>
      </w:r>
      <w:bookmarkEnd w:id="118"/>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三、技术资料</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3.1乙方应按招标文件规定的时间向甲方提供服务（包含与服务相关的货物）的有关技术资料。</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四、知识产权</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五、产权担保</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5.1乙方保证所交付的服务（包含与服务相关的货物）的所有权完全属于乙方且无任何抵押、查封等产权瑕疵。</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六、履约保证金</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6.1乙方交纳人民币_________元作为本合同的履约保证金。</w:t>
      </w:r>
      <w:r/>
    </w:p>
    <w:p>
      <w:pPr>
        <w:pStyle w:val="938"/>
        <w:ind w:firstLine="420"/>
        <w:spacing w:line="390" w:lineRule="exact"/>
        <w:rPr>
          <w:rFonts w:hint="eastAsia" w:cs="宋体" w:asciiTheme="minorEastAsia" w:hAnsiTheme="minorEastAsia" w:eastAsiaTheme="minorEastAsia"/>
          <w:color w:val="auto"/>
          <w:sz w:val="21"/>
          <w:highlight w:val="none"/>
        </w:rPr>
      </w:pPr>
      <w:r>
        <w:rPr>
          <w:rFonts w:hint="eastAsia" w:cs="宋体" w:asciiTheme="minorEastAsia" w:hAnsiTheme="minorEastAsia" w:eastAsiaTheme="minorEastAsia"/>
          <w:color w:val="auto"/>
          <w:sz w:val="21"/>
          <w:highlight w:val="none"/>
        </w:rPr>
        <w:t xml:space="preserve">备注：</w:t>
      </w:r>
      <w:bookmarkStart w:id="119" w:name="OLE_LINK50"/>
      <w:r>
        <w:rPr>
          <w:rFonts w:hint="eastAsia" w:cs="宋体" w:asciiTheme="minorEastAsia" w:hAnsiTheme="minorEastAsia" w:eastAsiaTheme="minorEastAsia"/>
          <w:color w:val="auto"/>
          <w:sz w:val="21"/>
          <w:highlight w:val="none"/>
        </w:rPr>
        <w:t xml:space="preserve">本项目履约保证金</w:t>
      </w:r>
      <w:bookmarkEnd w:id="119"/>
      <w:r>
        <w:rPr>
          <w:rFonts w:hint="eastAsia" w:cs="宋体" w:asciiTheme="minorEastAsia" w:hAnsiTheme="minorEastAsia" w:eastAsiaTheme="minorEastAsia"/>
          <w:color w:val="auto"/>
          <w:sz w:val="21"/>
          <w:highlight w:val="none"/>
        </w:rPr>
        <w:t xml:space="preserve">为合同金额的10%，对AA评级及以上政府采购供应商（需提供信用管理部门备案的第三方信用报告）降低缴纳比例，履约保证金为合同金额的</w:t>
      </w:r>
      <w:r>
        <w:rPr>
          <w:rFonts w:cs="宋体" w:asciiTheme="minorEastAsia" w:hAnsiTheme="minorEastAsia" w:eastAsiaTheme="minorEastAsia"/>
          <w:color w:val="auto"/>
          <w:sz w:val="21"/>
          <w:highlight w:val="none"/>
        </w:rPr>
        <w:t xml:space="preserve">5</w:t>
      </w:r>
      <w:r>
        <w:rPr>
          <w:rFonts w:hint="eastAsia" w:cs="宋体" w:asciiTheme="minorEastAsia" w:hAnsiTheme="minorEastAsia" w:eastAsiaTheme="minorEastAsia"/>
          <w:color w:val="auto"/>
          <w:sz w:val="21"/>
          <w:highlight w:val="none"/>
        </w:rPr>
        <w:t xml:space="preserve">%。</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6.2确需收取履约保证金的，履约保证金的缴纳形式：</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6.2.2 如以履约保函（保险）形式缴纳履约保证金，供应商可通过政府采购电子履约保函（保险）平台（www.jsdzbh.com）在线申请履约保函（保险）。</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6.3合同履行结束后，甲方应及时退还交纳的履约保证金。</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6.4履约保证金的退还：</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6.4.1方式：退还至投标人缴纳履约保证金的账户。如为保函，在到期时自行失效。</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6.4.2时间：验收合格且采购人收到发票后30日内。</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6.4.3条件：按合同要求全部履约完成并经采购人验收合格，且采购人收到中标人出具的发票。</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6.4.4不予退还情形：</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除不可抗力情况外，投标人出现下列情形之一的，其履约保证金，招标人将视情节决定不予退还或部分不予退还。</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(1)中标人无正当理由拒绝签订合同的，或者在签订合同时向采购人提出附加条件或者更改合同实质性内容要求的；</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（2）中标人不履行与采购人订立的合同的；</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（3）中标人所供货物或服务不符合招标文件规定要求的；</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（4）中标人采取欺骗、弄虚作假方式投标的或与其它投标人串通投标的；</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（5）中标人将合同内容转包、违法分包的；</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（6）中标人故意捏造事实或伪造证明材料，进行虚假恶意投诉或反映的。</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七、合同转包或分包</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7.1乙方不得将合同标的转包给他人履行。</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7.2乙方不得将合同标的分包给他人履行。</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7.3乙方如有转包或未经甲方同意的分包行为，甲方有权解除合同。</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八、合同款项支付</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8.1合同款项的支付方式及进度安排</w:t>
      </w:r>
      <w:r/>
    </w:p>
    <w:p>
      <w:pPr>
        <w:pStyle w:val="739"/>
        <w:ind w:firstLine="480"/>
        <w:jc w:val="both"/>
        <w:spacing w:before="0" w:beforeAutospacing="0" w:after="0" w:afterAutospacing="0" w:line="440" w:lineRule="exact"/>
        <w:rPr>
          <w:rFonts w:hint="eastAsia"/>
          <w:color w:val="auto"/>
          <w:sz w:val="21"/>
          <w:szCs w:val="21"/>
          <w:highlight w:val="none"/>
        </w:rPr>
      </w:pPr>
      <w:r/>
      <w:bookmarkStart w:id="120" w:name="OLE_LINK30"/>
      <w:r/>
      <w:bookmarkStart w:id="121" w:name="OLE_LINK23"/>
      <w:r>
        <w:rPr>
          <w:rFonts w:hint="eastAsia"/>
          <w:color w:val="auto"/>
          <w:sz w:val="21"/>
          <w:szCs w:val="21"/>
          <w:highlight w:val="none"/>
        </w:rPr>
        <w:t xml:space="preserve">8.1.1 预付款支付时间：合同签订后，采购人收到预付款发票后30日内；预付款支付比例：合同金额的30%。</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8.1.2支付方式</w:t>
      </w:r>
      <w:bookmarkStart w:id="122" w:name="OLE_LINK32"/>
      <w:r>
        <w:rPr>
          <w:rFonts w:hint="eastAsia"/>
          <w:color w:val="auto"/>
          <w:sz w:val="21"/>
          <w:szCs w:val="21"/>
          <w:highlight w:val="none"/>
        </w:rPr>
        <w:t xml:space="preserve">：六个月为一个付款周期，付款时先扣回全部预付款。委托运行管理满六个月，</w:t>
      </w:r>
      <w:bookmarkStart w:id="123" w:name="OLE_LINK81"/>
      <w:r>
        <w:rPr>
          <w:rFonts w:hint="eastAsia"/>
          <w:color w:val="auto"/>
          <w:sz w:val="21"/>
          <w:szCs w:val="21"/>
          <w:highlight w:val="none"/>
        </w:rPr>
        <w:t xml:space="preserve">出具考核结果</w:t>
      </w:r>
      <w:bookmarkEnd w:id="123"/>
      <w:r>
        <w:rPr>
          <w:rFonts w:hint="eastAsia"/>
          <w:color w:val="auto"/>
          <w:sz w:val="21"/>
          <w:szCs w:val="21"/>
          <w:highlight w:val="none"/>
        </w:rPr>
        <w:t xml:space="preserve">后（详见《亭湖区市区7座中型闸站委托运行管理考核标准》）30日内支付运行管护费用。甲方付款前，按有关财务规定办理相关支付手续和提供符合甲方要求的发票。</w:t>
      </w:r>
      <w:bookmarkEnd w:id="120"/>
      <w:r/>
      <w:bookmarkEnd w:id="121"/>
      <w:r/>
      <w:bookmarkEnd w:id="122"/>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8.1.3服务期满，出具考核结果，在乙方提交了所有的文件、档案资料及符合甲方要求的发票后30日内付清余款。</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以上付款无任何利息补偿。</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备注1：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备注2：根据《关于进一步提高政府采购透明度和采购效率相关事项的通知》财办库〔2023〕243号），对于满足合同约定支付条件的，采购人原则上应当自收到发票后1个月内将资金支付到合同约定的供应商账户。）</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九、税费</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9.1本合同执行中相关的一切税费均由乙方负担。</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十、项目验收</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10.1甲方依法组织履约验收工作。</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10.3对于实际使用人和甲方分离的项目，甲方邀请实际使用人参与验收。</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10.4如有必要，甲方邀请参加本项目的其他供应商或第三方专业机构及专家参与验收，相关意见将作为验收书的参考资料。</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十一、违约责任</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11.1甲方无正当理由拒绝接受乙方提供服务的，甲方向乙方偿付拒绝接受服务合同价款总值</w:t>
      </w:r>
      <w:r>
        <w:rPr>
          <w:rFonts w:hint="eastAsia"/>
          <w:color w:val="auto"/>
          <w:sz w:val="21"/>
          <w:szCs w:val="21"/>
          <w:highlight w:val="none"/>
          <w:u w:val="single"/>
        </w:rPr>
        <w:t xml:space="preserve">5%</w:t>
      </w:r>
      <w:r>
        <w:rPr>
          <w:rFonts w:hint="eastAsia"/>
          <w:color w:val="auto"/>
          <w:sz w:val="21"/>
          <w:szCs w:val="21"/>
          <w:highlight w:val="none"/>
        </w:rPr>
        <w:t xml:space="preserve">的违约金。</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11.2甲方无故逾期验收和办理合同款项支付手续的,甲方应按逾期付款总额</w:t>
      </w:r>
      <w:bookmarkStart w:id="124" w:name="OLE_LINK44"/>
      <w:r/>
      <w:bookmarkStart w:id="125" w:name="OLE_LINK43"/>
      <w:r>
        <w:rPr>
          <w:rFonts w:hint="eastAsia"/>
          <w:color w:val="auto"/>
          <w:sz w:val="21"/>
          <w:szCs w:val="21"/>
          <w:highlight w:val="none"/>
          <w:u w:val="single"/>
        </w:rPr>
        <w:t xml:space="preserve">万分之</w:t>
      </w:r>
      <w:bookmarkEnd w:id="124"/>
      <w:r/>
      <w:bookmarkEnd w:id="125"/>
      <w:r>
        <w:rPr>
          <w:rFonts w:hint="eastAsia"/>
          <w:color w:val="auto"/>
          <w:sz w:val="21"/>
          <w:szCs w:val="21"/>
          <w:highlight w:val="none"/>
          <w:u w:val="single"/>
        </w:rPr>
        <w:t xml:space="preserve">一</w:t>
      </w:r>
      <w:r>
        <w:rPr>
          <w:rFonts w:hint="eastAsia"/>
          <w:color w:val="auto"/>
          <w:sz w:val="21"/>
          <w:szCs w:val="21"/>
          <w:highlight w:val="none"/>
        </w:rPr>
        <w:t xml:space="preserve">每日向乙方支付违约金。</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11.3乙方逾期提供服务的，乙方应按逾期提供服务合同总额每日</w:t>
      </w:r>
      <w:r>
        <w:rPr>
          <w:rFonts w:hint="eastAsia"/>
          <w:color w:val="auto"/>
          <w:sz w:val="21"/>
          <w:szCs w:val="21"/>
          <w:highlight w:val="none"/>
          <w:u w:val="single"/>
        </w:rPr>
        <w:t xml:space="preserve">千分之六</w:t>
      </w:r>
      <w:r>
        <w:rPr>
          <w:rFonts w:hint="eastAsia"/>
          <w:color w:val="auto"/>
          <w:sz w:val="21"/>
          <w:szCs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color w:val="auto"/>
          <w:sz w:val="21"/>
          <w:szCs w:val="21"/>
          <w:highlight w:val="none"/>
          <w:u w:val="single"/>
        </w:rPr>
        <w:t xml:space="preserve">5%</w:t>
      </w:r>
      <w:r>
        <w:rPr>
          <w:rFonts w:hint="eastAsia"/>
          <w:color w:val="auto"/>
          <w:sz w:val="21"/>
          <w:szCs w:val="21"/>
          <w:highlight w:val="none"/>
        </w:rPr>
        <w:t xml:space="preserve">的违约金，如造成甲方损失超过违约金的，超出部分由乙方继续承担赔偿责任。 </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11.4乙方所提供服务的标准不符合合同规定及招标文件规定标准的，甲方有权拒绝接受服务，并可单方面解除合同。</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十二、不可抗力事件处理</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12.1在合同有效期内，任何一方因不可抗力事件导致不能履行合同，则合同履行期可延长，其延长期与不可抗力影响期相同。</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12.2不可抗力事件发生后，应立即通知对方，并寄送有关权威机构出具的证明。</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12.3不可抗力事件延续120天以上，双方应通过友好协商，确定是否继续履行合同。</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十三、解决争议的方法</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13.1双方在签订、履行合同中所发生的一切争议，应通过友好协商解决。如协商不成，由甲方住所地人民法院管辖。</w:t>
      </w:r>
      <w:r/>
    </w:p>
    <w:p>
      <w:pPr>
        <w:pStyle w:val="739"/>
        <w:ind w:firstLine="480"/>
        <w:jc w:val="both"/>
        <w:spacing w:before="0" w:beforeAutospacing="0" w:after="0" w:afterAutospacing="0" w:line="440" w:lineRule="exact"/>
        <w:rPr>
          <w:rFonts w:hint="eastAsia"/>
          <w:b/>
          <w:bCs/>
          <w:color w:val="auto"/>
          <w:sz w:val="21"/>
          <w:szCs w:val="21"/>
          <w:highlight w:val="none"/>
        </w:rPr>
      </w:pPr>
      <w:r>
        <w:rPr>
          <w:rFonts w:hint="eastAsia"/>
          <w:b/>
          <w:bCs/>
          <w:color w:val="auto"/>
          <w:sz w:val="21"/>
          <w:szCs w:val="21"/>
          <w:highlight w:val="none"/>
        </w:rPr>
        <w:t xml:space="preserve">十四、合同生效及其他</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14.1合同经双方法定代表人或授权委托代表人签字并加盖单位公章后生效。</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14.2本合同未尽事宜，遵照《</w:t>
      </w:r>
      <w:bookmarkStart w:id="126" w:name="OLE_LINK12"/>
      <w:r>
        <w:rPr>
          <w:rFonts w:hint="eastAsia"/>
          <w:color w:val="auto"/>
          <w:sz w:val="21"/>
          <w:szCs w:val="21"/>
          <w:highlight w:val="none"/>
        </w:rPr>
        <w:t xml:space="preserve">中华人民共和国</w:t>
      </w:r>
      <w:bookmarkEnd w:id="126"/>
      <w:r>
        <w:rPr>
          <w:rFonts w:hint="eastAsia"/>
          <w:color w:val="auto"/>
          <w:sz w:val="21"/>
          <w:szCs w:val="21"/>
          <w:highlight w:val="none"/>
        </w:rPr>
        <w:t xml:space="preserve">民法典》、《中华人民共和国政府采购法》有关条文执行。</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14.3 本合同正本一式陆份，具有同等法律效力，甲方、乙方各执叁份。</w:t>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bookmarkStart w:id="127" w:name="OLE_LINK85"/>
      <w:r>
        <w:rPr>
          <w:rFonts w:hint="eastAsia"/>
          <w:color w:val="auto"/>
          <w:sz w:val="21"/>
          <w:szCs w:val="21"/>
          <w:highlight w:val="none"/>
        </w:rPr>
        <w:t xml:space="preserve">甲方：                 乙方： </w:t>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地址：                 地址： </w:t>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法定代表人或授权代表：          法定代表人或授权代表：</w:t>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联系电话：               联系电话：</w:t>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签订日期：  年   月   日</w:t>
      </w:r>
      <w:bookmarkEnd w:id="127"/>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16"/>
        <w:ind w:firstLine="480"/>
        <w:rPr>
          <w:rFonts w:hint="eastAsia"/>
          <w:color w:val="auto"/>
          <w:highlight w:val="none"/>
        </w:rPr>
      </w:pPr>
      <w:r>
        <w:rPr>
          <w:rFonts w:hint="eastAsia"/>
          <w:color w:val="auto"/>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42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39"/>
        <w:ind w:firstLine="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r>
      <w:r/>
    </w:p>
    <w:p>
      <w:pPr>
        <w:pStyle w:val="716"/>
        <w:ind w:firstLine="0"/>
        <w:rPr>
          <w:rFonts w:hint="eastAsia"/>
          <w:b/>
          <w:bCs/>
          <w:color w:val="auto"/>
          <w:sz w:val="21"/>
          <w:szCs w:val="21"/>
          <w:highlight w:val="none"/>
        </w:rPr>
      </w:pPr>
      <w:r>
        <w:rPr>
          <w:rFonts w:hint="eastAsia"/>
          <w:b/>
          <w:bCs/>
          <w:color w:val="auto"/>
          <w:sz w:val="21"/>
          <w:szCs w:val="21"/>
          <w:highlight w:val="none"/>
        </w:rPr>
        <w:t xml:space="preserve">附件：考核标准</w:t>
      </w:r>
      <w:r/>
    </w:p>
    <w:p>
      <w:pPr>
        <w:jc w:val="center"/>
        <w:tabs>
          <w:tab w:val="center" w:pos="735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亭湖区市区7座中型闸站委托运行管理考核标准</w:t>
      </w:r>
      <w:r/>
    </w:p>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（不限于下表考核内容及要求，未尽要求以江苏省泵站（水闸）技术管理办法为准）</w:t>
      </w:r>
      <w:r/>
    </w:p>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bl>
      <w:tblPr>
        <w:tblStyle w:val="714"/>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97"/>
        <w:gridCol w:w="758"/>
        <w:gridCol w:w="2556"/>
        <w:gridCol w:w="709"/>
        <w:gridCol w:w="3969"/>
        <w:gridCol w:w="709"/>
      </w:tblGrid>
      <w:tr>
        <w:trPr>
          <w:jc w:val="center"/>
          <w:trHeight w:val="644"/>
        </w:trPr>
        <w:tc>
          <w:tcPr>
            <w:tcMar>
              <w:left w:w="28" w:type="dxa"/>
              <w:top w:w="0" w:type="dxa"/>
              <w:right w:w="28" w:type="dxa"/>
              <w:bottom w:w="0" w:type="dxa"/>
            </w:tcMar>
            <w:tcW w:w="797" w:type="dxa"/>
            <w:vAlign w:val="center"/>
            <w:textDirection w:val="lrTb"/>
            <w:noWrap w:val="false"/>
          </w:tcPr>
          <w:p>
            <w:pPr>
              <w:ind w:left="-28" w:right="-28"/>
              <w:jc w:val="center"/>
              <w:widowControl/>
              <w:rPr>
                <w:rFonts w:hint="eastAsia" w:ascii="宋体" w:hAnsi="宋体" w:cs="宋体"/>
                <w:b/>
                <w:bCs/>
                <w:color w:val="auto"/>
                <w:sz w:val="21"/>
                <w:szCs w:val="21"/>
                <w:highlight w:val="none"/>
              </w:rPr>
            </w:pPr>
            <w:r/>
            <w:bookmarkStart w:id="128" w:name="OLE_LINK57"/>
            <w:r>
              <w:rPr>
                <w:rFonts w:hint="eastAsia" w:ascii="宋体" w:hAnsi="宋体" w:cs="宋体"/>
                <w:b/>
                <w:bCs/>
                <w:color w:val="auto"/>
                <w:sz w:val="21"/>
                <w:szCs w:val="21"/>
                <w:highlight w:val="none"/>
              </w:rPr>
              <w:t xml:space="preserve">类别</w:t>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项目</w:t>
            </w:r>
            <w:r/>
          </w:p>
        </w:tc>
        <w:tc>
          <w:tcPr>
            <w:tcMar>
              <w:left w:w="28" w:type="dxa"/>
              <w:top w:w="0" w:type="dxa"/>
              <w:right w:w="28" w:type="dxa"/>
              <w:bottom w:w="0" w:type="dxa"/>
            </w:tcMar>
            <w:tcW w:w="2556"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考核内容及要求</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标准分</w:t>
            </w:r>
            <w:r/>
          </w:p>
        </w:tc>
        <w:tc>
          <w:tcPr>
            <w:tcMar>
              <w:left w:w="28" w:type="dxa"/>
              <w:top w:w="0" w:type="dxa"/>
              <w:right w:w="28" w:type="dxa"/>
              <w:bottom w:w="0" w:type="dxa"/>
            </w:tcMar>
            <w:tcW w:w="396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评价指标及赋分</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考核得分</w:t>
            </w:r>
            <w:r/>
          </w:p>
        </w:tc>
      </w:tr>
      <w:tr>
        <w:trPr>
          <w:jc w:val="center"/>
          <w:trHeight w:val="644"/>
        </w:trPr>
        <w:tc>
          <w:tcPr>
            <w:tcMar>
              <w:left w:w="28" w:type="dxa"/>
              <w:top w:w="0" w:type="dxa"/>
              <w:right w:w="28" w:type="dxa"/>
              <w:bottom w:w="0" w:type="dxa"/>
            </w:tcMar>
            <w:tcW w:w="797" w:type="dxa"/>
            <w:vAlign w:val="center"/>
            <w:vMerge w:val="restart"/>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一、管理保障(15分)</w:t>
            </w:r>
            <w:r/>
          </w:p>
        </w:tc>
        <w:tc>
          <w:tcPr>
            <w:tcMar>
              <w:left w:w="28" w:type="dxa"/>
              <w:top w:w="0" w:type="dxa"/>
              <w:right w:w="28" w:type="dxa"/>
              <w:bottom w:w="0" w:type="dxa"/>
            </w:tcMar>
            <w:tcW w:w="758"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1.组织机构</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①配备的项目负责人、技术负责人及其他人员满足工程安全运行管理需要。</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②运行管理人员不在岗的要履行请假手续。</w:t>
            </w:r>
            <w:r/>
          </w:p>
        </w:tc>
        <w:tc>
          <w:tcPr>
            <w:tcMar>
              <w:left w:w="28" w:type="dxa"/>
              <w:top w:w="0" w:type="dxa"/>
              <w:right w:w="28" w:type="dxa"/>
              <w:bottom w:w="0" w:type="dxa"/>
            </w:tcMar>
            <w:tcW w:w="70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①岗位人员职责不健全、岗位设置不满足管理需要的，扣0.2分；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②项目负责人、技术负责人未按合同要求在岗的，</w:t>
            </w:r>
            <w:bookmarkStart w:id="129" w:name="OLE_LINK46"/>
            <w:r>
              <w:rPr>
                <w:rFonts w:hint="eastAsia" w:ascii="宋体" w:hAnsi="宋体" w:cs="宋体"/>
                <w:color w:val="auto"/>
                <w:sz w:val="21"/>
                <w:szCs w:val="21"/>
                <w:highlight w:val="none"/>
              </w:rPr>
              <w:t xml:space="preserve">有一次扣0.1分；</w:t>
            </w:r>
            <w:bookmarkEnd w:id="129"/>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③运行管理人员离岗时未履行请假手续的，一次扣0.1分；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w:t>
            </w:r>
            <w:r>
              <w:rPr>
                <w:rFonts w:hint="eastAsia" w:ascii="宋体" w:hAnsi="宋体" w:cs="宋体"/>
                <w:color w:val="auto"/>
                <w:sz w:val="21"/>
                <w:szCs w:val="21"/>
                <w:highlight w:val="none"/>
              </w:rPr>
              <w:t xml:space="preserve">每站</w:t>
            </w:r>
            <w:r>
              <w:rPr>
                <w:rFonts w:hint="eastAsia" w:ascii="宋体" w:hAnsi="宋体" w:cs="宋体"/>
                <w:color w:val="auto"/>
                <w:sz w:val="21"/>
                <w:szCs w:val="21"/>
                <w:highlight w:val="none"/>
              </w:rPr>
              <w:t xml:space="preserve">运行期按要求配备不少于两人，非运行期不得少于一人，少一人次扣0.2分；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w:t>
            </w:r>
            <w:r>
              <w:rPr>
                <w:rFonts w:hint="eastAsia" w:ascii="宋体" w:hAnsi="宋体" w:cs="宋体"/>
                <w:color w:val="auto"/>
                <w:sz w:val="21"/>
                <w:szCs w:val="21"/>
                <w:highlight w:val="none"/>
              </w:rPr>
              <w:t xml:space="preserve">如不按照投标承诺到岗的，有一次扣0.1分。</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jc w:val="center"/>
          <w:trHeight w:val="644"/>
        </w:trPr>
        <w:tc>
          <w:tcPr>
            <w:tcMar>
              <w:left w:w="28" w:type="dxa"/>
              <w:top w:w="0" w:type="dxa"/>
              <w:right w:w="28" w:type="dxa"/>
              <w:bottom w:w="0" w:type="dxa"/>
            </w:tcMar>
            <w:tcW w:w="797" w:type="dxa"/>
            <w:vAlign w:val="center"/>
            <w:vMerge w:val="continue"/>
            <w:textDirection w:val="lrTb"/>
            <w:noWrap w:val="false"/>
          </w:tcPr>
          <w:p>
            <w:pPr>
              <w:ind w:left="-28" w:right="-28"/>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2.运行管理人员素质</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①参加运行管理人员具备良好的职业道德和技术业务能力。</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②运行操作人员必须持证上岗。</w:t>
            </w:r>
            <w:r/>
          </w:p>
        </w:tc>
        <w:tc>
          <w:tcPr>
            <w:tcMar>
              <w:left w:w="28" w:type="dxa"/>
              <w:top w:w="0" w:type="dxa"/>
              <w:right w:w="28" w:type="dxa"/>
              <w:bottom w:w="0" w:type="dxa"/>
            </w:tcMar>
            <w:tcW w:w="70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①参加运行管理人员不具备运行资格的，有1人次扣0.2分；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②未持证上岗的，有1人次扣0.5分；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③新上岗职工未培训的，每人次扣0.1分。</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jc w:val="center"/>
          <w:trHeight w:val="644"/>
        </w:trPr>
        <w:tc>
          <w:tcPr>
            <w:tcMar>
              <w:left w:w="28" w:type="dxa"/>
              <w:top w:w="0" w:type="dxa"/>
              <w:right w:w="28" w:type="dxa"/>
              <w:bottom w:w="0" w:type="dxa"/>
            </w:tcMar>
            <w:tcW w:w="797" w:type="dxa"/>
            <w:vAlign w:val="center"/>
            <w:vMerge w:val="continue"/>
            <w:textDirection w:val="lrTb"/>
            <w:noWrap w:val="false"/>
          </w:tcPr>
          <w:p>
            <w:pPr>
              <w:ind w:left="-28" w:right="-28"/>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3.日常管理</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按照单位内部管理制度、设备操作规程规范、工程运行规程等要求开展日常管理工作。</w:t>
            </w:r>
            <w:r/>
          </w:p>
        </w:tc>
        <w:tc>
          <w:tcPr>
            <w:tcMar>
              <w:left w:w="28" w:type="dxa"/>
              <w:top w:w="0" w:type="dxa"/>
              <w:right w:w="28" w:type="dxa"/>
              <w:bottom w:w="0" w:type="dxa"/>
            </w:tcMar>
            <w:tcW w:w="70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①各项制度、技术规程规范完备，制度及运行规程不完善的有一处扣0.1分；管理条件发生变化，规章制度、运行规程未及时修订，每项扣0.2分。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②日常管理记录齐全，及时报送各类材料，资料不齐全的，有一处扣0.1分。</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jc w:val="center"/>
          <w:trHeight w:val="1508"/>
        </w:trPr>
        <w:tc>
          <w:tcPr>
            <w:tcMar>
              <w:left w:w="28" w:type="dxa"/>
              <w:top w:w="0" w:type="dxa"/>
              <w:right w:w="28" w:type="dxa"/>
              <w:bottom w:w="0" w:type="dxa"/>
            </w:tcMar>
            <w:tcW w:w="797" w:type="dxa"/>
            <w:vAlign w:val="center"/>
            <w:vMerge w:val="continue"/>
            <w:textDirection w:val="lrTb"/>
            <w:noWrap w:val="false"/>
          </w:tcPr>
          <w:p>
            <w:pPr>
              <w:ind w:left="-28" w:right="-28"/>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4.档案管理</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①档案有集中存放场所，档案管理人员落实，档案设施完好。</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②档案资料规范齐全，存放管理有序。</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①档案管理制度不健全，管理不规范，设施不足，管理人员不明确，每工程扣0.5分。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②档案内容不完整、资料缺失，每工程扣1分。</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jc w:val="center"/>
          <w:trHeight w:val="1442"/>
        </w:trPr>
        <w:tc>
          <w:tcPr>
            <w:tcMar>
              <w:left w:w="28" w:type="dxa"/>
              <w:top w:w="0" w:type="dxa"/>
              <w:right w:w="28" w:type="dxa"/>
              <w:bottom w:w="0" w:type="dxa"/>
            </w:tcMar>
            <w:tcW w:w="797" w:type="dxa"/>
            <w:vAlign w:val="center"/>
            <w:vMerge w:val="restart"/>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二、工程状况（35分</w:t>
            </w:r>
            <w:r>
              <w:rPr>
                <w:rFonts w:hint="eastAsia" w:ascii="宋体" w:hAnsi="宋体" w:cs="宋体"/>
                <w:b/>
                <w:bCs/>
                <w:color w:val="auto"/>
                <w:sz w:val="21"/>
                <w:szCs w:val="21"/>
                <w:highlight w:val="none"/>
              </w:rPr>
              <w:t xml:space="preserve">)</w:t>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5.工程面貌与环境</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bookmarkStart w:id="130" w:name="OLE_LINK20"/>
            <w:r>
              <w:rPr>
                <w:rFonts w:hint="eastAsia" w:ascii="宋体" w:hAnsi="宋体" w:cs="宋体"/>
                <w:color w:val="auto"/>
                <w:sz w:val="21"/>
                <w:szCs w:val="21"/>
                <w:highlight w:val="none"/>
              </w:rPr>
              <w:t xml:space="preserve">工程整体完好、外观整洁，工程管理范围整洁有序；工程管理范围绿化良好，水土保持良好。</w:t>
            </w:r>
            <w:bookmarkEnd w:id="130"/>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①工程形象面貌较差，每工程扣0.1分。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②工程管理范围杂乱，存在垃圾杂物堆放问题，每处扣0.1分。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③管理范围存在水土流失现象，每处扣0.2分。</w:t>
            </w:r>
            <w:r/>
          </w:p>
        </w:tc>
        <w:tc>
          <w:tcPr>
            <w:tcMar>
              <w:left w:w="28" w:type="dxa"/>
              <w:top w:w="0" w:type="dxa"/>
              <w:right w:w="28" w:type="dxa"/>
              <w:bottom w:w="0"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90"/>
        </w:trPr>
        <w:tc>
          <w:tcPr>
            <w:tcMar>
              <w:left w:w="28" w:type="dxa"/>
              <w:top w:w="0" w:type="dxa"/>
              <w:right w:w="28" w:type="dxa"/>
              <w:bottom w:w="0"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6.水工建筑物</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bookmarkStart w:id="131" w:name="OLE_LINK24"/>
            <w:r>
              <w:rPr>
                <w:rFonts w:hint="eastAsia" w:ascii="宋体" w:hAnsi="宋体" w:cs="宋体"/>
                <w:color w:val="auto"/>
                <w:sz w:val="21"/>
                <w:szCs w:val="21"/>
                <w:highlight w:val="none"/>
              </w:rPr>
              <w:t xml:space="preserve">①建筑物无明显破损、露筋，建（构）筑物完好，上下游护坡完好。</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②按规定开展建筑物等级评定。</w:t>
            </w:r>
            <w:bookmarkEnd w:id="131"/>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①建筑物明显破损未及时上报或修缮的，每1处扣1分。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②维修经费超过合同约定的，需编制维修方案，每少1次扣0.5分。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③未按规定开展建筑物等级评定，每工程扣1分。</w:t>
            </w:r>
            <w:r/>
          </w:p>
        </w:tc>
        <w:tc>
          <w:tcPr>
            <w:tcMar>
              <w:left w:w="28" w:type="dxa"/>
              <w:top w:w="0" w:type="dxa"/>
              <w:right w:w="28" w:type="dxa"/>
              <w:bottom w:w="0" w:type="dxa"/>
            </w:tcMar>
            <w:tcW w:w="709" w:type="dxa"/>
            <w:vAlign w:val="center"/>
            <w:textDirection w:val="lrTb"/>
            <w:noWrap w:val="false"/>
          </w:tcPr>
          <w:p>
            <w:pPr>
              <w:ind w:left="28" w:right="28"/>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870"/>
        </w:trPr>
        <w:tc>
          <w:tcPr>
            <w:tcMar>
              <w:left w:w="28" w:type="dxa"/>
              <w:top w:w="0" w:type="dxa"/>
              <w:right w:w="28" w:type="dxa"/>
              <w:bottom w:w="0"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widowControl/>
              <w:rPr>
                <w:rFonts w:hint="eastAsia" w:ascii="宋体" w:hAnsi="宋体" w:cs="宋体"/>
                <w:color w:val="auto"/>
                <w:sz w:val="21"/>
                <w:szCs w:val="21"/>
                <w:highlight w:val="none"/>
              </w:rPr>
            </w:pPr>
            <w:r/>
            <w:bookmarkStart w:id="132" w:name="OLE_LINK25"/>
            <w:r>
              <w:rPr>
                <w:rFonts w:hint="eastAsia" w:ascii="宋体" w:hAnsi="宋体" w:cs="宋体"/>
                <w:color w:val="auto"/>
                <w:sz w:val="21"/>
                <w:szCs w:val="21"/>
                <w:highlight w:val="none"/>
              </w:rPr>
              <w:t xml:space="preserve">7.主机泵</w:t>
            </w:r>
            <w:bookmarkEnd w:id="132"/>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bookmarkStart w:id="133" w:name="OLE_LINK26"/>
            <w:r>
              <w:rPr>
                <w:rFonts w:hint="eastAsia" w:ascii="宋体" w:hAnsi="宋体" w:cs="宋体"/>
                <w:color w:val="auto"/>
                <w:sz w:val="21"/>
                <w:szCs w:val="21"/>
                <w:highlight w:val="none"/>
              </w:rPr>
              <w:t xml:space="preserve">①主机泵完好，外观整洁、标识清晰，外观整洁。</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②定期开展保养和检修，且资料完整。</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③运行正常，各部分运行参数符合规范要求。</w:t>
            </w:r>
            <w:bookmarkEnd w:id="133"/>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①主机组无法正常运行未及时上报或维修的，此项不得分。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②主机组编号标识不清晰或不正确，外观不整洁，表面涂漆缺损，每工程扣1分。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③未定期检测主电机绝缘，每工程扣0.5分。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w:t>
            </w:r>
            <w:r>
              <w:rPr>
                <w:rFonts w:hint="eastAsia" w:ascii="宋体" w:hAnsi="宋体" w:cs="宋体"/>
                <w:color w:val="auto"/>
                <w:sz w:val="21"/>
                <w:szCs w:val="21"/>
                <w:highlight w:val="none"/>
              </w:rPr>
              <w:t xml:space="preserve">各部分运行参数数据不准确、记录不完整，每工程整扣0.5分。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28" w:type="dxa"/>
              <w:top w:w="0" w:type="dxa"/>
              <w:right w:w="28" w:type="dxa"/>
              <w:bottom w:w="0"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90"/>
        </w:trPr>
        <w:tc>
          <w:tcPr>
            <w:tcMar>
              <w:left w:w="28" w:type="dxa"/>
              <w:top w:w="0" w:type="dxa"/>
              <w:right w:w="28" w:type="dxa"/>
              <w:bottom w:w="0"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bookmarkStart w:id="134" w:name="OLE_LINK31"/>
            <w:r>
              <w:rPr>
                <w:rFonts w:hint="eastAsia" w:ascii="宋体" w:hAnsi="宋体" w:cs="宋体"/>
                <w:color w:val="auto"/>
                <w:sz w:val="21"/>
                <w:szCs w:val="21"/>
                <w:highlight w:val="none"/>
              </w:rPr>
              <w:t xml:space="preserve">8.高低压电气设备</w:t>
            </w:r>
            <w:bookmarkEnd w:id="134"/>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bookmarkStart w:id="135" w:name="OLE_LINK33"/>
            <w:r>
              <w:rPr>
                <w:rFonts w:hint="eastAsia" w:ascii="宋体" w:hAnsi="宋体" w:cs="宋体"/>
                <w:color w:val="auto"/>
                <w:sz w:val="21"/>
                <w:szCs w:val="21"/>
                <w:highlight w:val="none"/>
              </w:rPr>
              <w:t xml:space="preserve">①电气设备外观整洁、标识清晰正确、表面完好。</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②定期开展维修养护。</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③电气设备运行正常。</w:t>
            </w:r>
            <w:bookmarkEnd w:id="135"/>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①电气设备无法正常运行未及时上报或维修的，此项不得分。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rPr>
              <w:t xml:space="preserve">设备外观不整洁，有明显锈蚀现象；沟道内积水等，每处扣0.5分</w:t>
            </w:r>
            <w:r>
              <w:rPr>
                <w:rFonts w:hint="eastAsia" w:ascii="宋体" w:hAnsi="宋体" w:cs="宋体"/>
                <w:color w:val="auto"/>
                <w:sz w:val="21"/>
                <w:szCs w:val="21"/>
                <w:highlight w:val="none"/>
              </w:rPr>
              <w:t xml:space="preserve">。</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③电气设备其他异常的，如操作机构不灵活可靠、开关按钮动作不可靠，指示灯指示不正确、运行温度不符合规定等，每处扣0.5分。</w:t>
            </w:r>
            <w:r/>
          </w:p>
        </w:tc>
        <w:tc>
          <w:tcPr>
            <w:tcMar>
              <w:left w:w="28" w:type="dxa"/>
              <w:top w:w="0" w:type="dxa"/>
              <w:right w:w="28" w:type="dxa"/>
              <w:bottom w:w="0"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459"/>
        </w:trPr>
        <w:tc>
          <w:tcPr>
            <w:tcMar>
              <w:left w:w="28" w:type="dxa"/>
              <w:top w:w="0" w:type="dxa"/>
              <w:right w:w="28" w:type="dxa"/>
              <w:bottom w:w="0"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bookmarkStart w:id="136" w:name="OLE_LINK35"/>
            <w:r>
              <w:rPr>
                <w:rFonts w:hint="eastAsia" w:ascii="宋体" w:hAnsi="宋体" w:cs="宋体"/>
                <w:color w:val="auto"/>
                <w:sz w:val="21"/>
                <w:szCs w:val="21"/>
                <w:highlight w:val="none"/>
              </w:rPr>
              <w:t xml:space="preserve">9.辅助设备</w:t>
            </w:r>
            <w:bookmarkEnd w:id="136"/>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①辅机设备运行正常，辅机控制系统工作可靠。</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②油泵、水泵定期保养、检修，运行可靠；油系统油位、油压正常，油质、油量、油温符合要求。</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③管道和阀件标识规范，密封良好；各种控制阀启闭灵活；信号准确，动作可靠。</w:t>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①辅助设备外观不整洁，转动部分的防护罩缺失的，每工程扣0.3分。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②辅机控制系统工作不可靠未及时上报或维修的，每工程扣1分；管道和阀件标识不规范每工程扣0.2分，存在跑、冒、滴、漏、锈等现象，每处扣0.1分；控制阀启闭不灵活，每处扣0.1分。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③排水系统工作不正常，每工程扣0.3分。</w:t>
            </w:r>
            <w:r/>
          </w:p>
        </w:tc>
        <w:tc>
          <w:tcPr>
            <w:tcMar>
              <w:left w:w="28" w:type="dxa"/>
              <w:top w:w="0" w:type="dxa"/>
              <w:right w:w="28" w:type="dxa"/>
              <w:bottom w:w="0" w:type="dxa"/>
            </w:tcMar>
            <w:tcW w:w="709" w:type="dxa"/>
            <w:vAlign w:val="center"/>
            <w:textDirection w:val="lrTb"/>
            <w:noWrap w:val="false"/>
          </w:tcPr>
          <w:p>
            <w:pPr>
              <w:ind w:left="28" w:right="28"/>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382"/>
        </w:trPr>
        <w:tc>
          <w:tcPr>
            <w:tcMar>
              <w:left w:w="28" w:type="dxa"/>
              <w:top w:w="0" w:type="dxa"/>
              <w:right w:w="28" w:type="dxa"/>
              <w:bottom w:w="0"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10.金属结构</w:t>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bookmarkStart w:id="137" w:name="OLE_LINK36"/>
            <w:r>
              <w:rPr>
                <w:rFonts w:hint="eastAsia" w:ascii="宋体" w:hAnsi="宋体" w:cs="宋体"/>
                <w:color w:val="auto"/>
                <w:sz w:val="21"/>
                <w:szCs w:val="21"/>
                <w:highlight w:val="none"/>
              </w:rPr>
              <w:t xml:space="preserve">①金属结构外观整洁，防腐层完好，转动部分的防护罩完好。</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②行车等特种设备按规定开展定期检测。</w:t>
            </w:r>
            <w:bookmarkEnd w:id="137"/>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①金属结构设备外观不整洁，每工程扣0.5分；表面涂漆缺损，转动部分的防护罩缺失，每工程扣0.5分。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②快速闸门、拍门等断流装置不能安全可靠工作未及时上报或维修的，每工程扣1分。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③拦污栅和清污装置拦污清污效果较差，零部件缺损未及时上报或维修的，每工程扣0.3分。</w:t>
            </w:r>
            <w:r/>
          </w:p>
          <w:p>
            <w:pPr>
              <w:ind w:left="28" w:right="28"/>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w:t>
            </w:r>
            <w:r>
              <w:rPr>
                <w:rFonts w:hint="eastAsia" w:ascii="宋体" w:hAnsi="宋体" w:cs="宋体"/>
                <w:color w:val="auto"/>
                <w:sz w:val="21"/>
                <w:szCs w:val="21"/>
                <w:highlight w:val="none"/>
              </w:rPr>
              <w:t xml:space="preserve">起重设备不能安全可靠工作</w:t>
            </w:r>
            <w:r>
              <w:rPr>
                <w:rFonts w:hint="eastAsia" w:ascii="宋体" w:hAnsi="宋体" w:cs="宋体"/>
                <w:color w:val="auto"/>
                <w:sz w:val="21"/>
                <w:szCs w:val="21"/>
                <w:highlight w:val="none"/>
              </w:rPr>
              <w:t xml:space="preserve">未及时上报或维修的</w:t>
            </w:r>
            <w:r>
              <w:rPr>
                <w:rFonts w:hint="eastAsia" w:ascii="宋体" w:hAnsi="宋体" w:cs="宋体"/>
                <w:color w:val="auto"/>
                <w:sz w:val="21"/>
                <w:szCs w:val="21"/>
                <w:highlight w:val="none"/>
              </w:rPr>
              <w:t xml:space="preserve">，每工程扣1分。</w:t>
            </w:r>
            <w:r/>
          </w:p>
          <w:p>
            <w:pPr>
              <w:ind w:left="28" w:right="28"/>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⑤其它金属结构存在较严重变形、裂纹、折断、锈蚀等现象，每工程扣0.3分。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⑥</w:t>
            </w:r>
            <w:r>
              <w:rPr>
                <w:rFonts w:hint="eastAsia" w:ascii="宋体" w:hAnsi="宋体" w:cs="宋体"/>
                <w:color w:val="auto"/>
                <w:sz w:val="21"/>
                <w:szCs w:val="21"/>
                <w:highlight w:val="none"/>
              </w:rPr>
              <w:t xml:space="preserve">未及时上报行车等特种设备检测计划的，每次扣0.5分。</w:t>
            </w:r>
            <w:r/>
          </w:p>
        </w:tc>
        <w:tc>
          <w:tcPr>
            <w:tcMar>
              <w:left w:w="28" w:type="dxa"/>
              <w:top w:w="0" w:type="dxa"/>
              <w:right w:w="28" w:type="dxa"/>
              <w:bottom w:w="0" w:type="dxa"/>
            </w:tcMar>
            <w:tcW w:w="709" w:type="dxa"/>
            <w:vAlign w:val="center"/>
            <w:textDirection w:val="lrTb"/>
            <w:noWrap w:val="false"/>
          </w:tcPr>
          <w:p>
            <w:pPr>
              <w:ind w:left="28" w:right="28"/>
              <w:spacing w:line="2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280"/>
        </w:trPr>
        <w:tc>
          <w:tcPr>
            <w:tcMar>
              <w:left w:w="28" w:type="dxa"/>
              <w:top w:w="0" w:type="dxa"/>
              <w:right w:w="28" w:type="dxa"/>
              <w:bottom w:w="0"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top w:w="0" w:type="dxa"/>
              <w:right w:w="28" w:type="dxa"/>
              <w:bottom w:w="0"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bookmarkStart w:id="138" w:name="OLE_LINK39"/>
            <w:r>
              <w:rPr>
                <w:rFonts w:hint="eastAsia" w:ascii="宋体" w:hAnsi="宋体" w:cs="宋体"/>
                <w:color w:val="auto"/>
                <w:sz w:val="21"/>
                <w:szCs w:val="21"/>
                <w:highlight w:val="none"/>
              </w:rPr>
              <w:t xml:space="preserve">11.标识标牌</w:t>
            </w:r>
            <w:bookmarkEnd w:id="138"/>
            <w:r/>
            <w:r/>
          </w:p>
        </w:tc>
        <w:tc>
          <w:tcPr>
            <w:tcMar>
              <w:left w:w="28" w:type="dxa"/>
              <w:top w:w="0" w:type="dxa"/>
              <w:right w:w="28" w:type="dxa"/>
              <w:bottom w:w="0"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bookmarkStart w:id="139" w:name="OLE_LINK40"/>
            <w:r>
              <w:rPr>
                <w:rFonts w:hint="eastAsia" w:ascii="宋体" w:hAnsi="宋体" w:cs="宋体"/>
                <w:color w:val="auto"/>
                <w:sz w:val="21"/>
                <w:szCs w:val="21"/>
                <w:highlight w:val="none"/>
              </w:rPr>
              <w:t xml:space="preserve">①对工程管理区域内各类标识标牌及时进行调整更新，并定期进行检查维护。</w:t>
            </w:r>
            <w:bookmarkEnd w:id="139"/>
            <w:r/>
            <w:r/>
          </w:p>
        </w:tc>
        <w:tc>
          <w:tcPr>
            <w:tcMar>
              <w:left w:w="28" w:type="dxa"/>
              <w:top w:w="0" w:type="dxa"/>
              <w:right w:w="28" w:type="dxa"/>
              <w:bottom w:w="0"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28" w:type="dxa"/>
              <w:top w:w="0" w:type="dxa"/>
              <w:right w:w="28" w:type="dxa"/>
              <w:bottom w:w="0"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①标识标牌损坏模糊，每工程扣0.5分。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②未设置统计台帐或无检查维护资料，每工程扣0.5分。</w:t>
            </w:r>
            <w:r/>
          </w:p>
        </w:tc>
        <w:tc>
          <w:tcPr>
            <w:tcMar>
              <w:left w:w="28" w:type="dxa"/>
              <w:top w:w="0" w:type="dxa"/>
              <w:right w:w="28" w:type="dxa"/>
              <w:bottom w:w="0"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525"/>
        </w:trPr>
        <w:tc>
          <w:tcPr>
            <w:tcMar>
              <w:left w:w="28" w:type="dxa"/>
              <w:right w:w="28" w:type="dxa"/>
            </w:tcMar>
            <w:tcW w:w="797" w:type="dxa"/>
            <w:vAlign w:val="center"/>
            <w:vMerge w:val="restart"/>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三、运行管护(30分)</w:t>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12.管理细则</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①根据《江苏省泵站（水闸）技术管理办法》，结合工程具体情况，及时制订完善泵站技术管理实施细则，内容清晰，要求明确。</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①未制定管理实施细则，此项不得分。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②细则内容不完善，针对性、可操作性不强，每工程扣0.5分。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③未及时修订技术管理实施细则，每工程扣0.2分。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④未制定泵站作业指导手册的，每工程扣0.2分。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824"/>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13.工程检查</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①按照《江苏省泵站（水闸）技术管理办法》开展日常检查、定期检查和专项检查，检查路线、频次和内容符合要求，记录规范，发现问题处理及时到位。</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②编写检查报告，并将定期检查、专项检查报告报上级主管部门备案。</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①未开展工程检查，此项不得分。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②检查不规范，检查路线、频次和内容不符合规定，每工程每缺1项扣0.5分。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③检查记录不规范，每处扣0.2分。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④发现问题处理不及时到位或未及时报告的，每个扣0.5分。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⑤未编写检查报告，每工程扣1分。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⑥未将定期检查、专项检查报上级主管部门备案，扣2分。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378"/>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14.安全监测</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①按照相关规程规范要求开展安全监测，监测项目、频次符合要求。</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②做好监测数据记录、整编、分析工作。数据可靠，记录完整，资料整编分析有效。</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①未开展安全监测，此项不得分。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②监测项目、频次、记录等不规范，每工程扣0.5分。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③缺测严重，数据可靠性差，整编分析不及时，每工程扣0.5分。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④未按规定及时上报电气试验实施方案，扣0.5分。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⑤未按规定开展设备等级评定，每工程扣0.5分。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394"/>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strike/>
                <w:color w:val="auto"/>
                <w:sz w:val="21"/>
                <w:szCs w:val="21"/>
                <w:highlight w:val="none"/>
              </w:rPr>
            </w:pPr>
            <w:r>
              <w:rPr>
                <w:rFonts w:hint="eastAsia" w:ascii="宋体" w:hAnsi="宋体" w:cs="宋体"/>
                <w:color w:val="auto"/>
                <w:sz w:val="21"/>
                <w:szCs w:val="21"/>
                <w:highlight w:val="none"/>
              </w:rPr>
              <w:t xml:space="preserve">15.维修养护</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①按照有关规定开展工程维修养护。制定维修养护计划，实施过程规范，维修养护到位，工作记录完整。</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②有维修养护记录。加强项目实施过程管理和验收，维修养护项目管理资料齐全。</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①维修养护不及时、不到位，每工程扣1分。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②未制定维修养护计划，实施过程不规范，未按计划完成，每工程扣1分。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③维修养护项目资料不完善，维修养护记录缺失或不规范，每工程扣0.5分。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69"/>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16.控制运用</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①调度运行指令执行到位。</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②有调度运用记录。</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①未按调度指令运行工程的，每1次扣3分。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②违反操作运行规程，每1次扣3分。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③运行记录不完整，不规范等，扣0.2分。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④未执行“两票三制”，扣0.2分，“两票三制”执行不严，每发现1次扣0.1分。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⑤未编制控制运用方案的，扣0.2分。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117"/>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17.操作运行</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①编制主机泵、电气设备及辅机设备等操作规程，并在相关工作场所明示。</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②操作运行严格按规程和调度指令运行，操作人员定期培训，持证上岗，操作记录规范。</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①无主机泵、电气设备及辅机设备等操作规程，此项不得分。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②操作规程未明示，每工程扣0.3分；未按规程进行操作，每次扣1分；操作人员不能定期培训，每工程扣0.3分。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③有记录不规范，无签字或别人代签，每处扣0.5分。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④每座闸站月应开展试运行1次，每少1次扣0.5分。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677"/>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18.自动化监测预警</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①自动化监测、视频监控等关键信息，实现动态管理。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②监测监控出现异常时及时采取措施。</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①自动化监测、视频监控等关键信息数据异常未及时上报或维修的，每工程扣1分。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②监测监控出现异常时未及时采取措施，每工程扣1分。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818"/>
        </w:trPr>
        <w:tc>
          <w:tcPr>
            <w:tcMar>
              <w:left w:w="28" w:type="dxa"/>
              <w:right w:w="28" w:type="dxa"/>
            </w:tcMar>
            <w:tcW w:w="797" w:type="dxa"/>
            <w:vAlign w:val="center"/>
            <w:vMerge w:val="restart"/>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四、安全管理(20分)</w:t>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19.保护管理</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①开展水事巡查工作，处置发现问题，做好巡查记录。</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②工程管理范围内无违规建设行为，工程保护范围内无危害工程运行安全的活动。</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①工程管理范围和保护范围内违规建设行为被上级通报的，此项不得分。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②未有效开展水事巡查工作，巡查不到位、记录不规范，每工程扣0.5分。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③工程管理范围内</w:t>
            </w:r>
            <w:r>
              <w:rPr>
                <w:rFonts w:ascii="宋体" w:hAnsi="宋体" w:cs="宋体"/>
                <w:color w:val="auto"/>
                <w:sz w:val="21"/>
                <w:szCs w:val="21"/>
                <w:highlight w:val="none"/>
              </w:rPr>
              <w:t xml:space="preserve">发现违章等情形未及时报告的，</w:t>
            </w:r>
            <w:r>
              <w:rPr>
                <w:rFonts w:hint="eastAsia" w:ascii="宋体" w:hAnsi="宋体" w:cs="宋体"/>
                <w:color w:val="auto"/>
                <w:sz w:val="21"/>
                <w:szCs w:val="21"/>
                <w:highlight w:val="none"/>
              </w:rPr>
              <w:t xml:space="preserve">每工程扣1分。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262"/>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20.防汛管理</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①防汛组织体系健全；防汛责任制和防汛抢险应急预案落实并演练。</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②按规定开展汛前检查。</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③预警、预报信息畅通。</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①防汛组织体系不健全，防汛责任制不落实，扣2分。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②无防汛抢险应急预案，扣1分；防汛抢险应急预案编制质量差，可操作性不强，未开展演练，扣0.5分；防汛抢险队伍组织、人员、任务、培训未落实，扣2分。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③未开展汛前检查或检查问题未整改落实到位，每工程扣1分。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076"/>
        </w:trPr>
        <w:tc>
          <w:tcPr>
            <w:tcMar>
              <w:left w:w="28" w:type="dxa"/>
              <w:right w:w="28" w:type="dxa"/>
            </w:tcMar>
            <w:tcW w:w="797" w:type="dxa"/>
            <w:vAlign w:val="center"/>
            <w:vMerge w:val="continue"/>
            <w:textDirection w:val="tbRlV"/>
            <w:noWrap w:val="false"/>
          </w:tcPr>
          <w:p>
            <w:pPr>
              <w:ind w:left="-28" w:right="-28"/>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Mar>
              <w:left w:w="28" w:type="dxa"/>
              <w:right w:w="28" w:type="dxa"/>
            </w:tcMar>
            <w:tcW w:w="758"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21.安全生产</w:t>
            </w:r>
            <w:r/>
          </w:p>
        </w:tc>
        <w:tc>
          <w:tcPr>
            <w:tcMar>
              <w:left w:w="28" w:type="dxa"/>
              <w:right w:w="28" w:type="dxa"/>
            </w:tcMar>
            <w:tcW w:w="2556"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①安全生产责任制落实；按规定开展危险源辨识和风险评价，并分级管控。</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②定期开展安全隐患排查治理，排查治理记录规范。</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③开展安全生产培训，安全警示标识、危险源辨识牌等设置规范。</w:t>
            </w:r>
            <w:r/>
          </w:p>
          <w:p>
            <w:pPr>
              <w:ind w:left="28" w:right="28"/>
              <w:spacing w:line="240" w:lineRule="exact"/>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④编制安全生产应急预案并完成报备，开展演练；1年内无生产安全事故。</w:t>
            </w:r>
            <w:r/>
          </w:p>
        </w:tc>
        <w:tc>
          <w:tcPr>
            <w:tcMar>
              <w:left w:w="28" w:type="dxa"/>
              <w:right w:w="28" w:type="dxa"/>
            </w:tcMar>
            <w:tcW w:w="709" w:type="dxa"/>
            <w:vAlign w:val="center"/>
            <w:textDirection w:val="lrTb"/>
            <w:noWrap w:val="false"/>
          </w:tcPr>
          <w:p>
            <w:pPr>
              <w:ind w:left="28" w:right="28"/>
              <w:jc w:val="center"/>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28" w:type="dxa"/>
              <w:right w:w="28" w:type="dxa"/>
            </w:tcMar>
            <w:tcW w:w="396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①1年内发生生产安全事故，此项不得分。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②安全生产责任落实不到位，制度不健全，扣1分。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③每月开展一次安全检查，每少1次扣0.5分；每月未对消防设施开展检查的，每少1次扣0.2分。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④未开展危险源辨识和风险评价，每工程扣1分；危险源未进行分级管控，每工程扣1分。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⑤隐患整改不及时或未制定隐患整改方案上报的，每1次扣0.5分。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⑥安全生产应急预案未编制未报备，或预案不完善、针对性不强，扣1分。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⑦未按要求开展安全生产培训和演练，扣1分。</w:t>
            </w:r>
            <w:r/>
          </w:p>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⑧网络安全管理制度体系不健全，每工程扣1分。</w:t>
            </w:r>
            <w:r/>
          </w:p>
          <w:p>
            <w:pPr>
              <w:pStyle w:val="719"/>
              <w:rPr>
                <w:rFonts w:hint="eastAsia" w:ascii="宋体" w:hAnsi="宋体"/>
                <w:color w:val="auto"/>
                <w:sz w:val="21"/>
                <w:szCs w:val="21"/>
                <w:highlight w:val="none"/>
              </w:rPr>
            </w:pPr>
            <w:r>
              <w:rPr>
                <w:rFonts w:hint="eastAsia" w:ascii="宋体" w:hAnsi="宋体" w:cs="宋体"/>
                <w:color w:val="auto"/>
                <w:sz w:val="21"/>
                <w:szCs w:val="21"/>
                <w:highlight w:val="none"/>
              </w:rPr>
              <w:t xml:space="preserve">⑨网络安全防护管理措施存在漏洞，每工程扣1分。</w:t>
            </w:r>
            <w:r/>
          </w:p>
        </w:tc>
        <w:tc>
          <w:tcPr>
            <w:tcMar>
              <w:left w:w="28" w:type="dxa"/>
              <w:right w:w="28" w:type="dxa"/>
            </w:tcMar>
            <w:tcW w:w="709" w:type="dxa"/>
            <w:vAlign w:val="center"/>
            <w:textDirection w:val="lrTb"/>
            <w:noWrap w:val="false"/>
          </w:tcPr>
          <w:p>
            <w:pPr>
              <w:ind w:left="28" w:right="28"/>
              <w:spacing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right="-868"/>
        <w:jc w:val="left"/>
        <w:spacing w:line="264" w:lineRule="auto"/>
        <w:tabs>
          <w:tab w:val="left" w:pos="1438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1.6个月为一个考核期。表中扣分值为评分要点的最高扣分值，评分时可依据具体情况在该分值范围内酌情扣分，每个单项扣分后最低得分为0分，最高分不超过本项标准分。</w:t>
      </w:r>
      <w:r/>
    </w:p>
    <w:p>
      <w:pPr>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w:t>
      </w:r>
      <w:bookmarkEnd w:id="128"/>
      <w:r>
        <w:rPr>
          <w:rFonts w:ascii="宋体" w:hAnsi="宋体" w:cs="宋体"/>
          <w:color w:val="auto"/>
          <w:sz w:val="21"/>
          <w:szCs w:val="21"/>
          <w:highlight w:val="none"/>
        </w:rPr>
        <w:t xml:space="preserve">考核得分在</w:t>
      </w:r>
      <w:r>
        <w:rPr>
          <w:rFonts w:hint="eastAsia" w:ascii="宋体" w:hAnsi="宋体" w:cs="宋体"/>
          <w:color w:val="auto"/>
          <w:sz w:val="21"/>
          <w:szCs w:val="21"/>
          <w:highlight w:val="none"/>
        </w:rPr>
        <w:t xml:space="preserve">90</w:t>
      </w:r>
      <w:r>
        <w:rPr>
          <w:rFonts w:ascii="宋体" w:hAnsi="宋体" w:cs="宋体"/>
          <w:color w:val="auto"/>
          <w:sz w:val="21"/>
          <w:szCs w:val="21"/>
          <w:highlight w:val="none"/>
        </w:rPr>
        <w:t xml:space="preserve">分（含）以上的，支付当期运行管护费用的100%；</w:t>
      </w:r>
      <w:r/>
    </w:p>
    <w:p>
      <w:pPr>
        <w:rPr>
          <w:rFonts w:hint="eastAsia" w:ascii="宋体" w:hAnsi="宋体" w:cs="宋体"/>
          <w:color w:val="auto"/>
          <w:sz w:val="21"/>
          <w:szCs w:val="21"/>
          <w:highlight w:val="none"/>
        </w:rPr>
      </w:pPr>
      <w:r>
        <w:rPr>
          <w:rFonts w:ascii="宋体" w:hAnsi="宋体" w:cs="宋体"/>
          <w:color w:val="auto"/>
          <w:sz w:val="21"/>
          <w:szCs w:val="21"/>
          <w:highlight w:val="none"/>
        </w:rPr>
        <w:t xml:space="preserve">考核得分在</w:t>
      </w:r>
      <w:r>
        <w:rPr>
          <w:rFonts w:hint="eastAsia" w:ascii="宋体" w:hAnsi="宋体" w:cs="宋体"/>
          <w:color w:val="auto"/>
          <w:sz w:val="21"/>
          <w:szCs w:val="21"/>
          <w:highlight w:val="none"/>
        </w:rPr>
        <w:t xml:space="preserve">80</w:t>
      </w:r>
      <w:r>
        <w:rPr>
          <w:rFonts w:ascii="宋体" w:hAnsi="宋体" w:cs="宋体"/>
          <w:color w:val="auto"/>
          <w:sz w:val="21"/>
          <w:szCs w:val="21"/>
          <w:highlight w:val="none"/>
        </w:rPr>
        <w:t xml:space="preserve">分（含）至</w:t>
      </w:r>
      <w:r>
        <w:rPr>
          <w:rFonts w:hint="eastAsia" w:ascii="宋体" w:hAnsi="宋体" w:cs="宋体"/>
          <w:color w:val="auto"/>
          <w:sz w:val="21"/>
          <w:szCs w:val="21"/>
          <w:highlight w:val="none"/>
        </w:rPr>
        <w:t xml:space="preserve">90</w:t>
      </w:r>
      <w:r>
        <w:rPr>
          <w:rFonts w:ascii="宋体" w:hAnsi="宋体" w:cs="宋体"/>
          <w:color w:val="auto"/>
          <w:sz w:val="21"/>
          <w:szCs w:val="21"/>
          <w:highlight w:val="none"/>
        </w:rPr>
        <w:t xml:space="preserve">分的，支付当期运行管护费用的</w:t>
      </w:r>
      <w:r>
        <w:rPr>
          <w:rFonts w:hint="eastAsia" w:ascii="宋体" w:hAnsi="宋体" w:cs="宋体"/>
          <w:color w:val="auto"/>
          <w:sz w:val="21"/>
          <w:szCs w:val="21"/>
          <w:highlight w:val="none"/>
        </w:rPr>
        <w:t xml:space="preserve">98</w:t>
      </w:r>
      <w:r>
        <w:rPr>
          <w:rFonts w:ascii="宋体" w:hAnsi="宋体" w:cs="宋体"/>
          <w:color w:val="auto"/>
          <w:sz w:val="21"/>
          <w:szCs w:val="21"/>
          <w:highlight w:val="none"/>
        </w:rPr>
        <w:t xml:space="preserve">%；</w:t>
      </w:r>
      <w:r/>
    </w:p>
    <w:p>
      <w:pPr>
        <w:rPr>
          <w:rFonts w:hint="eastAsia" w:ascii="宋体" w:hAnsi="宋体" w:cs="宋体"/>
          <w:color w:val="auto"/>
          <w:sz w:val="21"/>
          <w:szCs w:val="21"/>
          <w:highlight w:val="none"/>
        </w:rPr>
      </w:pPr>
      <w:r>
        <w:rPr>
          <w:rFonts w:ascii="宋体" w:hAnsi="宋体" w:cs="宋体"/>
          <w:color w:val="auto"/>
          <w:sz w:val="21"/>
          <w:szCs w:val="21"/>
          <w:highlight w:val="none"/>
        </w:rPr>
        <w:t xml:space="preserve">考核得分在</w:t>
      </w:r>
      <w:r>
        <w:rPr>
          <w:rFonts w:hint="eastAsia" w:ascii="宋体" w:hAnsi="宋体" w:cs="宋体"/>
          <w:color w:val="auto"/>
          <w:sz w:val="21"/>
          <w:szCs w:val="21"/>
          <w:highlight w:val="none"/>
        </w:rPr>
        <w:t xml:space="preserve">7</w:t>
      </w:r>
      <w:r>
        <w:rPr>
          <w:rFonts w:ascii="宋体" w:hAnsi="宋体" w:cs="宋体"/>
          <w:color w:val="auto"/>
          <w:sz w:val="21"/>
          <w:szCs w:val="21"/>
          <w:highlight w:val="none"/>
        </w:rPr>
        <w:t xml:space="preserve">0分（含）至</w:t>
      </w:r>
      <w:r>
        <w:rPr>
          <w:rFonts w:hint="eastAsia" w:ascii="宋体" w:hAnsi="宋体" w:cs="宋体"/>
          <w:color w:val="auto"/>
          <w:sz w:val="21"/>
          <w:szCs w:val="21"/>
          <w:highlight w:val="none"/>
        </w:rPr>
        <w:t xml:space="preserve">80</w:t>
      </w:r>
      <w:r>
        <w:rPr>
          <w:rFonts w:ascii="宋体" w:hAnsi="宋体" w:cs="宋体"/>
          <w:color w:val="auto"/>
          <w:sz w:val="21"/>
          <w:szCs w:val="21"/>
          <w:highlight w:val="none"/>
        </w:rPr>
        <w:t xml:space="preserve">分的，支付当期运行管护费用的</w:t>
      </w:r>
      <w:r>
        <w:rPr>
          <w:rFonts w:hint="eastAsia" w:ascii="宋体" w:hAnsi="宋体" w:cs="宋体"/>
          <w:color w:val="auto"/>
          <w:sz w:val="21"/>
          <w:szCs w:val="21"/>
          <w:highlight w:val="none"/>
        </w:rPr>
        <w:t xml:space="preserve">96</w:t>
      </w:r>
      <w:r>
        <w:rPr>
          <w:rFonts w:ascii="宋体" w:hAnsi="宋体" w:cs="宋体"/>
          <w:color w:val="auto"/>
          <w:sz w:val="21"/>
          <w:szCs w:val="21"/>
          <w:highlight w:val="none"/>
        </w:rPr>
        <w:t xml:space="preserve">%；</w:t>
      </w:r>
      <w:r/>
    </w:p>
    <w:p>
      <w:pPr>
        <w:rPr>
          <w:rFonts w:hint="eastAsia" w:ascii="宋体" w:hAnsi="宋体" w:cs="宋体"/>
          <w:color w:val="auto"/>
          <w:sz w:val="21"/>
          <w:szCs w:val="21"/>
          <w:highlight w:val="none"/>
        </w:rPr>
      </w:pPr>
      <w:r>
        <w:rPr>
          <w:rFonts w:ascii="宋体" w:hAnsi="宋体" w:cs="宋体"/>
          <w:color w:val="auto"/>
          <w:sz w:val="21"/>
          <w:szCs w:val="21"/>
          <w:highlight w:val="none"/>
        </w:rPr>
        <w:t xml:space="preserve">考核得分在</w:t>
      </w: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0分（含）至</w:t>
      </w:r>
      <w:r>
        <w:rPr>
          <w:rFonts w:hint="eastAsia" w:ascii="宋体" w:hAnsi="宋体" w:cs="宋体"/>
          <w:color w:val="auto"/>
          <w:sz w:val="21"/>
          <w:szCs w:val="21"/>
          <w:highlight w:val="none"/>
        </w:rPr>
        <w:t xml:space="preserve">70</w:t>
      </w:r>
      <w:r>
        <w:rPr>
          <w:rFonts w:ascii="宋体" w:hAnsi="宋体" w:cs="宋体"/>
          <w:color w:val="auto"/>
          <w:sz w:val="21"/>
          <w:szCs w:val="21"/>
          <w:highlight w:val="none"/>
        </w:rPr>
        <w:t xml:space="preserve">分的，支付当期运行管护费用的</w:t>
      </w:r>
      <w:r>
        <w:rPr>
          <w:rFonts w:hint="eastAsia" w:ascii="宋体" w:hAnsi="宋体" w:cs="宋体"/>
          <w:color w:val="auto"/>
          <w:sz w:val="21"/>
          <w:szCs w:val="21"/>
          <w:highlight w:val="none"/>
        </w:rPr>
        <w:t xml:space="preserve">94</w:t>
      </w:r>
      <w:r>
        <w:rPr>
          <w:rFonts w:ascii="宋体" w:hAnsi="宋体" w:cs="宋体"/>
          <w:color w:val="auto"/>
          <w:sz w:val="21"/>
          <w:szCs w:val="21"/>
          <w:highlight w:val="none"/>
        </w:rPr>
        <w:t xml:space="preserve">%；</w:t>
      </w:r>
      <w:r/>
    </w:p>
    <w:p>
      <w:pPr>
        <w:rPr>
          <w:rFonts w:hint="eastAsia" w:ascii="宋体" w:hAnsi="宋体" w:cs="宋体"/>
          <w:color w:val="auto"/>
          <w:sz w:val="21"/>
          <w:szCs w:val="21"/>
          <w:highlight w:val="none"/>
        </w:rPr>
      </w:pPr>
      <w:r>
        <w:rPr>
          <w:rFonts w:ascii="宋体" w:hAnsi="宋体" w:cs="宋体"/>
          <w:color w:val="auto"/>
          <w:sz w:val="21"/>
          <w:szCs w:val="21"/>
          <w:highlight w:val="none"/>
        </w:rPr>
        <w:t xml:space="preserve">考核得分低于60分的，视为不合格，甲方有权不支付当期运行管护费用，并有权根据合同约定追究乙方违约责任。</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rFonts w:hint="eastAsia" w:ascii="宋体" w:hAnsi="宋体" w:cs="宋体"/>
          <w:color w:val="auto"/>
          <w:sz w:val="44"/>
          <w:szCs w:val="44"/>
          <w:highlight w:val="none"/>
        </w:rP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rFonts w:hint="eastAsia" w:ascii="宋体" w:hAnsi="宋体" w:cs="宋体"/>
          <w:color w:val="auto"/>
          <w:sz w:val="44"/>
          <w:szCs w:val="44"/>
          <w:highlight w:val="none"/>
        </w:rP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第四章 采购需求</w:t>
      </w:r>
      <w:r/>
    </w:p>
    <w:p>
      <w:pPr>
        <w:ind w:firstLine="420"/>
        <w:spacing w:line="480" w:lineRule="exact"/>
        <w:rPr>
          <w:rFonts w:hint="eastAsia" w:cs="宋体" w:asciiTheme="minorEastAsia" w:hAnsiTheme="minorEastAsia" w:eastAsiaTheme="minorEastAsia"/>
          <w:color w:val="auto"/>
          <w:sz w:val="21"/>
          <w:szCs w:val="21"/>
          <w:highlight w:val="none"/>
        </w:rPr>
      </w:pPr>
      <w:r/>
      <w:bookmarkStart w:id="140" w:name="OLE_LINK15"/>
      <w:r>
        <w:rPr>
          <w:rFonts w:hint="eastAsia" w:cs="宋体" w:asciiTheme="minorEastAsia" w:hAnsiTheme="minorEastAsia" w:eastAsiaTheme="minorEastAsia"/>
          <w:color w:val="auto"/>
          <w:sz w:val="21"/>
          <w:szCs w:val="21"/>
          <w:highlight w:val="none"/>
          <w:lang w:val="zh-CN"/>
        </w:rPr>
        <w:t xml:space="preserve">项目属性：服务类项目</w:t>
      </w:r>
      <w:r/>
    </w:p>
    <w:p>
      <w:pPr>
        <w:ind w:firstLine="420"/>
        <w:spacing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一、项目</w:t>
      </w:r>
      <w:r>
        <w:rPr>
          <w:rFonts w:hint="eastAsia" w:cs="宋体" w:asciiTheme="minorEastAsia" w:hAnsiTheme="minorEastAsia" w:eastAsiaTheme="minorEastAsia"/>
          <w:color w:val="auto"/>
          <w:sz w:val="21"/>
          <w:szCs w:val="21"/>
          <w:highlight w:val="none"/>
        </w:rPr>
        <w:t xml:space="preserve">总体要求</w:t>
      </w:r>
      <w:r/>
    </w:p>
    <w:p>
      <w:pPr>
        <w:pStyle w:val="928"/>
        <w:ind w:firstLine="420"/>
        <w:jc w:val="both"/>
        <w:spacing w:line="440" w:lineRule="exact"/>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全面负责串场河三英闸站（</w:t>
      </w:r>
      <w:r>
        <w:rPr>
          <w:rFonts w:hint="eastAsia" w:cs="宋体" w:asciiTheme="minorEastAsia" w:hAnsiTheme="minorEastAsia" w:eastAsiaTheme="minorEastAsia"/>
          <w:color w:val="auto"/>
          <w:sz w:val="21"/>
          <w:szCs w:val="21"/>
          <w:highlight w:val="none"/>
        </w:rPr>
        <w:t xml:space="preserve">泵房：泵站正向设计排涝流量为30m³/s，反向设计引水流量为10m³/s，泵站装机功率为1260kW</w:t>
      </w:r>
      <w:r>
        <w:rPr>
          <w:rFonts w:hint="eastAsia" w:cs="宋体" w:asciiTheme="minorEastAsia" w:hAnsiTheme="minorEastAsia" w:eastAsiaTheme="minorEastAsia"/>
          <w:color w:val="auto"/>
          <w:sz w:val="21"/>
          <w:szCs w:val="21"/>
          <w:highlight w:val="none"/>
          <w:lang w:val="zh-CN"/>
        </w:rPr>
        <w:t xml:space="preserve">）、串场河新兴闸站（</w:t>
      </w:r>
      <w:r>
        <w:rPr>
          <w:rFonts w:hint="eastAsia" w:cs="宋体" w:asciiTheme="minorEastAsia" w:hAnsiTheme="minorEastAsia" w:eastAsiaTheme="minorEastAsia"/>
          <w:color w:val="auto"/>
          <w:sz w:val="21"/>
          <w:szCs w:val="21"/>
          <w:highlight w:val="none"/>
        </w:rPr>
        <w:t xml:space="preserve">工程等别为Ⅲ等，主要建筑物级别为2级，泵房内装置了4台套单向运行的全贯流泵</w:t>
      </w:r>
      <w:r>
        <w:rPr>
          <w:rFonts w:hint="eastAsia" w:cs="宋体" w:asciiTheme="minorEastAsia" w:hAnsiTheme="minorEastAsia" w:eastAsiaTheme="minorEastAsia"/>
          <w:color w:val="auto"/>
          <w:sz w:val="21"/>
          <w:szCs w:val="21"/>
          <w:highlight w:val="none"/>
          <w:lang w:val="zh-CN"/>
        </w:rPr>
        <w:t xml:space="preserve">）、永新河南闸站（</w:t>
      </w:r>
      <w:r>
        <w:rPr>
          <w:rFonts w:hint="eastAsia" w:cs="宋体" w:asciiTheme="minorEastAsia" w:hAnsiTheme="minorEastAsia" w:eastAsiaTheme="minorEastAsia"/>
          <w:color w:val="auto"/>
          <w:sz w:val="21"/>
          <w:szCs w:val="21"/>
          <w:highlight w:val="none"/>
        </w:rPr>
        <w:t xml:space="preserve">站内布置3台1680QZBWS双向潜水贯流泵机组，配套电机功率为315kW，总装机功率945kW</w:t>
      </w:r>
      <w:r>
        <w:rPr>
          <w:rFonts w:hint="eastAsia" w:cs="宋体" w:asciiTheme="minorEastAsia" w:hAnsiTheme="minorEastAsia" w:eastAsiaTheme="minorEastAsia"/>
          <w:color w:val="auto"/>
          <w:sz w:val="21"/>
          <w:szCs w:val="21"/>
          <w:highlight w:val="none"/>
          <w:lang w:val="zh-CN"/>
        </w:rPr>
        <w:t xml:space="preserve">）、中岗河南闸站（</w:t>
      </w:r>
      <w:r>
        <w:rPr>
          <w:rFonts w:hint="eastAsia" w:cs="宋体" w:asciiTheme="minorEastAsia" w:hAnsiTheme="minorEastAsia" w:eastAsiaTheme="minorEastAsia"/>
          <w:color w:val="auto"/>
          <w:sz w:val="21"/>
          <w:szCs w:val="21"/>
          <w:highlight w:val="none"/>
        </w:rPr>
        <w:t xml:space="preserve">工程为Ⅲ等中型泵站，排涝设计流量20m³/s，配280kW 380V电机3台，总装机功率840kW</w:t>
      </w:r>
      <w:r>
        <w:rPr>
          <w:rFonts w:hint="eastAsia" w:cs="宋体" w:asciiTheme="minorEastAsia" w:hAnsiTheme="minorEastAsia" w:eastAsiaTheme="minorEastAsia"/>
          <w:color w:val="auto"/>
          <w:sz w:val="21"/>
          <w:szCs w:val="21"/>
          <w:highlight w:val="none"/>
          <w:lang w:val="zh-CN"/>
        </w:rPr>
        <w:t xml:space="preserve">）、永丰渠西闸站（</w:t>
      </w:r>
      <w:r>
        <w:rPr>
          <w:rFonts w:hint="eastAsia" w:cs="宋体" w:asciiTheme="minorEastAsia" w:hAnsiTheme="minorEastAsia" w:eastAsiaTheme="minorEastAsia"/>
          <w:color w:val="auto"/>
          <w:sz w:val="21"/>
          <w:szCs w:val="21"/>
          <w:highlight w:val="none"/>
        </w:rPr>
        <w:t xml:space="preserve">站内布置3台1680QZBWS双向潜水贯流泵机组，配套电机功率为315kW，总装机功率945kW</w:t>
      </w:r>
      <w:r>
        <w:rPr>
          <w:rFonts w:hint="eastAsia" w:cs="宋体" w:asciiTheme="minorEastAsia" w:hAnsiTheme="minorEastAsia" w:eastAsiaTheme="minorEastAsia"/>
          <w:color w:val="auto"/>
          <w:sz w:val="21"/>
          <w:szCs w:val="21"/>
          <w:highlight w:val="none"/>
          <w:lang w:val="zh-CN"/>
        </w:rPr>
        <w:t xml:space="preserve">）、龙灶河闸站（</w:t>
      </w:r>
      <w:r>
        <w:rPr>
          <w:rFonts w:hint="eastAsia" w:cs="宋体" w:asciiTheme="minorEastAsia" w:hAnsiTheme="minorEastAsia" w:eastAsiaTheme="minorEastAsia"/>
          <w:color w:val="auto"/>
          <w:sz w:val="21"/>
          <w:szCs w:val="21"/>
          <w:highlight w:val="none"/>
        </w:rPr>
        <w:t xml:space="preserve">设计工程等别为Ⅲ等，主要建筑物级别3级，次要建筑物级别4级。工程采用堤身式布置，主要由站身、清污机桥、内外侧翼墙及引河组成。设计排涝流量20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、引水流量10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，站内设3台双向潜水贯流泵，总装机功率945</w:t>
      </w:r>
      <w:r>
        <w:rPr>
          <w:rFonts w:hint="eastAsia" w:cs="宋体" w:asciiTheme="minorEastAsia" w:hAnsiTheme="minorEastAsia" w:eastAsiaTheme="minorEastAsia"/>
          <w:color w:val="auto"/>
          <w:sz w:val="21"/>
          <w:szCs w:val="21"/>
          <w:highlight w:val="none"/>
        </w:rPr>
        <w:t xml:space="preserve">kW</w:t>
      </w:r>
      <w:r>
        <w:rPr>
          <w:rFonts w:hint="eastAsia" w:cs="宋体" w:asciiTheme="minorEastAsia" w:hAnsiTheme="minorEastAsia" w:eastAsiaTheme="minorEastAsia"/>
          <w:color w:val="auto"/>
          <w:sz w:val="21"/>
          <w:szCs w:val="21"/>
          <w:highlight w:val="none"/>
          <w:lang w:val="zh-CN"/>
        </w:rPr>
        <w:t xml:space="preserve">）、青墩中心河南闸站（</w:t>
      </w:r>
      <w:r>
        <w:rPr>
          <w:rFonts w:hint="eastAsia" w:cs="宋体" w:asciiTheme="minorEastAsia" w:hAnsiTheme="minorEastAsia" w:eastAsiaTheme="minorEastAsia"/>
          <w:color w:val="auto"/>
          <w:sz w:val="21"/>
          <w:szCs w:val="21"/>
          <w:highlight w:val="none"/>
        </w:rPr>
        <w:t xml:space="preserve">设计工程等别为Ⅲ等，主要建筑物级别3级，次要建筑物级别4级。工程采用堤身式布置，设计排涝流量20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、引水流量20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，站内设3台双向潜水贯流泵，总装机功率945</w:t>
      </w:r>
      <w:r>
        <w:rPr>
          <w:rFonts w:hint="eastAsia" w:cs="宋体" w:asciiTheme="minorEastAsia" w:hAnsiTheme="minorEastAsia" w:eastAsiaTheme="minorEastAsia"/>
          <w:color w:val="auto"/>
          <w:sz w:val="21"/>
          <w:szCs w:val="21"/>
          <w:highlight w:val="none"/>
        </w:rPr>
        <w:t xml:space="preserve">kW</w:t>
      </w:r>
      <w:r>
        <w:rPr>
          <w:rFonts w:hint="eastAsia" w:cs="宋体" w:asciiTheme="minorEastAsia" w:hAnsiTheme="minorEastAsia" w:eastAsiaTheme="minorEastAsia"/>
          <w:color w:val="auto"/>
          <w:sz w:val="21"/>
          <w:szCs w:val="21"/>
          <w:highlight w:val="none"/>
          <w:lang w:val="zh-CN"/>
        </w:rPr>
        <w:t xml:space="preserve">）的安全运行，</w:t>
      </w:r>
      <w:r>
        <w:rPr>
          <w:rFonts w:hint="eastAsia" w:cs="宋体" w:asciiTheme="minorEastAsia" w:hAnsiTheme="minorEastAsia" w:eastAsiaTheme="minorEastAsia"/>
          <w:color w:val="auto"/>
          <w:sz w:val="21"/>
          <w:szCs w:val="21"/>
          <w:highlight w:val="none"/>
        </w:rPr>
        <w:t xml:space="preserve">严格</w:t>
      </w:r>
      <w:r>
        <w:rPr>
          <w:rFonts w:hint="eastAsia" w:cs="宋体" w:asciiTheme="minorEastAsia" w:hAnsiTheme="minorEastAsia" w:eastAsiaTheme="minorEastAsia"/>
          <w:color w:val="auto"/>
          <w:sz w:val="21"/>
          <w:szCs w:val="21"/>
          <w:highlight w:val="none"/>
          <w:lang w:val="zh-CN"/>
        </w:rPr>
        <w:t xml:space="preserve">执行亭湖区防指及水利局下达的工程运行调度指令，负责闸站的日常维修养护工作，闸站设施及相关附属设备的保洁。负责</w:t>
      </w:r>
      <w:r>
        <w:rPr>
          <w:rFonts w:hint="eastAsia" w:cs="宋体" w:asciiTheme="minorEastAsia" w:hAnsiTheme="minorEastAsia" w:eastAsiaTheme="minorEastAsia"/>
          <w:color w:val="auto"/>
          <w:sz w:val="21"/>
          <w:szCs w:val="21"/>
          <w:highlight w:val="none"/>
        </w:rPr>
        <w:t xml:space="preserve">闸</w:t>
      </w:r>
      <w:r>
        <w:rPr>
          <w:rFonts w:hint="eastAsia" w:cs="宋体" w:asciiTheme="minorEastAsia" w:hAnsiTheme="minorEastAsia" w:eastAsiaTheme="minorEastAsia"/>
          <w:color w:val="auto"/>
          <w:sz w:val="21"/>
          <w:szCs w:val="21"/>
          <w:highlight w:val="none"/>
          <w:lang w:val="zh-CN"/>
        </w:rPr>
        <w:t xml:space="preserve">站工程运行管理、工程设备</w:t>
      </w:r>
      <w:r>
        <w:rPr>
          <w:rFonts w:hint="eastAsia" w:cs="宋体" w:asciiTheme="minorEastAsia" w:hAnsiTheme="minorEastAsia" w:eastAsiaTheme="minorEastAsia"/>
          <w:color w:val="auto"/>
          <w:sz w:val="21"/>
          <w:szCs w:val="21"/>
          <w:highlight w:val="none"/>
        </w:rPr>
        <w:t xml:space="preserve">设施</w:t>
      </w:r>
      <w:r>
        <w:rPr>
          <w:rFonts w:hint="eastAsia" w:cs="宋体" w:asciiTheme="minorEastAsia" w:hAnsiTheme="minorEastAsia" w:eastAsiaTheme="minorEastAsia"/>
          <w:color w:val="auto"/>
          <w:sz w:val="21"/>
          <w:szCs w:val="21"/>
          <w:highlight w:val="none"/>
          <w:lang w:val="zh-CN"/>
        </w:rPr>
        <w:t xml:space="preserve">管理、建（构）筑物管理、安全管理、档案管理等。</w:t>
      </w:r>
      <w:r>
        <w:rPr>
          <w:rFonts w:hint="eastAsia" w:cs="宋体" w:asciiTheme="minorEastAsia" w:hAnsiTheme="minorEastAsia" w:eastAsiaTheme="minorEastAsia"/>
          <w:color w:val="auto"/>
          <w:sz w:val="21"/>
          <w:szCs w:val="21"/>
          <w:highlight w:val="none"/>
        </w:rPr>
        <w:t xml:space="preserve"> </w:t>
      </w:r>
      <w:r/>
    </w:p>
    <w:p>
      <w:pPr>
        <w:pStyle w:val="716"/>
        <w:rPr>
          <w:rFonts w:hint="eastAsia" w:asciiTheme="minorEastAsia" w:hAnsiTheme="minorEastAsia" w:eastAsiaTheme="minorEastAsia"/>
          <w:color w:val="auto"/>
          <w:sz w:val="21"/>
          <w:szCs w:val="21"/>
          <w:highlight w:val="none"/>
        </w:rPr>
      </w:pPr>
      <w:r/>
      <w:bookmarkStart w:id="141" w:name="OLE_LINK19"/>
      <w:r/>
      <w:bookmarkStart w:id="142" w:name="OLE_LINK51"/>
      <w:r>
        <w:rPr>
          <w:rFonts w:hint="eastAsia" w:asciiTheme="minorEastAsia" w:hAnsiTheme="minorEastAsia" w:eastAsiaTheme="minorEastAsia"/>
          <w:color w:val="auto"/>
          <w:sz w:val="21"/>
          <w:szCs w:val="21"/>
          <w:highlight w:val="none"/>
        </w:rPr>
        <w:t xml:space="preserve">二、项目具体技术要求</w:t>
      </w:r>
      <w:bookmarkEnd w:id="141"/>
      <w:r/>
      <w:bookmarkEnd w:id="142"/>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闸站</w:t>
      </w:r>
      <w:r>
        <w:rPr>
          <w:rFonts w:hint="eastAsia" w:asciiTheme="minorEastAsia" w:hAnsiTheme="minorEastAsia" w:eastAsiaTheme="minorEastAsia"/>
          <w:color w:val="auto"/>
          <w:sz w:val="21"/>
          <w:szCs w:val="21"/>
          <w:highlight w:val="none"/>
        </w:rPr>
        <w:t xml:space="preserve">概况</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永丰渠西闸站：永丰渠西闸站位于盐城市亭湖区境内的永丰渠上，外河侧为西冈河，站身顺水流向中心线与永丰渠河道中心线一致，与西冈河中心线呈78°斜交，站上交通桥中心点距离上游西冈河入口约72m。</w:t>
      </w:r>
      <w:r>
        <w:rPr>
          <w:rFonts w:hint="eastAsia" w:asciiTheme="minorEastAsia" w:hAnsiTheme="minorEastAsia" w:eastAsiaTheme="minorEastAsia"/>
          <w:color w:val="auto"/>
          <w:sz w:val="21"/>
          <w:szCs w:val="21"/>
          <w:highlight w:val="none"/>
        </w:rPr>
        <w:t xml:space="preserve">工程采用堤身式布置，主要由站身、清污机桥、内外侧翼墙及引河等组成。站身采用闸站结合型式，设自排孔1孔，边孔布置，净宽6m，位于北侧；抽排孔3孔，位于自排孔南侧，单孔净宽均为4.5m。站身顺水流向长27.0m，垂直水流向宽23.5m，底板面高程▽-3.2m，水泵叶轮安装高程▽-1.9m，流道进口顶高程▽-0.6m，厂房地面高程▽4.0m。</w:t>
      </w:r>
      <w:r>
        <w:rPr>
          <w:rFonts w:hint="eastAsia" w:asciiTheme="minorEastAsia" w:hAnsiTheme="minorEastAsia" w:eastAsiaTheme="minorEastAsia"/>
          <w:color w:val="auto"/>
          <w:sz w:val="21"/>
          <w:szCs w:val="21"/>
          <w:highlight w:val="none"/>
        </w:rPr>
        <w:t xml:space="preserve">站内布置3台1680QZBWS双向潜水贯流泵机组，配套电机功率为315kW，总装机功率945kW。水泵采用平直进出水流道，流道口各设置快速工作闸门一道，采用BQPK2×100kN-6.0m固定式卷扬启闭机启闭。自排孔设平面直升式钢闸门一道，采用BQPQ2×125kN-8.0m固定式卷扬启闭机启闭，主厂房内设有QD-32/5t电动双梁吊钩桥式起重机1台。站身内外河侧均设有清污机桥，紧邻站身布置，共分4孔，其中抽排孔侧3孔桥首设有回转式清污机及皮带输送机。清污机型号为HQN-4.5×6.3-70°，共计6台套。</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（2）中岗河南闸站：中岗河南闸站位于盐城市亭湖区境内的中岗河</w:t>
      </w:r>
      <w:r>
        <w:rPr>
          <w:rFonts w:hint="eastAsia" w:asciiTheme="minorEastAsia" w:hAnsiTheme="minorEastAsia" w:eastAsiaTheme="minorEastAsia"/>
          <w:color w:val="auto"/>
          <w:sz w:val="21"/>
          <w:szCs w:val="21"/>
          <w:highlight w:val="none"/>
        </w:rPr>
        <w:t xml:space="preserve">上，外侧为皮岔河，站身顺水流向中心线与中岗河河道中心线一致，与皮岔河中心线呈63°斜交，站上交通桥中心点距离上游皮岔河入口约80m。本闸站工程主要功能为排涝，工程为Ⅲ等中型泵站，排涝设计流量20m³/s。工程采用堤身式布置，主要由站身、清污机桥、内外侧翼墙等组成。站身采用闸站结合型式，设自排孔1孔，靠边布置，净宽6m，位于东侧，自排孔上部厂房兼做检修间；抽排孔3孔，单孔净宽均为4.5m。站身顺水流向长26m，垂直水流向宽23.5m，底板面高程▽-3.2m，水泵叶轮安装高程▽-1.9m，流道进口顶高程▽-0.</w:t>
      </w:r>
      <w:r>
        <w:rPr>
          <w:rFonts w:hint="eastAsia" w:asciiTheme="minorEastAsia" w:hAnsiTheme="minorEastAsia" w:eastAsiaTheme="minorEastAsia"/>
          <w:color w:val="auto"/>
          <w:sz w:val="21"/>
          <w:szCs w:val="21"/>
          <w:highlight w:val="none"/>
        </w:rPr>
        <w:t xml:space="preserve">7m，厂房地面高程▽4.0m。站内布置3台潜水贯流泵机组，叶轮直径约为1680mm，配280kW 380V电机3台。水泵采用平直进出水流道，流道出口设置对开式节能型拍门断流。自排孔设平面直升式钢闸门一道，主厂房内设有QD-32/5t电动双梁吊钩桥式起重机1台,及QPQ-125kN固定式卷扬启闭机一台（自排孔闸门启闭）。清污机桥布置于站身内河侧，紧邻站身布置，共分4孔，其中抽排孔侧3孔桥首设有回转式清污机及皮带输送机。抽排孔侧桥首设有拦污栅槽，内置拦污栅。清污机型号为HQN-4.5×6.3-70°，计3台套。</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（3）永新河南闸站：永新河南闸站位于盐城市亭湖区境内的永新河上，外河侧为皮岔河，站身顺水流向中心线与永新河河道中心线一致，与皮岔河中心线呈70°斜交，站上交通桥中心点距离上游皮岔河入口约105m。</w:t>
      </w:r>
      <w:r>
        <w:rPr>
          <w:rFonts w:hint="eastAsia" w:asciiTheme="minorEastAsia" w:hAnsiTheme="minorEastAsia" w:eastAsiaTheme="minorEastAsia"/>
          <w:color w:val="auto"/>
          <w:sz w:val="21"/>
          <w:szCs w:val="21"/>
          <w:highlight w:val="none"/>
        </w:rPr>
        <w:t xml:space="preserve">工程采用堤身式布置，主要由站身、清污机桥、内外侧翼墙及引河等组成。站身采用闸站结合型式，设自排孔1孔，边孔布置，净宽6m，位于北侧；抽排孔3孔，位于自排孔南侧，单孔净宽均为4.5m。站身顺水流向长27.0m，垂直水流向宽23.5m，底板面高程▽-3.2m，水泵叶轮安装高程▽-1.9m，流道进口顶高程▽-0.6m，厂房地面高程▽4.0m。</w:t>
      </w:r>
      <w:r>
        <w:rPr>
          <w:rFonts w:hint="eastAsia" w:asciiTheme="minorEastAsia" w:hAnsiTheme="minorEastAsia" w:eastAsiaTheme="minorEastAsia"/>
          <w:color w:val="auto"/>
          <w:sz w:val="21"/>
          <w:szCs w:val="21"/>
          <w:highlight w:val="none"/>
        </w:rPr>
        <w:t xml:space="preserve">站内布置3台1680QZBWS双向潜水贯流泵机组，配套电机功率为315kW，总装机功率945kW。水泵采用平直进出水流道，流道口各设置快速工作闸门一道，采用BQPK2×100kN-6.0m固定式卷扬启闭机启闭。自排孔设平面直升式钢闸门一道，采用BQPQ2×125kN-8.0m固定式卷扬启闭机启闭，主厂房内设有QD-32/5t电动双梁吊钩桥式起重机1台。站身内外河侧均设有清污机桥，紧邻站身布置，共分4孔，其中抽排孔侧3孔桥首设有回转式清污机及皮带输送机。清污机型号为HQN-4.5×6.3-70°，共计6台套。</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（4）串场河三英闸站：串场河三英闸站位于与皮岔河交汇处的串场河上，闸站中心距离皮岔河中心约800m。闸站为防洪、排涝、引水和通航结合的工程，工程等别为Ⅲ等，主要建筑物级别</w:t>
      </w:r>
      <w:r>
        <w:rPr>
          <w:rFonts w:hint="eastAsia" w:asciiTheme="minorEastAsia" w:hAnsiTheme="minorEastAsia" w:eastAsiaTheme="minorEastAsia"/>
          <w:color w:val="auto"/>
          <w:sz w:val="21"/>
          <w:szCs w:val="21"/>
          <w:highlight w:val="none"/>
        </w:rPr>
        <w:t xml:space="preserve">为2级。闸站东西两侧均设置检修间，布置永久进场道路；闸站东侧为副厂房和工程管理区。泵房：泵站正向设计排涝流量为30m³/s，反向设计引水流量为10m³/s。闸站中间设1孔通航孔，紧邻通航孔的2孔为抽排孔，其余2个边孔为引排相结合孔。初步选择安装叶轮直径均为1680mm，出水口直径1900mm的潜水贯流式水泵4台套。引排结合孔每孔装置1台1680GZBWS型潜水贯流泵，配套异步变频电动机，行星齿轮减速传动。水泵双向运行，S型叶片，叶片角度0°，转速200r/min。抽排孔位于通航孔两侧，每孔装置1台1680G</w:t>
      </w:r>
      <w:r>
        <w:rPr>
          <w:rFonts w:hint="eastAsia" w:asciiTheme="minorEastAsia" w:hAnsiTheme="minorEastAsia" w:eastAsiaTheme="minorEastAsia"/>
          <w:color w:val="auto"/>
          <w:sz w:val="21"/>
          <w:szCs w:val="21"/>
          <w:highlight w:val="none"/>
        </w:rPr>
        <w:t xml:space="preserve">ZBW型潜水贯流泵，配套异步定频电动机，行星齿轮减速传动。水泵单向运行，叶片角度为+2°，转速185r/min。双向运行水泵配套电动机功率330kW，单向运行水泵配套电动机功率300kW，泵站装机功率为1260kW。双向泵采用平直管式进出水流道，快速闸门断流，胸墙溢流孔溢流。单向泵采用平直管式进出水流道，节能型自由侧翻式拍门断流。泵房底板面高程为-3.50m，底高程为-5.50～-4.70m，顺水流向长26m。泵房顶板面高程为3.50～4.00m。两侧主厂房内各设置QD型320/50kN吊钩桥式起重机一台。</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通航孔：通航孔净宽20m，底板面高程为-4.00m，底高程为-5.00m，门槛顶高程为-3.50m，顺水流向总长26m。通航孔上方布置中控室和启闭机房，采用预应力砼箱梁结构，中控室梁底高程为6.10m，启闭机房梁底高程为13.10m。通航孔上下游设置导流墩与泵站隔开，导流墩兼做清污机桥边墩。通航孔闸门采用钢质平面直升门结构形式，采用QPB-2×500kN-10.0m闭式传动卷扬启闭机启闭。闸墙临水侧均设置防撞木等导航设施。</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内河侧清污机桥：为拦截站下引河污杂物，紧邻站身抽排孔站下内河侧设置HQN-4.5×7.0-70°回转式清污机，共4台套。清污机桥每孔净宽4.5m，桥面高程为3.00m，底板面高程为-3.50m，底高程为-4.50m，顺水流向总长12m。通航孔两侧清污机桥上各设皮带机1台套，宽100cm，长11m，向闸站东西两岸输送污杂物。清污机桥临通航孔侧的边墩兼做导流墩。</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外河侧清污机桥：为了拦截外河侧污杂物，紧邻站身引水孔前（外河侧）设置清污机桥，桥上设置HQN-4.5×7.5-70°回转式清污机，共2台套。清污机桥位置与站身引水孔相对应，布置于站身临岸侧。清污机桥净宽4.5m，桥面高程为4.00m，底板面高程为-3.50m，底高程为-4.50m，顺水流向长12m。通航孔两侧清污机桥上各设皮带机1台套，宽100cm，长5.5m，向闸站东西两岸输送污杂物。清污机桥临通航孔侧的边墩兼做导流墩。</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（5）串场河新兴闸站：串场河新兴闸站位于盐城市市区第Ⅰ防洪区最北端，与草堰河交汇处的串场河上，闸站中心距离草堰河中心约120m。闸站为防洪、排涝、活水和通航结合的工程，工程</w:t>
      </w:r>
      <w:r>
        <w:rPr>
          <w:rFonts w:hint="eastAsia" w:asciiTheme="minorEastAsia" w:hAnsiTheme="minorEastAsia" w:eastAsiaTheme="minorEastAsia"/>
          <w:color w:val="auto"/>
          <w:sz w:val="21"/>
          <w:szCs w:val="21"/>
          <w:highlight w:val="none"/>
        </w:rPr>
        <w:t xml:space="preserve">等别为Ⅲ等，主要建筑物级别为2级。新兴闸站采用闸站结合方式，泵站设计排涝流量为20m³/s。闸站中间设1孔通航孔，净宽20m，净高4.6m，4个抽排孔两两布置于通航孔两侧。选择安装4台套全贯流式水泵，泵站总装机功率为880kW。通航孔采用露顶式平面直升钢闸门，采用QPB-2×500kN-10m闭式传动卷扬启闭机启闭，共1台套。泵房布置在通航孔两侧，每侧2孔。泵房内装置了4台套单向运行的全贯流泵，水泵叶轮直径均为1200m。泵房底板面高程为-2.70m，底高程为-3.70～-4.40m，顺水流向长18m。单台</w:t>
      </w:r>
      <w:r>
        <w:rPr>
          <w:rFonts w:hint="eastAsia" w:asciiTheme="minorEastAsia" w:hAnsiTheme="minorEastAsia" w:eastAsiaTheme="minorEastAsia"/>
          <w:color w:val="auto"/>
          <w:sz w:val="21"/>
          <w:szCs w:val="21"/>
          <w:highlight w:val="none"/>
        </w:rPr>
        <w:t xml:space="preserve">机组泵室净宽（流道进口宽度）为4.0m，水泵安装高程为-1.60m。泵站采用平直管式进出水流道，节能型侧翻式拍门断流。紧邻泵站进水口设置清污机桥。泵站正向抽排时，内河侧4台引排结合孔前均设置清污机。清污机桥单孔净宽4.0m，桥面高程3.50m。底板面高程为-2.70m，底高程为-3.70m，顺水流向总长10m。桥上设HQN-4×6.2-70°型回转式清污机4台套，含2台套皮带机。串场河新兴闸站东西两侧均设置检修间，布置永久进场道路；闸站西侧为副厂房和工程管理区。管理区出入口分别设置在南侧东西两岸进场道路处。</w:t>
      </w:r>
      <w:r/>
    </w:p>
    <w:p>
      <w:pPr>
        <w:ind w:firstLine="420"/>
        <w:spacing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龙灶河闸站：工程建设任务主要是提高市区第Ⅴ防洪区防洪排涝标准。本工程防洪标准为50年一遇，排涝标准为近期5～10年一遇、远期10～20年一遇。设计工程等别为Ⅲ等，主要建筑物级别3级，次要建筑物级别4级。工程工程采用堤身式布置，主要由站身、清污机桥、内外侧翼墙及引河组成。设计排涝流量20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、引水流量10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，设自排孔1孔、净宽6米，抽排孔3孔、净宽均为4.5米。站内设3台双向潜水贯流泵，总装机功率945</w:t>
      </w:r>
      <w:r>
        <w:rPr>
          <w:rFonts w:hint="eastAsia" w:cs="宋体" w:asciiTheme="minorEastAsia" w:hAnsiTheme="minorEastAsia" w:eastAsiaTheme="minorEastAsia"/>
          <w:color w:val="auto"/>
          <w:sz w:val="21"/>
          <w:szCs w:val="21"/>
          <w:highlight w:val="none"/>
        </w:rPr>
        <w:t xml:space="preserve">kW</w:t>
      </w:r>
      <w:r>
        <w:rPr>
          <w:rFonts w:hint="eastAsia" w:cs="宋体" w:asciiTheme="minorEastAsia" w:hAnsiTheme="minorEastAsia" w:eastAsiaTheme="minorEastAsia"/>
          <w:color w:val="auto"/>
          <w:sz w:val="21"/>
          <w:szCs w:val="21"/>
          <w:highlight w:val="none"/>
        </w:rPr>
        <w:t xml:space="preserve">，并配套建设清污机桥、生产设备用房等管理设施，总建筑面积1423平方米，主厂房顶高程21.85米。</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bookmarkStart w:id="143" w:name="OLE_LINK127"/>
      <w:r>
        <w:rPr>
          <w:rFonts w:hint="eastAsia" w:cs="宋体" w:asciiTheme="minorEastAsia" w:hAnsiTheme="minorEastAsia" w:eastAsiaTheme="minorEastAsia"/>
          <w:color w:val="auto"/>
          <w:sz w:val="21"/>
          <w:szCs w:val="21"/>
          <w:highlight w:val="none"/>
        </w:rPr>
        <w:t xml:space="preserve">（7）</w:t>
      </w:r>
      <w:bookmarkEnd w:id="143"/>
      <w:r>
        <w:rPr>
          <w:rFonts w:hint="eastAsia" w:cs="宋体" w:asciiTheme="minorEastAsia" w:hAnsiTheme="minorEastAsia" w:eastAsiaTheme="minorEastAsia"/>
          <w:color w:val="auto"/>
          <w:sz w:val="21"/>
          <w:szCs w:val="21"/>
          <w:highlight w:val="none"/>
        </w:rPr>
        <w:t xml:space="preserve">青墩中心河南闸站：本工程防洪标准为50年一遇，排涝标准为近期5～10年一遇、远期10～20年一遇。设计工程等别为Ⅲ等，主要建筑物级别3级，次要建筑物级别4级。工程采用堤身式布置，主要由站身、清污机桥、内外侧翼墙及引河组成。设计排涝流量20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、引水流量20</w:t>
      </w:r>
      <w:r>
        <w:rPr>
          <w:rFonts w:hint="eastAsia" w:cs="宋体" w:asciiTheme="minorEastAsia" w:hAnsiTheme="minorEastAsia" w:eastAsiaTheme="minorEastAsia"/>
          <w:color w:val="auto"/>
          <w:sz w:val="21"/>
          <w:szCs w:val="21"/>
          <w:highlight w:val="none"/>
        </w:rPr>
        <w:t xml:space="preserve">m³/s</w:t>
      </w:r>
      <w:r>
        <w:rPr>
          <w:rFonts w:hint="eastAsia" w:cs="宋体" w:asciiTheme="minorEastAsia" w:hAnsiTheme="minorEastAsia" w:eastAsiaTheme="minorEastAsia"/>
          <w:color w:val="auto"/>
          <w:sz w:val="21"/>
          <w:szCs w:val="21"/>
          <w:highlight w:val="none"/>
        </w:rPr>
        <w:t xml:space="preserve">，设自排孔1孔、净宽6米，抽排孔3孔、净宽均为4.5米。站内设3台双向潜水贯流泵，总装机功率945</w:t>
      </w:r>
      <w:r>
        <w:rPr>
          <w:rFonts w:hint="eastAsia" w:cs="宋体" w:asciiTheme="minorEastAsia" w:hAnsiTheme="minorEastAsia" w:eastAsiaTheme="minorEastAsia"/>
          <w:color w:val="auto"/>
          <w:sz w:val="21"/>
          <w:szCs w:val="21"/>
          <w:highlight w:val="none"/>
        </w:rPr>
        <w:t xml:space="preserve">kW</w:t>
      </w:r>
      <w:r>
        <w:rPr>
          <w:rFonts w:hint="eastAsia" w:cs="宋体" w:asciiTheme="minorEastAsia" w:hAnsiTheme="minorEastAsia" w:eastAsiaTheme="minorEastAsia"/>
          <w:color w:val="auto"/>
          <w:sz w:val="21"/>
          <w:szCs w:val="21"/>
          <w:highlight w:val="none"/>
        </w:rPr>
        <w:t xml:space="preserve">，并配套建设清污机桥、生产设备用房等管理设施，建筑面积1400.26平方米，主厂房顶高程21.85米。</w:t>
      </w:r>
      <w:r/>
    </w:p>
    <w:p>
      <w:pPr>
        <w:pStyle w:val="908"/>
        <w:numPr>
          <w:ilvl w:val="0"/>
          <w:numId w:val="2"/>
        </w:numPr>
        <w:spacing w:line="44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委托管理工作内容</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本项目</w:t>
      </w:r>
      <w:r>
        <w:rPr>
          <w:rFonts w:hint="eastAsia" w:cs="宋体" w:asciiTheme="minorEastAsia" w:hAnsiTheme="minorEastAsia" w:eastAsiaTheme="minorEastAsia"/>
          <w:color w:val="auto"/>
          <w:sz w:val="21"/>
          <w:szCs w:val="21"/>
          <w:highlight w:val="none"/>
        </w:rPr>
        <w:t xml:space="preserve">委托管理工作内容</w:t>
      </w:r>
      <w:r>
        <w:rPr>
          <w:rFonts w:cs="宋体" w:asciiTheme="minorEastAsia" w:hAnsiTheme="minorEastAsia" w:eastAsiaTheme="minorEastAsia"/>
          <w:color w:val="auto"/>
          <w:sz w:val="21"/>
          <w:szCs w:val="21"/>
          <w:highlight w:val="none"/>
        </w:rPr>
        <w:t xml:space="preserve">涵盖上述 7 座闸站的泵站、自排孔、</w:t>
      </w:r>
      <w:r>
        <w:rPr>
          <w:rFonts w:hint="eastAsia" w:cs="宋体" w:asciiTheme="minorEastAsia" w:hAnsiTheme="minorEastAsia" w:eastAsiaTheme="minorEastAsia"/>
          <w:color w:val="auto"/>
          <w:sz w:val="21"/>
          <w:szCs w:val="21"/>
          <w:highlight w:val="none"/>
        </w:rPr>
        <w:t xml:space="preserve">内外河</w:t>
      </w:r>
      <w:r>
        <w:rPr>
          <w:rFonts w:cs="宋体" w:asciiTheme="minorEastAsia" w:hAnsiTheme="minorEastAsia" w:eastAsiaTheme="minorEastAsia"/>
          <w:color w:val="auto"/>
          <w:sz w:val="21"/>
          <w:szCs w:val="21"/>
          <w:highlight w:val="none"/>
        </w:rPr>
        <w:t xml:space="preserve">引河、水利工程用地、变配电设施及其他配套管理设施</w:t>
      </w:r>
      <w:r>
        <w:rPr>
          <w:rFonts w:hint="eastAsia" w:cs="宋体" w:asciiTheme="minorEastAsia" w:hAnsiTheme="minorEastAsia" w:eastAsiaTheme="minorEastAsia"/>
          <w:color w:val="auto"/>
          <w:sz w:val="21"/>
          <w:szCs w:val="21"/>
          <w:highlight w:val="none"/>
        </w:rPr>
        <w:t xml:space="preserve">等</w:t>
      </w:r>
      <w:r>
        <w:rPr>
          <w:rFonts w:cs="宋体" w:asciiTheme="minorEastAsia" w:hAnsiTheme="minorEastAsia" w:eastAsiaTheme="minorEastAsia"/>
          <w:color w:val="auto"/>
          <w:sz w:val="21"/>
          <w:szCs w:val="21"/>
          <w:highlight w:val="none"/>
        </w:rPr>
        <w:t xml:space="preserve">。中标人须全面履行合同附件《亭湖区市区7座中型闸站委托运行管理考核标准》（以下简称《考核标准》）及《江苏省泵站（水闸）技术管理办法》等规定的全部管理职责，确保所有管理行为满足考核要求。</w:t>
      </w:r>
      <w:r/>
    </w:p>
    <w:p>
      <w:pPr>
        <w:pStyle w:val="908"/>
        <w:numPr>
          <w:ilvl w:val="0"/>
          <w:numId w:val="2"/>
        </w:numPr>
        <w:spacing w:line="44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管理服务范围及要求</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全面负责 7 座闸站安全运行，严格执行调度指令，承担日常维修养护、设施保洁、工程运行管理、设备设施管理、建（构）筑物管理、安全管理、档案管理、环境卫生保洁等工作。各项工作须</w:t>
      </w:r>
      <w:r>
        <w:rPr>
          <w:rFonts w:hint="eastAsia" w:cs="宋体" w:asciiTheme="minorEastAsia" w:hAnsiTheme="minorEastAsia" w:eastAsiaTheme="minorEastAsia"/>
          <w:color w:val="auto"/>
          <w:sz w:val="21"/>
          <w:szCs w:val="21"/>
          <w:highlight w:val="none"/>
        </w:rPr>
        <w:t xml:space="preserve">满足</w:t>
      </w:r>
      <w:r>
        <w:rPr>
          <w:rFonts w:cs="宋体" w:asciiTheme="minorEastAsia" w:hAnsiTheme="minorEastAsia" w:eastAsiaTheme="minorEastAsia"/>
          <w:color w:val="auto"/>
          <w:sz w:val="21"/>
          <w:szCs w:val="21"/>
          <w:highlight w:val="none"/>
        </w:rPr>
        <w:t xml:space="preserve">但不限于《考核标准》中</w:t>
      </w:r>
      <w:r>
        <w:rPr>
          <w:rFonts w:hint="eastAsia" w:cs="宋体" w:asciiTheme="minorEastAsia" w:hAnsiTheme="minorEastAsia" w:eastAsiaTheme="minorEastAsia"/>
          <w:color w:val="auto"/>
          <w:sz w:val="21"/>
          <w:szCs w:val="21"/>
          <w:highlight w:val="none"/>
        </w:rPr>
        <w:t xml:space="preserve">“管理保障”</w:t>
      </w:r>
      <w:r>
        <w:rPr>
          <w:rFonts w:cs="宋体" w:asciiTheme="minorEastAsia" w:hAnsiTheme="minorEastAsia" w:eastAsiaTheme="minorEastAsia"/>
          <w:color w:val="auto"/>
          <w:sz w:val="21"/>
          <w:szCs w:val="21"/>
          <w:highlight w:val="none"/>
        </w:rPr>
        <w:t xml:space="preserve">“工程状况”“运行管护”“安全管理”</w:t>
      </w:r>
      <w:r>
        <w:rPr>
          <w:rFonts w:hint="eastAsia" w:cs="宋体" w:asciiTheme="minorEastAsia" w:hAnsiTheme="minorEastAsia" w:eastAsiaTheme="minorEastAsia"/>
          <w:color w:val="auto"/>
          <w:sz w:val="21"/>
          <w:szCs w:val="21"/>
          <w:highlight w:val="none"/>
        </w:rPr>
        <w:t xml:space="preserve">四</w:t>
      </w:r>
      <w:r>
        <w:rPr>
          <w:rFonts w:cs="宋体" w:asciiTheme="minorEastAsia" w:hAnsiTheme="minorEastAsia" w:eastAsiaTheme="minorEastAsia"/>
          <w:color w:val="auto"/>
          <w:sz w:val="21"/>
          <w:szCs w:val="21"/>
          <w:highlight w:val="none"/>
        </w:rPr>
        <w:t xml:space="preserve">大类共计21项的评价指标及赋分要求。</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4、运行管护核心职责与工作要求</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投标人</w:t>
      </w:r>
      <w:r>
        <w:rPr>
          <w:rFonts w:cs="宋体" w:asciiTheme="minorEastAsia" w:hAnsiTheme="minorEastAsia" w:eastAsiaTheme="minorEastAsia"/>
          <w:color w:val="auto"/>
          <w:sz w:val="21"/>
          <w:szCs w:val="21"/>
          <w:highlight w:val="none"/>
        </w:rPr>
        <w:t xml:space="preserve">须围绕《考核标准》的各项要求，切实履行以下核心职责，并建立相应的内部工作机制：</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（1）组织与制度建设</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cs="宋体" w:asciiTheme="minorEastAsia" w:hAnsiTheme="minorEastAsia" w:eastAsiaTheme="minorEastAsia"/>
          <w:color w:val="auto"/>
          <w:sz w:val="21"/>
          <w:szCs w:val="21"/>
          <w:highlight w:val="none"/>
        </w:rPr>
        <w:t xml:space="preserve">制定管理细则：合同签订后30日内，须根据《江苏省泵站（水闸）技术管理办法》及7座闸站具体情况，制定并提交《泵站技术管理实施细则》及《作业指导手册》，内容须覆盖控制运用、工程检查、维修养护等主要工作，经采购人审核后执行。</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cs="宋体" w:asciiTheme="minorEastAsia" w:hAnsiTheme="minorEastAsia" w:eastAsiaTheme="minorEastAsia"/>
          <w:color w:val="auto"/>
          <w:sz w:val="21"/>
          <w:szCs w:val="21"/>
          <w:highlight w:val="none"/>
        </w:rPr>
        <w:t xml:space="preserve">健全管理体制：明确管理主体和责任分工，管理制度须满足需要并上墙明示关键制度和规程。岗位设置和人员配置须满足运行管理要求，关键岗位（如运行值班、电工、起重、焊接等）人员须持有效证书上岗。</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（2）工程运行与操作</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cs="宋体" w:asciiTheme="minorEastAsia" w:hAnsiTheme="minorEastAsia" w:eastAsiaTheme="minorEastAsia"/>
          <w:color w:val="auto"/>
          <w:sz w:val="21"/>
          <w:szCs w:val="21"/>
          <w:highlight w:val="none"/>
        </w:rPr>
        <w:t xml:space="preserve">控制运用：严格</w:t>
      </w:r>
      <w:r>
        <w:rPr>
          <w:rFonts w:hint="eastAsia" w:cs="宋体" w:asciiTheme="minorEastAsia" w:hAnsiTheme="minorEastAsia" w:eastAsiaTheme="minorEastAsia"/>
          <w:color w:val="auto"/>
          <w:sz w:val="21"/>
          <w:szCs w:val="21"/>
          <w:highlight w:val="none"/>
        </w:rPr>
        <w:t xml:space="preserve">执行亭湖区防指办调度指令，</w:t>
      </w:r>
      <w:r>
        <w:rPr>
          <w:rFonts w:cs="宋体" w:asciiTheme="minorEastAsia" w:hAnsiTheme="minorEastAsia" w:eastAsiaTheme="minorEastAsia"/>
          <w:color w:val="auto"/>
          <w:sz w:val="21"/>
          <w:szCs w:val="21"/>
          <w:highlight w:val="none"/>
        </w:rPr>
        <w:t xml:space="preserve">调度运行计划和指令须执行到位，并留有完整、规范的调度运用记录。</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cs="宋体" w:asciiTheme="minorEastAsia" w:hAnsiTheme="minorEastAsia" w:eastAsiaTheme="minorEastAsia"/>
          <w:color w:val="auto"/>
          <w:sz w:val="21"/>
          <w:szCs w:val="21"/>
          <w:highlight w:val="none"/>
        </w:rPr>
        <w:t xml:space="preserve">操作运行：编制并在工作场所明示主机泵、电气设备及辅机设备等操作规程。操作运行须严格按规程和调度指令进行，操作人员须经定期培训，操作记录须规范、签字齐全。</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（3）工程检查与安全监测</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cs="宋体" w:asciiTheme="minorEastAsia" w:hAnsiTheme="minorEastAsia" w:eastAsiaTheme="minorEastAsia"/>
          <w:color w:val="auto"/>
          <w:sz w:val="21"/>
          <w:szCs w:val="21"/>
          <w:highlight w:val="none"/>
        </w:rPr>
        <w:t xml:space="preserve">工程检查：按照《江苏省泵站（水闸）技术管理办法》开展日常检查</w:t>
      </w:r>
      <w:r>
        <w:rPr>
          <w:rFonts w:hint="eastAsia" w:cs="宋体" w:asciiTheme="minorEastAsia" w:hAnsiTheme="minorEastAsia" w:eastAsiaTheme="minorEastAsia"/>
          <w:color w:val="auto"/>
          <w:sz w:val="21"/>
          <w:szCs w:val="21"/>
          <w:highlight w:val="none"/>
        </w:rPr>
        <w:t xml:space="preserve">、</w:t>
      </w:r>
      <w:r>
        <w:rPr>
          <w:rFonts w:cs="宋体" w:asciiTheme="minorEastAsia" w:hAnsiTheme="minorEastAsia" w:eastAsiaTheme="minorEastAsia"/>
          <w:color w:val="auto"/>
          <w:sz w:val="21"/>
          <w:szCs w:val="21"/>
          <w:highlight w:val="none"/>
        </w:rPr>
        <w:t xml:space="preserve">定期检查（汛前、汛后）和专项检查（台风、暴雨、高水位等特殊工况后），检查路线、频次和内容须符合要求，记录规范，发现问题及时处理并报告。定期检查和专项检查报告须报上级主管部门备案。</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cs="宋体" w:asciiTheme="minorEastAsia" w:hAnsiTheme="minorEastAsia" w:eastAsiaTheme="minorEastAsia"/>
          <w:color w:val="auto"/>
          <w:sz w:val="21"/>
          <w:szCs w:val="21"/>
          <w:highlight w:val="none"/>
        </w:rPr>
        <w:t xml:space="preserve">安全监测：按照相关规程规范要求，对水工建筑物沉降、机电设备绝缘</w:t>
      </w:r>
      <w:r>
        <w:rPr>
          <w:rFonts w:hint="eastAsia" w:cs="宋体" w:asciiTheme="minorEastAsia" w:hAnsiTheme="minorEastAsia" w:eastAsiaTheme="minorEastAsia"/>
          <w:color w:val="auto"/>
          <w:sz w:val="21"/>
          <w:szCs w:val="21"/>
          <w:highlight w:val="none"/>
        </w:rPr>
        <w:t xml:space="preserve">和接地</w:t>
      </w:r>
      <w:r>
        <w:rPr>
          <w:rFonts w:cs="宋体" w:asciiTheme="minorEastAsia" w:hAnsiTheme="minorEastAsia" w:eastAsiaTheme="minorEastAsia"/>
          <w:color w:val="auto"/>
          <w:sz w:val="21"/>
          <w:szCs w:val="21"/>
          <w:highlight w:val="none"/>
        </w:rPr>
        <w:t xml:space="preserve">开展安全监测，监测项目、频次须符合要求。做好监测数据的记录、整编、分析工作，确保数据可靠、记录完整、分析有效。</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（4）安全管理</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cs="宋体" w:asciiTheme="minorEastAsia" w:hAnsiTheme="minorEastAsia" w:eastAsiaTheme="minorEastAsia"/>
          <w:color w:val="auto"/>
          <w:sz w:val="21"/>
          <w:szCs w:val="21"/>
          <w:highlight w:val="none"/>
        </w:rPr>
        <w:t xml:space="preserve">保护管理：有效开展水事巡查工作，每周不少于1次，巡查记录规范。确保工程管理范围内无违规建设行为，工程保护范围内无危害工程运行安全的活动。</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rPr>
          <w:rFonts w:cs="宋体" w:asciiTheme="minorEastAsia" w:hAnsiTheme="minorEastAsia" w:eastAsiaTheme="minorEastAsia"/>
          <w:color w:val="auto"/>
          <w:sz w:val="21"/>
          <w:szCs w:val="21"/>
          <w:highlight w:val="none"/>
        </w:rPr>
        <w:t xml:space="preserve">防汛管理：健全防汛组织体系，落实防汛责任制，编制并演练防汛抢险应急预案。按规定开展汛前检查，配备必要的抢险工具、器材设备，确保预警、预报信息畅通。</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w:t>
      </w:r>
      <w:r>
        <w:rPr>
          <w:rFonts w:cs="宋体" w:asciiTheme="minorEastAsia" w:hAnsiTheme="minorEastAsia" w:eastAsiaTheme="minorEastAsia"/>
          <w:color w:val="auto"/>
          <w:sz w:val="21"/>
          <w:szCs w:val="21"/>
          <w:highlight w:val="none"/>
        </w:rPr>
        <w:t xml:space="preserve">安全生产：全面落实安全生产责任制，按规定开展危险源辨识、风险评价及分级管控。定期开展安全隐患排查治理，记录规范。安全设施及器具须配备齐全并定期检验，安全警示标识、危险源辨识牌等设置规范。编制安全生产应急预案并完成报备，定期开展演练。确保合同期内无生产安全事故。</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5、人员配置与在岗要求</w:t>
      </w:r>
      <w:r/>
    </w:p>
    <w:p>
      <w:pPr>
        <w:pStyle w:val="720"/>
        <w:ind w:firstLine="420"/>
        <w:spacing w:after="0" w:line="440" w:lineRule="exact"/>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（1）最低人员配置：本项目最低人员配备为23人，具体岗位及要求如下表。</w:t>
      </w:r>
      <w:r/>
    </w:p>
    <w:p>
      <w:pPr>
        <w:jc w:val="center"/>
        <w:spacing w:line="3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岗位及主要工种需求表</w:t>
      </w:r>
      <w:r/>
    </w:p>
    <w:tbl>
      <w:tblPr>
        <w:tblStyle w:val="744"/>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3"/>
        <w:gridCol w:w="1399"/>
        <w:gridCol w:w="5770"/>
        <w:gridCol w:w="1317"/>
      </w:tblGrid>
      <w:tr>
        <w:trPr>
          <w:trHeight w:val="385"/>
        </w:trPr>
        <w:tc>
          <w:tcPr>
            <w:tcW w:w="723" w:type="dxa"/>
            <w:vAlign w:val="center"/>
            <w:textDirection w:val="lrTb"/>
            <w:noWrap w:val="false"/>
          </w:tcPr>
          <w:p>
            <w:pPr>
              <w:jc w:val="center"/>
              <w:spacing w:line="28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1399" w:type="dxa"/>
            <w:vAlign w:val="center"/>
            <w:textDirection w:val="lrTb"/>
            <w:noWrap w:val="false"/>
          </w:tcPr>
          <w:p>
            <w:pPr>
              <w:jc w:val="center"/>
              <w:spacing w:line="28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岗位</w:t>
            </w:r>
            <w:r/>
          </w:p>
        </w:tc>
        <w:tc>
          <w:tcPr>
            <w:tcW w:w="5770" w:type="dxa"/>
            <w:vAlign w:val="center"/>
            <w:textDirection w:val="lrTb"/>
            <w:noWrap w:val="false"/>
          </w:tcPr>
          <w:p>
            <w:pPr>
              <w:ind w:left="63" w:right="63"/>
              <w:jc w:val="center"/>
              <w:spacing w:line="280" w:lineRule="exact"/>
              <w:widowControl/>
              <w:rPr>
                <w:rFonts w:hint="eastAsia" w:cs="宋体" w:asciiTheme="minorEastAsia" w:hAnsiTheme="minorEastAsia" w:eastAsiaTheme="minorEastAsia"/>
                <w:color w:val="auto"/>
                <w:sz w:val="21"/>
                <w:szCs w:val="21"/>
                <w:highlight w:val="none"/>
                <w:lang w:bidi="ar"/>
              </w:rPr>
            </w:pPr>
            <w:r>
              <w:rPr>
                <w:rFonts w:hint="eastAsia" w:cs="Arial" w:asciiTheme="minorEastAsia" w:hAnsiTheme="minorEastAsia" w:eastAsiaTheme="minorEastAsia"/>
                <w:color w:val="auto"/>
                <w:sz w:val="21"/>
                <w:szCs w:val="21"/>
                <w:highlight w:val="none"/>
              </w:rPr>
              <w:t xml:space="preserve">岗位要求</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备注</w:t>
            </w:r>
            <w:r/>
          </w:p>
        </w:tc>
      </w:tr>
      <w:tr>
        <w:trPr>
          <w:trHeight w:val="420"/>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1</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项目负责人</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负责本项目的全面工作。</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tc>
      </w:tr>
      <w:tr>
        <w:trPr>
          <w:trHeight w:val="696"/>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2</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技术负责人</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负责技术支持与服务，制订详细的检查计划、观测计划、维修养护方案，按规定开展工程观测工作。</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tc>
      </w:tr>
      <w:tr>
        <w:trPr>
          <w:trHeight w:val="920"/>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3</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运行班长</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具有泵站或闸门运行中级工及以上等级证书，负责执行调度指令、日常保洁、常规巡检、养护维修、应急故障处理、台账记录等。</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每站1人</w:t>
            </w:r>
            <w:r/>
          </w:p>
        </w:tc>
      </w:tr>
      <w:tr>
        <w:trPr>
          <w:trHeight w:val="645"/>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4</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运行人员</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具有泵站或闸门运行初级工及以上等级证书，协助运行班长工作。</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tc>
      </w:tr>
      <w:tr>
        <w:trPr>
          <w:trHeight w:val="1268"/>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5</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电工</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负责电气设备的日常检查、维护、运行工作。其中高压电工不少于7人，须持有高压电工特种作业操作证。</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人员可与其他岗位交叉，但证书须满足要求</w:t>
            </w:r>
            <w:r/>
          </w:p>
        </w:tc>
      </w:tr>
      <w:tr>
        <w:trPr>
          <w:trHeight w:val="418"/>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6</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水利水电专业人员</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负责工程水工建筑物的日常管理工作。</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tc>
      </w:tr>
      <w:tr>
        <w:trPr>
          <w:trHeight w:val="424"/>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7</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电气专业人员</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负责机电设备设施的日常管理工作。</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tc>
      </w:tr>
      <w:tr>
        <w:trPr>
          <w:trHeight w:val="699"/>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8</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自动化或计算机专业人员</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负责工程项目的视频监控、自动化控制运行系统的检查、维护等工作。</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tc>
      </w:tr>
      <w:tr>
        <w:trPr>
          <w:trHeight w:val="684"/>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9</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焊工</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负责金属结构的检查与维护工作，须持有焊工特种作业操作证。</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不少于2人</w:t>
            </w:r>
            <w:r/>
          </w:p>
        </w:tc>
      </w:tr>
      <w:tr>
        <w:trPr>
          <w:trHeight w:val="707"/>
        </w:trPr>
        <w:tc>
          <w:tcPr>
            <w:tcW w:w="723"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10</w:t>
            </w:r>
            <w:r/>
          </w:p>
        </w:tc>
        <w:tc>
          <w:tcPr>
            <w:tcW w:w="1399"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起重工</w:t>
            </w:r>
            <w:r/>
          </w:p>
        </w:tc>
        <w:tc>
          <w:tcPr>
            <w:tcW w:w="5770" w:type="dxa"/>
            <w:vAlign w:val="center"/>
            <w:textDirection w:val="lrTb"/>
            <w:noWrap w:val="false"/>
          </w:tcPr>
          <w:p>
            <w:pPr>
              <w:ind w:left="63" w:right="63"/>
              <w:jc w:val="left"/>
              <w:spacing w:line="280" w:lineRule="exact"/>
              <w:widowControl/>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负责行车等起吊设施的检查与管护工作，须持有起重特种作业操作证。</w:t>
            </w:r>
            <w:r/>
          </w:p>
        </w:tc>
        <w:tc>
          <w:tcPr>
            <w:tcW w:w="1317" w:type="dxa"/>
            <w:vAlign w:val="center"/>
            <w:textDirection w:val="lrTb"/>
            <w:noWrap w:val="false"/>
          </w:tcPr>
          <w:p>
            <w:pPr>
              <w:ind w:left="63" w:right="63"/>
              <w:jc w:val="center"/>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不少于2人</w:t>
            </w:r>
            <w:r/>
          </w:p>
        </w:tc>
      </w:tr>
      <w:tr>
        <w:trPr>
          <w:trHeight w:val="1116"/>
        </w:trPr>
        <w:tc>
          <w:tcPr>
            <w:gridSpan w:val="4"/>
            <w:tcW w:w="9209" w:type="dxa"/>
            <w:vAlign w:val="center"/>
            <w:textDirection w:val="lrTb"/>
            <w:noWrap w:val="false"/>
          </w:tcPr>
          <w:p>
            <w:pPr>
              <w:ind w:left="62" w:right="62"/>
              <w:jc w:val="left"/>
              <w:spacing w:line="280" w:lineRule="exact"/>
              <w:widowControl/>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注：</w:t>
            </w:r>
            <w:r>
              <w:rPr>
                <w:rFonts w:cs="Arial" w:asciiTheme="minorEastAsia" w:hAnsiTheme="minorEastAsia" w:eastAsiaTheme="minorEastAsia"/>
                <w:color w:val="auto"/>
                <w:sz w:val="21"/>
                <w:szCs w:val="21"/>
                <w:highlight w:val="none"/>
              </w:rPr>
              <w:t xml:space="preserve">以上人员中，项目负责人与技术负责人不得为同一人；运行班长与运行人员不得为同一人。</w:t>
            </w:r>
            <w:r>
              <w:rPr>
                <w:rFonts w:hint="eastAsia" w:cs="Arial" w:asciiTheme="minorEastAsia" w:hAnsiTheme="minorEastAsia" w:eastAsiaTheme="minorEastAsia"/>
                <w:color w:val="auto"/>
                <w:sz w:val="21"/>
                <w:szCs w:val="21"/>
                <w:highlight w:val="none"/>
              </w:rPr>
              <w:t xml:space="preserve">其他工种投标人应综合考虑，尽可能满足本项目正常运行管理的要求。</w:t>
            </w:r>
            <w:bookmarkStart w:id="144" w:name="OLE_LINK55"/>
            <w:r/>
            <w:bookmarkStart w:id="145" w:name="OLE_LINK56"/>
            <w:r>
              <w:rPr>
                <w:rFonts w:cs="Arial" w:asciiTheme="minorEastAsia" w:hAnsiTheme="minorEastAsia" w:eastAsiaTheme="minorEastAsia"/>
                <w:color w:val="auto"/>
                <w:sz w:val="21"/>
                <w:szCs w:val="21"/>
                <w:highlight w:val="none"/>
              </w:rPr>
              <w:t xml:space="preserve">所有特种作业人员必须持有效的特种作业操作证上岗。</w:t>
            </w:r>
            <w:bookmarkEnd w:id="144"/>
            <w:r/>
            <w:bookmarkEnd w:id="145"/>
            <w:r/>
            <w:r/>
          </w:p>
        </w:tc>
      </w:tr>
    </w:tbl>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（2）在岗时间要求（严格执行《考核标准》及合同约定）：</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项目负责人：在岗时间</w:t>
      </w:r>
      <w:r>
        <w:rPr>
          <w:rFonts w:hint="eastAsia" w:cs="宋体" w:asciiTheme="minorEastAsia" w:hAnsiTheme="minorEastAsia" w:eastAsiaTheme="minorEastAsia"/>
          <w:color w:val="auto"/>
          <w:sz w:val="21"/>
          <w:szCs w:val="21"/>
          <w:highlight w:val="none"/>
          <w:lang w:val="zh-CN"/>
        </w:rPr>
        <w:t xml:space="preserve">非</w:t>
      </w:r>
      <w:r>
        <w:rPr>
          <w:rFonts w:cs="宋体" w:asciiTheme="minorEastAsia" w:hAnsiTheme="minorEastAsia" w:eastAsiaTheme="minorEastAsia"/>
          <w:color w:val="auto"/>
          <w:sz w:val="21"/>
          <w:szCs w:val="21"/>
          <w:highlight w:val="none"/>
          <w:lang w:val="zh-CN"/>
        </w:rPr>
        <w:t xml:space="preserve">汛期</w:t>
      </w:r>
      <w:r>
        <w:rPr>
          <w:rFonts w:hint="eastAsia" w:cs="宋体" w:asciiTheme="minorEastAsia" w:hAnsiTheme="minorEastAsia" w:eastAsiaTheme="minorEastAsia"/>
          <w:color w:val="auto"/>
          <w:sz w:val="21"/>
          <w:szCs w:val="21"/>
          <w:highlight w:val="none"/>
          <w:lang w:val="zh-CN"/>
        </w:rPr>
        <w:t xml:space="preserve">每月不</w:t>
      </w:r>
      <w:r>
        <w:rPr>
          <w:rFonts w:cs="宋体" w:asciiTheme="minorEastAsia" w:hAnsiTheme="minorEastAsia" w:eastAsiaTheme="minorEastAsia"/>
          <w:color w:val="auto"/>
          <w:sz w:val="21"/>
          <w:szCs w:val="21"/>
          <w:highlight w:val="none"/>
          <w:lang w:val="zh-CN"/>
        </w:rPr>
        <w:t xml:space="preserve">少于22天，汛期</w:t>
      </w:r>
      <w:r>
        <w:rPr>
          <w:rFonts w:hint="eastAsia" w:cs="宋体" w:asciiTheme="minorEastAsia" w:hAnsiTheme="minorEastAsia" w:eastAsiaTheme="minorEastAsia"/>
          <w:color w:val="auto"/>
          <w:sz w:val="21"/>
          <w:szCs w:val="21"/>
          <w:highlight w:val="none"/>
          <w:lang w:val="zh-CN"/>
        </w:rPr>
        <w:t xml:space="preserve">不少于</w:t>
      </w:r>
      <w:r>
        <w:rPr>
          <w:rFonts w:cs="宋体" w:asciiTheme="minorEastAsia" w:hAnsiTheme="minorEastAsia" w:eastAsiaTheme="minorEastAsia"/>
          <w:color w:val="auto"/>
          <w:sz w:val="21"/>
          <w:szCs w:val="21"/>
          <w:highlight w:val="none"/>
          <w:lang w:val="zh-CN"/>
        </w:rPr>
        <w:t xml:space="preserve">25天。项目负责人不在岗时，技术负责人须在岗。</w:t>
      </w:r>
      <w:r>
        <w:rPr>
          <w:rFonts w:cs="Arial" w:asciiTheme="minorEastAsia" w:hAnsiTheme="minorEastAsia" w:eastAsiaTheme="minorEastAsia"/>
          <w:color w:val="auto"/>
          <w:sz w:val="21"/>
          <w:szCs w:val="21"/>
          <w:highlight w:val="none"/>
        </w:rPr>
        <w:t xml:space="preserve">项目负责人与技术负责人</w:t>
      </w:r>
      <w:r>
        <w:rPr>
          <w:rFonts w:hint="eastAsia" w:cs="Arial" w:asciiTheme="minorEastAsia" w:hAnsiTheme="minorEastAsia" w:eastAsiaTheme="minorEastAsia"/>
          <w:color w:val="auto"/>
          <w:sz w:val="21"/>
          <w:szCs w:val="21"/>
          <w:highlight w:val="none"/>
        </w:rPr>
        <w:t xml:space="preserve">不得更换 (法律法规规定的不可抗力除外)，同时每换1人扣款2万元。</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运行人员：每座闸站须保证24小时有人值守。6-9月汛期，须保证每座闸站每班值守人员不少于2人</w:t>
      </w:r>
      <w:r>
        <w:rPr>
          <w:rFonts w:hint="eastAsia" w:cs="宋体" w:asciiTheme="minorEastAsia" w:hAnsiTheme="minorEastAsia" w:eastAsiaTheme="minorEastAsia"/>
          <w:color w:val="auto"/>
          <w:sz w:val="21"/>
          <w:szCs w:val="21"/>
          <w:highlight w:val="none"/>
          <w:lang w:val="zh-CN"/>
        </w:rPr>
        <w:t xml:space="preserve">（</w:t>
      </w:r>
      <w:r>
        <w:rPr>
          <w:rFonts w:hint="eastAsia" w:cs="宋体" w:asciiTheme="minorEastAsia" w:hAnsiTheme="minorEastAsia" w:eastAsiaTheme="minorEastAsia"/>
          <w:color w:val="auto"/>
          <w:sz w:val="21"/>
          <w:szCs w:val="21"/>
          <w:highlight w:val="none"/>
        </w:rPr>
        <w:t xml:space="preserve">其中1人须有电工证</w:t>
      </w:r>
      <w:r>
        <w:rPr>
          <w:rFonts w:hint="eastAsia" w:cs="宋体" w:asciiTheme="minorEastAsia" w:hAnsiTheme="minorEastAsia" w:eastAsiaTheme="minorEastAsia"/>
          <w:color w:val="auto"/>
          <w:sz w:val="21"/>
          <w:szCs w:val="21"/>
          <w:highlight w:val="none"/>
          <w:lang w:val="zh-CN"/>
        </w:rPr>
        <w:t xml:space="preserve">）</w:t>
      </w:r>
      <w:r>
        <w:rPr>
          <w:rFonts w:cs="宋体" w:asciiTheme="minorEastAsia" w:hAnsiTheme="minorEastAsia" w:eastAsiaTheme="minorEastAsia"/>
          <w:color w:val="auto"/>
          <w:sz w:val="21"/>
          <w:szCs w:val="21"/>
          <w:highlight w:val="none"/>
          <w:lang w:val="zh-CN"/>
        </w:rPr>
        <w:t xml:space="preserve">，且运行人员不得同时离岗。</w:t>
      </w:r>
      <w:r>
        <w:rPr>
          <w:rFonts w:hint="eastAsia" w:cs="宋体" w:asciiTheme="minorEastAsia" w:hAnsiTheme="minorEastAsia" w:eastAsiaTheme="minorEastAsia"/>
          <w:color w:val="auto"/>
          <w:sz w:val="21"/>
          <w:szCs w:val="21"/>
          <w:highlight w:val="none"/>
          <w:lang w:val="zh-CN"/>
        </w:rPr>
        <w:t xml:space="preserve">运行人员如因特殊情况确需更换，须征得采购人认可，且资格、能力均不低于原有水平。</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请假制度：项目负责人和项目部人员离岗须履行书面请假手续并经</w:t>
      </w:r>
      <w:r>
        <w:rPr>
          <w:rFonts w:hint="eastAsia" w:cs="宋体" w:asciiTheme="minorEastAsia" w:hAnsiTheme="minorEastAsia" w:eastAsiaTheme="minorEastAsia"/>
          <w:color w:val="auto"/>
          <w:sz w:val="21"/>
          <w:szCs w:val="21"/>
          <w:highlight w:val="none"/>
          <w:lang w:val="zh-CN"/>
        </w:rPr>
        <w:t xml:space="preserve">采购人</w:t>
      </w:r>
      <w:r>
        <w:rPr>
          <w:rFonts w:cs="宋体" w:asciiTheme="minorEastAsia" w:hAnsiTheme="minorEastAsia" w:eastAsiaTheme="minorEastAsia"/>
          <w:color w:val="auto"/>
          <w:sz w:val="21"/>
          <w:szCs w:val="21"/>
          <w:highlight w:val="none"/>
          <w:lang w:val="zh-CN"/>
        </w:rPr>
        <w:t xml:space="preserve">同意。未经同意擅自离岗的，将按每人每天500元罚款。</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事故处理：服务期内，因中标人管理不善或违规操作造成设备安全责任事故的，认定事故所在闸站当月运行管理不合格，扣除该闸站当月全部委托运行服务费；造成设备设施损失的，一切损失由中标人承担。</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6、考核</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考核表中扣分值为评分要点的最高扣分值，评分时可依据具体情况在该分值范围内酌情扣分，每个单项扣分后最低得分为0分，最高分不超过本项标准分。</w:t>
      </w:r>
      <w:r/>
    </w:p>
    <w:p>
      <w:pPr>
        <w:ind w:firstLine="420"/>
        <w:spacing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7</w:t>
      </w:r>
      <w:r>
        <w:rPr>
          <w:rFonts w:hint="eastAsia" w:cs="宋体" w:asciiTheme="minorEastAsia" w:hAnsiTheme="minorEastAsia" w:eastAsiaTheme="minorEastAsia"/>
          <w:color w:val="auto"/>
          <w:sz w:val="21"/>
          <w:szCs w:val="21"/>
          <w:highlight w:val="none"/>
          <w:lang w:val="zh-CN"/>
        </w:rPr>
        <w:t xml:space="preserve">、人员培训</w:t>
      </w:r>
      <w:r/>
    </w:p>
    <w:p>
      <w:pPr>
        <w:ind w:firstLine="420"/>
        <w:spacing w:line="440" w:lineRule="exact"/>
        <w:rPr>
          <w:rFonts w:hint="eastAsia"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强化职工的安全培训、岗位教育和技术培训，提高岗位技能和业务水平，达到相关人员持证上岗。管护单位一方面培训好本单位职工，另一方面，安排一定时间对采购人单位人员进行培训。</w:t>
      </w:r>
      <w:r/>
    </w:p>
    <w:p>
      <w:pPr>
        <w:ind w:firstLine="420"/>
        <w:spacing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8</w:t>
      </w:r>
      <w:r>
        <w:rPr>
          <w:rFonts w:hint="eastAsia" w:cs="宋体" w:asciiTheme="minorEastAsia" w:hAnsiTheme="minorEastAsia" w:eastAsiaTheme="minorEastAsia"/>
          <w:color w:val="auto"/>
          <w:sz w:val="21"/>
          <w:szCs w:val="21"/>
          <w:highlight w:val="none"/>
          <w:lang w:val="zh-CN"/>
        </w:rPr>
        <w:t xml:space="preserve">、质量要求</w:t>
      </w:r>
      <w:r/>
    </w:p>
    <w:p>
      <w:pPr>
        <w:ind w:firstLine="420"/>
        <w:spacing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rPr>
        <w:t xml:space="preserve">达到《考核标准》规定的各项要求。</w:t>
      </w:r>
      <w:r/>
    </w:p>
    <w:p>
      <w:pPr>
        <w:ind w:firstLine="420"/>
        <w:spacing w:line="440" w:lineRule="exact"/>
        <w:rPr>
          <w:rFonts w:hint="eastAsia" w:cs="宋体" w:asciiTheme="minorEastAsia" w:hAnsiTheme="minorEastAsia" w:eastAsiaTheme="minorEastAsia"/>
          <w:color w:val="auto"/>
          <w:sz w:val="21"/>
          <w:szCs w:val="21"/>
          <w:highlight w:val="none"/>
          <w:lang w:val="zh-CN"/>
        </w:rPr>
      </w:pPr>
      <w:r>
        <w:rPr>
          <w:rFonts w:cs="宋体" w:asciiTheme="minorEastAsia" w:hAnsiTheme="minorEastAsia" w:eastAsiaTheme="minorEastAsia"/>
          <w:color w:val="auto"/>
          <w:sz w:val="21"/>
          <w:szCs w:val="21"/>
          <w:highlight w:val="none"/>
          <w:lang w:val="zh-CN"/>
        </w:rPr>
        <w:t xml:space="preserve">9</w:t>
      </w:r>
      <w:r>
        <w:rPr>
          <w:rFonts w:hint="eastAsia" w:cs="宋体" w:asciiTheme="minorEastAsia" w:hAnsiTheme="minorEastAsia" w:eastAsiaTheme="minorEastAsia"/>
          <w:color w:val="auto"/>
          <w:sz w:val="21"/>
          <w:szCs w:val="21"/>
          <w:highlight w:val="none"/>
          <w:lang w:val="zh-CN"/>
        </w:rPr>
        <w:t xml:space="preserve">、项目适用的法律法规、规章及技术标准</w:t>
      </w:r>
      <w:r/>
    </w:p>
    <w:p>
      <w:pPr>
        <w:ind w:firstLine="420"/>
        <w:spacing w:line="440" w:lineRule="exact"/>
        <w:rPr>
          <w:rFonts w:hint="eastAsia"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《中华人民共和国水法》《中华人民共和国防洪法》水利部《泵站（</w:t>
      </w:r>
      <w:r>
        <w:rPr>
          <w:rFonts w:hint="eastAsia" w:cs="宋体" w:asciiTheme="minorEastAsia" w:hAnsiTheme="minorEastAsia" w:eastAsiaTheme="minorEastAsia"/>
          <w:color w:val="auto"/>
          <w:sz w:val="21"/>
          <w:szCs w:val="21"/>
          <w:highlight w:val="none"/>
        </w:rPr>
        <w:t xml:space="preserve">水闸</w:t>
      </w:r>
      <w:r>
        <w:rPr>
          <w:rFonts w:hint="eastAsia" w:cs="宋体" w:asciiTheme="minorEastAsia" w:hAnsiTheme="minorEastAsia" w:eastAsiaTheme="minorEastAsia"/>
          <w:color w:val="auto"/>
          <w:sz w:val="21"/>
          <w:szCs w:val="21"/>
          <w:highlight w:val="none"/>
          <w:lang w:val="zh-CN"/>
        </w:rPr>
        <w:t xml:space="preserve">）技术管理规程》《江苏省水利工程管理条例》《江苏省河道管理实施办法》《</w:t>
      </w:r>
      <w:r>
        <w:rPr>
          <w:rFonts w:hint="eastAsia" w:cs="宋体" w:asciiTheme="minorEastAsia" w:hAnsiTheme="minorEastAsia" w:eastAsiaTheme="minorEastAsia"/>
          <w:color w:val="auto"/>
          <w:sz w:val="21"/>
          <w:szCs w:val="21"/>
          <w:highlight w:val="none"/>
        </w:rPr>
        <w:t xml:space="preserve">泵站（水闸）运行规程</w:t>
      </w:r>
      <w:r>
        <w:rPr>
          <w:rFonts w:hint="eastAsia" w:cs="宋体" w:asciiTheme="minorEastAsia" w:hAnsiTheme="minorEastAsia" w:eastAsiaTheme="minorEastAsia"/>
          <w:color w:val="auto"/>
          <w:sz w:val="21"/>
          <w:szCs w:val="21"/>
          <w:highlight w:val="none"/>
          <w:lang w:val="zh-CN"/>
        </w:rPr>
        <w:t xml:space="preserve">》《江苏省泵站（</w:t>
      </w:r>
      <w:r>
        <w:rPr>
          <w:rFonts w:hint="eastAsia" w:cs="宋体" w:asciiTheme="minorEastAsia" w:hAnsiTheme="minorEastAsia" w:eastAsiaTheme="minorEastAsia"/>
          <w:color w:val="auto"/>
          <w:sz w:val="21"/>
          <w:szCs w:val="21"/>
          <w:highlight w:val="none"/>
        </w:rPr>
        <w:t xml:space="preserve">水闸</w:t>
      </w:r>
      <w:r>
        <w:rPr>
          <w:rFonts w:hint="eastAsia" w:cs="宋体" w:asciiTheme="minorEastAsia" w:hAnsiTheme="minorEastAsia" w:eastAsiaTheme="minorEastAsia"/>
          <w:color w:val="auto"/>
          <w:sz w:val="21"/>
          <w:szCs w:val="21"/>
          <w:highlight w:val="none"/>
          <w:lang w:val="zh-CN"/>
        </w:rPr>
        <w:t xml:space="preserve">）技术管理办法》其它相关闸站工程管理的规章制度及考核管理办法。</w:t>
      </w:r>
      <w:r/>
    </w:p>
    <w:p>
      <w:pPr>
        <w:pStyle w:val="716"/>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w:t>
      </w:r>
      <w:r>
        <w:rPr>
          <w:rFonts w:hint="eastAsia" w:asciiTheme="minorEastAsia" w:hAnsiTheme="minorEastAsia" w:eastAsiaTheme="minorEastAsia"/>
          <w:color w:val="auto"/>
          <w:sz w:val="21"/>
          <w:szCs w:val="21"/>
          <w:highlight w:val="none"/>
        </w:rPr>
        <w:t xml:space="preserve">、</w:t>
      </w:r>
      <w:bookmarkStart w:id="146" w:name="OLE_LINK45"/>
      <w:r>
        <w:rPr>
          <w:rFonts w:hint="eastAsia" w:asciiTheme="minorEastAsia" w:hAnsiTheme="minorEastAsia" w:eastAsiaTheme="minorEastAsia"/>
          <w:color w:val="auto"/>
          <w:sz w:val="21"/>
          <w:szCs w:val="21"/>
          <w:highlight w:val="none"/>
        </w:rPr>
        <w:t xml:space="preserve">投标人</w:t>
      </w:r>
      <w:bookmarkEnd w:id="146"/>
      <w:r>
        <w:rPr>
          <w:rFonts w:hint="eastAsia" w:asciiTheme="minorEastAsia" w:hAnsiTheme="minorEastAsia" w:eastAsiaTheme="minorEastAsia"/>
          <w:color w:val="auto"/>
          <w:sz w:val="21"/>
          <w:szCs w:val="21"/>
          <w:highlight w:val="none"/>
        </w:rPr>
        <w:t xml:space="preserve">自行配置为保证管理所需要的各类工具、设施设备，所有材料必须有质量保证书，符合国家相关的技术标准。因</w:t>
      </w:r>
      <w:r>
        <w:rPr>
          <w:rFonts w:hint="eastAsia" w:asciiTheme="minorEastAsia" w:hAnsiTheme="minorEastAsia" w:eastAsiaTheme="minorEastAsia"/>
          <w:color w:val="auto"/>
          <w:sz w:val="21"/>
          <w:szCs w:val="21"/>
          <w:highlight w:val="none"/>
        </w:rPr>
        <w:t xml:space="preserve">投标人</w:t>
      </w:r>
      <w:r>
        <w:rPr>
          <w:rFonts w:hint="eastAsia" w:asciiTheme="minorEastAsia" w:hAnsiTheme="minorEastAsia" w:eastAsiaTheme="minorEastAsia"/>
          <w:color w:val="auto"/>
          <w:sz w:val="21"/>
          <w:szCs w:val="21"/>
          <w:highlight w:val="none"/>
        </w:rPr>
        <w:t xml:space="preserve">管理不善，造成项目范围内的设施、设备等损坏的，由投标人赔偿。</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、管护期间内确保串场河三英闸站和串场河新兴闸站日常通航安全。</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、须按照本采购文件的要求对该招标项目进行服务工作，采购人组织对管理项目不定期进行考核，考核的结果作为付款结算依据。</w:t>
      </w:r>
      <w:r/>
    </w:p>
    <w:p>
      <w:pPr>
        <w:pStyle w:val="716"/>
        <w:ind w:firstLine="422"/>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三、特别说明</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1、中标人必须严格遵守闸站运行管理相关操作规程（行业服务规范）及与安全生产相关的法律法规和规章制度。</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2、参与运行管理的工作人员须持证上岗，涉及特种作业岗位的工作人员必须持有特种作业证。</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3、制订切实可行的安全教育培训计划，定期开展员工的安全生产教育培训，不断提高员工的安全生产意识；定期开展安全预案演练及突发事故处置等相关培训。</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4、合同期内因中标人导致的安全生产责任事故，造成人员伤亡及财产损失（含给第三方产生的损害），均由中标人负责，与采购人无关。</w:t>
      </w:r>
      <w:r/>
    </w:p>
    <w:p>
      <w:pPr>
        <w:pStyle w:val="716"/>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5、各投标人根据需要，可安排专业的人员自行赴项目现场进行实地勘查，联系人：梁先生，  联系电话：13770116777。</w:t>
      </w:r>
      <w:r/>
    </w:p>
    <w:p>
      <w:pPr>
        <w:pStyle w:val="716"/>
        <w:ind w:firstLine="422"/>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四、商务条款</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1、合同履行期限：1年，</w:t>
      </w:r>
      <w:r>
        <w:rPr>
          <w:rFonts w:hint="eastAsia" w:asciiTheme="minorEastAsia" w:hAnsiTheme="minorEastAsia" w:eastAsiaTheme="minorEastAsia"/>
          <w:color w:val="auto"/>
          <w:sz w:val="21"/>
          <w:szCs w:val="21"/>
          <w:highlight w:val="none"/>
        </w:rPr>
        <w:t xml:space="preserve">服务期开</w:t>
      </w:r>
      <w:r>
        <w:rPr>
          <w:rFonts w:hint="eastAsia" w:asciiTheme="minorEastAsia" w:hAnsiTheme="minorEastAsia" w:eastAsiaTheme="minorEastAsia"/>
          <w:color w:val="auto"/>
          <w:sz w:val="21"/>
          <w:szCs w:val="21"/>
          <w:highlight w:val="none"/>
        </w:rPr>
        <w:t xml:space="preserve">始时间从移交后开始计算。</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地点：串场河三英闸站、串场河新兴闸站、永新河南闸站、中岗河南闸站、永丰渠西闸站以及龙灶河闸站、青墩中心河南闸站7</w:t>
      </w:r>
      <w:r>
        <w:rPr>
          <w:rFonts w:hint="eastAsia" w:asciiTheme="minorEastAsia" w:hAnsiTheme="minorEastAsia" w:eastAsiaTheme="minorEastAsia"/>
          <w:color w:val="auto"/>
          <w:sz w:val="21"/>
          <w:szCs w:val="21"/>
          <w:highlight w:val="none"/>
        </w:rPr>
        <w:t xml:space="preserve">座工程</w:t>
      </w:r>
      <w:r>
        <w:rPr>
          <w:rFonts w:hint="eastAsia" w:asciiTheme="minorEastAsia" w:hAnsiTheme="minorEastAsia" w:eastAsiaTheme="minorEastAsia"/>
          <w:color w:val="auto"/>
          <w:sz w:val="21"/>
          <w:szCs w:val="21"/>
          <w:highlight w:val="none"/>
        </w:rPr>
        <w:t xml:space="preserve">。</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3、付款条件</w:t>
      </w:r>
      <w:r/>
    </w:p>
    <w:p>
      <w:pPr>
        <w:pStyle w:val="739"/>
        <w:ind w:firstLine="480"/>
        <w:jc w:val="both"/>
        <w:spacing w:before="0" w:beforeAutospacing="0" w:after="0" w:afterAutospacing="0" w:line="440" w:lineRule="exact"/>
        <w:rPr>
          <w:rFonts w:hint="eastAsia"/>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.1合同款项的支付方式及进度安排</w:t>
      </w:r>
      <w:r/>
    </w:p>
    <w:p>
      <w:pPr>
        <w:pStyle w:val="739"/>
        <w:ind w:firstLine="480"/>
        <w:jc w:val="both"/>
        <w:spacing w:before="0" w:beforeAutospacing="0" w:after="0" w:afterAutospacing="0" w:line="440" w:lineRule="exact"/>
        <w:rPr>
          <w:rFonts w:hint="eastAsia"/>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.1.1 预付款支付时间：合同签订后，采购人收到预付款发票后30日内；预付款支付比例：合同金额的30%。</w:t>
      </w:r>
      <w:r/>
    </w:p>
    <w:p>
      <w:pPr>
        <w:pStyle w:val="739"/>
        <w:ind w:firstLine="480"/>
        <w:jc w:val="both"/>
        <w:spacing w:before="0" w:beforeAutospacing="0" w:after="0" w:afterAutospacing="0" w:line="440" w:lineRule="exact"/>
        <w:rPr>
          <w:rFonts w:hint="eastAsia"/>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1.2支付方式：六个月为一个付款周期，付款时先扣回全部预付款。委托运行管理满六个月，出具考核结果后（详见《亭湖区市区7座中型闸站委托运行管理考核标准》）30日内支付运行管护费用。甲方付款前，按有关财务规定办理相关支付手续和提供符合甲方要求的发票。</w:t>
      </w:r>
      <w:r/>
    </w:p>
    <w:p>
      <w:pPr>
        <w:pStyle w:val="739"/>
        <w:ind w:firstLine="480"/>
        <w:jc w:val="both"/>
        <w:spacing w:before="0" w:beforeAutospacing="0" w:after="0" w:afterAutospacing="0" w:line="440" w:lineRule="exact"/>
        <w:rPr>
          <w:rFonts w:hint="eastAsia"/>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.1.3服务期满，出具考核结果，在乙方提交了所有的文件、档案资料及符合甲方要求的发票后30日内付清余款。</w:t>
      </w:r>
      <w:r/>
    </w:p>
    <w:p>
      <w:pPr>
        <w:pStyle w:val="739"/>
        <w:ind w:firstLine="480"/>
        <w:jc w:val="both"/>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以上付款无任何利息补偿。</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包装和运输：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5、项目验收</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5.1采购人依法组织履约验收工作。</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5.3对于实际使用人和甲方分离的项目，甲方邀请实际使用人参与验收。</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5.4如有必要，甲方邀请参加本项目的其他供应商或第三方专业机构及专家参与验收，相关意见将作为验收书的参考资料。</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5.5采购人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成交供应商必须严格遵守国家和地方关于劳动等法律法规及规章制度，保证按时发放本项目服务人员报酬，且最低月工资标准不低于本地区最低标准；工作时间符合劳动法的规定。供应商应自行为员工办理必须的保险，有关人员伤亡及第三者责任险均由供应商考虑并包含在投标报价中。</w:t>
      </w:r>
      <w:r/>
    </w:p>
    <w:p>
      <w:pPr>
        <w:ind w:firstLine="420"/>
        <w:spacing w:line="44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由供应商自行承担，与采购人无关。</w:t>
      </w:r>
      <w:r/>
    </w:p>
    <w:p>
      <w:pPr>
        <w:pStyle w:val="922"/>
        <w:ind w:firstLine="422"/>
        <w:spacing w:line="400" w:lineRule="exact"/>
        <w:rPr>
          <w:rStyle w:val="927"/>
          <w:rFonts w:hint="eastAsia"/>
          <w:color w:val="auto"/>
          <w:sz w:val="21"/>
          <w:szCs w:val="21"/>
          <w:highlight w:val="none"/>
        </w:rPr>
      </w:pPr>
      <w:r>
        <w:rPr>
          <w:rFonts w:hint="eastAsia" w:ascii="宋体" w:hAnsi="宋体" w:cs="宋体"/>
          <w:b/>
          <w:bCs/>
          <w:color w:val="auto"/>
          <w:sz w:val="21"/>
          <w:szCs w:val="21"/>
          <w:highlight w:val="none"/>
        </w:rPr>
        <w:t xml:space="preserve">五、相关</w:t>
      </w:r>
      <w:r>
        <w:rPr>
          <w:rStyle w:val="927"/>
          <w:rFonts w:hint="eastAsia"/>
          <w:color w:val="auto"/>
          <w:sz w:val="21"/>
          <w:szCs w:val="21"/>
          <w:highlight w:val="none"/>
        </w:rPr>
        <w:t xml:space="preserve">要求</w:t>
      </w:r>
      <w:r/>
    </w:p>
    <w:p>
      <w:pPr>
        <w:ind w:firstLine="48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1、投标人及投标人的项目负责人自2021年1月1日（以合同签订日期为准）以来承担过类似项目业绩（单座泵站设计流量20m³/s及以上运行管理工作）的，予以加分。</w:t>
      </w:r>
      <w:r/>
    </w:p>
    <w:p>
      <w:pPr>
        <w:ind w:firstLine="480"/>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2、项目组成员含项目负责人、技术负责人、运行值班长、运行人员具有相关证书的</w:t>
      </w:r>
      <w:bookmarkStart w:id="147" w:name="OLE_LINK42"/>
      <w:r>
        <w:rPr>
          <w:rFonts w:hint="eastAsia" w:ascii="宋体" w:hAnsi="宋体" w:cs="宋体"/>
          <w:bCs/>
          <w:color w:val="auto"/>
          <w:sz w:val="21"/>
          <w:szCs w:val="21"/>
          <w:highlight w:val="none"/>
        </w:rPr>
        <w:t xml:space="preserve">予以加分</w:t>
      </w:r>
      <w:bookmarkEnd w:id="147"/>
      <w:r>
        <w:rPr>
          <w:rFonts w:hint="eastAsia" w:ascii="宋体" w:hAnsi="宋体" w:cs="宋体"/>
          <w:bCs/>
          <w:color w:val="auto"/>
          <w:sz w:val="21"/>
          <w:szCs w:val="21"/>
          <w:highlight w:val="none"/>
        </w:rPr>
        <w:t xml:space="preserve">。</w:t>
      </w:r>
      <w:r/>
    </w:p>
    <w:p>
      <w:pPr>
        <w:ind w:firstLine="48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color w:val="auto"/>
          <w:sz w:val="21"/>
          <w:szCs w:val="21"/>
          <w:highlight w:val="none"/>
        </w:rPr>
        <w:t xml:space="preserve">技术方案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ascii="宋体" w:hAnsi="宋体" w:eastAsia="宋体" w:cs="宋体"/>
          <w:color w:val="auto"/>
          <w:sz w:val="21"/>
          <w:szCs w:val="21"/>
          <w:highlight w:val="none"/>
        </w:rPr>
        <w:t xml:space="preserve">应根据国家政策法规、项目实际和本采购文件要求，特别是《亭湖区市区7座中型闸站委托运行管理考核标准》的全部考核指标，制定科学、合理、详实、可行的技术方案。方案应体现针对性、可操作性和完整性，各</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应至少包含以下核心内容要素，以证明其有能力全面满足合同考核要求并实现项目目标。</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3.1 运行管理及安全生产方案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需全面响应《考核标准》中“安全管理”“运行管护”中的“控制运用”“操作运行”以及“管理保障”的相关要求。方案应至少包含：</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运行管理体系</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详细的组织架构图与职责分工（项目负责人、技术负责人、运行班长、</w:t>
      </w:r>
      <w:r>
        <w:rPr>
          <w:rFonts w:hint="eastAsia" w:ascii="宋体" w:hAnsi="宋体" w:eastAsia="宋体" w:cs="宋体"/>
          <w:color w:val="auto"/>
          <w:sz w:val="21"/>
          <w:szCs w:val="21"/>
          <w:highlight w:val="none"/>
        </w:rPr>
        <w:t xml:space="preserve">运行人</w:t>
      </w:r>
      <w:r>
        <w:rPr>
          <w:rFonts w:ascii="宋体" w:hAnsi="宋体" w:eastAsia="宋体" w:cs="宋体"/>
          <w:color w:val="auto"/>
          <w:sz w:val="21"/>
          <w:szCs w:val="21"/>
          <w:highlight w:val="none"/>
        </w:rPr>
        <w:t xml:space="preserve">员等），24小时值班制度与交接班流程，运行调度指令的接收、执行、记录与反馈闭环管理机制。</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安全生产管理体系</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以项目负责人为第一责任人的安全生产责任书签订与落实方案；《安全生产管理制度》、《安全操作规程》、《隐患排查治理制度》等内部制度的清单与核心内容；安全教育培训计划（含新进人员三级教育、月度全员培训内容）；安全生产台账的建立标准（含检查、整改、培训、事故记录等）。</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8" w:name="OLE_LINK13"/>
      <w:r/>
      <w:bookmarkStart w:id="149" w:name="OLE_LINK52"/>
      <w:r/>
      <w:bookmarkStart w:id="150" w:name="OLE_LINK14"/>
      <w:r>
        <w:rPr>
          <w:rFonts w:ascii="宋体" w:hAnsi="宋体" w:eastAsia="宋体" w:cs="宋体"/>
          <w:color w:val="auto"/>
          <w:sz w:val="21"/>
          <w:szCs w:val="21"/>
          <w:highlight w:val="none"/>
        </w:rPr>
        <w:t xml:space="preserve">安全检查与隐患闭环管理</w:t>
      </w:r>
      <w:bookmarkEnd w:id="148"/>
      <w:r/>
      <w:bookmarkEnd w:id="149"/>
      <w:r/>
      <w:bookmarkEnd w:id="150"/>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日常</w:t>
      </w:r>
      <w:r>
        <w:rPr>
          <w:rFonts w:hint="eastAsia" w:ascii="宋体" w:hAnsi="宋体" w:eastAsia="宋体" w:cs="宋体"/>
          <w:color w:val="auto"/>
          <w:sz w:val="21"/>
          <w:szCs w:val="21"/>
          <w:highlight w:val="none"/>
        </w:rPr>
        <w:t xml:space="preserve">巡查</w:t>
      </w:r>
      <w:r>
        <w:rPr>
          <w:rFonts w:ascii="宋体" w:hAnsi="宋体" w:eastAsia="宋体" w:cs="宋体"/>
          <w:color w:val="auto"/>
          <w:sz w:val="21"/>
          <w:szCs w:val="21"/>
          <w:highlight w:val="none"/>
        </w:rPr>
        <w:t xml:space="preserve">、专项检查（每月）、季节性检查（汛前、汛后、节前）的具体内容、频次、责任人及检查记录表式；隐患排查从发现、登记、整改、复查到销号的完整闭环流程与管理要求。</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 机电设备维护措施</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需全面响应《考核标准》中“工程状况”部分关于“主机泵”“高低压电气设备”“辅助设备”“金属结构”以及“运行管护”中的“维修养护”的要求。方案应至少包含：</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设备分类与维护策略</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将潜水贯流泵机组、高低压配电柜、卷扬启闭机、自动化系统等核心设备的预防性维护计划（周期、内容、标准）；清污机、闸门、起重机等重要设备的周期性保养计划；以及一般设备的日常巡查要求。</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核心设备维护细则</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针对潜水贯流泵机组（日常检查参数、定期检测项目如绝缘电阻、轴承润滑、年度检修）、高低压配电设备（预防性试验项目与周期、“两票三制”执行）、卷扬启闭机（润滑、限位检查、钢丝绳维护标准）、自动化监控系统（日常监控、数据备份、故障响应时限）的具体维护措施和量化指标。</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rPr>
        <w:t xml:space="preserve">维护计划与记录</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年度维护计划的编制时间、内容要素与报备要求；设备维护档案（“一机一档”）的建立标准，应包含设备基本信息、维护记录、故障处理记录、检测报告等；备品备件清单的建立与管理要求。</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3.3 水工建筑维护措施</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需全面响应《考核标准》中“工程状况”部分关于“水工建筑物”“工程面貌与环境”“标识标牌”以及“运行管护”中的“工程检查”的要求。方案应至少包含：</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建筑物分类与维护重点</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针对泵站站身、闸室及自排孔、翼墙及护坡、清污机桥、管理用房等，明确各自的维护重点和标准。</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检查体系</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运行人员每日巡查、每周2次经常检查、汛前汛后定期检查、特殊工况后专项检查的具体路线、内容、记录表式和报告编写要求。明确检查发现问题的上报流程与处理时限。</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rPr>
        <w:t xml:space="preserve">专项维护措施</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混凝土裂缝与渗漏的处理，护坡与翼墙的修复标准，排水系统的月度检查与汛前清理要求，以及沉降与变形观测（每半年一次）的实施、数据整编与异常报告机制。</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ascii="宋体" w:hAnsi="宋体" w:eastAsia="宋体" w:cs="宋体"/>
          <w:color w:val="auto"/>
          <w:sz w:val="21"/>
          <w:szCs w:val="21"/>
          <w:highlight w:val="none"/>
        </w:rPr>
        <w:t xml:space="preserve">维护记录与档案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建立水工建筑物维护档案，确保所有检查、维护、观测记录及时、规范、完整归档。</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3.4 应急处理方案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需全面响应《考核标准》中“安全管理”的“防汛管理”“安全生产”以及“运行管护”中应急响应的要求。方案应至少包含：</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应急组织体系</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明确的应急领导小组及各应急响应小组（抢险救援、设备抢修、后勤保障、信息联络）的构成与职责分工，确保24小时通讯畅通。</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突发事件应对措施</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针对防汛应急、设备故障、触电事故、火灾事故、极端天气、通航安全事故等，制定具体的应急响应步骤和措施。</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rPr>
        <w:t xml:space="preserve">应急保障与演练</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应急通讯保障措施；每年不少于2次的应急培训与演练计划（含防汛抢险、设备抢修、火灾扑救等），演练后的评估与预案修订机制。</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3.5 工程检查和工程观测</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需全面响应《考核标准》中“运行管护”的“工程检查”“安全监测”以及“工程状况”中相关观测要求。方案应至少包含：</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工程检查体系</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明确日常巡查（每日）、经常检查（每周1次）、定期检查（汛前、汛后）、专项检查（台风、暴雨、地震等特殊工况后）的检查内容（水工建筑物、机电设备、河道与附属设施）、频次、责任主体、检查记录表式和报告要求。建立问题整改台账，实现闭环销号。</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工程观测体系</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明确沉降观测（每半年）、水位观测（每日）、水泵机组、绝缘电阻测试（每半年）、接地电阻测试（每年）等观测项目的具体内容、执行标准（如DB32/T 1713）、责任人与实施要求。</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rPr>
        <w:t xml:space="preserve">观测资料整编与异常处置</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观测数据的记录、校核、整编要求，每半年编制观测资料整编报告；发现沉降异常等情况的上报、加密观测、原因分析及处理措施流程。</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3.6 技术保障措施、度汛措施及预案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项</w:t>
      </w:r>
      <w:r>
        <w:rPr>
          <w:rFonts w:ascii="宋体" w:hAnsi="宋体" w:eastAsia="宋体" w:cs="宋体"/>
          <w:color w:val="auto"/>
          <w:sz w:val="21"/>
          <w:szCs w:val="21"/>
          <w:highlight w:val="none"/>
        </w:rPr>
        <w:t xml:space="preserve">需全面响应《考核标准》中“安全管理”的“防汛管理”以及项目平稳运行的技术支持需求。方案应至少包含：</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技术保障措施</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专业技术团队的保障方案（项目负责人、技术负责人、外聘专家顾问、厂家技术支持机制）；作业体系（编制《</w:t>
      </w:r>
      <w:r>
        <w:rPr>
          <w:rFonts w:hint="eastAsia" w:ascii="宋体" w:hAnsi="宋体" w:eastAsia="宋体" w:cs="宋体"/>
          <w:color w:val="auto"/>
          <w:sz w:val="21"/>
          <w:szCs w:val="21"/>
          <w:highlight w:val="none"/>
        </w:rPr>
        <w:t xml:space="preserve">工程管理实施细则</w:t>
      </w:r>
      <w:r>
        <w:rPr>
          <w:rFonts w:ascii="宋体" w:hAnsi="宋体" w:eastAsia="宋体" w:cs="宋体"/>
          <w:color w:val="auto"/>
          <w:sz w:val="21"/>
          <w:szCs w:val="21"/>
          <w:highlight w:val="none"/>
        </w:rPr>
        <w:t xml:space="preserve">》、严格执行交接班制等）；利用自动化监控系统进行实时监测与预警，以及委托专业机构开展周期性预防性试验和检测的计划。</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度汛措施及预案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汛前准备（</w:t>
      </w:r>
      <w:r>
        <w:rPr>
          <w:rFonts w:hint="eastAsia" w:ascii="宋体" w:hAnsi="宋体" w:eastAsia="宋体" w:cs="宋体"/>
          <w:color w:val="auto"/>
          <w:sz w:val="21"/>
          <w:szCs w:val="21"/>
          <w:highlight w:val="none"/>
        </w:rPr>
        <w:t xml:space="preserve">5</w:t>
      </w:r>
      <w:r>
        <w:rPr>
          <w:rFonts w:ascii="宋体" w:hAnsi="宋体" w:eastAsia="宋体" w:cs="宋体"/>
          <w:color w:val="auto"/>
          <w:sz w:val="21"/>
          <w:szCs w:val="21"/>
          <w:highlight w:val="none"/>
        </w:rPr>
        <w:t xml:space="preserve">月底前）：成立防汛领导小组、修订预案并报备、召开动员会；对机电设备、闸门、启闭机、备用电源等进行全面检修和试运行；检查修复水工建筑物、清理行洪障碍；补充更新防汛物资、检查应急通讯；组织至少一次防汛演练。</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汛中管控（6-9月）：严格落实24小时值班和领导带班制度（每站每班至少2人），加密巡查（每日至少两次，恶劣天气不间断），精准执行调度指令并规范记录，及时报送信息，加强通航安全保障。</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51" w:name="OLE_LINK54"/>
      <w:r/>
      <w:bookmarkStart w:id="152" w:name="OLE_LINK53"/>
      <w:r>
        <w:rPr>
          <w:rFonts w:ascii="宋体" w:hAnsi="宋体" w:eastAsia="宋体" w:cs="宋体"/>
          <w:color w:val="auto"/>
          <w:sz w:val="21"/>
          <w:szCs w:val="21"/>
          <w:highlight w:val="none"/>
        </w:rPr>
        <w:t xml:space="preserve">汛后恢复</w:t>
      </w:r>
      <w:bookmarkEnd w:id="151"/>
      <w:r/>
      <w:bookmarkEnd w:id="152"/>
      <w:r>
        <w:rPr>
          <w:rFonts w:ascii="宋体" w:hAnsi="宋体" w:eastAsia="宋体" w:cs="宋体"/>
          <w:color w:val="auto"/>
          <w:sz w:val="21"/>
          <w:szCs w:val="21"/>
          <w:highlight w:val="none"/>
        </w:rPr>
        <w:t xml:space="preserve">（10月后）：组织汛后全面检查，评估工程和设备状况；对设备进行深度检修保养；整编运行资料，召开总结会，完善预案。</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度汛责任与考核</w:t>
      </w:r>
      <w:r/>
    </w:p>
    <w:p>
      <w:pPr>
        <w:pStyle w:val="928"/>
        <w:ind w:firstLine="420"/>
        <w:jc w:val="both"/>
        <w:spacing w:line="400" w:lineRule="exact"/>
        <w:widowControl w:val="off"/>
        <w:rPr>
          <w:rFonts w:hint="eastAsia" w:ascii="宋体" w:hAnsi="宋体" w:cs="宋体" w:eastAsiaTheme="minorEastAsia"/>
          <w:color w:val="auto"/>
          <w:sz w:val="21"/>
          <w:szCs w:val="21"/>
          <w:highlight w:val="none"/>
        </w:rPr>
      </w:pPr>
      <w:r>
        <w:rPr>
          <w:rFonts w:ascii="宋体" w:hAnsi="宋体" w:eastAsia="宋体" w:cs="宋体"/>
          <w:color w:val="auto"/>
          <w:sz w:val="21"/>
          <w:szCs w:val="21"/>
          <w:highlight w:val="none"/>
        </w:rPr>
        <w:t xml:space="preserve">逐级签订《防汛安全责任书》，将度汛工作纳入日常考核，积极配合上级检查并限时整改问题。</w:t>
      </w:r>
      <w:r/>
    </w:p>
    <w:p>
      <w:pPr>
        <w:ind w:firstLine="480"/>
        <w:spacing w:line="400" w:lineRule="exact"/>
        <w:rPr>
          <w:rFonts w:hint="eastAsia" w:ascii="宋体" w:hAnsi="宋体" w:cs="宋体"/>
          <w:b/>
          <w:color w:val="auto"/>
          <w:sz w:val="21"/>
          <w:szCs w:val="21"/>
          <w:highlight w:val="none"/>
        </w:rPr>
      </w:pPr>
      <w:r>
        <w:rPr>
          <w:rFonts w:ascii="宋体" w:hAnsi="宋体" w:cs="宋体"/>
          <w:b/>
          <w:color w:val="auto"/>
          <w:sz w:val="21"/>
          <w:szCs w:val="21"/>
          <w:highlight w:val="none"/>
        </w:rPr>
        <w:t xml:space="preserve">六、采购需求中必须满足的实质性要求</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所有特种作业人员必须持有效的特种作业操作证上岗。</w:t>
      </w:r>
      <w:r/>
    </w:p>
    <w:p>
      <w:pPr>
        <w:pStyle w:val="743"/>
        <w:ind w:left="0"/>
        <w:spacing w:after="0" w:line="440" w:lineRule="exact"/>
        <w:rPr>
          <w:rFonts w:hint="eastAsia" w:cs="宋体" w:asciiTheme="minorEastAsia" w:hAnsiTheme="minorEastAsia" w:eastAsiaTheme="minorEastAsia"/>
          <w:color w:val="auto"/>
          <w:sz w:val="21"/>
          <w:szCs w:val="21"/>
          <w:highlight w:val="none"/>
          <w:lang w:val="zh-CN"/>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w:t>
      </w:r>
      <w:r>
        <w:rPr>
          <w:rFonts w:cs="宋体" w:asciiTheme="minorEastAsia" w:hAnsiTheme="minorEastAsia" w:eastAsiaTheme="minorEastAsia"/>
          <w:color w:val="auto"/>
          <w:sz w:val="21"/>
          <w:szCs w:val="21"/>
          <w:highlight w:val="none"/>
          <w:lang w:val="zh-CN"/>
        </w:rPr>
        <w:t xml:space="preserve">项目负责人：在岗时间</w:t>
      </w:r>
      <w:r>
        <w:rPr>
          <w:rFonts w:hint="eastAsia" w:cs="宋体" w:asciiTheme="minorEastAsia" w:hAnsiTheme="minorEastAsia" w:eastAsiaTheme="minorEastAsia"/>
          <w:color w:val="auto"/>
          <w:sz w:val="21"/>
          <w:szCs w:val="21"/>
          <w:highlight w:val="none"/>
          <w:lang w:val="zh-CN"/>
        </w:rPr>
        <w:t xml:space="preserve">非</w:t>
      </w:r>
      <w:r>
        <w:rPr>
          <w:rFonts w:cs="宋体" w:asciiTheme="minorEastAsia" w:hAnsiTheme="minorEastAsia" w:eastAsiaTheme="minorEastAsia"/>
          <w:color w:val="auto"/>
          <w:sz w:val="21"/>
          <w:szCs w:val="21"/>
          <w:highlight w:val="none"/>
          <w:lang w:val="zh-CN"/>
        </w:rPr>
        <w:t xml:space="preserve">汛期</w:t>
      </w:r>
      <w:r>
        <w:rPr>
          <w:rFonts w:hint="eastAsia" w:cs="宋体" w:asciiTheme="minorEastAsia" w:hAnsiTheme="minorEastAsia" w:eastAsiaTheme="minorEastAsia"/>
          <w:color w:val="auto"/>
          <w:sz w:val="21"/>
          <w:szCs w:val="21"/>
          <w:highlight w:val="none"/>
          <w:lang w:val="zh-CN"/>
        </w:rPr>
        <w:t xml:space="preserve">每月不</w:t>
      </w:r>
      <w:r>
        <w:rPr>
          <w:rFonts w:cs="宋体" w:asciiTheme="minorEastAsia" w:hAnsiTheme="minorEastAsia" w:eastAsiaTheme="minorEastAsia"/>
          <w:color w:val="auto"/>
          <w:sz w:val="21"/>
          <w:szCs w:val="21"/>
          <w:highlight w:val="none"/>
          <w:lang w:val="zh-CN"/>
        </w:rPr>
        <w:t xml:space="preserve">少于22天，汛期</w:t>
      </w:r>
      <w:r>
        <w:rPr>
          <w:rFonts w:hint="eastAsia" w:cs="宋体" w:asciiTheme="minorEastAsia" w:hAnsiTheme="minorEastAsia" w:eastAsiaTheme="minorEastAsia"/>
          <w:color w:val="auto"/>
          <w:sz w:val="21"/>
          <w:szCs w:val="21"/>
          <w:highlight w:val="none"/>
          <w:lang w:val="zh-CN"/>
        </w:rPr>
        <w:t xml:space="preserve">不少于</w:t>
      </w:r>
      <w:r>
        <w:rPr>
          <w:rFonts w:cs="宋体" w:asciiTheme="minorEastAsia" w:hAnsiTheme="minorEastAsia" w:eastAsiaTheme="minorEastAsia"/>
          <w:color w:val="auto"/>
          <w:sz w:val="21"/>
          <w:szCs w:val="21"/>
          <w:highlight w:val="none"/>
          <w:lang w:val="zh-CN"/>
        </w:rPr>
        <w:t xml:space="preserve">25天。</w:t>
      </w:r>
      <w:r/>
    </w:p>
    <w:p>
      <w:pPr>
        <w:pStyle w:val="928"/>
        <w:ind w:firstLine="420"/>
        <w:jc w:val="both"/>
        <w:spacing w:line="400" w:lineRule="exact"/>
        <w:widowControl w:val="off"/>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严格遵守《亭湖区市区7座中型闸站委托运行管理考核标准》，并接受考核结果与运行管护费用挂钩的支付方式。</w:t>
      </w:r>
      <w:r/>
    </w:p>
    <w:p>
      <w:pPr>
        <w:pStyle w:val="907"/>
        <w:ind w:firstLine="420"/>
        <w:jc w:val="both"/>
        <w:spacing w:before="0" w:beforeAutospacing="0" w:after="0" w:afterAutospacing="0" w:line="360" w:lineRule="exact"/>
        <w:rPr>
          <w:rFonts w:hint="eastAsia" w:eastAsiaTheme="minorEastAsia"/>
          <w:color w:val="auto"/>
          <w:sz w:val="21"/>
          <w:szCs w:val="21"/>
          <w:highlight w:val="none"/>
        </w:rPr>
      </w:pPr>
      <w:r>
        <w:rPr>
          <w:rFonts w:hint="eastAsia" w:eastAsiaTheme="minorEastAsia"/>
          <w:color w:val="auto"/>
          <w:sz w:val="21"/>
          <w:szCs w:val="21"/>
          <w:highlight w:val="none"/>
        </w:rPr>
        <w:t xml:space="preserve">七、</w:t>
      </w:r>
      <w:r>
        <w:rPr>
          <w:rFonts w:eastAsiaTheme="minorEastAsia"/>
          <w:color w:val="auto"/>
          <w:sz w:val="21"/>
          <w:szCs w:val="21"/>
          <w:highlight w:val="none"/>
        </w:rPr>
        <w:t xml:space="preserve">本项目</w:t>
      </w:r>
      <w:r>
        <w:rPr>
          <w:rFonts w:eastAsiaTheme="minorEastAsia"/>
          <w:i/>
          <w:iCs/>
          <w:color w:val="auto"/>
          <w:sz w:val="21"/>
          <w:szCs w:val="21"/>
          <w:highlight w:val="none"/>
          <w:u w:val="single"/>
        </w:rPr>
        <w:t xml:space="preserve"> 不接受 </w:t>
      </w:r>
      <w:r>
        <w:rPr>
          <w:rFonts w:eastAsiaTheme="minorEastAsia"/>
          <w:color w:val="auto"/>
          <w:sz w:val="21"/>
          <w:szCs w:val="21"/>
          <w:highlight w:val="none"/>
        </w:rPr>
        <w:t xml:space="preserve">进口产品</w:t>
      </w:r>
      <w:r>
        <w:rPr>
          <w:rFonts w:hint="eastAsia" w:eastAsiaTheme="minorEastAsia"/>
          <w:color w:val="auto"/>
          <w:sz w:val="21"/>
          <w:szCs w:val="21"/>
          <w:highlight w:val="none"/>
        </w:rPr>
        <w:t xml:space="preserve">投标（接受/不接受）</w:t>
      </w:r>
      <w:r/>
    </w:p>
    <w:p>
      <w:pPr>
        <w:ind w:firstLine="480"/>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八、采购标的对应的中小企业划分标准所属行业一览表</w:t>
      </w:r>
      <w:r/>
    </w:p>
    <w:tbl>
      <w:tblPr>
        <w:tblStyle w:val="744"/>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4083"/>
        <w:gridCol w:w="3661"/>
      </w:tblGrid>
      <w:tr>
        <w:trPr>
          <w:trHeight w:val="412"/>
        </w:trPr>
        <w:tc>
          <w:tcPr>
            <w:tcW w:w="88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4083"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采购标的</w:t>
            </w:r>
            <w:r/>
          </w:p>
        </w:tc>
        <w:tc>
          <w:tcPr>
            <w:tcW w:w="366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对应中小企业划分标准所属行业</w:t>
            </w:r>
            <w:r/>
          </w:p>
        </w:tc>
      </w:tr>
      <w:tr>
        <w:trPr>
          <w:trHeight w:val="538"/>
        </w:trPr>
        <w:tc>
          <w:tcPr>
            <w:tcW w:w="88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083"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4"/>
                <w:highlight w:val="none"/>
              </w:rPr>
              <w:t xml:space="preserve">亭湖区7座中型闸站运行管护项目</w:t>
            </w:r>
            <w:r/>
          </w:p>
        </w:tc>
        <w:tc>
          <w:tcPr>
            <w:tcW w:w="366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其他未列明行业</w:t>
            </w:r>
            <w:r/>
          </w:p>
        </w:tc>
      </w:tr>
    </w:tbl>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第五章  评标方法与评标标准</w:t>
      </w:r>
      <w:r/>
    </w:p>
    <w:p>
      <w:pPr>
        <w:ind w:firstLine="420"/>
        <w:spacing w:line="360" w:lineRule="exac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bookmarkStart w:id="153" w:name="OLE_LINK21"/>
      <w:r>
        <w:rPr>
          <w:rFonts w:hint="eastAsia" w:ascii="宋体" w:hAnsi="宋体" w:cs="宋体"/>
          <w:b/>
          <w:color w:val="auto"/>
          <w:sz w:val="21"/>
          <w:szCs w:val="21"/>
          <w:highlight w:val="none"/>
        </w:rPr>
        <w:t xml:space="preserve">一、定标原则</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本项目采用</w:t>
      </w:r>
      <w:r>
        <w:rPr>
          <w:rFonts w:hint="eastAsia" w:ascii="宋体" w:hAnsi="宋体" w:cs="宋体"/>
          <w:bCs/>
          <w:color w:val="auto"/>
          <w:sz w:val="21"/>
          <w:szCs w:val="21"/>
          <w:highlight w:val="none"/>
          <w:u w:val="single"/>
        </w:rPr>
        <w:t xml:space="preserve"> 综合评分 </w:t>
      </w:r>
      <w:r>
        <w:rPr>
          <w:rFonts w:hint="eastAsia" w:ascii="宋体" w:hAnsi="宋体" w:cs="宋体"/>
          <w:bCs/>
          <w:color w:val="auto"/>
          <w:sz w:val="21"/>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spacing w:line="360" w:lineRule="exac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政府采购政策功能落实</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1、小微型企业价格扣除</w:t>
      </w:r>
      <w:r/>
    </w:p>
    <w:p>
      <w:pPr>
        <w:pStyle w:val="897"/>
        <w:ind w:firstLine="420"/>
        <w:spacing w:before="0"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（1）本项目不专门面向中小企业采购，对符合规定的小型和微型企业报价给予20%的扣除价格，用扣除后的价格参与评审。</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（2）供应商需按照采购文件的要求提供相应的《</w:t>
      </w:r>
      <w:r>
        <w:rPr>
          <w:rFonts w:hint="eastAsia"/>
          <w:color w:val="auto"/>
          <w:sz w:val="21"/>
          <w:szCs w:val="21"/>
          <w:highlight w:val="none"/>
        </w:rPr>
        <w:t xml:space="preserve">中小企业声明函</w:t>
      </w:r>
      <w:r>
        <w:rPr>
          <w:rFonts w:hint="eastAsia"/>
          <w:color w:val="auto"/>
          <w:sz w:val="21"/>
          <w:szCs w:val="21"/>
          <w:highlight w:val="none"/>
        </w:rPr>
        <w:t xml:space="preserve">》。</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（3）企业标准请参照《关于印发中小企业划型标准规定的通知》（工信部联企业〔2011〕300号）文件规定自行填写。</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2、残疾人福利单位价格扣除</w:t>
      </w:r>
      <w:r/>
    </w:p>
    <w:p>
      <w:pPr>
        <w:pStyle w:val="739"/>
        <w:ind w:firstLine="420"/>
        <w:spacing w:before="0" w:beforeAutospacing="0" w:after="0" w:afterAutospacing="0" w:line="440" w:lineRule="exact"/>
        <w:rPr>
          <w:rFonts w:hint="eastAsia"/>
          <w:color w:val="auto"/>
          <w:sz w:val="21"/>
          <w:szCs w:val="21"/>
          <w:highlight w:val="none"/>
          <w:u w:val="single"/>
        </w:rPr>
      </w:pPr>
      <w:r>
        <w:rPr>
          <w:rFonts w:hint="eastAsia"/>
          <w:color w:val="auto"/>
          <w:sz w:val="21"/>
          <w:szCs w:val="21"/>
          <w:highlight w:val="none"/>
        </w:rPr>
        <w:t xml:space="preserve">（1）本项目对残疾人福利性单位视同小型、微型企业，给予</w:t>
      </w:r>
      <w:r>
        <w:rPr>
          <w:rFonts w:hint="eastAsia"/>
          <w:color w:val="auto"/>
          <w:sz w:val="21"/>
          <w:szCs w:val="21"/>
          <w:highlight w:val="none"/>
          <w:u w:val="single"/>
        </w:rPr>
        <w:t xml:space="preserve">20%的价格扣除。</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（2）残疾人福利单位需按照采购文件的要求提供《残疾人福利性单位声明函》。</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（3）残疾人福利单位标准请参照《关于促进残疾人就业政府采购政策的通知》（财库〔2017〕141号）。</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3、监狱和戒毒企业价格扣除</w:t>
      </w:r>
      <w:r/>
    </w:p>
    <w:p>
      <w:pPr>
        <w:pStyle w:val="739"/>
        <w:ind w:firstLine="420"/>
        <w:spacing w:before="0" w:beforeAutospacing="0" w:after="0" w:afterAutospacing="0" w:line="440" w:lineRule="exact"/>
        <w:rPr>
          <w:rFonts w:hint="eastAsia"/>
          <w:color w:val="auto"/>
          <w:sz w:val="21"/>
          <w:szCs w:val="21"/>
          <w:highlight w:val="none"/>
          <w:u w:val="single"/>
        </w:rPr>
      </w:pPr>
      <w:r>
        <w:rPr>
          <w:rFonts w:hint="eastAsia"/>
          <w:color w:val="auto"/>
          <w:sz w:val="21"/>
          <w:szCs w:val="21"/>
          <w:highlight w:val="none"/>
        </w:rPr>
        <w:t xml:space="preserve">（1）本项目对监狱和戒毒企业（简称监狱企业）视同小型、微型企业，给予</w:t>
      </w:r>
      <w:r>
        <w:rPr>
          <w:rFonts w:hint="eastAsia"/>
          <w:color w:val="auto"/>
          <w:sz w:val="21"/>
          <w:szCs w:val="21"/>
          <w:highlight w:val="none"/>
          <w:u w:val="single"/>
        </w:rPr>
        <w:t xml:space="preserve">20%的价格扣除。</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（3）监狱企业标准请参照《关于政府采购支持监狱企业发展有关问题的通知》（财库〔2014〕68号）。</w:t>
      </w:r>
      <w:r/>
    </w:p>
    <w:p>
      <w:pPr>
        <w:pStyle w:val="739"/>
        <w:ind w:firstLine="420"/>
        <w:spacing w:before="0" w:beforeAutospacing="0" w:after="0" w:afterAutospacing="0" w:line="440" w:lineRule="exact"/>
        <w:rPr>
          <w:rFonts w:hint="eastAsia"/>
          <w:color w:val="auto"/>
          <w:sz w:val="21"/>
          <w:szCs w:val="21"/>
          <w:highlight w:val="none"/>
        </w:rPr>
      </w:pPr>
      <w:r>
        <w:rPr>
          <w:rFonts w:hint="eastAsia"/>
          <w:color w:val="auto"/>
          <w:sz w:val="21"/>
          <w:szCs w:val="21"/>
          <w:highlight w:val="none"/>
        </w:rPr>
        <w:t xml:space="preserve">4、残疾人福利单位、监狱企业属于小型、微型企业的，不重复享受政策。</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5、采购本国产品的支持政策</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5.3 供应商需按照招标文件的要求提供《关于符合本国产品标准的声明函》（以下简称《声明函》），如不提供将不享受本国产品价格评审优惠。</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exact"/>
        <w:rPr>
          <w:rFonts w:hint="eastAsia"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color w:val="auto"/>
          <w:sz w:val="21"/>
          <w:szCs w:val="21"/>
          <w:highlight w:val="none"/>
        </w:rPr>
        <w:t xml:space="preserve">如属政府强制采购产品未提供认证证书的或认证证书提供不全的将视为未实质性响应采购要求。</w:t>
      </w:r>
      <w:r>
        <w:rPr>
          <w:rFonts w:hint="eastAsia" w:ascii="宋体" w:hAnsi="宋体" w:cs="宋体"/>
          <w:bCs/>
          <w:color w:val="auto"/>
          <w:sz w:val="21"/>
          <w:szCs w:val="21"/>
          <w:highlight w:val="none"/>
        </w:rPr>
        <w:t xml:space="preserve">其他条件相同情况下，应当优先采购节能产品、环境标志产品。</w:t>
      </w:r>
      <w:r/>
    </w:p>
    <w:p>
      <w:pPr>
        <w:pStyle w:val="739"/>
        <w:ind w:firstLine="422"/>
        <w:spacing w:before="0" w:beforeAutospacing="0" w:after="0" w:afterAutospacing="0" w:line="440" w:lineRule="exact"/>
        <w:rPr>
          <w:rFonts w:hint="eastAsia"/>
          <w:color w:val="auto"/>
          <w:sz w:val="21"/>
          <w:szCs w:val="21"/>
          <w:highlight w:val="none"/>
        </w:rPr>
      </w:pPr>
      <w:r/>
      <w:bookmarkStart w:id="154" w:name="OLE_LINK4"/>
      <w:r/>
      <w:bookmarkStart w:id="155" w:name="OLE_LINK5"/>
      <w:r/>
      <w:bookmarkStart w:id="156" w:name="OLE_LINK6"/>
      <w:r>
        <w:rPr>
          <w:rFonts w:hint="eastAsia"/>
          <w:b/>
          <w:bCs/>
          <w:color w:val="auto"/>
          <w:sz w:val="21"/>
          <w:szCs w:val="21"/>
          <w:highlight w:val="none"/>
        </w:rPr>
        <w:t xml:space="preserve">二、</w:t>
      </w:r>
      <w:r>
        <w:rPr>
          <w:rFonts w:hint="eastAsia"/>
          <w:b/>
          <w:color w:val="auto"/>
          <w:sz w:val="21"/>
          <w:szCs w:val="21"/>
          <w:highlight w:val="none"/>
        </w:rPr>
        <w:t xml:space="preserve">评标方法与评标标准</w:t>
      </w:r>
      <w:r/>
    </w:p>
    <w:p>
      <w:pPr>
        <w:ind w:firstLine="420"/>
        <w:spacing w:line="360" w:lineRule="exact"/>
        <w:rPr>
          <w:rFonts w:hint="eastAsia" w:ascii="宋体" w:hAnsi="宋体" w:cs="宋体"/>
          <w:color w:val="auto"/>
          <w:sz w:val="21"/>
          <w:szCs w:val="21"/>
          <w:highlight w:val="none"/>
        </w:rPr>
      </w:pPr>
      <w:r/>
      <w:bookmarkStart w:id="157" w:name="OLE_LINK7"/>
      <w:r>
        <w:rPr>
          <w:rFonts w:hint="eastAsia" w:ascii="宋体" w:hAnsi="宋体" w:cs="宋体"/>
          <w:color w:val="auto"/>
          <w:sz w:val="21"/>
          <w:szCs w:val="21"/>
          <w:highlight w:val="none"/>
        </w:rPr>
        <w:t xml:space="preserve">本项目评分总分值为100分。</w:t>
      </w:r>
      <w:bookmarkEnd w:id="140"/>
      <w:r/>
      <w:bookmarkEnd w:id="153"/>
      <w:r/>
      <w:bookmarkStart w:id="158" w:name="OLE_LINK22"/>
      <w:r/>
      <w:r/>
    </w:p>
    <w:tbl>
      <w:tblPr>
        <w:tblStyle w:val="714"/>
        <w:tblW w:w="5317" w:type="pct"/>
        <w:tblInd w:w="-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727"/>
        <w:gridCol w:w="1414"/>
        <w:gridCol w:w="7010"/>
      </w:tblGrid>
      <w:tr>
        <w:trPr>
          <w:trHeight w:val="402"/>
        </w:trPr>
        <w:tc>
          <w:tcPr>
            <w:tcBorders>
              <w:top w:val="single" w:color="000000" w:sz="2" w:space="0"/>
              <w:left w:val="single" w:color="000000" w:sz="2" w:space="0"/>
              <w:bottom w:val="single" w:color="000000" w:sz="2" w:space="0"/>
              <w:right w:val="single" w:color="000000" w:sz="2" w:space="0"/>
            </w:tcBorders>
            <w:tcW w:w="367" w:type="pct"/>
            <w:vAlign w:val="center"/>
            <w:textDirection w:val="lrTb"/>
            <w:noWrap w:val="false"/>
          </w:tcPr>
          <w:p>
            <w:pPr>
              <w:pStyle w:val="929"/>
              <w:jc w:val="center"/>
              <w:spacing w:line="2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gridSpan w:val="2"/>
            <w:tcBorders>
              <w:top w:val="single" w:color="000000" w:sz="2" w:space="0"/>
              <w:left w:val="single" w:color="000000" w:sz="2" w:space="0"/>
              <w:bottom w:val="single" w:color="000000" w:sz="2" w:space="0"/>
              <w:right w:val="single" w:color="000000" w:sz="2" w:space="0"/>
            </w:tcBorders>
            <w:tcW w:w="1084" w:type="pct"/>
            <w:vAlign w:val="center"/>
            <w:textDirection w:val="lrTb"/>
            <w:noWrap w:val="false"/>
          </w:tcPr>
          <w:p>
            <w:pPr>
              <w:pStyle w:val="929"/>
              <w:jc w:val="center"/>
              <w:spacing w:line="2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pStyle w:val="929"/>
              <w:jc w:val="center"/>
              <w:spacing w:line="2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trHeight w:val="993"/>
        </w:trPr>
        <w:tc>
          <w:tcPr>
            <w:tcBorders>
              <w:top w:val="single" w:color="000000" w:sz="2" w:space="0"/>
              <w:left w:val="single" w:color="000000" w:sz="2" w:space="0"/>
              <w:bottom w:val="single" w:color="000000" w:sz="2" w:space="0"/>
              <w:right w:val="single" w:color="000000" w:sz="2" w:space="0"/>
            </w:tcBorders>
            <w:tcW w:w="367" w:type="pct"/>
            <w:vAlign w:val="center"/>
            <w:textDirection w:val="lrTb"/>
            <w:noWrap w:val="false"/>
          </w:tcPr>
          <w:p>
            <w:pPr>
              <w:jc w:val="center"/>
              <w:spacing w:line="2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价格部分</w:t>
            </w:r>
            <w:r/>
          </w:p>
        </w:tc>
        <w:tc>
          <w:tcPr>
            <w:gridSpan w:val="2"/>
            <w:tcBorders>
              <w:top w:val="single" w:color="000000" w:sz="2" w:space="0"/>
              <w:left w:val="single" w:color="000000" w:sz="2" w:space="0"/>
              <w:bottom w:val="single" w:color="000000" w:sz="2" w:space="0"/>
              <w:right w:val="single" w:color="000000" w:sz="2" w:space="0"/>
            </w:tcBorders>
            <w:tcW w:w="1084" w:type="pct"/>
            <w:vAlign w:val="center"/>
            <w:textDirection w:val="lrTb"/>
            <w:noWrap w:val="false"/>
          </w:tcPr>
          <w:p>
            <w:pPr>
              <w:jc w:val="center"/>
              <w:spacing w:line="2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投标报价（10分）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价格分采用低价优先法计算，即满足采购文件要求且投标价格最低的投标报价为评标基准价，其价格分为满分10分。其他供应商的价格分统一按照下列公式计算：投标报价得分=(评标基准价/投标报价)×10,得分四舍五入保留2位小数。</w:t>
            </w:r>
            <w:r/>
          </w:p>
        </w:tc>
      </w:tr>
      <w:tr>
        <w:trPr>
          <w:trHeight w:val="965"/>
        </w:trPr>
        <w:tc>
          <w:tcPr>
            <w:tcBorders>
              <w:top w:val="single" w:color="000000" w:sz="2" w:space="0"/>
              <w:left w:val="single" w:color="000000" w:sz="2" w:space="0"/>
              <w:right w:val="single" w:color="000000" w:sz="2" w:space="0"/>
            </w:tcBorders>
            <w:tcW w:w="367" w:type="pct"/>
            <w:vAlign w:val="center"/>
            <w:vMerge w:val="restart"/>
            <w:textDirection w:val="lrTb"/>
            <w:noWrap w:val="false"/>
          </w:tcPr>
          <w:p>
            <w:pPr>
              <w:pStyle w:val="930"/>
              <w:jc w:val="cente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综合实力</w:t>
            </w:r>
            <w:r/>
          </w:p>
        </w:tc>
        <w:tc>
          <w:tcPr>
            <w:tcBorders>
              <w:top w:val="single" w:color="000000" w:sz="2" w:space="0"/>
              <w:left w:val="single" w:color="000000" w:sz="2" w:space="0"/>
              <w:right w:val="single" w:color="000000" w:sz="2" w:space="0"/>
            </w:tcBorders>
            <w:tcW w:w="368" w:type="pct"/>
            <w:vAlign w:val="center"/>
            <w:vMerge w:val="restart"/>
            <w:textDirection w:val="lrTb"/>
            <w:noWrap w:val="false"/>
          </w:tcPr>
          <w:p>
            <w:pPr>
              <w:pStyle w:val="930"/>
              <w:jc w:val="cente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业绩</w:t>
            </w:r>
            <w:r>
              <w:rPr>
                <w:rFonts w:hint="eastAsia" w:ascii="宋体" w:hAnsi="宋体" w:eastAsia="宋体" w:cs="宋体"/>
                <w:bCs/>
                <w:color w:val="auto"/>
                <w:sz w:val="21"/>
                <w:szCs w:val="21"/>
                <w:highlight w:val="none"/>
              </w:rPr>
              <w:t xml:space="preserve">（8分）</w:t>
            </w:r>
            <w:r/>
          </w:p>
        </w:tc>
        <w:tc>
          <w:tcPr>
            <w:tcBorders>
              <w:top w:val="single" w:color="000000" w:sz="2" w:space="0"/>
              <w:left w:val="single" w:color="000000" w:sz="2" w:space="0"/>
              <w:right w:val="single" w:color="000000" w:sz="2" w:space="0"/>
            </w:tcBorders>
            <w:tcW w:w="716" w:type="pct"/>
            <w:vAlign w:val="center"/>
            <w:textDirection w:val="lrTb"/>
            <w:noWrap w:val="false"/>
          </w:tcPr>
          <w:p>
            <w:pPr>
              <w:pStyle w:val="930"/>
              <w:jc w:val="center"/>
              <w:spacing w:line="24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投标人</w:t>
            </w:r>
            <w:r>
              <w:rPr>
                <w:rFonts w:hint="eastAsia" w:cs="宋体" w:asciiTheme="minorEastAsia" w:hAnsiTheme="minorEastAsia" w:eastAsiaTheme="minorEastAsia"/>
                <w:bCs/>
                <w:color w:val="auto"/>
                <w:sz w:val="21"/>
                <w:szCs w:val="21"/>
                <w:highlight w:val="none"/>
              </w:rPr>
              <w:t xml:space="preserve">的业绩</w:t>
            </w:r>
            <w:r>
              <w:rPr>
                <w:rFonts w:hint="eastAsia" w:cs="宋体" w:asciiTheme="minorEastAsia" w:hAnsiTheme="minorEastAsia" w:eastAsiaTheme="minorEastAsia"/>
                <w:bCs/>
                <w:color w:val="auto"/>
                <w:sz w:val="21"/>
                <w:szCs w:val="21"/>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投标人自2021年1月1日（以合同签订日期为准）以来承担过类似项目业绩（</w:t>
            </w:r>
            <w:r>
              <w:rPr>
                <w:rFonts w:hint="eastAsia" w:ascii="宋体" w:hAnsi="宋体" w:cs="宋体"/>
                <w:color w:val="auto"/>
                <w:sz w:val="21"/>
                <w:szCs w:val="24"/>
                <w:highlight w:val="none"/>
              </w:rPr>
              <w:t xml:space="preserve">单座泵站设计流量20m³/s及以上运行管理工作</w:t>
            </w:r>
            <w:r>
              <w:rPr>
                <w:rFonts w:hint="eastAsia" w:ascii="宋体" w:hAnsi="宋体" w:cs="宋体"/>
                <w:bCs/>
                <w:color w:val="auto"/>
                <w:sz w:val="21"/>
                <w:szCs w:val="21"/>
                <w:highlight w:val="none"/>
              </w:rPr>
              <w:t xml:space="preserve">）的，有一个业绩合同(证明)得</w:t>
            </w:r>
            <w:r>
              <w:rPr>
                <w:rFonts w:hint="eastAsia" w:ascii="宋体" w:hAnsi="宋体" w:cs="宋体"/>
                <w:bCs/>
                <w:color w:val="auto"/>
                <w:sz w:val="21"/>
                <w:szCs w:val="21"/>
                <w:highlight w:val="none"/>
              </w:rPr>
              <w:t xml:space="preserve">2.5分，本项最高得5分</w:t>
            </w:r>
            <w:r>
              <w:rPr>
                <w:rFonts w:hint="eastAsia" w:ascii="宋体" w:hAnsi="宋体" w:cs="宋体"/>
                <w:bCs/>
                <w:color w:val="auto"/>
                <w:sz w:val="21"/>
                <w:szCs w:val="21"/>
                <w:highlight w:val="none"/>
              </w:rPr>
              <w:t xml:space="preserve">。投标人代管的业绩需提供服务合同原件扫描件，且合同中须体现甲乙双方名称、合同签订时间、甲乙双方章印齐全、合同服务内容(如合同不能体现流量的，须提供此合同甲方提供的证明材料)。投标人自管的业绩须提供上级主管部门相关证明材料，否则不予认可。未提供或经评审不合格的均不得分。</w:t>
            </w:r>
            <w:r/>
          </w:p>
        </w:tc>
      </w:tr>
      <w:tr>
        <w:trPr>
          <w:trHeight w:val="615"/>
        </w:trPr>
        <w:tc>
          <w:tcPr>
            <w:tcBorders>
              <w:top w:val="single" w:color="000000" w:sz="2" w:space="0"/>
              <w:left w:val="single" w:color="000000" w:sz="2" w:space="0"/>
              <w:right w:val="single" w:color="000000" w:sz="2" w:space="0"/>
            </w:tcBorders>
            <w:tcW w:w="367" w:type="pct"/>
            <w:vAlign w:val="center"/>
            <w:vMerge w:val="continue"/>
            <w:textDirection w:val="lrTb"/>
            <w:noWrap w:val="false"/>
          </w:tcPr>
          <w:p>
            <w:pPr>
              <w:pStyle w:val="930"/>
              <w:jc w:val="cente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2" w:space="0"/>
              <w:left w:val="single" w:color="000000" w:sz="2" w:space="0"/>
              <w:right w:val="single" w:color="000000" w:sz="2" w:space="0"/>
            </w:tcBorders>
            <w:tcW w:w="368" w:type="pct"/>
            <w:vAlign w:val="center"/>
            <w:vMerge w:val="continue"/>
            <w:textDirection w:val="lrTb"/>
            <w:noWrap w:val="false"/>
          </w:tcPr>
          <w:p>
            <w:pPr>
              <w:pStyle w:val="930"/>
              <w:jc w:val="cente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2" w:space="0"/>
              <w:left w:val="single" w:color="000000" w:sz="2" w:space="0"/>
              <w:right w:val="single" w:color="000000" w:sz="2" w:space="0"/>
            </w:tcBorders>
            <w:tcW w:w="716" w:type="pct"/>
            <w:vAlign w:val="center"/>
            <w:textDirection w:val="lrTb"/>
            <w:noWrap w:val="false"/>
          </w:tcPr>
          <w:p>
            <w:pPr>
              <w:pStyle w:val="930"/>
              <w:jc w:val="center"/>
              <w:spacing w:line="24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投标人的项目负责人</w:t>
            </w:r>
            <w:r>
              <w:rPr>
                <w:rFonts w:hint="eastAsia" w:cs="宋体" w:asciiTheme="minorEastAsia" w:hAnsiTheme="minorEastAsia" w:eastAsiaTheme="minorEastAsia"/>
                <w:bCs/>
                <w:color w:val="auto"/>
                <w:sz w:val="21"/>
                <w:szCs w:val="21"/>
                <w:highlight w:val="none"/>
              </w:rPr>
              <w:t xml:space="preserve">业绩</w:t>
            </w:r>
            <w:r>
              <w:rPr>
                <w:rFonts w:hint="eastAsia" w:cs="宋体" w:asciiTheme="minorEastAsia" w:hAnsiTheme="minorEastAsia" w:eastAsiaTheme="minorEastAsia"/>
                <w:bCs/>
                <w:color w:val="auto"/>
                <w:sz w:val="21"/>
                <w:szCs w:val="21"/>
                <w:highlight w:val="none"/>
              </w:rPr>
              <w:t xml:space="preserve">（3分</w:t>
            </w:r>
            <w:r>
              <w:rPr>
                <w:rFonts w:hint="eastAsia" w:cs="宋体" w:asciiTheme="minorEastAsia" w:hAnsiTheme="minorEastAsia" w:eastAsiaTheme="minorEastAsia"/>
                <w:bCs/>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投标人的项目负责人自2021年1月1日（以合同签订日期为准）以来承担过类似项目业绩（</w:t>
            </w:r>
            <w:r>
              <w:rPr>
                <w:rFonts w:hint="eastAsia" w:ascii="宋体" w:hAnsi="宋体" w:cs="宋体"/>
                <w:color w:val="auto"/>
                <w:sz w:val="21"/>
                <w:szCs w:val="24"/>
                <w:highlight w:val="none"/>
              </w:rPr>
              <w:t xml:space="preserve">单座泵站设计流量20m³/s及以上运行管理工作</w:t>
            </w:r>
            <w:r>
              <w:rPr>
                <w:rFonts w:hint="eastAsia" w:ascii="宋体" w:hAnsi="宋体" w:cs="宋体"/>
                <w:bCs/>
                <w:color w:val="auto"/>
                <w:sz w:val="21"/>
                <w:szCs w:val="21"/>
                <w:highlight w:val="none"/>
              </w:rPr>
              <w:t xml:space="preserve">）的，有一个业绩合同(证明)得3分，本项最高</w:t>
            </w:r>
            <w:r>
              <w:rPr>
                <w:rFonts w:hint="eastAsia" w:ascii="宋体" w:hAnsi="宋体" w:cs="宋体"/>
                <w:bCs/>
                <w:color w:val="auto"/>
                <w:sz w:val="21"/>
                <w:szCs w:val="21"/>
                <w:highlight w:val="none"/>
              </w:rPr>
              <w:t xml:space="preserve">得3分</w:t>
            </w:r>
            <w:r>
              <w:rPr>
                <w:rFonts w:hint="eastAsia" w:ascii="宋体" w:hAnsi="宋体" w:cs="宋体"/>
                <w:bCs/>
                <w:color w:val="auto"/>
                <w:sz w:val="21"/>
                <w:szCs w:val="21"/>
                <w:highlight w:val="none"/>
              </w:rPr>
              <w:t xml:space="preserve">。投标人代管的业绩需提供服务合同原件扫描件，且合同中须体现甲乙双方名称、合同签订时间、甲乙双方章印齐全、合同服务内容(如合同不能体现项目负责人姓名的，须提供此合同甲方提供的证明材料)，投标人自管泵站的须提供上级主管部门相关证明材料，否则不予认可。未提供或经评审不合格的均不得分。投标人</w:t>
            </w:r>
            <w:r>
              <w:rPr>
                <w:rFonts w:hint="eastAsia" w:cs="宋体" w:asciiTheme="minorEastAsia" w:hAnsiTheme="minorEastAsia" w:eastAsiaTheme="minorEastAsia"/>
                <w:bCs/>
                <w:color w:val="auto"/>
                <w:sz w:val="21"/>
                <w:szCs w:val="21"/>
                <w:highlight w:val="none"/>
              </w:rPr>
              <w:t xml:space="preserve">的业绩和</w:t>
            </w:r>
            <w:r>
              <w:rPr>
                <w:rFonts w:hint="eastAsia" w:ascii="宋体" w:hAnsi="宋体" w:cs="宋体"/>
                <w:bCs/>
                <w:color w:val="auto"/>
                <w:sz w:val="21"/>
                <w:szCs w:val="21"/>
                <w:highlight w:val="none"/>
              </w:rPr>
              <w:t xml:space="preserve">投标人的项目负责人的业绩不重复计分。</w:t>
            </w:r>
            <w:r/>
          </w:p>
        </w:tc>
      </w:tr>
      <w:tr>
        <w:trPr>
          <w:trHeight w:val="575"/>
        </w:trPr>
        <w:tc>
          <w:tcPr>
            <w:tcBorders>
              <w:left w:val="single" w:color="000000" w:sz="2" w:space="0"/>
              <w:right w:val="single" w:color="000000" w:sz="2" w:space="0"/>
            </w:tcBorders>
            <w:tcW w:w="367" w:type="pct"/>
            <w:vAlign w:val="center"/>
            <w:vMerge w:val="continue"/>
            <w:textDirection w:val="lrTb"/>
            <w:noWrap w:val="false"/>
          </w:tcPr>
          <w:p>
            <w:pPr>
              <w:pStyle w:val="930"/>
              <w:jc w:val="center"/>
              <w:spacing w:line="240" w:lineRule="exact"/>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000000" w:sz="2" w:space="0"/>
              <w:left w:val="single" w:color="000000" w:sz="2" w:space="0"/>
              <w:right w:val="single" w:color="000000" w:sz="2" w:space="0"/>
            </w:tcBorders>
            <w:tcW w:w="368" w:type="pct"/>
            <w:vAlign w:val="center"/>
            <w:vMerge w:val="restart"/>
            <w:textDirection w:val="lrTb"/>
            <w:noWrap w:val="false"/>
          </w:tcPr>
          <w:p>
            <w:pPr>
              <w:jc w:val="center"/>
              <w:spacing w:line="240" w:lineRule="exact"/>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项目组成员（</w:t>
            </w:r>
            <w:r>
              <w:rPr>
                <w:rFonts w:hint="eastAsia" w:ascii="宋体" w:hAnsi="宋体" w:cs="宋体"/>
                <w:color w:val="auto"/>
                <w:sz w:val="21"/>
                <w:szCs w:val="21"/>
                <w:highlight w:val="none"/>
              </w:rPr>
              <w:t xml:space="preserve">40</w:t>
            </w:r>
            <w:r>
              <w:rPr>
                <w:rFonts w:hint="eastAsia" w:ascii="宋体" w:hAnsi="宋体" w:cs="宋体"/>
                <w:color w:val="auto"/>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pStyle w:val="930"/>
              <w:jc w:val="center"/>
              <w:spacing w:line="240" w:lineRule="exact"/>
              <w:rPr>
                <w:rFonts w:ascii="宋体" w:hAnsi="宋体" w:cs="宋体"/>
                <w:bCs/>
                <w:color w:val="auto"/>
                <w:sz w:val="21"/>
                <w:szCs w:val="21"/>
                <w:highlight w:val="none"/>
              </w:rPr>
            </w:pPr>
            <w:r/>
            <w:bookmarkStart w:id="159" w:name="OLE_LINK11"/>
            <w:r>
              <w:rPr>
                <w:rFonts w:hint="eastAsia" w:ascii="宋体" w:hAnsi="宋体" w:cs="宋体"/>
                <w:bCs/>
                <w:color w:val="auto"/>
                <w:sz w:val="21"/>
                <w:szCs w:val="21"/>
                <w:highlight w:val="none"/>
              </w:rPr>
              <w:t xml:space="preserve">项目</w:t>
            </w:r>
            <w:bookmarkEnd w:id="159"/>
            <w:r>
              <w:rPr>
                <w:rFonts w:hint="eastAsia" w:ascii="宋体" w:hAnsi="宋体" w:cs="宋体"/>
                <w:bCs/>
                <w:color w:val="auto"/>
                <w:sz w:val="21"/>
                <w:szCs w:val="21"/>
                <w:highlight w:val="none"/>
              </w:rPr>
              <w:t xml:space="preserve">负责人（</w:t>
            </w:r>
            <w:r>
              <w:rPr>
                <w:rFonts w:hint="eastAsia" w:ascii="宋体" w:hAnsi="宋体" w:cs="宋体" w:eastAsiaTheme="minorEastAsia"/>
                <w:bCs/>
                <w:color w:val="auto"/>
                <w:sz w:val="21"/>
                <w:szCs w:val="21"/>
                <w:highlight w:val="none"/>
              </w:rPr>
              <w:t xml:space="preserve">3</w:t>
            </w:r>
            <w:r>
              <w:rPr>
                <w:rFonts w:hint="eastAsia" w:ascii="宋体" w:hAnsi="宋体" w:cs="宋体"/>
                <w:bCs/>
                <w:color w:val="auto"/>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项目负责人具有水利相关专业高级及以上职称的，得3分，水利相关专业中级职称的，得1.5分，职称证书按高级别计分，本项最多得3分。</w:t>
            </w:r>
            <w:r/>
          </w:p>
        </w:tc>
      </w:tr>
      <w:tr>
        <w:trPr>
          <w:trHeight w:val="825"/>
        </w:trPr>
        <w:tc>
          <w:tcPr>
            <w:tcBorders>
              <w:left w:val="single" w:color="000000" w:sz="2" w:space="0"/>
              <w:right w:val="single" w:color="000000" w:sz="2" w:space="0"/>
            </w:tcBorders>
            <w:tcW w:w="367" w:type="pct"/>
            <w:vAlign w:val="center"/>
            <w:vMerge w:val="continue"/>
            <w:textDirection w:val="lrTb"/>
            <w:noWrap w:val="false"/>
          </w:tcPr>
          <w:p>
            <w:pPr>
              <w:pStyle w:val="930"/>
              <w:jc w:val="center"/>
              <w:spacing w:line="240" w:lineRule="exact"/>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pStyle w:val="930"/>
              <w:jc w:val="center"/>
              <w:spacing w:line="240" w:lineRule="exact"/>
              <w:rPr>
                <w:rFonts w:ascii="宋体" w:hAnsi="宋体" w:cs="宋体"/>
                <w:bCs/>
                <w:color w:val="auto"/>
                <w:sz w:val="21"/>
                <w:szCs w:val="21"/>
                <w:highlight w:val="none"/>
              </w:rPr>
            </w:pPr>
            <w:r>
              <w:rPr>
                <w:rFonts w:hint="eastAsia" w:ascii="宋体" w:hAnsi="宋体" w:eastAsia="宋体" w:cs="宋体"/>
                <w:bCs/>
                <w:color w:val="auto"/>
                <w:sz w:val="21"/>
                <w:szCs w:val="21"/>
                <w:highlight w:val="none"/>
              </w:rPr>
              <w:t xml:space="preserve">技术</w:t>
            </w:r>
            <w:bookmarkStart w:id="160" w:name="OLE_LINK105"/>
            <w:r>
              <w:rPr>
                <w:rFonts w:hint="eastAsia" w:ascii="宋体" w:hAnsi="宋体" w:eastAsia="宋体" w:cs="宋体"/>
                <w:bCs/>
                <w:color w:val="auto"/>
                <w:sz w:val="21"/>
                <w:szCs w:val="21"/>
                <w:highlight w:val="none"/>
              </w:rPr>
              <w:t xml:space="preserve">负责人</w:t>
            </w:r>
            <w:bookmarkEnd w:id="160"/>
            <w:r/>
            <w:bookmarkStart w:id="161" w:name="OLE_LINK106"/>
            <w:r>
              <w:rPr>
                <w:rFonts w:hint="eastAsia" w:ascii="宋体" w:hAnsi="宋体" w:eastAsia="宋体" w:cs="宋体"/>
                <w:bCs/>
                <w:color w:val="auto"/>
                <w:sz w:val="21"/>
                <w:szCs w:val="21"/>
                <w:highlight w:val="none"/>
              </w:rPr>
              <w:t xml:space="preserve">（3分）</w:t>
            </w:r>
            <w:bookmarkEnd w:id="16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技术负责人</w:t>
            </w:r>
            <w:bookmarkStart w:id="162" w:name="OLE_LINK27"/>
            <w:r>
              <w:rPr>
                <w:rFonts w:hint="eastAsia" w:ascii="宋体" w:hAnsi="宋体" w:cs="宋体"/>
                <w:bCs/>
                <w:color w:val="auto"/>
                <w:sz w:val="21"/>
                <w:szCs w:val="21"/>
                <w:highlight w:val="none"/>
              </w:rPr>
              <w:t xml:space="preserve">具</w:t>
            </w:r>
            <w:bookmarkEnd w:id="162"/>
            <w:r>
              <w:rPr>
                <w:rFonts w:hint="eastAsia" w:ascii="宋体" w:hAnsi="宋体" w:cs="宋体"/>
                <w:bCs/>
                <w:color w:val="auto"/>
                <w:sz w:val="21"/>
                <w:szCs w:val="21"/>
                <w:highlight w:val="none"/>
              </w:rPr>
              <w:t xml:space="preserve">有水利相关专业高级及以上职称的，得3分，水利相关专业中级职称的，得1.5分，职称证书按高级别计分，本项最多得3分。注：项目负责人和技术负责人不为同一人。</w:t>
            </w:r>
            <w:r/>
          </w:p>
        </w:tc>
      </w:tr>
      <w:tr>
        <w:trPr>
          <w:trHeight w:val="367"/>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color w:val="auto"/>
                <w:sz w:val="21"/>
                <w:szCs w:val="24"/>
                <w:highlight w:val="none"/>
              </w:rPr>
              <w:t xml:space="preserve">泵站或闸门</w:t>
            </w:r>
            <w:r>
              <w:rPr>
                <w:rFonts w:hint="eastAsia" w:ascii="宋体" w:hAnsi="宋体" w:cs="宋体"/>
                <w:bCs/>
                <w:color w:val="auto"/>
                <w:sz w:val="21"/>
                <w:szCs w:val="21"/>
                <w:highlight w:val="none"/>
              </w:rPr>
              <w:t xml:space="preserve">运行工（</w:t>
            </w:r>
            <w:r>
              <w:rPr>
                <w:rFonts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bookmarkStart w:id="163" w:name="OLE_LINK68"/>
            <w:r/>
            <w:bookmarkStart w:id="164" w:name="OLE_LINK72"/>
            <w:r>
              <w:rPr>
                <w:rFonts w:hint="eastAsia" w:ascii="宋体" w:hAnsi="宋体" w:cs="宋体"/>
                <w:bCs/>
                <w:color w:val="auto"/>
                <w:sz w:val="21"/>
                <w:szCs w:val="21"/>
                <w:highlight w:val="none"/>
              </w:rPr>
              <w:t xml:space="preserve">项目</w:t>
            </w:r>
            <w:bookmarkStart w:id="165" w:name="OLE_LINK71"/>
            <w:r>
              <w:rPr>
                <w:rFonts w:hint="eastAsia" w:ascii="宋体" w:hAnsi="宋体" w:cs="宋体"/>
                <w:bCs/>
                <w:color w:val="auto"/>
                <w:sz w:val="21"/>
                <w:szCs w:val="21"/>
                <w:highlight w:val="none"/>
              </w:rPr>
              <w:t xml:space="preserve">组</w:t>
            </w:r>
            <w:bookmarkEnd w:id="165"/>
            <w:r>
              <w:rPr>
                <w:rFonts w:hint="eastAsia" w:ascii="宋体" w:hAnsi="宋体" w:cs="宋体"/>
                <w:bCs/>
                <w:color w:val="auto"/>
                <w:sz w:val="21"/>
                <w:szCs w:val="21"/>
                <w:highlight w:val="none"/>
              </w:rPr>
              <w:t xml:space="preserve">成员</w:t>
            </w:r>
            <w:bookmarkEnd w:id="163"/>
            <w:r>
              <w:rPr>
                <w:rFonts w:hint="eastAsia" w:ascii="宋体" w:hAnsi="宋体" w:cs="宋体"/>
                <w:bCs/>
                <w:color w:val="auto"/>
                <w:sz w:val="21"/>
                <w:szCs w:val="21"/>
                <w:highlight w:val="none"/>
              </w:rPr>
              <w:t xml:space="preserve">中</w:t>
            </w:r>
            <w:bookmarkEnd w:id="164"/>
            <w:r/>
            <w:bookmarkStart w:id="166" w:name="OLE_LINK59"/>
            <w:r>
              <w:rPr>
                <w:rFonts w:hint="eastAsia" w:ascii="宋体" w:hAnsi="宋体" w:cs="宋体"/>
                <w:bCs/>
                <w:color w:val="auto"/>
                <w:sz w:val="21"/>
                <w:szCs w:val="21"/>
                <w:highlight w:val="none"/>
              </w:rPr>
              <w:t xml:space="preserve">(除项目负责人和技术负责人外)具有</w:t>
            </w:r>
            <w:r>
              <w:rPr>
                <w:rFonts w:hint="eastAsia" w:ascii="宋体" w:hAnsi="宋体" w:cs="宋体"/>
                <w:color w:val="auto"/>
                <w:sz w:val="21"/>
                <w:szCs w:val="24"/>
                <w:highlight w:val="none"/>
              </w:rPr>
              <w:t xml:space="preserve">泵站或闸门运行</w:t>
            </w:r>
            <w:r>
              <w:rPr>
                <w:rFonts w:hint="eastAsia" w:ascii="宋体" w:hAnsi="宋体" w:cs="宋体"/>
                <w:bCs/>
                <w:color w:val="auto"/>
                <w:sz w:val="21"/>
                <w:szCs w:val="21"/>
                <w:highlight w:val="none"/>
              </w:rPr>
              <w:t xml:space="preserve">技师及以上的，有1人得2分，</w:t>
            </w:r>
            <w:bookmarkEnd w:id="166"/>
            <w:r/>
            <w:bookmarkStart w:id="167" w:name="OLE_LINK60"/>
            <w:r>
              <w:rPr>
                <w:rFonts w:hint="eastAsia" w:ascii="宋体" w:hAnsi="宋体" w:cs="宋体"/>
                <w:bCs/>
                <w:color w:val="auto"/>
                <w:sz w:val="21"/>
                <w:szCs w:val="21"/>
                <w:highlight w:val="none"/>
              </w:rPr>
              <w:t xml:space="preserve">具有</w:t>
            </w:r>
            <w:r>
              <w:rPr>
                <w:rFonts w:hint="eastAsia" w:ascii="宋体" w:hAnsi="宋体" w:cs="宋体"/>
                <w:color w:val="auto"/>
                <w:sz w:val="21"/>
                <w:szCs w:val="24"/>
                <w:highlight w:val="none"/>
              </w:rPr>
              <w:t xml:space="preserve">泵站或闸门运行</w:t>
            </w:r>
            <w:r>
              <w:rPr>
                <w:rFonts w:hint="eastAsia" w:ascii="宋体" w:hAnsi="宋体" w:cs="宋体"/>
                <w:bCs/>
                <w:color w:val="auto"/>
                <w:sz w:val="21"/>
                <w:szCs w:val="21"/>
                <w:highlight w:val="none"/>
              </w:rPr>
              <w:t xml:space="preserve">高级工的</w:t>
            </w:r>
            <w:bookmarkEnd w:id="167"/>
            <w:r>
              <w:rPr>
                <w:rFonts w:hint="eastAsia" w:ascii="宋体" w:hAnsi="宋体" w:cs="宋体"/>
                <w:bCs/>
                <w:color w:val="auto"/>
                <w:sz w:val="21"/>
                <w:szCs w:val="21"/>
                <w:highlight w:val="none"/>
              </w:rPr>
              <w:t xml:space="preserve">，</w:t>
            </w:r>
            <w:bookmarkStart w:id="168" w:name="OLE_LINK66"/>
            <w:r>
              <w:rPr>
                <w:rFonts w:hint="eastAsia" w:ascii="宋体" w:hAnsi="宋体" w:cs="宋体"/>
                <w:bCs/>
                <w:color w:val="auto"/>
                <w:sz w:val="21"/>
                <w:szCs w:val="21"/>
                <w:highlight w:val="none"/>
              </w:rPr>
              <w:t xml:space="preserve">有1人得1分</w:t>
            </w:r>
            <w:bookmarkEnd w:id="168"/>
            <w:r>
              <w:rPr>
                <w:rFonts w:hint="eastAsia" w:ascii="宋体" w:hAnsi="宋体" w:cs="宋体"/>
                <w:bCs/>
                <w:color w:val="auto"/>
                <w:sz w:val="21"/>
                <w:szCs w:val="21"/>
                <w:highlight w:val="none"/>
              </w:rPr>
              <w:t xml:space="preserve">，具有</w:t>
            </w:r>
            <w:r>
              <w:rPr>
                <w:rFonts w:hint="eastAsia" w:ascii="宋体" w:hAnsi="宋体" w:cs="宋体"/>
                <w:color w:val="auto"/>
                <w:sz w:val="21"/>
                <w:szCs w:val="24"/>
                <w:highlight w:val="none"/>
              </w:rPr>
              <w:t xml:space="preserve">泵站或闸门</w:t>
            </w:r>
            <w:r>
              <w:rPr>
                <w:rFonts w:hint="eastAsia" w:ascii="宋体" w:hAnsi="宋体" w:cs="宋体"/>
                <w:bCs/>
                <w:color w:val="auto"/>
                <w:sz w:val="21"/>
                <w:szCs w:val="21"/>
                <w:highlight w:val="none"/>
              </w:rPr>
              <w:t xml:space="preserve">运行中级工的，有1人得0.5分，同一人以高等级计分，且计分一次，本项最多得1</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tc>
      </w:tr>
      <w:tr>
        <w:trPr>
          <w:trHeight w:val="332"/>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电工</w:t>
            </w:r>
            <w:r/>
          </w:p>
          <w:p>
            <w:pPr>
              <w:jc w:val="center"/>
              <w:spacing w:line="240" w:lineRule="exact"/>
              <w:widowControl/>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（6分）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项目组成员中(除项目负责人和技术负责人外)</w:t>
            </w:r>
            <w:bookmarkStart w:id="169" w:name="OLE_LINK74"/>
            <w:r>
              <w:rPr>
                <w:rFonts w:hint="eastAsia" w:ascii="宋体" w:hAnsi="宋体" w:cs="宋体"/>
                <w:bCs/>
                <w:color w:val="auto"/>
                <w:sz w:val="21"/>
                <w:szCs w:val="21"/>
                <w:highlight w:val="none"/>
              </w:rPr>
              <w:t xml:space="preserve">除</w:t>
            </w:r>
            <w:bookmarkEnd w:id="169"/>
            <w:r>
              <w:rPr>
                <w:rFonts w:hint="eastAsia" w:ascii="宋体" w:hAnsi="宋体" w:cs="宋体"/>
                <w:bCs/>
                <w:color w:val="auto"/>
                <w:sz w:val="21"/>
                <w:szCs w:val="21"/>
                <w:highlight w:val="none"/>
              </w:rPr>
              <w:t xml:space="preserve">基</w:t>
            </w:r>
            <w:bookmarkStart w:id="170" w:name="OLE_LINK65"/>
            <w:r>
              <w:rPr>
                <w:rFonts w:hint="eastAsia" w:ascii="宋体" w:hAnsi="宋体" w:cs="宋体"/>
                <w:bCs/>
                <w:color w:val="auto"/>
                <w:sz w:val="21"/>
                <w:szCs w:val="21"/>
                <w:highlight w:val="none"/>
              </w:rPr>
              <w:t xml:space="preserve">本</w:t>
            </w:r>
            <w:bookmarkEnd w:id="170"/>
            <w:r>
              <w:rPr>
                <w:rFonts w:hint="eastAsia" w:ascii="宋体" w:hAnsi="宋体" w:cs="宋体"/>
                <w:bCs/>
                <w:color w:val="auto"/>
                <w:sz w:val="21"/>
                <w:szCs w:val="21"/>
                <w:highlight w:val="none"/>
              </w:rPr>
              <w:t xml:space="preserve">配备的</w:t>
            </w:r>
            <w:r>
              <w:rPr>
                <w:rFonts w:hint="eastAsia" w:ascii="宋体" w:hAnsi="宋体" w:cs="宋体"/>
                <w:color w:val="auto"/>
                <w:sz w:val="21"/>
                <w:szCs w:val="21"/>
                <w:highlight w:val="none"/>
              </w:rPr>
              <w:t xml:space="preserve">7人</w:t>
            </w:r>
            <w:bookmarkStart w:id="171" w:name="OLE_LINK47"/>
            <w:r>
              <w:rPr>
                <w:rFonts w:hint="eastAsia" w:ascii="宋体" w:hAnsi="宋体" w:cs="宋体"/>
                <w:color w:val="auto"/>
                <w:sz w:val="21"/>
                <w:szCs w:val="21"/>
                <w:highlight w:val="none"/>
              </w:rPr>
              <w:t xml:space="preserve">外，</w:t>
            </w:r>
            <w:bookmarkEnd w:id="171"/>
            <w:r>
              <w:rPr>
                <w:rFonts w:hint="eastAsia" w:ascii="宋体" w:hAnsi="宋体" w:cs="宋体"/>
                <w:color w:val="auto"/>
                <w:sz w:val="21"/>
                <w:szCs w:val="21"/>
                <w:highlight w:val="none"/>
              </w:rPr>
              <w:t xml:space="preserve">每增加1人加1分，本项最多得6分。</w:t>
            </w:r>
            <w:r/>
          </w:p>
        </w:tc>
      </w:tr>
      <w:tr>
        <w:trPr>
          <w:trHeight w:val="332"/>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起重工</w:t>
            </w:r>
            <w:bookmarkStart w:id="172" w:name="OLE_LINK109"/>
            <w:r/>
            <w:r/>
          </w:p>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（2分）</w:t>
            </w:r>
            <w:bookmarkEnd w:id="17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项目组成员中(除项目负责人和技术负责人外) 除基本</w:t>
            </w:r>
            <w:bookmarkStart w:id="173" w:name="OLE_LINK62"/>
            <w:r>
              <w:rPr>
                <w:rFonts w:hint="eastAsia" w:ascii="宋体" w:hAnsi="宋体" w:cs="宋体"/>
                <w:bCs/>
                <w:color w:val="auto"/>
                <w:sz w:val="21"/>
                <w:szCs w:val="21"/>
                <w:highlight w:val="none"/>
              </w:rPr>
              <w:t xml:space="preserve">配备</w:t>
            </w:r>
            <w:bookmarkEnd w:id="173"/>
            <w:r>
              <w:rPr>
                <w:rFonts w:hint="eastAsia" w:ascii="宋体" w:hAnsi="宋体" w:cs="宋体"/>
                <w:bCs/>
                <w:color w:val="auto"/>
                <w:sz w:val="21"/>
                <w:szCs w:val="21"/>
                <w:highlight w:val="none"/>
              </w:rPr>
              <w:t xml:space="preserve">2人外，</w:t>
            </w:r>
            <w:bookmarkStart w:id="174" w:name="OLE_LINK61"/>
            <w:r>
              <w:rPr>
                <w:rFonts w:hint="eastAsia" w:ascii="宋体" w:hAnsi="宋体" w:cs="宋体"/>
                <w:bCs/>
                <w:color w:val="auto"/>
                <w:sz w:val="21"/>
                <w:szCs w:val="21"/>
                <w:highlight w:val="none"/>
              </w:rPr>
              <w:t xml:space="preserve">每增加1人加1分，</w:t>
            </w:r>
            <w:bookmarkStart w:id="175" w:name="OLE_LINK115"/>
            <w:r>
              <w:rPr>
                <w:rFonts w:hint="eastAsia" w:ascii="宋体" w:hAnsi="宋体" w:cs="宋体"/>
                <w:bCs/>
                <w:color w:val="auto"/>
                <w:sz w:val="21"/>
                <w:szCs w:val="21"/>
                <w:highlight w:val="none"/>
              </w:rPr>
              <w:t xml:space="preserve">本项最多得2分。</w:t>
            </w:r>
            <w:bookmarkEnd w:id="174"/>
            <w:r/>
            <w:bookmarkEnd w:id="175"/>
            <w:r/>
            <w:r/>
          </w:p>
        </w:tc>
      </w:tr>
      <w:tr>
        <w:trPr>
          <w:trHeight w:val="346"/>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焊工</w:t>
            </w:r>
            <w:r/>
          </w:p>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bookmarkStart w:id="176" w:name="OLE_LINK117"/>
            <w:r>
              <w:rPr>
                <w:rFonts w:hint="eastAsia" w:ascii="宋体" w:hAnsi="宋体" w:cs="宋体"/>
                <w:bCs/>
                <w:color w:val="auto"/>
                <w:sz w:val="21"/>
                <w:szCs w:val="21"/>
                <w:highlight w:val="none"/>
              </w:rPr>
              <w:t xml:space="preserve">项目组成员中(除项目负责人和技术负责人外) 除基本配备2人外，每增加1人加1分，本项最多得2分。</w:t>
            </w:r>
            <w:bookmarkEnd w:id="176"/>
            <w:r/>
            <w:r/>
          </w:p>
        </w:tc>
      </w:tr>
      <w:tr>
        <w:trPr>
          <w:trHeight w:val="383"/>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pStyle w:val="719"/>
              <w:jc w:val="center"/>
              <w:rPr>
                <w:rFonts w:hint="eastAsia" w:ascii="宋体" w:hAnsi="宋体" w:cs="宋体"/>
                <w:bCs/>
                <w:color w:val="auto"/>
                <w:sz w:val="21"/>
                <w:szCs w:val="21"/>
                <w:highlight w:val="none"/>
              </w:rPr>
            </w:pPr>
            <w:r/>
            <w:bookmarkStart w:id="177" w:name="OLE_LINK28"/>
            <w:r>
              <w:rPr>
                <w:rFonts w:hint="eastAsia" w:ascii="宋体" w:hAnsi="宋体" w:cs="宋体"/>
                <w:bCs/>
                <w:color w:val="auto"/>
                <w:sz w:val="21"/>
                <w:szCs w:val="21"/>
                <w:highlight w:val="none"/>
              </w:rPr>
              <w:t xml:space="preserve">水利水电工程</w:t>
            </w:r>
            <w:bookmarkEnd w:id="177"/>
            <w:r/>
            <w:bookmarkStart w:id="178" w:name="OLE_LINK111"/>
            <w:r>
              <w:rPr>
                <w:rFonts w:hint="eastAsia" w:ascii="宋体" w:hAnsi="宋体" w:cs="宋体"/>
                <w:bCs/>
                <w:color w:val="auto"/>
                <w:sz w:val="21"/>
                <w:szCs w:val="21"/>
                <w:highlight w:val="none"/>
              </w:rPr>
              <w:t xml:space="preserve">（4分）</w:t>
            </w:r>
            <w:bookmarkEnd w:id="17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pStyle w:val="719"/>
              <w:jc w:val="both"/>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项目组成员中</w:t>
            </w:r>
            <w:bookmarkStart w:id="179" w:name="OLE_LINK67"/>
            <w:r>
              <w:rPr>
                <w:rFonts w:hint="eastAsia" w:ascii="宋体" w:hAnsi="宋体" w:cs="宋体"/>
                <w:bCs/>
                <w:color w:val="auto"/>
                <w:sz w:val="21"/>
                <w:szCs w:val="21"/>
                <w:highlight w:val="none"/>
              </w:rPr>
              <w:t xml:space="preserve">(除项目负责人和技术负责人外)</w:t>
            </w:r>
            <w:bookmarkEnd w:id="179"/>
            <w:r>
              <w:rPr>
                <w:rFonts w:hint="eastAsia" w:ascii="宋体" w:hAnsi="宋体" w:cs="宋体"/>
                <w:bCs/>
                <w:color w:val="auto"/>
                <w:sz w:val="21"/>
                <w:szCs w:val="21"/>
                <w:highlight w:val="none"/>
              </w:rPr>
              <w:t xml:space="preserve">具有水利水电工程</w:t>
            </w:r>
            <w:r>
              <w:rPr>
                <w:rFonts w:hint="eastAsia" w:ascii="宋体" w:hAnsi="宋体" w:cs="宋体"/>
                <w:color w:val="auto"/>
                <w:sz w:val="21"/>
                <w:szCs w:val="21"/>
                <w:highlight w:val="none"/>
              </w:rPr>
              <w:t xml:space="preserve">专业（</w:t>
            </w:r>
            <w:r>
              <w:rPr>
                <w:rFonts w:hint="eastAsia" w:ascii="宋体" w:hAnsi="宋体" w:cs="宋体"/>
                <w:color w:val="auto"/>
                <w:sz w:val="21"/>
                <w:szCs w:val="21"/>
                <w:highlight w:val="none"/>
                <w:lang w:eastAsia="zh-CN"/>
              </w:rPr>
              <w:t xml:space="preserve">以学历毕业证书为准</w:t>
            </w:r>
            <w:r>
              <w:rPr>
                <w:rFonts w:hint="eastAsia" w:ascii="宋体" w:hAnsi="宋体" w:cs="宋体"/>
                <w:color w:val="auto"/>
                <w:sz w:val="21"/>
                <w:szCs w:val="21"/>
                <w:highlight w:val="none"/>
              </w:rPr>
              <w:t xml:space="preserve">）相关技术人员</w:t>
            </w:r>
            <w:r>
              <w:rPr>
                <w:rFonts w:hint="eastAsia" w:ascii="宋体" w:hAnsi="宋体" w:cs="宋体"/>
                <w:bCs/>
                <w:color w:val="auto"/>
                <w:sz w:val="21"/>
                <w:szCs w:val="21"/>
                <w:highlight w:val="none"/>
              </w:rPr>
              <w:t xml:space="preserve">并同时具有工程类中级及以上职称证书的，有1人得2分，本项最高得4分。</w:t>
            </w:r>
            <w:r/>
          </w:p>
        </w:tc>
      </w:tr>
      <w:tr>
        <w:trPr>
          <w:trHeight w:val="362"/>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电气</w:t>
            </w:r>
            <w:r/>
          </w:p>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（机电）</w:t>
            </w:r>
            <w:r/>
          </w:p>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项目组成员中具有</w:t>
            </w:r>
            <w:r>
              <w:rPr>
                <w:rFonts w:hint="eastAsia" w:ascii="宋体" w:hAnsi="宋体" w:cs="宋体"/>
                <w:color w:val="auto"/>
                <w:sz w:val="21"/>
                <w:szCs w:val="21"/>
                <w:highlight w:val="none"/>
              </w:rPr>
              <w:t xml:space="preserve">电气（机电）专业</w:t>
            </w:r>
            <w:bookmarkStart w:id="180" w:name="OLE_LINK75"/>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以学历毕业证书为准</w:t>
            </w:r>
            <w:r>
              <w:rPr>
                <w:rFonts w:hint="eastAsia" w:ascii="宋体" w:hAnsi="宋体" w:cs="宋体"/>
                <w:color w:val="auto"/>
                <w:sz w:val="21"/>
                <w:szCs w:val="21"/>
                <w:highlight w:val="none"/>
              </w:rPr>
              <w:t xml:space="preserve">）</w:t>
            </w:r>
            <w:bookmarkEnd w:id="180"/>
            <w:r>
              <w:rPr>
                <w:rFonts w:hint="eastAsia" w:ascii="宋体" w:hAnsi="宋体" w:cs="宋体"/>
                <w:color w:val="auto"/>
                <w:sz w:val="21"/>
                <w:szCs w:val="21"/>
                <w:highlight w:val="none"/>
              </w:rPr>
              <w:t xml:space="preserve">相关技术人员</w:t>
            </w:r>
            <w:r>
              <w:rPr>
                <w:rFonts w:hint="eastAsia" w:ascii="宋体" w:hAnsi="宋体" w:cs="宋体"/>
                <w:bCs/>
                <w:color w:val="auto"/>
                <w:sz w:val="21"/>
                <w:szCs w:val="21"/>
                <w:highlight w:val="none"/>
              </w:rPr>
              <w:t xml:space="preserve">的并同时具有工程类中级及以上职称证书的，有1人得2分，本项最高得4分。</w:t>
            </w:r>
            <w:r/>
          </w:p>
        </w:tc>
      </w:tr>
      <w:tr>
        <w:trPr>
          <w:trHeight w:val="616"/>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自动化专业（2分）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bookmarkStart w:id="181" w:name="OLE_LINK104"/>
            <w:r>
              <w:rPr>
                <w:rFonts w:hint="eastAsia" w:ascii="宋体" w:hAnsi="宋体" w:cs="宋体"/>
                <w:bCs/>
                <w:color w:val="auto"/>
                <w:sz w:val="21"/>
                <w:szCs w:val="21"/>
                <w:highlight w:val="none"/>
              </w:rPr>
              <w:t xml:space="preserve">项目组成员中具有</w:t>
            </w:r>
            <w:bookmarkEnd w:id="181"/>
            <w:r>
              <w:rPr>
                <w:rFonts w:hint="eastAsia" w:ascii="宋体" w:hAnsi="宋体" w:cs="宋体"/>
                <w:color w:val="auto"/>
                <w:sz w:val="21"/>
                <w:szCs w:val="21"/>
                <w:highlight w:val="none"/>
              </w:rPr>
              <w:t xml:space="preserve">自动化专业</w:t>
            </w:r>
            <w:bookmarkStart w:id="182" w:name="OLE_LINK76"/>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以学历毕业证书为准</w:t>
            </w:r>
            <w:r>
              <w:rPr>
                <w:rFonts w:hint="eastAsia" w:ascii="宋体" w:hAnsi="宋体" w:cs="宋体"/>
                <w:color w:val="auto"/>
                <w:sz w:val="21"/>
                <w:szCs w:val="21"/>
                <w:highlight w:val="none"/>
              </w:rPr>
              <w:t xml:space="preserve">）</w:t>
            </w:r>
            <w:bookmarkEnd w:id="182"/>
            <w:r>
              <w:rPr>
                <w:rFonts w:hint="eastAsia" w:ascii="宋体" w:hAnsi="宋体" w:cs="宋体"/>
                <w:color w:val="auto"/>
                <w:sz w:val="21"/>
                <w:szCs w:val="21"/>
                <w:highlight w:val="none"/>
              </w:rPr>
              <w:t xml:space="preserve">相关</w:t>
            </w:r>
            <w:bookmarkStart w:id="183" w:name="OLE_LINK41"/>
            <w:r>
              <w:rPr>
                <w:rFonts w:hint="eastAsia" w:ascii="宋体" w:hAnsi="宋体" w:cs="宋体"/>
                <w:color w:val="auto"/>
                <w:sz w:val="21"/>
                <w:szCs w:val="21"/>
                <w:highlight w:val="none"/>
              </w:rPr>
              <w:t xml:space="preserve">技术人员</w:t>
            </w:r>
            <w:bookmarkEnd w:id="183"/>
            <w:r>
              <w:rPr>
                <w:rFonts w:hint="eastAsia" w:ascii="宋体" w:hAnsi="宋体" w:cs="宋体"/>
                <w:bCs/>
                <w:color w:val="auto"/>
                <w:sz w:val="21"/>
                <w:szCs w:val="21"/>
                <w:highlight w:val="none"/>
              </w:rPr>
              <w:t xml:space="preserve">并同时具有工程类中级及以上职称证书的得2分，本项最高得2分。</w:t>
            </w:r>
            <w:r/>
          </w:p>
        </w:tc>
      </w:tr>
      <w:tr>
        <w:trPr>
          <w:trHeight w:val="616"/>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716"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计算机专业（2分）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项目组成员中具有计算机专业</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以学历毕业证书为准</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相关</w:t>
            </w:r>
            <w:r>
              <w:rPr>
                <w:rFonts w:hint="eastAsia" w:ascii="宋体" w:hAnsi="宋体" w:cs="宋体"/>
                <w:color w:val="auto"/>
                <w:sz w:val="21"/>
                <w:szCs w:val="21"/>
                <w:highlight w:val="none"/>
              </w:rPr>
              <w:t xml:space="preserve">技术人员</w:t>
            </w:r>
            <w:r>
              <w:rPr>
                <w:rFonts w:hint="eastAsia" w:ascii="宋体" w:hAnsi="宋体" w:cs="宋体"/>
                <w:bCs/>
                <w:color w:val="auto"/>
                <w:sz w:val="21"/>
                <w:szCs w:val="21"/>
                <w:highlight w:val="none"/>
              </w:rPr>
              <w:t xml:space="preserve">并同时具有工程类中级及以上职称证书的得2分。本项最高得2分。</w:t>
            </w:r>
            <w:r/>
          </w:p>
        </w:tc>
      </w:tr>
      <w:tr>
        <w:trPr>
          <w:trHeight w:val="936"/>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left w:val="single" w:color="000000" w:sz="2" w:space="0"/>
              <w:right w:val="single" w:color="000000" w:sz="2" w:space="0"/>
            </w:tcBorders>
            <w:tcW w:w="368"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gridSpan w:val="2"/>
            <w:tcBorders>
              <w:top w:val="single" w:color="000000" w:sz="2" w:space="0"/>
              <w:left w:val="single" w:color="000000" w:sz="2" w:space="0"/>
              <w:bottom w:val="single" w:color="000000" w:sz="2" w:space="0"/>
              <w:right w:val="single" w:color="000000" w:sz="2" w:space="0"/>
            </w:tcBorders>
            <w:tcW w:w="4265" w:type="pct"/>
            <w:vAlign w:val="center"/>
            <w:textDirection w:val="lrTb"/>
            <w:noWrap w:val="false"/>
          </w:tcPr>
          <w:p>
            <w:pPr>
              <w:spacing w:line="280" w:lineRule="exact"/>
              <w:widowControl/>
              <w:rPr>
                <w:rFonts w:hint="eastAsia" w:ascii="宋体" w:hAnsi="宋体" w:cs="宋体"/>
                <w:bCs/>
                <w:color w:val="auto"/>
                <w:sz w:val="21"/>
                <w:szCs w:val="21"/>
                <w:highlight w:val="none"/>
              </w:rPr>
            </w:pPr>
            <w:r/>
            <w:bookmarkStart w:id="184" w:name="OLE_LINK3"/>
            <w:r>
              <w:rPr>
                <w:rFonts w:hint="eastAsia" w:ascii="宋体" w:hAnsi="宋体" w:cs="宋体"/>
                <w:bCs/>
                <w:color w:val="auto"/>
                <w:sz w:val="21"/>
                <w:szCs w:val="21"/>
                <w:highlight w:val="none"/>
              </w:rPr>
              <w:t xml:space="preserve">以上人员中，同1人可重复计分。</w:t>
            </w:r>
            <w:bookmarkStart w:id="185" w:name="OLE_LINK58"/>
            <w:r>
              <w:rPr>
                <w:rFonts w:hint="eastAsia" w:ascii="宋体" w:hAnsi="宋体" w:cs="宋体"/>
                <w:bCs/>
                <w:color w:val="auto"/>
                <w:sz w:val="21"/>
                <w:szCs w:val="21"/>
                <w:highlight w:val="none"/>
              </w:rPr>
              <w:t xml:space="preserve">投标时提供上述人员的相应证书原件扫描件和该人员近3个月以来任一月在投标人单位缴纳社保证明材料扫描件加盖投标人公章，未提供或提供不全的不得分。</w:t>
            </w:r>
            <w:bookmarkEnd w:id="184"/>
            <w:r/>
            <w:bookmarkEnd w:id="185"/>
            <w:r/>
            <w:r/>
          </w:p>
        </w:tc>
      </w:tr>
      <w:tr>
        <w:trPr>
          <w:trHeight w:val="2445"/>
        </w:trPr>
        <w:tc>
          <w:tcPr>
            <w:tcBorders>
              <w:top w:val="single" w:color="000000" w:sz="2" w:space="0"/>
              <w:left w:val="single" w:color="000000" w:sz="2" w:space="0"/>
              <w:right w:val="single" w:color="000000" w:sz="2" w:space="0"/>
            </w:tcBorders>
            <w:tcW w:w="367" w:type="pct"/>
            <w:vAlign w:val="center"/>
            <w:vMerge w:val="restart"/>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技术方案（</w:t>
            </w: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分）</w:t>
            </w:r>
            <w:r/>
          </w:p>
        </w:tc>
        <w:tc>
          <w:tcPr>
            <w:gridSpan w:val="2"/>
            <w:tcW w:w="1084"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ascii="宋体" w:hAnsi="宋体" w:cs="宋体"/>
                <w:color w:val="auto"/>
                <w:sz w:val="21"/>
                <w:szCs w:val="21"/>
                <w:highlight w:val="none"/>
              </w:rPr>
              <w:t xml:space="preserve">运行管理及安全生产方案</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w:t>
            </w:r>
            <w:r/>
          </w:p>
        </w:tc>
        <w:tc>
          <w:tcPr>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bookmarkStart w:id="186" w:name="OLE_LINK63"/>
            <w:r/>
            <w:bookmarkStart w:id="187" w:name="OLE_LINK64"/>
            <w:r>
              <w:rPr>
                <w:rFonts w:hint="eastAsia" w:ascii="宋体" w:hAnsi="宋体" w:cs="宋体"/>
                <w:bCs/>
                <w:color w:val="auto"/>
                <w:sz w:val="21"/>
                <w:szCs w:val="21"/>
                <w:highlight w:val="none"/>
              </w:rPr>
              <w:t xml:space="preserve">投标人根据</w:t>
            </w:r>
            <w:bookmarkStart w:id="188" w:name="OLE_LINK168"/>
            <w:r>
              <w:rPr>
                <w:rFonts w:hint="eastAsia" w:ascii="宋体" w:hAnsi="宋体" w:cs="宋体"/>
                <w:bCs/>
                <w:color w:val="auto"/>
                <w:sz w:val="21"/>
                <w:szCs w:val="21"/>
                <w:highlight w:val="none"/>
              </w:rPr>
              <w:t xml:space="preserve">本项目</w:t>
            </w:r>
            <w:bookmarkEnd w:id="188"/>
            <w:r>
              <w:rPr>
                <w:rFonts w:hint="eastAsia" w:ascii="宋体" w:hAnsi="宋体" w:cs="宋体"/>
                <w:bCs/>
                <w:color w:val="auto"/>
                <w:sz w:val="21"/>
                <w:szCs w:val="21"/>
                <w:highlight w:val="none"/>
              </w:rPr>
              <w:t xml:space="preserve">第四章第五点中“3.1</w:t>
            </w:r>
            <w:r>
              <w:rPr>
                <w:rFonts w:ascii="宋体" w:hAnsi="宋体" w:cs="宋体"/>
                <w:bCs/>
                <w:color w:val="auto"/>
                <w:sz w:val="21"/>
                <w:szCs w:val="21"/>
                <w:highlight w:val="none"/>
              </w:rPr>
              <w:t xml:space="preserve">运行管理及安全生产方案</w:t>
            </w:r>
            <w:r>
              <w:rPr>
                <w:rFonts w:hint="eastAsia" w:ascii="宋体" w:hAnsi="宋体" w:cs="宋体"/>
                <w:bCs/>
                <w:color w:val="auto"/>
                <w:sz w:val="21"/>
                <w:szCs w:val="21"/>
                <w:highlight w:val="none"/>
              </w:rPr>
              <w:t xml:space="preserve">”要求，</w:t>
            </w:r>
            <w:bookmarkEnd w:id="186"/>
            <w:r/>
            <w:bookmarkEnd w:id="187"/>
            <w:r/>
            <w:bookmarkStart w:id="189" w:name="OLE_LINK8"/>
            <w:r/>
            <w:bookmarkStart w:id="190" w:name="OLE_LINK34"/>
            <w:r/>
            <w:bookmarkStart w:id="191" w:name="OLE_LINK37"/>
            <w:r>
              <w:rPr>
                <w:rFonts w:ascii="宋体" w:hAnsi="宋体" w:cs="宋体"/>
                <w:bCs/>
                <w:color w:val="auto"/>
                <w:sz w:val="21"/>
                <w:szCs w:val="21"/>
                <w:highlight w:val="none"/>
              </w:rPr>
              <w:t xml:space="preserve">提供细致完整、科学合理、分析透彻、措施有力、针对性和操作性强的</w:t>
            </w:r>
            <w:r>
              <w:rPr>
                <w:rFonts w:hint="eastAsia" w:ascii="宋体" w:hAnsi="宋体" w:cs="宋体"/>
                <w:bCs/>
                <w:color w:val="auto"/>
                <w:sz w:val="21"/>
                <w:szCs w:val="21"/>
                <w:highlight w:val="none"/>
              </w:rPr>
              <w:t xml:space="preserve">生产</w:t>
            </w:r>
            <w:r>
              <w:rPr>
                <w:rFonts w:ascii="宋体" w:hAnsi="宋体" w:cs="宋体"/>
                <w:bCs/>
                <w:color w:val="auto"/>
                <w:sz w:val="21"/>
                <w:szCs w:val="21"/>
                <w:highlight w:val="none"/>
              </w:rPr>
              <w:t xml:space="preserve">方案，内容</w:t>
            </w:r>
            <w:r>
              <w:rPr>
                <w:rFonts w:hint="eastAsia" w:ascii="宋体" w:hAnsi="宋体" w:cs="宋体"/>
                <w:bCs/>
                <w:color w:val="auto"/>
                <w:sz w:val="21"/>
                <w:szCs w:val="21"/>
                <w:highlight w:val="none"/>
              </w:rPr>
              <w:t xml:space="preserve">至少</w:t>
            </w:r>
            <w:r>
              <w:rPr>
                <w:rFonts w:ascii="宋体" w:hAnsi="宋体" w:cs="宋体"/>
                <w:bCs/>
                <w:color w:val="auto"/>
                <w:sz w:val="21"/>
                <w:szCs w:val="21"/>
                <w:highlight w:val="none"/>
              </w:rPr>
              <w:t xml:space="preserve">包含运行管理体系</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安全生产管理体系</w:t>
            </w:r>
            <w:bookmarkEnd w:id="189"/>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安全检查与隐患闭环管理</w:t>
            </w:r>
            <w:r>
              <w:rPr>
                <w:rFonts w:hint="eastAsia" w:ascii="宋体" w:hAnsi="宋体" w:cs="宋体"/>
                <w:bCs/>
                <w:color w:val="auto"/>
                <w:sz w:val="21"/>
                <w:szCs w:val="21"/>
                <w:highlight w:val="none"/>
              </w:rPr>
              <w:t xml:space="preserve">等方面。方案优于项目要求的得</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分，符合项目要求得6分，不符合要求或未提供的得0分。</w:t>
            </w:r>
            <w:bookmarkEnd w:id="190"/>
            <w:r/>
            <w:bookmarkEnd w:id="191"/>
            <w:r>
              <w:rPr>
                <w:rFonts w:hint="eastAsia" w:ascii="宋体" w:hAnsi="宋体" w:cs="宋体"/>
                <w:bCs/>
                <w:color w:val="auto"/>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327"/>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gridSpan w:val="2"/>
            <w:tcW w:w="1084"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ascii="宋体" w:hAnsi="宋体" w:cs="宋体"/>
                <w:color w:val="auto"/>
                <w:sz w:val="21"/>
                <w:szCs w:val="21"/>
                <w:highlight w:val="none"/>
              </w:rPr>
              <w:t xml:space="preserve">机电设备维护措施</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w:t>
            </w:r>
            <w:r/>
          </w:p>
        </w:tc>
        <w:tc>
          <w:tcPr>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投标人根据本项目第四章第五点中“3.2</w:t>
            </w:r>
            <w:r>
              <w:rPr>
                <w:rFonts w:ascii="宋体" w:hAnsi="宋体" w:cs="宋体"/>
                <w:bCs/>
                <w:color w:val="auto"/>
                <w:sz w:val="21"/>
                <w:szCs w:val="21"/>
                <w:highlight w:val="none"/>
              </w:rPr>
              <w:t xml:space="preserve">机电设备维护措施</w:t>
            </w:r>
            <w:r>
              <w:rPr>
                <w:rFonts w:hint="eastAsia" w:ascii="宋体" w:hAnsi="宋体" w:cs="宋体"/>
                <w:bCs/>
                <w:color w:val="auto"/>
                <w:sz w:val="21"/>
                <w:szCs w:val="21"/>
                <w:highlight w:val="none"/>
              </w:rPr>
              <w:t xml:space="preserve">”要求，</w:t>
            </w:r>
            <w:r>
              <w:rPr>
                <w:rFonts w:asciiTheme="minorEastAsia" w:hAnsiTheme="minorEastAsia" w:eastAsiaTheme="minorEastAsia"/>
                <w:color w:val="auto"/>
                <w:sz w:val="21"/>
                <w:szCs w:val="21"/>
                <w:highlight w:val="none"/>
              </w:rPr>
              <w:t xml:space="preserve">提供细致完整、科学合理、分析透彻、措施有力、针对性和操作性强的</w:t>
            </w:r>
            <w:r>
              <w:rPr>
                <w:rFonts w:ascii="宋体" w:hAnsi="宋体" w:cs="宋体"/>
                <w:color w:val="auto"/>
                <w:sz w:val="21"/>
                <w:szCs w:val="21"/>
                <w:highlight w:val="none"/>
              </w:rPr>
              <w:t xml:space="preserve">设备分类与维护策略</w:t>
            </w:r>
            <w:r>
              <w:rPr>
                <w:rFonts w:asciiTheme="minorEastAsia" w:hAnsiTheme="minorEastAsia" w:eastAsiaTheme="minorEastAsia"/>
                <w:color w:val="auto"/>
                <w:sz w:val="21"/>
                <w:szCs w:val="21"/>
                <w:highlight w:val="none"/>
              </w:rPr>
              <w:t xml:space="preserve">方案，内容</w:t>
            </w:r>
            <w:r>
              <w:rPr>
                <w:rFonts w:hint="eastAsia" w:asciiTheme="minorEastAsia" w:hAnsiTheme="minorEastAsia" w:eastAsiaTheme="minorEastAsia"/>
                <w:color w:val="auto"/>
                <w:sz w:val="21"/>
                <w:szCs w:val="21"/>
                <w:highlight w:val="none"/>
              </w:rPr>
              <w:t xml:space="preserve">至少</w:t>
            </w:r>
            <w:r>
              <w:rPr>
                <w:rFonts w:asciiTheme="minorEastAsia" w:hAnsiTheme="minorEastAsia" w:eastAsiaTheme="minorEastAsia"/>
                <w:color w:val="auto"/>
                <w:sz w:val="21"/>
                <w:szCs w:val="21"/>
                <w:highlight w:val="none"/>
              </w:rPr>
              <w:t xml:space="preserve">包含</w:t>
            </w:r>
            <w:r>
              <w:rPr>
                <w:rFonts w:ascii="宋体" w:hAnsi="宋体" w:cs="宋体"/>
                <w:color w:val="auto"/>
                <w:sz w:val="21"/>
                <w:szCs w:val="21"/>
                <w:highlight w:val="none"/>
              </w:rPr>
              <w:t xml:space="preserve">设备分类与维护策略</w:t>
            </w:r>
            <w:r>
              <w:rPr>
                <w:rFonts w:hint="eastAsia" w:ascii="宋体" w:hAnsi="宋体" w:cs="宋体"/>
                <w:bCs/>
                <w:color w:val="auto"/>
                <w:sz w:val="21"/>
                <w:szCs w:val="21"/>
                <w:highlight w:val="none"/>
              </w:rPr>
              <w:t xml:space="preserve">、</w:t>
            </w:r>
            <w:r>
              <w:rPr>
                <w:rFonts w:ascii="宋体" w:hAnsi="宋体" w:cs="宋体"/>
                <w:color w:val="auto"/>
                <w:sz w:val="21"/>
                <w:szCs w:val="21"/>
                <w:highlight w:val="none"/>
              </w:rPr>
              <w:t xml:space="preserve">核心设备维护措施</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维护计划与记录</w:t>
            </w:r>
            <w:r>
              <w:rPr>
                <w:rFonts w:hint="eastAsia" w:ascii="宋体" w:hAnsi="宋体" w:cs="宋体"/>
                <w:bCs/>
                <w:color w:val="auto"/>
                <w:sz w:val="21"/>
                <w:szCs w:val="21"/>
                <w:highlight w:val="none"/>
              </w:rPr>
              <w:t xml:space="preserve">等方面。方案优于项目需求得</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符合项目需求得6分，不符合或未提供的得0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502"/>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gridSpan w:val="2"/>
            <w:tcW w:w="1084"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ascii="宋体" w:hAnsi="宋体" w:cs="宋体"/>
                <w:color w:val="auto"/>
                <w:sz w:val="21"/>
                <w:szCs w:val="21"/>
                <w:highlight w:val="none"/>
              </w:rPr>
              <w:t xml:space="preserve">水工建筑维护措施</w:t>
            </w:r>
            <w:r>
              <w:rPr>
                <w:rFonts w:hint="eastAsia" w:ascii="宋体" w:hAnsi="宋体" w:cs="宋体"/>
                <w:bCs/>
                <w:color w:val="auto"/>
                <w:sz w:val="21"/>
                <w:szCs w:val="21"/>
                <w:highlight w:val="none"/>
              </w:rPr>
              <w:t xml:space="preserve">（7分）</w:t>
            </w:r>
            <w:r/>
          </w:p>
        </w:tc>
        <w:tc>
          <w:tcPr>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投标人根据本项目第四章第五点中“3.3</w:t>
            </w:r>
            <w:r>
              <w:rPr>
                <w:rFonts w:ascii="宋体" w:hAnsi="宋体" w:cs="宋体"/>
                <w:color w:val="auto"/>
                <w:sz w:val="21"/>
                <w:szCs w:val="21"/>
                <w:highlight w:val="none"/>
              </w:rPr>
              <w:t xml:space="preserve">水工建筑物分类及维护重点</w:t>
            </w:r>
            <w:r>
              <w:rPr>
                <w:rFonts w:hint="eastAsia" w:ascii="宋体" w:hAnsi="宋体" w:cs="宋体"/>
                <w:bCs/>
                <w:color w:val="auto"/>
                <w:sz w:val="21"/>
                <w:szCs w:val="21"/>
                <w:highlight w:val="none"/>
              </w:rPr>
              <w:t xml:space="preserve">”要求，</w:t>
            </w:r>
            <w:r>
              <w:rPr>
                <w:rFonts w:asciiTheme="minorEastAsia" w:hAnsiTheme="minorEastAsia" w:eastAsiaTheme="minorEastAsia"/>
                <w:color w:val="auto"/>
                <w:sz w:val="21"/>
                <w:szCs w:val="21"/>
                <w:highlight w:val="none"/>
              </w:rPr>
              <w:t xml:space="preserve">提供细致完整、科学合理、分析透彻、措施有力、针对性和操作性强的</w:t>
            </w:r>
            <w:r>
              <w:rPr>
                <w:rFonts w:hint="eastAsia" w:ascii="宋体" w:hAnsi="宋体" w:cs="宋体"/>
                <w:bCs/>
                <w:color w:val="auto"/>
                <w:sz w:val="21"/>
                <w:szCs w:val="21"/>
                <w:highlight w:val="none"/>
              </w:rPr>
              <w:t xml:space="preserve">管理服务模式</w:t>
            </w:r>
            <w:r>
              <w:rPr>
                <w:rFonts w:asciiTheme="minorEastAsia" w:hAnsiTheme="minorEastAsia" w:eastAsiaTheme="minorEastAsia"/>
                <w:color w:val="auto"/>
                <w:sz w:val="21"/>
                <w:szCs w:val="21"/>
                <w:highlight w:val="none"/>
              </w:rPr>
              <w:t xml:space="preserve">方案，内容</w:t>
            </w:r>
            <w:r>
              <w:rPr>
                <w:rFonts w:hint="eastAsia" w:asciiTheme="minorEastAsia" w:hAnsiTheme="minorEastAsia" w:eastAsiaTheme="minorEastAsia"/>
                <w:color w:val="auto"/>
                <w:sz w:val="21"/>
                <w:szCs w:val="21"/>
                <w:highlight w:val="none"/>
              </w:rPr>
              <w:t xml:space="preserve">至少</w:t>
            </w:r>
            <w:r>
              <w:rPr>
                <w:rFonts w:asciiTheme="minorEastAsia" w:hAnsiTheme="minorEastAsia" w:eastAsiaTheme="minorEastAsia"/>
                <w:color w:val="auto"/>
                <w:sz w:val="21"/>
                <w:szCs w:val="21"/>
                <w:highlight w:val="none"/>
              </w:rPr>
              <w:t xml:space="preserve">包含</w:t>
            </w:r>
            <w:r>
              <w:rPr>
                <w:rFonts w:ascii="宋体" w:hAnsi="宋体" w:cs="宋体"/>
                <w:color w:val="auto"/>
                <w:sz w:val="21"/>
                <w:szCs w:val="21"/>
                <w:highlight w:val="none"/>
              </w:rPr>
              <w:t xml:space="preserve">水工建筑物分类及维护重点</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检查体系</w:t>
            </w:r>
            <w:r>
              <w:rPr>
                <w:rFonts w:hint="eastAsia" w:ascii="宋体" w:hAnsi="宋体" w:cs="宋体"/>
                <w:bCs/>
                <w:color w:val="auto"/>
                <w:sz w:val="21"/>
                <w:szCs w:val="21"/>
                <w:highlight w:val="none"/>
              </w:rPr>
              <w:t xml:space="preserve">、专项维护措施、</w:t>
            </w:r>
            <w:r>
              <w:rPr>
                <w:rFonts w:ascii="宋体" w:hAnsi="宋体" w:cs="宋体"/>
                <w:bCs/>
                <w:color w:val="auto"/>
                <w:sz w:val="21"/>
                <w:szCs w:val="21"/>
                <w:highlight w:val="none"/>
              </w:rPr>
              <w:t xml:space="preserve">维护记录与档案</w:t>
            </w:r>
            <w:r>
              <w:rPr>
                <w:rFonts w:hint="eastAsia" w:ascii="宋体" w:hAnsi="宋体" w:cs="宋体"/>
                <w:bCs/>
                <w:color w:val="auto"/>
                <w:sz w:val="21"/>
                <w:szCs w:val="21"/>
                <w:highlight w:val="none"/>
              </w:rPr>
              <w:t xml:space="preserve">等方面。方案优于项目需求得7分，符合项目需求得6分，不满足或未提供的得0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502"/>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gridSpan w:val="2"/>
            <w:tcW w:w="1084"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ascii="宋体" w:hAnsi="宋体" w:cs="宋体"/>
                <w:color w:val="auto"/>
                <w:sz w:val="21"/>
                <w:szCs w:val="21"/>
                <w:highlight w:val="none"/>
              </w:rPr>
              <w:t xml:space="preserve">应急处理方案</w:t>
            </w:r>
            <w:r>
              <w:rPr>
                <w:rFonts w:hint="eastAsia" w:ascii="宋体" w:hAnsi="宋体" w:cs="宋体"/>
                <w:bCs/>
                <w:color w:val="auto"/>
                <w:sz w:val="21"/>
                <w:szCs w:val="21"/>
                <w:highlight w:val="none"/>
              </w:rPr>
              <w:t xml:space="preserve">（7分）</w:t>
            </w:r>
            <w:r/>
          </w:p>
        </w:tc>
        <w:tc>
          <w:tcPr>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bookmarkStart w:id="192" w:name="OLE_LINK9"/>
            <w:r/>
            <w:bookmarkStart w:id="193" w:name="OLE_LINK2"/>
            <w:r/>
            <w:bookmarkStart w:id="194" w:name="OLE_LINK48"/>
            <w:r/>
            <w:bookmarkStart w:id="195" w:name="OLE_LINK38"/>
            <w:r>
              <w:rPr>
                <w:rFonts w:hint="eastAsia" w:ascii="宋体" w:hAnsi="宋体" w:cs="宋体"/>
                <w:bCs/>
                <w:color w:val="auto"/>
                <w:sz w:val="21"/>
                <w:szCs w:val="21"/>
                <w:highlight w:val="none"/>
              </w:rPr>
              <w:t xml:space="preserve">投标人根据本项目第四章第五点中“3.4</w:t>
            </w:r>
            <w:bookmarkStart w:id="196" w:name="OLE_LINK169"/>
            <w:r>
              <w:rPr>
                <w:rFonts w:ascii="宋体" w:hAnsi="宋体" w:cs="宋体"/>
                <w:color w:val="auto"/>
                <w:sz w:val="21"/>
                <w:szCs w:val="21"/>
                <w:highlight w:val="none"/>
              </w:rPr>
              <w:t xml:space="preserve">应急处理</w:t>
            </w:r>
            <w:bookmarkEnd w:id="196"/>
            <w:r>
              <w:rPr>
                <w:rFonts w:ascii="宋体" w:hAnsi="宋体" w:cs="宋体"/>
                <w:color w:val="auto"/>
                <w:sz w:val="21"/>
                <w:szCs w:val="21"/>
                <w:highlight w:val="none"/>
              </w:rPr>
              <w:t xml:space="preserve">方案</w:t>
            </w:r>
            <w:r>
              <w:rPr>
                <w:rFonts w:hint="eastAsia" w:ascii="宋体" w:hAnsi="宋体" w:cs="宋体"/>
                <w:bCs/>
                <w:color w:val="auto"/>
                <w:sz w:val="21"/>
                <w:szCs w:val="21"/>
                <w:highlight w:val="none"/>
              </w:rPr>
              <w:t xml:space="preserve">”要求，</w:t>
            </w:r>
            <w:bookmarkEnd w:id="192"/>
            <w:r/>
            <w:bookmarkEnd w:id="193"/>
            <w:r>
              <w:rPr>
                <w:rFonts w:asciiTheme="minorEastAsia" w:hAnsiTheme="minorEastAsia" w:eastAsiaTheme="minorEastAsia"/>
                <w:color w:val="auto"/>
                <w:sz w:val="21"/>
                <w:szCs w:val="21"/>
                <w:highlight w:val="none"/>
              </w:rPr>
              <w:t xml:space="preserve">提供细致完整、科学合理、分析透彻、措施有力、针对性和操作性强的</w:t>
            </w:r>
            <w:r>
              <w:rPr>
                <w:rFonts w:ascii="宋体" w:hAnsi="宋体" w:cs="宋体"/>
                <w:color w:val="auto"/>
                <w:sz w:val="21"/>
                <w:szCs w:val="21"/>
                <w:highlight w:val="none"/>
              </w:rPr>
              <w:t xml:space="preserve">应急处理</w:t>
            </w:r>
            <w:r>
              <w:rPr>
                <w:rFonts w:asciiTheme="minorEastAsia" w:hAnsiTheme="minorEastAsia" w:eastAsiaTheme="minorEastAsia"/>
                <w:color w:val="auto"/>
                <w:sz w:val="21"/>
                <w:szCs w:val="21"/>
                <w:highlight w:val="none"/>
              </w:rPr>
              <w:t xml:space="preserve">方案，内容包含</w:t>
            </w:r>
            <w:r>
              <w:rPr>
                <w:rFonts w:hint="eastAsia" w:asciiTheme="minorEastAsia" w:hAnsiTheme="minorEastAsia" w:eastAsiaTheme="minorEastAsia"/>
                <w:color w:val="auto"/>
                <w:sz w:val="21"/>
                <w:szCs w:val="21"/>
                <w:highlight w:val="none"/>
              </w:rPr>
              <w:t xml:space="preserve">但不限于</w:t>
            </w:r>
            <w:r>
              <w:rPr>
                <w:rFonts w:ascii="宋体" w:hAnsi="宋体" w:cs="宋体"/>
                <w:color w:val="auto"/>
                <w:sz w:val="21"/>
                <w:szCs w:val="21"/>
                <w:highlight w:val="none"/>
              </w:rPr>
              <w:t xml:space="preserve">应急组织体系</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突发事件应对措施</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应急保障与演练</w:t>
            </w:r>
            <w:r>
              <w:rPr>
                <w:rFonts w:hint="eastAsia" w:ascii="宋体" w:hAnsi="宋体" w:cs="宋体"/>
                <w:bCs/>
                <w:color w:val="auto"/>
                <w:sz w:val="21"/>
                <w:szCs w:val="21"/>
                <w:highlight w:val="none"/>
              </w:rPr>
              <w:t xml:space="preserve">等方面。方案优于要求的得7分，符合要求得6分，不符合要求或未提供的得0分。投标人提供的方案能全部响应要求，提出更为细致、有针对性、切实可行、要求之外且和本项目实施相关的内容的，可视为优于；方案能响应要求的可视为符合；方案对于要求的响应不完全或者偏离要求的，视为不符合。</w:t>
            </w:r>
            <w:bookmarkEnd w:id="194"/>
            <w:r/>
            <w:bookmarkEnd w:id="195"/>
            <w:r>
              <w:rPr>
                <w:rFonts w:hint="eastAsia" w:ascii="宋体" w:hAnsi="宋体" w:cs="宋体"/>
                <w:bCs/>
                <w:color w:val="auto"/>
                <w:sz w:val="21"/>
                <w:szCs w:val="21"/>
                <w:highlight w:val="none"/>
              </w:rPr>
              <w:t xml:space="preserve">具体由评标委员会评审。</w:t>
            </w:r>
            <w:r/>
          </w:p>
        </w:tc>
      </w:tr>
      <w:tr>
        <w:trPr>
          <w:trHeight w:val="90"/>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gridSpan w:val="2"/>
            <w:tcW w:w="1084"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ascii="宋体" w:hAnsi="宋体" w:cs="宋体"/>
                <w:color w:val="auto"/>
                <w:sz w:val="21"/>
                <w:szCs w:val="21"/>
                <w:highlight w:val="none"/>
              </w:rPr>
              <w:t xml:space="preserve">工程检查和工程观测</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w:t>
            </w:r>
            <w:r/>
          </w:p>
        </w:tc>
        <w:tc>
          <w:tcPr>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投标人根据本项目第四章第五点中“3.</w:t>
            </w:r>
            <w:r>
              <w:rPr>
                <w:rFonts w:ascii="宋体" w:hAnsi="宋体" w:cs="宋体"/>
                <w:bCs/>
                <w:color w:val="auto"/>
                <w:sz w:val="21"/>
                <w:szCs w:val="21"/>
                <w:highlight w:val="none"/>
              </w:rPr>
              <w:t xml:space="preserve">5</w:t>
            </w:r>
            <w:r>
              <w:rPr>
                <w:rFonts w:ascii="宋体" w:hAnsi="宋体" w:cs="宋体"/>
                <w:color w:val="auto"/>
                <w:sz w:val="21"/>
                <w:szCs w:val="21"/>
                <w:highlight w:val="none"/>
              </w:rPr>
              <w:t xml:space="preserve">工程检查和工程观测</w:t>
            </w:r>
            <w:r>
              <w:rPr>
                <w:rFonts w:hint="eastAsia" w:ascii="宋体" w:hAnsi="宋体" w:cs="宋体"/>
                <w:bCs/>
                <w:color w:val="auto"/>
                <w:sz w:val="21"/>
                <w:szCs w:val="21"/>
                <w:highlight w:val="none"/>
              </w:rPr>
              <w:t xml:space="preserve">”要求，</w:t>
            </w:r>
            <w:r>
              <w:rPr>
                <w:rFonts w:asciiTheme="minorEastAsia" w:hAnsiTheme="minorEastAsia" w:eastAsiaTheme="minorEastAsia"/>
                <w:color w:val="auto"/>
                <w:sz w:val="21"/>
                <w:szCs w:val="21"/>
                <w:highlight w:val="none"/>
              </w:rPr>
              <w:t xml:space="preserve">提供细致完整、科学合理、分析透彻、措施有力、针对性和操作性强的</w:t>
            </w:r>
            <w:r>
              <w:rPr>
                <w:rFonts w:hint="eastAsia" w:asciiTheme="minorEastAsia" w:hAnsiTheme="minorEastAsia" w:eastAsiaTheme="minorEastAsia"/>
                <w:color w:val="auto"/>
                <w:sz w:val="21"/>
                <w:szCs w:val="21"/>
                <w:highlight w:val="none"/>
              </w:rPr>
              <w:t xml:space="preserve">检测</w:t>
            </w:r>
            <w:r>
              <w:rPr>
                <w:rFonts w:hint="eastAsia" w:ascii="宋体" w:hAnsi="宋体" w:cs="宋体"/>
                <w:bCs/>
                <w:color w:val="auto"/>
                <w:sz w:val="21"/>
                <w:szCs w:val="21"/>
                <w:highlight w:val="none"/>
              </w:rPr>
              <w:t xml:space="preserve">方案</w:t>
            </w:r>
            <w:r>
              <w:rPr>
                <w:rFonts w:asciiTheme="minorEastAsia" w:hAnsiTheme="minorEastAsia" w:eastAsiaTheme="minorEastAsia"/>
                <w:color w:val="auto"/>
                <w:sz w:val="21"/>
                <w:szCs w:val="21"/>
                <w:highlight w:val="none"/>
              </w:rPr>
              <w:t xml:space="preserve">，内容</w:t>
            </w:r>
            <w:r>
              <w:rPr>
                <w:rFonts w:hint="eastAsia" w:asciiTheme="minorEastAsia" w:hAnsiTheme="minorEastAsia" w:eastAsiaTheme="minorEastAsia"/>
                <w:color w:val="auto"/>
                <w:sz w:val="21"/>
                <w:szCs w:val="21"/>
                <w:highlight w:val="none"/>
              </w:rPr>
              <w:t xml:space="preserve">至少</w:t>
            </w:r>
            <w:r>
              <w:rPr>
                <w:rFonts w:asciiTheme="minorEastAsia" w:hAnsiTheme="minorEastAsia" w:eastAsiaTheme="minorEastAsia"/>
                <w:color w:val="auto"/>
                <w:sz w:val="21"/>
                <w:szCs w:val="21"/>
                <w:highlight w:val="none"/>
              </w:rPr>
              <w:t xml:space="preserve">包含</w:t>
            </w:r>
            <w:r>
              <w:rPr>
                <w:rFonts w:ascii="宋体" w:hAnsi="宋体" w:cs="宋体"/>
                <w:color w:val="auto"/>
                <w:sz w:val="21"/>
                <w:szCs w:val="21"/>
                <w:highlight w:val="none"/>
              </w:rPr>
              <w:t xml:space="preserve">工程检查体系</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工程观测体系</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观测资料整编与异常处置</w:t>
            </w:r>
            <w:r>
              <w:rPr>
                <w:rFonts w:hint="eastAsia" w:ascii="宋体" w:hAnsi="宋体" w:cs="宋体"/>
                <w:bCs/>
                <w:color w:val="auto"/>
                <w:sz w:val="21"/>
                <w:szCs w:val="21"/>
                <w:highlight w:val="none"/>
              </w:rPr>
              <w:t xml:space="preserve">等</w:t>
            </w:r>
            <w:r>
              <w:rPr>
                <w:rFonts w:hint="eastAsia" w:asciiTheme="minorEastAsia" w:hAnsiTheme="minorEastAsia" w:eastAsiaTheme="minorEastAsia"/>
                <w:color w:val="auto"/>
                <w:sz w:val="21"/>
                <w:szCs w:val="21"/>
                <w:highlight w:val="none"/>
              </w:rPr>
              <w:t xml:space="preserve">方</w:t>
            </w:r>
            <w:r>
              <w:rPr>
                <w:rFonts w:hint="eastAsia" w:ascii="宋体" w:hAnsi="宋体" w:cs="宋体"/>
                <w:bCs/>
                <w:color w:val="auto"/>
                <w:sz w:val="21"/>
                <w:szCs w:val="21"/>
                <w:highlight w:val="none"/>
              </w:rPr>
              <w:t xml:space="preserve">面</w:t>
            </w:r>
            <w:r>
              <w:rPr>
                <w:rFonts w:hint="eastAsia" w:asciiTheme="minorEastAsia" w:hAnsiTheme="minorEastAsia" w:eastAsiaTheme="minorEastAsia"/>
                <w:color w:val="auto"/>
                <w:sz w:val="21"/>
                <w:szCs w:val="21"/>
                <w:highlight w:val="none"/>
              </w:rPr>
              <w:t xml:space="preserve">。</w:t>
            </w:r>
            <w:r>
              <w:rPr>
                <w:rFonts w:hint="eastAsia" w:ascii="宋体" w:hAnsi="宋体" w:cs="宋体"/>
                <w:bCs/>
                <w:color w:val="auto"/>
                <w:sz w:val="21"/>
                <w:szCs w:val="21"/>
                <w:highlight w:val="none"/>
              </w:rPr>
              <w:t xml:space="preserve">方案优于项目需求得</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分，符合项目需求得</w:t>
            </w:r>
            <w:r>
              <w:rPr>
                <w:rFonts w:ascii="宋体" w:hAnsi="宋体" w:cs="宋体"/>
                <w:bCs/>
                <w:color w:val="auto"/>
                <w:sz w:val="21"/>
                <w:szCs w:val="21"/>
                <w:highlight w:val="none"/>
              </w:rPr>
              <w:t xml:space="preserve">6</w:t>
            </w:r>
            <w:r>
              <w:rPr>
                <w:rFonts w:hint="eastAsia" w:ascii="宋体" w:hAnsi="宋体" w:cs="宋体"/>
                <w:bCs/>
                <w:color w:val="auto"/>
                <w:sz w:val="21"/>
                <w:szCs w:val="21"/>
                <w:highlight w:val="none"/>
              </w:rPr>
              <w:t xml:space="preserve">分，不符合或未提供的得0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468"/>
        </w:trPr>
        <w:tc>
          <w:tcPr>
            <w:tcBorders>
              <w:left w:val="single" w:color="000000" w:sz="2" w:space="0"/>
              <w:right w:val="single" w:color="000000" w:sz="2" w:space="0"/>
            </w:tcBorders>
            <w:tcW w:w="367" w:type="pct"/>
            <w:vAlign w:val="center"/>
            <w:vMerge w:val="continue"/>
            <w:textDirection w:val="lrTb"/>
            <w:noWrap w:val="false"/>
          </w:tcPr>
          <w:p>
            <w:pPr>
              <w:jc w:val="center"/>
              <w:spacing w:line="24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gridSpan w:val="2"/>
            <w:tcW w:w="1084" w:type="pct"/>
            <w:vAlign w:val="center"/>
            <w:textDirection w:val="lrTb"/>
            <w:noWrap w:val="false"/>
          </w:tcPr>
          <w:p>
            <w:pPr>
              <w:jc w:val="center"/>
              <w:spacing w:line="240" w:lineRule="exact"/>
              <w:widowControl/>
              <w:rPr>
                <w:rFonts w:hint="eastAsia" w:ascii="宋体" w:hAnsi="宋体" w:cs="宋体"/>
                <w:bCs/>
                <w:color w:val="auto"/>
                <w:sz w:val="21"/>
                <w:szCs w:val="21"/>
                <w:highlight w:val="none"/>
              </w:rPr>
            </w:pPr>
            <w:r>
              <w:rPr>
                <w:rFonts w:ascii="宋体" w:hAnsi="宋体" w:cs="宋体"/>
                <w:color w:val="auto"/>
                <w:sz w:val="21"/>
                <w:szCs w:val="21"/>
                <w:highlight w:val="none"/>
              </w:rPr>
              <w:t xml:space="preserve">技术保障措施、度汛措施及预案</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w:t>
            </w:r>
            <w:r/>
          </w:p>
        </w:tc>
        <w:tc>
          <w:tcPr>
            <w:tcMar>
              <w:top w:w="100" w:type="dxa"/>
              <w:bottom w:w="100" w:type="dxa"/>
            </w:tcMar>
            <w:tcW w:w="3549" w:type="pct"/>
            <w:vAlign w:val="center"/>
            <w:textDirection w:val="lrTb"/>
            <w:noWrap w:val="false"/>
          </w:tcPr>
          <w:p>
            <w:pPr>
              <w:spacing w:line="280" w:lineRule="exact"/>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投标人根据本项目第四章第五点中“3.</w:t>
            </w:r>
            <w:r>
              <w:rPr>
                <w:rFonts w:ascii="宋体" w:hAnsi="宋体" w:cs="宋体"/>
                <w:bCs/>
                <w:color w:val="auto"/>
                <w:sz w:val="21"/>
                <w:szCs w:val="21"/>
                <w:highlight w:val="none"/>
              </w:rPr>
              <w:t xml:space="preserve">6</w:t>
            </w:r>
            <w:r>
              <w:rPr>
                <w:rFonts w:ascii="宋体" w:hAnsi="宋体" w:cs="宋体" w:eastAsiaTheme="minorEastAsia"/>
                <w:color w:val="auto"/>
                <w:sz w:val="21"/>
                <w:szCs w:val="21"/>
                <w:highlight w:val="none"/>
              </w:rPr>
              <w:t xml:space="preserve">技术保障措施、度汛措施及预案</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要求，</w:t>
            </w:r>
            <w:r>
              <w:rPr>
                <w:rFonts w:asciiTheme="minorEastAsia" w:hAnsiTheme="minorEastAsia" w:eastAsiaTheme="minorEastAsia"/>
                <w:color w:val="auto"/>
                <w:sz w:val="21"/>
                <w:szCs w:val="21"/>
                <w:highlight w:val="none"/>
              </w:rPr>
              <w:t xml:space="preserve">提供细致完整、科学合理、分析透彻、措施有力、针对性和操作性强的</w:t>
            </w:r>
            <w:r>
              <w:rPr>
                <w:rFonts w:hint="eastAsia" w:ascii="宋体" w:hAnsi="宋体" w:cs="宋体"/>
                <w:bCs/>
                <w:color w:val="auto"/>
                <w:sz w:val="21"/>
                <w:szCs w:val="21"/>
                <w:highlight w:val="none"/>
              </w:rPr>
              <w:t xml:space="preserve">管理方案</w:t>
            </w:r>
            <w:r>
              <w:rPr>
                <w:rFonts w:asciiTheme="minorEastAsia" w:hAnsiTheme="minorEastAsia" w:eastAsiaTheme="minorEastAsia"/>
                <w:color w:val="auto"/>
                <w:sz w:val="21"/>
                <w:szCs w:val="21"/>
                <w:highlight w:val="none"/>
              </w:rPr>
              <w:t xml:space="preserve">，内容</w:t>
            </w:r>
            <w:r>
              <w:rPr>
                <w:rFonts w:hint="eastAsia" w:asciiTheme="minorEastAsia" w:hAnsiTheme="minorEastAsia" w:eastAsiaTheme="minorEastAsia"/>
                <w:color w:val="auto"/>
                <w:sz w:val="21"/>
                <w:szCs w:val="21"/>
                <w:highlight w:val="none"/>
              </w:rPr>
              <w:t xml:space="preserve">至少</w:t>
            </w:r>
            <w:r>
              <w:rPr>
                <w:rFonts w:asciiTheme="minorEastAsia" w:hAnsiTheme="minorEastAsia" w:eastAsiaTheme="minorEastAsia"/>
                <w:color w:val="auto"/>
                <w:sz w:val="21"/>
                <w:szCs w:val="21"/>
                <w:highlight w:val="none"/>
              </w:rPr>
              <w:t xml:space="preserve">包含</w:t>
            </w:r>
            <w:r>
              <w:rPr>
                <w:rFonts w:ascii="宋体" w:hAnsi="宋体" w:cs="宋体" w:eastAsiaTheme="minorEastAsia"/>
                <w:color w:val="auto"/>
                <w:sz w:val="21"/>
                <w:szCs w:val="21"/>
                <w:highlight w:val="none"/>
              </w:rPr>
              <w:t xml:space="preserve">技术保障措施</w:t>
            </w:r>
            <w:r>
              <w:rPr>
                <w:rFonts w:hint="eastAsia" w:ascii="宋体" w:hAnsi="宋体" w:cs="宋体"/>
                <w:bCs/>
                <w:color w:val="auto"/>
                <w:sz w:val="21"/>
                <w:szCs w:val="21"/>
                <w:highlight w:val="none"/>
              </w:rPr>
              <w:t xml:space="preserve">、</w:t>
            </w:r>
            <w:r>
              <w:rPr>
                <w:rFonts w:ascii="宋体" w:hAnsi="宋体" w:cs="宋体" w:eastAsiaTheme="minorEastAsia"/>
                <w:color w:val="auto"/>
                <w:sz w:val="21"/>
                <w:szCs w:val="21"/>
                <w:highlight w:val="none"/>
              </w:rPr>
              <w:t xml:space="preserve">度汛措施及预案</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汛前准备</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汛中管控</w:t>
            </w:r>
            <w:r>
              <w:rPr>
                <w:rFonts w:hint="eastAsia" w:ascii="宋体" w:hAnsi="宋体" w:cs="宋体"/>
                <w:bCs/>
                <w:color w:val="auto"/>
                <w:sz w:val="21"/>
                <w:szCs w:val="21"/>
                <w:highlight w:val="none"/>
              </w:rPr>
              <w:t xml:space="preserve">、汛后恢复）、</w:t>
            </w:r>
            <w:r>
              <w:rPr>
                <w:rFonts w:ascii="宋体" w:hAnsi="宋体" w:cs="宋体"/>
                <w:bCs/>
                <w:color w:val="auto"/>
                <w:sz w:val="21"/>
                <w:szCs w:val="21"/>
                <w:highlight w:val="none"/>
              </w:rPr>
              <w:t xml:space="preserve">度</w:t>
            </w:r>
            <w:r>
              <w:rPr>
                <w:rFonts w:ascii="宋体" w:hAnsi="宋体" w:cs="宋体" w:eastAsiaTheme="minorEastAsia"/>
                <w:color w:val="auto"/>
                <w:sz w:val="21"/>
                <w:szCs w:val="21"/>
                <w:highlight w:val="none"/>
              </w:rPr>
              <w:t xml:space="preserve">汛责任与考核</w:t>
            </w:r>
            <w:r>
              <w:rPr>
                <w:rFonts w:hint="eastAsia" w:ascii="宋体" w:hAnsi="宋体" w:cs="宋体"/>
                <w:bCs/>
                <w:color w:val="auto"/>
                <w:sz w:val="21"/>
                <w:szCs w:val="21"/>
                <w:highlight w:val="none"/>
              </w:rPr>
              <w:t xml:space="preserve">等方面</w:t>
            </w:r>
            <w:r>
              <w:rPr>
                <w:rFonts w:hint="eastAsia" w:asciiTheme="minorEastAsia" w:hAnsiTheme="minorEastAsia" w:eastAsiaTheme="minorEastAsia"/>
                <w:color w:val="auto"/>
                <w:sz w:val="21"/>
                <w:szCs w:val="21"/>
                <w:highlight w:val="none"/>
              </w:rPr>
              <w:t xml:space="preserve">。</w:t>
            </w:r>
            <w:r>
              <w:rPr>
                <w:rFonts w:hint="eastAsia" w:ascii="宋体" w:hAnsi="宋体" w:cs="宋体"/>
                <w:bCs/>
                <w:color w:val="auto"/>
                <w:sz w:val="21"/>
                <w:szCs w:val="21"/>
                <w:highlight w:val="none"/>
              </w:rPr>
              <w:t xml:space="preserve">方案优于项目需求得</w:t>
            </w:r>
            <w:r>
              <w:rPr>
                <w:rFonts w:ascii="宋体" w:hAnsi="宋体" w:cs="宋体"/>
                <w:bCs/>
                <w:color w:val="auto"/>
                <w:sz w:val="21"/>
                <w:szCs w:val="21"/>
                <w:highlight w:val="none"/>
              </w:rPr>
              <w:t xml:space="preserve">7</w:t>
            </w:r>
            <w:r>
              <w:rPr>
                <w:rFonts w:hint="eastAsia" w:ascii="宋体" w:hAnsi="宋体" w:cs="宋体"/>
                <w:bCs/>
                <w:color w:val="auto"/>
                <w:sz w:val="21"/>
                <w:szCs w:val="21"/>
                <w:highlight w:val="none"/>
              </w:rPr>
              <w:t xml:space="preserve">分，符合项目需求得</w:t>
            </w:r>
            <w:r>
              <w:rPr>
                <w:rFonts w:ascii="宋体" w:hAnsi="宋体" w:cs="宋体"/>
                <w:bCs/>
                <w:color w:val="auto"/>
                <w:sz w:val="21"/>
                <w:szCs w:val="21"/>
                <w:highlight w:val="none"/>
              </w:rPr>
              <w:t xml:space="preserve">6</w:t>
            </w:r>
            <w:r>
              <w:rPr>
                <w:rFonts w:hint="eastAsia" w:ascii="宋体" w:hAnsi="宋体" w:cs="宋体"/>
                <w:bCs/>
                <w:color w:val="auto"/>
                <w:sz w:val="21"/>
                <w:szCs w:val="21"/>
                <w:highlight w:val="none"/>
              </w:rPr>
              <w:t xml:space="preserve">分，不满足或未提供的得0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bookmarkEnd w:id="154"/>
            <w:r/>
            <w:bookmarkEnd w:id="155"/>
            <w:r/>
            <w:bookmarkEnd w:id="156"/>
            <w:r/>
            <w:bookmarkEnd w:id="157"/>
            <w:r/>
            <w:bookmarkEnd w:id="158"/>
            <w:r/>
            <w:r/>
          </w:p>
        </w:tc>
      </w:tr>
    </w:tbl>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spacing w:line="7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第六章  投标文件格式</w:t>
      </w:r>
      <w:r/>
    </w:p>
    <w:p>
      <w:pPr>
        <w:rPr>
          <w:rFonts w:hint="eastAsia" w:ascii="宋体" w:hAnsi="宋体" w:cs="宋体"/>
          <w:b/>
          <w:color w:val="auto"/>
          <w:sz w:val="72"/>
          <w:highlight w:val="none"/>
        </w:rPr>
      </w:pPr>
      <w:r/>
      <w:bookmarkStart w:id="197" w:name="_Hlt26955039"/>
      <w:r/>
      <w:bookmarkEnd w:id="197"/>
      <w:r/>
      <w:bookmarkStart w:id="198" w:name="_Hlt26671244"/>
      <w:r/>
      <w:bookmarkEnd w:id="198"/>
      <w:r/>
      <w:r/>
    </w:p>
    <w:p>
      <w:pP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szCs w:val="36"/>
          <w:highlight w:val="none"/>
          <w:u w:val="single"/>
        </w:rPr>
        <w:t xml:space="preserve">（加盖CA电子公章） </w:t>
      </w:r>
      <w:r/>
    </w:p>
    <w:p>
      <w:pPr>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jc w:val="center"/>
        <w:spacing w:line="44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投标主要文件目录</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一、法人或者其他组织的营业执照等证明文件或自然人的身份证明。</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二、上一年度的财务状况报告（至少提供资产负债表、利润表、现金流量表，供应商成立不满一年无需提供）</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三、具备履行合同所必需的设备和专业技术能力的书面声明</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五、参加政府采购活动前 3 年内在经营活动中没有重大违法记录的书面声明</w:t>
      </w:r>
      <w:r/>
    </w:p>
    <w:p>
      <w:pPr>
        <w:pStyle w:val="739"/>
        <w:ind w:firstLine="440"/>
        <w:jc w:val="both"/>
        <w:spacing w:before="0" w:beforeAutospacing="0" w:after="0" w:afterAutospacing="0" w:line="440" w:lineRule="exact"/>
        <w:rPr>
          <w:rFonts w:hint="eastAsia"/>
          <w:iCs/>
          <w:color w:val="auto"/>
          <w:szCs w:val="24"/>
          <w:highlight w:val="none"/>
        </w:rPr>
      </w:pPr>
      <w:r>
        <w:rPr>
          <w:rFonts w:hint="eastAsia"/>
          <w:color w:val="auto"/>
          <w:szCs w:val="24"/>
          <w:highlight w:val="none"/>
        </w:rPr>
        <w:t xml:space="preserve">六、特定资格要求的证明文件（如果本项目设置特定资格要求，则需要提供）</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七、法人授权书</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八、投标函</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九、中小企业声明函</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十、残疾人福利性单位声明函</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十一、关于符合本国产品标准的声明函（如有）</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十二、联合体协议</w:t>
      </w:r>
      <w:bookmarkStart w:id="199" w:name="OLE_LINK69"/>
      <w:r>
        <w:rPr>
          <w:rFonts w:hint="eastAsia" w:ascii="宋体" w:hAnsi="宋体" w:cs="宋体"/>
          <w:color w:val="auto"/>
          <w:sz w:val="24"/>
          <w:szCs w:val="24"/>
          <w:highlight w:val="none"/>
        </w:rPr>
        <w:t xml:space="preserve">（如有）</w:t>
      </w:r>
      <w:bookmarkEnd w:id="199"/>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十三、投标分项报价表</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十四、技术要求响应及偏离表</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十五、商务要求响应及偏离表</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十六、开标一览表</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十七、技术方案、服务承诺、培训承诺等</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十八、盐城市政府采购事前信用承诺书</w:t>
      </w:r>
      <w:r/>
    </w:p>
    <w:p>
      <w:pPr>
        <w:ind w:firstLine="44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十九、异常低价说明函(如有)</w:t>
      </w:r>
      <w:r/>
    </w:p>
    <w:p>
      <w:pPr>
        <w:ind w:firstLine="440"/>
        <w:spacing w:line="440" w:lineRule="exact"/>
        <w:rPr>
          <w:rFonts w:hint="eastAsia" w:ascii="宋体" w:hAnsi="宋体" w:cs="宋体"/>
          <w:b/>
          <w:bCs/>
          <w:color w:val="auto"/>
          <w:sz w:val="22"/>
          <w:szCs w:val="21"/>
          <w:highlight w:val="none"/>
        </w:rPr>
      </w:pPr>
      <w:r>
        <w:rPr>
          <w:rFonts w:hint="eastAsia" w:ascii="宋体" w:hAnsi="宋体" w:cs="宋体"/>
          <w:b/>
          <w:bCs/>
          <w:color w:val="auto"/>
          <w:sz w:val="22"/>
          <w:szCs w:val="21"/>
          <w:highlight w:val="none"/>
        </w:rPr>
        <w:t xml:space="preserve">建议封面加在目录前面</w:t>
      </w:r>
      <w:r/>
    </w:p>
    <w:p>
      <w:pPr>
        <w:ind w:firstLine="440"/>
        <w:spacing w:line="440" w:lineRule="exact"/>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440"/>
        <w:spacing w:line="440" w:lineRule="exact"/>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440"/>
        <w:spacing w:line="440" w:lineRule="exact"/>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440"/>
        <w:spacing w:line="440" w:lineRule="exact"/>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440"/>
        <w:spacing w:line="440" w:lineRule="exact"/>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440"/>
        <w:spacing w:line="440" w:lineRule="exact"/>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pStyle w:val="739"/>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一、法人或者其他组织的营业执照等证明文件或自然人的身份证明</w:t>
      </w:r>
      <w:r/>
    </w:p>
    <w:p>
      <w:pPr>
        <w:pStyle w:val="739"/>
        <w:ind w:firstLine="480"/>
        <w:jc w:val="both"/>
        <w:spacing w:beforeAutospacing="0" w:afterAutospacing="0" w:line="0" w:lineRule="atLeast"/>
        <w:rPr>
          <w:rFonts w:hint="eastAsia"/>
          <w:color w:val="auto"/>
          <w:highlight w:val="none"/>
        </w:rPr>
      </w:pPr>
      <w:r>
        <w:rPr>
          <w:color w:val="auto"/>
          <w:highlight w:val="none"/>
        </w:rPr>
        <w:t xml:space="preserve"> </w:t>
      </w:r>
      <w:r/>
    </w:p>
    <w:p>
      <w:pPr>
        <w:pStyle w:val="739"/>
        <w:jc w:val="both"/>
        <w:spacing w:beforeAutospacing="0" w:afterAutospacing="0"/>
        <w:rPr>
          <w:rFonts w:hint="eastAsia" w:eastAsia="黑体"/>
          <w:color w:val="auto"/>
          <w:highlight w:val="none"/>
        </w:rPr>
      </w:pPr>
      <w:r>
        <w:rPr>
          <w:rFonts w:hint="eastAsia" w:ascii="黑体" w:eastAsia="黑体" w:cs="黑体"/>
          <w:i/>
          <w:color w:val="auto"/>
          <w:sz w:val="32"/>
          <w:szCs w:val="32"/>
          <w:highlight w:val="none"/>
          <w:u w:val="single"/>
        </w:rPr>
        <w:t xml:space="preserve">二、上一年度的财务状况报告</w:t>
      </w:r>
      <w:r/>
    </w:p>
    <w:p>
      <w:pPr>
        <w:jc w:val="left"/>
        <w:tabs>
          <w:tab w:val="left" w:pos="1331" w:leader="none"/>
        </w:tabs>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（至少提供资产负债表、利润表、现金流量表，投标人成立不满一年无需提供）</w:t>
      </w:r>
      <w:r/>
    </w:p>
    <w:p>
      <w:pPr>
        <w:pStyle w:val="739"/>
        <w:jc w:val="both"/>
        <w:spacing w:beforeAutospacing="0" w:afterAutospacing="0"/>
        <w:rPr>
          <w:rFonts w:hint="eastAsia"/>
          <w:color w:val="auto"/>
          <w:highlight w:val="none"/>
        </w:rPr>
      </w:pPr>
      <w:r>
        <w:rPr>
          <w:color w:val="auto"/>
          <w:highlight w:val="none"/>
        </w:rPr>
        <w:t xml:space="preserve"> </w:t>
      </w:r>
      <w:r/>
    </w:p>
    <w:p>
      <w:pPr>
        <w:pStyle w:val="739"/>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739"/>
        <w:ind w:firstLine="492"/>
        <w:jc w:val="both"/>
        <w:spacing w:before="0" w:beforeAutospacing="0" w:after="0" w:afterAutospacing="0" w:line="440" w:lineRule="exac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9"/>
        <w:ind w:firstLine="492"/>
        <w:jc w:val="both"/>
        <w:spacing w:before="0" w:beforeAutospacing="0" w:after="0" w:afterAutospacing="0" w:line="440" w:lineRule="exac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739"/>
        <w:ind w:firstLine="480"/>
        <w:jc w:val="both"/>
        <w:spacing w:before="0" w:beforeAutospacing="0" w:after="0" w:afterAutospacing="0" w:line="440" w:lineRule="exact"/>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739"/>
        <w:ind w:firstLine="480"/>
        <w:jc w:val="both"/>
        <w:spacing w:beforeAutospacing="0" w:afterAutospacing="0"/>
        <w:rPr>
          <w:rFonts w:hint="eastAsia"/>
          <w:color w:val="auto"/>
          <w:highlight w:val="none"/>
        </w:rPr>
      </w:pPr>
      <w:r>
        <w:rPr>
          <w:rFonts w:hint="eastAsia"/>
          <w:color w:val="auto"/>
          <w:highlight w:val="none"/>
        </w:rPr>
      </w:r>
      <w:r/>
    </w:p>
    <w:p>
      <w:pPr>
        <w:pStyle w:val="739"/>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739"/>
        <w:ind w:firstLine="482"/>
        <w:jc w:val="both"/>
        <w:spacing w:before="0" w:beforeAutospacing="0" w:after="0" w:afterAutospacing="0" w:line="440" w:lineRule="exact"/>
        <w:rPr>
          <w:rFonts w:hint="eastAsia"/>
          <w:color w:val="auto"/>
          <w:highlight w:val="none"/>
        </w:rPr>
      </w:pPr>
      <w:r/>
      <w:bookmarkStart w:id="200" w:name="_Toc120614284"/>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00"/>
      <w:r/>
      <w:r/>
    </w:p>
    <w:p>
      <w:pPr>
        <w:pStyle w:val="739"/>
        <w:ind w:firstLine="480"/>
        <w:jc w:val="both"/>
        <w:spacing w:beforeAutospacing="0" w:afterAutospacing="0"/>
        <w:rPr>
          <w:rFonts w:hint="eastAsia"/>
          <w:color w:val="auto"/>
          <w:highlight w:val="none"/>
        </w:rPr>
      </w:pPr>
      <w:r>
        <w:rPr>
          <w:rFonts w:hint="eastAsia"/>
          <w:color w:val="auto"/>
          <w:highlight w:val="none"/>
        </w:rPr>
      </w:r>
      <w:r/>
    </w:p>
    <w:p>
      <w:pPr>
        <w:pStyle w:val="739"/>
        <w:jc w:val="both"/>
        <w:spacing w:beforeAutospacing="0" w:afterAutospacing="0"/>
        <w:rPr>
          <w:rFonts w:hint="eastAsia"/>
          <w:b/>
          <w:color w:val="auto"/>
          <w:sz w:val="44"/>
          <w:szCs w:val="44"/>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rPr>
          <w:rFonts w:hint="eastAsia"/>
          <w:b/>
          <w:color w:val="auto"/>
          <w:sz w:val="44"/>
          <w:szCs w:val="44"/>
          <w:highlight w:val="none"/>
        </w:rPr>
        <w:t xml:space="preserve">                </w:t>
      </w:r>
      <w:r/>
    </w:p>
    <w:p>
      <w:pPr>
        <w:pStyle w:val="739"/>
        <w:ind w:firstLine="3092"/>
        <w:jc w:val="both"/>
        <w:spacing w:beforeAutospacing="0" w:afterAutospacing="0" w:line="0" w:lineRule="atLeast"/>
        <w:rPr>
          <w:rFonts w:hint="eastAsia"/>
          <w:color w:val="auto"/>
          <w:highlight w:val="none"/>
        </w:rPr>
      </w:pPr>
      <w:r>
        <w:rPr>
          <w:rFonts w:hint="eastAsia"/>
          <w:b/>
          <w:color w:val="auto"/>
          <w:sz w:val="44"/>
          <w:szCs w:val="44"/>
          <w:highlight w:val="none"/>
        </w:rPr>
        <w:t xml:space="preserve"> 声  明</w:t>
      </w:r>
      <w:r/>
    </w:p>
    <w:p>
      <w:pPr>
        <w:pStyle w:val="739"/>
        <w:jc w:val="both"/>
        <w:spacing w:beforeAutospacing="0" w:afterAutospacing="0" w:line="0" w:lineRule="atLeast"/>
        <w:rPr>
          <w:rFonts w:hint="eastAsia"/>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9"/>
        <w:jc w:val="both"/>
        <w:spacing w:beforeAutospacing="0" w:afterAutospacing="0"/>
        <w:rPr>
          <w:rFonts w:hint="eastAsia"/>
          <w:color w:val="auto"/>
          <w:highlight w:val="none"/>
        </w:rPr>
      </w:pPr>
      <w:r>
        <w:rPr>
          <w:rFonts w:hint="eastAsia"/>
          <w:color w:val="auto"/>
          <w:highlight w:val="none"/>
        </w:rPr>
        <w:t xml:space="preserve"> </w:t>
      </w:r>
      <w:r/>
    </w:p>
    <w:p>
      <w:pPr>
        <w:pStyle w:val="739"/>
        <w:jc w:val="both"/>
        <w:spacing w:beforeAutospacing="0" w:afterAutospacing="0"/>
        <w:rPr>
          <w:rFonts w:hint="eastAsia"/>
          <w:b/>
          <w:bCs/>
          <w:color w:val="auto"/>
          <w:highlight w:val="none"/>
        </w:rPr>
      </w:pPr>
      <w:r>
        <w:rPr>
          <w:rFonts w:hint="eastAsia"/>
          <w:b/>
          <w:bCs/>
          <w:i/>
          <w:color w:val="auto"/>
          <w:sz w:val="32"/>
          <w:szCs w:val="32"/>
          <w:highlight w:val="none"/>
          <w:u w:val="single"/>
        </w:rPr>
        <w:t xml:space="preserve">六、特定资格要求的证明文件</w:t>
      </w:r>
      <w:r/>
    </w:p>
    <w:p>
      <w:pPr>
        <w:pStyle w:val="739"/>
        <w:jc w:val="both"/>
        <w:spacing w:beforeAutospacing="0" w:afterAutospacing="0" w:line="0" w:lineRule="atLeast"/>
        <w:rPr>
          <w:rFonts w:hint="eastAsia"/>
          <w:color w:val="auto"/>
          <w:highlight w:val="none"/>
        </w:rPr>
      </w:pPr>
      <w:r>
        <w:rPr>
          <w:rFonts w:hint="eastAsia"/>
          <w:color w:val="auto"/>
          <w:highlight w:val="none"/>
        </w:rPr>
        <w:t xml:space="preserve">   如果本项目申请人的特定资格要求中要求提供的，必须提供。</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07"/>
        <w:jc w:val="center"/>
        <w:spacing w:beforeAutospacing="0" w:afterAutospacing="0" w:line="500" w:lineRule="exact"/>
        <w:rPr>
          <w:rFonts w:hint="eastAsia"/>
          <w:i/>
          <w:color w:val="auto"/>
          <w:sz w:val="32"/>
          <w:szCs w:val="32"/>
          <w:highlight w:val="none"/>
          <w:u w:val="single"/>
        </w:rPr>
        <w:outlineLvl w:val="1"/>
      </w:pPr>
      <w:r>
        <w:rPr>
          <w:rFonts w:hint="eastAsia"/>
          <w:i/>
          <w:color w:val="auto"/>
          <w:sz w:val="32"/>
          <w:szCs w:val="32"/>
          <w:highlight w:val="none"/>
          <w:u w:val="single"/>
        </w:rPr>
      </w:r>
      <w:r/>
    </w:p>
    <w:p>
      <w:pPr>
        <w:pStyle w:val="907"/>
        <w:jc w:val="center"/>
        <w:spacing w:beforeAutospacing="0" w:afterAutospacing="0" w:line="500" w:lineRule="exact"/>
        <w:rPr>
          <w:rFonts w:hint="eastAsia"/>
          <w:i/>
          <w:color w:val="auto"/>
          <w:sz w:val="32"/>
          <w:szCs w:val="32"/>
          <w:highlight w:val="none"/>
          <w:u w:val="single"/>
        </w:rPr>
        <w:outlineLvl w:val="1"/>
      </w:pPr>
      <w:r>
        <w:rPr>
          <w:rFonts w:hint="eastAsia"/>
          <w:i/>
          <w:color w:val="auto"/>
          <w:sz w:val="32"/>
          <w:szCs w:val="32"/>
          <w:highlight w:val="none"/>
          <w:u w:val="single"/>
        </w:rPr>
        <w:t xml:space="preserve">七、法人授权书</w:t>
      </w:r>
      <w:r/>
    </w:p>
    <w:p>
      <w:pPr>
        <w:pStyle w:val="907"/>
        <w:ind w:firstLine="482"/>
        <w:spacing w:line="480" w:lineRule="exact"/>
        <w:rPr>
          <w:rFonts w:hint="eastAsia"/>
          <w:color w:val="auto"/>
          <w:highlight w:val="none"/>
        </w:rPr>
      </w:pPr>
      <w:r>
        <w:rPr>
          <w:rFonts w:hint="eastAsia"/>
          <w:color w:val="auto"/>
          <w:highlight w:val="none"/>
        </w:rPr>
        <w:t xml:space="preserve">本授权书声明：____________（投标人名称）授权________________（被授权人的姓名）为我方就</w:t>
      </w:r>
      <w:r>
        <w:rPr>
          <w:color w:val="auto"/>
          <w:highlight w:val="none"/>
        </w:rPr>
        <w:t xml:space="preserve">JSZC-</w:t>
      </w:r>
      <w:r>
        <w:rPr>
          <w:rFonts w:hint="eastAsia"/>
          <w:color w:val="auto"/>
          <w:highlight w:val="none"/>
          <w:u w:val="single"/>
        </w:rPr>
        <w:t xml:space="preserve">            </w:t>
      </w:r>
      <w:r>
        <w:rPr>
          <w:rFonts w:hint="eastAsia"/>
          <w:color w:val="auto"/>
          <w:highlight w:val="none"/>
        </w:rPr>
        <w:t xml:space="preserve">号</w:t>
      </w:r>
      <w:r>
        <w:rPr>
          <w:rFonts w:hint="eastAsia"/>
          <w:color w:val="auto"/>
          <w:szCs w:val="20"/>
          <w:highlight w:val="none"/>
        </w:rPr>
        <w:t xml:space="preserve">项目</w:t>
      </w:r>
      <w:r>
        <w:rPr>
          <w:rFonts w:hint="eastAsia"/>
          <w:color w:val="auto"/>
          <w:highlight w:val="none"/>
        </w:rPr>
        <w:t xml:space="preserve">采购活动的合法代理人，以本单位名义全权处理一切与该项目采购有关的事务。</w:t>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t xml:space="preserve">本授权书于______年____月____日起生效，特此声明。</w:t>
      </w:r>
      <w:r/>
    </w:p>
    <w:p>
      <w:pPr>
        <w:pStyle w:val="907"/>
        <w:ind w:firstLine="480"/>
        <w:rPr>
          <w:rFonts w:hint="eastAsia"/>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907"/>
        <w:ind w:firstLine="480"/>
        <w:rPr>
          <w:rFonts w:hint="eastAsia"/>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907"/>
        <w:ind w:firstLine="480"/>
        <w:rPr>
          <w:rFonts w:hint="eastAsia"/>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          </w:t>
      </w:r>
      <w:r/>
    </w:p>
    <w:p>
      <w:pPr>
        <w:pStyle w:val="907"/>
        <w:ind w:firstLine="480"/>
        <w:rPr>
          <w:rFonts w:hint="eastAsia"/>
          <w:color w:val="auto"/>
          <w:highlight w:val="none"/>
        </w:rPr>
      </w:pPr>
      <w:r>
        <w:rPr>
          <w:rFonts w:hint="eastAsia"/>
          <w:color w:val="auto"/>
          <w:highlight w:val="none"/>
        </w:rPr>
        <w:t xml:space="preserve">单 位 地 址：</w:t>
      </w:r>
      <w:r>
        <w:rPr>
          <w:rFonts w:hint="eastAsia"/>
          <w:color w:val="auto"/>
          <w:highlight w:val="none"/>
          <w:u w:val="single"/>
        </w:rPr>
        <w:t xml:space="preserve">                      </w:t>
      </w:r>
      <w:r/>
    </w:p>
    <w:p>
      <w:pPr>
        <w:pStyle w:val="907"/>
        <w:ind w:firstLine="480"/>
        <w:rPr>
          <w:rFonts w:hint="eastAsia"/>
          <w:color w:val="auto"/>
          <w:highlight w:val="none"/>
          <w:u w:val="single"/>
        </w:rPr>
      </w:pPr>
      <w:r>
        <w:rPr>
          <w:rFonts w:hint="eastAsia"/>
          <w:color w:val="auto"/>
          <w:highlight w:val="none"/>
        </w:rPr>
        <w:t xml:space="preserve">日       期：</w:t>
      </w:r>
      <w:r>
        <w:rPr>
          <w:rFonts w:hint="eastAsia"/>
          <w:color w:val="auto"/>
          <w:highlight w:val="none"/>
          <w:u w:val="single"/>
        </w:rPr>
        <w:t xml:space="preserve">                           </w:t>
      </w:r>
      <w:r/>
    </w:p>
    <w:p>
      <w:pPr>
        <w:pStyle w:val="907"/>
        <w:ind w:firstLine="480"/>
        <w:rPr>
          <w:rFonts w:hint="eastAsia"/>
          <w:color w:val="auto"/>
          <w:highlight w:val="none"/>
          <w:u w:val="single"/>
        </w:rPr>
      </w:pPr>
      <w:r>
        <w:rPr>
          <w:rFonts w:hint="eastAsia" w:cs="仿宋_GB2312" w:asciiTheme="minorEastAsia" w:hAnsiTheme="minorEastAsia" w:eastAsiaTheme="minorEastAsia"/>
          <w:b/>
          <w:bCs/>
          <w:color w:val="auto"/>
          <w:sz w:val="24"/>
          <w:highlight w:val="none"/>
          <w:lang w:val="en-US" w:eastAsia="zh-CN"/>
        </w:rPr>
        <w:t xml:space="preserve">附：</w:t>
      </w:r>
      <w:r>
        <w:rPr>
          <w:rFonts w:hint="eastAsia" w:cs="仿宋_GB2312" w:asciiTheme="minorEastAsia" w:hAnsiTheme="minorEastAsia" w:eastAsiaTheme="minorEastAsia"/>
          <w:b/>
          <w:bCs/>
          <w:color w:val="auto"/>
          <w:sz w:val="24"/>
          <w:highlight w:val="none"/>
        </w:rPr>
        <w:t xml:space="preserve">被授权人身份证</w:t>
      </w:r>
      <w:r>
        <w:rPr>
          <w:rFonts w:hint="eastAsia" w:cs="仿宋_GB2312" w:asciiTheme="minorEastAsia" w:hAnsiTheme="minorEastAsia" w:eastAsiaTheme="minorEastAsia"/>
          <w:b/>
          <w:bCs/>
          <w:color w:val="auto"/>
          <w:sz w:val="24"/>
          <w:highlight w:val="none"/>
          <w:lang w:val="en-US" w:eastAsia="zh-CN"/>
        </w:rPr>
        <w:t xml:space="preserve">正反面</w:t>
      </w:r>
      <w:r>
        <w:rPr>
          <w:rFonts w:hint="eastAsia" w:cs="仿宋_GB2312" w:asciiTheme="minorEastAsia" w:hAnsiTheme="minorEastAsia" w:eastAsiaTheme="minorEastAsia"/>
          <w:b/>
          <w:bCs/>
          <w:color w:val="auto"/>
          <w:sz w:val="24"/>
          <w:highlight w:val="none"/>
        </w:rPr>
        <w:t xml:space="preserve">复印件</w:t>
      </w:r>
      <w:r/>
    </w:p>
    <w:p>
      <w:pPr>
        <w:pStyle w:val="907"/>
        <w:jc w:val="both"/>
        <w:rPr>
          <w:rFonts w:hint="eastAsia"/>
          <w:color w:val="auto"/>
          <w:highlight w:val="none"/>
        </w:rPr>
      </w:pPr>
      <w:r>
        <w:rPr>
          <w:rFonts w:hint="eastAsia"/>
          <w:color w:val="auto"/>
          <w:highlight w:val="none"/>
        </w:rPr>
        <w:t xml:space="preserve">                            </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i/>
          <w:color w:val="auto"/>
          <w:highlight w:val="none"/>
          <w:u w:val="single"/>
        </w:rPr>
      </w:pPr>
      <w:r>
        <w:rPr>
          <w:rFonts w:hint="eastAsia" w:ascii="宋体" w:hAnsi="宋体" w:cs="宋体"/>
          <w:i/>
          <w:color w:val="auto"/>
          <w:sz w:val="32"/>
          <w:szCs w:val="32"/>
          <w:highlight w:val="none"/>
          <w:u w:val="single"/>
        </w:rPr>
        <w:t xml:space="preserve">八、投标函</w:t>
      </w:r>
      <w:r/>
    </w:p>
    <w:p>
      <w:pPr>
        <w:spacing w:line="44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采购人名称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根据贵方的JSZC-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号招标文件，正式授权下述签字人______</w:t>
      </w:r>
      <w:bookmarkStart w:id="201" w:name="OLE_LINK10"/>
      <w:r>
        <w:rPr>
          <w:rFonts w:hint="eastAsia" w:ascii="宋体" w:hAnsi="宋体" w:cs="宋体"/>
          <w:color w:val="auto"/>
          <w:sz w:val="24"/>
          <w:szCs w:val="24"/>
          <w:highlight w:val="none"/>
        </w:rPr>
        <w:t xml:space="preserve">(姓名)</w:t>
      </w:r>
      <w:bookmarkEnd w:id="201"/>
      <w:r>
        <w:rPr>
          <w:rFonts w:hint="eastAsia" w:ascii="宋体" w:hAnsi="宋体" w:cs="宋体"/>
          <w:color w:val="auto"/>
          <w:sz w:val="24"/>
          <w:szCs w:val="24"/>
          <w:highlight w:val="none"/>
          <w:u w:val="none"/>
        </w:rPr>
        <w:t xml:space="preserve">（机打或手写）</w:t>
      </w:r>
      <w:r>
        <w:rPr>
          <w:rFonts w:hint="eastAsia" w:ascii="宋体" w:hAnsi="宋体" w:cs="宋体"/>
          <w:color w:val="auto"/>
          <w:sz w:val="24"/>
          <w:szCs w:val="24"/>
          <w:highlight w:val="none"/>
        </w:rPr>
        <w:t xml:space="preserve">代表我方______________（投标人的名称），全权处理本次项目投标的有关事宜。</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w:t>
      </w:r>
      <w:r>
        <w:rPr>
          <w:rFonts w:hint="eastAsia" w:ascii="宋体" w:hAnsi="宋体" w:cs="宋体"/>
          <w:color w:val="auto"/>
          <w:sz w:val="24"/>
          <w:szCs w:val="24"/>
          <w:highlight w:val="none"/>
          <w:u w:val="single"/>
        </w:rPr>
        <w:t xml:space="preserve">   (姓名)    （机打或手写）</w:t>
      </w:r>
      <w:r>
        <w:rPr>
          <w:rFonts w:hint="eastAsia" w:ascii="宋体" w:hAnsi="宋体" w:cs="宋体"/>
          <w:color w:val="auto"/>
          <w:sz w:val="24"/>
          <w:szCs w:val="24"/>
          <w:highlight w:val="none"/>
        </w:rPr>
        <w:t xml:space="preserve">签字人兹宣布同意如下：</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1.按招标文件规定的各项要求，向买方提供所需服务（包含与服务相关的货物）。</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4.我们同意从规定的开标日期起遵循本投标文件，并在规定的投标有效期期满之前均具有约束力。</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7.与本投标有关的正式通讯地址为：</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编：</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投标人开户行：</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期：______年____月____日</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560"/>
        <w:jc w:val="center"/>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九、中小企业声明函（服务）</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0"/>
          <w:highlight w:val="none"/>
          <w:u w:val="single"/>
        </w:rPr>
        <w:t xml:space="preserve"> （采购人名称） </w:t>
      </w:r>
      <w:r>
        <w:rPr>
          <w:rFonts w:hint="eastAsia" w:ascii="宋体" w:hAnsi="宋体" w:cs="宋体"/>
          <w:color w:val="auto"/>
          <w:sz w:val="24"/>
          <w:highlight w:val="none"/>
        </w:rPr>
        <w:t xml:space="preserve">组织的采购编号为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（项目名称）</w:t>
      </w:r>
      <w:r>
        <w:rPr>
          <w:rFonts w:hint="eastAsia" w:ascii="宋体" w:hAnsi="宋体" w:cs="宋体"/>
          <w:color w:val="auto"/>
          <w:sz w:val="24"/>
          <w:highlight w:val="none"/>
        </w:rPr>
        <w:t xml:space="preserve">采购活动，服务全部由符合政策的中小微企业承接。相关企业（含联合体中的中小微企业、签订分包意向协议的中小微企业）的具体情况如下：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w:t>
      </w:r>
      <w:bookmarkStart w:id="202" w:name="OLE_LINK122"/>
      <w:r>
        <w:rPr>
          <w:rFonts w:hint="eastAsia" w:ascii="宋体" w:hAnsi="宋体" w:cs="宋体"/>
          <w:color w:val="auto"/>
          <w:sz w:val="24"/>
          <w:highlight w:val="none"/>
        </w:rPr>
        <w:t xml:space="preserve">承</w:t>
      </w:r>
      <w:r>
        <w:rPr>
          <w:rFonts w:hint="eastAsia"/>
          <w:color w:val="auto"/>
          <w:sz w:val="24"/>
          <w:highlight w:val="none"/>
        </w:rPr>
        <w:t xml:space="preserve">建（承接）</w:t>
      </w:r>
      <w:bookmarkEnd w:id="202"/>
      <w:r>
        <w:rPr>
          <w:rFonts w:hint="eastAsia" w:ascii="宋体" w:hAnsi="宋体" w:cs="宋体"/>
          <w:color w:val="auto"/>
          <w:sz w:val="24"/>
          <w:highlight w:val="none"/>
        </w:rPr>
        <w:t xml:space="preserve">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w:t>
      </w:r>
      <w:r>
        <w:rPr>
          <w:rFonts w:hint="eastAsia"/>
          <w:color w:val="auto"/>
          <w:sz w:val="24"/>
          <w:highlight w:val="none"/>
        </w:rPr>
        <w:t xml:space="preserve">建（承接）</w:t>
      </w:r>
      <w:r>
        <w:rPr>
          <w:rFonts w:hint="eastAsia" w:ascii="宋体" w:hAnsi="宋体" w:cs="宋体"/>
          <w:color w:val="auto"/>
          <w:sz w:val="24"/>
          <w:highlight w:val="none"/>
        </w:rPr>
        <w:t xml:space="preserve">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960" w:firstLine="28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960" w:firstLine="40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color w:val="auto"/>
          <w:sz w:val="32"/>
          <w:szCs w:val="32"/>
          <w:highlight w:val="none"/>
          <w:u w:val="singl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widowControl/>
        <w:rPr>
          <w:rFonts w:hint="eastAsia" w:ascii="宋体" w:hAnsi="宋体" w:cs="宋体"/>
          <w:i/>
          <w:color w:val="auto"/>
          <w:sz w:val="32"/>
          <w:szCs w:val="32"/>
          <w:highlight w:val="none"/>
        </w:rPr>
      </w:pPr>
      <w:r>
        <w:rPr>
          <w:rFonts w:hint="eastAsia" w:ascii="宋体" w:hAnsi="宋体" w:cs="宋体"/>
          <w:i/>
          <w:color w:val="auto"/>
          <w:sz w:val="32"/>
          <w:szCs w:val="32"/>
          <w:highlight w:val="none"/>
        </w:rPr>
        <w:br w:type="page" w:clear="all"/>
      </w:r>
      <w:r/>
    </w:p>
    <w:p>
      <w:pPr>
        <w:pStyle w:val="908"/>
        <w:ind w:firstLine="640"/>
        <w:jc w:val="center"/>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十、</w:t>
      </w:r>
      <w:bookmarkStart w:id="203" w:name="OLE_LINK18"/>
      <w:r>
        <w:rPr>
          <w:rFonts w:hint="eastAsia" w:ascii="宋体" w:hAnsi="宋体" w:cs="宋体"/>
          <w:iCs/>
          <w:color w:val="auto"/>
          <w:sz w:val="32"/>
          <w:szCs w:val="32"/>
          <w:highlight w:val="none"/>
        </w:rPr>
        <w:t xml:space="preserve">残疾人福利性单位</w:t>
      </w:r>
      <w:bookmarkEnd w:id="203"/>
      <w:r>
        <w:rPr>
          <w:rFonts w:hint="eastAsia" w:ascii="宋体" w:hAnsi="宋体" w:cs="宋体"/>
          <w:iCs/>
          <w:color w:val="auto"/>
          <w:sz w:val="32"/>
          <w:szCs w:val="32"/>
          <w:highlight w:val="none"/>
        </w:rPr>
        <w:t xml:space="preserve">声明函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项目采购活动由本单位提供服务。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w:t>
      </w:r>
      <w:r>
        <w:rPr>
          <w:rFonts w:hint="eastAsia" w:ascii="宋体" w:hAnsi="宋体" w:cs="宋体"/>
          <w:color w:val="auto"/>
          <w:sz w:val="24"/>
          <w:highlight w:val="none"/>
        </w:rPr>
        <w:t xml:space="preserve">（如项目全面面向中小企业，则资格审查不通过）</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2、中标人为残疾人福利单位的，此声明函将随中标结果同时公告，接受社会监督。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firstLine="28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t xml:space="preserve">十一、关于符合本国产品标准的声明函（如有）</w:t>
      </w:r>
      <w:r/>
    </w:p>
    <w:p>
      <w:pPr>
        <w:pStyle w:val="739"/>
        <w:ind w:firstLine="420"/>
        <w:jc w:val="both"/>
        <w:spacing w:before="0" w:beforeAutospacing="0" w:after="0" w:afterAutospacing="0"/>
        <w:widowControl w:val="off"/>
        <w:rPr>
          <w:rFonts w:hint="eastAsia"/>
          <w:color w:val="auto"/>
          <w:highlight w:val="none"/>
        </w:rPr>
      </w:pPr>
      <w:r>
        <w:rPr>
          <w:rFonts w:ascii="Arial" w:hAnsi="Arial" w:cs="Arial"/>
          <w:color w:val="auto"/>
          <w:szCs w:val="24"/>
          <w:highlight w:val="none"/>
        </w:rPr>
        <w:t xml:space="preserve"> </w:t>
      </w:r>
      <w:r/>
    </w:p>
    <w:p>
      <w:pPr>
        <w:pStyle w:val="739"/>
        <w:ind w:firstLine="420"/>
        <w:jc w:val="both"/>
        <w:spacing w:before="0" w:beforeAutospacing="0" w:after="0" w:afterAutospacing="0"/>
        <w:widowControl w:val="off"/>
        <w:rPr>
          <w:rFonts w:hint="eastAsia"/>
          <w:color w:val="auto"/>
          <w:highlight w:val="none"/>
        </w:rPr>
      </w:pPr>
      <w:r>
        <w:rPr>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9"/>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1.</w:t>
      </w:r>
      <w:r>
        <w:rPr>
          <w:color w:val="auto"/>
          <w:szCs w:val="24"/>
          <w:highlight w:val="none"/>
          <w:u w:val="single"/>
          <w:shd w:val="clear" w:color="auto" w:fill="ffffff"/>
        </w:rPr>
        <w:t xml:space="preserve">（产品名称1）</w:t>
      </w:r>
      <w:r>
        <w:rPr>
          <w:color w:val="auto"/>
          <w:szCs w:val="24"/>
          <w:highlight w:val="none"/>
          <w:shd w:val="clear" w:color="auto" w:fill="ffffff"/>
          <w:vertAlign w:val="superscript"/>
        </w:rPr>
        <w:t xml:space="preserve">1</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vertAlign w:val="superscript"/>
        </w:rPr>
        <w:t xml:space="preserve">2</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 （产品名称1）</w:t>
      </w:r>
      <w:r>
        <w:rPr>
          <w:color w:val="auto"/>
          <w:szCs w:val="24"/>
          <w:highlight w:val="none"/>
          <w:u w:val="single"/>
          <w:shd w:val="clear" w:color="auto" w:fill="ffffff"/>
        </w:rPr>
        <w:t xml:space="preserve"> </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strike/>
          <w:color w:val="auto"/>
          <w:szCs w:val="24"/>
          <w:highlight w:val="none"/>
          <w:shd w:val="clear" w:color="auto" w:fill="ffffff"/>
          <w:vertAlign w:val="superscript"/>
        </w:rPr>
        <w:t xml:space="preserve">3</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strike/>
          <w:color w:val="auto"/>
          <w:szCs w:val="24"/>
          <w:highlight w:val="none"/>
          <w:shd w:val="clear" w:color="auto" w:fill="ffffff"/>
          <w:vertAlign w:val="superscript"/>
        </w:rPr>
        <w:t xml:space="preserve">4</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strike/>
          <w:color w:val="auto"/>
          <w:szCs w:val="24"/>
          <w:highlight w:val="none"/>
          <w:shd w:val="clear" w:color="auto" w:fill="ffffff"/>
          <w:vertAlign w:val="superscript"/>
        </w:rPr>
        <w:t xml:space="preserve">5</w:t>
      </w:r>
      <w:r>
        <w:rPr>
          <w:color w:val="auto"/>
          <w:szCs w:val="24"/>
          <w:highlight w:val="none"/>
          <w:shd w:val="clear" w:color="auto" w:fill="ffffff"/>
        </w:rPr>
        <w:t xml:space="preserve">在中国境内完成。</w:t>
      </w:r>
      <w:r/>
    </w:p>
    <w:p>
      <w:pPr>
        <w:pStyle w:val="739"/>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2.</w:t>
      </w:r>
      <w:r>
        <w:rPr>
          <w:color w:val="auto"/>
          <w:szCs w:val="24"/>
          <w:highlight w:val="none"/>
          <w:u w:val="single"/>
          <w:shd w:val="clear" w:color="auto" w:fill="ffffff"/>
        </w:rPr>
        <w:t xml:space="preserve">（产品名称2）</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color w:val="auto"/>
          <w:szCs w:val="24"/>
          <w:highlight w:val="none"/>
          <w:shd w:val="clear" w:color="auto" w:fill="ffffff"/>
        </w:rPr>
        <w:t xml:space="preserve">在中国境内完成。</w:t>
      </w:r>
      <w:r/>
    </w:p>
    <w:p>
      <w:pPr>
        <w:pStyle w:val="739"/>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w:t>
      </w:r>
      <w:r/>
    </w:p>
    <w:p>
      <w:pPr>
        <w:pStyle w:val="739"/>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本公司（单位）对上述声明内容的真实性负责。如有虚假，愿承担相应法律责任。</w:t>
      </w:r>
      <w:r/>
    </w:p>
    <w:p>
      <w:pPr>
        <w:pStyle w:val="739"/>
        <w:jc w:val="both"/>
        <w:spacing w:before="30" w:beforeAutospacing="0" w:after="30" w:afterAutospacing="0"/>
        <w:widowControl w:val="off"/>
        <w:rPr>
          <w:rFonts w:hint="eastAsia"/>
          <w:color w:val="auto"/>
          <w:szCs w:val="24"/>
          <w:highlight w:val="none"/>
        </w:rPr>
      </w:pPr>
      <w:r>
        <w:rPr>
          <w:color w:val="auto"/>
          <w:szCs w:val="24"/>
          <w:highlight w:val="none"/>
        </w:rPr>
        <w:t xml:space="preserve"> </w:t>
      </w:r>
      <w:r/>
    </w:p>
    <w:p>
      <w:pPr>
        <w:pStyle w:val="739"/>
        <w:jc w:val="both"/>
        <w:spacing w:before="30" w:beforeAutospacing="0" w:after="30" w:afterAutospacing="0"/>
        <w:widowControl w:val="off"/>
        <w:rPr>
          <w:rFonts w:hint="eastAsia"/>
          <w:color w:val="auto"/>
          <w:highlight w:val="none"/>
        </w:rPr>
      </w:pPr>
      <w:r>
        <w:rPr>
          <w:rFonts w:hint="eastAsia"/>
          <w:color w:val="auto"/>
          <w:highlight w:val="none"/>
        </w:rPr>
      </w:r>
      <w:r/>
    </w:p>
    <w:p>
      <w:pPr>
        <w:pStyle w:val="739"/>
        <w:ind w:right="480" w:firstLine="37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公司（单位）名称（盖章）：　</w:t>
      </w:r>
      <w:r/>
    </w:p>
    <w:p>
      <w:pPr>
        <w:pStyle w:val="739"/>
        <w:jc w:val="center"/>
        <w:spacing w:before="30" w:beforeAutospacing="0" w:after="30" w:afterAutospacing="0"/>
        <w:widowControl w:val="off"/>
        <w:rPr>
          <w:rFonts w:hint="eastAsia"/>
          <w:color w:val="auto"/>
          <w:szCs w:val="24"/>
          <w:highlight w:val="none"/>
          <w:shd w:val="clear" w:color="auto" w:fill="ffffff"/>
        </w:rPr>
      </w:pPr>
      <w:r>
        <w:rPr>
          <w:color w:val="auto"/>
          <w:szCs w:val="24"/>
          <w:highlight w:val="none"/>
          <w:shd w:val="clear" w:color="auto" w:fill="ffffff"/>
        </w:rPr>
        <w:t xml:space="preserve">      日期：　   年　  月　  日</w:t>
      </w:r>
      <w:r/>
    </w:p>
    <w:p>
      <w:pPr>
        <w:pStyle w:val="739"/>
        <w:jc w:val="center"/>
        <w:spacing w:before="30" w:beforeAutospacing="0" w:after="30" w:afterAutospacing="0"/>
        <w:widowControl w:val="off"/>
        <w:rPr>
          <w:rFonts w:hint="eastAsia"/>
          <w:color w:val="auto"/>
          <w:highlight w:val="none"/>
        </w:rPr>
      </w:pPr>
      <w:r>
        <w:rPr>
          <w:rFonts w:hint="eastAsia"/>
          <w:color w:val="auto"/>
          <w:highlight w:val="none"/>
        </w:rPr>
      </w:r>
      <w:r/>
    </w:p>
    <w:p>
      <w:pPr>
        <w:pStyle w:val="739"/>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__________________</w:t>
      </w:r>
      <w:r/>
    </w:p>
    <w:p>
      <w:pPr>
        <w:pStyle w:val="739"/>
        <w:jc w:val="both"/>
        <w:spacing w:before="30" w:beforeAutospacing="0" w:after="30" w:afterAutospacing="0"/>
        <w:rPr>
          <w:rFonts w:hint="eastAsia"/>
          <w:color w:val="auto"/>
          <w:highlight w:val="none"/>
        </w:rPr>
      </w:pPr>
      <w:r>
        <w:rPr>
          <w:color w:val="auto"/>
          <w:szCs w:val="24"/>
          <w:highlight w:val="none"/>
          <w:shd w:val="clear" w:color="auto" w:fill="ffffff"/>
        </w:rPr>
        <w:t xml:space="preserve">1.产品如有型号，请在“产品名称”栏一并填写。</w:t>
      </w:r>
      <w:r/>
    </w:p>
    <w:p>
      <w:pPr>
        <w:pStyle w:val="739"/>
        <w:jc w:val="both"/>
        <w:spacing w:before="30" w:beforeAutospacing="0" w:after="30" w:afterAutospacing="0"/>
        <w:rPr>
          <w:rFonts w:hint="eastAsia"/>
          <w:color w:val="auto"/>
          <w:highlight w:val="none"/>
        </w:rPr>
      </w:pPr>
      <w:r>
        <w:rPr>
          <w:color w:val="auto"/>
          <w:szCs w:val="24"/>
          <w:highlight w:val="none"/>
          <w:shd w:val="clear" w:color="auto" w:fill="ffffff"/>
        </w:rPr>
        <w:t xml:space="preserve">2.生产厂名与厂址应与生产厂营业执照载明的相关信息保持一致。</w:t>
      </w:r>
      <w:r/>
    </w:p>
    <w:p>
      <w:pPr>
        <w:pStyle w:val="739"/>
        <w:jc w:val="both"/>
        <w:spacing w:before="30" w:beforeAutospacing="0" w:after="30" w:afterAutospacing="0"/>
        <w:rPr>
          <w:rFonts w:hint="eastAsia"/>
          <w:color w:val="auto"/>
          <w:highlight w:val="none"/>
        </w:rPr>
      </w:pPr>
      <w:r>
        <w:rPr>
          <w:color w:val="auto"/>
          <w:szCs w:val="24"/>
          <w:highlight w:val="none"/>
          <w:shd w:val="clear" w:color="auto" w:fill="ffffff"/>
        </w:rPr>
        <w:t xml:space="preserve">3.该产品的中国境内生产的组件成本占比相关要求实施前，“规定比例”栏可不填，下同。</w:t>
      </w:r>
      <w:r/>
    </w:p>
    <w:p>
      <w:pPr>
        <w:pStyle w:val="739"/>
        <w:jc w:val="both"/>
        <w:spacing w:before="30" w:beforeAutospacing="0" w:after="30" w:afterAutospacing="0"/>
        <w:rPr>
          <w:rFonts w:hint="eastAsia"/>
          <w:color w:val="auto"/>
          <w:highlight w:val="none"/>
        </w:rPr>
      </w:pPr>
      <w:r>
        <w:rPr>
          <w:color w:val="auto"/>
          <w:szCs w:val="24"/>
          <w:highlight w:val="none"/>
          <w:shd w:val="clear" w:color="auto" w:fill="ffffff"/>
        </w:rPr>
        <w:t xml:space="preserve">4.该产品的关键组件要求实施前，“关键组件”栏可不填，下同。</w:t>
      </w:r>
      <w:r/>
    </w:p>
    <w:p>
      <w:pPr>
        <w:pStyle w:val="739"/>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5.该产品的关键工序要求实施前，“关键工序”栏可不填，下同。</w:t>
      </w:r>
      <w:r/>
    </w:p>
    <w:p>
      <w:pPr>
        <w:pStyle w:val="739"/>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6.用</w:t>
      </w:r>
      <w:r>
        <w:rPr>
          <w:rFonts w:hint="eastAsia"/>
          <w:color w:val="auto"/>
          <w:szCs w:val="24"/>
          <w:highlight w:val="none"/>
          <w:shd w:val="clear" w:color="auto" w:fill="ffffff"/>
        </w:rPr>
        <w:t xml:space="preserve">横</w:t>
      </w:r>
      <w:r>
        <w:rPr>
          <w:color w:val="auto"/>
          <w:szCs w:val="24"/>
          <w:highlight w:val="none"/>
          <w:shd w:val="clear" w:color="auto" w:fill="ffffff"/>
        </w:rPr>
        <w:t xml:space="preserve">线划除的地方无需填写。</w:t>
      </w:r>
      <w:r/>
    </w:p>
    <w:p>
      <w:pPr>
        <w:pStyle w:val="739"/>
        <w:jc w:val="both"/>
        <w:spacing w:before="30" w:beforeAutospacing="0" w:after="30" w:afterAutospacing="0"/>
        <w:rPr>
          <w:rFonts w:hint="eastAsia"/>
          <w:color w:val="auto"/>
          <w:highlight w:val="none"/>
        </w:rPr>
      </w:pPr>
      <w:r>
        <w:rPr>
          <w:rFonts w:hint="eastAsia"/>
          <w:color w:val="auto"/>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auto"/>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39"/>
        <w:jc w:val="both"/>
        <w:spacing w:before="30" w:beforeAutospacing="0" w:after="30" w:afterAutospacing="0"/>
        <w:widowControl w:val="off"/>
        <w:rPr>
          <w:rFonts w:hint="eastAsia"/>
          <w:color w:val="auto"/>
          <w:highlight w:val="none"/>
        </w:rPr>
      </w:pPr>
      <w:r>
        <w:rPr>
          <w:rFonts w:hint="eastAsia"/>
          <w:color w:val="auto"/>
          <w:highlight w:val="non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ind w:firstLine="440"/>
        <w:jc w:val="center"/>
        <w:rPr>
          <w:rFonts w:hint="eastAsia" w:ascii="宋体" w:hAnsi="宋体" w:cs="宋体"/>
          <w:iCs/>
          <w:color w:val="auto"/>
          <w:sz w:val="32"/>
          <w:szCs w:val="32"/>
          <w:highlight w:val="none"/>
          <w:u w:val="single"/>
        </w:rPr>
      </w:pPr>
      <w:r>
        <w:rPr>
          <w:rFonts w:hint="eastAsia" w:ascii="宋体" w:hAnsi="宋体" w:cs="宋体"/>
          <w:iCs/>
          <w:color w:val="auto"/>
          <w:sz w:val="32"/>
          <w:szCs w:val="32"/>
          <w:highlight w:val="none"/>
          <w:u w:val="singl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t xml:space="preserve">十二、联合体协议（参考格式）（如有）</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（联合体中各供应商全称）在此达成以下协议：</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1、我们</w:t>
      </w:r>
      <w:r>
        <w:rPr>
          <w:rFonts w:hint="eastAsia"/>
          <w:iCs/>
          <w:color w:val="auto"/>
          <w:szCs w:val="24"/>
          <w:highlight w:val="none"/>
          <w:u w:val="single"/>
        </w:rPr>
        <w:t xml:space="preserve"> （供应商1），（供应商2），……</w:t>
      </w:r>
      <w:r>
        <w:rPr>
          <w:rFonts w:hint="eastAsia"/>
          <w:iCs/>
          <w:color w:val="auto"/>
          <w:szCs w:val="24"/>
          <w:highlight w:val="none"/>
        </w:rPr>
        <w:t xml:space="preserve">自愿组成联合体，参加盐城市政府采购中心组织的采购编号为</w:t>
      </w:r>
      <w:r>
        <w:rPr>
          <w:rFonts w:hint="eastAsia"/>
          <w:iCs/>
          <w:color w:val="auto"/>
          <w:szCs w:val="24"/>
          <w:highlight w:val="none"/>
          <w:u w:val="single"/>
        </w:rPr>
        <w:t xml:space="preserve">（编号全称），（项目全称）</w:t>
      </w:r>
      <w:r>
        <w:rPr>
          <w:rFonts w:hint="eastAsia"/>
          <w:iCs/>
          <w:color w:val="auto"/>
          <w:szCs w:val="24"/>
          <w:highlight w:val="none"/>
        </w:rPr>
        <w:t xml:space="preserve">项目（分包号：**）的政府采购活动，我联合体指定</w:t>
      </w:r>
      <w:r>
        <w:rPr>
          <w:rFonts w:hint="eastAsia"/>
          <w:iCs/>
          <w:color w:val="auto"/>
          <w:szCs w:val="24"/>
          <w:highlight w:val="none"/>
          <w:u w:val="single"/>
        </w:rPr>
        <w:t xml:space="preserve">（供应商*）</w:t>
      </w:r>
      <w:r>
        <w:rPr>
          <w:rFonts w:hint="eastAsia"/>
          <w:iCs/>
          <w:color w:val="auto"/>
          <w:szCs w:val="24"/>
          <w:highlight w:val="none"/>
        </w:rPr>
        <w:t xml:space="preserve">为牵头单位（牵头单位必须为联合体成员）。</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3、其中</w:t>
      </w:r>
      <w:r>
        <w:rPr>
          <w:rFonts w:hint="eastAsia"/>
          <w:iCs/>
          <w:color w:val="auto"/>
          <w:szCs w:val="24"/>
          <w:highlight w:val="none"/>
          <w:u w:val="single"/>
        </w:rPr>
        <w:t xml:space="preserve">      </w:t>
      </w:r>
      <w:r>
        <w:rPr>
          <w:rFonts w:hint="eastAsia"/>
          <w:iCs/>
          <w:color w:val="auto"/>
          <w:szCs w:val="24"/>
          <w:highlight w:val="none"/>
        </w:rPr>
        <w:t xml:space="preserve">（小型、微型企业/残疾人福利性单位/监狱企业全称）为</w:t>
      </w:r>
      <w:r>
        <w:rPr>
          <w:rFonts w:hint="eastAsia"/>
          <w:iCs/>
          <w:color w:val="auto"/>
          <w:szCs w:val="24"/>
          <w:highlight w:val="none"/>
          <w:u w:val="single"/>
        </w:rPr>
        <w:t xml:space="preserve">    </w:t>
      </w:r>
      <w:r>
        <w:rPr>
          <w:rFonts w:hint="eastAsia"/>
          <w:iCs/>
          <w:color w:val="auto"/>
          <w:szCs w:val="24"/>
          <w:highlight w:val="none"/>
        </w:rPr>
        <w:t xml:space="preserve">（小型、微型企业/残疾人福利性单位/监狱企业）企业，且我们约定该公司/单位所承担的合同金额将占本项目合同总金额的</w:t>
      </w:r>
      <w:r>
        <w:rPr>
          <w:rFonts w:hint="eastAsia"/>
          <w:iCs/>
          <w:color w:val="auto"/>
          <w:szCs w:val="24"/>
          <w:highlight w:val="none"/>
          <w:u w:val="single"/>
        </w:rPr>
        <w:t xml:space="preserve">  </w:t>
      </w:r>
      <w:r>
        <w:rPr>
          <w:rFonts w:hint="eastAsia"/>
          <w:iCs/>
          <w:color w:val="auto"/>
          <w:szCs w:val="24"/>
          <w:highlight w:val="none"/>
        </w:rPr>
        <w:t xml:space="preserve">%。</w:t>
      </w:r>
      <w:r/>
    </w:p>
    <w:p>
      <w:pPr>
        <w:pStyle w:val="739"/>
        <w:ind w:firstLine="480"/>
        <w:jc w:val="both"/>
        <w:spacing w:before="0" w:beforeAutospacing="0" w:after="0" w:afterAutospacing="0" w:line="360" w:lineRule="exact"/>
        <w:rPr>
          <w:rFonts w:hint="eastAsia"/>
          <w:iCs/>
          <w:color w:val="auto"/>
          <w:szCs w:val="24"/>
          <w:highlight w:val="none"/>
        </w:rPr>
      </w:pPr>
      <w:r>
        <w:rPr>
          <w:iCs/>
          <w:color w:val="auto"/>
          <w:szCs w:val="24"/>
          <w:highlight w:val="none"/>
        </w:rPr>
        <w:t xml:space="preserve"> </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备注：本招标文件中要求加盖CA电子签章的地方，仅需加盖牵头单位的CA电子签章。</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                               </w:t>
      </w:r>
      <w:r/>
    </w:p>
    <w:p>
      <w:pPr>
        <w:pStyle w:val="739"/>
        <w:ind w:firstLine="216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联合体中各供应商全称（公章）：     </w:t>
      </w:r>
      <w:r/>
    </w:p>
    <w:p>
      <w:pPr>
        <w:pStyle w:val="739"/>
        <w:ind w:firstLine="480"/>
        <w:jc w:val="both"/>
        <w:spacing w:before="0" w:beforeAutospacing="0" w:after="0" w:afterAutospacing="0" w:line="360" w:lineRule="exact"/>
        <w:rPr>
          <w:rFonts w:hint="eastAsia"/>
          <w:iCs/>
          <w:color w:val="auto"/>
          <w:szCs w:val="24"/>
          <w:highlight w:val="none"/>
        </w:rPr>
      </w:pPr>
      <w:r>
        <w:rPr>
          <w:rFonts w:hint="eastAsia"/>
          <w:iCs/>
          <w:color w:val="auto"/>
          <w:szCs w:val="24"/>
          <w:highlight w:val="none"/>
        </w:rPr>
        <w:t xml:space="preserve">                 日期：</w:t>
      </w:r>
      <w:r/>
    </w:p>
    <w:p>
      <w:pPr>
        <w:pStyle w:val="739"/>
        <w:ind w:firstLine="420"/>
        <w:spacing w:before="0" w:beforeAutospacing="0" w:after="0" w:afterAutospacing="0" w:line="360" w:lineRule="exact"/>
        <w:rPr>
          <w:rFonts w:hint="eastAsia"/>
          <w:iCs/>
          <w:color w:val="auto"/>
          <w:sz w:val="21"/>
          <w:szCs w:val="21"/>
          <w:highlight w:val="none"/>
        </w:rPr>
      </w:pPr>
      <w:r>
        <w:rPr>
          <w:iCs/>
          <w:color w:val="auto"/>
          <w:sz w:val="21"/>
          <w:szCs w:val="21"/>
          <w:highlight w:val="none"/>
        </w:rPr>
        <w:t xml:space="preserve"> </w:t>
      </w:r>
      <w:r/>
    </w:p>
    <w:p>
      <w:pPr>
        <w:pStyle w:val="739"/>
        <w:jc w:val="center"/>
        <w:spacing w:beforeAutospacing="0" w:afterAutospacing="0"/>
        <w:rPr>
          <w:rFonts w:hint="eastAsia"/>
          <w:iCs/>
          <w:color w:val="auto"/>
          <w:sz w:val="32"/>
          <w:szCs w:val="32"/>
          <w:highlight w:val="none"/>
        </w:rPr>
      </w:pPr>
      <w:r>
        <w:rPr>
          <w:iCs/>
          <w:color w:val="auto"/>
          <w:sz w:val="32"/>
          <w:szCs w:val="32"/>
          <w:highlight w:val="none"/>
        </w:rPr>
        <w:t xml:space="preserve"> </w:t>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rFonts w:hint="eastAsia"/>
          <w:iCs/>
          <w:color w:val="auto"/>
          <w:sz w:val="32"/>
          <w:szCs w:val="32"/>
          <w:highlight w:val="none"/>
        </w:rPr>
      </w:r>
      <w:r/>
    </w:p>
    <w:p>
      <w:pPr>
        <w:pStyle w:val="739"/>
        <w:jc w:val="center"/>
        <w:spacing w:beforeAutospacing="0" w:afterAutospacing="0"/>
        <w:rPr>
          <w:rFonts w:hint="eastAsia"/>
          <w:iCs/>
          <w:color w:val="auto"/>
          <w:sz w:val="32"/>
          <w:szCs w:val="32"/>
          <w:highlight w:val="none"/>
        </w:rPr>
      </w:pPr>
      <w:r>
        <w:rPr>
          <w:iCs/>
          <w:color w:val="auto"/>
          <w:sz w:val="32"/>
          <w:szCs w:val="32"/>
          <w:highlight w:val="none"/>
        </w:rPr>
        <w:t xml:space="preserve"> </w:t>
      </w:r>
      <w:r/>
    </w:p>
    <w:p>
      <w:pPr>
        <w:pStyle w:val="739"/>
        <w:jc w:val="center"/>
        <w:spacing w:beforeAutospacing="0" w:afterAutospacing="0"/>
        <w:rPr>
          <w:rFonts w:hint="eastAsia"/>
          <w:iCs/>
          <w:color w:val="auto"/>
          <w:sz w:val="32"/>
          <w:szCs w:val="32"/>
          <w:highlight w:val="none"/>
        </w:rPr>
      </w:pPr>
      <w:r>
        <w:rPr>
          <w:iCs/>
          <w:color w:val="auto"/>
          <w:sz w:val="32"/>
          <w:szCs w:val="32"/>
          <w:highlight w:val="none"/>
        </w:rPr>
        <w:t xml:space="preserve"> </w:t>
      </w:r>
      <w:r/>
    </w:p>
    <w:p>
      <w:pPr>
        <w:pStyle w:val="739"/>
        <w:jc w:val="center"/>
        <w:spacing w:beforeAutospacing="0" w:afterAutospacing="0"/>
        <w:rPr>
          <w:rFonts w:hint="eastAsia"/>
          <w:color w:val="auto"/>
          <w:highlight w:val="none"/>
        </w:rPr>
      </w:pPr>
      <w:r>
        <w:rPr>
          <w:rFonts w:hint="eastAsia"/>
          <w:iCs/>
          <w:color w:val="auto"/>
          <w:sz w:val="32"/>
          <w:szCs w:val="32"/>
          <w:highlight w:val="none"/>
        </w:rPr>
        <w:t xml:space="preserve">十三、投标分项报价表</w:t>
      </w:r>
      <w:r/>
    </w:p>
    <w:tbl>
      <w:tblPr>
        <w:tblStyle w:val="714"/>
        <w:tblW w:w="90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220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分项</w:t>
            </w:r>
            <w:r/>
          </w:p>
          <w:p>
            <w:pPr>
              <w:pStyle w:val="739"/>
              <w:jc w:val="center"/>
              <w:spacing w:beforeAutospacing="0" w:afterAutospacing="0" w:line="0" w:lineRule="atLeast"/>
              <w:rPr>
                <w:rFonts w:hint="eastAsia"/>
                <w:color w:val="auto"/>
                <w:highlight w:val="none"/>
              </w:rPr>
            </w:pPr>
            <w:r>
              <w:rPr>
                <w:rFonts w:hint="eastAsia"/>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分项</w:t>
            </w:r>
            <w:r/>
          </w:p>
          <w:p>
            <w:pPr>
              <w:pStyle w:val="739"/>
              <w:jc w:val="center"/>
              <w:spacing w:beforeAutospacing="0" w:afterAutospacing="0" w:line="0" w:lineRule="atLeast"/>
              <w:rPr>
                <w:rFonts w:hint="eastAsia"/>
                <w:color w:val="auto"/>
                <w:highlight w:val="none"/>
              </w:rPr>
            </w:pPr>
            <w:r>
              <w:rPr>
                <w:rFonts w:hint="eastAsia"/>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center"/>
              <w:spacing w:beforeAutospacing="0" w:afterAutospacing="0" w:line="0" w:lineRule="atLeast"/>
              <w:rPr>
                <w:rFonts w:hint="eastAsia"/>
                <w:color w:val="auto"/>
                <w:highlight w:val="none"/>
              </w:rPr>
            </w:pPr>
            <w:r>
              <w:rPr>
                <w:color w:val="auto"/>
                <w:highlight w:val="none"/>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9"/>
              <w:jc w:val="center"/>
              <w:spacing w:beforeAutospacing="0" w:afterAutospacing="0" w:line="0" w:lineRule="atLeast"/>
              <w:rPr>
                <w:rFonts w:hint="eastAsia"/>
                <w:color w:val="auto"/>
                <w:highlight w:val="none"/>
              </w:rPr>
            </w:pPr>
            <w:r>
              <w:rPr>
                <w:rFonts w:hint="eastAsia"/>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39"/>
              <w:jc w:val="both"/>
              <w:spacing w:beforeAutospacing="0" w:afterAutospacing="0" w:line="0" w:lineRule="atLeast"/>
              <w:rPr>
                <w:rFonts w:hint="eastAsia"/>
                <w:color w:val="auto"/>
                <w:highlight w:val="none"/>
              </w:rPr>
            </w:pPr>
            <w:r>
              <w:rPr>
                <w:color w:val="auto"/>
                <w:highlight w:val="none"/>
              </w:rPr>
              <w:t xml:space="preserve"> </w:t>
            </w:r>
            <w:r/>
          </w:p>
        </w:tc>
      </w:tr>
    </w:tbl>
    <w:p>
      <w:pPr>
        <w:pStyle w:val="739"/>
        <w:ind w:firstLine="482"/>
        <w:jc w:val="both"/>
        <w:spacing w:before="0" w:beforeAutospacing="0" w:after="0" w:afterAutospacing="0" w:line="320" w:lineRule="exact"/>
        <w:rPr>
          <w:rFonts w:hint="eastAsia"/>
          <w:color w:val="auto"/>
          <w:sz w:val="21"/>
          <w:szCs w:val="21"/>
          <w:highlight w:val="none"/>
        </w:rPr>
      </w:pPr>
      <w:r>
        <w:rPr>
          <w:rFonts w:hint="eastAsia"/>
          <w:color w:val="auto"/>
          <w:sz w:val="21"/>
          <w:szCs w:val="21"/>
          <w:highlight w:val="none"/>
        </w:rPr>
        <w:t xml:space="preserve">备注：1.报价主要包括（但不限于）：设施设备日常运行等人员工资及节假日加班费等补助、社会保险费（含养老保险、医疗保险、失业金、工伤保险）、意外伤害</w:t>
      </w:r>
      <w:r>
        <w:rPr>
          <w:rFonts w:hint="eastAsia"/>
          <w:color w:val="auto"/>
          <w:sz w:val="21"/>
          <w:szCs w:val="21"/>
          <w:highlight w:val="none"/>
        </w:rPr>
        <w:t xml:space="preserve">险费、材料费、设备费、设备折旧费、设施设备日常运行维护费、闸站设施及相关附属设备的保洁费、运营期的材料损耗及购置费、绿化维护费、闸站工程运行管理费、工程设备设施管理费、安全管理、高温补贴（如有）、服装费、福利费、劳保用品费、现场管理费、税收、利润、不可预见费及其它一切相关费用（电费及机组大修费用、单项维修养护、单座闸站单项备品备件超过3000元除外）。等所需的全部费用的价格体现，凡漏项或少计均视为优惠，甲方不另行增加费用。各类风险和政策性调整等风险已包括在投标报价中，最终结算时除合同约定调整外一律不予结算。</w:t>
      </w:r>
      <w:r/>
    </w:p>
    <w:p>
      <w:pPr>
        <w:pStyle w:val="739"/>
        <w:ind w:firstLine="482"/>
        <w:jc w:val="both"/>
        <w:spacing w:before="0" w:beforeAutospacing="0" w:after="0" w:afterAutospacing="0" w:line="320" w:lineRule="exact"/>
        <w:rPr>
          <w:rFonts w:hint="eastAsia"/>
          <w:color w:val="auto"/>
          <w:sz w:val="21"/>
          <w:szCs w:val="21"/>
          <w:highlight w:val="none"/>
        </w:rPr>
      </w:pPr>
      <w:r>
        <w:rPr>
          <w:rFonts w:hint="eastAsia"/>
          <w:color w:val="auto"/>
          <w:sz w:val="21"/>
          <w:szCs w:val="21"/>
          <w:highlight w:val="none"/>
        </w:rPr>
        <w:t xml:space="preserve">2.“投标分项报价表”中“投标总报价”数额应当与“开标一览表”中“投标总报价”数额一致。</w:t>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440"/>
        <w:jc w:val="center"/>
        <w:rPr>
          <w:rFonts w:hint="eastAsia" w:ascii="宋体" w:hAnsi="宋体" w:cs="宋体"/>
          <w:iCs/>
          <w:color w:val="auto"/>
          <w:sz w:val="24"/>
          <w:szCs w:val="24"/>
          <w:highlight w:val="none"/>
        </w:rPr>
      </w:pPr>
      <w:r>
        <w:rPr>
          <w:rFonts w:hint="eastAsia" w:ascii="宋体" w:hAnsi="宋体" w:cs="宋体"/>
          <w:iCs/>
          <w:color w:val="auto"/>
          <w:sz w:val="32"/>
          <w:szCs w:val="32"/>
          <w:highlight w:val="none"/>
        </w:rPr>
        <w:t xml:space="preserve">十四、技术要求响应及偏离表</w:t>
      </w:r>
      <w:r/>
    </w:p>
    <w:tbl>
      <w:tblPr>
        <w:tblStyle w:val="714"/>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jc w:val="center"/>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07"/>
              <w:ind w:firstLine="480"/>
              <w:spacing w:line="500" w:lineRule="exact"/>
              <w:rPr>
                <w:rFonts w:hint="eastAsia"/>
                <w:color w:val="auto"/>
                <w:highlight w:val="none"/>
              </w:rPr>
            </w:pPr>
            <w:r>
              <w:rPr>
                <w:rFonts w:hint="eastAsia"/>
                <w:color w:val="auto"/>
                <w:highlight w:val="none"/>
              </w:rPr>
              <w:t xml:space="preserve"> </w:t>
            </w:r>
            <w:r/>
          </w:p>
        </w:tc>
      </w:tr>
    </w:tbl>
    <w:p>
      <w:pPr>
        <w:pStyle w:val="907"/>
        <w:ind w:firstLine="480"/>
        <w:rPr>
          <w:rFonts w:hint="eastAsia"/>
          <w:color w:val="auto"/>
          <w:highlight w:val="none"/>
        </w:rPr>
      </w:pPr>
      <w:r>
        <w:rPr>
          <w:rFonts w:hint="eastAsia"/>
          <w:color w:val="auto"/>
          <w:highlight w:val="none"/>
        </w:rPr>
        <w:t xml:space="preserve">注： 行数不够，可自行添加。</w:t>
      </w:r>
      <w:r/>
    </w:p>
    <w:p>
      <w:pPr>
        <w:pStyle w:val="907"/>
        <w:ind w:firstLine="480"/>
        <w:rPr>
          <w:rFonts w:hint="eastAsia"/>
          <w:color w:val="auto"/>
          <w:highlight w:val="none"/>
        </w:rPr>
      </w:pPr>
      <w:r>
        <w:rPr>
          <w:rFonts w:hint="eastAsia"/>
          <w:color w:val="auto"/>
          <w:highlight w:val="none"/>
        </w:rPr>
        <w:t xml:space="preserve"> </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80"/>
        <w:jc w:val="center"/>
        <w:rPr>
          <w:rFonts w:hint="eastAsia" w:ascii="宋体" w:hAnsi="宋体" w:cs="宋体"/>
          <w:iCs/>
          <w:color w:val="auto"/>
          <w:sz w:val="24"/>
          <w:highlight w:val="none"/>
        </w:rPr>
      </w:pPr>
      <w:r>
        <w:rPr>
          <w:rFonts w:hint="eastAsia" w:ascii="宋体" w:hAnsi="宋体" w:cs="宋体"/>
          <w:iCs/>
          <w:color w:val="auto"/>
          <w:sz w:val="32"/>
          <w:szCs w:val="32"/>
          <w:highlight w:val="none"/>
        </w:rPr>
        <w:t xml:space="preserve">十五、商务要求响应及偏离表</w:t>
      </w:r>
      <w:r/>
    </w:p>
    <w:tbl>
      <w:tblPr>
        <w:tblStyle w:val="714"/>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702"/>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jc w:val="center"/>
              <w:spacing w:line="320" w:lineRule="exact"/>
              <w:rPr>
                <w:rFonts w:hint="eastAsia"/>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07"/>
              <w:ind w:firstLine="480"/>
              <w:rPr>
                <w:rFonts w:hint="eastAsia"/>
                <w:color w:val="auto"/>
                <w:highlight w:val="none"/>
              </w:rPr>
            </w:pPr>
            <w:r>
              <w:rPr>
                <w:rFonts w:hint="eastAsia"/>
                <w:color w:val="auto"/>
                <w:highlight w:val="none"/>
              </w:rPr>
              <w:t xml:space="preserve"> </w:t>
            </w:r>
            <w:r/>
          </w:p>
        </w:tc>
      </w:tr>
    </w:tbl>
    <w:p>
      <w:pPr>
        <w:pStyle w:val="907"/>
        <w:ind w:firstLine="480"/>
        <w:rPr>
          <w:rFonts w:hint="eastAsia"/>
          <w:color w:val="auto"/>
          <w:highlight w:val="none"/>
        </w:rPr>
      </w:pPr>
      <w:r>
        <w:rPr>
          <w:rFonts w:hint="eastAsia"/>
          <w:color w:val="auto"/>
          <w:highlight w:val="none"/>
        </w:rPr>
        <w:t xml:space="preserve">注：行数不够，可自行添加。</w:t>
      </w:r>
      <w:r/>
    </w:p>
    <w:p>
      <w:pPr>
        <w:pStyle w:val="907"/>
        <w:ind w:firstLine="480"/>
        <w:rPr>
          <w:rFonts w:hint="eastAsia"/>
          <w:color w:val="auto"/>
          <w:highlight w:val="none"/>
        </w:rPr>
      </w:pPr>
      <w:r>
        <w:rPr>
          <w:rFonts w:hint="eastAsia"/>
          <w:color w:val="auto"/>
          <w:highlight w:val="none"/>
        </w:rPr>
        <w:t xml:space="preserve"> </w:t>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pStyle w:val="907"/>
        <w:ind w:firstLine="480"/>
        <w:rPr>
          <w:rFonts w:hint="eastAsia"/>
          <w:color w:val="auto"/>
          <w:highlight w:val="none"/>
        </w:rPr>
      </w:pPr>
      <w:r>
        <w:rPr>
          <w:rFonts w:hint="eastAsia"/>
          <w:color w:val="auto"/>
          <w:highlight w:val="none"/>
        </w:rPr>
      </w:r>
      <w:r/>
    </w:p>
    <w:p>
      <w:pPr>
        <w:ind w:firstLine="442"/>
        <w:jc w:val="center"/>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十六、开标一览表</w:t>
      </w:r>
      <w:r/>
    </w:p>
    <w:p>
      <w:pPr>
        <w:pStyle w:val="739"/>
        <w:ind w:firstLine="480"/>
        <w:jc w:val="both"/>
        <w:spacing w:beforeAutospacing="0" w:afterAutospacing="0"/>
        <w:rPr>
          <w:rFonts w:hint="eastAsia"/>
          <w:color w:val="auto"/>
          <w:highlight w:val="none"/>
        </w:rPr>
      </w:pPr>
      <w:r>
        <w:rPr>
          <w:rFonts w:hint="eastAsia"/>
          <w:color w:val="auto"/>
          <w:highlight w:val="none"/>
        </w:rPr>
        <w:t xml:space="preserve">投标人全称（加盖CA电子签章）：</w:t>
      </w:r>
      <w:r/>
    </w:p>
    <w:p>
      <w:pPr>
        <w:pStyle w:val="739"/>
        <w:ind w:firstLine="480"/>
        <w:jc w:val="both"/>
        <w:spacing w:beforeAutospacing="0" w:afterAutospacing="0"/>
        <w:rPr>
          <w:rFonts w:hint="eastAsia"/>
          <w:color w:val="auto"/>
          <w:highlight w:val="none"/>
        </w:rPr>
      </w:pPr>
      <w:r>
        <w:rPr>
          <w:rFonts w:hint="eastAsia"/>
          <w:color w:val="auto"/>
          <w:highlight w:val="none"/>
        </w:rPr>
        <w:t xml:space="preserve">项目名称：</w:t>
      </w:r>
      <w:r/>
    </w:p>
    <w:p>
      <w:pPr>
        <w:pStyle w:val="739"/>
        <w:ind w:firstLine="480"/>
        <w:jc w:val="both"/>
        <w:spacing w:beforeAutospacing="0" w:afterAutospacing="0"/>
        <w:rPr>
          <w:rFonts w:hint="eastAsia"/>
          <w:color w:val="auto"/>
          <w:highlight w:val="none"/>
        </w:rPr>
      </w:pPr>
      <w:r>
        <w:rPr>
          <w:rFonts w:hint="eastAsia"/>
          <w:color w:val="auto"/>
          <w:highlight w:val="none"/>
        </w:rPr>
        <w:t xml:space="preserve">项目编号：</w:t>
      </w:r>
      <w:r/>
    </w:p>
    <w:tbl>
      <w:tblPr>
        <w:tblStyle w:val="71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9"/>
              <w:jc w:val="center"/>
              <w:spacing w:beforeAutospacing="0" w:afterAutospacing="0"/>
              <w:rPr>
                <w:rFonts w:hint="eastAsia"/>
                <w:color w:val="auto"/>
                <w:highlight w:val="none"/>
              </w:rPr>
            </w:pPr>
            <w:r>
              <w:rPr>
                <w:rFonts w:hint="eastAsia"/>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9"/>
              <w:spacing w:beforeAutospacing="0" w:afterAutospacing="0" w:line="0" w:lineRule="atLeast"/>
              <w:rPr>
                <w:rFonts w:hint="eastAsia"/>
                <w:color w:val="auto"/>
                <w:highlight w:val="none"/>
              </w:rPr>
            </w:pPr>
            <w:r>
              <w:rPr>
                <w:rFonts w:hint="eastAsia"/>
                <w:color w:val="auto"/>
                <w:highlight w:val="none"/>
              </w:rPr>
              <w:t xml:space="preserve">大写：</w:t>
            </w:r>
            <w:r/>
          </w:p>
        </w:tc>
      </w:tr>
      <w:tr>
        <w:trPr>
          <w:tblCellSpacing w:w="0" w:type="dxa"/>
          <w:trHeight w:val="8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9"/>
              <w:spacing w:beforeAutospacing="0" w:afterAutospacing="0" w:line="0" w:lineRule="atLeast"/>
              <w:rPr>
                <w:rFonts w:hint="eastAsia"/>
                <w:color w:val="auto"/>
                <w:highlight w:val="none"/>
              </w:rPr>
            </w:pPr>
            <w:r>
              <w:rPr>
                <w:rFonts w:hint="eastAsia"/>
                <w:color w:val="auto"/>
                <w:highlight w:val="none"/>
              </w:rPr>
              <w:t xml:space="preserve">小写：                       （人民币：元）</w:t>
            </w:r>
            <w:r/>
          </w:p>
        </w:tc>
      </w:tr>
    </w:tbl>
    <w:p>
      <w:pPr>
        <w:pStyle w:val="739"/>
        <w:jc w:val="both"/>
        <w:spacing w:beforeAutospacing="0" w:afterAutospacing="0"/>
        <w:rPr>
          <w:rFonts w:hint="eastAsia"/>
          <w:color w:val="auto"/>
          <w:highlight w:val="none"/>
        </w:rPr>
      </w:pPr>
      <w:r>
        <w:rPr>
          <w:color w:val="auto"/>
          <w:highlight w:val="none"/>
        </w:rPr>
        <w:t xml:space="preserve"> </w:t>
      </w:r>
      <w:r/>
    </w:p>
    <w:p>
      <w:pPr>
        <w:pStyle w:val="739"/>
        <w:ind w:firstLine="480"/>
        <w:jc w:val="both"/>
        <w:spacing w:beforeAutospacing="0" w:afterAutospacing="0"/>
        <w:rPr>
          <w:rFonts w:hint="eastAsia"/>
          <w:color w:val="auto"/>
          <w:highlight w:val="none"/>
        </w:rPr>
      </w:pPr>
      <w:r>
        <w:rPr>
          <w:rFonts w:hint="eastAsia"/>
          <w:color w:val="auto"/>
          <w:highlight w:val="none"/>
        </w:rPr>
        <w:t xml:space="preserve">                                              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739"/>
        <w:ind w:firstLine="480"/>
        <w:jc w:val="both"/>
        <w:spacing w:beforeAutospacing="0" w:afterAutospacing="0"/>
        <w:rPr>
          <w:rFonts w:hint="eastAsia"/>
          <w:color w:val="auto"/>
          <w:highlight w:val="none"/>
        </w:rPr>
      </w:pPr>
      <w:r>
        <w:rPr>
          <w:color w:val="auto"/>
          <w:highlight w:val="none"/>
        </w:rPr>
        <w:t xml:space="preserve"> </w:t>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ind w:firstLine="420"/>
        <w:spacing w:beforeAutospacing="0" w:afterAutospacing="0" w:line="360" w:lineRule="exact"/>
        <w:rPr>
          <w:rFonts w:hint="eastAsia" w:asciiTheme="minorEastAsia" w:hAnsiTheme="minorEastAsia"/>
          <w:b/>
          <w:color w:val="auto"/>
          <w:sz w:val="21"/>
          <w:szCs w:val="21"/>
          <w:highlight w:val="none"/>
        </w:rPr>
      </w:pPr>
      <w:r>
        <w:rPr>
          <w:rFonts w:hint="eastAsia" w:asciiTheme="minorEastAsia" w:hAnsiTheme="minorEastAsia"/>
          <w:b/>
          <w:color w:val="auto"/>
          <w:sz w:val="21"/>
          <w:szCs w:val="21"/>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39"/>
        <w:jc w:val="center"/>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jc w:val="center"/>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十七、技术方案、服务承诺、培训承诺等</w:t>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Cs/>
          <w:color w:val="auto"/>
          <w:szCs w:val="24"/>
          <w:highlight w:val="none"/>
          <w:u w:val="single"/>
        </w:rPr>
      </w:pPr>
      <w:r>
        <w:rPr>
          <w:rFonts w:hint="eastAsia"/>
          <w:b/>
          <w:iCs/>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pStyle w:val="907"/>
        <w:ind w:firstLine="480"/>
        <w:spacing w:beforeAutospacing="0" w:afterAutospacing="0"/>
        <w:rPr>
          <w:rFonts w:hint="eastAsia"/>
          <w:b/>
          <w:i/>
          <w:color w:val="auto"/>
          <w:szCs w:val="24"/>
          <w:highlight w:val="none"/>
          <w:u w:val="single"/>
        </w:rPr>
      </w:pPr>
      <w:r>
        <w:rPr>
          <w:rFonts w:hint="eastAsia"/>
          <w:b/>
          <w:i/>
          <w:color w:val="auto"/>
          <w:szCs w:val="24"/>
          <w:highlight w:val="none"/>
          <w:u w:val="single"/>
        </w:rPr>
      </w:r>
      <w:r/>
    </w:p>
    <w:p>
      <w:pPr>
        <w:jc w:val="center"/>
        <w:spacing w:line="499" w:lineRule="atLeast"/>
        <w:widowControl/>
        <w:rPr>
          <w:rFonts w:hint="eastAsia" w:ascii="宋体" w:hAnsi="宋体" w:cs="宋体"/>
          <w:iCs/>
          <w:color w:val="auto"/>
          <w:sz w:val="32"/>
          <w:szCs w:val="32"/>
          <w:highlight w:val="none"/>
        </w:rPr>
      </w:pPr>
      <w:r/>
      <w:bookmarkStart w:id="204" w:name="_Hlt26955054"/>
      <w:r/>
      <w:bookmarkEnd w:id="204"/>
      <w:r>
        <w:rPr>
          <w:rFonts w:hint="eastAsia" w:ascii="宋体" w:hAnsi="宋体" w:cs="宋体"/>
          <w:iCs/>
          <w:color w:val="auto"/>
          <w:sz w:val="32"/>
          <w:szCs w:val="32"/>
          <w:highlight w:val="none"/>
        </w:rPr>
        <w:t xml:space="preserve">十八、亭湖区政府采购事前信用承诺书</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为营造我区公开、公平</w:t>
      </w:r>
      <w:r>
        <w:rPr>
          <w:rFonts w:hint="eastAsia" w:ascii="宋体" w:hAnsi="宋体" w:cs="宋体"/>
          <w:color w:val="auto"/>
          <w:sz w:val="24"/>
          <w:highlight w:val="none"/>
        </w:rPr>
        <w:t xml:space="preserve">、公正、诚实守信的政府采购交易环境，树立诚信守法的投标人形象，本人代表本单位作出以下承诺：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ind w:firstLine="3120"/>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p>
      <w:pPr>
        <w:jc w:val="center"/>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br w:type="page" w:clear="all"/>
      </w:r>
      <w:r>
        <w:rPr>
          <w:rFonts w:hint="eastAsia" w:ascii="宋体" w:hAnsi="宋体" w:cs="宋体"/>
          <w:iCs/>
          <w:color w:val="auto"/>
          <w:sz w:val="32"/>
          <w:szCs w:val="32"/>
          <w:highlight w:val="none"/>
        </w:rPr>
        <w:t xml:space="preserve">十九、异常低价说明函(如有)</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r>
      <w:r/>
    </w:p>
    <w:p>
      <w:pPr>
        <w:pStyle w:val="901"/>
        <w:spacing w:beforeAutospacing="0" w:afterAutospacing="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01"/>
        <w:jc w:val="center"/>
        <w:spacing w:beforeAutospacing="0" w:afterAutospacing="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质疑函范本</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一、质疑供应商基本信息</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质疑供应商：</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u w:val="single"/>
        </w:rPr>
      </w:pPr>
      <w:r>
        <w:rPr>
          <w:rFonts w:hint="eastAsia" w:ascii="宋体" w:hAnsi="宋体" w:cs="宋体"/>
          <w:bCs/>
          <w:color w:val="auto"/>
          <w:szCs w:val="24"/>
          <w:highlight w:val="none"/>
        </w:rPr>
        <w:t xml:space="preserve">地址：</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邮编：</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u w:val="single"/>
        </w:rPr>
      </w:pPr>
      <w:r>
        <w:rPr>
          <w:rFonts w:hint="eastAsia" w:ascii="宋体" w:hAnsi="宋体" w:cs="宋体"/>
          <w:bCs/>
          <w:color w:val="auto"/>
          <w:szCs w:val="24"/>
          <w:highlight w:val="none"/>
        </w:rPr>
        <w:t xml:space="preserve">联系人：</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联系电话：</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授权代表：</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联系电话：</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u w:val="single"/>
        </w:rPr>
      </w:pPr>
      <w:r>
        <w:rPr>
          <w:rFonts w:hint="eastAsia" w:ascii="宋体" w:hAnsi="宋体" w:cs="宋体"/>
          <w:bCs/>
          <w:color w:val="auto"/>
          <w:szCs w:val="24"/>
          <w:highlight w:val="none"/>
        </w:rPr>
        <w:t xml:space="preserve">地址： </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邮编：</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二、质疑项目基本情况</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质疑项目的名称：</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u w:val="single"/>
        </w:rPr>
      </w:pPr>
      <w:r>
        <w:rPr>
          <w:rFonts w:hint="eastAsia" w:ascii="宋体" w:hAnsi="宋体" w:cs="宋体"/>
          <w:bCs/>
          <w:color w:val="auto"/>
          <w:szCs w:val="24"/>
          <w:highlight w:val="none"/>
        </w:rPr>
        <w:t xml:space="preserve">质疑项目的编号：</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包号：</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u w:val="single"/>
        </w:rPr>
        <w:tab/>
      </w:r>
      <w:r>
        <w:rPr>
          <w:rFonts w:hint="eastAsia" w:ascii="宋体" w:hAnsi="宋体" w:cs="宋体"/>
          <w:bCs/>
          <w:color w:val="auto"/>
          <w:szCs w:val="24"/>
          <w:highlight w:val="none"/>
          <w:u w:val="single"/>
        </w:rPr>
        <w:tab/>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采购人名称：</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招标文件获取日期：</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三、质疑事项具体内容</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质疑事项1：</w:t>
      </w:r>
      <w:r>
        <w:rPr>
          <w:rFonts w:hint="eastAsia" w:ascii="宋体" w:hAnsi="宋体" w:cs="宋体"/>
          <w:bCs/>
          <w:color w:val="auto"/>
          <w:szCs w:val="24"/>
          <w:highlight w:val="none"/>
          <w:u w:val="single"/>
        </w:rPr>
        <w:t xml:space="preserve">                      </w:t>
      </w:r>
      <w:r/>
    </w:p>
    <w:p>
      <w:pPr>
        <w:pStyle w:val="901"/>
        <w:ind w:firstLine="480"/>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事实依据：</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法律依据：</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质疑事项2</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四、与质疑事项相关的质疑请求</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请求：</w:t>
      </w:r>
      <w:r>
        <w:rPr>
          <w:rFonts w:hint="eastAsia" w:ascii="宋体" w:hAnsi="宋体" w:cs="宋体"/>
          <w:bCs/>
          <w:color w:val="auto"/>
          <w:szCs w:val="24"/>
          <w:highlight w:val="none"/>
          <w:u w:val="single"/>
        </w:rPr>
        <w:t xml:space="preserve">                                               </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签字(签章)：                 公章：               日期：</w:t>
      </w:r>
      <w:r/>
    </w:p>
    <w:p>
      <w:pPr>
        <w:pStyle w:val="901"/>
        <w:ind w:firstLine="480"/>
        <w:jc w:val="both"/>
        <w:spacing w:beforeAutospacing="0" w:afterAutospacing="0" w:line="360" w:lineRule="exact"/>
        <w:rPr>
          <w:rFonts w:hint="eastAsia" w:ascii="宋体" w:hAnsi="宋体" w:cs="宋体"/>
          <w:bCs/>
          <w:color w:val="auto"/>
          <w:szCs w:val="24"/>
          <w:highlight w:val="none"/>
        </w:rPr>
      </w:pPr>
      <w:r>
        <w:rPr>
          <w:rFonts w:hint="eastAsia" w:ascii="宋体" w:hAnsi="宋体" w:cs="宋体"/>
          <w:bCs/>
          <w:color w:val="auto"/>
          <w:szCs w:val="24"/>
          <w:highlight w:val="none"/>
        </w:rPr>
        <w:t xml:space="preserve">质疑函制作说明：</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1.供应商提出质疑时，应提交质疑函和必要的证明材料。</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3.质疑供应商若对项目的某一分包进行质疑，质疑函中应列明具体分包号。</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4.质疑函的质疑事项应具体、明确，并有必要的事实依据和法律依据。</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5.质疑函的质疑请求应与质疑事项相关。</w:t>
      </w:r>
      <w:r/>
    </w:p>
    <w:p>
      <w:pPr>
        <w:pStyle w:val="901"/>
        <w:ind w:firstLine="200"/>
        <w:spacing w:beforeAutospacing="0" w:afterAutospacing="0" w:line="360" w:lineRule="exact"/>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7" w:h="16840" w:orient="portrait"/>
      <w:pgMar w:top="1457" w:right="1418" w:bottom="1457" w:left="1418" w:header="1134" w:footer="113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方正黑体_GBK">
    <w:panose1 w:val="020B0503020202020204"/>
  </w:font>
  <w:font w:name="楷体_GB2312">
    <w:panose1 w:val="02010609060101010101"/>
  </w:font>
  <w:font w:name="Symbol">
    <w:panose1 w:val="05050102010706020507"/>
  </w:font>
  <w:font w:name="MiSans Bold">
    <w:panose1 w:val="020B0503020202020204"/>
  </w:font>
  <w:font w:name="MiSans">
    <w:panose1 w:val="020B050302020202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222293"/>
      <w:rPr/>
    </w:sdtPr>
    <w:sdtContent>
      <w:sdt>
        <w:sdtPr>
          <w15:appearance w15:val="boundingBox"/>
          <w:id w:val="1728636285"/>
          <w:rPr/>
        </w:sdtPr>
        <w:sdtContent>
          <w:p>
            <w:pPr>
              <w:pStyle w:val="728"/>
              <w:jc w:val="center"/>
            </w:pPr>
            <w:r>
              <w:rPr>
                <w:rFonts w:ascii="宋体" w:hAnsi="宋体"/>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rPr>
              <w:t xml:space="preserve">43</w:t>
            </w:r>
            <w:r>
              <w:rPr>
                <w:rFonts w:ascii="宋体" w:hAnsi="宋体"/>
                <w:b/>
                <w:bCs/>
                <w:sz w:val="21"/>
                <w:szCs w:val="21"/>
              </w:rPr>
              <w:fldChar w:fldCharType="end"/>
            </w:r>
            <w:r>
              <w:rPr>
                <w:rFonts w:ascii="宋体" w:hAnsi="宋体"/>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rPr>
              <w:t xml:space="preserve">59</w:t>
            </w:r>
            <w:r>
              <w:rPr>
                <w:rFonts w:ascii="宋体" w:hAnsi="宋体"/>
                <w:b/>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713"/>
    <w:link w:val="704"/>
    <w:uiPriority w:val="9"/>
    <w:rPr>
      <w:rFonts w:ascii="Arial" w:hAnsi="Arial" w:eastAsia="Arial" w:cs="Arial"/>
      <w:sz w:val="40"/>
      <w:szCs w:val="40"/>
    </w:rPr>
  </w:style>
  <w:style w:type="character" w:styleId="672">
    <w:name w:val="Heading 4 Char"/>
    <w:basedOn w:val="713"/>
    <w:link w:val="707"/>
    <w:uiPriority w:val="9"/>
    <w:rPr>
      <w:rFonts w:ascii="Arial" w:hAnsi="Arial" w:eastAsia="Arial" w:cs="Arial"/>
      <w:b/>
      <w:bCs/>
      <w:sz w:val="26"/>
      <w:szCs w:val="26"/>
    </w:rPr>
  </w:style>
  <w:style w:type="character" w:styleId="673">
    <w:name w:val="Heading 5 Char"/>
    <w:basedOn w:val="713"/>
    <w:link w:val="708"/>
    <w:uiPriority w:val="9"/>
    <w:rPr>
      <w:rFonts w:ascii="Arial" w:hAnsi="Arial" w:eastAsia="Arial" w:cs="Arial"/>
      <w:b/>
      <w:bCs/>
      <w:sz w:val="24"/>
      <w:szCs w:val="24"/>
    </w:rPr>
  </w:style>
  <w:style w:type="character" w:styleId="674">
    <w:name w:val="Heading 6 Char"/>
    <w:basedOn w:val="713"/>
    <w:link w:val="709"/>
    <w:uiPriority w:val="9"/>
    <w:rPr>
      <w:rFonts w:ascii="Arial" w:hAnsi="Arial" w:eastAsia="Arial" w:cs="Arial"/>
      <w:b/>
      <w:bCs/>
      <w:sz w:val="22"/>
      <w:szCs w:val="22"/>
    </w:rPr>
  </w:style>
  <w:style w:type="character" w:styleId="675">
    <w:name w:val="Heading 7 Char"/>
    <w:basedOn w:val="713"/>
    <w:link w:val="710"/>
    <w:uiPriority w:val="9"/>
    <w:rPr>
      <w:rFonts w:ascii="Arial" w:hAnsi="Arial" w:eastAsia="Arial" w:cs="Arial"/>
      <w:b/>
      <w:bCs/>
      <w:i/>
      <w:iCs/>
      <w:sz w:val="22"/>
      <w:szCs w:val="22"/>
    </w:rPr>
  </w:style>
  <w:style w:type="character" w:styleId="676">
    <w:name w:val="Heading 8 Char"/>
    <w:basedOn w:val="713"/>
    <w:link w:val="711"/>
    <w:uiPriority w:val="9"/>
    <w:rPr>
      <w:rFonts w:ascii="Arial" w:hAnsi="Arial" w:eastAsia="Arial" w:cs="Arial"/>
      <w:i/>
      <w:iCs/>
      <w:sz w:val="22"/>
      <w:szCs w:val="22"/>
    </w:rPr>
  </w:style>
  <w:style w:type="character" w:styleId="677">
    <w:name w:val="Heading 9 Char"/>
    <w:basedOn w:val="713"/>
    <w:link w:val="712"/>
    <w:uiPriority w:val="9"/>
    <w:rPr>
      <w:rFonts w:ascii="Arial" w:hAnsi="Arial" w:eastAsia="Arial" w:cs="Arial"/>
      <w:i/>
      <w:iCs/>
      <w:sz w:val="21"/>
      <w:szCs w:val="21"/>
    </w:rPr>
  </w:style>
  <w:style w:type="character" w:styleId="678">
    <w:name w:val="Subtitle Char"/>
    <w:basedOn w:val="713"/>
    <w:link w:val="732"/>
    <w:uiPriority w:val="11"/>
    <w:rPr>
      <w:sz w:val="24"/>
      <w:szCs w:val="24"/>
    </w:rPr>
  </w:style>
  <w:style w:type="character" w:styleId="679">
    <w:name w:val="Quote Char"/>
    <w:link w:val="762"/>
    <w:uiPriority w:val="29"/>
    <w:rPr>
      <w:i/>
    </w:rPr>
  </w:style>
  <w:style w:type="character" w:styleId="680">
    <w:name w:val="Intense Quote Char"/>
    <w:link w:val="764"/>
    <w:uiPriority w:val="30"/>
    <w:rPr>
      <w:i/>
    </w:rPr>
  </w:style>
  <w:style w:type="table" w:styleId="681">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1">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2">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5">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9">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0">
    <w:name w:val="Footnote Text Char"/>
    <w:link w:val="733"/>
    <w:uiPriority w:val="99"/>
    <w:rPr>
      <w:sz w:val="18"/>
    </w:rPr>
  </w:style>
  <w:style w:type="character" w:styleId="701">
    <w:name w:val="Endnote Text Char"/>
    <w:link w:val="726"/>
    <w:uiPriority w:val="99"/>
    <w:rPr>
      <w:sz w:val="20"/>
    </w:rPr>
  </w:style>
  <w:style w:type="paragraph" w:styleId="702">
    <w:name w:val="TOC Heading"/>
    <w:uiPriority w:val="39"/>
    <w:unhideWhenUsed/>
  </w:style>
  <w:style w:type="paragraph" w:styleId="703"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704">
    <w:name w:val="Heading 1"/>
    <w:basedOn w:val="703"/>
    <w:next w:val="703"/>
    <w:link w:val="750"/>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0"/>
    <w:semiHidden/>
    <w:unhideWhenUsed/>
    <w:qFormat/>
    <w:pPr>
      <w:jc w:val="left"/>
      <w:spacing w:beforeAutospacing="1" w:afterAutospacing="1"/>
      <w:outlineLvl w:val="1"/>
    </w:pPr>
    <w:rPr>
      <w:rFonts w:hint="eastAsia" w:ascii="宋体" w:hAnsi="宋体"/>
      <w:b/>
      <w:bCs/>
      <w:sz w:val="36"/>
      <w:szCs w:val="36"/>
    </w:rPr>
  </w:style>
  <w:style w:type="paragraph" w:styleId="706">
    <w:name w:val="Heading 3"/>
    <w:basedOn w:val="703"/>
    <w:next w:val="703"/>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5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4"/>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5"/>
    <w:uiPriority w:val="9"/>
    <w:unhideWhenUsed/>
    <w:qFormat/>
    <w:pPr>
      <w:keepLines/>
      <w:keepNext/>
      <w:spacing w:before="320" w:after="200"/>
      <w:outlineLvl w:val="5"/>
    </w:pPr>
    <w:rPr>
      <w:rFonts w:ascii="Arial" w:hAnsi="Arial" w:eastAsia="Arial" w:cs="Arial"/>
      <w:b/>
      <w:bCs/>
      <w:sz w:val="22"/>
    </w:rPr>
  </w:style>
  <w:style w:type="paragraph" w:styleId="710">
    <w:name w:val="Heading 7"/>
    <w:basedOn w:val="703"/>
    <w:next w:val="703"/>
    <w:link w:val="756"/>
    <w:uiPriority w:val="9"/>
    <w:unhideWhenUsed/>
    <w:qFormat/>
    <w:pPr>
      <w:keepLines/>
      <w:keepNext/>
      <w:spacing w:before="320" w:after="200"/>
      <w:outlineLvl w:val="6"/>
    </w:pPr>
    <w:rPr>
      <w:rFonts w:ascii="Arial" w:hAnsi="Arial" w:eastAsia="Arial" w:cs="Arial"/>
      <w:b/>
      <w:bCs/>
      <w:i/>
      <w:iCs/>
      <w:sz w:val="22"/>
    </w:rPr>
  </w:style>
  <w:style w:type="paragraph" w:styleId="711">
    <w:name w:val="Heading 8"/>
    <w:basedOn w:val="703"/>
    <w:next w:val="703"/>
    <w:link w:val="757"/>
    <w:uiPriority w:val="9"/>
    <w:unhideWhenUsed/>
    <w:qFormat/>
    <w:pPr>
      <w:keepLines/>
      <w:keepNext/>
      <w:spacing w:before="320" w:after="200"/>
      <w:outlineLvl w:val="7"/>
    </w:pPr>
    <w:rPr>
      <w:rFonts w:ascii="Arial" w:hAnsi="Arial" w:eastAsia="Arial" w:cs="Arial"/>
      <w:i/>
      <w:iCs/>
      <w:sz w:val="22"/>
    </w:rPr>
  </w:style>
  <w:style w:type="paragraph" w:styleId="712">
    <w:name w:val="Heading 9"/>
    <w:basedOn w:val="703"/>
    <w:next w:val="703"/>
    <w:link w:val="758"/>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table of authorities"/>
    <w:basedOn w:val="703"/>
    <w:next w:val="703"/>
    <w:uiPriority w:val="99"/>
    <w:qFormat/>
    <w:pPr>
      <w:ind w:firstLine="420"/>
      <w:spacing w:line="460" w:lineRule="exact"/>
    </w:pPr>
    <w:rPr>
      <w:rFonts w:ascii="宋体" w:hAnsi="宋体" w:cs="宋体"/>
      <w:sz w:val="24"/>
      <w:szCs w:val="24"/>
    </w:rPr>
  </w:style>
  <w:style w:type="paragraph" w:styleId="717">
    <w:name w:val="Normal Indent"/>
    <w:basedOn w:val="703"/>
    <w:link w:val="918"/>
    <w:uiPriority w:val="0"/>
    <w:qFormat/>
    <w:pPr>
      <w:ind w:firstLine="420"/>
    </w:pPr>
  </w:style>
  <w:style w:type="paragraph" w:styleId="718">
    <w:name w:val="Caption"/>
    <w:basedOn w:val="703"/>
    <w:next w:val="70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9">
    <w:name w:val="annotation text"/>
    <w:basedOn w:val="703"/>
    <w:link w:val="931"/>
    <w:uiPriority w:val="99"/>
    <w:unhideWhenUsed/>
    <w:qFormat/>
    <w:pPr>
      <w:jc w:val="left"/>
    </w:pPr>
  </w:style>
  <w:style w:type="paragraph" w:styleId="720">
    <w:name w:val="Body Text"/>
    <w:basedOn w:val="703"/>
    <w:next w:val="703"/>
    <w:link w:val="915"/>
    <w:uiPriority w:val="0"/>
    <w:qFormat/>
    <w:pPr>
      <w:spacing w:after="120"/>
    </w:pPr>
  </w:style>
  <w:style w:type="paragraph" w:styleId="721">
    <w:name w:val="Body Text Indent"/>
    <w:basedOn w:val="703"/>
    <w:link w:val="934"/>
    <w:uiPriority w:val="99"/>
    <w:semiHidden/>
    <w:unhideWhenUsed/>
    <w:qFormat/>
    <w:pPr>
      <w:ind w:left="420"/>
      <w:spacing w:after="120"/>
    </w:pPr>
  </w:style>
  <w:style w:type="paragraph" w:styleId="722">
    <w:name w:val="toc 5"/>
    <w:basedOn w:val="703"/>
    <w:next w:val="703"/>
    <w:uiPriority w:val="39"/>
    <w:unhideWhenUsed/>
    <w:qFormat/>
    <w:pPr>
      <w:ind w:left="1134"/>
      <w:spacing w:after="57"/>
    </w:pPr>
  </w:style>
  <w:style w:type="paragraph" w:styleId="723">
    <w:name w:val="toc 3"/>
    <w:basedOn w:val="703"/>
    <w:next w:val="703"/>
    <w:uiPriority w:val="39"/>
    <w:unhideWhenUsed/>
    <w:qFormat/>
    <w:pPr>
      <w:ind w:left="567"/>
      <w:spacing w:after="57"/>
    </w:pPr>
  </w:style>
  <w:style w:type="paragraph" w:styleId="724">
    <w:name w:val="Plain Text"/>
    <w:basedOn w:val="703"/>
    <w:link w:val="917"/>
    <w:uiPriority w:val="0"/>
    <w:qFormat/>
    <w:rPr>
      <w:rFonts w:ascii="宋体" w:hAnsi="Courier New"/>
      <w:sz w:val="21"/>
      <w:szCs w:val="20"/>
    </w:rPr>
  </w:style>
  <w:style w:type="paragraph" w:styleId="725">
    <w:name w:val="toc 8"/>
    <w:basedOn w:val="703"/>
    <w:next w:val="703"/>
    <w:uiPriority w:val="39"/>
    <w:unhideWhenUsed/>
    <w:qFormat/>
    <w:pPr>
      <w:ind w:left="1984"/>
      <w:spacing w:after="57"/>
    </w:pPr>
    <w:rPr>
      <w:sz w:val="21"/>
      <w:szCs w:val="24"/>
    </w:rPr>
  </w:style>
  <w:style w:type="paragraph" w:styleId="726">
    <w:name w:val="endnote text"/>
    <w:basedOn w:val="703"/>
    <w:link w:val="895"/>
    <w:uiPriority w:val="99"/>
    <w:semiHidden/>
    <w:unhideWhenUsed/>
    <w:qFormat/>
    <w:rPr>
      <w:sz w:val="20"/>
    </w:rPr>
  </w:style>
  <w:style w:type="paragraph" w:styleId="727">
    <w:name w:val="Balloon Text"/>
    <w:basedOn w:val="703"/>
    <w:link w:val="937"/>
    <w:uiPriority w:val="99"/>
    <w:semiHidden/>
    <w:unhideWhenUsed/>
    <w:qFormat/>
    <w:rPr>
      <w:sz w:val="18"/>
      <w:szCs w:val="18"/>
    </w:rPr>
  </w:style>
  <w:style w:type="paragraph" w:styleId="728">
    <w:name w:val="Footer"/>
    <w:basedOn w:val="703"/>
    <w:link w:val="914"/>
    <w:uiPriority w:val="99"/>
    <w:unhideWhenUsed/>
    <w:qFormat/>
    <w:pPr>
      <w:tabs>
        <w:tab w:val="center" w:pos="7143" w:leader="none"/>
        <w:tab w:val="right" w:pos="14287" w:leader="none"/>
      </w:tabs>
    </w:pPr>
  </w:style>
  <w:style w:type="paragraph" w:styleId="729">
    <w:name w:val="Header"/>
    <w:basedOn w:val="703"/>
    <w:uiPriority w:val="99"/>
    <w:unhideWhenUsed/>
    <w:qFormat/>
    <w:pPr>
      <w:tabs>
        <w:tab w:val="center" w:pos="7143" w:leader="none"/>
        <w:tab w:val="right" w:pos="14287" w:leader="none"/>
      </w:tabs>
    </w:pPr>
  </w:style>
  <w:style w:type="paragraph" w:styleId="730">
    <w:name w:val="toc 1"/>
    <w:basedOn w:val="703"/>
    <w:next w:val="703"/>
    <w:uiPriority w:val="39"/>
    <w:unhideWhenUsed/>
    <w:qFormat/>
    <w:pPr>
      <w:spacing w:after="57"/>
    </w:pPr>
  </w:style>
  <w:style w:type="paragraph" w:styleId="731">
    <w:name w:val="toc 4"/>
    <w:basedOn w:val="703"/>
    <w:next w:val="703"/>
    <w:uiPriority w:val="39"/>
    <w:unhideWhenUsed/>
    <w:qFormat/>
    <w:pPr>
      <w:ind w:left="850"/>
      <w:spacing w:after="57"/>
    </w:pPr>
  </w:style>
  <w:style w:type="paragraph" w:styleId="732">
    <w:name w:val="Subtitle"/>
    <w:basedOn w:val="703"/>
    <w:next w:val="703"/>
    <w:link w:val="761"/>
    <w:uiPriority w:val="11"/>
    <w:qFormat/>
    <w:pPr>
      <w:spacing w:before="200" w:after="200"/>
    </w:pPr>
    <w:rPr>
      <w:sz w:val="24"/>
      <w:szCs w:val="24"/>
    </w:rPr>
  </w:style>
  <w:style w:type="paragraph" w:styleId="733">
    <w:name w:val="footnote text"/>
    <w:basedOn w:val="703"/>
    <w:link w:val="894"/>
    <w:uiPriority w:val="99"/>
    <w:semiHidden/>
    <w:unhideWhenUsed/>
    <w:qFormat/>
    <w:pPr>
      <w:spacing w:after="40"/>
    </w:pPr>
    <w:rPr>
      <w:sz w:val="18"/>
    </w:rPr>
  </w:style>
  <w:style w:type="paragraph" w:styleId="734">
    <w:name w:val="toc 6"/>
    <w:basedOn w:val="703"/>
    <w:next w:val="703"/>
    <w:uiPriority w:val="39"/>
    <w:unhideWhenUsed/>
    <w:qFormat/>
    <w:pPr>
      <w:ind w:left="1417"/>
      <w:spacing w:after="57"/>
    </w:pPr>
  </w:style>
  <w:style w:type="paragraph" w:styleId="735">
    <w:name w:val="Body Text Indent 3"/>
    <w:basedOn w:val="703"/>
    <w:uiPriority w:val="0"/>
    <w:qFormat/>
    <w:pPr>
      <w:ind w:left="645" w:firstLine="645"/>
    </w:pPr>
    <w:rPr>
      <w:rFonts w:ascii="Arial" w:hAnsi="Arial" w:eastAsia="仿宋_GB2312" w:cs="Arial"/>
      <w:color w:val="ffff00"/>
      <w:sz w:val="32"/>
      <w:szCs w:val="32"/>
    </w:rPr>
  </w:style>
  <w:style w:type="paragraph" w:styleId="736">
    <w:name w:val="table of figures"/>
    <w:basedOn w:val="703"/>
    <w:next w:val="703"/>
    <w:uiPriority w:val="99"/>
    <w:unhideWhenUsed/>
    <w:qFormat/>
  </w:style>
  <w:style w:type="paragraph" w:styleId="737">
    <w:name w:val="toc 2"/>
    <w:basedOn w:val="703"/>
    <w:next w:val="703"/>
    <w:uiPriority w:val="39"/>
    <w:unhideWhenUsed/>
    <w:qFormat/>
    <w:pPr>
      <w:ind w:left="283"/>
      <w:spacing w:after="57"/>
    </w:pPr>
  </w:style>
  <w:style w:type="paragraph" w:styleId="738">
    <w:name w:val="toc 9"/>
    <w:basedOn w:val="703"/>
    <w:next w:val="703"/>
    <w:uiPriority w:val="39"/>
    <w:unhideWhenUsed/>
    <w:qFormat/>
    <w:pPr>
      <w:ind w:left="2268"/>
      <w:spacing w:after="57"/>
    </w:pPr>
  </w:style>
  <w:style w:type="paragraph" w:styleId="739">
    <w:name w:val="Normal (Web)"/>
    <w:basedOn w:val="703"/>
    <w:link w:val="933"/>
    <w:uiPriority w:val="0"/>
    <w:unhideWhenUsed/>
    <w:qFormat/>
    <w:pPr>
      <w:jc w:val="left"/>
      <w:spacing w:before="100" w:beforeAutospacing="1" w:after="100" w:afterAutospacing="1"/>
      <w:widowControl/>
    </w:pPr>
    <w:rPr>
      <w:rFonts w:ascii="宋体" w:hAnsi="宋体" w:cs="宋体"/>
      <w:sz w:val="24"/>
    </w:rPr>
  </w:style>
  <w:style w:type="paragraph" w:styleId="740">
    <w:name w:val="Title"/>
    <w:basedOn w:val="703"/>
    <w:next w:val="703"/>
    <w:uiPriority w:val="99"/>
    <w:qFormat/>
    <w:pPr>
      <w:jc w:val="center"/>
      <w:pBdr>
        <w:top w:val="none" w:color="auto" w:sz="0" w:space="1"/>
        <w:left w:val="none" w:color="auto" w:sz="0" w:space="4"/>
        <w:bottom w:val="none" w:color="B92D07" w:sz="0" w:space="1"/>
        <w:right w:val="none" w:color="auto" w:sz="0" w:space="4"/>
      </w:pBdr>
      <w:outlineLvl w:val="0"/>
    </w:pPr>
    <w:rPr>
      <w:rFonts w:ascii="MiSans" w:hAnsi="MiSans" w:eastAsia="MiSans" w:cs="MiSans Bold"/>
      <w:b/>
      <w:sz w:val="72"/>
      <w:szCs w:val="72"/>
    </w:rPr>
  </w:style>
  <w:style w:type="paragraph" w:styleId="741">
    <w:name w:val="annotation subject"/>
    <w:basedOn w:val="719"/>
    <w:next w:val="719"/>
    <w:link w:val="932"/>
    <w:uiPriority w:val="99"/>
    <w:semiHidden/>
    <w:unhideWhenUsed/>
    <w:qFormat/>
    <w:rPr>
      <w:b/>
      <w:bCs/>
    </w:rPr>
  </w:style>
  <w:style w:type="paragraph" w:styleId="742">
    <w:name w:val="Body Text First Indent"/>
    <w:basedOn w:val="720"/>
    <w:link w:val="916"/>
    <w:uiPriority w:val="0"/>
    <w:qFormat/>
    <w:pPr>
      <w:ind w:firstLine="420"/>
    </w:pPr>
  </w:style>
  <w:style w:type="paragraph" w:styleId="743">
    <w:name w:val="Body Text First Indent 2"/>
    <w:basedOn w:val="721"/>
    <w:link w:val="935"/>
    <w:uiPriority w:val="99"/>
    <w:unhideWhenUsed/>
    <w:qFormat/>
    <w:pPr>
      <w:ind w:firstLine="420"/>
    </w:p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3"/>
    <w:uiPriority w:val="22"/>
    <w:qFormat/>
    <w:rPr>
      <w:b/>
    </w:rPr>
  </w:style>
  <w:style w:type="character" w:styleId="746">
    <w:name w:val="endnote reference"/>
    <w:basedOn w:val="713"/>
    <w:uiPriority w:val="99"/>
    <w:semiHidden/>
    <w:unhideWhenUsed/>
    <w:qFormat/>
    <w:rPr>
      <w:vertAlign w:val="superscript"/>
    </w:rPr>
  </w:style>
  <w:style w:type="character" w:styleId="747">
    <w:name w:val="Hyperlink"/>
    <w:basedOn w:val="713"/>
    <w:uiPriority w:val="0"/>
    <w:qFormat/>
    <w:rPr>
      <w:color w:val="0026e5" w:themeColor="hyperlink"/>
      <w:u w:val="single"/>
      <w14:textFill>
        <w14:solidFill>
          <w14:schemeClr w14:val="hlink"/>
        </w14:solidFill>
      </w14:textFill>
    </w:rPr>
  </w:style>
  <w:style w:type="character" w:styleId="748">
    <w:name w:val="annotation reference"/>
    <w:basedOn w:val="713"/>
    <w:uiPriority w:val="99"/>
    <w:semiHidden/>
    <w:unhideWhenUsed/>
    <w:qFormat/>
    <w:rPr>
      <w:sz w:val="21"/>
      <w:szCs w:val="21"/>
    </w:rPr>
  </w:style>
  <w:style w:type="character" w:styleId="749">
    <w:name w:val="footnote reference"/>
    <w:basedOn w:val="713"/>
    <w:uiPriority w:val="99"/>
    <w:unhideWhenUsed/>
    <w:qFormat/>
    <w:rPr>
      <w:vertAlign w:val="superscript"/>
    </w:rPr>
  </w:style>
  <w:style w:type="character" w:styleId="750" w:customStyle="1">
    <w:name w:val="标题 1 字符"/>
    <w:basedOn w:val="713"/>
    <w:link w:val="704"/>
    <w:uiPriority w:val="9"/>
    <w:qFormat/>
    <w:rPr>
      <w:rFonts w:ascii="Arial" w:hAnsi="Arial" w:eastAsia="Arial" w:cs="Arial"/>
      <w:sz w:val="40"/>
      <w:szCs w:val="40"/>
    </w:rPr>
  </w:style>
  <w:style w:type="character" w:styleId="751" w:customStyle="1">
    <w:name w:val="Heading 2 Char"/>
    <w:basedOn w:val="713"/>
    <w:uiPriority w:val="9"/>
    <w:qFormat/>
    <w:rPr>
      <w:rFonts w:ascii="Arial" w:hAnsi="Arial" w:eastAsia="Arial" w:cs="Arial"/>
      <w:sz w:val="34"/>
    </w:rPr>
  </w:style>
  <w:style w:type="character" w:styleId="752" w:customStyle="1">
    <w:name w:val="Heading 3 Char"/>
    <w:basedOn w:val="713"/>
    <w:uiPriority w:val="9"/>
    <w:qFormat/>
    <w:rPr>
      <w:rFonts w:ascii="Arial" w:hAnsi="Arial" w:eastAsia="Arial" w:cs="Arial"/>
      <w:sz w:val="30"/>
      <w:szCs w:val="30"/>
    </w:rPr>
  </w:style>
  <w:style w:type="character" w:styleId="753" w:customStyle="1">
    <w:name w:val="标题 4 字符"/>
    <w:basedOn w:val="713"/>
    <w:link w:val="707"/>
    <w:uiPriority w:val="9"/>
    <w:qFormat/>
    <w:rPr>
      <w:rFonts w:ascii="Arial" w:hAnsi="Arial" w:eastAsia="Arial" w:cs="Arial"/>
      <w:b/>
      <w:bCs/>
      <w:sz w:val="26"/>
      <w:szCs w:val="26"/>
    </w:rPr>
  </w:style>
  <w:style w:type="character" w:styleId="754" w:customStyle="1">
    <w:name w:val="标题 5 字符"/>
    <w:basedOn w:val="713"/>
    <w:link w:val="708"/>
    <w:uiPriority w:val="9"/>
    <w:qFormat/>
    <w:rPr>
      <w:rFonts w:ascii="Arial" w:hAnsi="Arial" w:eastAsia="Arial" w:cs="Arial"/>
      <w:b/>
      <w:bCs/>
      <w:sz w:val="24"/>
      <w:szCs w:val="24"/>
    </w:rPr>
  </w:style>
  <w:style w:type="character" w:styleId="755" w:customStyle="1">
    <w:name w:val="标题 6 字符"/>
    <w:basedOn w:val="713"/>
    <w:link w:val="709"/>
    <w:uiPriority w:val="9"/>
    <w:qFormat/>
    <w:rPr>
      <w:rFonts w:ascii="Arial" w:hAnsi="Arial" w:eastAsia="Arial" w:cs="Arial"/>
      <w:b/>
      <w:bCs/>
      <w:sz w:val="22"/>
      <w:szCs w:val="22"/>
    </w:rPr>
  </w:style>
  <w:style w:type="character" w:styleId="756" w:customStyle="1">
    <w:name w:val="标题 7 字符"/>
    <w:basedOn w:val="713"/>
    <w:link w:val="710"/>
    <w:uiPriority w:val="9"/>
    <w:qFormat/>
    <w:rPr>
      <w:rFonts w:ascii="Arial" w:hAnsi="Arial" w:eastAsia="Arial" w:cs="Arial"/>
      <w:b/>
      <w:bCs/>
      <w:i/>
      <w:iCs/>
      <w:sz w:val="22"/>
      <w:szCs w:val="22"/>
    </w:rPr>
  </w:style>
  <w:style w:type="character" w:styleId="757" w:customStyle="1">
    <w:name w:val="标题 8 字符"/>
    <w:basedOn w:val="713"/>
    <w:link w:val="711"/>
    <w:uiPriority w:val="9"/>
    <w:qFormat/>
    <w:rPr>
      <w:rFonts w:ascii="Arial" w:hAnsi="Arial" w:eastAsia="Arial" w:cs="Arial"/>
      <w:i/>
      <w:iCs/>
      <w:sz w:val="22"/>
      <w:szCs w:val="22"/>
    </w:rPr>
  </w:style>
  <w:style w:type="character" w:styleId="758" w:customStyle="1">
    <w:name w:val="标题 9 字符"/>
    <w:basedOn w:val="713"/>
    <w:link w:val="712"/>
    <w:uiPriority w:val="9"/>
    <w:qFormat/>
    <w:rPr>
      <w:rFonts w:ascii="Arial" w:hAnsi="Arial" w:eastAsia="Arial" w:cs="Arial"/>
      <w:i/>
      <w:iCs/>
      <w:sz w:val="21"/>
      <w:szCs w:val="21"/>
    </w:rPr>
  </w:style>
  <w:style w:type="paragraph" w:styleId="759">
    <w:name w:val="No Spacing"/>
    <w:uiPriority w:val="1"/>
    <w:qFormat/>
    <w:rPr>
      <w:rFonts w:asciiTheme="minorHAnsi" w:hAnsiTheme="minorHAnsi" w:eastAsiaTheme="minorEastAsia" w:cstheme="minorBidi"/>
      <w:lang w:val="en-US" w:eastAsia="zh-CN" w:bidi="ar-SA"/>
    </w:rPr>
  </w:style>
  <w:style w:type="character" w:styleId="760" w:customStyle="1">
    <w:name w:val="Title Char"/>
    <w:basedOn w:val="713"/>
    <w:uiPriority w:val="10"/>
    <w:qFormat/>
    <w:rPr>
      <w:sz w:val="48"/>
      <w:szCs w:val="48"/>
    </w:rPr>
  </w:style>
  <w:style w:type="character" w:styleId="761" w:customStyle="1">
    <w:name w:val="副标题 字符"/>
    <w:basedOn w:val="713"/>
    <w:link w:val="732"/>
    <w:uiPriority w:val="11"/>
    <w:qFormat/>
    <w:rPr>
      <w:sz w:val="24"/>
      <w:szCs w:val="24"/>
    </w:rPr>
  </w:style>
  <w:style w:type="paragraph" w:styleId="762">
    <w:name w:val="Quote"/>
    <w:basedOn w:val="703"/>
    <w:next w:val="703"/>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703"/>
    <w:next w:val="703"/>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Header Char"/>
    <w:basedOn w:val="713"/>
    <w:uiPriority w:val="99"/>
    <w:qFormat/>
  </w:style>
  <w:style w:type="character" w:styleId="767" w:customStyle="1">
    <w:name w:val="Footer Char"/>
    <w:basedOn w:val="713"/>
    <w:uiPriority w:val="99"/>
    <w:qFormat/>
  </w:style>
  <w:style w:type="character" w:styleId="768" w:customStyle="1">
    <w:name w:val="Caption Char"/>
    <w:uiPriority w:val="99"/>
    <w:qFormat/>
  </w:style>
  <w:style w:type="table" w:styleId="769"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1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1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1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1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1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1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1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1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1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1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1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1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9"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1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1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1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1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1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1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1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8" w:customStyle="1">
    <w:name w:val="Grid Table 4 - Accent 2"/>
    <w:basedOn w:val="71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9" w:customStyle="1">
    <w:name w:val="Grid Table 4 - Accent 3"/>
    <w:basedOn w:val="71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0" w:customStyle="1">
    <w:name w:val="Grid Table 4 - Accent 4"/>
    <w:basedOn w:val="71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1" w:customStyle="1">
    <w:name w:val="Grid Table 4 - Accent 5"/>
    <w:basedOn w:val="71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2" w:customStyle="1">
    <w:name w:val="Grid Table 4 - Accent 6"/>
    <w:basedOn w:val="71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3"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5"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6"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7"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8"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9"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0"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1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1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1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14" w:customStyle="1">
    <w:name w:val="Grid Table 6 Colorful - Accent 4"/>
    <w:basedOn w:val="71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1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6" w:customStyle="1">
    <w:name w:val="Grid Table 6 Colorful - Accent 6"/>
    <w:basedOn w:val="71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7"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1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1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1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1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1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1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1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1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1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1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1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1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1"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1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3" w:customStyle="1">
    <w:name w:val="List Table 2 - Accent 2"/>
    <w:basedOn w:val="71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4" w:customStyle="1">
    <w:name w:val="List Table 2 - Accent 3"/>
    <w:basedOn w:val="71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5" w:customStyle="1">
    <w:name w:val="List Table 2 - Accent 4"/>
    <w:basedOn w:val="71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6" w:customStyle="1">
    <w:name w:val="List Table 2 - Accent 5"/>
    <w:basedOn w:val="71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7" w:customStyle="1">
    <w:name w:val="List Table 2 - Accent 6"/>
    <w:basedOn w:val="71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8"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1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0" w:customStyle="1">
    <w:name w:val="List Table 3 - Accent 2"/>
    <w:basedOn w:val="71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1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1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1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1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5"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1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7" w:customStyle="1">
    <w:name w:val="List Table 4 - Accent 2"/>
    <w:basedOn w:val="71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8" w:customStyle="1">
    <w:name w:val="List Table 4 - Accent 3"/>
    <w:basedOn w:val="71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9" w:customStyle="1">
    <w:name w:val="List Table 4 - Accent 4"/>
    <w:basedOn w:val="71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0" w:customStyle="1">
    <w:name w:val="List Table 4 - Accent 5"/>
    <w:basedOn w:val="71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1" w:customStyle="1">
    <w:name w:val="List Table 4 - Accent 6"/>
    <w:basedOn w:val="71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2"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1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1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1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1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1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1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1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1" w:customStyle="1">
    <w:name w:val="List Table 6 Colorful - Accent 2"/>
    <w:basedOn w:val="71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2" w:customStyle="1">
    <w:name w:val="List Table 6 Colorful - Accent 3"/>
    <w:basedOn w:val="71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3" w:customStyle="1">
    <w:name w:val="List Table 6 Colorful - Accent 4"/>
    <w:basedOn w:val="71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4" w:customStyle="1">
    <w:name w:val="List Table 6 Colorful - Accent 5"/>
    <w:basedOn w:val="71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5" w:customStyle="1">
    <w:name w:val="List Table 6 Colorful - Accent 6"/>
    <w:basedOn w:val="71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6"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1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1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1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1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1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1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5"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6"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7"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8"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9"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0"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1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2" w:customStyle="1">
    <w:name w:val="Bordered &amp; Lined - Accent 2"/>
    <w:basedOn w:val="71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3" w:customStyle="1">
    <w:name w:val="Bordered &amp; Lined - Accent 3"/>
    <w:basedOn w:val="71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4" w:customStyle="1">
    <w:name w:val="Bordered &amp; Lined - Accent 4"/>
    <w:basedOn w:val="71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5" w:customStyle="1">
    <w:name w:val="Bordered &amp; Lined - Accent 5"/>
    <w:basedOn w:val="71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6" w:customStyle="1">
    <w:name w:val="Bordered &amp; Lined - Accent 6"/>
    <w:basedOn w:val="71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7"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1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9" w:customStyle="1">
    <w:name w:val="Bordered - Accent 2"/>
    <w:basedOn w:val="71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0" w:customStyle="1">
    <w:name w:val="Bordered - Accent 3"/>
    <w:basedOn w:val="71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1" w:customStyle="1">
    <w:name w:val="Bordered - Accent 4"/>
    <w:basedOn w:val="71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2" w:customStyle="1">
    <w:name w:val="Bordered - Accent 5"/>
    <w:basedOn w:val="71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3" w:customStyle="1">
    <w:name w:val="Bordered - Accent 6"/>
    <w:basedOn w:val="71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4" w:customStyle="1">
    <w:name w:val="脚注文本 字符"/>
    <w:link w:val="733"/>
    <w:uiPriority w:val="99"/>
    <w:qFormat/>
    <w:rPr>
      <w:sz w:val="18"/>
    </w:rPr>
  </w:style>
  <w:style w:type="character" w:styleId="895" w:customStyle="1">
    <w:name w:val="尾注文本 字符"/>
    <w:link w:val="726"/>
    <w:uiPriority w:val="99"/>
    <w:qFormat/>
    <w:rPr>
      <w:sz w:val="20"/>
    </w:rPr>
  </w:style>
  <w:style w:type="paragraph" w:styleId="896" w:customStyle="1">
    <w:name w:val="TOC 标题1"/>
    <w:uiPriority w:val="39"/>
    <w:unhideWhenUsed/>
    <w:qFormat/>
    <w:rPr>
      <w:rFonts w:asciiTheme="minorHAnsi" w:hAnsiTheme="minorHAnsi" w:eastAsiaTheme="minorEastAsia" w:cstheme="minorBidi"/>
      <w:lang w:val="en-US" w:eastAsia="zh-CN" w:bidi="ar-SA"/>
    </w:rPr>
  </w:style>
  <w:style w:type="paragraph" w:styleId="897" w:customStyle="1">
    <w:name w:val="普通正文"/>
    <w:basedOn w:val="703"/>
    <w:uiPriority w:val="0"/>
    <w:qFormat/>
    <w:pPr>
      <w:ind w:firstLine="480"/>
      <w:jc w:val="left"/>
      <w:spacing w:before="120" w:after="120" w:line="360" w:lineRule="auto"/>
    </w:pPr>
    <w:rPr>
      <w:rFonts w:ascii="Arial" w:hAnsi="Arial"/>
      <w:sz w:val="24"/>
      <w:szCs w:val="24"/>
    </w:rPr>
  </w:style>
  <w:style w:type="paragraph" w:styleId="898" w:customStyle="1">
    <w:name w:val="标题 31"/>
    <w:basedOn w:val="703"/>
    <w:next w:val="899"/>
    <w:uiPriority w:val="99"/>
    <w:qFormat/>
    <w:pPr>
      <w:ind w:firstLine="137"/>
      <w:keepLines/>
      <w:keepNext/>
      <w:spacing w:line="415" w:lineRule="auto"/>
      <w:outlineLvl w:val="2"/>
    </w:pPr>
    <w:rPr>
      <w:rFonts w:hAnsi="黑体" w:eastAsia="黑体"/>
      <w:sz w:val="24"/>
      <w:szCs w:val="20"/>
    </w:rPr>
  </w:style>
  <w:style w:type="paragraph" w:styleId="899" w:customStyle="1">
    <w:name w:val="正文缩进1"/>
    <w:basedOn w:val="703"/>
    <w:uiPriority w:val="99"/>
    <w:unhideWhenUsed/>
    <w:qFormat/>
    <w:pPr>
      <w:ind w:firstLine="420"/>
      <w:jc w:val="left"/>
    </w:pPr>
    <w:rPr>
      <w:rFonts w:ascii="宋体"/>
      <w:sz w:val="24"/>
    </w:rPr>
  </w:style>
  <w:style w:type="paragraph" w:styleId="900" w:customStyle="1">
    <w:name w:val="标题 41"/>
    <w:basedOn w:val="703"/>
    <w:next w:val="899"/>
    <w:uiPriority w:val="0"/>
    <w:qFormat/>
    <w:pPr>
      <w:keepLines/>
      <w:keepNext/>
      <w:spacing w:before="280" w:after="290" w:line="376" w:lineRule="auto"/>
      <w:outlineLvl w:val="3"/>
    </w:pPr>
    <w:rPr>
      <w:rFonts w:ascii="Arial" w:hAnsi="Arial" w:eastAsia="黑体" w:cs="Arial"/>
      <w:b/>
      <w:bCs/>
      <w:szCs w:val="28"/>
    </w:rPr>
  </w:style>
  <w:style w:type="paragraph" w:styleId="901" w:customStyle="1">
    <w:name w:val="普通(网站)112"/>
    <w:basedOn w:val="703"/>
    <w:uiPriority w:val="0"/>
    <w:qFormat/>
    <w:pPr>
      <w:jc w:val="left"/>
      <w:spacing w:beforeAutospacing="1" w:afterAutospacing="1"/>
    </w:pPr>
    <w:rPr>
      <w:sz w:val="24"/>
    </w:rPr>
  </w:style>
  <w:style w:type="paragraph" w:styleId="902" w:customStyle="1">
    <w:name w:val="正文首行缩进 21"/>
    <w:basedOn w:val="903"/>
    <w:uiPriority w:val="99"/>
    <w:qFormat/>
    <w:pPr>
      <w:ind w:firstLine="420"/>
      <w:spacing w:line="360" w:lineRule="auto"/>
    </w:pPr>
    <w:rPr>
      <w:rFonts w:ascii="宋体" w:hAnsi="宋体" w:eastAsia="宋体"/>
      <w:sz w:val="21"/>
      <w:szCs w:val="20"/>
    </w:rPr>
  </w:style>
  <w:style w:type="paragraph" w:styleId="903" w:customStyle="1">
    <w:name w:val="正文文本缩进1"/>
    <w:basedOn w:val="703"/>
    <w:uiPriority w:val="99"/>
    <w:qFormat/>
    <w:pPr>
      <w:ind w:firstLine="645"/>
    </w:pPr>
    <w:rPr>
      <w:rFonts w:ascii="楷体_GB2312" w:eastAsia="楷体_GB2312"/>
      <w:sz w:val="32"/>
      <w:szCs w:val="32"/>
    </w:rPr>
  </w:style>
  <w:style w:type="character" w:styleId="904" w:customStyle="1">
    <w:name w:val="ant-tree-switcher6"/>
    <w:uiPriority w:val="0"/>
    <w:qFormat/>
  </w:style>
  <w:style w:type="paragraph" w:styleId="905" w:customStyle="1">
    <w:name w:val="标题 11"/>
    <w:basedOn w:val="703"/>
    <w:next w:val="703"/>
    <w:uiPriority w:val="0"/>
    <w:qFormat/>
    <w:pPr>
      <w:keepLines/>
      <w:keepNext/>
      <w:spacing w:before="340" w:after="330" w:line="578" w:lineRule="auto"/>
      <w:outlineLvl w:val="0"/>
    </w:pPr>
    <w:rPr>
      <w:b/>
      <w:bCs/>
      <w:sz w:val="44"/>
      <w:szCs w:val="44"/>
    </w:rPr>
  </w:style>
  <w:style w:type="paragraph" w:styleId="906" w:customStyle="1">
    <w:name w:val="文本块1"/>
    <w:basedOn w:val="703"/>
    <w:uiPriority w:val="99"/>
    <w:qFormat/>
    <w:pPr>
      <w:ind w:left="1440" w:right="1440"/>
      <w:spacing w:after="120"/>
      <w:tabs>
        <w:tab w:val="left" w:pos="9000" w:leader="none"/>
      </w:tabs>
    </w:pPr>
  </w:style>
  <w:style w:type="paragraph" w:styleId="907" w:customStyle="1">
    <w:name w:val="普通(网站)1"/>
    <w:basedOn w:val="703"/>
    <w:uiPriority w:val="0"/>
    <w:unhideWhenUsed/>
    <w:qFormat/>
    <w:pPr>
      <w:jc w:val="left"/>
      <w:spacing w:before="100" w:beforeAutospacing="1" w:after="100" w:afterAutospacing="1"/>
      <w:widowControl/>
    </w:pPr>
    <w:rPr>
      <w:rFonts w:ascii="宋体" w:hAnsi="宋体" w:cs="宋体"/>
      <w:sz w:val="24"/>
    </w:rPr>
  </w:style>
  <w:style w:type="paragraph" w:styleId="908">
    <w:name w:val="List Paragraph"/>
    <w:basedOn w:val="703"/>
    <w:uiPriority w:val="0"/>
    <w:qFormat/>
    <w:pPr>
      <w:ind w:firstLine="420"/>
    </w:pPr>
    <w:rPr>
      <w:sz w:val="21"/>
    </w:rPr>
  </w:style>
  <w:style w:type="paragraph" w:styleId="909" w:customStyle="1">
    <w:name w:val="普通(网站)11"/>
    <w:basedOn w:val="703"/>
    <w:uiPriority w:val="0"/>
    <w:unhideWhenUsed/>
    <w:qFormat/>
    <w:pPr>
      <w:ind w:firstLine="5742"/>
      <w:jc w:val="center"/>
      <w:spacing w:before="100" w:beforeAutospacing="1" w:after="100" w:afterAutospacing="1"/>
      <w:widowControl/>
    </w:pPr>
    <w:rPr>
      <w:rFonts w:ascii="宋体" w:hAnsi="宋体"/>
      <w:b/>
      <w:sz w:val="44"/>
    </w:rPr>
  </w:style>
  <w:style w:type="character" w:styleId="910" w:customStyle="1">
    <w:name w:val="NormalCharacter11"/>
    <w:uiPriority w:val="99"/>
    <w:qFormat/>
    <w:rPr>
      <w:rFonts w:hint="default" w:ascii="Times New Roman" w:hAnsi="Times New Roman" w:eastAsia="宋体" w:cs="Times New Roman"/>
      <w:sz w:val="28"/>
      <w:szCs w:val="22"/>
      <w:lang w:val="en-US" w:eastAsia="zh-CN" w:bidi="ar-SA"/>
    </w:rPr>
  </w:style>
  <w:style w:type="paragraph" w:styleId="911" w:customStyle="1">
    <w:name w:val="页脚1"/>
    <w:basedOn w:val="703"/>
    <w:uiPriority w:val="99"/>
    <w:qFormat/>
    <w:pPr>
      <w:jc w:val="left"/>
      <w:tabs>
        <w:tab w:val="center" w:pos="4153" w:leader="none"/>
        <w:tab w:val="right" w:pos="8306" w:leader="none"/>
      </w:tabs>
    </w:pPr>
    <w:rPr>
      <w:sz w:val="18"/>
    </w:rPr>
  </w:style>
  <w:style w:type="character" w:styleId="912" w:customStyle="1">
    <w:name w:val="font01"/>
    <w:basedOn w:val="713"/>
    <w:uiPriority w:val="0"/>
    <w:qFormat/>
    <w:rPr>
      <w:rFonts w:ascii="方正黑体_GBK" w:hAnsi="方正黑体_GBK" w:eastAsia="方正黑体_GBK" w:cs="方正黑体_GBK"/>
      <w:color w:val="000000"/>
      <w:sz w:val="20"/>
      <w:szCs w:val="20"/>
      <w:u w:val="none"/>
    </w:rPr>
  </w:style>
  <w:style w:type="paragraph" w:styleId="913" w:customStyle="1">
    <w:name w:val="4"/>
    <w:basedOn w:val="703"/>
    <w:next w:val="735"/>
    <w:uiPriority w:val="0"/>
    <w:qFormat/>
    <w:pPr>
      <w:ind w:firstLine="420"/>
      <w:spacing w:line="360" w:lineRule="auto"/>
    </w:pPr>
    <w:rPr>
      <w:color w:val="ff0000"/>
      <w:sz w:val="24"/>
    </w:rPr>
  </w:style>
  <w:style w:type="character" w:styleId="914" w:customStyle="1">
    <w:name w:val="页脚 字符"/>
    <w:basedOn w:val="713"/>
    <w:link w:val="728"/>
    <w:uiPriority w:val="99"/>
    <w:qFormat/>
    <w:rPr>
      <w:rFonts w:ascii="Times New Roman" w:hAnsi="Times New Roman" w:eastAsia="宋体" w:cs="Times New Roman"/>
      <w:sz w:val="28"/>
      <w:szCs w:val="22"/>
    </w:rPr>
  </w:style>
  <w:style w:type="character" w:styleId="915" w:customStyle="1">
    <w:name w:val="正文文本 字符"/>
    <w:basedOn w:val="713"/>
    <w:link w:val="720"/>
    <w:uiPriority w:val="0"/>
    <w:qFormat/>
    <w:rPr>
      <w:rFonts w:ascii="Times New Roman" w:hAnsi="Times New Roman" w:eastAsia="宋体" w:cs="Times New Roman"/>
      <w:sz w:val="28"/>
      <w:szCs w:val="22"/>
    </w:rPr>
  </w:style>
  <w:style w:type="character" w:styleId="916" w:customStyle="1">
    <w:name w:val="正文文本首行缩进 字符"/>
    <w:basedOn w:val="915"/>
    <w:link w:val="742"/>
    <w:uiPriority w:val="0"/>
    <w:qFormat/>
    <w:rPr>
      <w:rFonts w:ascii="Times New Roman" w:hAnsi="Times New Roman" w:eastAsia="宋体" w:cs="Times New Roman"/>
      <w:sz w:val="28"/>
      <w:szCs w:val="22"/>
    </w:rPr>
  </w:style>
  <w:style w:type="character" w:styleId="917" w:customStyle="1">
    <w:name w:val="纯文本 字符"/>
    <w:basedOn w:val="713"/>
    <w:link w:val="724"/>
    <w:uiPriority w:val="0"/>
    <w:qFormat/>
    <w:rPr>
      <w:rFonts w:ascii="宋体" w:hAnsi="Courier New" w:eastAsia="宋体" w:cs="Times New Roman"/>
      <w:sz w:val="21"/>
    </w:rPr>
  </w:style>
  <w:style w:type="character" w:styleId="918" w:customStyle="1">
    <w:name w:val="正文缩进 字符"/>
    <w:link w:val="717"/>
    <w:uiPriority w:val="0"/>
    <w:qFormat/>
    <w:rPr>
      <w:rFonts w:ascii="Times New Roman" w:hAnsi="Times New Roman" w:eastAsia="宋体" w:cs="Times New Roman"/>
      <w:sz w:val="28"/>
      <w:szCs w:val="22"/>
    </w:rPr>
  </w:style>
  <w:style w:type="paragraph" w:styleId="919" w:customStyle="1">
    <w:name w:val="页脚11"/>
    <w:basedOn w:val="703"/>
    <w:uiPriority w:val="99"/>
    <w:qFormat/>
    <w:pPr>
      <w:jc w:val="left"/>
      <w:tabs>
        <w:tab w:val="center" w:pos="4153" w:leader="none"/>
        <w:tab w:val="right" w:pos="8306" w:leader="none"/>
      </w:tabs>
    </w:pPr>
    <w:rPr>
      <w:sz w:val="18"/>
      <w:szCs w:val="20"/>
    </w:rPr>
  </w:style>
  <w:style w:type="character" w:styleId="920" w:customStyle="1">
    <w:name w:val="页码1"/>
    <w:uiPriority w:val="0"/>
    <w:qFormat/>
  </w:style>
  <w:style w:type="paragraph" w:styleId="92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22" w:customStyle="1">
    <w:name w:val="段"/>
    <w:basedOn w:val="923"/>
    <w:next w:val="703"/>
    <w:uiPriority w:val="0"/>
    <w:qFormat/>
    <w:pPr>
      <w:ind w:firstLine="200"/>
      <w:widowControl/>
    </w:pPr>
    <w:rPr>
      <w:sz w:val="20"/>
    </w:rPr>
  </w:style>
  <w:style w:type="paragraph" w:styleId="923" w:customStyle="1">
    <w:name w:val="正文1"/>
    <w:basedOn w:val="703"/>
    <w:next w:val="924"/>
    <w:uiPriority w:val="0"/>
    <w:qFormat/>
  </w:style>
  <w:style w:type="paragraph" w:styleId="924" w:customStyle="1">
    <w:name w:val="正文文本1"/>
    <w:basedOn w:val="923"/>
    <w:next w:val="925"/>
    <w:uiPriority w:val="0"/>
    <w:qFormat/>
    <w:pPr>
      <w:spacing w:after="120"/>
    </w:pPr>
    <w:rPr>
      <w:lang w:eastAsia="en-US"/>
    </w:rPr>
  </w:style>
  <w:style w:type="paragraph" w:styleId="925" w:customStyle="1">
    <w:name w:val="一级条标题"/>
    <w:basedOn w:val="926"/>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customStyle="1">
    <w:name w:val="章标题"/>
    <w:next w:val="7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927" w:customStyle="1">
    <w:name w:val="titlebody"/>
    <w:uiPriority w:val="0"/>
    <w:qFormat/>
    <w:rPr>
      <w:rFonts w:ascii="宋体" w:hAnsi="宋体" w:eastAsia="宋体" w:cs="宋体"/>
      <w:b/>
      <w:bCs/>
      <w:color w:val="000000"/>
      <w:sz w:val="24"/>
      <w:szCs w:val="24"/>
    </w:rPr>
  </w:style>
  <w:style w:type="paragraph" w:styleId="928" w:customStyle="1">
    <w:name w:val="Normal_0"/>
    <w:uiPriority w:val="0"/>
    <w:qFormat/>
    <w:rPr>
      <w:rFonts w:ascii="Times New Roman" w:hAnsi="Times New Roman" w:eastAsia="Times New Roman" w:cs="Times New Roman"/>
      <w:sz w:val="24"/>
      <w:szCs w:val="24"/>
      <w:lang w:val="en-US" w:eastAsia="zh-CN" w:bidi="ar-SA"/>
    </w:rPr>
  </w:style>
  <w:style w:type="paragraph" w:styleId="929" w:customStyle="1">
    <w:name w:val="Normal_5"/>
    <w:uiPriority w:val="0"/>
    <w:qFormat/>
    <w:rPr>
      <w:rFonts w:ascii="Times New Roman" w:hAnsi="Times New Roman" w:eastAsia="Times New Roman" w:cs="Times New Roman"/>
      <w:sz w:val="24"/>
      <w:szCs w:val="24"/>
      <w:lang w:val="en-US" w:eastAsia="zh-CN" w:bidi="ar-SA"/>
    </w:rPr>
  </w:style>
  <w:style w:type="paragraph" w:styleId="930" w:customStyle="1">
    <w:name w:val="Normal_6"/>
    <w:uiPriority w:val="0"/>
    <w:qFormat/>
    <w:rPr>
      <w:rFonts w:ascii="Times New Roman" w:hAnsi="Times New Roman" w:eastAsia="Times New Roman" w:cs="Times New Roman"/>
      <w:sz w:val="24"/>
      <w:szCs w:val="24"/>
      <w:lang w:val="en-US" w:eastAsia="zh-CN" w:bidi="ar-SA"/>
    </w:rPr>
  </w:style>
  <w:style w:type="character" w:styleId="931" w:customStyle="1">
    <w:name w:val="批注文字 字符"/>
    <w:basedOn w:val="713"/>
    <w:link w:val="719"/>
    <w:uiPriority w:val="99"/>
    <w:qFormat/>
    <w:rPr>
      <w:sz w:val="28"/>
      <w:szCs w:val="22"/>
    </w:rPr>
  </w:style>
  <w:style w:type="character" w:styleId="932" w:customStyle="1">
    <w:name w:val="批注主题 字符"/>
    <w:basedOn w:val="931"/>
    <w:link w:val="741"/>
    <w:uiPriority w:val="99"/>
    <w:semiHidden/>
    <w:qFormat/>
    <w:rPr>
      <w:b/>
      <w:bCs/>
      <w:sz w:val="28"/>
      <w:szCs w:val="22"/>
    </w:rPr>
  </w:style>
  <w:style w:type="character" w:styleId="933" w:customStyle="1">
    <w:name w:val="普通(网站) 字符"/>
    <w:link w:val="739"/>
    <w:uiPriority w:val="0"/>
    <w:qFormat/>
    <w:rPr>
      <w:rFonts w:ascii="宋体" w:hAnsi="宋体" w:cs="宋体"/>
      <w:sz w:val="24"/>
      <w:szCs w:val="22"/>
    </w:rPr>
  </w:style>
  <w:style w:type="character" w:styleId="934" w:customStyle="1">
    <w:name w:val="正文文本缩进 字符"/>
    <w:basedOn w:val="713"/>
    <w:link w:val="721"/>
    <w:uiPriority w:val="99"/>
    <w:semiHidden/>
    <w:qFormat/>
    <w:rPr>
      <w:sz w:val="28"/>
      <w:szCs w:val="22"/>
    </w:rPr>
  </w:style>
  <w:style w:type="character" w:styleId="935" w:customStyle="1">
    <w:name w:val="正文文本首行缩进 2 字符"/>
    <w:basedOn w:val="934"/>
    <w:link w:val="743"/>
    <w:uiPriority w:val="99"/>
    <w:qFormat/>
    <w:rPr>
      <w:sz w:val="28"/>
      <w:szCs w:val="22"/>
    </w:rPr>
  </w:style>
  <w:style w:type="paragraph" w:styleId="936" w:customStyle="1">
    <w:name w:val="ds-markdown-paragraph"/>
    <w:basedOn w:val="703"/>
    <w:uiPriority w:val="0"/>
    <w:qFormat/>
    <w:pPr>
      <w:jc w:val="left"/>
      <w:spacing w:before="100" w:beforeAutospacing="1" w:after="100" w:afterAutospacing="1"/>
      <w:widowControl/>
    </w:pPr>
    <w:rPr>
      <w:rFonts w:ascii="宋体" w:hAnsi="宋体" w:cs="宋体"/>
      <w:sz w:val="24"/>
      <w:szCs w:val="24"/>
    </w:rPr>
  </w:style>
  <w:style w:type="character" w:styleId="937" w:customStyle="1">
    <w:name w:val="批注框文本 字符"/>
    <w:basedOn w:val="713"/>
    <w:link w:val="727"/>
    <w:uiPriority w:val="99"/>
    <w:semiHidden/>
    <w:qFormat/>
    <w:rPr>
      <w:sz w:val="18"/>
      <w:szCs w:val="18"/>
    </w:rPr>
  </w:style>
  <w:style w:type="paragraph" w:styleId="938" w:customStyle="1">
    <w:name w:val="纯文本12"/>
    <w:basedOn w:val="703"/>
    <w:uiPriority w:val="0"/>
    <w:qFormat/>
    <w:rPr>
      <w:rFonts w:ascii="宋体" w:hAnsi="Courier New"/>
      <w:sz w:val="20"/>
      <w:szCs w:val="21"/>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E5413-4894-4D0B-A6FE-004FFE9DC178}"/>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SUNYAO123</dc:creator>
  <cp:lastModifiedBy>胡志霞</cp:lastModifiedBy>
  <cp:revision>477</cp:revision>
  <dcterms:created xsi:type="dcterms:W3CDTF">2025-10-30T05:47:00Z</dcterms:created>
  <dcterms:modified xsi:type="dcterms:W3CDTF">2026-04-28T03:09:51Z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29FC4529AF914748B14C0E86A1C2F39C_13</vt:lpwstr>
  </property>
  <property fmtid="{D5CDD505-2E9C-101B-9397-08002B2CF9AE}" pid="4" name="KSOTemplateDocerSaveRecord">
    <vt:lpwstr>eyJoZGlkIjoiMjU5MWE5M2U3MWZjNTAwMDZhMWM3YzFiNGNjN2VmYTciLCJ1c2VySWQiOiIxMTYwMDM2MDE1In0=</vt:lpwstr>
  </property>
</Properties>
</file>