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bookmarkStart w:id="150" w:name="_GoBack"/>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盐城市大丰人民医院体外循环机采购项目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项目编号：JSZC-320904-JSHY-G2026-0164</w:t>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代理机构编号：1009-2641HOLLY13D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8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盐城市大丰人民医院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8</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61"/>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keepLines/>
        <w:keepNext/>
        <w:pageBreakBefore w:val="0"/>
        <w:spacing w:line="360" w:lineRule="auto"/>
        <w:rPr>
          <w:rFonts w:hint="eastAsia" w:ascii="Times New Roman" w:hAnsi="Times New Roman" w:eastAsia="宋体" w:cs="Times New Roman"/>
          <w:b/>
          <w:color w:val="auto"/>
          <w:sz w:val="40"/>
          <w:szCs w:val="40"/>
          <w:highlight w:val="none"/>
        </w:rPr>
        <w:outlineLvl w:val="0"/>
      </w:pPr>
      <w:r>
        <w:rPr>
          <w:rFonts w:hint="eastAsia" w:ascii="Times New Roman" w:hAnsi="Times New Roman" w:eastAsia="宋体" w:cs="Times New Roman"/>
          <w:b/>
          <w:color w:val="auto"/>
          <w:sz w:val="40"/>
          <w:szCs w:val="40"/>
          <w:highlight w:val="none"/>
        </w:rPr>
        <w:t xml:space="preserve">目 </w:t>
      </w:r>
      <w:r>
        <w:rPr>
          <w:rFonts w:hint="eastAsia" w:ascii="Times New Roman" w:hAnsi="Times New Roman" w:eastAsia="宋体" w:cs="Times New Roman"/>
          <w:b/>
          <w:color w:val="auto"/>
          <w:sz w:val="40"/>
          <w:szCs w:val="40"/>
          <w:highlight w:val="none"/>
          <w:lang w:val="en-US" w:eastAsia="zh-CN"/>
        </w:rPr>
        <w:t xml:space="preserve"> </w:t>
      </w:r>
      <w:r>
        <w:rPr>
          <w:rFonts w:hint="eastAsia" w:ascii="Times New Roman" w:hAnsi="Times New Roman" w:eastAsia="宋体" w:cs="Times New Roman"/>
          <w:b/>
          <w:color w:val="auto"/>
          <w:sz w:val="40"/>
          <w:szCs w:val="40"/>
          <w:highlight w:val="none"/>
        </w:rPr>
        <w:t xml:space="preserve"> 录</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862"/>
        <w:ind w:firstLine="1124"/>
        <w:jc w:val="left"/>
        <w:keepLines w:val="0"/>
        <w:keepNext w:val="0"/>
        <w:pageBreakBefore w:val="0"/>
        <w:spacing w:line="480" w:lineRule="auto"/>
        <w:widowControl/>
        <w:tabs>
          <w:tab w:val="right" w:pos="8844" w:leader="dot"/>
        </w:tabs>
        <w:rPr>
          <w:rFonts w:hint="eastAsia" w:ascii="宋体" w:hAnsi="宋体" w:cs="宋体"/>
          <w:b/>
          <w:bCs w:val="0"/>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TOC \o "1-2" \h \u </w:instrText>
      </w:r>
      <w:r>
        <w:rPr>
          <w:rFonts w:hint="eastAsia" w:ascii="宋体" w:hAnsi="宋体" w:cs="宋体"/>
          <w:b/>
          <w:color w:val="auto"/>
          <w:sz w:val="28"/>
          <w:szCs w:val="28"/>
          <w:highlight w:val="none"/>
        </w:rPr>
        <w:fldChar w:fldCharType="separate"/>
      </w: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_Toc14268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第一部分  招标公告</w:t>
      </w:r>
      <w:r>
        <w:rPr>
          <w:rFonts w:hint="eastAsia" w:ascii="宋体" w:hAnsi="宋体" w:cs="宋体"/>
          <w:b/>
          <w:bCs w:val="0"/>
          <w:color w:val="auto"/>
          <w:sz w:val="28"/>
          <w:szCs w:val="28"/>
          <w:highlight w:val="none"/>
        </w:rPr>
        <w:fldChar w:fldCharType="end"/>
      </w:r>
      <w:r/>
    </w:p>
    <w:p>
      <w:pPr>
        <w:pStyle w:val="862"/>
        <w:ind w:firstLine="1124"/>
        <w:jc w:val="left"/>
        <w:keepLines w:val="0"/>
        <w:keepNext w:val="0"/>
        <w:pageBreakBefore w:val="0"/>
        <w:spacing w:line="480" w:lineRule="auto"/>
        <w:widowControl/>
        <w:tabs>
          <w:tab w:val="right" w:pos="8844" w:leader="dot"/>
        </w:tabs>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_Toc1881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第二部分  投标人须知</w:t>
      </w:r>
      <w:r>
        <w:rPr>
          <w:rFonts w:hint="eastAsia" w:ascii="宋体" w:hAnsi="宋体" w:cs="宋体"/>
          <w:b/>
          <w:bCs w:val="0"/>
          <w:color w:val="auto"/>
          <w:sz w:val="28"/>
          <w:szCs w:val="28"/>
          <w:highlight w:val="none"/>
        </w:rPr>
        <w:fldChar w:fldCharType="end"/>
      </w:r>
      <w:r/>
    </w:p>
    <w:p>
      <w:pPr>
        <w:pStyle w:val="862"/>
        <w:ind w:firstLine="1124"/>
        <w:jc w:val="left"/>
        <w:keepLines w:val="0"/>
        <w:keepNext w:val="0"/>
        <w:pageBreakBefore w:val="0"/>
        <w:spacing w:line="480" w:lineRule="auto"/>
        <w:widowControl/>
        <w:tabs>
          <w:tab w:val="right" w:pos="8844" w:leader="dot"/>
        </w:tabs>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_Toc22015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第三部分  评标方法和标准</w:t>
      </w:r>
      <w:r>
        <w:rPr>
          <w:rFonts w:hint="eastAsia" w:ascii="宋体" w:hAnsi="宋体" w:cs="宋体"/>
          <w:b/>
          <w:bCs w:val="0"/>
          <w:color w:val="auto"/>
          <w:sz w:val="28"/>
          <w:szCs w:val="28"/>
          <w:highlight w:val="none"/>
        </w:rPr>
        <w:fldChar w:fldCharType="end"/>
      </w:r>
      <w:r/>
    </w:p>
    <w:p>
      <w:pPr>
        <w:pStyle w:val="862"/>
        <w:ind w:firstLine="1124"/>
        <w:jc w:val="left"/>
        <w:keepLines w:val="0"/>
        <w:keepNext w:val="0"/>
        <w:pageBreakBefore w:val="0"/>
        <w:spacing w:line="480" w:lineRule="auto"/>
        <w:widowControl/>
        <w:tabs>
          <w:tab w:val="right" w:pos="8844" w:leader="dot"/>
        </w:tabs>
        <w:rPr>
          <w:rFonts w:hint="default" w:ascii="宋体" w:hAnsi="宋体" w:eastAsia="宋体" w:cs="宋体"/>
          <w:b/>
          <w:bCs w:val="0"/>
          <w:color w:val="auto"/>
          <w:sz w:val="28"/>
          <w:szCs w:val="28"/>
          <w:highlight w:val="none"/>
        </w:rPr>
      </w:pP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_Toc1505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第四部分  采购需求</w:t>
      </w:r>
      <w:r>
        <w:rPr>
          <w:rFonts w:hint="eastAsia" w:ascii="宋体" w:hAnsi="宋体" w:cs="宋体"/>
          <w:b/>
          <w:bCs w:val="0"/>
          <w:color w:val="auto"/>
          <w:sz w:val="28"/>
          <w:szCs w:val="28"/>
          <w:highlight w:val="none"/>
        </w:rPr>
        <w:fldChar w:fldCharType="end"/>
      </w:r>
      <w:r/>
    </w:p>
    <w:p>
      <w:pPr>
        <w:pStyle w:val="862"/>
        <w:ind w:firstLine="1124"/>
        <w:jc w:val="left"/>
        <w:keepLines w:val="0"/>
        <w:keepNext w:val="0"/>
        <w:pageBreakBefore w:val="0"/>
        <w:spacing w:line="480" w:lineRule="auto"/>
        <w:widowControl/>
        <w:tabs>
          <w:tab w:val="right" w:pos="8844" w:leader="dot"/>
        </w:tabs>
        <w:rPr>
          <w:rFonts w:hint="default" w:ascii="宋体" w:hAnsi="宋体" w:eastAsia="宋体" w:cs="宋体"/>
          <w:b/>
          <w:bCs w:val="0"/>
          <w:color w:val="auto"/>
          <w:sz w:val="28"/>
          <w:szCs w:val="28"/>
          <w:highlight w:val="none"/>
          <w:lang w:val="en-US"/>
        </w:rPr>
      </w:pP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_Toc9306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第五部分  合同格式及条款</w:t>
      </w:r>
      <w:r>
        <w:rPr>
          <w:rFonts w:hint="eastAsia" w:ascii="宋体" w:hAnsi="宋体" w:cs="宋体"/>
          <w:b/>
          <w:bCs w:val="0"/>
          <w:color w:val="auto"/>
          <w:sz w:val="28"/>
          <w:szCs w:val="28"/>
          <w:highlight w:val="none"/>
        </w:rPr>
        <w:fldChar w:fldCharType="end"/>
      </w:r>
      <w:r/>
    </w:p>
    <w:p>
      <w:pPr>
        <w:pStyle w:val="862"/>
        <w:ind w:firstLine="1124"/>
        <w:jc w:val="left"/>
        <w:keepLines w:val="0"/>
        <w:keepNext w:val="0"/>
        <w:pageBreakBefore w:val="0"/>
        <w:spacing w:line="480" w:lineRule="auto"/>
        <w:widowControl/>
        <w:tabs>
          <w:tab w:val="right" w:pos="8844" w:leader="dot"/>
        </w:tabs>
        <w:rPr>
          <w:rFonts w:hint="default" w:ascii="宋体" w:hAnsi="宋体" w:eastAsia="宋体" w:cs="宋体"/>
          <w:b/>
          <w:bCs w:val="0"/>
          <w:color w:val="auto"/>
          <w:sz w:val="28"/>
          <w:szCs w:val="28"/>
          <w:highlight w:val="none"/>
          <w:lang w:val="en-US"/>
        </w:rPr>
      </w:pPr>
      <w:r>
        <w:rPr>
          <w:rFonts w:hint="eastAsia" w:ascii="宋体" w:hAnsi="宋体" w:cs="宋体"/>
          <w:b/>
          <w:bCs w:val="0"/>
          <w:color w:val="auto"/>
          <w:sz w:val="28"/>
          <w:szCs w:val="28"/>
          <w:highlight w:val="none"/>
        </w:rPr>
        <w:fldChar w:fldCharType="begin"/>
      </w:r>
      <w:r>
        <w:rPr>
          <w:rFonts w:hint="eastAsia" w:ascii="宋体" w:hAnsi="宋体" w:cs="宋体"/>
          <w:b/>
          <w:bCs w:val="0"/>
          <w:color w:val="auto"/>
          <w:sz w:val="28"/>
          <w:szCs w:val="28"/>
          <w:highlight w:val="none"/>
        </w:rPr>
        <w:instrText xml:space="preserve"> HYPERLINK \l _Toc12366 </w:instrText>
      </w:r>
      <w:r>
        <w:rPr>
          <w:rFonts w:hint="eastAsia" w:ascii="宋体" w:hAnsi="宋体" w:cs="宋体"/>
          <w:b/>
          <w:bCs w:val="0"/>
          <w:color w:val="auto"/>
          <w:sz w:val="28"/>
          <w:szCs w:val="28"/>
          <w:highlight w:val="none"/>
        </w:rPr>
        <w:fldChar w:fldCharType="separate"/>
      </w:r>
      <w:r>
        <w:rPr>
          <w:rFonts w:hint="eastAsia" w:ascii="宋体" w:hAnsi="宋体" w:cs="宋体"/>
          <w:b/>
          <w:bCs w:val="0"/>
          <w:color w:val="auto"/>
          <w:sz w:val="28"/>
          <w:szCs w:val="28"/>
          <w:highlight w:val="none"/>
        </w:rPr>
        <w:t xml:space="preserve">第六部分  投标文件格式</w:t>
      </w:r>
      <w:r>
        <w:rPr>
          <w:rFonts w:hint="eastAsia" w:ascii="宋体" w:hAnsi="宋体" w:cs="宋体"/>
          <w:b/>
          <w:bCs w:val="0"/>
          <w:color w:val="auto"/>
          <w:sz w:val="28"/>
          <w:szCs w:val="28"/>
          <w:highlight w:val="none"/>
        </w:rPr>
        <w:fldChar w:fldCharType="end"/>
      </w:r>
      <w:r/>
    </w:p>
    <w:p>
      <w:pPr>
        <w:pStyle w:val="863"/>
        <w:ind w:left="420"/>
        <w:spacing w:line="360" w:lineRule="auto"/>
        <w:tabs>
          <w:tab w:val="right" w:pos="884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left"/>
        <w:spacing w:line="360" w:lineRule="auto"/>
        <w:tabs>
          <w:tab w:val="left" w:pos="5655" w:leader="none"/>
        </w:tabs>
        <w:rPr>
          <w:rFonts w:hint="eastAsia"/>
          <w:color w:val="auto"/>
          <w:sz w:val="28"/>
          <w:szCs w:val="28"/>
          <w:highlight w:val="none"/>
        </w:rPr>
      </w:pPr>
      <w:r>
        <w:rPr>
          <w:rFonts w:hint="eastAsia"/>
          <w:color w:val="auto"/>
          <w:sz w:val="28"/>
          <w:szCs w:val="28"/>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8"/>
          <w:szCs w:val="28"/>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68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盐城市大丰人民医院体外循环机采购项目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864"/>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64"/>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rPr>
        <w:t xml:space="preserve">JSZC-320904-JSHY-G2026-0164</w:t>
      </w:r>
      <w:r/>
    </w:p>
    <w:p>
      <w:pPr>
        <w:pStyle w:val="86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盐城市大丰人民医院体外循环机采购项目</w:t>
      </w:r>
      <w:r/>
    </w:p>
    <w:p>
      <w:pPr>
        <w:pStyle w:val="864"/>
        <w:ind w:firstLine="720"/>
        <w:spacing w:line="360" w:lineRule="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280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6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（本项目共1个标段）</w:t>
      </w:r>
      <w:r/>
    </w:p>
    <w:tbl>
      <w:tblPr>
        <w:tblStyle w:val="681"/>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是否接受进口产品</w:t>
            </w:r>
            <w:r/>
          </w:p>
        </w:tc>
      </w:tr>
      <w:tr>
        <w:trPr>
          <w:jc w:val="center"/>
          <w:trHeight w:val="573"/>
        </w:trPr>
        <w:tc>
          <w:tcPr>
            <w:shd w:val="clear" w:color="auto" w:fill="auto"/>
            <w:tcW w:w="896" w:type="dxa"/>
            <w:vAlign w:val="center"/>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体外循环机</w:t>
            </w:r>
            <w:r/>
          </w:p>
        </w:tc>
        <w:tc>
          <w:tcPr>
            <w:shd w:val="clear" w:color="auto" w:fill="auto"/>
            <w:tcW w:w="948" w:type="dxa"/>
            <w:vAlign w:val="center"/>
            <w:textDirection w:val="lrTb"/>
            <w:noWrap/>
          </w:tcPr>
          <w:p>
            <w:pPr>
              <w:jc w:val="center"/>
              <w:rPr>
                <w:rFonts w:hint="default"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1套</w:t>
            </w:r>
            <w:r/>
          </w:p>
        </w:tc>
        <w:tc>
          <w:tcPr>
            <w:shd w:val="clear" w:color="auto" w:fill="auto"/>
            <w:tcW w:w="1520"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280万元</w:t>
            </w:r>
            <w:r/>
          </w:p>
        </w:tc>
        <w:tc>
          <w:tcPr>
            <w:shd w:val="clear" w:color="auto" w:fill="auto"/>
            <w:tcW w:w="1524"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280万元</w:t>
            </w:r>
            <w:r/>
          </w:p>
        </w:tc>
        <w:tc>
          <w:tcPr>
            <w:shd w:val="clear" w:color="auto" w:fill="auto"/>
            <w:tcW w:w="1404"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是</w:t>
            </w:r>
            <w:r/>
          </w:p>
        </w:tc>
      </w:tr>
    </w:tbl>
    <w:p>
      <w:pPr>
        <w:pStyle w:val="864"/>
        <w:ind w:left="0" w:firstLine="390"/>
        <w:spacing w:line="360" w:lineRule="auto"/>
        <w:tabs>
          <w:tab w:val="left" w:pos="1134" w:leader="none"/>
        </w:tabs>
        <w:rPr>
          <w:rFonts w:hint="eastAsia" w:ascii="宋体" w:hAnsi="宋体" w:cs="宋体"/>
          <w:color w:val="auto"/>
          <w:sz w:val="13"/>
          <w:szCs w:val="13"/>
          <w:highlight w:val="none"/>
        </w:rPr>
      </w:pPr>
      <w:r>
        <w:rPr>
          <w:rFonts w:hint="eastAsia" w:ascii="宋体" w:hAnsi="宋体" w:cs="宋体"/>
          <w:color w:val="auto"/>
          <w:sz w:val="13"/>
          <w:szCs w:val="13"/>
          <w:highlight w:val="none"/>
        </w:rPr>
      </w:r>
      <w:r/>
    </w:p>
    <w:p>
      <w:pPr>
        <w:pStyle w:val="864"/>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6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64"/>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64"/>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65"/>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97"/>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2）上一年度的财务状况报表（至少提供资产负债表、利润表，供应商成立不满一年无需提供）</w:t>
      </w:r>
      <w:r>
        <w:rPr>
          <w:rFonts w:hint="eastAsia" w:ascii="宋体" w:hAnsi="宋体" w:cs="宋体"/>
          <w:color w:val="auto"/>
          <w:sz w:val="24"/>
          <w:szCs w:val="24"/>
          <w:highlight w:val="none"/>
          <w:lang w:eastAsia="zh-CN"/>
        </w:rPr>
        <w:t xml:space="preserve">。</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61"/>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61"/>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65"/>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65"/>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65"/>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 w:val="0"/>
          <w:bCs w:val="0"/>
          <w:color w:val="auto"/>
          <w:sz w:val="24"/>
          <w:szCs w:val="24"/>
          <w:highlight w:val="none"/>
        </w:rPr>
        <w:t xml:space="preserve">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65"/>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3）投标货物如为进口产品，投标人须提供下列授权文件之一：</w:t>
      </w:r>
      <w:r/>
    </w:p>
    <w:p>
      <w:pPr>
        <w:pStyle w:val="865"/>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a.供应商须提供进口产品制造商出具的授权函加盖公章；</w:t>
      </w:r>
      <w:r/>
    </w:p>
    <w:p>
      <w:pPr>
        <w:pStyle w:val="865"/>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b.进口产品制造商对授权的区域代理商出具的授权函扫描件及该区域代理商对投标人出具的授权函扫描件加盖公章；</w:t>
      </w:r>
      <w:r/>
    </w:p>
    <w:p>
      <w:pPr>
        <w:pStyle w:val="865"/>
        <w:ind w:firstLine="1024"/>
        <w:spacing w:line="360" w:lineRule="auto"/>
        <w:rPr>
          <w:rFonts w:hint="eastAsia" w:ascii="宋体" w:hAnsi="宋体" w:cs="宋体"/>
          <w:b/>
          <w:bCs/>
          <w:color w:val="auto"/>
          <w:sz w:val="24"/>
          <w:szCs w:val="24"/>
          <w:highlight w:val="none"/>
        </w:rPr>
        <w:outlineLvl w:val="1"/>
      </w:pPr>
      <w:r>
        <w:rPr>
          <w:rFonts w:hint="eastAsia" w:ascii="宋体" w:hAnsi="宋体" w:cs="宋体"/>
          <w:b w:val="0"/>
          <w:bCs w:val="0"/>
          <w:color w:val="auto"/>
          <w:sz w:val="24"/>
          <w:szCs w:val="24"/>
          <w:highlight w:val="none"/>
          <w:lang w:val="en-US" w:eastAsia="zh-CN"/>
        </w:rPr>
        <w:t xml:space="preserve">c.投标人取得的进口产品代理证书扫描件加盖公章。</w:t>
      </w:r>
      <w:r/>
    </w:p>
    <w:p>
      <w:pPr>
        <w:pStyle w:val="865"/>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66"/>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网址</w:t>
      </w:r>
      <w:r>
        <w:rPr>
          <w:rFonts w:hint="eastAsia" w:ascii="宋体" w:hAnsi="宋体" w:cs="宋体"/>
          <w:color w:val="auto"/>
          <w:sz w:val="24"/>
          <w:szCs w:val="24"/>
          <w:highlight w:val="none"/>
        </w:rPr>
        <w:t xml:space="preserve">https://jszfcg.jsczt.cn/jszc/login</w:t>
      </w:r>
      <w:r>
        <w:rPr>
          <w:rFonts w:hint="eastAsia" w:ascii="宋体" w:hAnsi="宋体" w:cs="宋体"/>
          <w:color w:val="auto"/>
          <w:sz w:val="24"/>
          <w:szCs w:val="24"/>
          <w:highlight w:val="none"/>
        </w:rPr>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66"/>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w:t>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 </w:t>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rPr>
          <w:rFonts w:hint="eastAsia" w:ascii="宋体" w:hAnsi="宋体" w:cs="宋体"/>
          <w:color w:val="auto"/>
          <w:sz w:val="24"/>
          <w:szCs w:val="24"/>
          <w:highlight w:val="none"/>
        </w:rPr>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网址</w:t>
      </w:r>
      <w:r>
        <w:rPr>
          <w:rFonts w:hint="eastAsia" w:ascii="宋体" w:hAnsi="宋体" w:cs="宋体"/>
          <w:color w:val="auto"/>
          <w:sz w:val="24"/>
          <w:szCs w:val="24"/>
          <w:highlight w:val="none"/>
        </w:rPr>
        <w:t xml:space="preserve">（</w:t>
      </w:r>
      <w:r>
        <w:rPr>
          <w:rFonts w:ascii="SimSun" w:hAnsi="SimSun" w:eastAsia="SimSun" w:cs="SimSun"/>
          <w:color w:val="000000"/>
          <w:sz w:val="21"/>
        </w:rPr>
      </w:r>
      <w:r>
        <w:rPr>
          <w:rFonts w:ascii="SimSun" w:hAnsi="SimSun" w:eastAsia="SimSun" w:cs="SimSun"/>
          <w:color w:val="000000"/>
          <w:sz w:val="21"/>
        </w:rPr>
        <w:t xml:space="preserve">https://jszfcg.jsczt.cn/jszc/login</w:t>
      </w:r>
      <w:r>
        <w:rPr>
          <w:rFonts w:ascii="SimSun" w:hAnsi="SimSun" w:eastAsia="SimSun" w:cs="SimSun"/>
          <w:color w:val="000000"/>
          <w:sz w:val="21"/>
        </w:rPr>
        <w:t xml:space="preserve">）</w:t>
      </w:r>
      <w:r/>
    </w:p>
    <w:p>
      <w:pPr>
        <w:pStyle w:val="866"/>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6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66"/>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64"/>
        <w:ind w:left="420" w:firstLine="720"/>
        <w:keepLines w:val="0"/>
        <w:keepNext w:val="0"/>
        <w:pageBreakBefore w:val="0"/>
        <w:spacing w:line="360" w:lineRule="auto"/>
        <w:widowControl w:val="off"/>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请至盐城市府西路1号盐城市公共资源交易中心四楼大厅10号，11号窗口办理，</w:t>
      </w:r>
      <w:r>
        <w:rPr>
          <w:rFonts w:hint="eastAsia" w:ascii="宋体" w:hAnsi="宋体" w:cs="宋体"/>
          <w:b w:val="0"/>
          <w:bCs w:val="0"/>
          <w:color w:val="auto"/>
          <w:sz w:val="24"/>
          <w:szCs w:val="24"/>
          <w:highlight w:val="none"/>
        </w:rPr>
        <w:t xml:space="preserve">联系电话：15051556883，办理邮箱：yancheng@ideabank.net.cn，</w:t>
      </w:r>
      <w:r>
        <w:rPr>
          <w:rFonts w:hint="eastAsia" w:ascii="宋体" w:hAnsi="宋体" w:cs="宋体"/>
          <w:b w:val="0"/>
          <w:bCs w:val="0"/>
          <w:color w:val="auto"/>
          <w:sz w:val="24"/>
          <w:szCs w:val="24"/>
          <w:highlight w:val="none"/>
          <w:lang w:val="en-US" w:eastAsia="zh-CN"/>
        </w:rPr>
        <w:t xml:space="preserve">具体系统操作见《苏采云</w:t>
      </w:r>
      <w:r>
        <w:rPr>
          <w:rFonts w:hint="eastAsia" w:ascii="宋体" w:hAnsi="宋体" w:cs="宋体"/>
          <w:color w:val="auto"/>
          <w:sz w:val="24"/>
          <w:szCs w:val="24"/>
          <w:highlight w:val="none"/>
          <w:lang w:val="en-US" w:eastAsia="zh-CN"/>
        </w:rPr>
        <w:t xml:space="preserve">系统供应商操作手册》（以下简称《操作手册》））、进行注册并按《操作手册》要求制作、上传电子投标文件,《苏采云系统供应商操作手册》，手册下载地址：苏采云系统-右侧消息通知栏。</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2.2潜在投标人访问“苏采云”系统方法：江苏省政府采购网首页-“苏采云”链接。 </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2.3采购文件（后缀名为“.kedt”）、供应商操作手册及政府采购客户端工具可通过“苏采云”系统相应链接进行下载。</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2.4采购代理机构将数据电文形式的采购文件加载至“苏采云”系统，供潜在供应商下载或者查阅。</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6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64"/>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67"/>
        <w:ind w:firstLine="1200"/>
        <w:spacing w:before="0" w:beforeAutospacing="0" w:after="0" w:afterAutospacing="0" w:line="360" w:lineRule="auto"/>
        <w:rPr>
          <w:rFonts w:hint="eastAsia" w:ascii="宋体" w:hAnsi="宋体" w:eastAsia="宋体"/>
          <w:color w:val="auto"/>
          <w:sz w:val="24"/>
          <w:highlight w:val="none"/>
        </w:rPr>
        <w:outlineLvl w:val="1"/>
      </w:pPr>
      <w:r>
        <w:rPr>
          <w:rFonts w:hint="eastAsia" w:ascii="宋体" w:hAnsi="宋体" w:eastAsia="宋体"/>
          <w:color w:val="auto"/>
          <w:sz w:val="24"/>
          <w:highlight w:val="none"/>
        </w:rPr>
        <w:t xml:space="preserve">名称：</w:t>
      </w:r>
      <w:r>
        <w:rPr>
          <w:rFonts w:hint="eastAsia" w:ascii="宋体" w:hAnsi="宋体" w:eastAsia="宋体"/>
          <w:color w:val="auto"/>
          <w:sz w:val="24"/>
          <w:highlight w:val="none"/>
          <w:lang w:eastAsia="zh-CN"/>
        </w:rPr>
        <w:t xml:space="preserve">盐城市大丰人民医院</w:t>
      </w:r>
      <w:r>
        <w:rPr>
          <w:rFonts w:hint="eastAsia" w:ascii="宋体" w:hAnsi="宋体" w:eastAsia="宋体"/>
          <w:color w:val="auto"/>
          <w:sz w:val="24"/>
          <w:highlight w:val="none"/>
        </w:rPr>
        <w:t xml:space="preserve">        </w:t>
      </w:r>
      <w:r/>
    </w:p>
    <w:p>
      <w:pPr>
        <w:pStyle w:val="867"/>
        <w:ind w:firstLine="1200"/>
        <w:spacing w:before="0" w:beforeAutospacing="0" w:after="0" w:afterAutospacing="0" w:line="360" w:lineRule="auto"/>
        <w:rPr>
          <w:rFonts w:hint="eastAsia" w:ascii="宋体" w:hAnsi="宋体" w:eastAsia="宋体"/>
          <w:color w:val="auto"/>
          <w:sz w:val="24"/>
          <w:highlight w:val="none"/>
        </w:rPr>
        <w:outlineLvl w:val="1"/>
      </w:pPr>
      <w:r>
        <w:rPr>
          <w:rFonts w:hint="eastAsia" w:ascii="宋体" w:hAnsi="宋体" w:eastAsia="宋体"/>
          <w:color w:val="auto"/>
          <w:sz w:val="24"/>
          <w:highlight w:val="none"/>
        </w:rPr>
        <w:t xml:space="preserve">地址：盐城市大丰区幸福东大街139号 </w:t>
      </w:r>
      <w:r/>
    </w:p>
    <w:p>
      <w:pPr>
        <w:pStyle w:val="867"/>
        <w:ind w:firstLine="1200"/>
        <w:spacing w:before="0" w:beforeAutospacing="0" w:after="0" w:afterAutospacing="0" w:line="360" w:lineRule="auto"/>
        <w:rPr>
          <w:rFonts w:hint="eastAsia" w:ascii="宋体" w:hAnsi="宋体" w:eastAsia="宋体"/>
          <w:color w:val="auto"/>
          <w:sz w:val="24"/>
          <w:highlight w:val="none"/>
        </w:rPr>
        <w:outlineLvl w:val="1"/>
      </w:pPr>
      <w:r>
        <w:rPr>
          <w:rFonts w:hint="eastAsia" w:ascii="宋体" w:hAnsi="宋体" w:eastAsia="宋体"/>
          <w:color w:val="auto"/>
          <w:sz w:val="24"/>
          <w:highlight w:val="none"/>
        </w:rPr>
        <w:t xml:space="preserve">项目联系人：钱老师</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ascii="宋体" w:hAnsi="宋体" w:eastAsia="宋体"/>
          <w:color w:val="auto"/>
          <w:sz w:val="24"/>
          <w:highlight w:val="none"/>
        </w:rPr>
        <w:t xml:space="preserve">联系方式：0515-83530067 </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6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w:t>
      </w:r>
      <w:r>
        <w:rPr>
          <w:rFonts w:hint="eastAsia" w:hAnsi="宋体" w:cs="宋体"/>
          <w:color w:val="auto"/>
          <w:szCs w:val="24"/>
          <w:highlight w:val="none"/>
          <w:lang w:val="en-US" w:eastAsia="zh-CN"/>
        </w:rPr>
        <w:t xml:space="preserve">15105157483</w:t>
      </w:r>
      <w:r>
        <w:rPr>
          <w:rFonts w:hint="eastAsia" w:hAnsi="宋体" w:cs="宋体"/>
          <w:color w:val="auto"/>
          <w:szCs w:val="24"/>
          <w:highlight w:val="none"/>
        </w:rPr>
        <w:t xml:space="preserve">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68"/>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68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本项目中标服务费参照苏招协【2022】002号文件规定标准*40%缴纳计取，应在领取成交通知书前缴纳。</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eastAsia="宋体" w:cs="宋体"/>
                <w:color w:val="auto"/>
                <w:sz w:val="24"/>
                <w:szCs w:val="24"/>
                <w:highlight w:val="none"/>
              </w:rPr>
              <w:t xml:space="preserve">本项目履约保证金为中标价的10%</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69"/>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7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69"/>
        <w:spacing w:line="360" w:lineRule="auto"/>
        <w:rPr>
          <w:rFonts w:hint="eastAsia" w:ascii="宋体" w:hAnsi="宋体" w:eastAsia="宋体" w:cs="宋体"/>
          <w:color w:val="auto"/>
          <w:highlight w:val="none"/>
        </w:rPr>
        <w:outlineLvl w:val="1"/>
      </w:pPr>
      <w:r/>
      <w:bookmarkStart w:id="13" w:name="_Toc21335"/>
      <w:r/>
      <w:bookmarkStart w:id="14" w:name="_Toc514054473"/>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69"/>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11.1.2上一年度的财务状况报表（至少提供资产负债表、利润表，供应商成立不满一年无需提供）</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lang w:eastAsia="zh-CN"/>
        </w:rPr>
        <w:t xml:space="preserve">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11投标货物如为进口产品，投标人须提供下列授权文件之一：</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a.供应商须提供进口产品制造商出具的授权函加盖公章；</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c.投标人取得的进口产品代理证书扫描件加盖公章。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2"/>
        <w:spacing w:line="360" w:lineRule="auto"/>
        <w:rPr>
          <w:rFonts w:hint="eastAsia" w:ascii="宋体"/>
          <w:b w:val="0"/>
          <w:bCs w:val="0"/>
          <w:color w:val="auto"/>
          <w:sz w:val="24"/>
          <w:highlight w:val="none"/>
        </w:rPr>
      </w:pPr>
      <w:r>
        <w:rPr>
          <w:rFonts w:hint="eastAsia" w:ascii="宋体" w:hAnsi="宋体" w:cs="宋体"/>
          <w:b w:val="0"/>
          <w:bCs w:val="0"/>
          <w:color w:val="auto"/>
          <w:sz w:val="24"/>
          <w:highlight w:val="none"/>
        </w:rPr>
        <w:t xml:space="preserve">15.1</w:t>
      </w:r>
      <w:r>
        <w:rPr>
          <w:rFonts w:hint="eastAsia" w:ascii="宋体" w:hAnsi="宋体" w:cs="宋体"/>
          <w:b w:val="0"/>
          <w:bCs w:val="0"/>
          <w:color w:val="auto"/>
          <w:sz w:val="24"/>
          <w:szCs w:val="24"/>
          <w:highlight w:val="none"/>
        </w:rPr>
        <w:t xml:space="preserve">本项目招标</w:t>
      </w:r>
      <w:bookmarkStart w:id="23" w:name="OLE_LINK4"/>
      <w:r/>
      <w:bookmarkStart w:id="24" w:name="OLE_LINK5"/>
      <w:r>
        <w:rPr>
          <w:rFonts w:hint="eastAsia" w:ascii="宋体" w:hAnsi="宋体" w:cs="宋体"/>
          <w:b w:val="0"/>
          <w:bCs w:val="0"/>
          <w:color w:val="auto"/>
          <w:sz w:val="24"/>
          <w:szCs w:val="24"/>
          <w:highlight w:val="none"/>
        </w:rPr>
        <w:t xml:space="preserve">代理费</w:t>
      </w:r>
      <w:bookmarkEnd w:id="23"/>
      <w:r/>
      <w:bookmarkEnd w:id="24"/>
      <w:r>
        <w:rPr>
          <w:rFonts w:hint="eastAsia" w:ascii="宋体" w:hAnsi="宋体" w:cs="宋体"/>
          <w:b w:val="0"/>
          <w:bCs w:val="0"/>
          <w:color w:val="auto"/>
          <w:sz w:val="24"/>
          <w:szCs w:val="24"/>
          <w:highlight w:val="none"/>
        </w:rPr>
        <w:t xml:space="preserve">按苏招协【2022</w:t>
      </w:r>
      <w:r>
        <w:rPr>
          <w:rFonts w:hint="eastAsia" w:ascii="宋体" w:hAnsi="宋体" w:cs="宋体"/>
          <w:b w:val="0"/>
          <w:bCs w:val="0"/>
          <w:color w:val="auto"/>
          <w:sz w:val="24"/>
          <w:szCs w:val="24"/>
          <w:highlight w:val="none"/>
        </w:rPr>
        <w:t xml:space="preserve">】002号文件标准*40%向中标单位收取，此项费用含在投标报价中，不单独列项，由投标单位在报价时综合</w:t>
      </w:r>
      <w:r>
        <w:rPr>
          <w:rFonts w:hint="eastAsia" w:ascii="宋体"/>
          <w:b w:val="0"/>
          <w:bCs w:val="0"/>
          <w:color w:val="auto"/>
          <w:sz w:val="24"/>
          <w:highlight w:val="none"/>
        </w:rPr>
        <w:t xml:space="preserve">考虑。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5" w:name="EB12ed6b870f334fa092f7ed1f9a9dbab8"/>
      <w:r>
        <w:rPr>
          <w:rFonts w:hint="eastAsia" w:ascii="宋体" w:hAnsi="宋体" w:cs="宋体"/>
          <w:color w:val="auto"/>
          <w:sz w:val="20"/>
          <w:highlight w:val="none"/>
        </w:rPr>
        <w:t xml:space="preserve"> </w:t>
      </w:r>
      <w:bookmarkEnd w:id="25"/>
      <w:r/>
      <w:bookmarkStart w:id="26" w:name="EB5d36e8077cc64e309c0c0f0cd8a6f496"/>
      <w:r>
        <w:rPr>
          <w:rFonts w:hint="eastAsia" w:ascii="宋体" w:hAnsi="宋体" w:cs="宋体"/>
          <w:color w:val="auto"/>
          <w:sz w:val="20"/>
          <w:highlight w:val="none"/>
        </w:rPr>
        <w:t xml:space="preserve"> </w:t>
      </w:r>
      <w:bookmarkEnd w:id="26"/>
      <w:r/>
      <w:r/>
    </w:p>
    <w:p>
      <w:pPr>
        <w:pStyle w:val="869"/>
        <w:spacing w:line="360" w:lineRule="auto"/>
        <w:rPr>
          <w:rFonts w:hint="eastAsia" w:ascii="宋体" w:hAnsi="宋体" w:eastAsia="宋体" w:cs="宋体"/>
          <w:color w:val="auto"/>
          <w:highlight w:val="none"/>
        </w:rPr>
        <w:outlineLvl w:val="1"/>
      </w:pPr>
      <w:r/>
      <w:bookmarkStart w:id="27" w:name="_Toc26211"/>
      <w:r/>
      <w:bookmarkStart w:id="28" w:name="_Toc514054475"/>
      <w:r>
        <w:rPr>
          <w:rFonts w:hint="eastAsia" w:ascii="宋体" w:hAnsi="宋体" w:eastAsia="宋体" w:cs="宋体"/>
          <w:color w:val="auto"/>
          <w:highlight w:val="none"/>
        </w:rPr>
        <w:t xml:space="preserve">四、投标文件的提交</w:t>
      </w:r>
      <w:bookmarkEnd w:id="27"/>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9" w:name="_Toc20823298"/>
      <w:r/>
      <w:bookmarkEnd w:id="29"/>
      <w:r/>
      <w:bookmarkStart w:id="30" w:name="_Toc16938542"/>
      <w:r/>
      <w:bookmarkEnd w:id="30"/>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31"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31"/>
      <w:r/>
      <w:r/>
    </w:p>
    <w:p>
      <w:pPr>
        <w:ind w:firstLine="480"/>
        <w:spacing w:line="360" w:lineRule="auto"/>
        <w:rPr>
          <w:rFonts w:hint="eastAsia" w:ascii="宋体" w:hAnsi="宋体"/>
          <w:b/>
          <w:bCs/>
          <w:color w:val="auto"/>
          <w:sz w:val="24"/>
          <w:highlight w:val="none"/>
        </w:rPr>
        <w:outlineLvl w:val="2"/>
      </w:pPr>
      <w:r/>
      <w:bookmarkStart w:id="32" w:name="_Toc513029228"/>
      <w:r/>
      <w:bookmarkStart w:id="33" w:name="_Toc16938544"/>
      <w:r/>
      <w:bookmarkStart w:id="34" w:name="_Toc20823300"/>
      <w:r>
        <w:rPr>
          <w:rFonts w:hint="eastAsia" w:ascii="宋体" w:hAnsi="宋体"/>
          <w:b/>
          <w:bCs/>
          <w:color w:val="auto"/>
          <w:sz w:val="24"/>
          <w:highlight w:val="none"/>
        </w:rPr>
        <w:t xml:space="preserve">17.4、投标文件的撤回和修改</w:t>
      </w:r>
      <w:bookmarkEnd w:id="32"/>
      <w:r/>
      <w:bookmarkEnd w:id="33"/>
      <w:r/>
      <w:bookmarkEnd w:id="3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69"/>
        <w:spacing w:line="360" w:lineRule="auto"/>
        <w:rPr>
          <w:rFonts w:hint="eastAsia" w:ascii="宋体" w:hAnsi="宋体" w:eastAsia="宋体" w:cs="宋体"/>
          <w:color w:val="auto"/>
          <w:highlight w:val="none"/>
        </w:rPr>
        <w:outlineLvl w:val="1"/>
      </w:pPr>
      <w:r/>
      <w:bookmarkStart w:id="35" w:name="_Toc514054476"/>
      <w:r/>
      <w:bookmarkStart w:id="36" w:name="_Toc11452"/>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5"/>
      <w:r/>
      <w:bookmarkEnd w:id="3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7"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val="0"/>
          <w:bCs w:val="0"/>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val="0"/>
          <w:bCs w:val="0"/>
          <w:i/>
          <w:iCs/>
          <w:color w:val="auto"/>
          <w:sz w:val="24"/>
          <w:highlight w:val="none"/>
          <w:u w:val="single"/>
        </w:rPr>
        <w:t xml:space="preserve">（本招标文件中斜体且有下划线部分为实质性要求和条件）</w:t>
      </w:r>
      <w:r>
        <w:rPr>
          <w:rFonts w:hint="eastAsia" w:ascii="宋体" w:hAnsi="宋体"/>
          <w:b w:val="0"/>
          <w:bCs w:val="0"/>
          <w:color w:val="auto"/>
          <w:sz w:val="24"/>
          <w:highlight w:val="none"/>
        </w:rPr>
        <w:t xml:space="preserve">。（以文字表明的实质性要求和标注“★”的内容均为实质性要求）；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投标人不能证明其报价合理性的，评标委员会应当将其作为无效投标处理。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（一）评审过程中出现下列情形之一的，评标委员会应当启动异常低价投标审查程序：</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b w:val="0"/>
          <w:bCs w:val="0"/>
          <w:color w:val="auto"/>
          <w:sz w:val="24"/>
          <w:highlight w:val="none"/>
          <w:u w:val="none"/>
          <w:lang w:val="en-US" w:eastAsia="zh-CN"/>
        </w:rPr>
      </w:pPr>
      <w:r>
        <w:rPr>
          <w:rFonts w:hint="eastAsia" w:ascii="宋体" w:hAnsi="宋体"/>
          <w:b w:val="0"/>
          <w:bCs w:val="0"/>
          <w:color w:val="auto"/>
          <w:sz w:val="24"/>
          <w:highlight w:val="none"/>
          <w:lang w:val="en-US" w:eastAsia="zh-CN"/>
        </w:rPr>
        <w:t xml:space="preserve">4.评审委员会基于专业判断，认为供应商报价过低，有可能影响产品质量或者不能诚信履约</w:t>
      </w:r>
      <w:r>
        <w:rPr>
          <w:rFonts w:hint="eastAsia" w:ascii="宋体" w:hAnsi="宋体"/>
          <w:b w:val="0"/>
          <w:bCs w:val="0"/>
          <w:color w:val="auto"/>
          <w:sz w:val="24"/>
          <w:highlight w:val="none"/>
          <w:u w:val="none"/>
          <w:lang w:val="en-US" w:eastAsia="zh-CN"/>
        </w:rPr>
        <w:t xml:space="preserve">的其他情形。</w:t>
      </w:r>
      <w:r/>
    </w:p>
    <w:p>
      <w:pPr>
        <w:ind w:firstLine="480"/>
        <w:spacing w:line="360" w:lineRule="auto"/>
        <w:rPr>
          <w:rFonts w:hint="eastAsia" w:ascii="宋体" w:hAnsi="宋体"/>
          <w:b w:val="0"/>
          <w:bCs w:val="0"/>
          <w:color w:val="auto"/>
          <w:sz w:val="24"/>
          <w:highlight w:val="none"/>
          <w:u w:val="none"/>
          <w:lang w:val="en-US" w:eastAsia="zh-CN"/>
        </w:rPr>
      </w:pPr>
      <w:r>
        <w:rPr>
          <w:rFonts w:hint="eastAsia" w:ascii="宋体" w:hAnsi="宋体"/>
          <w:b w:val="0"/>
          <w:bCs w:val="0"/>
          <w:color w:val="auto"/>
          <w:sz w:val="24"/>
          <w:highlight w:val="none"/>
          <w:u w:val="none"/>
          <w:lang w:val="en-US" w:eastAsia="zh-CN"/>
        </w:rPr>
        <w:t xml:space="preserve">提醒：采购人可以结合具体项目实际情况，提高上述第1项至第3项中启动异常低价投标（响应）审查的数值标准，但是最高不得超过65%。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相关法律法规对供应商报价有规定的，从其规定。</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69"/>
        <w:spacing w:line="360" w:lineRule="auto"/>
        <w:rPr>
          <w:rFonts w:hint="eastAsia" w:ascii="宋体" w:hAnsi="宋体" w:eastAsia="宋体" w:cs="宋体"/>
          <w:color w:val="auto"/>
          <w:highlight w:val="none"/>
        </w:rPr>
        <w:outlineLvl w:val="1"/>
      </w:pPr>
      <w:r/>
      <w:bookmarkStart w:id="38" w:name="_Toc29013"/>
      <w:r/>
      <w:bookmarkStart w:id="39" w:name="_Toc514054477"/>
      <w:r>
        <w:rPr>
          <w:rFonts w:hint="eastAsia" w:ascii="宋体" w:hAnsi="宋体" w:eastAsia="宋体" w:cs="宋体"/>
          <w:color w:val="auto"/>
          <w:highlight w:val="none"/>
        </w:rPr>
        <w:t xml:space="preserve">六、开标、资格审查、评标程序</w:t>
      </w:r>
      <w:bookmarkEnd w:id="38"/>
      <w:r/>
      <w:bookmarkEnd w:id="39"/>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40"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40"/>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41"/>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2" w:name="EB66024636071342209da8bda483232040"/>
      <w:r>
        <w:rPr>
          <w:rFonts w:hint="eastAsia" w:ascii="宋体" w:hAnsi="宋体" w:cs="宋体"/>
          <w:color w:val="auto"/>
          <w:sz w:val="24"/>
          <w:highlight w:val="none"/>
        </w:rPr>
        <w:t xml:space="preserve"> </w:t>
      </w:r>
      <w:bookmarkEnd w:id="42"/>
      <w:r/>
      <w:r/>
    </w:p>
    <w:p>
      <w:pPr>
        <w:numPr>
          <w:ilvl w:val="0"/>
          <w:numId w:val="3"/>
        </w:numPr>
        <w:ind w:firstLine="482"/>
        <w:spacing w:line="360" w:lineRule="auto"/>
        <w:rPr>
          <w:rFonts w:hint="eastAsia" w:ascii="宋体" w:hAnsi="宋体" w:cs="宋体"/>
          <w:b/>
          <w:bCs/>
          <w:color w:val="auto"/>
          <w:sz w:val="24"/>
          <w:highlight w:val="none"/>
        </w:rPr>
      </w:pPr>
      <w:r/>
      <w:bookmarkStart w:id="43"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4"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lang w:val="en-US" w:eastAsia="zh-CN"/>
        </w:rPr>
      </w:pPr>
      <w:r/>
      <w:bookmarkStart w:id="45" w:name="OLE_LINK27"/>
      <w:r>
        <w:rPr>
          <w:rFonts w:hint="eastAsia" w:ascii="宋体" w:hAnsi="宋体" w:cs="宋体"/>
          <w:color w:val="auto"/>
          <w:sz w:val="24"/>
          <w:highlight w:val="none"/>
          <w:lang w:val="en-US" w:eastAsia="zh-CN"/>
        </w:rPr>
        <w:t xml:space="preserve">29.12实施本国产品标准及相关政策</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1.本项目对采购本国产品给予政策支持，具体内容见招标文件“第三部分  评标方法和标准”。</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val="0"/>
          <w:color w:val="auto"/>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bookmarkEnd w:id="45"/>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未按要求提供相关材料的，不享受相关政策。</w:t>
      </w:r>
      <w:r/>
    </w:p>
    <w:p>
      <w:pPr>
        <w:pStyle w:val="869"/>
        <w:spacing w:line="360" w:lineRule="auto"/>
        <w:rPr>
          <w:rFonts w:hint="eastAsia" w:ascii="宋体" w:hAnsi="宋体" w:eastAsia="宋体" w:cs="宋体"/>
          <w:color w:val="auto"/>
          <w:highlight w:val="none"/>
        </w:rPr>
        <w:outlineLvl w:val="1"/>
      </w:pPr>
      <w:r/>
      <w:bookmarkStart w:id="46" w:name="_Toc9744"/>
      <w:r/>
      <w:bookmarkStart w:id="47" w:name="_Toc81493168"/>
      <w:r/>
      <w:bookmarkStart w:id="48" w:name="_Toc514054478"/>
      <w:r>
        <w:rPr>
          <w:rFonts w:hint="eastAsia" w:ascii="宋体" w:hAnsi="宋体" w:eastAsia="宋体" w:cs="宋体"/>
          <w:color w:val="auto"/>
          <w:highlight w:val="none"/>
        </w:rPr>
        <w:t xml:space="preserve">七、中标及合同签订</w:t>
      </w:r>
      <w:bookmarkEnd w:id="46"/>
      <w:r/>
      <w:bookmarkEnd w:id="47"/>
      <w:r/>
      <w:bookmarkEnd w:id="4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9"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9"/>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50" w:name="EB3094b551b51c42ca93e0255d679fb06f"/>
      <w:r>
        <w:rPr>
          <w:rFonts w:hint="eastAsia" w:ascii="宋体" w:hAnsi="宋体" w:cs="宋体"/>
          <w:color w:val="auto"/>
          <w:sz w:val="24"/>
          <w:szCs w:val="24"/>
          <w:highlight w:val="none"/>
        </w:rPr>
        <w:t xml:space="preserve">见前附表。 </w:t>
      </w:r>
      <w:bookmarkEnd w:id="50"/>
      <w:r/>
      <w:bookmarkStart w:id="51" w:name="EB0d6067c6e00d44b1ad5603550c455e87"/>
      <w:r>
        <w:rPr>
          <w:rFonts w:hint="eastAsia" w:ascii="宋体" w:hAnsi="宋体" w:cs="宋体"/>
          <w:color w:val="auto"/>
          <w:sz w:val="24"/>
          <w:szCs w:val="24"/>
          <w:highlight w:val="none"/>
        </w:rPr>
        <w:t xml:space="preserve"> </w:t>
      </w:r>
      <w:bookmarkEnd w:id="51"/>
      <w:r/>
      <w:r/>
    </w:p>
    <w:p>
      <w:pPr>
        <w:pStyle w:val="869"/>
        <w:spacing w:line="360" w:lineRule="auto"/>
        <w:rPr>
          <w:rFonts w:hint="eastAsia" w:ascii="宋体" w:hAnsi="宋体" w:eastAsia="宋体" w:cs="宋体"/>
          <w:color w:val="auto"/>
          <w:highlight w:val="none"/>
        </w:rPr>
        <w:outlineLvl w:val="1"/>
      </w:pPr>
      <w:r/>
      <w:bookmarkStart w:id="52" w:name="_Toc81493169"/>
      <w:r/>
      <w:bookmarkStart w:id="53" w:name="_Toc25599"/>
      <w:r/>
      <w:bookmarkStart w:id="54" w:name="_Toc514054479"/>
      <w:r>
        <w:rPr>
          <w:rFonts w:hint="eastAsia" w:ascii="宋体" w:hAnsi="宋体" w:eastAsia="宋体" w:cs="宋体"/>
          <w:color w:val="auto"/>
          <w:highlight w:val="none"/>
        </w:rPr>
        <w:t xml:space="preserve">八、验收及付款</w:t>
      </w:r>
      <w:bookmarkEnd w:id="52"/>
      <w:r/>
      <w:bookmarkEnd w:id="53"/>
      <w:r/>
      <w:bookmarkEnd w:id="5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5" w:name="EBbbb2492ed6b84c9193a6bb6f72a512f3"/>
      <w:r>
        <w:rPr>
          <w:rFonts w:hint="eastAsia" w:ascii="宋体" w:hAnsi="宋体" w:cs="宋体"/>
          <w:color w:val="auto"/>
          <w:sz w:val="24"/>
          <w:highlight w:val="none"/>
        </w:rPr>
        <w:t xml:space="preserve">35.1由采购人组织验收，中标人配合。</w:t>
      </w:r>
      <w:bookmarkEnd w:id="5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6"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6"/>
      <w:r>
        <w:rPr>
          <w:rFonts w:hint="eastAsia" w:ascii="宋体" w:hAnsi="宋体" w:cs="宋体"/>
          <w:color w:val="auto"/>
          <w:sz w:val="24"/>
          <w:highlight w:val="none"/>
        </w:rPr>
        <w:t xml:space="preserve"> 采购人按招标文件要求办理采购款支付手续。</w:t>
      </w:r>
      <w:r/>
    </w:p>
    <w:p>
      <w:pPr>
        <w:pStyle w:val="869"/>
        <w:spacing w:line="360" w:lineRule="auto"/>
        <w:rPr>
          <w:rFonts w:hint="eastAsia" w:ascii="宋体" w:hAnsi="宋体" w:eastAsia="宋体" w:cs="宋体"/>
          <w:color w:val="auto"/>
          <w:highlight w:val="none"/>
        </w:rPr>
        <w:outlineLvl w:val="1"/>
      </w:pPr>
      <w:r/>
      <w:bookmarkStart w:id="57" w:name="_Toc514054480"/>
      <w:r/>
      <w:bookmarkStart w:id="58" w:name="_Toc81493170"/>
      <w:r/>
      <w:bookmarkStart w:id="59" w:name="_Toc10945"/>
      <w:r>
        <w:rPr>
          <w:rFonts w:hint="eastAsia" w:ascii="宋体" w:hAnsi="宋体" w:eastAsia="宋体" w:cs="宋体"/>
          <w:color w:val="auto"/>
          <w:highlight w:val="none"/>
        </w:rPr>
        <w:t xml:space="preserve">九、质疑与投诉</w:t>
      </w:r>
      <w:bookmarkEnd w:id="57"/>
      <w:r/>
      <w:bookmarkEnd w:id="58"/>
      <w:r/>
      <w:bookmarkEnd w:id="59"/>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3"/>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b/>
          <w:color w:val="auto"/>
          <w:sz w:val="44"/>
          <w:szCs w:val="44"/>
          <w:highlight w:val="none"/>
        </w:rPr>
      </w:pPr>
      <w:r>
        <w:rPr>
          <w:rFonts w:hint="eastAsia"/>
          <w:b/>
          <w:color w:val="auto"/>
          <w:sz w:val="44"/>
          <w:szCs w:val="44"/>
          <w:highlight w:val="none"/>
        </w:rPr>
        <w:br w:type="page" w:clear="all"/>
      </w:r>
      <w:bookmarkStart w:id="60" w:name="EB4d341233595e4bf8ad7006b4bd78d974"/>
      <w:r/>
      <w:bookmarkEnd w:id="60"/>
      <w:r/>
      <w:bookmarkStart w:id="61" w:name="_Toc22015"/>
      <w:r>
        <w:rPr>
          <w:rFonts w:hint="eastAsia"/>
          <w:b/>
          <w:color w:val="auto"/>
          <w:sz w:val="44"/>
          <w:szCs w:val="44"/>
          <w:highlight w:val="none"/>
        </w:rPr>
        <w:t xml:space="preserve">第三部分  </w:t>
      </w:r>
      <w:bookmarkEnd w:id="61"/>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62" w:name="_Toc24217_WPSOffice_Level2"/>
      <w:r/>
      <w:bookmarkStart w:id="63" w:name="_Toc4647"/>
      <w:r>
        <w:rPr>
          <w:rFonts w:hint="eastAsia"/>
          <w:b/>
          <w:color w:val="auto"/>
          <w:sz w:val="32"/>
          <w:szCs w:val="32"/>
          <w:highlight w:val="none"/>
        </w:rPr>
        <w:t xml:space="preserve">一、资格审查</w:t>
      </w:r>
      <w:bookmarkEnd w:id="62"/>
      <w:r/>
      <w:bookmarkEnd w:id="63"/>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0"/>
        <w:gridCol w:w="4083"/>
      </w:tblGrid>
      <w:tr>
        <w:trPr>
          <w:jc w:val="center"/>
          <w:trHeight w:val="312"/>
        </w:trPr>
        <w:tc>
          <w:tcPr>
            <w:tcW w:w="508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8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08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508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08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08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8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508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08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8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4"/>
        <w:gridCol w:w="4088"/>
      </w:tblGrid>
      <w:tr>
        <w:trPr>
          <w:jc w:val="center"/>
        </w:trPr>
        <w:tc>
          <w:tcPr>
            <w:tcW w:w="50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08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508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08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508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08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508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08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5084"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08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5084"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08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4"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4"/>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0"/>
        </w:numPr>
        <w:ind w:firstLine="480"/>
        <w:jc w:val="left"/>
        <w:spacing w:line="360" w:lineRule="auto"/>
        <w:rPr>
          <w:rFonts w:hint="eastAsia" w:ascii="宋体" w:hAnsi="宋体" w:cs="宋体"/>
          <w:b/>
          <w:bCs w:val="0"/>
          <w:color w:val="auto"/>
          <w:sz w:val="28"/>
          <w:szCs w:val="28"/>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评标结果。</w:t>
      </w:r>
      <w:r>
        <w:rPr>
          <w:rFonts w:hint="eastAsia" w:ascii="宋体" w:hAnsi="宋体" w:cs="宋体"/>
          <w:color w:val="auto"/>
          <w:sz w:val="24"/>
          <w:szCs w:val="24"/>
          <w:highlight w:val="none"/>
        </w:rPr>
        <w:t xml:space="preserve">评标委员会按照本办法规定推荐中标候选人，并形成评标报告。</w:t>
      </w:r>
      <w:r/>
    </w:p>
    <w:p>
      <w:pPr>
        <w:numPr>
          <w:ilvl w:val="0"/>
          <w:numId w:val="0"/>
        </w:numPr>
        <w:ind w:firstLine="0"/>
        <w:keepLines w:val="0"/>
        <w:keepNext w:val="0"/>
        <w:pageBreakBefore w:val="0"/>
        <w:spacing w:line="360" w:lineRule="auto"/>
        <w:widowControl w:val="off"/>
        <w:rPr>
          <w:rFonts w:hint="eastAsia" w:ascii="宋体" w:hAnsi="宋体" w:cs="宋体"/>
          <w:b/>
          <w:bCs w:val="0"/>
          <w:color w:val="auto"/>
          <w:sz w:val="21"/>
          <w:szCs w:val="21"/>
          <w:highlight w:val="yellow"/>
          <w:lang w:eastAsia="zh-CN"/>
        </w:rPr>
      </w:pPr>
      <w:r>
        <w:rPr>
          <w:rFonts w:hint="eastAsia" w:ascii="宋体" w:hAnsi="宋体" w:cs="宋体"/>
          <w:b/>
          <w:bCs w:val="0"/>
          <w:color w:val="auto"/>
          <w:sz w:val="21"/>
          <w:szCs w:val="21"/>
          <w:highlight w:val="yellow"/>
          <w:lang w:eastAsia="zh-CN"/>
        </w:rPr>
      </w:r>
      <w:r/>
    </w:p>
    <w:p>
      <w:pPr>
        <w:numPr>
          <w:ilvl w:val="0"/>
          <w:numId w:val="0"/>
        </w:numPr>
        <w:ind w:firstLine="0"/>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tbl>
      <w:tblPr>
        <w:tblStyle w:val="68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5"/>
        <w:gridCol w:w="7659"/>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numPr>
                <w:ilvl w:val="0"/>
                <w:numId w:val="5"/>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p>
            <w:pPr>
              <w:numPr>
                <w:ilvl w:val="0"/>
                <w:numId w:val="0"/>
              </w:numPr>
              <w:jc w:val="left"/>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p>
            <w:pPr>
              <w:numPr>
                <w:ilvl w:val="0"/>
                <w:numId w:val="0"/>
              </w:numPr>
              <w:jc w:val="left"/>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评审委员会启动异常低价投标 （响应）审查的情形和具体要求：</w:t>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（一）评审过程中出现下列情形之一的，评审委员会应当启动异常低价投标（响应）审查程序：</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①投标（响应）报价低于全部通过符合性审查供应商投标（响应） 报价平均值50%的，即投标（响应）报价&lt;全部通过符合性审查供应商投标（响应）报价平均值×50% ；</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②投标（响应）报价低于通过符合性审查的次低报价供应商投标（响应）报价 50%的，即投标（响应）报价&lt;通过符合性审查的次低报价供应商投标（响应）报价×50%；</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③投标（响应）报价低于采购项目最高限价 45% 的，即投 标（响应）报价&lt;采购项目最高限价×45% ；</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④评审委员会认定的供应商报价过低、有可能影响产品质量或者不能诚信履约的其他情形。</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技术响应（40分）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keepLines w:val="0"/>
              <w:keepNext w:val="0"/>
              <w:pageBreakBefore w:val="0"/>
              <w:spacing w:line="240" w:lineRule="auto"/>
              <w:widowControl/>
              <w:rPr>
                <w:rFonts w:hint="eastAsia" w:ascii="宋体" w:hAnsi="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技术参数要求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line="24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①“技术参数要求”中加“▲”部分为重要条款（共6项），响应招标文件的每项加2分，最高得12分；</w:t>
            </w:r>
            <w:r/>
          </w:p>
          <w:p>
            <w:pPr>
              <w:numPr>
                <w:ilvl w:val="0"/>
                <w:numId w:val="0"/>
              </w:numP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②“技术参数要求”中的</w:t>
            </w:r>
            <w:r>
              <w:rPr>
                <w:rFonts w:hint="eastAsia" w:ascii="宋体" w:hAnsi="宋体" w:eastAsia="宋体" w:cs="宋体"/>
                <w:b w:val="0"/>
                <w:bCs w:val="0"/>
                <w:color w:val="auto"/>
                <w:sz w:val="24"/>
                <w:szCs w:val="24"/>
                <w:highlight w:val="none"/>
                <w:lang w:val="en-US" w:eastAsia="zh-CN"/>
              </w:rPr>
              <w:t xml:space="preserve">一般技术参数条款（</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条）的响应得分规则如下：</w:t>
            </w:r>
            <w:r/>
          </w:p>
          <w:p>
            <w:pPr>
              <w:numPr>
                <w:ilvl w:val="0"/>
                <w:numId w:val="0"/>
              </w:numP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（一般技术参数条款指未标注“★”</w:t>
            </w:r>
            <w:r>
              <w:rPr>
                <w:rFonts w:hint="eastAsia" w:ascii="宋体" w:hAnsi="宋体" w:cs="宋体"/>
                <w:b w:val="0"/>
                <w:bCs w:val="0"/>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lang w:val="en-US" w:eastAsia="zh-CN"/>
              </w:rPr>
              <w:t xml:space="preserve">的条款） 一般技术参数条款响应得分=（投标人满足一般技术参数条款的数量÷一般技术参数条款的总数量）×</w:t>
            </w:r>
            <w:r>
              <w:rPr>
                <w:rFonts w:hint="eastAsia" w:ascii="宋体" w:hAnsi="宋体" w:cs="宋体"/>
                <w:b w:val="0"/>
                <w:bCs w:val="0"/>
                <w:color w:val="auto"/>
                <w:sz w:val="24"/>
                <w:szCs w:val="24"/>
                <w:highlight w:val="none"/>
                <w:lang w:val="en-US" w:eastAsia="zh-CN"/>
              </w:rPr>
              <w:t xml:space="preserve">28</w:t>
            </w:r>
            <w:r>
              <w:rPr>
                <w:rFonts w:hint="eastAsia" w:ascii="宋体" w:hAnsi="宋体" w:eastAsia="宋体" w:cs="宋体"/>
                <w:b w:val="0"/>
                <w:bCs w:val="0"/>
                <w:color w:val="auto"/>
                <w:sz w:val="24"/>
                <w:szCs w:val="24"/>
                <w:highlight w:val="none"/>
                <w:lang w:val="en-US" w:eastAsia="zh-CN"/>
              </w:rPr>
              <w:t xml:space="preserve">分。一般技术参数条款负偏离达到10条作无效标处理。</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（1）得分保留小数点后两位小数，四舍五入。</w:t>
            </w:r>
            <w:r/>
          </w:p>
          <w:p>
            <w:pPr>
              <w:keepLines w:val="0"/>
              <w:keepNext w:val="0"/>
              <w:pageBreakBefore w:val="0"/>
              <w:spacing w:line="240" w:lineRule="auto"/>
              <w:widowControl/>
              <w:rPr>
                <w:rFonts w:hint="eastAsia" w:ascii="宋体" w:hAnsi="宋体" w:eastAsia="宋体" w:cs="宋体"/>
                <w:color w:val="auto"/>
                <w:sz w:val="24"/>
                <w:szCs w:val="24"/>
                <w:highlight w:val="yellow"/>
                <w:lang w:eastAsia="zh-CN"/>
              </w:rPr>
            </w:pPr>
            <w:r>
              <w:rPr>
                <w:rFonts w:hint="eastAsia" w:ascii="宋体" w:hAnsi="宋体" w:eastAsia="宋体" w:cs="宋体"/>
                <w:b w:val="0"/>
                <w:bCs w:val="0"/>
                <w:color w:val="auto"/>
                <w:sz w:val="24"/>
                <w:szCs w:val="24"/>
                <w:highlight w:val="none"/>
                <w:lang w:val="en-US" w:eastAsia="zh-CN"/>
              </w:rPr>
              <w:t xml:space="preserve">（2）技术参数中加“★”部分为核心指标为实质性条款，不作为本项评审，出现负偏离按无效投标处理。</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“技术参数要求”中明确要求提供证明材料的以</w:t>
            </w:r>
            <w:r>
              <w:rPr>
                <w:rFonts w:hint="eastAsia" w:ascii="宋体" w:hAnsi="宋体" w:eastAsia="宋体" w:cs="宋体"/>
                <w:color w:val="auto"/>
                <w:sz w:val="24"/>
                <w:szCs w:val="24"/>
                <w:highlight w:val="none"/>
                <w:lang w:val="en-US" w:eastAsia="zh-CN"/>
              </w:rPr>
              <w:t xml:space="preserve">要求的</w:t>
            </w:r>
            <w:r>
              <w:rPr>
                <w:rFonts w:hint="eastAsia" w:ascii="宋体" w:hAnsi="宋体" w:eastAsia="宋体" w:cs="宋体"/>
                <w:color w:val="auto"/>
                <w:sz w:val="24"/>
                <w:szCs w:val="24"/>
                <w:highlight w:val="none"/>
              </w:rPr>
              <w:t xml:space="preserve">证明材料加盖投标人公章为准，未作要求的以投标人提供的《技术参数响应及偏离表》为准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其中“▲”和“★”号条款，若技术参数中要求的证明材料的按技术参数中的要求提供，若“▲”和“★”号条款技术参数中未要求佐证材料的，投标人需提供说明书、产品彩页、技术白皮书、检测报告等技术文件作为佐证（至少包含其中之一）并加盖投标人公章，在技术文件中未对应出现佐证或在不同技术文件中存在自相矛盾之处或未提供的不得分。</w:t>
            </w:r>
            <w:r>
              <w:rPr>
                <w:rFonts w:hint="eastAsia" w:ascii="宋体" w:hAnsi="宋体" w:eastAsia="宋体" w:cs="宋体"/>
                <w:color w:val="auto"/>
                <w:sz w:val="24"/>
                <w:szCs w:val="24"/>
                <w:highlight w:val="none"/>
              </w:rPr>
              <w:t xml:space="preserve">技术参数中每一小条的要求为一项</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履约能力（3分）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提供自2024年1月1日（含）以来（以合同签订时间为准）投标产品的类似项目的业绩合同复印件，并加盖投标人公章，每提供一份得1分，最高得3分。（提供合同原件扫描件加盖投标单位公章，合同需完整，不得隐蔽数据和文字，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免费质量保修期（3分）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w:t>
            </w:r>
            <w:r>
              <w:rPr>
                <w:rFonts w:hint="eastAsia" w:ascii="宋体" w:hAnsi="宋体" w:eastAsia="宋体" w:cs="宋体"/>
                <w:i w:val="0"/>
                <w:iCs w:val="0"/>
                <w:color w:val="auto"/>
                <w:sz w:val="24"/>
                <w:szCs w:val="24"/>
                <w:highlight w:val="none"/>
                <w:u w:val="none"/>
                <w:lang w:val="en-US" w:eastAsia="zh-CN" w:bidi="ar"/>
              </w:rPr>
              <w:t xml:space="preserve">基础上，每增加1年免费质量保修期的加</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分，本项最高得3分。免费质量保修期间产生的所有保修相关费用（包含人工费、备品备件、耗材、服务费、税金以及保修期间涉及到的其他一切费用等）全部由投标人承担。</w:t>
            </w:r>
            <w:r>
              <w:rPr>
                <w:rFonts w:hint="eastAsia" w:ascii="宋体" w:hAnsi="宋体" w:eastAsia="宋体" w:cs="宋体"/>
                <w:b/>
                <w:bCs/>
                <w:i w:val="0"/>
                <w:iCs w:val="0"/>
                <w:color w:val="auto"/>
                <w:sz w:val="24"/>
                <w:szCs w:val="24"/>
                <w:highlight w:val="none"/>
                <w:u w:val="none"/>
                <w:lang w:val="en-US" w:eastAsia="zh-CN" w:bidi="ar"/>
              </w:rPr>
              <w:t xml:space="preserve">（以投标人投标时提供的承诺函（格式自拟）为准，未提供的不得分）。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人员配备（4分）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四、人员配备”要求，配备丰富的管理及专业实施人员团队，至少包括管理人员投入、技术人员投入、安装调试人员投入，管理及专业实施人员配备优于本项目需求的得4分，管理及专业实施人员配备满足本项目需求的得2分，管理及专业实施人员配备不满足或不提供不得分。（</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项目实施方案（9分）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投标人根据本项目第四部分中“5.1.项目实施方案”要求，提供科学合理的项目实施方案，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供货运输方案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售后服务方案（9分）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投标人根据本项目第四部分中“5.2.售后服务方案”要求，提供科学合理的售后服务方案，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回访巡检方案等方面内容。</w:t>
            </w:r>
            <w:r/>
          </w:p>
          <w:p>
            <w:pPr>
              <w:jc w:val="left"/>
              <w:keepLines w:val="0"/>
              <w:keepNext w:val="0"/>
              <w:pageBreakBefore w:val="0"/>
              <w:spacing w:line="24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208"/>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节能产品（0.5分）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宋体" w:hAnsi="宋体" w:eastAsia="宋体" w:cs="宋体"/>
                <w:bCs w:val="0"/>
                <w:color w:val="auto"/>
                <w:sz w:val="24"/>
                <w:szCs w:val="24"/>
                <w:highlight w:val="none"/>
                <w:u w:val="none"/>
                <w:shd w:val="clear" w:color="auto" w:fill="auto"/>
                <w:lang w:val="en-US" w:eastAsia="zh-CN" w:bidi="ar"/>
              </w:rPr>
              <w:t xml:space="preserve">0.5</w:t>
            </w:r>
            <w:r>
              <w:rPr>
                <w:rFonts w:hint="eastAsia" w:ascii="宋体" w:hAnsi="宋体" w:eastAsia="宋体" w:cs="宋体"/>
                <w:bCs w:val="0"/>
                <w:color w:val="auto"/>
                <w:sz w:val="24"/>
                <w:szCs w:val="24"/>
                <w:highlight w:val="none"/>
                <w:u w:val="none"/>
                <w:shd w:val="clear" w:color="auto" w:fill="auto"/>
                <w:lang w:bidi="ar"/>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环境标志产品（0.5分）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宋体" w:hAnsi="宋体" w:cs="宋体"/>
                <w:bCs w:val="0"/>
                <w:color w:val="auto"/>
                <w:sz w:val="24"/>
                <w:szCs w:val="24"/>
                <w:highlight w:val="none"/>
                <w:u w:val="none"/>
                <w:shd w:val="clear" w:color="auto" w:fill="auto"/>
                <w:lang w:val="en-US" w:eastAsia="zh-CN" w:bidi="ar"/>
              </w:rPr>
              <w:t xml:space="preserve">0.5</w:t>
            </w:r>
            <w:r>
              <w:rPr>
                <w:rFonts w:hint="eastAsia" w:ascii="宋体" w:hAnsi="宋体" w:eastAsia="宋体" w:cs="宋体"/>
                <w:bCs w:val="0"/>
                <w:color w:val="auto"/>
                <w:sz w:val="24"/>
                <w:szCs w:val="24"/>
                <w:highlight w:val="none"/>
                <w:u w:val="none"/>
                <w:shd w:val="clear" w:color="auto" w:fill="auto"/>
                <w:lang w:bidi="ar"/>
              </w:rPr>
              <w:t xml:space="preserve">分。</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0.5分</w:t>
            </w:r>
            <w:r/>
          </w:p>
        </w:tc>
      </w:tr>
      <w:tr>
        <w:trPr>
          <w:jc w:val="center"/>
          <w:trHeight w:val="1132"/>
        </w:trPr>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Cs w:val="0"/>
                <w:color w:val="auto"/>
                <w:sz w:val="24"/>
                <w:szCs w:val="24"/>
                <w:highlight w:val="none"/>
                <w:u w:val="none"/>
                <w:shd w:val="clear" w:color="auto" w:fill="auto"/>
                <w:lang w:bidi="ar"/>
              </w:rPr>
              <w:t xml:space="preserve">诚信投标</w:t>
            </w:r>
            <w:r>
              <w:rPr>
                <w:rFonts w:hint="eastAsia" w:ascii="宋体" w:hAnsi="宋体" w:eastAsia="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提供盐城市大丰区政府招标采购供应商承诺书得1分，不提供不得分。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bl>
    <w:p>
      <w:pPr>
        <w:ind w:right="-10"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7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7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供应商需按照采购文件的要求提供相应的《中小企业声明函》。</w:t>
      </w:r>
      <w:r/>
    </w:p>
    <w:p>
      <w:pPr>
        <w:pStyle w:val="87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采购本国产品的支持政策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highlight w:val="none"/>
          <w:u w:val="single"/>
        </w:rPr>
        <w:t xml:space="preserve">80%</w:t>
      </w:r>
      <w:r>
        <w:rPr>
          <w:rFonts w:hint="eastAsia" w:ascii="宋体" w:hAnsi="宋体" w:eastAsia="宋体" w:cs="宋体"/>
          <w:b w:val="0"/>
          <w:bCs w:val="0"/>
          <w:color w:val="auto"/>
          <w:sz w:val="24"/>
          <w:szCs w:val="24"/>
          <w:highlight w:val="none"/>
        </w:rPr>
        <w:t xml:space="preserve">以上时（供应商需在“第六部分  投标文件格式”的“投标分项报价表”中填写比例数值），依法对该供应商提供的全部产品给予价格评审优惠，即对该供应商提供的全部产品的总报价给予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highlight w:val="none"/>
          <w:u w:val="single"/>
        </w:rPr>
        <w:t xml:space="preserve">20%</w:t>
      </w:r>
      <w:r>
        <w:rPr>
          <w:rFonts w:hint="eastAsia" w:ascii="宋体" w:hAnsi="宋体" w:eastAsia="宋体" w:cs="宋体"/>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.4供应商需在《声明函》中逐一、准确填写产品名称、厂名、生产厂址三项信息（《声明函》中用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highlight w:val="none"/>
          <w:lang w:val="en-US" w:eastAsia="zh-CN"/>
        </w:rPr>
        <w:t xml:space="preserve">在苏采云系统</w:t>
      </w:r>
      <w:r>
        <w:rPr>
          <w:rFonts w:hint="eastAsia" w:ascii="宋体" w:hAnsi="宋体" w:eastAsia="宋体" w:cs="宋体"/>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5" w:name="EBae7807b0bcbc478ea1f502c8f1955356"/>
      <w:r/>
      <w:bookmarkEnd w:id="65"/>
      <w:r/>
      <w:bookmarkStart w:id="66" w:name="_Toc514054481"/>
      <w:r>
        <w:rPr>
          <w:rFonts w:hint="eastAsia"/>
          <w:b/>
          <w:color w:val="auto"/>
          <w:sz w:val="44"/>
          <w:szCs w:val="44"/>
          <w:highlight w:val="none"/>
        </w:rPr>
        <w:br w:type="page" w:clear="all"/>
      </w:r>
      <w:bookmarkStart w:id="67"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6"/>
      <w:r/>
      <w:bookmarkEnd w:id="67"/>
      <w:r/>
      <w:r/>
    </w:p>
    <w:p>
      <w:pPr>
        <w:pStyle w:val="687"/>
        <w:spacing w:before="103"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1"/>
          <w:sz w:val="28"/>
          <w:szCs w:val="28"/>
          <w:highlight w:val="none"/>
        </w:rPr>
        <w:t xml:space="preserve">一、</w:t>
      </w:r>
      <w:r>
        <w:rPr>
          <w:rFonts w:hint="eastAsia" w:ascii="宋体" w:hAnsi="宋体" w:eastAsia="宋体" w:cs="宋体"/>
          <w:b/>
          <w:bCs/>
          <w:color w:val="auto"/>
          <w:spacing w:val="-1"/>
          <w:sz w:val="28"/>
          <w:szCs w:val="28"/>
          <w:highlight w:val="none"/>
          <w:lang w:val="en-US" w:eastAsia="zh-CN"/>
        </w:rPr>
        <w:t xml:space="preserve">需求一览表</w:t>
      </w:r>
      <w:r/>
    </w:p>
    <w:tbl>
      <w:tblPr>
        <w:tblStyle w:val="68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478"/>
        <w:gridCol w:w="1020"/>
        <w:gridCol w:w="2930"/>
        <w:gridCol w:w="1980"/>
      </w:tblGrid>
      <w:tr>
        <w:trPr>
          <w:jc w:val="center"/>
          <w:trHeight w:val="590"/>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bookmarkStart w:id="68" w:name="_Toc9306"/>
            <w:r/>
            <w:bookmarkStart w:id="69" w:name="_Toc514054482"/>
            <w:r>
              <w:rPr>
                <w:rFonts w:hint="eastAsia" w:ascii="宋体" w:hAnsi="宋体" w:cs="宋体"/>
                <w:i w:val="0"/>
                <w:iCs w:val="0"/>
                <w:color w:val="auto"/>
                <w:sz w:val="24"/>
                <w:szCs w:val="24"/>
                <w:highlight w:val="none"/>
                <w:u w:val="none"/>
                <w:lang w:val="en-US" w:eastAsia="zh-CN" w:bidi="ar"/>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247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交货期</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交货地点</w:t>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体外循环机</w:t>
            </w:r>
            <w:r>
              <w:rPr>
                <w:rFonts w:hint="eastAsia" w:ascii="宋体" w:hAnsi="宋体" w:cs="宋体"/>
                <w:color w:val="auto"/>
                <w:sz w:val="24"/>
                <w:szCs w:val="24"/>
                <w:highlight w:val="none"/>
                <w:lang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cs="宋体"/>
                <w:color w:val="auto"/>
                <w:sz w:val="24"/>
                <w:szCs w:val="24"/>
                <w:highlight w:val="none"/>
                <w:lang w:val="en-US"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合同签订后</w:t>
            </w:r>
            <w:r>
              <w:rPr>
                <w:rStyle w:val="873"/>
                <w:rFonts w:hint="eastAsia" w:ascii="宋体" w:hAnsi="宋体" w:cs="宋体"/>
                <w:bCs/>
                <w:i w:val="0"/>
                <w:iCs w:val="0"/>
                <w:color w:val="auto"/>
                <w:sz w:val="24"/>
                <w:szCs w:val="24"/>
                <w:highlight w:val="none"/>
                <w:u w:val="none"/>
                <w:lang w:val="en-US" w:eastAsia="zh-CN"/>
              </w:rPr>
              <w:t xml:space="preserve">180日历天</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t xml:space="preserve">采购人</w:t>
            </w:r>
            <w:r>
              <w:rPr>
                <w:rFonts w:hint="eastAsia" w:ascii="宋体" w:hAnsi="宋体" w:eastAsia="宋体" w:cs="宋体"/>
                <w:i w:val="0"/>
                <w:iCs w:val="0"/>
                <w:color w:val="auto"/>
                <w:sz w:val="24"/>
                <w:szCs w:val="24"/>
                <w:highlight w:val="none"/>
                <w:u w:val="none"/>
              </w:rPr>
              <w:t xml:space="preserve">指定地点</w:t>
            </w:r>
            <w:r/>
          </w:p>
        </w:tc>
      </w:tr>
    </w:tbl>
    <w:p>
      <w:pPr>
        <w:pStyle w:val="687"/>
        <w:spacing w:before="103" w:line="360" w:lineRule="auto"/>
        <w:rPr>
          <w:rFonts w:hint="eastAsia" w:ascii="宋体" w:hAnsi="宋体" w:eastAsia="宋体" w:cs="宋体"/>
          <w:b/>
          <w:bCs/>
          <w:color w:val="auto"/>
          <w:spacing w:val="-1"/>
          <w:sz w:val="28"/>
          <w:szCs w:val="28"/>
          <w:highlight w:val="none"/>
        </w:rPr>
      </w:pPr>
      <w:r>
        <w:rPr>
          <w:rFonts w:hint="eastAsia" w:ascii="宋体" w:hAnsi="宋体" w:eastAsia="宋体" w:cs="宋体"/>
          <w:b/>
          <w:bCs/>
          <w:color w:val="auto"/>
          <w:spacing w:val="-1"/>
          <w:sz w:val="28"/>
          <w:szCs w:val="28"/>
          <w:highlight w:val="none"/>
        </w:rPr>
      </w:r>
      <w:r/>
    </w:p>
    <w:p>
      <w:pPr>
        <w:pStyle w:val="687"/>
        <w:spacing w:before="103" w:line="360" w:lineRule="auto"/>
        <w:rPr>
          <w:rFonts w:hint="eastAsia" w:ascii="宋体" w:hAnsi="宋体" w:cs="宋体"/>
          <w:b/>
          <w:color w:val="auto"/>
          <w:sz w:val="28"/>
          <w:szCs w:val="28"/>
          <w:highlight w:val="none"/>
          <w:lang w:val="en-US" w:eastAsia="zh-CN"/>
        </w:rPr>
      </w:pPr>
      <w:r>
        <w:rPr>
          <w:rFonts w:hint="eastAsia" w:ascii="宋体" w:hAnsi="宋体" w:eastAsia="宋体" w:cs="宋体"/>
          <w:b/>
          <w:bCs/>
          <w:color w:val="auto"/>
          <w:spacing w:val="-1"/>
          <w:sz w:val="28"/>
          <w:szCs w:val="28"/>
          <w:highlight w:val="none"/>
        </w:rPr>
        <w:t xml:space="preserve">二、</w:t>
      </w:r>
      <w:r>
        <w:rPr>
          <w:rFonts w:hint="eastAsia" w:ascii="宋体" w:hAnsi="宋体" w:eastAsia="宋体" w:cs="宋体"/>
          <w:b/>
          <w:bCs/>
          <w:color w:val="auto"/>
          <w:spacing w:val="-1"/>
          <w:sz w:val="28"/>
          <w:szCs w:val="28"/>
          <w:highlight w:val="none"/>
          <w:lang w:val="en-US" w:eastAsia="zh-CN"/>
        </w:rPr>
        <w:t xml:space="preserve">技术参数要求</w:t>
      </w:r>
      <w:r/>
    </w:p>
    <w:p>
      <w:pPr>
        <w:pStyle w:val="687"/>
        <w:keepLines w:val="0"/>
        <w:keepNext w:val="0"/>
        <w:pageBreakBefore w:val="0"/>
        <w:spacing w:before="48"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lang w:val="en-US" w:eastAsia="zh-CN"/>
        </w:rPr>
        <w:t xml:space="preserve"> </w:t>
      </w:r>
      <w:r>
        <w:rPr>
          <w:rFonts w:hint="eastAsia" w:cs="宋体"/>
          <w:b/>
          <w:bCs/>
          <w:color w:val="auto"/>
          <w:spacing w:val="-9"/>
          <w:sz w:val="24"/>
          <w:szCs w:val="24"/>
          <w:lang w:eastAsia="zh-CN"/>
        </w:rPr>
        <w:t xml:space="preserve">（</w:t>
      </w:r>
      <w:r>
        <w:rPr>
          <w:rFonts w:hint="eastAsia" w:cs="宋体"/>
          <w:b/>
          <w:bCs/>
          <w:color w:val="auto"/>
          <w:spacing w:val="-9"/>
          <w:sz w:val="24"/>
          <w:szCs w:val="24"/>
          <w:lang w:val="en-US" w:eastAsia="zh-CN"/>
        </w:rPr>
        <w:t xml:space="preserve">1</w:t>
      </w:r>
      <w:r>
        <w:rPr>
          <w:rFonts w:hint="eastAsia" w:cs="宋体"/>
          <w:b/>
          <w:bCs/>
          <w:color w:val="auto"/>
          <w:spacing w:val="-9"/>
          <w:sz w:val="24"/>
          <w:szCs w:val="24"/>
          <w:lang w:eastAsia="zh-CN"/>
        </w:rPr>
        <w:t xml:space="preserve">）</w:t>
      </w:r>
      <w:r>
        <w:rPr>
          <w:rFonts w:hint="eastAsia" w:ascii="宋体" w:hAnsi="宋体" w:eastAsia="宋体" w:cs="宋体"/>
          <w:b/>
          <w:bCs/>
          <w:color w:val="auto"/>
          <w:spacing w:val="-9"/>
          <w:sz w:val="24"/>
          <w:szCs w:val="24"/>
        </w:rPr>
        <w:t xml:space="preserve">主要技术参数：</w:t>
      </w:r>
      <w:r/>
    </w:p>
    <w:p>
      <w:pPr>
        <w:pStyle w:val="687"/>
        <w:ind w:firstLine="209"/>
        <w:keepLines w:val="0"/>
        <w:keepNext w:val="0"/>
        <w:pageBreakBefore w:val="0"/>
        <w:spacing w:before="7" w:line="360" w:lineRule="auto"/>
        <w:widowControl/>
        <w:rPr>
          <w:rFonts w:hint="eastAsia" w:ascii="宋体" w:hAnsi="宋体" w:eastAsia="宋体" w:cs="宋体"/>
          <w:color w:val="auto"/>
          <w:sz w:val="24"/>
          <w:szCs w:val="24"/>
        </w:rPr>
      </w:pPr>
      <w:r>
        <w:rPr>
          <w:rFonts w:hint="eastAsia" w:ascii="宋体" w:hAnsi="宋体" w:eastAsia="宋体" w:cs="宋体"/>
          <w:b/>
          <w:bCs/>
          <w:color w:val="auto"/>
          <w:spacing w:val="-16"/>
          <w:sz w:val="24"/>
          <w:szCs w:val="24"/>
        </w:rPr>
        <w:t xml:space="preserve">1.底座：</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 不锈钢底座，单头泵3个，双头泵1个，监测一套。</w:t>
      </w:r>
      <w:r/>
    </w:p>
    <w:p>
      <w:pPr>
        <w:pStyle w:val="687"/>
        <w:ind w:right="300" w:firstLine="232"/>
        <w:keepLines w:val="0"/>
        <w:keepNext w:val="0"/>
        <w:pageBreakBefore w:val="0"/>
        <w:spacing w:before="24" w:line="36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1.2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万向轮移动，不锈钢支架，高度可调式灌注杆；变压及电压保护系统，24V</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
          <w:sz w:val="24"/>
          <w:szCs w:val="24"/>
        </w:rPr>
        <w:t xml:space="preserve">医疗安全电压，电压不稳或断电时自动切换到</w:t>
      </w:r>
      <w:r>
        <w:rPr>
          <w:rFonts w:hint="eastAsia" w:ascii="宋体" w:hAnsi="宋体" w:eastAsia="宋体" w:cs="宋体"/>
          <w:color w:val="auto"/>
          <w:sz w:val="24"/>
          <w:szCs w:val="24"/>
        </w:rPr>
        <w:t xml:space="preserve">UPS</w:t>
      </w:r>
      <w:r>
        <w:rPr>
          <w:rFonts w:hint="eastAsia" w:ascii="宋体" w:hAnsi="宋体" w:eastAsia="宋体" w:cs="宋体"/>
          <w:color w:val="auto"/>
          <w:spacing w:val="1"/>
          <w:sz w:val="24"/>
          <w:szCs w:val="24"/>
        </w:rPr>
        <w:t xml:space="preserve">,</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1"/>
          <w:sz w:val="24"/>
          <w:szCs w:val="24"/>
        </w:rPr>
        <w:t xml:space="preserve">无</w:t>
      </w:r>
      <w:r>
        <w:rPr>
          <w:rFonts w:hint="eastAsia" w:ascii="宋体" w:hAnsi="宋体" w:eastAsia="宋体" w:cs="宋体"/>
          <w:color w:val="auto"/>
          <w:sz w:val="24"/>
          <w:szCs w:val="24"/>
        </w:rPr>
        <w:t xml:space="preserve">间断；</w:t>
      </w:r>
      <w:r/>
    </w:p>
    <w:p>
      <w:pPr>
        <w:pStyle w:val="687"/>
        <w:ind w:left="639" w:right="321" w:hanging="475"/>
        <w:keepLines w:val="0"/>
        <w:keepNext w:val="0"/>
        <w:pageBreakBefore w:val="0"/>
        <w:spacing w:before="48" w:line="360" w:lineRule="auto"/>
        <w:widowControl/>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▲1.3</w:t>
      </w:r>
      <w:r>
        <w:rPr>
          <w:rFonts w:hint="eastAsia" w:cs="宋体"/>
          <w:color w:val="auto"/>
          <w:spacing w:val="5"/>
          <w:sz w:val="24"/>
          <w:szCs w:val="24"/>
          <w:lang w:val="en-US" w:eastAsia="zh-CN"/>
        </w:rPr>
        <w:t xml:space="preserve"> </w:t>
      </w:r>
      <w:r>
        <w:rPr>
          <w:rFonts w:hint="eastAsia" w:ascii="宋体" w:hAnsi="宋体" w:eastAsia="宋体" w:cs="宋体"/>
          <w:color w:val="auto"/>
          <w:sz w:val="24"/>
          <w:szCs w:val="24"/>
        </w:rPr>
        <w:t xml:space="preserve">UPS</w:t>
      </w:r>
      <w:r>
        <w:rPr>
          <w:rFonts w:hint="eastAsia" w:ascii="宋体" w:hAnsi="宋体" w:eastAsia="宋体" w:cs="宋体"/>
          <w:color w:val="auto"/>
          <w:spacing w:val="5"/>
          <w:sz w:val="24"/>
          <w:szCs w:val="24"/>
        </w:rPr>
        <w:t xml:space="preserve">自动充放电，独立供电时，整机负荷≥120分钟，并显示电池剩余</w:t>
      </w:r>
      <w:r>
        <w:rPr>
          <w:rFonts w:hint="eastAsia" w:ascii="宋体" w:hAnsi="宋体" w:eastAsia="宋体" w:cs="宋体"/>
          <w:color w:val="auto"/>
          <w:spacing w:val="-5"/>
          <w:sz w:val="24"/>
          <w:szCs w:val="24"/>
        </w:rPr>
        <w:t xml:space="preserve">使用时间</w:t>
      </w:r>
      <w:r>
        <w:rPr>
          <w:rFonts w:hint="eastAsia" w:cs="宋体"/>
          <w:color w:val="auto"/>
          <w:spacing w:val="-5"/>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1.4 中文/英文操作系统，数据处理中心，机器工作时对所有部件进行数据分析、记录、监控并自动纠错，保证整机正常工作。</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1.5 每个独立的泵，监测、底座等具有独立微处理控制，3秒钟机器快速启动，可保证急诊快速备机。</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rPr>
      </w:pPr>
      <w:r>
        <w:rPr>
          <w:rFonts w:hint="eastAsia" w:ascii="宋体" w:hAnsi="宋体" w:eastAsia="宋体" w:cs="宋体"/>
          <w:b/>
          <w:bCs/>
          <w:color w:val="auto"/>
          <w:spacing w:val="-4"/>
          <w:sz w:val="24"/>
          <w:szCs w:val="24"/>
        </w:rPr>
        <w:t xml:space="preserve">2.单头泵：</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重量：单滚压泵≤15kg,   悬挂单滚压泵≤11.9kg;</w:t>
      </w:r>
      <w:r/>
    </w:p>
    <w:p>
      <w:pPr>
        <w:pStyle w:val="687"/>
        <w:ind w:right="300" w:firstLine="69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泵参数：滚压泵泵头跑道的直径150 mm; 速度范围0到250 RPM;  旋转方向(顺时针，逆时针),速度精确度的偏离±1 %;工作电压：24V DC;</w:t>
      </w:r>
      <w:r/>
    </w:p>
    <w:p>
      <w:pPr>
        <w:pStyle w:val="687"/>
        <w:ind w:right="300" w:firstLine="69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流量范围：1/4”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0-3.12 LPM</w:t>
      </w:r>
      <w:r/>
    </w:p>
    <w:p>
      <w:pPr>
        <w:pStyle w:val="687"/>
        <w:ind w:right="300" w:firstLine="185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3/8"  0-6.50 LPM</w:t>
      </w:r>
      <w:r/>
    </w:p>
    <w:p>
      <w:pPr>
        <w:pStyle w:val="687"/>
        <w:ind w:right="300" w:firstLine="185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0-11.2 LPM</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转速范围：0-250 RPM, 转速误差±1%;</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多种尺寸管道夹，包括单孔、双孔管道夹；</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泵槽设计：马蹄型；</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泵头可180度转动；</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涡轮杆转子锁紧结构；</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2.7</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无终点铝钛合金编码器式泵转速调节旋钮，适应粗调、精调。</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2.8</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常用管道流量记忆和微调系统，用于消除管道的误差所造成的灌注偏差；</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2.9</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开盖停泵保护；</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2.10</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泵头可更换；</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任意两个泵之间都可以设置主泵/从泵的灌注关系；</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具有转速异常、反转等声光报警；</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液晶屏数字显示流量、转速、管径、工作模式、监测设备及所有状态信息； </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泵头传动系统使用直轴传动非皮带传动；</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可脱离数字化控制由灌注师进行机械式操作；</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2.16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有开机自检保护系统；有错误定位诊断系统。</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3.双头泵</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重量：双头泵≤12 kg</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泵参数：双头泵或悬挂泵泵头跑道的直径85 mm, 速度范围0到250 RPM, 旋转方向(顺时针，逆时针),速度精确度的偏离±1%;工作电压：24V DC; </w:t>
      </w:r>
      <w:r/>
    </w:p>
    <w:p>
      <w:pPr>
        <w:pStyle w:val="687"/>
        <w:ind w:right="300" w:firstLine="69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流量范围：1/4”0-1.57 LPM</w:t>
      </w:r>
      <w:r/>
    </w:p>
    <w:p>
      <w:pPr>
        <w:pStyle w:val="687"/>
        <w:ind w:right="300" w:firstLine="1856"/>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5/16"0-2.33 LPM</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转速范围：0-250 RPM, 转速误差±1%;</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多种尺寸管道夹，可选双孔管道夹；</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泵槽设计：马蹄型；</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泵头可240度转动；</w:t>
      </w:r>
      <w:r/>
    </w:p>
    <w:p>
      <w:pPr>
        <w:pStyle w:val="687"/>
        <w:ind w:right="300" w:firstLine="232"/>
        <w:keepLines w:val="0"/>
        <w:keepNext w:val="0"/>
        <w:pageBreakBefore w:val="0"/>
        <w:spacing w:before="24" w:line="36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3.7</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涡轮杆转子锁紧结构</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3.8</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无终点铝钛合金编码器式泵转速调节旋钮，适应粗调、精调。</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3.9</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常用管道流量记忆和微调系统，用于消除管道的误差所造成的灌注偏差；</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3.10</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开盖停泵保护；泵头可更换；</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任意两个泵之间都可以设置主泵/从泵的灌注关系；</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具有转速异常、反转等声光报警；</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彩色液晶屏数字显示流量、转速、管径、工作模式、监测设备及所有状</w:t>
      </w:r>
      <w:r>
        <w:rPr>
          <w:rFonts w:hint="eastAsia" w:ascii="宋体" w:hAnsi="宋体" w:eastAsia="宋体" w:cs="宋体"/>
          <w:color w:val="auto"/>
          <w:spacing w:val="-4"/>
          <w:sz w:val="24"/>
          <w:szCs w:val="24"/>
          <w:lang w:val="en-US" w:eastAsia="zh-CN"/>
        </w:rPr>
        <w:t xml:space="preserve">态</w:t>
      </w:r>
      <w:r>
        <w:rPr>
          <w:rFonts w:hint="eastAsia" w:ascii="宋体" w:hAnsi="宋体" w:eastAsia="宋体" w:cs="宋体"/>
          <w:color w:val="auto"/>
          <w:spacing w:val="-4"/>
          <w:sz w:val="24"/>
          <w:szCs w:val="24"/>
        </w:rPr>
        <w:t xml:space="preserve">信息；</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泵头传动系统使用直轴传动非皮带传动；</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可脱离数字化控制由灌注师进行机械式操作；</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3.16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有开机自检保护系统；有错误定位诊断系统。</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4.监测操作及显示面板系统</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含压力、温度、时间、气泡、血平面、心肌保护灌注、搏动灌注显示控制 功能，并数字显示监测数据；</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液晶触摸操作；</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模块化监测面板，可根据不同用户需要排列监测与显示内容；而且任何面 板都可以任意互换(即使在开机工作状态下);</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彩色大屏幕液晶显示触摸面板，显示模块可随时更换，操作显示屏可快速 锁定和解锁。</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完整的中英文泵操作和监测的用户界面系统</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5.压力监测</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可监测2导压力；</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压力测量范围-200 mmHg 到+800 mm Hg 显示精度：1mmHg;</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可设定压力监测上、下限，超过设定时立即声光报警；</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可通过设定压力上、下限智能控制泵速或停泵。</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6.温度监测</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可监测1—4导温度；</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显示精度：0.1℃;</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显示范围：0—50℃;</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可设定温度监测上、下限，超过设定时立即声光报警。</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7.时间监测及时钟</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7.1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可显示3导时间；</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7.2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精确到秒；</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7.3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系统时钟。</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8.气泡及血平面监测</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超声监测气泡，适用任何材料的泵管；</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警报限值(气泡探头)≥15rpm</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气泡监测范围：1/2-3/8:0.144 立方厘米-0.034 立方厘米； 1/4-3/16:0.144        立方厘米-0.034立方厘米；</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管径：1/2-3/8;</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微气泡的敏感度可调节；</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发生气泡时可声光报警，并智能控制泵速或停泵；</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8.7</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电容型监测血平面，适用任何氧合器；</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8.8</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监测范围：血平面贴片顶端±10mm;</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8.9</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停泵位置：血平面贴片顶端-10mm;</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8.10</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发生血液及预冲液的水平下降可声光报警，智能控制泵速或停泵。</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9.心肌灌注保护控制监测</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▲9.1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可通过压力控制、温度控制及容量控制，达到控制心肌灌注液的目的，心肌保护液量控制调节范围0—2L,剂量精确度±10%,最小允许量±20 m1;</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9.2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可显示现时灌注量、总量、灌注时间、上次灌注至现在的时间；</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9.3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所有数据的累计随泵的运转自动开始或停止，无需灌注师操作。</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rPr>
        <w:t xml:space="preserve">10.两路机械式空气氧气混合器</w:t>
      </w:r>
      <w:r>
        <w:rPr>
          <w:rFonts w:hint="eastAsia" w:cs="宋体"/>
          <w:b/>
          <w:bCs/>
          <w:color w:val="auto"/>
          <w:spacing w:val="-4"/>
          <w:sz w:val="24"/>
          <w:szCs w:val="24"/>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10.1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精确调节进入氧合器的空气、氧气的百分比；</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10.2 FIO₂:0.21—1.0。</w:t>
      </w:r>
      <w:r/>
    </w:p>
    <w:p>
      <w:pPr>
        <w:pStyle w:val="687"/>
        <w:ind w:right="300" w:firstLine="233"/>
        <w:keepLines w:val="0"/>
        <w:keepNext w:val="0"/>
        <w:pageBreakBefore w:val="0"/>
        <w:spacing w:before="24" w:line="360" w:lineRule="auto"/>
        <w:widowControl/>
        <w:rPr>
          <w:rFonts w:hint="eastAsia"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rPr>
        <w:t xml:space="preserve">▲11.三路全自动变温水箱系统</w:t>
      </w:r>
      <w:r>
        <w:rPr>
          <w:rFonts w:hint="eastAsia" w:cs="宋体"/>
          <w:b/>
          <w:bCs/>
          <w:color w:val="auto"/>
          <w:spacing w:val="-4"/>
          <w:sz w:val="24"/>
          <w:szCs w:val="24"/>
          <w:highlight w:val="none"/>
          <w:lang w:eastAsia="zh-CN"/>
        </w:rPr>
        <w:t xml:space="preserve">：</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11.1</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开机自检、错误诊断系统； </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11.2</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水箱容积：≥12.5升</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11.3</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快速预冲，自动祛除气泡；</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11.4</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快速启动，无须预热；</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11.5</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温度控制范围：2℃—41℃;</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11.6</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变温速度快，每升、降10℃需≤2分钟；</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11.7</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可将管道中的循环水吸回。</w:t>
      </w:r>
      <w:r/>
    </w:p>
    <w:p>
      <w:pPr>
        <w:pStyle w:val="687"/>
        <w:ind w:right="300"/>
        <w:keepLines w:val="0"/>
        <w:keepNext w:val="0"/>
        <w:pageBreakBefore w:val="0"/>
        <w:spacing w:before="24" w:line="360" w:lineRule="auto"/>
        <w:widowControl/>
        <w:rPr>
          <w:rFonts w:hint="eastAsia" w:cs="宋体"/>
          <w:b/>
          <w:bCs/>
          <w:color w:val="auto"/>
          <w:spacing w:val="-4"/>
          <w:sz w:val="24"/>
          <w:szCs w:val="24"/>
          <w:lang w:eastAsia="zh-CN"/>
        </w:rPr>
      </w:pPr>
      <w:r>
        <w:rPr>
          <w:rFonts w:hint="eastAsia" w:cs="宋体"/>
          <w:b/>
          <w:bCs/>
          <w:color w:val="auto"/>
          <w:spacing w:val="-4"/>
          <w:sz w:val="24"/>
          <w:szCs w:val="24"/>
          <w:lang w:eastAsia="zh-CN"/>
        </w:rPr>
      </w:r>
      <w:r/>
    </w:p>
    <w:p>
      <w:pPr>
        <w:pStyle w:val="687"/>
        <w:ind w:right="300"/>
        <w:keepLines w:val="0"/>
        <w:keepNext w:val="0"/>
        <w:pageBreakBefore w:val="0"/>
        <w:spacing w:before="24" w:line="360" w:lineRule="auto"/>
        <w:widowControl/>
        <w:rPr>
          <w:rFonts w:hint="eastAsia" w:ascii="宋体" w:hAnsi="宋体" w:eastAsia="宋体" w:cs="宋体"/>
          <w:b/>
          <w:bCs/>
          <w:color w:val="auto"/>
          <w:spacing w:val="-4"/>
          <w:sz w:val="24"/>
          <w:szCs w:val="24"/>
        </w:rPr>
      </w:pPr>
      <w:r>
        <w:rPr>
          <w:rFonts w:hint="eastAsia" w:ascii="宋体" w:hAnsi="宋体" w:eastAsia="宋体" w:cs="宋体"/>
          <w:color w:val="auto"/>
          <w:spacing w:val="-4"/>
          <w:sz w:val="24"/>
          <w:szCs w:val="24"/>
        </w:rPr>
        <w:t xml:space="preserve">★</w:t>
      </w:r>
      <w:r>
        <w:rPr>
          <w:rFonts w:hint="eastAsia" w:cs="宋体"/>
          <w:b/>
          <w:bCs/>
          <w:color w:val="auto"/>
          <w:spacing w:val="-4"/>
          <w:sz w:val="24"/>
          <w:szCs w:val="24"/>
          <w:lang w:eastAsia="zh-CN"/>
        </w:rPr>
        <w:t xml:space="preserve">（</w:t>
      </w:r>
      <w:r>
        <w:rPr>
          <w:rFonts w:hint="eastAsia" w:cs="宋体"/>
          <w:b/>
          <w:bCs/>
          <w:color w:val="auto"/>
          <w:spacing w:val="-4"/>
          <w:sz w:val="24"/>
          <w:szCs w:val="24"/>
          <w:lang w:val="en-US" w:eastAsia="zh-CN"/>
        </w:rPr>
        <w:t xml:space="preserve">2</w:t>
      </w:r>
      <w:r>
        <w:rPr>
          <w:rFonts w:hint="eastAsia" w:cs="宋体"/>
          <w:b/>
          <w:bCs/>
          <w:color w:val="auto"/>
          <w:spacing w:val="-4"/>
          <w:sz w:val="24"/>
          <w:szCs w:val="24"/>
          <w:lang w:eastAsia="zh-CN"/>
        </w:rPr>
        <w:t xml:space="preserve">）</w:t>
      </w:r>
      <w:r>
        <w:rPr>
          <w:rFonts w:hint="eastAsia" w:ascii="宋体" w:hAnsi="宋体" w:eastAsia="宋体" w:cs="宋体"/>
          <w:b/>
          <w:bCs/>
          <w:color w:val="auto"/>
          <w:spacing w:val="-4"/>
          <w:sz w:val="24"/>
          <w:szCs w:val="24"/>
        </w:rPr>
        <w:t xml:space="preserve">配置清单</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不锈钢底座(含UPS,泵控制台、手摇柄)</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1台</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★2</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数字单头滚压泵</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3个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★3</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数字双头滚压泵</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★4</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监测控制、操作及显示面板系统</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★5</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双压力监测模块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压力传感器帽</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2个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★7</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压力传感器导线</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2条</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★8</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压力传感器支架</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★9</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四导温度监测模块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★10</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成人温度探头</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★11</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儿童温度探头</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★12</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液平面监测模块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★13</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液平面传感器</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★14</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液平面传感贴片</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100片</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★15</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气泡监测模块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★16</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气泡探头及支架</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1套</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★17</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心肌灌注保护模块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1个</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★18</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空氧混合器(含空氧混合器管路1套)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1台</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★19</w:t>
      </w:r>
      <w:r>
        <w:rPr>
          <w:rFonts w:hint="eastAsia" w:cs="宋体"/>
          <w:color w:val="auto"/>
          <w:spacing w:val="-4"/>
          <w:sz w:val="24"/>
          <w:szCs w:val="24"/>
          <w:lang w:val="en-US" w:eastAsia="zh-CN"/>
        </w:rPr>
        <w:t xml:space="preserve"> </w:t>
      </w:r>
      <w:r>
        <w:rPr>
          <w:rFonts w:hint="eastAsia" w:ascii="宋体" w:hAnsi="宋体" w:eastAsia="宋体" w:cs="宋体"/>
          <w:color w:val="auto"/>
          <w:spacing w:val="-4"/>
          <w:sz w:val="24"/>
          <w:szCs w:val="24"/>
        </w:rPr>
        <w:t xml:space="preserve">三路水箱(含水箱管路连接具1套)</w:t>
      </w:r>
      <w:r>
        <w:rPr>
          <w:rFonts w:hint="eastAsia" w:ascii="宋体" w:hAnsi="宋体" w:eastAsia="宋体" w:cs="宋体"/>
          <w:color w:val="auto"/>
          <w:spacing w:val="-4"/>
          <w:sz w:val="24"/>
          <w:szCs w:val="24"/>
        </w:rPr>
        <w:tab/>
      </w:r>
      <w:r>
        <w:rPr>
          <w:rFonts w:hint="eastAsia" w:ascii="宋体" w:hAnsi="宋体" w:eastAsia="宋体" w:cs="宋体"/>
          <w:color w:val="auto"/>
          <w:spacing w:val="-4"/>
          <w:sz w:val="24"/>
          <w:szCs w:val="24"/>
        </w:rPr>
        <w:t xml:space="preserve">1台</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20 ACT 1台，耗材需在省阳光采购平台目录内</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21 心脏外科手动除颤议 1台，耗材需在省阳光采购平台目录内。</w:t>
      </w:r>
      <w:r/>
    </w:p>
    <w:p>
      <w:pPr>
        <w:pStyle w:val="687"/>
        <w:ind w:right="300" w:firstLine="232"/>
        <w:keepLines w:val="0"/>
        <w:keepNext w:val="0"/>
        <w:pageBreakBefore w:val="0"/>
        <w:spacing w:before="24" w:line="360" w:lineRule="auto"/>
        <w:widowControl/>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22如有专用耗材需提交耗材价格，并必须为省平台内产品。</w:t>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r>
      <w:r/>
    </w:p>
    <w:p>
      <w:pPr>
        <w:pStyle w:val="687"/>
        <w:ind w:right="300" w:firstLine="232"/>
        <w:keepLines w:val="0"/>
        <w:keepNext w:val="0"/>
        <w:pageBreakBefore w:val="0"/>
        <w:spacing w:before="24" w:line="360" w:lineRule="auto"/>
        <w:widowControl/>
        <w:rPr>
          <w:rFonts w:hint="eastAsia" w:ascii="宋体" w:hAnsi="宋体" w:eastAsia="宋体" w:cs="宋体"/>
          <w:color w:val="auto"/>
          <w:spacing w:val="-4"/>
          <w:sz w:val="24"/>
          <w:szCs w:val="24"/>
        </w:rPr>
        <w:sectPr>
          <w:footnotePr/>
          <w:endnotePr/>
          <w:type w:val="nextPage"/>
          <w:pgSz w:w="11920" w:h="16840" w:orient="portrait"/>
          <w:pgMar w:top="1440" w:right="1083" w:bottom="1440" w:left="1083" w:header="0" w:footer="0" w:gutter="0"/>
          <w:cols w:num="1" w:sep="0" w:space="0" w:equalWidth="1"/>
          <w:docGrid w:linePitch="360"/>
        </w:sectPr>
      </w:pPr>
      <w:r>
        <w:rPr>
          <w:rFonts w:hint="eastAsia" w:ascii="宋体" w:hAnsi="宋体" w:eastAsia="宋体" w:cs="宋体"/>
          <w:color w:val="auto"/>
          <w:spacing w:val="-4"/>
          <w:sz w:val="24"/>
          <w:szCs w:val="24"/>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73"/>
          <w:rFonts w:hint="eastAsia" w:ascii="宋体" w:hAnsi="宋体" w:eastAsia="宋体" w:cs="宋体"/>
          <w:bCs/>
          <w:i w:val="0"/>
          <w:iCs w:val="0"/>
          <w:color w:val="auto"/>
          <w:sz w:val="24"/>
          <w:szCs w:val="24"/>
          <w:highlight w:val="none"/>
          <w:u w:val="none"/>
        </w:rPr>
      </w:pPr>
      <w:r>
        <w:rPr>
          <w:rStyle w:val="873"/>
          <w:rFonts w:hint="eastAsia" w:ascii="宋体" w:hAnsi="宋体" w:eastAsia="宋体" w:cs="宋体"/>
          <w:b/>
          <w:i w:val="0"/>
          <w:iCs w:val="0"/>
          <w:color w:val="auto"/>
          <w:sz w:val="24"/>
          <w:szCs w:val="24"/>
          <w:highlight w:val="none"/>
          <w:u w:val="none"/>
        </w:rPr>
        <w:t xml:space="preserve">1、</w:t>
      </w:r>
      <w:r>
        <w:rPr>
          <w:rStyle w:val="873"/>
          <w:rFonts w:hint="eastAsia" w:ascii="宋体" w:hAnsi="宋体" w:eastAsia="宋体" w:cs="宋体"/>
          <w:b/>
          <w:i w:val="0"/>
          <w:iCs w:val="0"/>
          <w:color w:val="auto"/>
          <w:sz w:val="24"/>
          <w:szCs w:val="24"/>
          <w:highlight w:val="none"/>
          <w:u w:val="none"/>
          <w:lang w:val="zh-CN"/>
        </w:rPr>
        <w:t xml:space="preserve">交货期：</w:t>
      </w:r>
      <w:r>
        <w:rPr>
          <w:rStyle w:val="873"/>
          <w:rFonts w:hint="eastAsia" w:ascii="宋体" w:hAnsi="宋体" w:eastAsia="宋体" w:cs="宋体"/>
          <w:bCs/>
          <w:i w:val="0"/>
          <w:iCs w:val="0"/>
          <w:color w:val="auto"/>
          <w:sz w:val="24"/>
          <w:szCs w:val="24"/>
          <w:highlight w:val="none"/>
          <w:u w:val="none"/>
        </w:rPr>
        <w:t xml:space="preserve">必须在合同签订后</w:t>
      </w:r>
      <w:r>
        <w:rPr>
          <w:rStyle w:val="873"/>
          <w:rFonts w:hint="eastAsia" w:ascii="宋体" w:hAnsi="宋体" w:cs="宋体"/>
          <w:bCs/>
          <w:i w:val="0"/>
          <w:iCs w:val="0"/>
          <w:color w:val="auto"/>
          <w:sz w:val="24"/>
          <w:szCs w:val="24"/>
          <w:highlight w:val="none"/>
          <w:u w:val="none"/>
          <w:lang w:val="en-US" w:eastAsia="zh-CN"/>
        </w:rPr>
        <w:t xml:space="preserve">180日历天</w:t>
      </w:r>
      <w:r>
        <w:rPr>
          <w:rStyle w:val="873"/>
          <w:rFonts w:hint="eastAsia" w:ascii="宋体" w:hAnsi="宋体" w:eastAsia="宋体" w:cs="宋体"/>
          <w:bCs/>
          <w:i w:val="0"/>
          <w:iCs w:val="0"/>
          <w:color w:val="auto"/>
          <w:sz w:val="24"/>
          <w:szCs w:val="24"/>
          <w:highlight w:val="none"/>
          <w:u w:val="non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73"/>
          <w:rFonts w:hint="eastAsia" w:ascii="宋体" w:hAnsi="宋体" w:eastAsia="宋体" w:cs="宋体"/>
          <w:b/>
          <w:i w:val="0"/>
          <w:iCs w:val="0"/>
          <w:color w:val="auto"/>
          <w:sz w:val="24"/>
          <w:szCs w:val="24"/>
          <w:highlight w:val="none"/>
          <w:u w:val="none"/>
          <w:lang w:val="zh-CN"/>
        </w:rPr>
      </w:pPr>
      <w:r>
        <w:rPr>
          <w:rStyle w:val="873"/>
          <w:rFonts w:hint="eastAsia" w:ascii="宋体" w:hAnsi="宋体" w:eastAsia="宋体" w:cs="宋体"/>
          <w:b/>
          <w:i w:val="0"/>
          <w:iCs w:val="0"/>
          <w:color w:val="auto"/>
          <w:sz w:val="24"/>
          <w:szCs w:val="24"/>
          <w:highlight w:val="none"/>
          <w:u w:val="none"/>
        </w:rPr>
        <w:t xml:space="preserve">2、</w:t>
      </w:r>
      <w:r>
        <w:rPr>
          <w:rStyle w:val="873"/>
          <w:rFonts w:hint="eastAsia" w:ascii="宋体" w:hAnsi="宋体" w:eastAsia="宋体" w:cs="宋体"/>
          <w:b/>
          <w:i w:val="0"/>
          <w:iCs w:val="0"/>
          <w:color w:val="auto"/>
          <w:sz w:val="24"/>
          <w:szCs w:val="24"/>
          <w:highlight w:val="none"/>
          <w:u w:val="none"/>
          <w:lang w:val="zh-CN"/>
        </w:rPr>
        <w:t xml:space="preserve">交货方式：</w:t>
      </w:r>
      <w:r>
        <w:rPr>
          <w:rStyle w:val="873"/>
          <w:rFonts w:hint="eastAsia" w:ascii="宋体" w:hAnsi="宋体" w:eastAsia="宋体" w:cs="宋体"/>
          <w:bCs/>
          <w:i w:val="0"/>
          <w:iCs w:val="0"/>
          <w:color w:val="auto"/>
          <w:sz w:val="24"/>
          <w:szCs w:val="24"/>
          <w:highlight w:val="none"/>
          <w:u w:val="none"/>
        </w:rPr>
        <w:t xml:space="preserve">送货到</w:t>
      </w:r>
      <w:r>
        <w:rPr>
          <w:rStyle w:val="873"/>
          <w:rFonts w:hint="eastAsia" w:ascii="宋体" w:hAnsi="宋体" w:cs="宋体"/>
          <w:bCs/>
          <w:i w:val="0"/>
          <w:iCs w:val="0"/>
          <w:color w:val="auto"/>
          <w:sz w:val="24"/>
          <w:szCs w:val="24"/>
          <w:highlight w:val="none"/>
          <w:u w:val="none"/>
          <w:lang w:val="en-US"/>
        </w:rPr>
        <w:t xml:space="preserve">采购人</w:t>
      </w:r>
      <w:r>
        <w:rPr>
          <w:rStyle w:val="873"/>
          <w:rFonts w:hint="eastAsia" w:ascii="宋体" w:hAnsi="宋体" w:eastAsia="宋体" w:cs="宋体"/>
          <w:bCs/>
          <w:i w:val="0"/>
          <w:iCs w:val="0"/>
          <w:color w:val="auto"/>
          <w:sz w:val="24"/>
          <w:szCs w:val="24"/>
          <w:highlight w:val="none"/>
          <w:u w:val="none"/>
        </w:rPr>
        <w:t xml:space="preserve">指定地点并安装调试</w:t>
      </w:r>
      <w:r>
        <w:rPr>
          <w:rStyle w:val="873"/>
          <w:rFonts w:hint="eastAsia" w:ascii="宋体" w:hAnsi="宋体" w:eastAsia="宋体" w:cs="宋体"/>
          <w:bCs/>
          <w:i w:val="0"/>
          <w:iCs w:val="0"/>
          <w:color w:val="auto"/>
          <w:sz w:val="24"/>
          <w:szCs w:val="24"/>
          <w:highlight w:val="none"/>
          <w:u w:val="none"/>
          <w:lang w:val="zh-CN"/>
        </w:rPr>
        <w:t xml:space="preserve">。</w:t>
      </w:r>
      <w:r/>
    </w:p>
    <w:p>
      <w:pPr>
        <w:ind w:firstLine="482"/>
        <w:keepLines w:val="0"/>
        <w:keepNext w:val="0"/>
        <w:pageBreakBefore w:val="0"/>
        <w:spacing w:line="360" w:lineRule="auto"/>
        <w:widowControl w:val="off"/>
        <w:rPr>
          <w:rStyle w:val="873"/>
          <w:rFonts w:hint="eastAsia" w:ascii="宋体" w:hAnsi="宋体" w:eastAsia="宋体" w:cs="宋体"/>
          <w:i w:val="0"/>
          <w:iCs w:val="0"/>
          <w:color w:val="auto"/>
          <w:sz w:val="24"/>
          <w:szCs w:val="24"/>
          <w:highlight w:val="none"/>
          <w:u w:val="none"/>
        </w:rPr>
      </w:pPr>
      <w:r>
        <w:rPr>
          <w:rStyle w:val="873"/>
          <w:rFonts w:hint="eastAsia" w:ascii="宋体" w:hAnsi="宋体" w:eastAsia="宋体" w:cs="宋体"/>
          <w:b/>
          <w:i w:val="0"/>
          <w:iCs w:val="0"/>
          <w:color w:val="auto"/>
          <w:sz w:val="24"/>
          <w:szCs w:val="24"/>
          <w:highlight w:val="none"/>
          <w:u w:val="none"/>
        </w:rPr>
        <w:t xml:space="preserve">3、</w:t>
      </w:r>
      <w:r>
        <w:rPr>
          <w:rStyle w:val="873"/>
          <w:rFonts w:hint="eastAsia" w:ascii="宋体" w:hAnsi="宋体" w:eastAsia="宋体" w:cs="宋体"/>
          <w:b/>
          <w:i w:val="0"/>
          <w:iCs w:val="0"/>
          <w:color w:val="auto"/>
          <w:sz w:val="24"/>
          <w:szCs w:val="24"/>
          <w:highlight w:val="none"/>
          <w:u w:val="none"/>
          <w:lang w:val="zh-CN"/>
        </w:rPr>
        <w:t xml:space="preserve">交货地点：</w:t>
      </w:r>
      <w:r>
        <w:rPr>
          <w:rStyle w:val="873"/>
          <w:rFonts w:hint="eastAsia" w:ascii="宋体" w:hAnsi="宋体" w:cs="宋体"/>
          <w:i w:val="0"/>
          <w:iCs w:val="0"/>
          <w:color w:val="auto"/>
          <w:sz w:val="24"/>
          <w:szCs w:val="24"/>
          <w:highlight w:val="none"/>
          <w:u w:val="none"/>
          <w:lang w:val="en-US"/>
        </w:rPr>
        <w:t xml:space="preserve">采购人</w:t>
      </w:r>
      <w:r>
        <w:rPr>
          <w:rStyle w:val="873"/>
          <w:rFonts w:hint="eastAsia" w:ascii="宋体" w:hAnsi="宋体" w:eastAsia="宋体" w:cs="宋体"/>
          <w:i w:val="0"/>
          <w:iCs w:val="0"/>
          <w:color w:val="auto"/>
          <w:sz w:val="24"/>
          <w:szCs w:val="24"/>
          <w:highlight w:val="none"/>
          <w:u w:val="none"/>
        </w:rPr>
        <w:t xml:space="preserve">指定地点。</w:t>
      </w:r>
      <w:r/>
    </w:p>
    <w:p>
      <w:pPr>
        <w:ind w:firstLine="482"/>
        <w:keepLines w:val="0"/>
        <w:keepNext w:val="0"/>
        <w:pageBreakBefore w:val="0"/>
        <w:spacing w:line="360" w:lineRule="auto"/>
        <w:widowControl w:val="off"/>
        <w:rPr>
          <w:rStyle w:val="873"/>
          <w:rFonts w:hint="eastAsia" w:ascii="宋体" w:hAnsi="宋体" w:eastAsia="宋体" w:cs="宋体"/>
          <w:b w:val="0"/>
          <w:bCs/>
          <w:i w:val="0"/>
          <w:iCs w:val="0"/>
          <w:color w:val="auto"/>
          <w:sz w:val="24"/>
          <w:szCs w:val="24"/>
          <w:highlight w:val="none"/>
          <w:u w:val="none"/>
          <w:lang w:val="en-US" w:eastAsia="zh-CN"/>
        </w:rPr>
      </w:pPr>
      <w:r>
        <w:rPr>
          <w:rStyle w:val="873"/>
          <w:rFonts w:hint="eastAsia" w:ascii="宋体" w:hAnsi="宋体" w:eastAsia="宋体" w:cs="宋体"/>
          <w:b/>
          <w:i w:val="0"/>
          <w:iCs w:val="0"/>
          <w:color w:val="auto"/>
          <w:sz w:val="24"/>
          <w:szCs w:val="24"/>
          <w:highlight w:val="none"/>
          <w:u w:val="none"/>
          <w:lang w:val="en-US" w:eastAsia="zh-CN"/>
        </w:rPr>
        <w:t xml:space="preserve">4、付款方式：</w:t>
      </w:r>
      <w:r>
        <w:rPr>
          <w:rStyle w:val="873"/>
          <w:rFonts w:hint="eastAsia" w:ascii="宋体" w:hAnsi="宋体" w:eastAsia="宋体" w:cs="宋体"/>
          <w:b w:val="0"/>
          <w:bCs/>
          <w:i w:val="0"/>
          <w:iCs w:val="0"/>
          <w:color w:val="auto"/>
          <w:sz w:val="24"/>
          <w:szCs w:val="24"/>
          <w:highlight w:val="none"/>
          <w:u w:val="none"/>
          <w:lang w:val="en-US" w:eastAsia="zh-CN"/>
        </w:rPr>
        <w:t xml:space="preserve">本项目预付款为30%，货物安装调试完成并经采购人验收合格付至合同价款的80%，验收合格满一年后付至合同价款的95%，余款在质保期满后且使用无质量问题付清。</w:t>
      </w:r>
      <w:r/>
    </w:p>
    <w:p>
      <w:pPr>
        <w:ind w:firstLine="482"/>
        <w:keepLines w:val="0"/>
        <w:keepNext w:val="0"/>
        <w:pageBreakBefore w:val="0"/>
        <w:spacing w:line="360" w:lineRule="auto"/>
        <w:widowControl w:val="off"/>
        <w:rPr>
          <w:rStyle w:val="873"/>
          <w:rFonts w:hint="eastAsia" w:ascii="宋体" w:hAnsi="宋体" w:eastAsia="宋体" w:cs="宋体"/>
          <w:b w:val="0"/>
          <w:bCs/>
          <w:i w:val="0"/>
          <w:iCs w:val="0"/>
          <w:color w:val="auto"/>
          <w:sz w:val="24"/>
          <w:szCs w:val="24"/>
          <w:highlight w:val="none"/>
          <w:u w:val="none"/>
          <w:lang w:val="en-US" w:eastAsia="zh-CN"/>
        </w:rPr>
      </w:pPr>
      <w:r>
        <w:rPr>
          <w:rStyle w:val="873"/>
          <w:rFonts w:hint="eastAsia" w:ascii="宋体" w:hAnsi="宋体" w:eastAsia="宋体" w:cs="宋体"/>
          <w:b w:val="0"/>
          <w:bCs/>
          <w:i w:val="0"/>
          <w:iCs w:val="0"/>
          <w:color w:val="auto"/>
          <w:sz w:val="24"/>
          <w:szCs w:val="24"/>
          <w:highlight w:val="none"/>
          <w:u w:val="none"/>
          <w:lang w:val="en-US" w:eastAsia="zh-CN"/>
        </w:rPr>
        <w:t xml:space="preserve">付款时供应商须提供正规发票（采购人原则上自收到发票后30个工作日内将资金支付到合同约定的供应商账户）。合同款一律通过银行非现金结算，结算方式：转账。（按以上进度付款无任何利息补偿）</w:t>
      </w:r>
      <w:r/>
    </w:p>
    <w:p>
      <w:pPr>
        <w:ind w:firstLine="482"/>
        <w:keepLines w:val="0"/>
        <w:keepNext w:val="0"/>
        <w:pageBreakBefore w:val="0"/>
        <w:spacing w:line="360" w:lineRule="auto"/>
        <w:widowControl w:val="off"/>
        <w:rPr>
          <w:rStyle w:val="873"/>
          <w:rFonts w:hint="eastAsia" w:ascii="宋体" w:hAnsi="宋体" w:cs="宋体"/>
          <w:b w:val="0"/>
          <w:bCs/>
          <w:i w:val="0"/>
          <w:iCs w:val="0"/>
          <w:color w:val="auto"/>
          <w:sz w:val="24"/>
          <w:szCs w:val="24"/>
          <w:highlight w:val="none"/>
          <w:u w:val="none"/>
          <w:lang w:val="en-US" w:eastAsia="zh-CN"/>
        </w:rPr>
      </w:pPr>
      <w:r>
        <w:rPr>
          <w:rStyle w:val="873"/>
          <w:rFonts w:hint="eastAsia" w:ascii="宋体" w:hAnsi="宋体" w:eastAsia="宋体" w:cs="宋体"/>
          <w:b/>
          <w:i w:val="0"/>
          <w:iCs w:val="0"/>
          <w:color w:val="auto"/>
          <w:sz w:val="24"/>
          <w:szCs w:val="24"/>
          <w:highlight w:val="none"/>
          <w:u w:val="none"/>
          <w:lang w:val="en-US" w:eastAsia="zh-CN"/>
        </w:rPr>
        <w:t xml:space="preserve">5、免费质保期：</w:t>
      </w:r>
      <w:r>
        <w:rPr>
          <w:rStyle w:val="873"/>
          <w:rFonts w:hint="eastAsia" w:ascii="宋体" w:hAnsi="宋体" w:eastAsia="宋体" w:cs="宋体"/>
          <w:b w:val="0"/>
          <w:bCs/>
          <w:i w:val="0"/>
          <w:iCs w:val="0"/>
          <w:color w:val="auto"/>
          <w:sz w:val="24"/>
          <w:szCs w:val="24"/>
          <w:highlight w:val="none"/>
          <w:u w:val="none"/>
          <w:lang w:val="en-US" w:eastAsia="zh-CN"/>
        </w:rPr>
        <w:t xml:space="preserve"> </w:t>
      </w:r>
      <w:r>
        <w:rPr>
          <w:rStyle w:val="873"/>
          <w:rFonts w:hint="eastAsia" w:ascii="宋体" w:hAnsi="宋体" w:cs="宋体"/>
          <w:b w:val="0"/>
          <w:bCs/>
          <w:i w:val="0"/>
          <w:iCs w:val="0"/>
          <w:color w:val="auto"/>
          <w:sz w:val="24"/>
          <w:szCs w:val="24"/>
          <w:highlight w:val="none"/>
          <w:u w:val="none"/>
          <w:lang w:val="en-US" w:eastAsia="zh-CN"/>
        </w:rPr>
        <w:t xml:space="preserve">≥1</w:t>
      </w:r>
      <w:r>
        <w:rPr>
          <w:rStyle w:val="873"/>
          <w:rFonts w:hint="eastAsia" w:ascii="宋体" w:hAnsi="宋体" w:eastAsia="宋体" w:cs="宋体"/>
          <w:b w:val="0"/>
          <w:bCs/>
          <w:i w:val="0"/>
          <w:iCs w:val="0"/>
          <w:color w:val="auto"/>
          <w:sz w:val="24"/>
          <w:szCs w:val="24"/>
          <w:highlight w:val="none"/>
          <w:u w:val="none"/>
          <w:lang w:val="en-US" w:eastAsia="zh-CN"/>
        </w:rPr>
        <w:t xml:space="preserve">年</w:t>
      </w:r>
      <w:r>
        <w:rPr>
          <w:rStyle w:val="873"/>
          <w:rFonts w:hint="eastAsia" w:ascii="宋体" w:hAnsi="宋体" w:cs="宋体"/>
          <w:b w:val="0"/>
          <w:bCs/>
          <w:i w:val="0"/>
          <w:iCs w:val="0"/>
          <w:color w:val="auto"/>
          <w:sz w:val="24"/>
          <w:szCs w:val="24"/>
          <w:highlight w:val="none"/>
          <w:u w:val="none"/>
          <w:lang w:val="en-US" w:eastAsia="zh-CN"/>
        </w:rPr>
        <w:t xml:space="preserve">。</w:t>
      </w:r>
      <w:r>
        <w:rPr>
          <w:rStyle w:val="873"/>
          <w:rFonts w:hint="eastAsia" w:ascii="宋体" w:hAnsi="宋体" w:cs="宋体"/>
          <w:b/>
          <w:bCs w:val="0"/>
          <w:i w:val="0"/>
          <w:iCs w:val="0"/>
          <w:color w:val="auto"/>
          <w:sz w:val="24"/>
          <w:szCs w:val="24"/>
          <w:highlight w:val="none"/>
          <w:u w:val="none"/>
          <w:lang w:val="en-US" w:eastAsia="zh-CN"/>
        </w:rPr>
        <w:t xml:space="preserve">（提供承诺函，格式自拟）</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i/>
          <w:iCs/>
          <w:color w:val="auto"/>
          <w:sz w:val="24"/>
          <w:szCs w:val="24"/>
          <w:highlight w:val="none"/>
          <w:lang w:val="en-US" w:eastAsia="zh-CN"/>
        </w:rPr>
      </w:pPr>
      <w:r>
        <w:rPr>
          <w:rFonts w:hint="eastAsia" w:ascii="宋体" w:hAnsi="宋体" w:eastAsia="宋体" w:cs="宋体"/>
          <w:b/>
          <w:i/>
          <w:iCs/>
          <w:color w:val="auto"/>
          <w:sz w:val="24"/>
          <w:szCs w:val="24"/>
          <w:highlight w:val="none"/>
          <w:lang w:val="en-US" w:eastAsia="zh-CN"/>
        </w:rPr>
        <w:t xml:space="preserve">注: 商务要求中所有指标必须全部响应，且需点对点在响应偏离表中进行逐条响应，任意一项不满足将判定为无效响应。</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名，负责本项目设备的安装、设备精准调试。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投标单位需制定详细的项目实施时间表，进度计划分解到各阶段时间点，明确各阶段工作内容及时间节点。项目不超过整体周期，从合同签订之日起计算。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685"/>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685"/>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包括以下方面：操作手册，维护手册（包括维修卡），安装手册，主要部件清单，备件手册或备件清单，外购件技术资料，记录和控制卡（装箱单，产品合格证，关键部件材质证明，售后服务联系地址）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tbl>
      <w:tblPr>
        <w:tblStyle w:val="68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21"/>
        <w:gridCol w:w="4720"/>
      </w:tblGrid>
      <w:tr>
        <w:trPr>
          <w:jc w:val="center"/>
          <w:trHeight w:val="63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20" w:type="pct"/>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0" w:type="pct"/>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893"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20" w:type="pct"/>
            <w:vAlign w:val="center"/>
            <w:textDirection w:val="lrTb"/>
            <w:noWrap w:val="false"/>
          </w:tcPr>
          <w:p>
            <w:pPr>
              <w:jc w:val="center"/>
              <w:keepLines w:val="0"/>
              <w:keepNext w:val="0"/>
              <w:pageBreakBefore w:val="0"/>
              <w:spacing w:before="240" w:after="240" w:line="240" w:lineRule="auto"/>
              <w:widowControl w:val="off"/>
              <w:rPr>
                <w:rFonts w:hint="default"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盐城市大丰人民医院体外循环机采购项目中所有标的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0" w:type="pct"/>
            <w:vAlign w:val="center"/>
            <w:textDirection w:val="lrTb"/>
            <w:noWrap w:val="false"/>
          </w:tcPr>
          <w:p>
            <w:pPr>
              <w:jc w:val="center"/>
              <w:keepLines w:val="0"/>
              <w:keepNext w:val="0"/>
              <w:pageBreakBefore w:val="0"/>
              <w:spacing w:before="240" w:after="24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工业</w:t>
            </w:r>
            <w:r/>
          </w:p>
        </w:tc>
      </w:tr>
    </w:tbl>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8"/>
      <w:r/>
      <w:bookmarkEnd w:id="69"/>
      <w:r/>
      <w:bookmarkStart w:id="70" w:name="_Toc9956_WPSOffice_Level2"/>
      <w:r/>
      <w:bookmarkEnd w:id="70"/>
      <w:r/>
      <w:bookmarkStart w:id="71" w:name="_Toc1883"/>
      <w:r/>
      <w:bookmarkEnd w:id="71"/>
      <w:r/>
      <w:bookmarkStart w:id="72" w:name="_Toc8249"/>
      <w:r/>
      <w:bookmarkEnd w:id="72"/>
      <w:r/>
      <w:bookmarkStart w:id="73"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bookmarkEnd w:id="73"/>
      <w:r/>
      <w:r/>
    </w:p>
    <w:p>
      <w:pPr>
        <w:pStyle w:val="692"/>
        <w:ind w:firstLine="480"/>
        <w:keepLines w:val="0"/>
        <w:keepNext w:val="0"/>
        <w:pageBreakBefore w:val="0"/>
        <w:spacing w:line="360" w:lineRule="exact"/>
        <w:rPr>
          <w:rFonts w:hAnsi="宋体" w:cs="宋体"/>
          <w:color w:val="auto"/>
          <w:sz w:val="24"/>
          <w:szCs w:val="24"/>
          <w:highlight w:val="none"/>
        </w:rPr>
      </w:pPr>
      <w:r/>
      <w:bookmarkStart w:id="74" w:name="_Toc12366"/>
      <w:r/>
      <w:bookmarkStart w:id="75" w:name="_Toc514054483"/>
      <w:r>
        <w:rPr>
          <w:rFonts w:hint="eastAsia" w:hAnsi="宋体" w:cs="宋体"/>
          <w:color w:val="auto"/>
          <w:sz w:val="24"/>
          <w:szCs w:val="24"/>
          <w:highlight w:val="none"/>
        </w:rPr>
        <w:t xml:space="preserve">项目名称：</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rPr>
        <w:t xml:space="preserve">     </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采购人（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盐城市大丰人民医院</w:t>
      </w:r>
      <w:r/>
    </w:p>
    <w:p>
      <w:pPr>
        <w:pStyle w:val="692"/>
        <w:ind w:firstLine="480"/>
        <w:keepLines w:val="0"/>
        <w:keepNext w:val="0"/>
        <w:pageBreakBefore w:val="0"/>
        <w:spacing w:line="360" w:lineRule="exact"/>
        <w:rPr>
          <w:rFonts w:hAnsi="宋体" w:cs="宋体"/>
          <w:color w:val="auto"/>
          <w:sz w:val="24"/>
          <w:szCs w:val="24"/>
          <w:highlight w:val="none"/>
          <w:u w:val="single"/>
        </w:rPr>
      </w:pPr>
      <w:r>
        <w:rPr>
          <w:rFonts w:hint="eastAsia" w:hAnsi="宋体" w:cs="宋体"/>
          <w:color w:val="auto"/>
          <w:sz w:val="24"/>
          <w:szCs w:val="24"/>
          <w:highlight w:val="none"/>
        </w:rPr>
        <w:t xml:space="preserve">供应商（</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                          </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auto"/>
          <w:sz w:val="24"/>
          <w:szCs w:val="24"/>
          <w:highlight w:val="none"/>
          <w:u w:val="single"/>
        </w:rPr>
        <w:t xml:space="preserve">             </w:t>
      </w:r>
      <w:r>
        <w:rPr>
          <w:rFonts w:hint="eastAsia" w:hAnsi="宋体" w:cs="宋体"/>
          <w:b/>
          <w:bCs/>
          <w:color w:val="auto"/>
          <w:sz w:val="24"/>
          <w:szCs w:val="24"/>
          <w:highlight w:val="none"/>
        </w:rPr>
        <w:t xml:space="preserve">项目事宜，依据招标文件及</w:t>
      </w:r>
      <w:r>
        <w:rPr>
          <w:rFonts w:hint="eastAsia" w:hAnsi="宋体" w:cs="宋体"/>
          <w:b/>
          <w:bCs/>
          <w:color w:val="auto"/>
          <w:sz w:val="24"/>
          <w:szCs w:val="24"/>
          <w:highlight w:val="none"/>
          <w:lang w:eastAsia="zh-CN"/>
        </w:rPr>
        <w:t xml:space="preserve">供应商</w:t>
      </w:r>
      <w:r>
        <w:rPr>
          <w:rFonts w:hint="eastAsia" w:hAnsi="宋体" w:cs="宋体"/>
          <w:b/>
          <w:bCs/>
          <w:color w:val="auto"/>
          <w:sz w:val="24"/>
          <w:szCs w:val="24"/>
          <w:highlight w:val="none"/>
        </w:rPr>
        <w:t xml:space="preserve">的投标文件和中标通知书，签订本合同书。</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一、货物内容</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1、项目名称：</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2、技术参数：</w:t>
      </w:r>
      <w:r>
        <w:rPr>
          <w:rFonts w:hint="eastAsia" w:hAnsi="宋体" w:cs="宋体"/>
          <w:color w:val="auto"/>
          <w:sz w:val="24"/>
          <w:szCs w:val="24"/>
          <w:highlight w:val="none"/>
          <w:u w:val="single"/>
        </w:rPr>
        <w:t xml:space="preserve">按招标文件和投标文件中最优参数确定</w:t>
      </w:r>
      <w:r/>
    </w:p>
    <w:p>
      <w:pPr>
        <w:pStyle w:val="692"/>
        <w:ind w:firstLine="480"/>
        <w:keepLines w:val="0"/>
        <w:keepNext w:val="0"/>
        <w:pageBreakBefore w:val="0"/>
        <w:spacing w:line="360" w:lineRule="exact"/>
        <w:rPr>
          <w:rFonts w:hAnsi="宋体" w:cs="宋体"/>
          <w:color w:val="auto"/>
          <w:sz w:val="24"/>
          <w:szCs w:val="24"/>
          <w:highlight w:val="none"/>
          <w:u w:val="single"/>
        </w:rPr>
      </w:pPr>
      <w:r>
        <w:rPr>
          <w:rFonts w:hint="eastAsia" w:hAnsi="宋体" w:cs="宋体"/>
          <w:color w:val="auto"/>
          <w:sz w:val="24"/>
          <w:szCs w:val="24"/>
          <w:highlight w:val="none"/>
        </w:rPr>
        <w:t xml:space="preserve">4、采购数量：</w:t>
      </w:r>
      <w:r>
        <w:rPr>
          <w:rFonts w:hint="eastAsia" w:hAnsi="宋体" w:cs="宋体"/>
          <w:color w:val="auto"/>
          <w:sz w:val="24"/>
          <w:szCs w:val="24"/>
          <w:highlight w:val="none"/>
          <w:u w:val="single"/>
        </w:rPr>
        <w:t xml:space="preserve">                     </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二、合同金额</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本合同含税价总额为：</w:t>
      </w:r>
      <w:r>
        <w:rPr>
          <w:rFonts w:hint="eastAsia" w:hAnsi="宋体" w:cs="宋体"/>
          <w:color w:val="auto"/>
          <w:sz w:val="24"/>
          <w:szCs w:val="24"/>
          <w:highlight w:val="none"/>
          <w:u w:val="single"/>
        </w:rPr>
        <w:t xml:space="preserve">（大写）             (小写：              元)</w:t>
      </w:r>
      <w:r>
        <w:rPr>
          <w:rFonts w:hint="eastAsia" w:hAnsi="宋体" w:cs="宋体"/>
          <w:color w:val="auto"/>
          <w:sz w:val="24"/>
          <w:szCs w:val="24"/>
          <w:highlight w:val="none"/>
        </w:rPr>
        <w:t xml:space="preserve">。</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692"/>
        <w:ind w:firstLine="482"/>
        <w:keepLines w:val="0"/>
        <w:keepNext w:val="0"/>
        <w:pageBreakBefore w:val="0"/>
        <w:spacing w:line="360" w:lineRule="exact"/>
        <w:rPr>
          <w:rFonts w:hint="eastAsia" w:hAnsi="宋体" w:cs="宋体"/>
          <w:color w:val="auto"/>
          <w:sz w:val="24"/>
          <w:szCs w:val="24"/>
          <w:highlight w:val="none"/>
        </w:rPr>
      </w:pPr>
      <w:r>
        <w:rPr>
          <w:rFonts w:hint="eastAsia" w:hAnsi="宋体" w:cs="宋体"/>
          <w:b/>
          <w:bCs/>
          <w:color w:val="auto"/>
          <w:sz w:val="24"/>
          <w:szCs w:val="24"/>
          <w:highlight w:val="none"/>
        </w:rPr>
        <w:t xml:space="preserve">三、质量要求</w:t>
      </w:r>
      <w:r/>
    </w:p>
    <w:p>
      <w:pPr>
        <w:pStyle w:val="930"/>
        <w:ind w:firstLine="480"/>
        <w:jc w:val="lef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（1）国家相关法律法规、行业标准、技术规范。 </w:t>
      </w:r>
      <w:r/>
    </w:p>
    <w:p>
      <w:pPr>
        <w:pStyle w:val="930"/>
        <w:ind w:firstLine="480"/>
        <w:jc w:val="lef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（2）基于本项目采购需求编制的采购文件相关技术、服务要求、中标供应商投标文件相关响应内容。 </w:t>
      </w:r>
      <w:r/>
    </w:p>
    <w:p>
      <w:pPr>
        <w:pStyle w:val="930"/>
        <w:ind w:firstLine="480"/>
        <w:jc w:val="lef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（3）产品生产厂家出具的产品说明书、技术白皮书、医疗器械注册证或备案凭证等官方技术资料（如涉及）。</w:t>
      </w:r>
      <w:r/>
    </w:p>
    <w:p>
      <w:pPr>
        <w:pStyle w:val="930"/>
        <w:ind w:firstLine="480"/>
        <w:jc w:val="left"/>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（4）如验收时，采购人与供应商认为本项目验收标准中的技术指标、质量要求等内容存在相互抵触或对其理解存在异议，应按照其中更严格的要求、标准等进行验收。</w:t>
      </w:r>
      <w:r/>
    </w:p>
    <w:p>
      <w:pPr>
        <w:ind w:firstLine="482"/>
        <w:keepLines w:val="0"/>
        <w:keepNext w:val="0"/>
        <w:pageBreakBefore w:val="0"/>
        <w:spacing w:line="360" w:lineRule="exact"/>
        <w:rPr>
          <w:rFonts w:hint="eastAsia" w:hAnsi="宋体" w:cs="宋体"/>
          <w:color w:val="auto"/>
          <w:sz w:val="24"/>
          <w:szCs w:val="24"/>
          <w:highlight w:val="none"/>
        </w:rPr>
        <w:outlineLvl w:val="0"/>
      </w:pPr>
      <w:r>
        <w:rPr>
          <w:rFonts w:hint="eastAsia" w:ascii="宋体" w:hAnsi="宋体" w:eastAsia="宋体" w:cs="宋体"/>
          <w:color w:val="auto"/>
          <w:sz w:val="24"/>
          <w:szCs w:val="24"/>
          <w:highlight w:val="none"/>
          <w:lang w:val="en-US" w:eastAsia="zh-CN" w:bidi="ar-SA"/>
        </w:rPr>
        <w:t xml:space="preserve">（5）按照《财政部关于进一步加强政府采购需求和履约验收管理的指导意见》（财库〔2016〕205号）的要求进行验收。</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四、合同文件构成：</w:t>
      </w:r>
      <w:r/>
    </w:p>
    <w:p>
      <w:pPr>
        <w:ind w:firstLine="480"/>
        <w:keepLines w:val="0"/>
        <w:keepNext w:val="0"/>
        <w:pageBreakBefore w:val="0"/>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（1）招标文件；</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（2）中标通知书；</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（3）投标文件； </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（4）技术标准和要求；</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（5）已标价报价明细表；</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（6）其他文件。</w:t>
      </w:r>
      <w:r/>
    </w:p>
    <w:p>
      <w:pPr>
        <w:ind w:firstLine="480"/>
        <w:jc w:val="left"/>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五、技术资料</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应按招标文件规定的时间向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提供使用货物的有关技术资料。</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2、没有</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事先书面同意，</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不得将由采购人提供的有关合同或任何合同条文、规格、样品或资料提供给与履行本合同无关的任何其他人。即使向履行本合同有关的人员提供，也应注意保密并限于履行合同的必需范围。</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六、知识产权</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应保证所提供的货物或其任何一部分均不会侵犯任何第三方的知识产权。</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若发生侵害第三方权利的情况，由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独立负责与第三方交涉并承担由此产生的全部法律和经济责任；如果</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因使用该货物而导致被第三方追诉，有权向</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主张权利以及要求其承担由此造成的损失。</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七、产权担保</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保证所交付的货物的所有权完全属于供应商且无任何抵押、查封等产权瑕疵。</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八、履约保证金</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8.1 </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缴纳人民币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元作为本合同的履约保证金。(备注:合同金额的10%，采购人应当对AA评级及以上政府采购供应商(需提供信用管理部门备案的第三方信用报告)免收履约保证金或降低履约保证金缴纳比例。（合同价款的5%）)</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8.2 缴纳方式:履约保证金</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auto"/>
          <w:sz w:val="24"/>
          <w:szCs w:val="24"/>
          <w:highlight w:val="none"/>
          <w:lang w:val="en-US" w:eastAsia="zh-CN"/>
        </w:rPr>
        <w:t xml:space="preserve">www</w:t>
      </w:r>
      <w:r>
        <w:rPr>
          <w:rFonts w:hint="eastAsia" w:hAnsi="宋体" w:cs="宋体"/>
          <w:color w:val="auto"/>
          <w:sz w:val="24"/>
          <w:szCs w:val="24"/>
          <w:highlight w:val="none"/>
        </w:rPr>
        <w:t xml:space="preserve">.jsdzbh.com)在线申请履约保函(保险)。</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8.3履约保证金的退还：</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8.3.1方式：无息退还至</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缴纳履约保证金的账户。如为保函，在到期时自行失效。</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8.3.2时间：验收合格且</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收到发票后30日内。</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8.3.3条件：项目经</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验收合格。</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8.3.4不予退还情形：</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除不可抗力情况外，</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出现下列情形之一的，其履约保证金，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将视情节决定不予退还或部分不予退还。</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无正当理由拒绝签订合同的，或者在签订合同时向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提出附加条件或者更改合同实质性内容要求的；</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不履行与</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订立的合同的；</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所供货物或服务不符合招标文件规定要求的；</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采取欺骗、弄虚作假方式投标的或与其它投标人串通投标的；</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（5）</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将合同内容转包、违法分包的；</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（6）</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故意捏造事实或伪造证明材料，进行虚假恶意投诉或反映的。</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九、转包或分包</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1、本合同范围的货物，应由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直接供应，不得转让他人供应；</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2、除非得到</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的书面同意，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不得将本合同范围的货物全部或部分分包给他人供应；</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3、如有转让和未经</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同意的分包行为，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有权单方解除合同，不返还履约保证金并追究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的违约责任。</w:t>
      </w:r>
      <w:r/>
    </w:p>
    <w:p>
      <w:pPr>
        <w:pStyle w:val="692"/>
        <w:ind w:firstLine="482"/>
        <w:keepLines w:val="0"/>
        <w:keepNext w:val="0"/>
        <w:pageBreakBefore w:val="0"/>
        <w:spacing w:line="360" w:lineRule="exact"/>
        <w:rPr>
          <w:rFonts w:hAnsi="宋体" w:cs="宋体"/>
          <w:b/>
          <w:bCs/>
          <w:color w:val="auto"/>
          <w:sz w:val="24"/>
          <w:szCs w:val="24"/>
          <w:highlight w:val="none"/>
        </w:rPr>
      </w:pPr>
      <w:r>
        <w:rPr>
          <w:rFonts w:hint="eastAsia" w:hAnsi="宋体" w:cs="宋体"/>
          <w:b/>
          <w:bCs/>
          <w:color w:val="auto"/>
          <w:sz w:val="24"/>
          <w:szCs w:val="24"/>
          <w:highlight w:val="none"/>
        </w:rPr>
        <w:t xml:space="preserve">十、合同履行期、交货方式及交货地点</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ascii="宋体" w:hAnsi="宋体" w:cs="宋体"/>
          <w:color w:val="auto"/>
          <w:sz w:val="24"/>
          <w:highlight w:val="none"/>
        </w:rPr>
        <w:t xml:space="preserve">1、</w:t>
      </w:r>
      <w:r>
        <w:rPr>
          <w:rFonts w:hint="eastAsia" w:hAnsi="宋体" w:cs="宋体"/>
          <w:color w:val="auto"/>
          <w:sz w:val="24"/>
          <w:szCs w:val="24"/>
          <w:highlight w:val="none"/>
        </w:rPr>
        <w:t xml:space="preserve">合同履行期：</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签订合同接采购人通知后</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 xml:space="preserve">日历天内完成所需设备的采购、供应、运输、安装、调试等相关伴随服务，并通过采购人的验收</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2、交货方式：全部货物到现场安装调试完毕交付</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3、交货地点：</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指定地点。</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4、保证货物使用及维修所需的全套技术资料和文件，至少应包括以下内容：货物清单；出厂合格证；操作的标识和中文标注；使用中文说明书；使用维修保养中文说明书。</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5、其他必备材料和必备工具、货物等。</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十一、付款方式及结算方式：</w:t>
      </w:r>
      <w:r/>
    </w:p>
    <w:p>
      <w:pPr>
        <w:ind w:firstLine="482"/>
        <w:keepLines w:val="0"/>
        <w:keepNext w:val="0"/>
        <w:pageBreakBefore w:val="0"/>
        <w:spacing w:line="360" w:lineRule="exact"/>
        <w:rPr>
          <w:rFonts w:hint="eastAsia" w:ascii="宋体" w:hAnsi="宋体" w:cs="宋体"/>
          <w:b w:val="0"/>
          <w:bCs w:val="0"/>
          <w:color w:val="auto"/>
          <w:sz w:val="24"/>
          <w:highlight w:val="none"/>
          <w:u w:val="single"/>
          <w:lang w:val="en-US" w:eastAsia="zh-CN"/>
        </w:rPr>
        <w:outlineLvl w:val="0"/>
      </w:pPr>
      <w:r>
        <w:rPr>
          <w:rFonts w:hint="eastAsia" w:ascii="宋体" w:hAnsi="宋体" w:cs="宋体"/>
          <w:b w:val="0"/>
          <w:bCs w:val="0"/>
          <w:color w:val="auto"/>
          <w:sz w:val="24"/>
          <w:highlight w:val="none"/>
        </w:rPr>
        <w:t xml:space="preserve">付款方式：</w:t>
      </w:r>
      <w:r>
        <w:rPr>
          <w:rFonts w:hint="eastAsia" w:ascii="宋体" w:hAnsi="宋体" w:cs="宋体"/>
          <w:b w:val="0"/>
          <w:bCs w:val="0"/>
          <w:color w:val="auto"/>
          <w:sz w:val="24"/>
          <w:highlight w:val="none"/>
          <w:u w:val="single"/>
          <w:lang w:val="en-US" w:eastAsia="zh-CN"/>
        </w:rPr>
        <w:t xml:space="preserve">本项目预付款为30%，货物安装调试完成并经采购人验收合格付至合同价款的80%，验收合格满一年后付至合同价款的95%，余款在质保期满后且使用无质量问题付清。</w:t>
      </w:r>
      <w:r/>
    </w:p>
    <w:p>
      <w:pPr>
        <w:ind w:firstLine="482"/>
        <w:keepLines w:val="0"/>
        <w:keepNext w:val="0"/>
        <w:pageBreakBefore w:val="0"/>
        <w:spacing w:line="360" w:lineRule="exact"/>
        <w:rPr>
          <w:rFonts w:hint="eastAsia" w:ascii="宋体" w:hAnsi="宋体" w:cs="宋体"/>
          <w:b w:val="0"/>
          <w:bCs w:val="0"/>
          <w:color w:val="auto"/>
          <w:sz w:val="24"/>
          <w:highlight w:val="none"/>
          <w:lang w:val="en-US" w:eastAsia="zh-CN"/>
        </w:rPr>
        <w:outlineLvl w:val="0"/>
      </w:pPr>
      <w:r>
        <w:rPr>
          <w:rFonts w:hint="eastAsia" w:ascii="宋体" w:hAnsi="宋体" w:cs="宋体"/>
          <w:b w:val="0"/>
          <w:bCs w:val="0"/>
          <w:color w:val="auto"/>
          <w:sz w:val="24"/>
          <w:highlight w:val="none"/>
          <w:lang w:val="en-US" w:eastAsia="zh-CN"/>
        </w:rPr>
        <w:t xml:space="preserve">付款时供应商须提供正规发票（采购人原则上自收到发票后30个工作日内将资金支付到合同约定的供应商账户）。合同款一律通过银行非现金结算，结算方式：转账。（按以上进度付款无任何利息补偿）</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十二、税费</w:t>
      </w:r>
      <w:r/>
    </w:p>
    <w:p>
      <w:pPr>
        <w:ind w:firstLine="480"/>
        <w:keepLines w:val="0"/>
        <w:keepNext w:val="0"/>
        <w:pageBreakBefore w:val="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本合同执行中相关的一切税费均由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负担。</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十三、质量保证及售后服务</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应按招标文件规定的货物性能、技术要求、质量标准（如</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投标标准高于招标标准的按</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标准执行）向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提供未经使用的全新产品。</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提供的货物在质保期内因货物本身的质量问题发生故障，</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应负责免费更换。对达不到技术要求者，根据实际情况，经双方协商，可按以下办法处理：</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⑴更    换：由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承担所发生的全部费用。</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⑵贬值处理：由双方合议定价。</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⑶退货处理：</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应退还采购人支付的合同款，同时应承担该货物的直接费用（运输、保险、检验、货款利息及银行手续费等）。</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3、如在使用过程中发生质量问题，</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在接到</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通知后在</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小时内到达</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指定现场进行处置。</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4、在质保期内，</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应对设备出现的质量及安全问题负责处理解决并承担一切费用。</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5、售后服务及要求：如在质保期内使用过程中发生质量问题，凡属一切自身质量缺陷所造成运行故障均免费维修或免费更换。</w:t>
      </w:r>
      <w:r/>
    </w:p>
    <w:p>
      <w:pPr>
        <w:pStyle w:val="692"/>
        <w:ind w:firstLine="480"/>
        <w:keepLines w:val="0"/>
        <w:keepNext w:val="0"/>
        <w:pageBreakBefore w:val="0"/>
        <w:spacing w:line="360" w:lineRule="exact"/>
        <w:rPr>
          <w:rFonts w:hint="eastAsia" w:ascii="宋体" w:hAnsi="宋体" w:cs="宋体"/>
          <w:b/>
          <w:bCs/>
          <w:color w:val="auto"/>
          <w:sz w:val="24"/>
          <w:highlight w:val="none"/>
        </w:rPr>
      </w:pPr>
      <w:r>
        <w:rPr>
          <w:rFonts w:hint="eastAsia" w:hAnsi="宋体" w:cs="宋体"/>
          <w:color w:val="auto"/>
          <w:sz w:val="24"/>
          <w:szCs w:val="24"/>
          <w:highlight w:val="none"/>
        </w:rPr>
        <w:t xml:space="preserve">6、本项目质保期为不少于</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年，质保期自项目验收合格之日起计算。</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十四、调试和验收</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对</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auto"/>
          <w:sz w:val="24"/>
          <w:szCs w:val="24"/>
          <w:highlight w:val="none"/>
          <w:lang w:val="en-US" w:eastAsia="zh-CN"/>
        </w:rPr>
        <w:t xml:space="preserve">待供应商完成本项目涉及的所有设备的安装、调试并具备验收条件后，于5日内通知采购人验收，采购人接供应商通知后10日内组织验收</w:t>
      </w:r>
      <w:r>
        <w:rPr>
          <w:rFonts w:hint="eastAsia" w:hAnsi="宋体" w:cs="宋体"/>
          <w:color w:val="auto"/>
          <w:sz w:val="24"/>
          <w:szCs w:val="24"/>
          <w:highlight w:val="none"/>
        </w:rPr>
        <w:t xml:space="preserve">。</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交货前应对产品作出全面检查和对验收文件进行整理，并列出清单，作为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收货验收和使用的技术条件依据，检验的结果应随货物交付</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p>
    <w:p>
      <w:pPr>
        <w:pStyle w:val="692"/>
        <w:ind w:firstLine="480"/>
        <w:keepLines w:val="0"/>
        <w:keepNext w:val="0"/>
        <w:pageBreakBefore w:val="0"/>
        <w:spacing w:line="360" w:lineRule="exact"/>
        <w:rPr>
          <w:rFonts w:hint="eastAsia"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对</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提供的货物在进行使用前调试时，</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需</w:t>
      </w:r>
      <w:r>
        <w:rPr>
          <w:rFonts w:hint="eastAsia" w:ascii="宋体" w:hAnsi="宋体" w:eastAsia="宋体" w:cs="宋体"/>
          <w:color w:val="auto"/>
          <w:sz w:val="24"/>
          <w:szCs w:val="24"/>
          <w:highlight w:val="none"/>
          <w:lang w:val="en-US" w:eastAsia="zh-CN" w:bidi="ar-SA"/>
        </w:rPr>
        <w:t xml:space="preserve">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auto"/>
          <w:sz w:val="24"/>
          <w:szCs w:val="24"/>
          <w:highlight w:val="none"/>
        </w:rPr>
        <w:t xml:space="preserve">并协助</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调试，直到符合技术要求，</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才做最终验收。</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在设备安装调试过程中必须确保安全，</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自行承担设备安装调试过程中的质量、任何状况下的安全责任，发生的一切问题和责任与</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无关，相关一切费用均由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自理。若</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不能及时处理所发生的问题和责任，并且影响到项目总体进度时，</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有权处理相关事务，所发生的费用在支付合同款时作相应扣除。</w:t>
      </w:r>
      <w:r/>
    </w:p>
    <w:p>
      <w:pPr>
        <w:pStyle w:val="692"/>
        <w:ind w:firstLine="480"/>
        <w:keepLines w:val="0"/>
        <w:keepNext w:val="0"/>
        <w:pageBreakBefore w:val="0"/>
        <w:spacing w:line="360" w:lineRule="exact"/>
        <w:rPr>
          <w:rFonts w:hint="eastAsia" w:hAnsi="宋体" w:cs="宋体"/>
          <w:color w:val="auto"/>
          <w:sz w:val="24"/>
          <w:szCs w:val="24"/>
          <w:highlight w:val="none"/>
          <w:lang w:eastAsia="zh-CN"/>
        </w:rPr>
      </w:pPr>
      <w:r>
        <w:rPr>
          <w:rFonts w:hint="eastAsia" w:hAnsi="宋体" w:cs="宋体"/>
          <w:color w:val="auto"/>
          <w:sz w:val="24"/>
          <w:szCs w:val="24"/>
          <w:highlight w:val="none"/>
        </w:rPr>
        <w:t xml:space="preserve">5、验收时</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必须在现场，验收完毕后作出验收结果报告，验收费用由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负责。</w:t>
      </w:r>
      <w:r/>
    </w:p>
    <w:p>
      <w:pPr>
        <w:pStyle w:val="692"/>
        <w:ind w:firstLine="480"/>
        <w:keepLines w:val="0"/>
        <w:keepNext w:val="0"/>
        <w:pageBreakBefore w:val="0"/>
        <w:spacing w:line="360" w:lineRule="exac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验收组织方式：自行验收，可邀请本项目的其他投标人参加。</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十五、货物包装、发运及运输</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应在货物发运前对其进行满足运输距离、防潮、防震、防锈和防破损装卸等要求包装，以保证货物安全运达采购人指定地点。</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2、使用说明书、质量检验证明书、随配附件和工具以及清单一并附于货物内，安装调试完毕后按设备清单逐一按序交付给</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在货物发运手续办理完毕后24小时内或货到48小时前通知</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，以准备核验货物。</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4、货物在交付</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前发生的风险均由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负责。</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5、货物在规定的交付期限内由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送达</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指定的地点并安装调试完毕并经验收合格后视为交付，</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同时须通知</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货物已送达。</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十六、违约责任</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1、按该项目供货期要求,</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每逾期1天交付，应向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支付该项目合同总价的0.1％作为违约金，由</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从待付合同款中进行相应扣除；逾期超过约定供货期10个工作日不能交货的，</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有权单方解除合同且无须向</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承担任何责任。</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因逾期交货或因其他违约行为导致</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解除合同的，</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支付该合同总值5%的违约金，如造成</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损失超过违约金的，超出部分由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继续赔偿。</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所交付的货物品种、型号、规格、技术参数、质量不符合合同规定及招标文件规定标准的，</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有权拒收该批货物并可单方面解除合同，同时扣除履约保证金。</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如有虚假响应、以次充好等行为，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有权将该单位移送相关主管部门处理，同时</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应向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支付不少于合同总价30%的赔偿金。</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每延期1天支付合同价款，应向</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支付该项目合同总价的万分之四作为违约金。</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在供货期间如发生安全事故，一切经济责任和法律责任皆由</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承担。</w:t>
      </w:r>
      <w:r/>
    </w:p>
    <w:p>
      <w:pPr>
        <w:pStyle w:val="692"/>
        <w:ind w:firstLine="480"/>
        <w:keepLines w:val="0"/>
        <w:keepNext w:val="0"/>
        <w:pageBreakBefore w:val="0"/>
        <w:spacing w:line="360" w:lineRule="exact"/>
        <w:rPr>
          <w:rFonts w:hAnsi="宋体" w:cs="宋体"/>
          <w:b/>
          <w:bCs/>
          <w:color w:val="auto"/>
          <w:sz w:val="24"/>
          <w:szCs w:val="24"/>
          <w:highlight w:val="none"/>
        </w:rPr>
      </w:pPr>
      <w:r>
        <w:rPr>
          <w:rFonts w:hint="eastAsia" w:hAnsi="宋体" w:cs="宋体"/>
          <w:color w:val="auto"/>
          <w:sz w:val="24"/>
          <w:szCs w:val="24"/>
          <w:highlight w:val="none"/>
        </w:rPr>
        <w:t xml:space="preserve">5、在合同履行过程中若有一方违反本合同约定，违约方除承担违约责任赔偿外，还需承担守约方维权产生的费用包括但不限于诉讼费、保全费、保全保险费、律师费等一切费用。</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十七、不可抗力事件处理</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十八、争议解决</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双方在执行合同中所发生的一切争议，应通过协商解决。如协商不成，甲乙双方均有权向合同签订地盐城市大丰区人民法院提起诉讼。合同签订地：盐城市大丰区。</w:t>
      </w:r>
      <w:r/>
    </w:p>
    <w:p>
      <w:pPr>
        <w:ind w:firstLine="482"/>
        <w:keepLines w:val="0"/>
        <w:keepNext w:val="0"/>
        <w:pageBreakBefore w:val="0"/>
        <w:spacing w:line="360" w:lineRule="exact"/>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十九、合同生效及其他</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1、合同经双方法定代表人或授权代表签字并加盖单位公章后生效。</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保留适度调整采购需求的权利，本项目最终按实际到场货物数量、</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的投标单价结算。</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3、本合同未尽事宜，遵照《中华人民共和国民法典》有关条文执行。</w:t>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rPr>
        <w:t xml:space="preserve">4、本合同正本一式陆份，具有同等法律效力，甲乙双方各执叁份。</w:t>
      </w:r>
      <w:r/>
    </w:p>
    <w:p>
      <w:pPr>
        <w:pStyle w:val="692"/>
        <w:ind w:firstLine="480"/>
        <w:keepLines w:val="0"/>
        <w:keepNext w:val="0"/>
        <w:pageBreakBefore w:val="0"/>
        <w:spacing w:line="360" w:lineRule="exact"/>
        <w:rPr>
          <w:rFonts w:hAnsi="宋体" w:cs="宋体"/>
          <w:color w:val="auto"/>
          <w:sz w:val="24"/>
          <w:szCs w:val="24"/>
          <w:highlight w:val="none"/>
        </w:rPr>
      </w:pPr>
      <w:r>
        <w:rPr>
          <w:rFonts w:hAnsi="宋体" w:cs="宋体"/>
          <w:color w:val="auto"/>
          <w:sz w:val="24"/>
          <w:szCs w:val="24"/>
          <w:highlight w:val="none"/>
        </w:rPr>
      </w:r>
      <w:r/>
    </w:p>
    <w:p>
      <w:pPr>
        <w:pStyle w:val="692"/>
        <w:ind w:firstLine="480"/>
        <w:keepLines w:val="0"/>
        <w:keepNext w:val="0"/>
        <w:pageBreakBefore w:val="0"/>
        <w:spacing w:line="360" w:lineRule="exact"/>
        <w:rPr>
          <w:rFonts w:hAnsi="宋体" w:cs="宋体"/>
          <w:color w:val="auto"/>
          <w:sz w:val="24"/>
          <w:szCs w:val="24"/>
          <w:highlight w:val="none"/>
        </w:rPr>
      </w:pP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                                 </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 </w:t>
      </w:r>
      <w:r/>
    </w:p>
    <w:p>
      <w:pPr>
        <w:pStyle w:val="692"/>
        <w:ind w:firstLine="480"/>
        <w:keepLines w:val="0"/>
        <w:keepNext w:val="0"/>
        <w:pageBreakBefore w:val="0"/>
        <w:spacing w:line="360" w:lineRule="exact"/>
        <w:tabs>
          <w:tab w:val="left" w:pos="4962" w:leader="none"/>
        </w:tabs>
        <w:rPr>
          <w:rFonts w:hAnsi="宋体" w:cs="宋体"/>
          <w:color w:val="auto"/>
          <w:sz w:val="24"/>
          <w:szCs w:val="24"/>
          <w:highlight w:val="none"/>
        </w:rPr>
      </w:pPr>
      <w:r>
        <w:rPr>
          <w:rFonts w:hint="eastAsia" w:hAnsi="宋体" w:cs="宋体"/>
          <w:color w:val="auto"/>
          <w:sz w:val="24"/>
          <w:szCs w:val="24"/>
          <w:highlight w:val="none"/>
        </w:rPr>
        <w:t xml:space="preserve">法定（授权）代表人：                     法定（授权）代表人：</w:t>
      </w:r>
      <w:r/>
    </w:p>
    <w:p>
      <w:pPr>
        <w:pStyle w:val="692"/>
        <w:ind w:firstLine="480"/>
        <w:keepLines w:val="0"/>
        <w:keepNext w:val="0"/>
        <w:pageBreakBefore w:val="0"/>
        <w:spacing w:line="360" w:lineRule="exact"/>
        <w:tabs>
          <w:tab w:val="left" w:pos="4962" w:leader="none"/>
        </w:tabs>
        <w:rPr>
          <w:rFonts w:hAnsi="宋体" w:cs="宋体"/>
          <w:color w:val="auto"/>
          <w:sz w:val="24"/>
          <w:szCs w:val="24"/>
          <w:highlight w:val="none"/>
        </w:rPr>
      </w:pPr>
      <w:r>
        <w:rPr>
          <w:rFonts w:hint="eastAsia" w:hAnsi="宋体" w:cs="宋体"/>
          <w:color w:val="auto"/>
          <w:sz w:val="24"/>
          <w:szCs w:val="24"/>
          <w:highlight w:val="none"/>
        </w:rPr>
        <w:t xml:space="preserve">签字日期：      年  月  日               签字日期：      年  月  日</w:t>
      </w:r>
      <w:r/>
    </w:p>
    <w:p>
      <w:pPr>
        <w:pStyle w:val="692"/>
        <w:ind w:firstLine="480"/>
        <w:spacing w:line="400" w:lineRule="exact"/>
        <w:tabs>
          <w:tab w:val="left" w:pos="4962" w:leader="none"/>
        </w:tabs>
        <w:rPr>
          <w:rFonts w:hAnsi="宋体" w:cs="宋体"/>
          <w:color w:val="auto"/>
          <w:sz w:val="24"/>
          <w:szCs w:val="24"/>
          <w:highlight w:val="none"/>
        </w:rPr>
      </w:pPr>
      <w:r>
        <w:rPr>
          <w:rFonts w:hAnsi="宋体" w:cs="宋体"/>
          <w:color w:val="auto"/>
          <w:sz w:val="24"/>
          <w:szCs w:val="24"/>
          <w:highlight w:val="none"/>
        </w:rPr>
      </w:r>
      <w:r/>
    </w:p>
    <w:p>
      <w:pPr>
        <w:pStyle w:val="692"/>
        <w:ind w:firstLine="480"/>
        <w:spacing w:line="400" w:lineRule="exact"/>
        <w:tabs>
          <w:tab w:val="left" w:pos="4962" w:leader="none"/>
        </w:tabs>
        <w:rPr>
          <w:rFonts w:hAnsi="宋体" w:cs="宋体"/>
          <w:color w:val="auto"/>
          <w:sz w:val="24"/>
          <w:szCs w:val="24"/>
          <w:highlight w:val="none"/>
        </w:rPr>
      </w:pPr>
      <w:r>
        <w:rPr>
          <w:rFonts w:hAnsi="宋体" w:cs="宋体"/>
          <w:color w:val="auto"/>
          <w:sz w:val="24"/>
          <w:szCs w:val="24"/>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692"/>
        <w:jc w:val="center"/>
        <w:spacing w:after="120"/>
        <w:rPr>
          <w:rFonts w:hAnsi="宋体"/>
          <w:b/>
          <w:color w:val="auto"/>
          <w:sz w:val="44"/>
          <w:szCs w:val="44"/>
          <w:highlight w:val="none"/>
        </w:rPr>
      </w:pPr>
      <w:r>
        <w:rPr>
          <w:rFonts w:hint="eastAsia" w:hAnsi="宋体"/>
          <w:b/>
          <w:color w:val="auto"/>
          <w:sz w:val="44"/>
          <w:szCs w:val="44"/>
          <w:highlight w:val="none"/>
        </w:rPr>
        <w:t xml:space="preserve">廉 政 合 同</w:t>
      </w:r>
      <w:r/>
    </w:p>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：盐城市大丰人民医院</w:t>
      </w:r>
      <w:r/>
    </w:p>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 </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为强化抓源治本工作力度，从制度机制上进一步规范</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采购行为，杜绝不廉洁行为，特订立本合同，双方遵照执行。</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双方必须严格遵守国家法律、法规、政策及各项廉政规定，恪守职业道德规范。</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双方在具体项目采购行为中，必须严格遵守招投标法规定的原则、方式、程序，保证公平、公正、公开。</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双方不得相互串通，损害国家利益、社会公共利益及其他当事人的合法权益。</w:t>
      </w:r>
      <w:r/>
    </w:p>
    <w:p>
      <w:pPr>
        <w:pStyle w:val="692"/>
        <w:ind w:firstLine="240"/>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　4、</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工作人员及其配偶、子女不得以任何形式或名义索要、接受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的现金、有价证券、支付凭证和其他馈赠礼品；</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不得以任何形式或名义向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工作人员及其配偶、子女、评标人员赠送现金、有价证券、支付凭证和礼品或采取其他不正当手段谋取利益。</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5、</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工作人员及其配偶、子女不得以任何形式或者名义接受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的宴请、请钓、旅游、健身和其他娱乐活动；</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不得以任何形式或名义邀请</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工作人员及其配偶、子女请吃、请钓、旅游、健身和其他娱乐活动。</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6、</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工作人员及其配偶、子女不得以打“业务牌”等形式变相接受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的钱物；</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不得以打“业务牌”的形式向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工作人员及其配偶、子女变相送钱物。</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7、</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工作人员及其配偶、子女不得在</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报销应由个人支付的费用或领取报酬；</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工作人员及其配偶、子女报销应由个人支付的费用或发放报酬。</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违约责任：</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发生违约行为，一经查实将视情节轻重对直接责任人进行严肃处理并追究主管人员的责任。</w:t>
      </w:r>
      <w:r/>
    </w:p>
    <w:p>
      <w:pPr>
        <w:pStyle w:val="692"/>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发生违约行为，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有权解除合同，并将其列入“黑名单”在一定范围内公布，三年内不得参加辖区内的项目采购。　</w:t>
      </w:r>
      <w:r/>
    </w:p>
    <w:p>
      <w:pPr>
        <w:pStyle w:val="692"/>
        <w:jc w:val="left"/>
        <w:spacing w:line="400" w:lineRule="exact"/>
        <w:rPr>
          <w:rFonts w:hAnsi="宋体" w:cs="宋体"/>
          <w:color w:val="auto"/>
          <w:sz w:val="24"/>
          <w:szCs w:val="24"/>
          <w:highlight w:val="none"/>
        </w:rPr>
      </w:pPr>
      <w:r>
        <w:rPr>
          <w:rFonts w:hAnsi="宋体" w:cs="宋体"/>
          <w:color w:val="auto"/>
          <w:sz w:val="24"/>
          <w:szCs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 </w:t>
      </w:r>
      <w:r/>
    </w:p>
    <w:p>
      <w:pPr>
        <w:ind w:firstLine="480"/>
        <w:spacing w:line="360" w:lineRule="auto"/>
        <w:tabs>
          <w:tab w:val="left" w:pos="4962" w:leader="none"/>
        </w:tabs>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签字日期：      年  月  日               签字日期：      年  月  日</w:t>
      </w:r>
      <w:r/>
    </w:p>
    <w:p>
      <w:pPr>
        <w:spacing w:before="240" w:after="24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before="240" w:after="24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附件：</w:t>
      </w:r>
      <w:r/>
    </w:p>
    <w:p>
      <w:pPr>
        <w:ind w:firstLine="420"/>
        <w:jc w:val="cente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政府采购合同履约验收书（参考格式）</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根据政府采购合同（编号：</w:t>
      </w:r>
      <w:r>
        <w:rPr>
          <w:rFonts w:ascii="宋体" w:hAnsi="宋体" w:cs="宋体"/>
          <w:color w:val="auto"/>
          <w:highlight w:val="none"/>
          <w:u w:val="single"/>
        </w:rPr>
        <w:t xml:space="preserve">          </w:t>
      </w:r>
      <w:r>
        <w:rPr>
          <w:rFonts w:ascii="宋体" w:hAnsi="宋体" w:cs="宋体"/>
          <w:color w:val="auto"/>
          <w:highlight w:val="none"/>
        </w:rPr>
        <w:t xml:space="preserve">）的约定，我单位组织对</w:t>
      </w:r>
      <w:r>
        <w:rPr>
          <w:rFonts w:ascii="宋体" w:hAnsi="宋体" w:cs="宋体"/>
          <w:color w:val="auto"/>
          <w:highlight w:val="none"/>
          <w:u w:val="single"/>
        </w:rPr>
        <w:t xml:space="preserve">（项目名称）</w:t>
      </w:r>
      <w:r>
        <w:rPr>
          <w:rFonts w:ascii="宋体" w:hAnsi="宋体" w:cs="宋体"/>
          <w:color w:val="auto"/>
          <w:highlight w:val="none"/>
        </w:rPr>
        <w:t xml:space="preserve">项目中标（成交）供应商</w:t>
      </w:r>
      <w:r>
        <w:rPr>
          <w:rFonts w:ascii="宋体" w:hAnsi="宋体" w:cs="宋体"/>
          <w:color w:val="auto"/>
          <w:highlight w:val="none"/>
          <w:u w:val="single"/>
        </w:rPr>
        <w:t xml:space="preserve">（公司名称）</w:t>
      </w:r>
      <w:r>
        <w:rPr>
          <w:rFonts w:ascii="宋体" w:hAnsi="宋体" w:cs="宋体"/>
          <w:color w:val="auto"/>
          <w:highlight w:val="none"/>
        </w:rPr>
        <w:t xml:space="preserve">提供的货物（工程、服务）进行了履约验收，验收情况如下：</w:t>
      </w:r>
      <w:r/>
    </w:p>
    <w:tbl>
      <w:tblPr>
        <w:tblStyle w:val="70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jc w:val="cente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jc w:val="cente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jc w:val="cente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验收情况和验收意见</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（可另附）</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420"/>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jc w:val="cente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验收小组（签字）：</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color w:val="auto"/>
                <w:highlight w:val="none"/>
              </w:rPr>
              <w:br/>
            </w:r>
            <w:r>
              <w:rPr>
                <w:rFonts w:ascii="宋体" w:hAnsi="宋体" w:cs="宋体"/>
                <w:color w:val="auto"/>
                <w:highlight w:val="none"/>
              </w:rPr>
              <w:t xml:space="preserve">                              年    月    日</w:t>
            </w:r>
            <w:r/>
          </w:p>
        </w:tc>
      </w:tr>
      <w:tr>
        <w:trPr>
          <w:jc w:val="cente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供应商确认意见（签章）：</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r>
            <w:r>
              <w:rPr>
                <w:rFonts w:ascii="宋体" w:hAnsi="宋体" w:cs="宋体"/>
                <w:color w:val="auto"/>
                <w:highlight w:val="none"/>
              </w:rPr>
              <w:t xml:space="preserve">                              年    月    日</w:t>
            </w:r>
            <w:r/>
          </w:p>
        </w:tc>
      </w:tr>
      <w:tr>
        <w:trPr>
          <w:jc w:val="cente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采购人确认意见（签章）：</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年    月    日</w:t>
            </w:r>
            <w:r/>
          </w:p>
        </w:tc>
      </w:tr>
    </w:tbl>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4"/>
      <w:r/>
      <w:bookmarkEnd w:id="75"/>
      <w:r/>
      <w:r/>
    </w:p>
    <w:p>
      <w:pPr>
        <w:spacing w:line="360" w:lineRule="auto"/>
        <w:rPr>
          <w:color w:val="auto"/>
          <w:highlight w:val="none"/>
        </w:rPr>
      </w:pPr>
      <w:r>
        <w:rPr>
          <w:color w:val="auto"/>
          <w:highlight w:val="none"/>
        </w:rPr>
      </w:r>
      <w:r/>
    </w:p>
    <w:p>
      <w:pPr>
        <w:pStyle w:val="877"/>
        <w:ind w:firstLine="321"/>
        <w:jc w:val="center"/>
        <w:spacing w:line="360" w:lineRule="auto"/>
        <w:rPr>
          <w:color w:val="auto"/>
          <w:highlight w:val="none"/>
        </w:rPr>
        <w:outlineLvl w:val="1"/>
      </w:pPr>
      <w:r/>
      <w:bookmarkStart w:id="76" w:name="_Toc514054484"/>
      <w:r/>
      <w:bookmarkStart w:id="77" w:name="_Toc26779"/>
      <w:r>
        <w:rPr>
          <w:color w:val="auto"/>
          <w:highlight w:val="none"/>
        </w:rPr>
        <w:t xml:space="preserve">封面</w:t>
      </w:r>
      <w:bookmarkEnd w:id="76"/>
      <w:r/>
      <w:bookmarkEnd w:id="77"/>
      <w:r/>
      <w:r/>
    </w:p>
    <w:p>
      <w:pPr>
        <w:pStyle w:val="87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7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7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78"/>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78"/>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78"/>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78"/>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78"/>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78"/>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pStyle w:val="879"/>
        <w:jc w:val="both"/>
        <w:spacing w:line="360" w:lineRule="auto"/>
        <w:rPr>
          <w:color w:val="auto"/>
          <w:highlight w:val="none"/>
        </w:rPr>
        <w:outlineLvl w:val="1"/>
      </w:pPr>
      <w:r>
        <w:rPr>
          <w:color w:val="auto"/>
          <w:highlight w:val="none"/>
        </w:rPr>
      </w:r>
      <w:r/>
    </w:p>
    <w:p>
      <w:pPr>
        <w:pStyle w:val="879"/>
        <w:jc w:val="center"/>
        <w:spacing w:line="360" w:lineRule="auto"/>
        <w:rPr>
          <w:color w:val="auto"/>
          <w:highlight w:val="none"/>
        </w:rPr>
        <w:outlineLvl w:val="1"/>
      </w:pPr>
      <w:r>
        <w:rPr>
          <w:color w:val="auto"/>
          <w:highlight w:val="none"/>
        </w:rPr>
        <w:t xml:space="preserve">目录</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一、投标人基本情况</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二、投标人资质</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80"/>
        <w:keepLines w:val="0"/>
        <w:keepNext w:val="0"/>
        <w:pageBreakBefore w:val="0"/>
        <w:spacing w:after="100" w:afterAutospacing="1" w:line="360" w:lineRule="exact"/>
        <w:widowControl/>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六、无重大违法行为声明</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七、投标函</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八、法定代表人身份证明或授权委托书</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九、开标一览表</w:t>
      </w:r>
      <w:r/>
    </w:p>
    <w:p>
      <w:pPr>
        <w:pStyle w:val="880"/>
        <w:keepLines w:val="0"/>
        <w:keepNext w:val="0"/>
        <w:pageBreakBefore w:val="0"/>
        <w:spacing w:after="100" w:afterAutospacing="1" w:line="360" w:lineRule="exact"/>
        <w:widowControl/>
        <w:rPr>
          <w:rFonts w:hint="eastAsia"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投标分项报价表</w:t>
      </w:r>
      <w:r/>
    </w:p>
    <w:p>
      <w:pPr>
        <w:pStyle w:val="880"/>
        <w:keepLines w:val="0"/>
        <w:keepNext w:val="0"/>
        <w:pageBreakBefore w:val="0"/>
        <w:spacing w:after="100" w:afterAutospacing="1" w:line="36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十一、</w:t>
      </w:r>
      <w:r>
        <w:rPr>
          <w:rFonts w:hint="eastAsia" w:ascii="宋体" w:hAnsi="宋体" w:eastAsia="宋体" w:cs="宋体"/>
          <w:color w:val="auto"/>
          <w:highlight w:val="none"/>
        </w:rPr>
        <w:t xml:space="preserve">关于符合本国产品标准的声明函</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、中小企业声明函</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、响应偏差表</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ascii="宋体" w:hAnsi="宋体" w:eastAsia="宋体" w:cs="宋体"/>
          <w:color w:val="auto"/>
          <w:highlight w:val="none"/>
        </w:rPr>
        <w:t xml:space="preserve">、所投产品技术资料或样本等</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ascii="宋体" w:hAnsi="宋体" w:eastAsia="宋体" w:cs="宋体"/>
          <w:color w:val="auto"/>
          <w:highlight w:val="none"/>
        </w:rPr>
        <w:t xml:space="preserve">、主要部件、辅材明细表</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w:t>
      </w:r>
      <w:bookmarkStart w:id="78"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8"/>
      <w:r/>
      <w:r/>
    </w:p>
    <w:p>
      <w:pPr>
        <w:pStyle w:val="880"/>
        <w:keepLines w:val="0"/>
        <w:keepNext w:val="0"/>
        <w:pageBreakBefore w:val="0"/>
        <w:spacing w:after="100" w:afterAutospacing="1" w:line="360" w:lineRule="exact"/>
        <w:widowControl/>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、项目业绩一览表</w:t>
      </w:r>
      <w:r/>
    </w:p>
    <w:p>
      <w:pPr>
        <w:pStyle w:val="880"/>
        <w:keepLines w:val="0"/>
        <w:keepNext w:val="0"/>
        <w:pageBreakBefore w:val="0"/>
        <w:spacing w:after="100" w:afterAutospacing="1" w:line="360" w:lineRule="exact"/>
        <w:widowControl/>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八</w:t>
      </w:r>
      <w:r>
        <w:rPr>
          <w:rFonts w:ascii="宋体" w:hAnsi="宋体" w:eastAsia="宋体" w:cs="宋体"/>
          <w:color w:val="auto"/>
          <w:highlight w:val="none"/>
        </w:rPr>
        <w:t xml:space="preserve">、盐城市大丰区政府招标采购供应商承诺书</w:t>
      </w:r>
      <w:r/>
    </w:p>
    <w:p>
      <w:pPr>
        <w:pStyle w:val="88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九</w:t>
      </w:r>
      <w:r>
        <w:rPr>
          <w:rFonts w:ascii="宋体" w:hAnsi="宋体" w:eastAsia="宋体" w:cs="宋体"/>
          <w:color w:val="auto"/>
          <w:highlight w:val="none"/>
        </w:rPr>
        <w:t xml:space="preserve">、投标所需其他材料</w:t>
      </w:r>
      <w:r/>
    </w:p>
    <w:p>
      <w:pPr>
        <w:pStyle w:val="881"/>
        <w:spacing w:line="360" w:lineRule="auto"/>
        <w:rPr>
          <w:color w:val="auto"/>
          <w:highlight w:val="none"/>
        </w:rPr>
        <w:outlineLvl w:val="1"/>
      </w:pPr>
      <w:r>
        <w:rPr>
          <w:color w:val="auto"/>
          <w:highlight w:val="none"/>
        </w:rPr>
        <w:br w:type="page" w:clear="all"/>
      </w:r>
      <w:bookmarkStart w:id="79" w:name="_Toc21292"/>
      <w:r/>
      <w:bookmarkStart w:id="80" w:name="_Toc23205_WPSOffice_Level2"/>
      <w:r/>
      <w:bookmarkStart w:id="81" w:name="_Toc514054486"/>
      <w:r>
        <w:rPr>
          <w:color w:val="auto"/>
          <w:highlight w:val="none"/>
        </w:rPr>
        <w:t xml:space="preserve">一、投标人基本情况</w:t>
      </w:r>
      <w:bookmarkEnd w:id="79"/>
      <w:r/>
      <w:bookmarkEnd w:id="80"/>
      <w:r/>
      <w:bookmarkEnd w:id="81"/>
      <w:r/>
      <w:r/>
    </w:p>
    <w:p>
      <w:pPr>
        <w:pStyle w:val="882"/>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82"/>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8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82"/>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83"/>
        <w:spacing w:line="360" w:lineRule="auto"/>
        <w:rPr>
          <w:rFonts w:hint="eastAsia"/>
          <w:color w:val="auto"/>
          <w:highlight w:val="none"/>
        </w:rPr>
        <w:outlineLvl w:val="1"/>
      </w:pPr>
      <w:r>
        <w:rPr>
          <w:color w:val="auto"/>
          <w:highlight w:val="none"/>
        </w:rPr>
        <w:br w:type="page" w:clear="all"/>
      </w:r>
      <w:bookmarkStart w:id="82" w:name="_Toc30260_WPSOffice_Level2"/>
      <w:r/>
      <w:bookmarkStart w:id="83" w:name="_Toc514054487"/>
      <w:r/>
      <w:bookmarkStart w:id="84"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2"/>
      <w:r/>
      <w:bookmarkEnd w:id="83"/>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4"/>
      <w:r/>
      <w:r/>
    </w:p>
    <w:p>
      <w:pPr>
        <w:pStyle w:val="884"/>
        <w:spacing w:line="360" w:lineRule="auto"/>
        <w:rPr>
          <w:rFonts w:hint="eastAsia"/>
          <w:color w:val="auto"/>
          <w:highlight w:val="none"/>
        </w:rPr>
      </w:pPr>
      <w:r>
        <w:rPr>
          <w:rFonts w:hint="eastAsia"/>
          <w:color w:val="auto"/>
          <w:highlight w:val="none"/>
        </w:rPr>
        <w:t xml:space="preserve">    </w:t>
      </w:r>
      <w:bookmarkStart w:id="85" w:name="_Toc21452_WPSOffice_Level2"/>
      <w:r/>
      <w:bookmarkStart w:id="86" w:name="_Toc514054488"/>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rFonts w:hint="eastAsia"/>
          <w:color w:val="auto"/>
          <w:highlight w:val="none"/>
        </w:rPr>
      </w:pPr>
      <w:r>
        <w:rPr>
          <w:rFonts w:hint="eastAsia"/>
          <w:color w:val="auto"/>
          <w:highlight w:val="none"/>
        </w:rPr>
      </w:r>
      <w:r/>
    </w:p>
    <w:p>
      <w:pPr>
        <w:pStyle w:val="884"/>
        <w:spacing w:line="360" w:lineRule="auto"/>
        <w:rPr>
          <w:color w:val="auto"/>
          <w:highlight w:val="none"/>
        </w:rPr>
        <w:outlineLvl w:val="1"/>
      </w:pPr>
      <w:r/>
      <w:bookmarkStart w:id="87" w:name="_Toc18935"/>
      <w:r>
        <w:rPr>
          <w:color w:val="auto"/>
          <w:highlight w:val="none"/>
        </w:rPr>
        <w:t xml:space="preserve">三、投标人</w:t>
      </w:r>
      <w:bookmarkEnd w:id="85"/>
      <w:r/>
      <w:bookmarkEnd w:id="86"/>
      <w:r/>
      <w:bookmarkEnd w:id="87"/>
      <w:r>
        <w:rPr>
          <w:rFonts w:hint="eastAsia" w:ascii="宋体" w:hAnsi="宋体" w:cs="Arial"/>
          <w:bCs/>
          <w:color w:val="auto"/>
          <w:highlight w:val="none"/>
        </w:rPr>
        <w:t xml:space="preserve">具有良好的商业信誉和健全的财务会计制度</w:t>
      </w:r>
      <w:r/>
    </w:p>
    <w:p>
      <w:pPr>
        <w:pStyle w:val="885"/>
        <w:spacing w:line="360" w:lineRule="auto"/>
        <w:rPr>
          <w:color w:val="auto"/>
          <w:highlight w:val="none"/>
        </w:rPr>
      </w:pPr>
      <w:r>
        <w:rPr>
          <w:rFonts w:hint="eastAsia" w:ascii="宋体"/>
          <w:bCs/>
          <w:color w:val="auto"/>
          <w:szCs w:val="32"/>
          <w:highlight w:val="none"/>
        </w:rPr>
        <w:t xml:space="preserve">提供符合招标文件要求的资料</w:t>
      </w:r>
      <w:r/>
    </w:p>
    <w:p>
      <w:pPr>
        <w:pStyle w:val="886"/>
        <w:spacing w:line="360" w:lineRule="auto"/>
        <w:rPr>
          <w:color w:val="auto"/>
          <w:highlight w:val="none"/>
        </w:rPr>
        <w:outlineLvl w:val="1"/>
      </w:pPr>
      <w:r>
        <w:rPr>
          <w:color w:val="auto"/>
          <w:highlight w:val="none"/>
        </w:rPr>
        <w:br w:type="page" w:clear="all"/>
      </w:r>
      <w:bookmarkStart w:id="88" w:name="_Toc29626"/>
      <w:r/>
      <w:bookmarkStart w:id="89" w:name="_Toc514054489"/>
      <w:r/>
      <w:bookmarkStart w:id="90" w:name="_Toc11562_WPSOffice_Level2"/>
      <w:r>
        <w:rPr>
          <w:color w:val="auto"/>
          <w:highlight w:val="none"/>
        </w:rPr>
        <w:t xml:space="preserve">四、</w:t>
      </w:r>
      <w:bookmarkEnd w:id="88"/>
      <w:r/>
      <w:bookmarkEnd w:id="89"/>
      <w:r/>
      <w:bookmarkEnd w:id="90"/>
      <w:r>
        <w:rPr>
          <w:rFonts w:hint="eastAsia" w:ascii="宋体" w:hAnsi="宋体" w:cs="Arial"/>
          <w:bCs/>
          <w:color w:val="auto"/>
          <w:highlight w:val="none"/>
        </w:rPr>
        <w:t xml:space="preserve">具有履行合同所必需的设备和专业技术能力</w:t>
      </w:r>
      <w:r/>
    </w:p>
    <w:p>
      <w:pPr>
        <w:pStyle w:val="887"/>
        <w:jc w:val="center"/>
        <w:spacing w:line="360" w:lineRule="auto"/>
        <w:rPr>
          <w:rFonts w:hint="eastAsia" w:ascii="宋体" w:hAnsi="宋体"/>
          <w:b/>
          <w:color w:val="auto"/>
          <w:sz w:val="32"/>
          <w:szCs w:val="24"/>
          <w:highlight w:val="none"/>
        </w:rPr>
      </w:pPr>
      <w:r/>
      <w:bookmarkStart w:id="91" w:name="_Toc31740_WPSOffice_Level2"/>
      <w:r/>
      <w:r/>
    </w:p>
    <w:p>
      <w:pPr>
        <w:pStyle w:val="887"/>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1"/>
      <w:r/>
      <w:r/>
    </w:p>
    <w:p>
      <w:pPr>
        <w:pStyle w:val="887"/>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87"/>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87"/>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87"/>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87"/>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7"/>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8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89"/>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0"/>
        <w:spacing w:after="100" w:afterAutospacing="1" w:line="360" w:lineRule="auto"/>
        <w:rPr>
          <w:rFonts w:hint="eastAsia" w:ascii="宋体" w:hAnsi="宋体" w:cs="Arial"/>
          <w:bCs/>
          <w:color w:val="auto"/>
          <w:highlight w:val="none"/>
        </w:rPr>
      </w:pPr>
      <w:r>
        <w:rPr>
          <w:color w:val="auto"/>
          <w:highlight w:val="none"/>
        </w:rPr>
        <w:br w:type="page" w:clear="all"/>
      </w:r>
      <w:bookmarkStart w:id="92" w:name="_Toc467_WPSOffice_Level2"/>
      <w:r/>
      <w:bookmarkStart w:id="93" w:name="_Toc13419"/>
      <w:r/>
      <w:bookmarkStart w:id="94" w:name="_Toc514054490"/>
      <w:r>
        <w:rPr>
          <w:rFonts w:hint="eastAsia" w:ascii="宋体" w:hAnsi="宋体" w:eastAsia="黑体" w:cs="Arial"/>
          <w:b/>
          <w:bCs/>
          <w:color w:val="auto"/>
          <w:sz w:val="32"/>
          <w:highlight w:val="none"/>
        </w:rPr>
        <w:t xml:space="preserve">五、</w:t>
      </w:r>
      <w:bookmarkEnd w:id="92"/>
      <w:r/>
      <w:bookmarkEnd w:id="93"/>
      <w:r/>
      <w:bookmarkEnd w:id="94"/>
      <w:r>
        <w:rPr>
          <w:rFonts w:hint="eastAsia" w:ascii="宋体" w:hAnsi="宋体" w:eastAsia="黑体" w:cs="Arial"/>
          <w:b/>
          <w:bCs/>
          <w:color w:val="auto"/>
          <w:sz w:val="32"/>
          <w:highlight w:val="none"/>
        </w:rPr>
        <w:t xml:space="preserve">有依法缴纳税收和社会保障资金的良好记录</w:t>
      </w:r>
      <w:r/>
    </w:p>
    <w:p>
      <w:pPr>
        <w:pStyle w:val="885"/>
        <w:spacing w:line="360" w:lineRule="auto"/>
        <w:rPr>
          <w:color w:val="auto"/>
          <w:highlight w:val="none"/>
        </w:rPr>
      </w:pPr>
      <w:r>
        <w:rPr>
          <w:rFonts w:hint="eastAsia" w:ascii="宋体"/>
          <w:bCs/>
          <w:color w:val="auto"/>
          <w:szCs w:val="32"/>
          <w:highlight w:val="none"/>
        </w:rPr>
        <w:t xml:space="preserve">提供符合招标文件要求的资料</w:t>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1"/>
        <w:spacing w:line="360" w:lineRule="auto"/>
        <w:rPr>
          <w:color w:val="auto"/>
          <w:highlight w:val="none"/>
        </w:rPr>
        <w:outlineLvl w:val="1"/>
      </w:pPr>
      <w:r/>
      <w:bookmarkStart w:id="95" w:name="_Toc514054491"/>
      <w:r/>
      <w:bookmarkStart w:id="96" w:name="_Toc19673"/>
      <w:r/>
      <w:bookmarkStart w:id="97" w:name="_Toc5571_WPSOffice_Level2"/>
      <w:r>
        <w:rPr>
          <w:color w:val="auto"/>
          <w:highlight w:val="none"/>
        </w:rPr>
        <w:t xml:space="preserve">六、无重大违法行为声明</w:t>
      </w:r>
      <w:bookmarkEnd w:id="95"/>
      <w:r/>
      <w:bookmarkEnd w:id="96"/>
      <w:r/>
      <w:bookmarkEnd w:id="97"/>
      <w:r/>
      <w:r/>
    </w:p>
    <w:p>
      <w:pPr>
        <w:pStyle w:val="892"/>
        <w:jc w:val="center"/>
        <w:spacing w:line="360" w:lineRule="auto"/>
        <w:tabs>
          <w:tab w:val="left" w:pos="1498" w:leader="none"/>
        </w:tabs>
        <w:rPr>
          <w:rFonts w:hint="eastAsia"/>
          <w:b/>
          <w:color w:val="auto"/>
          <w:sz w:val="32"/>
          <w:szCs w:val="32"/>
          <w:highlight w:val="none"/>
        </w:rPr>
      </w:pPr>
      <w:r/>
      <w:bookmarkStart w:id="98" w:name="_Toc7575_WPSOffice_Level2"/>
      <w:r>
        <w:rPr>
          <w:rFonts w:hint="eastAsia"/>
          <w:b/>
          <w:color w:val="auto"/>
          <w:sz w:val="32"/>
          <w:szCs w:val="32"/>
          <w:highlight w:val="none"/>
        </w:rPr>
        <w:t xml:space="preserve">无重大违法行为声明</w:t>
      </w:r>
      <w:bookmarkEnd w:id="98"/>
      <w:r/>
      <w:r/>
    </w:p>
    <w:p>
      <w:pPr>
        <w:pStyle w:val="892"/>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9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3"/>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4"/>
        <w:spacing w:line="360" w:lineRule="auto"/>
        <w:rPr>
          <w:color w:val="auto"/>
          <w:highlight w:val="none"/>
        </w:rPr>
        <w:outlineLvl w:val="1"/>
      </w:pPr>
      <w:r>
        <w:rPr>
          <w:color w:val="auto"/>
          <w:highlight w:val="none"/>
        </w:rPr>
        <w:br w:type="page" w:clear="all"/>
      </w:r>
      <w:bookmarkStart w:id="99" w:name="_Toc30396"/>
      <w:r/>
      <w:bookmarkStart w:id="100" w:name="_Toc514054492"/>
      <w:r/>
      <w:bookmarkStart w:id="101" w:name="_Toc31956_WPSOffice_Level2"/>
      <w:r/>
      <w:r/>
    </w:p>
    <w:p>
      <w:pPr>
        <w:pStyle w:val="894"/>
        <w:spacing w:line="360" w:lineRule="auto"/>
        <w:rPr>
          <w:color w:val="auto"/>
          <w:highlight w:val="none"/>
        </w:rPr>
        <w:outlineLvl w:val="1"/>
      </w:pPr>
      <w:r>
        <w:rPr>
          <w:color w:val="auto"/>
          <w:highlight w:val="none"/>
        </w:rPr>
        <w:t xml:space="preserve">七、投标函</w:t>
      </w:r>
      <w:bookmarkEnd w:id="99"/>
      <w:r/>
      <w:bookmarkEnd w:id="100"/>
      <w:r/>
      <w:bookmarkEnd w:id="101"/>
      <w:r/>
      <w:r/>
    </w:p>
    <w:p>
      <w:pPr>
        <w:pStyle w:val="895"/>
        <w:spacing w:line="360" w:lineRule="auto"/>
        <w:tabs>
          <w:tab w:val="left" w:pos="1498" w:leader="none"/>
        </w:tabs>
        <w:rPr>
          <w:rFonts w:hint="eastAsia" w:ascii="仿宋_GB2312" w:eastAsia="仿宋_GB2312"/>
          <w:color w:val="auto"/>
          <w:sz w:val="24"/>
          <w:szCs w:val="22"/>
          <w:highlight w:val="none"/>
        </w:rPr>
      </w:pPr>
      <w:r/>
      <w:bookmarkStart w:id="102" w:name="_Toc514054493"/>
      <w:r/>
      <w:bookmarkStart w:id="103"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95"/>
        <w:numPr>
          <w:ilvl w:val="0"/>
          <w:numId w:val="6"/>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9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96"/>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96"/>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9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97"/>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2"/>
      <w:r/>
      <w:bookmarkEnd w:id="103"/>
      <w:r/>
      <w:r/>
    </w:p>
    <w:p>
      <w:pPr>
        <w:pStyle w:val="898"/>
        <w:jc w:val="center"/>
        <w:spacing w:line="360" w:lineRule="auto"/>
        <w:rPr>
          <w:rFonts w:ascii="宋体"/>
          <w:b/>
          <w:bCs/>
          <w:color w:val="auto"/>
          <w:sz w:val="32"/>
          <w:szCs w:val="32"/>
          <w:highlight w:val="none"/>
        </w:rPr>
      </w:pPr>
      <w:r/>
      <w:bookmarkStart w:id="104" w:name="_Toc22626_WPSOffice_Level2"/>
      <w:r/>
      <w:r/>
    </w:p>
    <w:p>
      <w:pPr>
        <w:pStyle w:val="898"/>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4"/>
      <w:r/>
      <w:r/>
    </w:p>
    <w:p>
      <w:pPr>
        <w:pStyle w:val="899"/>
        <w:spacing w:line="360" w:lineRule="auto"/>
        <w:rPr>
          <w:rFonts w:eastAsia="仿宋_GB2312"/>
          <w:color w:val="auto"/>
          <w:sz w:val="24"/>
          <w:highlight w:val="none"/>
        </w:rPr>
      </w:pPr>
      <w:r>
        <w:rPr>
          <w:rFonts w:eastAsia="仿宋_GB2312"/>
          <w:color w:val="auto"/>
          <w:sz w:val="24"/>
          <w:highlight w:val="none"/>
        </w:rPr>
      </w:r>
      <w:r/>
    </w:p>
    <w:p>
      <w:pPr>
        <w:pStyle w:val="899"/>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99"/>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99"/>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99"/>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99"/>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99"/>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99"/>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99"/>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90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99"/>
        <w:ind w:firstLine="480"/>
        <w:spacing w:line="360" w:lineRule="auto"/>
        <w:rPr>
          <w:rFonts w:eastAsia="仿宋_GB2312"/>
          <w:color w:val="auto"/>
          <w:sz w:val="24"/>
          <w:highlight w:val="none"/>
        </w:rPr>
      </w:pPr>
      <w:r>
        <w:rPr>
          <w:rFonts w:eastAsia="仿宋_GB2312"/>
          <w:color w:val="auto"/>
          <w:sz w:val="24"/>
          <w:highlight w:val="none"/>
        </w:rPr>
      </w:r>
      <w:r/>
    </w:p>
    <w:p>
      <w:pPr>
        <w:pStyle w:val="899"/>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99"/>
        <w:jc w:val="right"/>
        <w:spacing w:line="360" w:lineRule="auto"/>
        <w:rPr>
          <w:rFonts w:eastAsia="仿宋_GB2312"/>
          <w:color w:val="auto"/>
          <w:sz w:val="24"/>
          <w:highlight w:val="none"/>
        </w:rPr>
      </w:pPr>
      <w:r>
        <w:rPr>
          <w:rFonts w:eastAsia="仿宋_GB2312"/>
          <w:color w:val="auto"/>
          <w:sz w:val="24"/>
          <w:highlight w:val="none"/>
        </w:rPr>
      </w:r>
      <w:r/>
    </w:p>
    <w:p>
      <w:pPr>
        <w:pStyle w:val="899"/>
        <w:jc w:val="right"/>
        <w:spacing w:line="360" w:lineRule="auto"/>
        <w:rPr>
          <w:rFonts w:eastAsia="仿宋_GB2312"/>
          <w:color w:val="auto"/>
          <w:sz w:val="24"/>
          <w:highlight w:val="none"/>
        </w:rPr>
      </w:pPr>
      <w:r>
        <w:rPr>
          <w:rFonts w:eastAsia="仿宋_GB2312"/>
          <w:color w:val="auto"/>
          <w:sz w:val="24"/>
          <w:highlight w:val="none"/>
        </w:rPr>
      </w:r>
      <w:r/>
    </w:p>
    <w:p>
      <w:pPr>
        <w:pStyle w:val="900"/>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98"/>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901"/>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8"/>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5" w:name="_Toc406_WPSOffice_Level2"/>
      <w:r/>
      <w:r/>
    </w:p>
    <w:p>
      <w:pPr>
        <w:pStyle w:val="898"/>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98"/>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5"/>
      <w:r/>
      <w:r/>
    </w:p>
    <w:p>
      <w:pPr>
        <w:pStyle w:val="898"/>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99"/>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98"/>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98"/>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98"/>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02"/>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902"/>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98"/>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98"/>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98"/>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903"/>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04"/>
        <w:spacing w:line="360" w:lineRule="auto"/>
        <w:rPr>
          <w:rFonts w:hint="eastAsia" w:eastAsia="黑体"/>
          <w:color w:val="auto"/>
          <w:highlight w:val="none"/>
          <w:lang w:eastAsia="zh-CN"/>
        </w:rPr>
        <w:outlineLvl w:val="1"/>
      </w:pPr>
      <w:r>
        <w:rPr>
          <w:color w:val="auto"/>
          <w:highlight w:val="none"/>
        </w:rPr>
        <w:br w:type="page" w:clear="all"/>
      </w:r>
      <w:bookmarkStart w:id="106" w:name="_Toc514054494"/>
      <w:r/>
      <w:bookmarkStart w:id="107" w:name="_Toc12853"/>
      <w:r>
        <w:rPr>
          <w:color w:val="auto"/>
          <w:highlight w:val="none"/>
        </w:rPr>
        <w:t xml:space="preserve">九、开标一览表</w:t>
      </w:r>
      <w:bookmarkEnd w:id="106"/>
      <w:r/>
      <w:bookmarkEnd w:id="107"/>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904"/>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r>
      <w:r/>
    </w:p>
    <w:p>
      <w:pPr>
        <w:pStyle w:val="904"/>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w:t>
      </w:r>
      <w:r/>
    </w:p>
    <w:p>
      <w:pPr>
        <w:pStyle w:val="904"/>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2172"/>
        <w:gridCol w:w="2466"/>
      </w:tblGrid>
      <w:tr>
        <w:trPr/>
        <w:tc>
          <w:tcPr>
            <w:tcW w:w="3658"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108" w:name="OLE_LINK35"/>
            <w:r>
              <w:rPr>
                <w:rFonts w:hint="eastAsia" w:ascii="宋体" w:hAnsi="宋体" w:eastAsia="宋体" w:cs="宋体"/>
                <w:b w:val="0"/>
                <w:bCs/>
                <w:color w:val="auto"/>
                <w:sz w:val="24"/>
                <w:highlight w:val="none"/>
                <w:shd w:val="clear" w:color="auto" w:fill="ffffff" w:themeFill="background1"/>
              </w:rPr>
              <w:t xml:space="preserve">项目名称</w:t>
            </w:r>
            <w:bookmarkEnd w:id="108"/>
            <w:r/>
            <w:r/>
          </w:p>
        </w:tc>
        <w:tc>
          <w:tcPr>
            <w:tcW w:w="2172"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466"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 盐城市大丰人民医院体外循环机采购项目</w:t>
            </w:r>
            <w:r/>
          </w:p>
        </w:tc>
        <w:tc>
          <w:tcPr>
            <w:tcW w:w="2172"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466"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658" w:type="dxa"/>
            <w:vAlign w:val="center"/>
            <w:textDirection w:val="lrTb"/>
            <w:noWrap w:val="false"/>
          </w:tcPr>
          <w:p>
            <w:pPr>
              <w:pStyle w:val="90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4638" w:type="dxa"/>
            <w:vAlign w:val="center"/>
            <w:textDirection w:val="lrTb"/>
            <w:noWrap w:val="false"/>
          </w:tcPr>
          <w:p>
            <w:pPr>
              <w:pStyle w:val="904"/>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705"/>
        <w:jc w:val="right"/>
        <w:spacing w:line="360" w:lineRule="auto"/>
        <w:rPr>
          <w:color w:val="auto"/>
          <w:highlight w:val="none"/>
          <w:shd w:val="clear" w:color="auto" w:fill="ffffff" w:themeFill="background1"/>
        </w:rPr>
      </w:pPr>
      <w:r>
        <w:rPr>
          <w:color w:val="auto"/>
          <w:highlight w:val="none"/>
          <w:shd w:val="clear" w:color="auto" w:fill="ffffff" w:themeFill="background1"/>
        </w:rPr>
        <w:t xml:space="preserve"> </w:t>
      </w:r>
      <w:r/>
    </w:p>
    <w:p>
      <w:pPr>
        <w:jc w:val="right"/>
        <w:spacing w:line="360" w:lineRule="auto"/>
        <w:rPr>
          <w:color w:val="auto"/>
          <w:sz w:val="24"/>
          <w:highlight w:val="none"/>
        </w:rPr>
      </w:pPr>
      <w:r>
        <w:rPr>
          <w:rFonts w:hint="eastAsia"/>
          <w:color w:val="auto"/>
          <w:sz w:val="24"/>
          <w:highlight w:val="none"/>
        </w:rPr>
        <w:t xml:space="preserve">投标人公章：（电子签章）                                 </w:t>
      </w:r>
      <w:r/>
    </w:p>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pStyle w:val="905"/>
        <w:spacing w:line="360" w:lineRule="auto"/>
        <w:rPr>
          <w:color w:val="auto"/>
          <w:highlight w:val="none"/>
        </w:rPr>
        <w:outlineLvl w:val="1"/>
      </w:pPr>
      <w:r>
        <w:rPr>
          <w:color w:val="auto"/>
          <w:highlight w:val="none"/>
        </w:rPr>
      </w:r>
      <w:r/>
    </w:p>
    <w:p>
      <w:pPr>
        <w:pStyle w:val="905"/>
        <w:spacing w:line="360" w:lineRule="auto"/>
        <w:rPr>
          <w:color w:val="auto"/>
          <w:highlight w:val="none"/>
        </w:rPr>
        <w:outlineLvl w:val="1"/>
      </w:pPr>
      <w:r>
        <w:rPr>
          <w:color w:val="auto"/>
          <w:highlight w:val="none"/>
        </w:rPr>
      </w:r>
      <w:r/>
    </w:p>
    <w:p>
      <w:pPr>
        <w:pStyle w:val="905"/>
        <w:spacing w:line="360" w:lineRule="auto"/>
        <w:rPr>
          <w:color w:val="auto"/>
          <w:highlight w:val="none"/>
        </w:rPr>
        <w:outlineLvl w:val="1"/>
      </w:pPr>
      <w:r>
        <w:rPr>
          <w:color w:val="auto"/>
          <w:highlight w:val="none"/>
        </w:rPr>
        <w:br w:type="page" w:clear="all"/>
      </w:r>
      <w:bookmarkStart w:id="109" w:name="_Toc8851"/>
      <w:r/>
      <w:bookmarkStart w:id="110" w:name="_Toc514054495"/>
      <w:r/>
      <w:r/>
    </w:p>
    <w:p>
      <w:pPr>
        <w:pStyle w:val="905"/>
        <w:spacing w:line="360" w:lineRule="auto"/>
        <w:rPr>
          <w:color w:val="auto"/>
          <w:highlight w:val="none"/>
        </w:rPr>
        <w:outlineLvl w:val="1"/>
      </w:pPr>
      <w:r>
        <w:rPr>
          <w:color w:val="auto"/>
          <w:highlight w:val="none"/>
        </w:rPr>
        <w:t xml:space="preserve">十、</w:t>
      </w:r>
      <w:bookmarkEnd w:id="109"/>
      <w:r/>
      <w:bookmarkEnd w:id="110"/>
      <w:r>
        <w:rPr>
          <w:rFonts w:hint="eastAsia"/>
          <w:color w:val="auto"/>
          <w:highlight w:val="none"/>
        </w:rPr>
        <w:t xml:space="preserve">投标分项报价表</w:t>
      </w:r>
      <w:r/>
    </w:p>
    <w:tbl>
      <w:tblPr>
        <w:tblStyle w:val="68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836"/>
        <w:gridCol w:w="1536"/>
        <w:gridCol w:w="1944"/>
        <w:gridCol w:w="1524"/>
        <w:gridCol w:w="804"/>
        <w:gridCol w:w="1424"/>
      </w:tblGrid>
      <w:tr>
        <w:trPr>
          <w:cantSplit/>
          <w:jc w:val="center"/>
          <w:trHeight w:val="632"/>
        </w:trPr>
        <w:tc>
          <w:tcPr>
            <w:tcW w:w="656"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836"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536"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524"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单价（元）</w:t>
            </w:r>
            <w:r/>
          </w:p>
        </w:tc>
        <w:tc>
          <w:tcPr>
            <w:tcW w:w="804"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90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合价（元）</w:t>
            </w:r>
            <w:r/>
          </w:p>
        </w:tc>
      </w:tr>
      <w:tr>
        <w:trPr>
          <w:cantSplit/>
          <w:jc w:val="center"/>
          <w:trHeight w:val="482"/>
        </w:trPr>
        <w:tc>
          <w:tcPr>
            <w:tcW w:w="656" w:type="dxa"/>
            <w:vAlign w:val="top"/>
            <w:textDirection w:val="lrTb"/>
            <w:noWrap w:val="false"/>
          </w:tcPr>
          <w:p>
            <w:pPr>
              <w:pStyle w:val="90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0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0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0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90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536"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0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906"/>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836" w:type="dxa"/>
            <w:vAlign w:val="center"/>
            <w:textDirection w:val="lrTb"/>
            <w:noWrap w:val="false"/>
          </w:tcPr>
          <w:p>
            <w:pPr>
              <w:pStyle w:val="906"/>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536" w:type="dxa"/>
            <w:vAlign w:val="center"/>
            <w:textDirection w:val="lrTb"/>
            <w:noWrap w:val="false"/>
          </w:tcPr>
          <w:p>
            <w:pPr>
              <w:pStyle w:val="906"/>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906"/>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5"/>
            <w:tcW w:w="764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424" w:type="dxa"/>
            <w:vAlign w:val="center"/>
            <w:textDirection w:val="lrTb"/>
            <w:noWrap w:val="false"/>
          </w:tcPr>
          <w:p>
            <w:pPr>
              <w:pStyle w:val="90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40"/>
        </w:trPr>
        <w:tc>
          <w:tcPr>
            <w:gridSpan w:val="2"/>
            <w:tcW w:w="2492" w:type="dxa"/>
            <w:vAlign w:val="center"/>
            <w:textDirection w:val="lrTb"/>
            <w:noWrap w:val="false"/>
          </w:tcPr>
          <w:p>
            <w:pPr>
              <w:pStyle w:val="906"/>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906"/>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232" w:type="dxa"/>
            <w:vAlign w:val="center"/>
            <w:textDirection w:val="lrTb"/>
            <w:noWrap w:val="false"/>
          </w:tcPr>
          <w:p>
            <w:pPr>
              <w:pStyle w:val="90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90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90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1640"/>
        </w:trPr>
        <w:tc>
          <w:tcPr>
            <w:gridSpan w:val="7"/>
            <w:tcW w:w="9724" w:type="dxa"/>
            <w:vAlign w:val="center"/>
            <w:textDirection w:val="lrTb"/>
            <w:noWrap w:val="false"/>
          </w:tcPr>
          <w:p>
            <w:pPr>
              <w:pStyle w:val="906"/>
              <w:spacing w:line="360" w:lineRule="auto"/>
              <w:rPr>
                <w:rFonts w:hint="eastAsia" w:ascii="仿宋_GB2312" w:eastAsia="仿宋_GB2312"/>
                <w:b/>
                <w:bCs/>
                <w:color w:val="auto"/>
                <w:sz w:val="24"/>
                <w:highlight w:val="none"/>
                <w:u w:val="single"/>
              </w:rPr>
            </w:pPr>
            <w:r/>
            <w:bookmarkStart w:id="111" w:name="_Toc514054496"/>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8"/>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t xml:space="preserve">注：</w:t>
      </w:r>
      <w:r>
        <w:rPr>
          <w:rFonts w:hint="eastAsia" w:ascii="仿宋_GB2312" w:eastAsia="仿宋_GB2312"/>
          <w:color w:val="auto"/>
          <w:sz w:val="24"/>
          <w:highlight w:val="none"/>
          <w:lang w:val="en-US" w:eastAsia="zh-CN"/>
        </w:rPr>
        <w:t xml:space="preserve">1、</w:t>
      </w:r>
      <w:r>
        <w:rPr>
          <w:rFonts w:hint="eastAsia" w:ascii="仿宋_GB2312" w:eastAsia="仿宋_GB2312"/>
          <w:color w:val="auto"/>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888"/>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2、</w:t>
      </w:r>
      <w:r>
        <w:rPr>
          <w:rFonts w:hint="eastAsia" w:ascii="仿宋_GB2312" w:eastAsia="仿宋_GB2312"/>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7"/>
        <w:spacing w:line="360" w:lineRule="auto"/>
        <w:rPr>
          <w:color w:val="auto"/>
          <w:highlight w:val="none"/>
        </w:rPr>
        <w:outlineLvl w:val="1"/>
      </w:pPr>
      <w:r>
        <w:rPr>
          <w:color w:val="auto"/>
          <w:highlight w:val="none"/>
        </w:rPr>
      </w:r>
      <w:r/>
    </w:p>
    <w:p>
      <w:pPr>
        <w:pStyle w:val="880"/>
        <w:keepLines w:val="0"/>
        <w:keepNext w:val="0"/>
        <w:pageBreakBefore w:val="0"/>
        <w:spacing w:after="100" w:afterAutospacing="1" w:line="3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07"/>
        <w:ind w:firstLine="0"/>
        <w:spacing w:line="360" w:lineRule="auto"/>
        <w:rPr>
          <w:rFonts w:cs="Times New Roman"/>
          <w:color w:val="auto"/>
          <w:highlight w:val="none"/>
        </w:rPr>
        <w:outlineLvl w:val="1"/>
      </w:pPr>
      <w:r>
        <w:rPr>
          <w:rFonts w:hint="eastAsia" w:cs="Times New Roman"/>
          <w:color w:val="auto"/>
          <w:highlight w:val="none"/>
          <w:lang w:val="en-US" w:eastAsia="zh-CN"/>
        </w:rPr>
        <w:t xml:space="preserve">十一、</w:t>
      </w:r>
      <w:r>
        <w:rPr>
          <w:rFonts w:hint="eastAsia" w:cs="Times New Roman"/>
          <w:color w:val="auto"/>
          <w:highlight w:val="none"/>
        </w:rPr>
        <w:t xml:space="preserve">关于符合本国产品标准的声明函</w:t>
      </w:r>
      <w:r/>
    </w:p>
    <w:p>
      <w:pPr>
        <w:pStyle w:val="705"/>
        <w:ind w:left="0" w:firstLine="420"/>
        <w:jc w:val="both"/>
        <w:keepLines w:val="0"/>
        <w:keepNext w:val="0"/>
        <w:spacing w:before="0" w:beforeAutospacing="0" w:after="0" w:afterAutospacing="0"/>
        <w:widowControl w:val="off"/>
        <w:rPr>
          <w:rFonts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r>
      <w:r/>
    </w:p>
    <w:p>
      <w:pPr>
        <w:pStyle w:val="705"/>
        <w:ind w:left="0" w:firstLine="420"/>
        <w:jc w:val="both"/>
        <w:keepLines w:val="0"/>
        <w:keepNext w:val="0"/>
        <w:spacing w:before="0" w:beforeAutospacing="0" w:after="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5"/>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05"/>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05"/>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05"/>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05"/>
        <w:jc w:val="both"/>
        <w:keepLines w:val="0"/>
        <w:keepNext w:val="0"/>
        <w:spacing w:before="30" w:beforeAutospacing="0" w:after="30" w:afterAutospacing="0"/>
        <w:widowControl w:val="off"/>
        <w:rPr>
          <w:rFonts w:hint="default" w:eastAsia="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p>
    <w:p>
      <w:pPr>
        <w:pStyle w:val="705"/>
        <w:ind w:left="0" w:right="480" w:firstLine="522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05"/>
        <w:jc w:val="center"/>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05"/>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05"/>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705"/>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07"/>
        <w:ind w:firstLine="0"/>
        <w:spacing w:line="360" w:lineRule="auto"/>
        <w:rPr>
          <w:color w:val="auto"/>
          <w:highlight w:val="none"/>
        </w:rPr>
        <w:outlineLvl w:val="1"/>
      </w:pPr>
      <w:r>
        <w:rPr>
          <w:color w:val="auto"/>
          <w:highlight w:val="none"/>
        </w:rPr>
        <w:br w:type="page" w:clear="all"/>
      </w:r>
      <w:bookmarkStart w:id="112" w:name="_Toc10632"/>
      <w:r/>
      <w:r/>
    </w:p>
    <w:p>
      <w:pPr>
        <w:pStyle w:val="907"/>
        <w:ind w:firstLine="0"/>
        <w:spacing w:line="360" w:lineRule="auto"/>
        <w:rPr>
          <w:rStyle w:val="908"/>
          <w:rFonts w:hint="eastAsia" w:ascii="楷体" w:hAnsi="楷体" w:eastAsia="楷体" w:cs="楷体"/>
          <w:b/>
          <w:color w:val="auto"/>
          <w:sz w:val="32"/>
          <w:szCs w:val="32"/>
          <w:highlight w:val="none"/>
        </w:rPr>
        <w:outlineLvl w:val="1"/>
      </w:pPr>
      <w:r>
        <w:rPr>
          <w:color w:val="auto"/>
          <w:highlight w:val="none"/>
        </w:rPr>
        <w:t xml:space="preserve">十</w:t>
      </w:r>
      <w:r>
        <w:rPr>
          <w:rFonts w:hint="eastAsia"/>
          <w:color w:val="auto"/>
          <w:highlight w:val="none"/>
          <w:lang w:val="en-US" w:eastAsia="zh-CN"/>
        </w:rPr>
        <w:t xml:space="preserve">二</w:t>
      </w:r>
      <w:r>
        <w:rPr>
          <w:color w:val="auto"/>
          <w:highlight w:val="none"/>
        </w:rPr>
        <w:t xml:space="preserve">、中小企业声明函</w:t>
      </w:r>
      <w:bookmarkEnd w:id="111"/>
      <w:r/>
      <w:bookmarkEnd w:id="112"/>
      <w:r/>
      <w:r/>
    </w:p>
    <w:p>
      <w:pPr>
        <w:jc w:val="center"/>
        <w:spacing w:line="360" w:lineRule="auto"/>
        <w:rPr>
          <w:rStyle w:val="908"/>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jc w:val="center"/>
        <w:spacing w:line="360" w:lineRule="auto"/>
        <w:rPr>
          <w:rStyle w:val="908"/>
          <w:rFonts w:hint="eastAsia" w:ascii="楷体" w:hAnsi="楷体" w:eastAsia="楷体" w:cs="楷体"/>
          <w:color w:val="auto"/>
          <w:sz w:val="32"/>
          <w:szCs w:val="32"/>
          <w:highlight w:val="none"/>
        </w:rPr>
      </w:pPr>
      <w:r>
        <w:rPr>
          <w:rStyle w:val="908"/>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705"/>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705"/>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705"/>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05"/>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705"/>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705"/>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05"/>
        <w:ind w:left="0" w:firstLine="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90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91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91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91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911"/>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91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910"/>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911"/>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911"/>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8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12"/>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912"/>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13"/>
        <w:spacing w:line="360" w:lineRule="auto"/>
        <w:rPr>
          <w:color w:val="auto"/>
          <w:highlight w:val="none"/>
        </w:rPr>
      </w:pPr>
      <w:r>
        <w:rPr>
          <w:color w:val="auto"/>
          <w:highlight w:val="none"/>
        </w:rPr>
      </w:r>
      <w:r/>
    </w:p>
    <w:p>
      <w:pPr>
        <w:pStyle w:val="910"/>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910"/>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3" w:name="_Toc5876"/>
      <w:r/>
      <w:bookmarkEnd w:id="113"/>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4" w:name="_Toc16386"/>
      <w:r/>
      <w:bookmarkEnd w:id="114"/>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5" w:name="_Toc1060"/>
      <w:r/>
      <w:bookmarkEnd w:id="115"/>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rPr>
          <w:color w:val="auto"/>
          <w:highlight w:val="none"/>
        </w:rPr>
      </w:r>
      <w:r/>
    </w:p>
    <w:p>
      <w:pPr>
        <w:pStyle w:val="913"/>
        <w:spacing w:line="360" w:lineRule="auto"/>
        <w:rPr>
          <w:color w:val="auto"/>
          <w:highlight w:val="none"/>
        </w:rPr>
        <w:outlineLvl w:val="1"/>
      </w:pPr>
      <w:r/>
      <w:bookmarkStart w:id="116" w:name="_Toc16234"/>
      <w:r/>
      <w:bookmarkStart w:id="117" w:name="_Toc514054497"/>
      <w:r>
        <w:rPr>
          <w:color w:val="auto"/>
          <w:highlight w:val="none"/>
        </w:rPr>
        <w:t xml:space="preserve">十</w:t>
      </w:r>
      <w:r>
        <w:rPr>
          <w:rFonts w:hint="eastAsia"/>
          <w:color w:val="auto"/>
          <w:highlight w:val="none"/>
          <w:lang w:val="en-US" w:eastAsia="zh-CN"/>
        </w:rPr>
        <w:t xml:space="preserve">三</w:t>
      </w:r>
      <w:r>
        <w:rPr>
          <w:color w:val="auto"/>
          <w:highlight w:val="none"/>
        </w:rPr>
        <w:t xml:space="preserve">、响应偏差表</w:t>
      </w:r>
      <w:bookmarkEnd w:id="116"/>
      <w:r/>
      <w:bookmarkEnd w:id="117"/>
      <w:r/>
      <w:r/>
    </w:p>
    <w:p>
      <w:pPr>
        <w:pStyle w:val="914"/>
        <w:jc w:val="center"/>
        <w:spacing w:line="360" w:lineRule="auto"/>
        <w:rPr>
          <w:rFonts w:hint="eastAsia"/>
          <w:color w:val="auto"/>
          <w:sz w:val="32"/>
          <w:szCs w:val="32"/>
          <w:highlight w:val="none"/>
        </w:rPr>
      </w:pPr>
      <w:r/>
      <w:bookmarkStart w:id="118" w:name="_Toc29509_WPSOffice_Level2"/>
      <w:r/>
      <w:r/>
    </w:p>
    <w:p>
      <w:pPr>
        <w:pStyle w:val="914"/>
        <w:jc w:val="center"/>
        <w:spacing w:line="360" w:lineRule="auto"/>
        <w:rPr>
          <w:rFonts w:hint="eastAsia"/>
          <w:b/>
          <w:bCs/>
          <w:color w:val="auto"/>
          <w:sz w:val="32"/>
          <w:szCs w:val="32"/>
          <w:highlight w:val="none"/>
        </w:rPr>
      </w:pPr>
      <w:r>
        <w:rPr>
          <w:rFonts w:hint="eastAsia"/>
          <w:b/>
          <w:bCs/>
          <w:color w:val="auto"/>
          <w:sz w:val="32"/>
          <w:szCs w:val="32"/>
          <w:highlight w:val="none"/>
        </w:rPr>
        <w:t xml:space="preserve">（一）</w:t>
      </w:r>
      <w:bookmarkEnd w:id="118"/>
      <w:r>
        <w:rPr>
          <w:rFonts w:hint="eastAsia"/>
          <w:b/>
          <w:bCs/>
          <w:color w:val="auto"/>
          <w:sz w:val="32"/>
          <w:szCs w:val="32"/>
          <w:highlight w:val="none"/>
        </w:rPr>
        <w:t xml:space="preserve">技术要求响应及偏离表</w:t>
      </w:r>
      <w:r/>
    </w:p>
    <w:tbl>
      <w:tblPr>
        <w:tblStyle w:val="68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bl>
    <w:p>
      <w:pPr>
        <w:pStyle w:val="867"/>
        <w:ind w:firstLine="630"/>
        <w:jc w:val="both"/>
        <w:spacing w:beforeAutospacing="0" w:afterAutospacing="0"/>
        <w:rPr>
          <w:color w:val="auto"/>
          <w:highlight w:val="none"/>
        </w:rPr>
      </w:pPr>
      <w:r>
        <w:rPr>
          <w:rFonts w:hint="eastAsia" w:ascii="宋体" w:hAnsi="宋体" w:cs="宋体"/>
          <w:color w:val="auto"/>
          <w:sz w:val="21"/>
          <w:szCs w:val="21"/>
          <w:highlight w:val="none"/>
        </w:rPr>
        <w:t xml:space="preserve">注： 行数不够，可自行添加。</w:t>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7"/>
        <w:jc w:val="center"/>
        <w:spacing w:line="360" w:lineRule="auto"/>
        <w:rPr>
          <w:rFonts w:hint="eastAsia"/>
          <w:color w:val="auto"/>
          <w:highlight w:val="none"/>
        </w:rPr>
      </w:pPr>
      <w:r>
        <w:rPr>
          <w:rFonts w:hint="eastAsia"/>
          <w:color w:val="auto"/>
          <w:highlight w:val="none"/>
        </w:rPr>
      </w:r>
      <w:r/>
    </w:p>
    <w:p>
      <w:pPr>
        <w:pStyle w:val="914"/>
        <w:jc w:val="center"/>
        <w:spacing w:line="360" w:lineRule="auto"/>
        <w:rPr>
          <w:rFonts w:hint="eastAsia" w:ascii="Times New Roman" w:hAnsi="Times New Roman" w:eastAsia="宋体" w:cs="Times New Roman"/>
          <w:b/>
          <w:bCs/>
          <w:color w:val="auto"/>
          <w:sz w:val="32"/>
          <w:szCs w:val="32"/>
          <w:highlight w:val="none"/>
        </w:rPr>
      </w:pPr>
      <w:r/>
      <w:bookmarkStart w:id="119" w:name="_Toc514054498"/>
      <w:r/>
      <w:bookmarkStart w:id="120" w:name="_Toc9396"/>
      <w:r/>
      <w:bookmarkStart w:id="121" w:name="_Toc3171_WPSOffice_Level2"/>
      <w:r>
        <w:rPr>
          <w:rFonts w:hint="eastAsia" w:ascii="Times New Roman" w:hAnsi="Times New Roman" w:eastAsia="宋体" w:cs="Times New Roman"/>
          <w:b/>
          <w:bCs/>
          <w:color w:val="auto"/>
          <w:sz w:val="32"/>
          <w:szCs w:val="32"/>
          <w:highlight w:val="none"/>
          <w:lang w:eastAsia="zh-CN"/>
        </w:rPr>
        <w:t xml:space="preserve">（二）</w:t>
      </w:r>
      <w:bookmarkEnd w:id="119"/>
      <w:r/>
      <w:bookmarkEnd w:id="120"/>
      <w:r/>
      <w:bookmarkEnd w:id="121"/>
      <w:r/>
      <w:bookmarkStart w:id="122" w:name="OLE_LINK18"/>
      <w:r/>
      <w:bookmarkStart w:id="123" w:name="OLE_LINK24"/>
      <w:r>
        <w:rPr>
          <w:rFonts w:hint="eastAsia" w:ascii="Times New Roman" w:hAnsi="Times New Roman" w:eastAsia="宋体" w:cs="Times New Roman"/>
          <w:b/>
          <w:bCs/>
          <w:color w:val="auto"/>
          <w:sz w:val="32"/>
          <w:szCs w:val="32"/>
          <w:highlight w:val="none"/>
        </w:rPr>
        <w:t xml:space="preserve">商务要求响应及偏离表</w:t>
      </w:r>
      <w:bookmarkEnd w:id="122"/>
      <w:r/>
      <w:r/>
    </w:p>
    <w:tbl>
      <w:tblPr>
        <w:tblStyle w:val="68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bookmarkStart w:id="124" w:name="_Hlt24879081"/>
            <w:r/>
            <w:bookmarkStart w:id="125" w:name="_Hlt26671372"/>
            <w:r/>
            <w:bookmarkStart w:id="126" w:name="_Hlt26671343"/>
            <w:r/>
            <w:bookmarkStart w:id="127" w:name="_Hlt26580838"/>
            <w:r/>
            <w:bookmarkStart w:id="128" w:name="_Hlt26955056"/>
            <w:r/>
            <w:bookmarkStart w:id="129" w:name="_Hlt26782999"/>
            <w:r/>
            <w:bookmarkStart w:id="130" w:name="_Hlt26609391"/>
            <w:r/>
            <w:bookmarkStart w:id="131" w:name="_Hlt26955064"/>
            <w:r/>
            <w:bookmarkStart w:id="132" w:name="OLE_LINK23"/>
            <w:r>
              <w:rPr>
                <w:rFonts w:hint="eastAsia" w:ascii="宋体" w:hAnsi="宋体" w:cs="宋体"/>
                <w:color w:val="auto"/>
                <w:sz w:val="21"/>
                <w:szCs w:val="21"/>
                <w:highlight w:val="none"/>
              </w:rPr>
              <w:t xml:space="preserve">序号</w:t>
            </w:r>
            <w:bookmarkEnd w:id="124"/>
            <w:r/>
            <w:bookmarkEnd w:id="125"/>
            <w:r/>
            <w:bookmarkEnd w:id="126"/>
            <w:r/>
            <w:bookmarkEnd w:id="127"/>
            <w:r/>
            <w:bookmarkEnd w:id="128"/>
            <w:r/>
            <w:bookmarkEnd w:id="129"/>
            <w:r/>
            <w:bookmarkEnd w:id="130"/>
            <w:r/>
            <w:bookmarkEnd w:id="13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7"/>
              <w:jc w:val="center"/>
              <w:spacing w:beforeAutospacing="0" w:afterAutospacing="0"/>
              <w:rPr>
                <w:color w:val="auto"/>
                <w:sz w:val="21"/>
                <w:szCs w:val="21"/>
                <w:highlight w:val="none"/>
              </w:rPr>
            </w:pPr>
            <w:r>
              <w:rPr>
                <w:color w:val="auto"/>
                <w:sz w:val="21"/>
                <w:szCs w:val="21"/>
                <w:highlight w:val="none"/>
              </w:rPr>
              <w:t xml:space="preserve"> </w:t>
            </w:r>
            <w:bookmarkEnd w:id="132"/>
            <w:r/>
            <w:r/>
          </w:p>
        </w:tc>
      </w:tr>
    </w:tbl>
    <w:p>
      <w:pPr>
        <w:pStyle w:val="867"/>
        <w:ind w:firstLine="630"/>
        <w:jc w:val="both"/>
        <w:spacing w:beforeAutospacing="0" w:afterAutospacing="0"/>
        <w:rPr>
          <w:color w:val="auto"/>
          <w:sz w:val="21"/>
          <w:szCs w:val="21"/>
          <w:highlight w:val="none"/>
        </w:rPr>
      </w:pPr>
      <w:r>
        <w:rPr>
          <w:rFonts w:hint="eastAsia" w:ascii="宋体" w:hAnsi="宋体" w:cs="宋体"/>
          <w:color w:val="auto"/>
          <w:sz w:val="21"/>
          <w:szCs w:val="21"/>
          <w:highlight w:val="none"/>
        </w:rPr>
        <w:t xml:space="preserve">注： 行数不够，可自行添加。</w:t>
      </w:r>
      <w:bookmarkEnd w:id="123"/>
      <w:r/>
      <w:r/>
    </w:p>
    <w:p>
      <w:pPr>
        <w:pStyle w:val="91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r>
      <w:r/>
    </w:p>
    <w:p>
      <w:pPr>
        <w:pStyle w:val="917"/>
        <w:spacing w:line="360" w:lineRule="auto"/>
        <w:rPr>
          <w:color w:val="auto"/>
          <w:highlight w:val="none"/>
        </w:rPr>
        <w:outlineLvl w:val="1"/>
      </w:pPr>
      <w:r/>
      <w:bookmarkStart w:id="133" w:name="_Toc514054500"/>
      <w:r>
        <w:rPr>
          <w:color w:val="auto"/>
          <w:highlight w:val="none"/>
        </w:rPr>
        <w:br w:type="page" w:clear="all"/>
      </w:r>
      <w:bookmarkStart w:id="134" w:name="_Toc14591"/>
      <w:r>
        <w:rPr>
          <w:color w:val="auto"/>
          <w:highlight w:val="none"/>
        </w:rPr>
        <w:t xml:space="preserve">十</w:t>
      </w:r>
      <w:r>
        <w:rPr>
          <w:rFonts w:hint="eastAsia"/>
          <w:color w:val="auto"/>
          <w:highlight w:val="none"/>
          <w:lang w:val="en-US" w:eastAsia="zh-CN"/>
        </w:rPr>
        <w:t xml:space="preserve">四</w:t>
      </w:r>
      <w:r>
        <w:rPr>
          <w:color w:val="auto"/>
          <w:highlight w:val="none"/>
        </w:rPr>
        <w:t xml:space="preserve">、所投产品技术资料或样本等</w:t>
      </w:r>
      <w:bookmarkEnd w:id="133"/>
      <w:r/>
      <w:bookmarkEnd w:id="134"/>
      <w:r/>
      <w:r/>
    </w:p>
    <w:p>
      <w:pPr>
        <w:pStyle w:val="918"/>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19"/>
        <w:spacing w:line="360" w:lineRule="auto"/>
        <w:rPr>
          <w:color w:val="auto"/>
          <w:highlight w:val="none"/>
        </w:rPr>
        <w:outlineLvl w:val="1"/>
      </w:pPr>
      <w:r>
        <w:rPr>
          <w:color w:val="auto"/>
          <w:highlight w:val="none"/>
        </w:rPr>
        <w:br w:type="page" w:clear="all"/>
      </w:r>
      <w:bookmarkStart w:id="135" w:name="_Toc23522_WPSOffice_Level2"/>
      <w:r/>
      <w:bookmarkStart w:id="136" w:name="_Toc514054501"/>
      <w:r/>
      <w:bookmarkStart w:id="137" w:name="_Toc27623"/>
      <w:r>
        <w:rPr>
          <w:color w:val="auto"/>
          <w:highlight w:val="none"/>
        </w:rPr>
        <w:t xml:space="preserve">十</w:t>
      </w:r>
      <w:r>
        <w:rPr>
          <w:rFonts w:hint="eastAsia"/>
          <w:color w:val="auto"/>
          <w:highlight w:val="none"/>
          <w:lang w:val="en-US" w:eastAsia="zh-CN"/>
        </w:rPr>
        <w:t xml:space="preserve">五</w:t>
      </w:r>
      <w:r>
        <w:rPr>
          <w:color w:val="auto"/>
          <w:highlight w:val="none"/>
        </w:rPr>
        <w:t xml:space="preserve">、主要部件、辅材明细表</w:t>
      </w:r>
      <w:bookmarkEnd w:id="135"/>
      <w:r/>
      <w:bookmarkEnd w:id="136"/>
      <w:r/>
      <w:bookmarkEnd w:id="137"/>
      <w:r/>
      <w:r/>
    </w:p>
    <w:p>
      <w:pPr>
        <w:pStyle w:val="920"/>
        <w:spacing w:line="360" w:lineRule="auto"/>
        <w:rPr>
          <w:rFonts w:hint="eastAsia"/>
          <w:color w:val="auto"/>
          <w:highlight w:val="none"/>
        </w:rPr>
      </w:pPr>
      <w:r>
        <w:rPr>
          <w:rFonts w:hint="eastAsia"/>
          <w:color w:val="auto"/>
          <w:highlight w:val="none"/>
        </w:rPr>
      </w:r>
      <w:r/>
    </w:p>
    <w:tbl>
      <w:tblPr>
        <w:tblStyle w:val="68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2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2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21"/>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21"/>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21"/>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88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8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22"/>
        <w:spacing w:line="360" w:lineRule="auto"/>
        <w:rPr>
          <w:color w:val="auto"/>
          <w:highlight w:val="none"/>
        </w:rPr>
        <w:outlineLvl w:val="1"/>
      </w:pPr>
      <w:r>
        <w:rPr>
          <w:color w:val="auto"/>
          <w:highlight w:val="none"/>
        </w:rPr>
        <w:br w:type="page" w:clear="all"/>
      </w:r>
      <w:bookmarkStart w:id="138" w:name="_Toc514054502"/>
      <w:r/>
      <w:bookmarkStart w:id="139" w:name="_Toc25001_WPSOffice_Level2"/>
      <w:r/>
      <w:bookmarkStart w:id="140" w:name="_Toc15828"/>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lang w:val="en-US" w:eastAsia="zh-CN"/>
        </w:rPr>
        <w:t xml:space="preserve">服务</w:t>
      </w:r>
      <w:r>
        <w:rPr>
          <w:color w:val="auto"/>
          <w:highlight w:val="none"/>
        </w:rPr>
        <w:t xml:space="preserve">方案</w:t>
      </w:r>
      <w:bookmarkEnd w:id="138"/>
      <w:r/>
      <w:bookmarkEnd w:id="139"/>
      <w:r/>
      <w:bookmarkEnd w:id="140"/>
      <w:r/>
      <w:r/>
    </w:p>
    <w:p>
      <w:pPr>
        <w:pStyle w:val="923"/>
        <w:jc w:val="center"/>
        <w:spacing w:line="360" w:lineRule="auto"/>
        <w:rPr>
          <w:rFonts w:hint="eastAsia" w:ascii="宋体"/>
          <w:b/>
          <w:bCs/>
          <w:color w:val="auto"/>
          <w:sz w:val="32"/>
          <w:szCs w:val="32"/>
          <w:highlight w:val="none"/>
        </w:rPr>
      </w:pPr>
      <w:r/>
      <w:bookmarkStart w:id="141" w:name="_Toc2882_WPSOffice_Level2"/>
      <w:r>
        <w:rPr>
          <w:rFonts w:hint="eastAsia" w:ascii="宋体"/>
          <w:b/>
          <w:bCs/>
          <w:color w:val="auto"/>
          <w:sz w:val="32"/>
          <w:szCs w:val="32"/>
          <w:highlight w:val="none"/>
        </w:rPr>
        <w:t xml:space="preserve">按照招标文件要求，格式自拟</w:t>
      </w:r>
      <w:bookmarkEnd w:id="141"/>
      <w:r/>
      <w:r/>
    </w:p>
    <w:p>
      <w:pPr>
        <w:pStyle w:val="924"/>
        <w:spacing w:line="360" w:lineRule="auto"/>
        <w:rPr>
          <w:color w:val="auto"/>
          <w:highlight w:val="none"/>
        </w:rPr>
        <w:outlineLvl w:val="1"/>
      </w:pPr>
      <w:r>
        <w:rPr>
          <w:color w:val="auto"/>
          <w:highlight w:val="none"/>
        </w:rPr>
        <w:br w:type="page" w:clear="all"/>
      </w:r>
      <w:bookmarkStart w:id="142" w:name="_Toc514054504"/>
      <w:r/>
      <w:bookmarkStart w:id="143" w:name="_Toc5519"/>
      <w:r/>
      <w:bookmarkStart w:id="144" w:name="_Toc30208_WPSOffice_Level2"/>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、投标人项目业绩一览表</w:t>
      </w:r>
      <w:bookmarkEnd w:id="142"/>
      <w:r/>
      <w:bookmarkEnd w:id="143"/>
      <w:r/>
      <w:bookmarkEnd w:id="144"/>
      <w:r/>
      <w:r/>
    </w:p>
    <w:p>
      <w:pPr>
        <w:pStyle w:val="925"/>
        <w:jc w:val="center"/>
        <w:spacing w:line="360" w:lineRule="auto"/>
        <w:rPr>
          <w:b/>
          <w:color w:val="auto"/>
          <w:sz w:val="32"/>
          <w:szCs w:val="32"/>
          <w:highlight w:val="none"/>
        </w:rPr>
      </w:pPr>
      <w:r/>
      <w:bookmarkStart w:id="145" w:name="_Toc10294_WPSOffice_Level2"/>
      <w:r>
        <w:rPr>
          <w:rFonts w:hint="eastAsia"/>
          <w:b/>
          <w:color w:val="auto"/>
          <w:sz w:val="32"/>
          <w:szCs w:val="32"/>
          <w:highlight w:val="none"/>
        </w:rPr>
        <w:t xml:space="preserve">项目业绩一览表</w:t>
      </w:r>
      <w:bookmarkEnd w:id="145"/>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2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2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2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2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2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27"/>
        <w:spacing w:line="360" w:lineRule="auto"/>
        <w:rPr>
          <w:color w:val="auto"/>
          <w:highlight w:val="none"/>
        </w:rPr>
        <w:outlineLvl w:val="1"/>
      </w:pPr>
      <w:r>
        <w:rPr>
          <w:color w:val="auto"/>
          <w:highlight w:val="none"/>
        </w:rPr>
        <w:br w:type="page" w:clear="all"/>
      </w:r>
      <w:bookmarkStart w:id="146" w:name="_Toc30836_WPSOffice_Level2"/>
      <w:r/>
      <w:bookmarkStart w:id="147" w:name="_Toc15753"/>
      <w:r/>
      <w:bookmarkStart w:id="148" w:name="_Toc502821163"/>
      <w:r/>
      <w:bookmarkStart w:id="149" w:name="_Toc514054505"/>
      <w:r/>
      <w:r/>
    </w:p>
    <w:p>
      <w:pPr>
        <w:pStyle w:val="927"/>
        <w:rPr>
          <w:color w:val="auto"/>
        </w:rPr>
        <w:outlineLvl w:val="1"/>
      </w:pPr>
      <w:r>
        <w:rPr>
          <w:rFonts w:ascii="黑体" w:hAnsi="黑体" w:eastAsia="黑体" w:cs="Times New Roman"/>
          <w:color w:val="auto"/>
          <w:highlight w:val="none"/>
        </w:rPr>
        <w:t xml:space="preserve">十</w:t>
      </w:r>
      <w:r>
        <w:rPr>
          <w:rFonts w:hint="eastAsia" w:cs="Times New Roman"/>
          <w:color w:val="auto"/>
          <w:highlight w:val="none"/>
          <w:lang w:val="en-US" w:eastAsia="zh-CN"/>
        </w:rPr>
        <w:t xml:space="preserve">八</w:t>
      </w:r>
      <w:r>
        <w:rPr>
          <w:rFonts w:ascii="黑体" w:hAnsi="黑体" w:eastAsia="黑体" w:cs="Times New Roman"/>
          <w:color w:val="auto"/>
          <w:highlight w:val="none"/>
        </w:rPr>
        <w:t xml:space="preserve">、盐城市大丰区政府招标采购供应商承诺书</w:t>
      </w:r>
      <w:r/>
    </w:p>
    <w:p>
      <w:pPr>
        <w:ind w:left="0" w:right="0" w:firstLine="60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rPr>
        <w:t xml:space="preserve"> </w:t>
      </w:r>
      <w:r/>
    </w:p>
    <w:p>
      <w:pPr>
        <w:ind w:left="0" w:right="0" w:firstLine="640"/>
        <w:jc w:val="both"/>
        <w:keepLines w:val="0"/>
        <w:keepNext w:val="0"/>
        <w:pageBreakBefore w:val="0"/>
        <w:spacing w:before="0" w:after="0" w:line="360" w:lineRule="auto"/>
        <w:widowControl w:val="off"/>
        <w:rPr>
          <w:rFonts w:hint="default" w:eastAsia="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为营造公开、公平、公正、诚实守信的政府招标采购交易环境，树立诚信守法的投标人形象，本单位参加政府招标采购项目</w:t>
      </w:r>
      <w:r>
        <w:rPr>
          <w:rFonts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val="en-US" w:eastAsia="zh-CN"/>
        </w:rPr>
        <w:t xml:space="preserve">                     </w:t>
      </w:r>
      <w:r/>
    </w:p>
    <w:p>
      <w:pPr>
        <w:ind w:left="0" w:right="0" w:firstLine="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的招标采购活动，本人代表本单位作出以下承诺：</w:t>
      </w:r>
      <w:r/>
    </w:p>
    <w:p>
      <w:pPr>
        <w:ind w:left="0" w:right="0" w:firstLine="64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64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64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（三）严格依照国家和省、市关于政府招标采购的法律、法规、规章、规范性文件，参加政府招标采购的投标活动；积极履行社会责任，促进廉政建设； </w:t>
      </w:r>
      <w:r/>
    </w:p>
    <w:p>
      <w:pPr>
        <w:ind w:left="0" w:right="0" w:firstLine="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 </w:t>
      </w:r>
      <w:r>
        <w:rPr>
          <w:rFonts w:ascii="仿宋" w:hAnsi="仿宋" w:eastAsia="仿宋" w:cs="仿宋"/>
          <w:color w:val="auto"/>
          <w:sz w:val="24"/>
          <w:szCs w:val="24"/>
        </w:rPr>
        <w:t xml:space="preserve">  （四）严格遵守即时信息公示规定，及时维护和更新盐城市政府采购网、公共资源交易平台中与本单位相关的信息；</w:t>
      </w:r>
      <w:r/>
    </w:p>
    <w:p>
      <w:pPr>
        <w:ind w:left="0" w:right="0" w:firstLine="367"/>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（六）自觉接受政府、行业组织、社会公众、新闻舆论的监督；</w:t>
      </w:r>
      <w:r/>
    </w:p>
    <w:p>
      <w:pPr>
        <w:ind w:left="0" w:right="0" w:firstLine="367"/>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（八）本人已认真阅读了上述承诺，并向本单位员工作了宣传教育。</w:t>
      </w:r>
      <w:r/>
    </w:p>
    <w:p>
      <w:pPr>
        <w:ind w:left="0" w:right="0" w:firstLine="640"/>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  </w:t>
      </w:r>
      <w:r/>
    </w:p>
    <w:p>
      <w:pPr>
        <w:ind w:left="0" w:right="0" w:firstLine="3364"/>
        <w:jc w:val="both"/>
        <w:keepLines w:val="0"/>
        <w:keepNext w:val="0"/>
        <w:pageBreakBefore w:val="0"/>
        <w:spacing w:before="0" w:after="0" w:line="360" w:lineRule="auto"/>
        <w:widowControl w:val="off"/>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法定代表人</w:t>
      </w:r>
      <w:r>
        <w:rPr>
          <w:rFonts w:hint="eastAsia" w:ascii="仿宋" w:hAnsi="仿宋" w:eastAsia="仿宋" w:cs="仿宋"/>
          <w:color w:val="auto"/>
          <w:sz w:val="24"/>
          <w:szCs w:val="24"/>
        </w:rPr>
        <w:t xml:space="preserve">（签字</w:t>
      </w:r>
      <w:r>
        <w:rPr>
          <w:rFonts w:hint="eastAsia" w:ascii="仿宋" w:hAnsi="仿宋" w:eastAsia="仿宋" w:cs="仿宋"/>
          <w:color w:val="auto"/>
          <w:sz w:val="24"/>
          <w:szCs w:val="24"/>
          <w:lang w:val="en-US" w:eastAsia="zh-CN"/>
        </w:rPr>
        <w:t xml:space="preserve">或签章</w:t>
      </w:r>
      <w:r>
        <w:rPr>
          <w:rFonts w:hint="eastAsia" w:ascii="仿宋" w:hAnsi="仿宋" w:eastAsia="仿宋" w:cs="仿宋"/>
          <w:color w:val="auto"/>
          <w:sz w:val="24"/>
          <w:szCs w:val="24"/>
        </w:rPr>
        <w:t xml:space="preserve">）</w:t>
      </w:r>
      <w:r>
        <w:rPr>
          <w:rFonts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  </w:t>
      </w:r>
      <w:r/>
    </w:p>
    <w:p>
      <w:pPr>
        <w:ind w:left="0" w:right="0" w:firstLine="3364"/>
        <w:jc w:val="both"/>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单位名称（盖章）：</w:t>
      </w:r>
      <w:r/>
    </w:p>
    <w:p>
      <w:pPr>
        <w:ind w:left="0" w:right="0" w:firstLine="0"/>
        <w:jc w:val="center"/>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  </w:t>
      </w:r>
      <w:r>
        <w:rPr>
          <w:rFonts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    </w:t>
      </w:r>
      <w:r>
        <w:rPr>
          <w:rFonts w:ascii="仿宋" w:hAnsi="仿宋" w:eastAsia="仿宋" w:cs="仿宋"/>
          <w:color w:val="auto"/>
          <w:sz w:val="24"/>
          <w:szCs w:val="24"/>
        </w:rPr>
        <w:t xml:space="preserve">日</w:t>
      </w:r>
      <w:r/>
    </w:p>
    <w:p>
      <w:pPr>
        <w:pStyle w:val="927"/>
        <w:spacing w:line="360" w:lineRule="auto"/>
        <w:rPr>
          <w:color w:val="auto"/>
          <w:highlight w:val="none"/>
        </w:rPr>
        <w:outlineLvl w:val="1"/>
      </w:pPr>
      <w:r>
        <w:rPr>
          <w:color w:val="auto"/>
          <w:highlight w:val="none"/>
        </w:rPr>
      </w:r>
      <w:r/>
    </w:p>
    <w:p>
      <w:pPr>
        <w:pStyle w:val="927"/>
        <w:spacing w:line="360" w:lineRule="auto"/>
        <w:rPr>
          <w:color w:val="auto"/>
          <w:highlight w:val="none"/>
        </w:rPr>
        <w:outlineLvl w:val="1"/>
      </w:pPr>
      <w:r>
        <w:rPr>
          <w:color w:val="auto"/>
          <w:highlight w:val="none"/>
        </w:rPr>
      </w:r>
      <w:r/>
    </w:p>
    <w:p>
      <w:pPr>
        <w:pStyle w:val="927"/>
        <w:spacing w:line="360" w:lineRule="auto"/>
        <w:rPr>
          <w:color w:val="auto"/>
          <w:highlight w:val="none"/>
        </w:rPr>
        <w:outlineLvl w:val="1"/>
      </w:pPr>
      <w:r>
        <w:rPr>
          <w:color w:val="auto"/>
          <w:highlight w:val="none"/>
        </w:rPr>
        <w:t xml:space="preserve">十</w:t>
      </w:r>
      <w:r>
        <w:rPr>
          <w:rFonts w:hint="eastAsia"/>
          <w:color w:val="auto"/>
          <w:highlight w:val="none"/>
          <w:lang w:val="en-US" w:eastAsia="zh-CN"/>
        </w:rPr>
        <w:t xml:space="preserve">九</w:t>
      </w:r>
      <w:r>
        <w:rPr>
          <w:color w:val="auto"/>
          <w:highlight w:val="none"/>
        </w:rPr>
        <w:t xml:space="preserve">、投标所需其他材料</w:t>
      </w:r>
      <w:bookmarkEnd w:id="146"/>
      <w:r/>
      <w:bookmarkEnd w:id="147"/>
      <w:r/>
      <w:bookmarkEnd w:id="148"/>
      <w:r/>
      <w:bookmarkEnd w:id="149"/>
      <w:r/>
      <w:r/>
    </w:p>
    <w:p>
      <w:pPr>
        <w:pStyle w:val="928"/>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27"/>
        <w:spacing w:line="360" w:lineRule="auto"/>
        <w:rPr>
          <w:color w:val="auto"/>
          <w:highlight w:val="none"/>
        </w:rPr>
        <w:outlineLvl w:val="1"/>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bookmarkEnd w:id="150"/>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大标宋简体">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_x000B__x000C_">
    <w:panose1 w:val="020B0503020202020204"/>
  </w:font>
  <w:font w:name="Calibri">
    <w:panose1 w:val="020F0502020204030204"/>
  </w:font>
  <w:font w:name="Courier New">
    <w:panose1 w:val="02070309020205020404"/>
  </w:font>
  <w:font w:name="黑体">
    <w:panose1 w:val="02010609060101010101"/>
  </w:font>
  <w:font w:name="仿宋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p>
    <w:pPr>
      <w:pStyle w:val="92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1">
    <w:name w:val="Heading 1"/>
    <w:basedOn w:val="670"/>
    <w:next w:val="670"/>
    <w:link w:val="713"/>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5"/>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6"/>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7"/>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1"/>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0"/>
    <w:semiHidden/>
    <w:qFormat/>
  </w:style>
  <w:style w:type="table" w:styleId="681" w:default="1">
    <w:name w:val="Normal Table"/>
    <w:uiPriority w:val="0"/>
    <w:semiHidden/>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Normal Indent"/>
    <w:basedOn w:val="670"/>
    <w:uiPriority w:val="0"/>
    <w:qFormat/>
    <w:pPr>
      <w:ind w:firstLine="420"/>
    </w:pPr>
    <w:rPr>
      <w:rFonts w:ascii="宋体" w:hAnsi="Times New Roman" w:eastAsia="宋体" w:cs="Times New Roman"/>
      <w:color w:val="000000"/>
      <w:sz w:val="24"/>
      <w:szCs w:val="20"/>
    </w:rPr>
  </w:style>
  <w:style w:type="paragraph" w:styleId="684">
    <w:name w:val="Caption"/>
    <w:basedOn w:val="670"/>
    <w:next w:val="67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5">
    <w:name w:val="toa heading"/>
    <w:basedOn w:val="670"/>
    <w:next w:val="670"/>
    <w:uiPriority w:val="99"/>
    <w:unhideWhenUsed/>
    <w:qFormat/>
    <w:pPr>
      <w:spacing w:before="120"/>
    </w:pPr>
    <w:rPr>
      <w:rFonts w:ascii="Cambria" w:hAnsi="Cambria" w:eastAsia="宋体" w:cs="Times New Roman"/>
      <w:sz w:val="24"/>
      <w:szCs w:val="21"/>
    </w:rPr>
  </w:style>
  <w:style w:type="paragraph" w:styleId="686">
    <w:name w:val="annotation text"/>
    <w:basedOn w:val="670"/>
    <w:uiPriority w:val="99"/>
    <w:semiHidden/>
    <w:unhideWhenUsed/>
    <w:qFormat/>
    <w:pPr>
      <w:jc w:val="left"/>
    </w:pPr>
  </w:style>
  <w:style w:type="paragraph" w:styleId="687">
    <w:name w:val="Body Text"/>
    <w:basedOn w:val="670"/>
    <w:uiPriority w:val="0"/>
    <w:qFormat/>
    <w:pPr>
      <w:spacing w:line="60" w:lineRule="auto"/>
    </w:pPr>
    <w:rPr>
      <w:rFonts w:ascii="仿宋_GB2312" w:eastAsia="仿宋_GB2312"/>
      <w:sz w:val="32"/>
    </w:rPr>
  </w:style>
  <w:style w:type="paragraph" w:styleId="688">
    <w:name w:val="Body Text Indent"/>
    <w:basedOn w:val="670"/>
    <w:next w:val="689"/>
    <w:uiPriority w:val="0"/>
    <w:qFormat/>
    <w:pPr>
      <w:ind w:firstLine="220"/>
      <w:jc w:val="both"/>
      <w:spacing w:after="0"/>
      <w:widowControl w:val="off"/>
    </w:pPr>
    <w:rPr>
      <w:rFonts w:ascii="仿宋_GB2312" w:hAnsi="Times New Roman" w:eastAsia="仿宋_GB2312" w:cs="仿宋_GB2312"/>
      <w:sz w:val="32"/>
      <w:szCs w:val="22"/>
      <w:lang w:val="en-US" w:eastAsia="zh-CN" w:bidi="ar-SA"/>
    </w:rPr>
  </w:style>
  <w:style w:type="paragraph" w:styleId="689">
    <w:name w:val="Body Text First Indent 2"/>
    <w:basedOn w:val="688"/>
    <w:next w:val="683"/>
    <w:uiPriority w:val="0"/>
    <w:qFormat/>
    <w:pPr>
      <w:ind w:left="200" w:firstLine="200"/>
      <w:spacing w:after="120"/>
    </w:pPr>
    <w:rPr>
      <w:rFonts w:ascii="Times New Roman" w:hAnsi="Times New Roman" w:eastAsia="宋体" w:cs="Times New Roman"/>
      <w:sz w:val="24"/>
      <w:szCs w:val="24"/>
    </w:rPr>
  </w:style>
  <w:style w:type="paragraph" w:styleId="690">
    <w:name w:val="toc 5"/>
    <w:basedOn w:val="670"/>
    <w:next w:val="670"/>
    <w:uiPriority w:val="39"/>
    <w:unhideWhenUsed/>
    <w:qFormat/>
    <w:pPr>
      <w:ind w:left="1134" w:right="0" w:firstLine="0"/>
      <w:spacing w:after="57"/>
    </w:pPr>
  </w:style>
  <w:style w:type="paragraph" w:styleId="691">
    <w:name w:val="toc 3"/>
    <w:basedOn w:val="670"/>
    <w:next w:val="670"/>
    <w:uiPriority w:val="39"/>
    <w:unhideWhenUsed/>
    <w:qFormat/>
    <w:pPr>
      <w:ind w:left="567" w:right="0" w:firstLine="0"/>
      <w:spacing w:after="57"/>
    </w:pPr>
  </w:style>
  <w:style w:type="paragraph" w:styleId="692">
    <w:name w:val="Plain Text"/>
    <w:basedOn w:val="670"/>
    <w:uiPriority w:val="99"/>
    <w:qFormat/>
    <w:rPr>
      <w:rFonts w:ascii="宋体" w:hAnsi="Courier New"/>
    </w:rPr>
  </w:style>
  <w:style w:type="paragraph" w:styleId="693">
    <w:name w:val="toc 8"/>
    <w:basedOn w:val="670"/>
    <w:next w:val="670"/>
    <w:uiPriority w:val="39"/>
    <w:unhideWhenUsed/>
    <w:qFormat/>
    <w:pPr>
      <w:ind w:left="1984" w:right="0" w:firstLine="0"/>
      <w:spacing w:after="57"/>
    </w:pPr>
  </w:style>
  <w:style w:type="paragraph" w:styleId="694">
    <w:name w:val="endnote text"/>
    <w:basedOn w:val="670"/>
    <w:link w:val="859"/>
    <w:uiPriority w:val="99"/>
    <w:semiHidden/>
    <w:unhideWhenUsed/>
    <w:qFormat/>
    <w:pPr>
      <w:spacing w:after="0" w:line="240" w:lineRule="auto"/>
    </w:pPr>
    <w:rPr>
      <w:sz w:val="20"/>
    </w:rPr>
  </w:style>
  <w:style w:type="paragraph" w:styleId="695">
    <w:name w:val="Footer"/>
    <w:basedOn w:val="670"/>
    <w:link w:val="732"/>
    <w:uiPriority w:val="99"/>
    <w:unhideWhenUsed/>
    <w:qFormat/>
    <w:pPr>
      <w:spacing w:after="0" w:line="240" w:lineRule="auto"/>
      <w:tabs>
        <w:tab w:val="center" w:pos="7143" w:leader="none"/>
        <w:tab w:val="right" w:pos="14287" w:leader="none"/>
      </w:tabs>
    </w:pPr>
  </w:style>
  <w:style w:type="paragraph" w:styleId="696">
    <w:name w:val="Header"/>
    <w:basedOn w:val="670"/>
    <w:link w:val="730"/>
    <w:uiPriority w:val="99"/>
    <w:unhideWhenUsed/>
    <w:qFormat/>
    <w:pPr>
      <w:spacing w:after="0" w:line="240" w:lineRule="auto"/>
      <w:tabs>
        <w:tab w:val="center" w:pos="7143" w:leader="none"/>
        <w:tab w:val="right" w:pos="14287" w:leader="none"/>
      </w:tabs>
    </w:pPr>
  </w:style>
  <w:style w:type="paragraph" w:styleId="697">
    <w:name w:val="toc 1"/>
    <w:basedOn w:val="670"/>
    <w:next w:val="670"/>
    <w:uiPriority w:val="39"/>
    <w:unhideWhenUsed/>
    <w:qFormat/>
    <w:pPr>
      <w:ind w:left="0" w:right="0" w:firstLine="0"/>
      <w:spacing w:after="57"/>
    </w:pPr>
  </w:style>
  <w:style w:type="paragraph" w:styleId="698">
    <w:name w:val="toc 4"/>
    <w:basedOn w:val="670"/>
    <w:next w:val="670"/>
    <w:uiPriority w:val="39"/>
    <w:unhideWhenUsed/>
    <w:qFormat/>
    <w:pPr>
      <w:ind w:left="850" w:right="0" w:firstLine="0"/>
      <w:spacing w:after="57"/>
    </w:pPr>
  </w:style>
  <w:style w:type="paragraph" w:styleId="699">
    <w:name w:val="Subtitle"/>
    <w:basedOn w:val="670"/>
    <w:next w:val="670"/>
    <w:link w:val="725"/>
    <w:uiPriority w:val="11"/>
    <w:qFormat/>
    <w:pPr>
      <w:spacing w:before="200" w:after="200"/>
    </w:pPr>
    <w:rPr>
      <w:sz w:val="24"/>
      <w:szCs w:val="24"/>
    </w:rPr>
  </w:style>
  <w:style w:type="paragraph" w:styleId="700">
    <w:name w:val="footnote text"/>
    <w:basedOn w:val="670"/>
    <w:link w:val="858"/>
    <w:uiPriority w:val="99"/>
    <w:semiHidden/>
    <w:unhideWhenUsed/>
    <w:qFormat/>
    <w:pPr>
      <w:spacing w:after="40" w:line="240" w:lineRule="auto"/>
    </w:pPr>
    <w:rPr>
      <w:sz w:val="18"/>
    </w:rPr>
  </w:style>
  <w:style w:type="paragraph" w:styleId="701">
    <w:name w:val="toc 6"/>
    <w:basedOn w:val="670"/>
    <w:next w:val="670"/>
    <w:uiPriority w:val="39"/>
    <w:unhideWhenUsed/>
    <w:qFormat/>
    <w:pPr>
      <w:ind w:left="1417" w:right="0" w:firstLine="0"/>
      <w:spacing w:after="57"/>
    </w:pPr>
  </w:style>
  <w:style w:type="paragraph" w:styleId="702">
    <w:name w:val="table of figures"/>
    <w:basedOn w:val="670"/>
    <w:next w:val="670"/>
    <w:uiPriority w:val="99"/>
    <w:unhideWhenUsed/>
    <w:qFormat/>
    <w:pPr>
      <w:spacing w:after="0" w:afterAutospacing="0"/>
    </w:pPr>
  </w:style>
  <w:style w:type="paragraph" w:styleId="703">
    <w:name w:val="toc 2"/>
    <w:basedOn w:val="670"/>
    <w:next w:val="670"/>
    <w:uiPriority w:val="39"/>
    <w:unhideWhenUsed/>
    <w:qFormat/>
    <w:pPr>
      <w:ind w:left="283" w:right="0" w:firstLine="0"/>
      <w:spacing w:after="57"/>
    </w:pPr>
  </w:style>
  <w:style w:type="paragraph" w:styleId="704">
    <w:name w:val="toc 9"/>
    <w:basedOn w:val="670"/>
    <w:next w:val="670"/>
    <w:uiPriority w:val="39"/>
    <w:unhideWhenUsed/>
    <w:qFormat/>
    <w:pPr>
      <w:ind w:left="2268" w:right="0" w:firstLine="0"/>
      <w:spacing w:after="57"/>
    </w:pPr>
  </w:style>
  <w:style w:type="paragraph" w:styleId="705">
    <w:name w:val="Normal (Web)"/>
    <w:basedOn w:val="670"/>
    <w:uiPriority w:val="0"/>
    <w:qFormat/>
    <w:pPr>
      <w:ind w:firstLine="562"/>
      <w:spacing w:beforeAutospacing="1" w:afterAutospacing="1"/>
    </w:pPr>
    <w:rPr>
      <w:b/>
      <w:sz w:val="28"/>
    </w:rPr>
  </w:style>
  <w:style w:type="paragraph" w:styleId="706">
    <w:name w:val="Title"/>
    <w:basedOn w:val="670"/>
    <w:next w:val="670"/>
    <w:link w:val="724"/>
    <w:uiPriority w:val="10"/>
    <w:qFormat/>
    <w:pPr>
      <w:contextualSpacing/>
      <w:spacing w:before="300" w:after="200"/>
    </w:pPr>
    <w:rPr>
      <w:sz w:val="48"/>
      <w:szCs w:val="48"/>
    </w:rPr>
  </w:style>
  <w:style w:type="paragraph" w:styleId="707">
    <w:name w:val="Body Text First Indent"/>
    <w:basedOn w:val="687"/>
    <w:next w:val="670"/>
    <w:uiPriority w:val="0"/>
    <w:qFormat/>
    <w:pPr>
      <w:ind w:firstLine="200"/>
      <w:spacing w:line="360" w:lineRule="auto"/>
    </w:pPr>
    <w:rPr>
      <w:rFonts w:ascii="仿宋_GB2312" w:eastAsia="仿宋_GB2312"/>
      <w:sz w:val="30"/>
      <w:szCs w:val="30"/>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basedOn w:val="680"/>
    <w:uiPriority w:val="99"/>
    <w:semiHidden/>
    <w:unhideWhenUsed/>
    <w:qFormat/>
    <w:rPr>
      <w:vertAlign w:val="superscript"/>
    </w:rPr>
  </w:style>
  <w:style w:type="character" w:styleId="710">
    <w:name w:val="Hyperlink"/>
    <w:uiPriority w:val="99"/>
    <w:unhideWhenUsed/>
    <w:qFormat/>
    <w:rPr>
      <w:color w:val="0026e5" w:themeColor="hyperlink"/>
      <w:u w:val="single"/>
      <w14:textFill>
        <w14:solidFill>
          <w14:schemeClr w14:val="hlink"/>
        </w14:solidFill>
      </w14:textFill>
    </w:rPr>
  </w:style>
  <w:style w:type="character" w:styleId="711">
    <w:name w:val="footnote reference"/>
    <w:basedOn w:val="680"/>
    <w:uiPriority w:val="99"/>
    <w:unhideWhenUsed/>
    <w:qFormat/>
    <w:rPr>
      <w:vertAlign w:val="superscript"/>
    </w:rPr>
  </w:style>
  <w:style w:type="paragraph" w:styleId="712" w:customStyle="1">
    <w:name w:val="Default"/>
    <w:basedOn w:val="670"/>
    <w:uiPriority w:val="0"/>
    <w:qFormat/>
    <w:pPr>
      <w:jc w:val="left"/>
    </w:pPr>
    <w:rPr>
      <w:rFonts w:ascii="仿宋_GB2312" w:hAnsi="宋体" w:eastAsia="仿宋_GB2312" w:cs="Times New Roman"/>
      <w:color w:val="000000"/>
      <w:sz w:val="24"/>
    </w:rPr>
  </w:style>
  <w:style w:type="character" w:styleId="713" w:customStyle="1">
    <w:name w:val="Heading 1 Char"/>
    <w:basedOn w:val="680"/>
    <w:link w:val="671"/>
    <w:uiPriority w:val="9"/>
    <w:qFormat/>
    <w:rPr>
      <w:rFonts w:ascii="Arial" w:hAnsi="Arial" w:eastAsia="Arial" w:cs="Arial"/>
      <w:sz w:val="40"/>
      <w:szCs w:val="40"/>
    </w:rPr>
  </w:style>
  <w:style w:type="character" w:styleId="714" w:customStyle="1">
    <w:name w:val="Heading 2 Char"/>
    <w:basedOn w:val="680"/>
    <w:link w:val="672"/>
    <w:uiPriority w:val="9"/>
    <w:qFormat/>
    <w:rPr>
      <w:rFonts w:ascii="Arial" w:hAnsi="Arial" w:eastAsia="Arial" w:cs="Arial"/>
      <w:sz w:val="34"/>
    </w:rPr>
  </w:style>
  <w:style w:type="character" w:styleId="715" w:customStyle="1">
    <w:name w:val="Heading 3 Char"/>
    <w:basedOn w:val="680"/>
    <w:link w:val="673"/>
    <w:uiPriority w:val="9"/>
    <w:qFormat/>
    <w:rPr>
      <w:rFonts w:ascii="Arial" w:hAnsi="Arial" w:eastAsia="Arial" w:cs="Arial"/>
      <w:sz w:val="30"/>
      <w:szCs w:val="30"/>
    </w:rPr>
  </w:style>
  <w:style w:type="character" w:styleId="716" w:customStyle="1">
    <w:name w:val="Heading 4 Char"/>
    <w:basedOn w:val="680"/>
    <w:link w:val="674"/>
    <w:uiPriority w:val="9"/>
    <w:qFormat/>
    <w:rPr>
      <w:rFonts w:ascii="Arial" w:hAnsi="Arial" w:eastAsia="Arial" w:cs="Arial"/>
      <w:b/>
      <w:bCs/>
      <w:sz w:val="26"/>
      <w:szCs w:val="26"/>
    </w:rPr>
  </w:style>
  <w:style w:type="character" w:styleId="717" w:customStyle="1">
    <w:name w:val="Heading 5 Char"/>
    <w:basedOn w:val="680"/>
    <w:link w:val="675"/>
    <w:uiPriority w:val="9"/>
    <w:qFormat/>
    <w:rPr>
      <w:rFonts w:ascii="Arial" w:hAnsi="Arial" w:eastAsia="Arial" w:cs="Arial"/>
      <w:b/>
      <w:bCs/>
      <w:sz w:val="24"/>
      <w:szCs w:val="24"/>
    </w:rPr>
  </w:style>
  <w:style w:type="character" w:styleId="718" w:customStyle="1">
    <w:name w:val="Heading 6 Char"/>
    <w:basedOn w:val="680"/>
    <w:link w:val="676"/>
    <w:uiPriority w:val="9"/>
    <w:qFormat/>
    <w:rPr>
      <w:rFonts w:ascii="Arial" w:hAnsi="Arial" w:eastAsia="Arial" w:cs="Arial"/>
      <w:b/>
      <w:bCs/>
      <w:sz w:val="22"/>
      <w:szCs w:val="22"/>
    </w:rPr>
  </w:style>
  <w:style w:type="character" w:styleId="719" w:customStyle="1">
    <w:name w:val="Heading 7 Char"/>
    <w:basedOn w:val="680"/>
    <w:link w:val="677"/>
    <w:uiPriority w:val="9"/>
    <w:qFormat/>
    <w:rPr>
      <w:rFonts w:ascii="Arial" w:hAnsi="Arial" w:eastAsia="Arial" w:cs="Arial"/>
      <w:b/>
      <w:bCs/>
      <w:i/>
      <w:iCs/>
      <w:sz w:val="22"/>
      <w:szCs w:val="22"/>
    </w:rPr>
  </w:style>
  <w:style w:type="character" w:styleId="720" w:customStyle="1">
    <w:name w:val="Heading 8 Char"/>
    <w:basedOn w:val="680"/>
    <w:link w:val="678"/>
    <w:uiPriority w:val="9"/>
    <w:qFormat/>
    <w:rPr>
      <w:rFonts w:ascii="Arial" w:hAnsi="Arial" w:eastAsia="Arial" w:cs="Arial"/>
      <w:i/>
      <w:iCs/>
      <w:sz w:val="22"/>
      <w:szCs w:val="22"/>
    </w:rPr>
  </w:style>
  <w:style w:type="character" w:styleId="721" w:customStyle="1">
    <w:name w:val="Heading 9 Char"/>
    <w:basedOn w:val="680"/>
    <w:link w:val="679"/>
    <w:uiPriority w:val="9"/>
    <w:qFormat/>
    <w:rPr>
      <w:rFonts w:ascii="Arial" w:hAnsi="Arial" w:eastAsia="Arial" w:cs="Arial"/>
      <w:i/>
      <w:iCs/>
      <w:sz w:val="21"/>
      <w:szCs w:val="21"/>
    </w:rPr>
  </w:style>
  <w:style w:type="paragraph" w:styleId="722">
    <w:name w:val="List Paragraph"/>
    <w:basedOn w:val="670"/>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basedOn w:val="680"/>
    <w:link w:val="706"/>
    <w:uiPriority w:val="10"/>
    <w:qFormat/>
    <w:rPr>
      <w:sz w:val="48"/>
      <w:szCs w:val="48"/>
    </w:rPr>
  </w:style>
  <w:style w:type="character" w:styleId="725" w:customStyle="1">
    <w:name w:val="Subtitle Char"/>
    <w:basedOn w:val="680"/>
    <w:link w:val="699"/>
    <w:uiPriority w:val="11"/>
    <w:qFormat/>
    <w:rPr>
      <w:sz w:val="24"/>
      <w:szCs w:val="24"/>
    </w:rPr>
  </w:style>
  <w:style w:type="paragraph" w:styleId="726">
    <w:name w:val="Quote"/>
    <w:basedOn w:val="670"/>
    <w:next w:val="670"/>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70"/>
    <w:next w:val="67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basedOn w:val="680"/>
    <w:link w:val="696"/>
    <w:uiPriority w:val="99"/>
    <w:qFormat/>
  </w:style>
  <w:style w:type="character" w:styleId="731" w:customStyle="1">
    <w:name w:val="Footer Char"/>
    <w:basedOn w:val="680"/>
    <w:link w:val="695"/>
    <w:uiPriority w:val="99"/>
    <w:qFormat/>
  </w:style>
  <w:style w:type="character" w:styleId="732" w:customStyle="1">
    <w:name w:val="Caption Char"/>
    <w:link w:val="695"/>
    <w:uiPriority w:val="99"/>
    <w:qFormat/>
  </w:style>
  <w:style w:type="table" w:styleId="733"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2" w:customStyle="1">
    <w:name w:val="Grid Table 2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3"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basedOn w:val="6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2" w:customStyle="1">
    <w:name w:val="Grid Table 4 - Accent 2"/>
    <w:basedOn w:val="6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3" w:customStyle="1">
    <w:name w:val="Grid Table 4 - Accent 3"/>
    <w:basedOn w:val="6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4" w:customStyle="1">
    <w:name w:val="Grid Table 4 - Accent 4"/>
    <w:basedOn w:val="6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5" w:customStyle="1">
    <w:name w:val="Grid Table 4 - Accent 5"/>
    <w:basedOn w:val="6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6" w:customStyle="1">
    <w:name w:val="Grid Table 4 - Accent 6"/>
    <w:basedOn w:val="6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7"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9"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0"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1"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2"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3"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4"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basedOn w:val="6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6" w:customStyle="1">
    <w:name w:val="Grid Table 6 Colorful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7" w:customStyle="1">
    <w:name w:val="Grid Table 6 Colorful - Accent 3"/>
    <w:basedOn w:val="6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8" w:customStyle="1">
    <w:name w:val="Grid Table 6 Colorful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9" w:customStyle="1">
    <w:name w:val="Grid Table 6 Colorful - Accent 5"/>
    <w:basedOn w:val="6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0" w:customStyle="1">
    <w:name w:val="Grid Table 6 Colorful - Accent 6"/>
    <w:basedOn w:val="6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1"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basedOn w:val="6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basedOn w:val="6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basedOn w:val="6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basedOn w:val="6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basedOn w:val="6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basedOn w:val="6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basedOn w:val="6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0" w:customStyle="1">
    <w:name w:val="List Table 1 Light - Accent 2"/>
    <w:basedOn w:val="6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1" w:customStyle="1">
    <w:name w:val="List Table 1 Light - Accent 3"/>
    <w:basedOn w:val="6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2" w:customStyle="1">
    <w:name w:val="List Table 1 Light - Accent 4"/>
    <w:basedOn w:val="6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basedOn w:val="6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4" w:customStyle="1">
    <w:name w:val="List Table 1 Light - Accent 6"/>
    <w:basedOn w:val="6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5"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basedOn w:val="6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7" w:customStyle="1">
    <w:name w:val="List Table 2 - Accent 2"/>
    <w:basedOn w:val="6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8" w:customStyle="1">
    <w:name w:val="List Table 2 - Accent 3"/>
    <w:basedOn w:val="6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9" w:customStyle="1">
    <w:name w:val="List Table 2 - Accent 4"/>
    <w:basedOn w:val="6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0" w:customStyle="1">
    <w:name w:val="List Table 2 - Accent 5"/>
    <w:basedOn w:val="6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1" w:customStyle="1">
    <w:name w:val="List Table 2 - Accent 6"/>
    <w:basedOn w:val="6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2"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basedOn w:val="6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4" w:customStyle="1">
    <w:name w:val="List Table 3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5" w:customStyle="1">
    <w:name w:val="List Table 3 - Accent 3"/>
    <w:basedOn w:val="6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6" w:customStyle="1">
    <w:name w:val="List Table 3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7" w:customStyle="1">
    <w:name w:val="List Table 3 - Accent 5"/>
    <w:basedOn w:val="6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8" w:customStyle="1">
    <w:name w:val="List Table 3 - Accent 6"/>
    <w:basedOn w:val="6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9"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basedOn w:val="6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1" w:customStyle="1">
    <w:name w:val="List Table 4 - Accent 2"/>
    <w:basedOn w:val="6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2" w:customStyle="1">
    <w:name w:val="List Table 4 - Accent 3"/>
    <w:basedOn w:val="6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3" w:customStyle="1">
    <w:name w:val="List Table 4 - Accent 4"/>
    <w:basedOn w:val="6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4" w:customStyle="1">
    <w:name w:val="List Table 4 - Accent 5"/>
    <w:basedOn w:val="6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5" w:customStyle="1">
    <w:name w:val="List Table 4 - Accent 6"/>
    <w:basedOn w:val="6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6"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basedOn w:val="6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basedOn w:val="6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basedOn w:val="6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basedOn w:val="6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basedOn w:val="6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basedOn w:val="6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basedOn w:val="6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5" w:customStyle="1">
    <w:name w:val="List Table 6 Colorful - Accent 2"/>
    <w:basedOn w:val="6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6" w:customStyle="1">
    <w:name w:val="List Table 6 Colorful - Accent 3"/>
    <w:basedOn w:val="6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7" w:customStyle="1">
    <w:name w:val="List Table 6 Colorful - Accent 4"/>
    <w:basedOn w:val="6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8" w:customStyle="1">
    <w:name w:val="List Table 6 Colorful - Accent 5"/>
    <w:basedOn w:val="6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9" w:customStyle="1">
    <w:name w:val="List Table 6 Colorful - Accent 6"/>
    <w:basedOn w:val="6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0"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basedOn w:val="68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basedOn w:val="68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basedOn w:val="68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basedOn w:val="68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basedOn w:val="68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basedOn w:val="68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7"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9"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0"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1"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2"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3"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4"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basedOn w:val="6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6" w:customStyle="1">
    <w:name w:val="Bordered &amp; Lined - Accent 2"/>
    <w:basedOn w:val="6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7" w:customStyle="1">
    <w:name w:val="Bordered &amp; Lined - Accent 3"/>
    <w:basedOn w:val="6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8" w:customStyle="1">
    <w:name w:val="Bordered &amp; Lined - Accent 4"/>
    <w:basedOn w:val="6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9" w:customStyle="1">
    <w:name w:val="Bordered &amp; Lined - Accent 5"/>
    <w:basedOn w:val="6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0" w:customStyle="1">
    <w:name w:val="Bordered &amp; Lined - Accent 6"/>
    <w:basedOn w:val="6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1"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3" w:customStyle="1">
    <w:name w:val="Bordered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4" w:customStyle="1">
    <w:name w:val="Bordered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5" w:customStyle="1">
    <w:name w:val="Bordered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6" w:customStyle="1">
    <w:name w:val="Bordered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7" w:customStyle="1">
    <w:name w:val="Bordered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8" w:customStyle="1">
    <w:name w:val="Footnote Text Char"/>
    <w:link w:val="700"/>
    <w:uiPriority w:val="99"/>
    <w:qFormat/>
    <w:rPr>
      <w:sz w:val="18"/>
    </w:rPr>
  </w:style>
  <w:style w:type="character" w:styleId="859" w:customStyle="1">
    <w:name w:val="Endnote Text Char"/>
    <w:link w:val="694"/>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正文文本1"/>
    <w:basedOn w:val="670"/>
    <w:uiPriority w:val="0"/>
    <w:qFormat/>
    <w:pPr>
      <w:spacing w:line="60" w:lineRule="auto"/>
    </w:pPr>
    <w:rPr>
      <w:rFonts w:ascii="仿宋_GB2312" w:eastAsia="仿宋_GB2312"/>
      <w:sz w:val="32"/>
    </w:rPr>
  </w:style>
  <w:style w:type="paragraph" w:styleId="862" w:customStyle="1">
    <w:name w:val="WPSOffice手动目录 1"/>
    <w:uiPriority w:val="0"/>
    <w:qFormat/>
    <w:rPr>
      <w:rFonts w:hint="default" w:ascii="Times New Roman" w:hAnsi="Times New Roman" w:eastAsia="宋体" w:cs="Times New Roman"/>
      <w:lang w:val="en-US" w:eastAsia="zh-CN" w:bidi="ar-SA"/>
    </w:rPr>
  </w:style>
  <w:style w:type="paragraph" w:styleId="863" w:customStyle="1">
    <w:name w:val="WPSOffice手动目录 2"/>
    <w:uiPriority w:val="0"/>
    <w:qFormat/>
    <w:rPr>
      <w:rFonts w:hint="default" w:ascii="Times New Roman" w:hAnsi="Times New Roman" w:eastAsia="宋体" w:cs="Times New Roman"/>
      <w:lang w:val="en-US" w:eastAsia="zh-CN" w:bidi="ar-SA"/>
    </w:rPr>
  </w:style>
  <w:style w:type="paragraph" w:styleId="864" w:customStyle="1">
    <w:name w:val="列出段落1"/>
    <w:basedOn w:val="670"/>
    <w:uiPriority w:val="99"/>
    <w:qFormat/>
    <w:pPr>
      <w:ind w:firstLine="200"/>
    </w:pPr>
    <w:rPr>
      <w:rFonts w:ascii="Calibri" w:hAnsi="Calibri"/>
      <w:szCs w:val="22"/>
    </w:rPr>
  </w:style>
  <w:style w:type="paragraph" w:styleId="865" w:customStyle="1">
    <w:name w:val="列出段落"/>
    <w:basedOn w:val="670"/>
    <w:uiPriority w:val="34"/>
    <w:qFormat/>
    <w:pPr>
      <w:ind w:firstLine="420"/>
    </w:pPr>
  </w:style>
  <w:style w:type="paragraph" w:styleId="866" w:customStyle="1">
    <w:name w:val="列出段落2"/>
    <w:basedOn w:val="670"/>
    <w:uiPriority w:val="0"/>
    <w:qFormat/>
    <w:pPr>
      <w:ind w:firstLine="420"/>
    </w:pPr>
    <w:rPr>
      <w:rFonts w:ascii="Times New Roman" w:hAnsi="Times New Roman" w:eastAsia="宋体" w:cs="Times New Roman"/>
    </w:rPr>
  </w:style>
  <w:style w:type="paragraph" w:styleId="867" w:customStyle="1">
    <w:name w:val="普通(网站)1"/>
    <w:basedOn w:val="670"/>
    <w:uiPriority w:val="0"/>
    <w:qFormat/>
    <w:pPr>
      <w:jc w:val="left"/>
      <w:spacing w:before="100" w:beforeAutospacing="1" w:after="100" w:afterAutospacing="1"/>
      <w:widowControl/>
    </w:pPr>
    <w:rPr>
      <w:rFonts w:ascii="宋体"/>
      <w:sz w:val="24"/>
      <w:szCs w:val="20"/>
    </w:rPr>
  </w:style>
  <w:style w:type="paragraph" w:styleId="868" w:customStyle="1">
    <w:name w:val="标题 21"/>
    <w:basedOn w:val="670"/>
    <w:next w:val="670"/>
    <w:uiPriority w:val="0"/>
    <w:qFormat/>
    <w:pPr>
      <w:keepLines/>
      <w:keepNext/>
      <w:spacing w:before="260" w:after="260" w:line="413" w:lineRule="auto"/>
      <w:outlineLvl w:val="1"/>
    </w:pPr>
    <w:rPr>
      <w:rFonts w:ascii="Arial" w:hAnsi="Arial" w:eastAsia="黑体"/>
      <w:b/>
      <w:sz w:val="32"/>
      <w:szCs w:val="20"/>
    </w:rPr>
  </w:style>
  <w:style w:type="paragraph" w:styleId="869" w:customStyle="1">
    <w:name w:val="Normal_0"/>
    <w:uiPriority w:val="0"/>
    <w:qFormat/>
    <w:rPr>
      <w:rFonts w:hint="default" w:ascii="黑体" w:hAnsi="黑体" w:eastAsia="黑体" w:cs="Times New Roman"/>
      <w:b/>
      <w:sz w:val="32"/>
      <w:szCs w:val="24"/>
      <w:lang w:bidi="ar-SA"/>
    </w:rPr>
  </w:style>
  <w:style w:type="paragraph" w:styleId="870" w:customStyle="1">
    <w:name w:val="正文文本缩进11"/>
    <w:basedOn w:val="670"/>
    <w:uiPriority w:val="0"/>
    <w:qFormat/>
    <w:pPr>
      <w:ind w:firstLine="225"/>
    </w:pPr>
    <w:rPr>
      <w:rFonts w:ascii="仿宋_GB2312" w:eastAsia="仿宋_GB2312"/>
      <w:sz w:val="32"/>
    </w:rPr>
  </w:style>
  <w:style w:type="paragraph" w:styleId="871" w:customStyle="1">
    <w:name w:val="普通正文"/>
    <w:basedOn w:val="670"/>
    <w:uiPriority w:val="0"/>
    <w:qFormat/>
    <w:pPr>
      <w:ind w:firstLine="425"/>
      <w:jc w:val="left"/>
    </w:pPr>
    <w:rPr>
      <w:rFonts w:ascii="宋体"/>
      <w:sz w:val="20"/>
      <w:szCs w:val="20"/>
    </w:rPr>
  </w:style>
  <w:style w:type="paragraph" w:styleId="872" w:customStyle="1">
    <w:name w:val="列出段落3"/>
    <w:basedOn w:val="670"/>
    <w:uiPriority w:val="0"/>
    <w:qFormat/>
    <w:pPr>
      <w:ind w:firstLine="420"/>
    </w:pPr>
    <w:rPr>
      <w:rFonts w:ascii="Times New Roman" w:hAnsi="Times New Roman" w:eastAsia="宋体" w:cs="Times New Roman"/>
      <w:szCs w:val="20"/>
    </w:rPr>
  </w:style>
  <w:style w:type="character" w:styleId="873" w:customStyle="1">
    <w:name w:val="NormalCharacter1"/>
    <w:link w:val="670"/>
    <w:uiPriority w:val="0"/>
    <w:semiHidden/>
    <w:qFormat/>
    <w:rPr>
      <w:rFonts w:hint="default" w:ascii="Times New Roman" w:hAnsi="Times New Roman" w:eastAsia="宋体" w:cs="Times New Roman"/>
      <w:sz w:val="21"/>
      <w:szCs w:val="22"/>
      <w:lang w:val="en-US" w:eastAsia="zh-CN" w:bidi="ar-SA"/>
    </w:rPr>
  </w:style>
  <w:style w:type="character" w:styleId="874" w:customStyle="1">
    <w:name w:val="wyg1"/>
    <w:link w:val="670"/>
    <w:uiPriority w:val="0"/>
    <w:qFormat/>
    <w:rPr>
      <w:color w:val="000000"/>
      <w:sz w:val="20"/>
      <w:szCs w:val="20"/>
      <w:u w:val="none"/>
    </w:rPr>
  </w:style>
  <w:style w:type="character" w:styleId="875" w:customStyle="1">
    <w:name w:val="s141"/>
    <w:link w:val="670"/>
    <w:uiPriority w:val="0"/>
    <w:qFormat/>
    <w:rPr>
      <w:rFonts w:ascii="_x000B__x000C_" w:hAnsi="_x000B__x000C_"/>
      <w:sz w:val="21"/>
      <w:szCs w:val="21"/>
    </w:rPr>
  </w:style>
  <w:style w:type="paragraph" w:styleId="876" w:customStyle="1">
    <w:name w:val="纯文本11"/>
    <w:basedOn w:val="670"/>
    <w:uiPriority w:val="0"/>
    <w:qFormat/>
    <w:rPr>
      <w:rFonts w:ascii="宋体"/>
      <w:szCs w:val="21"/>
    </w:rPr>
  </w:style>
  <w:style w:type="paragraph" w:styleId="877" w:customStyle="1">
    <w:name w:val="Normal_0_3"/>
    <w:uiPriority w:val="0"/>
    <w:qFormat/>
    <w:rPr>
      <w:rFonts w:hint="default" w:ascii="黑体" w:hAnsi="黑体" w:eastAsia="黑体" w:cs="Times New Roman"/>
      <w:b/>
      <w:sz w:val="32"/>
      <w:szCs w:val="24"/>
      <w:lang w:bidi="ar-SA"/>
    </w:rPr>
  </w:style>
  <w:style w:type="paragraph" w:styleId="878"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9" w:customStyle="1">
    <w:name w:val="Normal_0_2"/>
    <w:uiPriority w:val="0"/>
    <w:qFormat/>
    <w:rPr>
      <w:rFonts w:hint="default" w:ascii="黑体" w:hAnsi="黑体" w:eastAsia="黑体" w:cs="Times New Roman"/>
      <w:b/>
      <w:sz w:val="32"/>
      <w:szCs w:val="24"/>
      <w:lang w:bidi="ar-SA"/>
    </w:rPr>
  </w:style>
  <w:style w:type="paragraph" w:styleId="880" w:customStyle="1">
    <w:name w:val="Normal_1_2"/>
    <w:uiPriority w:val="0"/>
    <w:qFormat/>
    <w:rPr>
      <w:rFonts w:hint="default" w:ascii="Times New Roman" w:hAnsi="Times New Roman" w:eastAsia="Times New Roman" w:cs="Times New Roman"/>
      <w:sz w:val="24"/>
      <w:szCs w:val="24"/>
      <w:lang w:bidi="ar-SA"/>
    </w:rPr>
  </w:style>
  <w:style w:type="paragraph" w:styleId="881" w:customStyle="1">
    <w:name w:val="Normal_0_1"/>
    <w:uiPriority w:val="0"/>
    <w:qFormat/>
    <w:rPr>
      <w:rFonts w:hint="default" w:ascii="黑体" w:hAnsi="黑体" w:eastAsia="黑体" w:cs="Times New Roman"/>
      <w:b/>
      <w:sz w:val="32"/>
      <w:szCs w:val="24"/>
      <w:lang w:bidi="ar-SA"/>
    </w:rPr>
  </w:style>
  <w:style w:type="paragraph" w:styleId="88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3" w:customStyle="1">
    <w:name w:val="Normal_1_1"/>
    <w:uiPriority w:val="0"/>
    <w:qFormat/>
    <w:rPr>
      <w:rFonts w:hint="default" w:ascii="黑体" w:hAnsi="黑体" w:eastAsia="黑体" w:cs="Times New Roman"/>
      <w:b/>
      <w:sz w:val="32"/>
      <w:szCs w:val="24"/>
      <w:lang w:bidi="ar-SA"/>
    </w:rPr>
  </w:style>
  <w:style w:type="paragraph" w:styleId="884" w:customStyle="1">
    <w:name w:val="Normal_2_0"/>
    <w:uiPriority w:val="0"/>
    <w:qFormat/>
    <w:rPr>
      <w:rFonts w:hint="default" w:ascii="黑体" w:hAnsi="黑体" w:eastAsia="黑体" w:cs="Times New Roman"/>
      <w:b/>
      <w:sz w:val="32"/>
      <w:szCs w:val="24"/>
      <w:lang w:bidi="ar-SA"/>
    </w:rPr>
  </w:style>
  <w:style w:type="paragraph" w:styleId="88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customStyle="1">
    <w:name w:val="Normal_3_0"/>
    <w:uiPriority w:val="0"/>
    <w:qFormat/>
    <w:rPr>
      <w:rFonts w:hint="default" w:ascii="黑体" w:hAnsi="黑体" w:eastAsia="黑体" w:cs="Times New Roman"/>
      <w:b/>
      <w:sz w:val="32"/>
      <w:szCs w:val="24"/>
      <w:lang w:bidi="ar-SA"/>
    </w:rPr>
  </w:style>
  <w:style w:type="paragraph" w:styleId="88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89"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0" w:customStyle="1">
    <w:name w:val="Normal_4_0"/>
    <w:uiPriority w:val="0"/>
    <w:qFormat/>
    <w:rPr>
      <w:rFonts w:hint="default" w:ascii="黑体" w:hAnsi="黑体" w:eastAsia="黑体" w:cs="Times New Roman"/>
      <w:b/>
      <w:sz w:val="32"/>
      <w:szCs w:val="24"/>
      <w:lang w:bidi="ar-SA"/>
    </w:rPr>
  </w:style>
  <w:style w:type="paragraph" w:styleId="891" w:customStyle="1">
    <w:name w:val="Normal_5_0"/>
    <w:uiPriority w:val="0"/>
    <w:qFormat/>
    <w:rPr>
      <w:rFonts w:hint="default" w:ascii="黑体" w:hAnsi="黑体" w:eastAsia="黑体" w:cs="Times New Roman"/>
      <w:b/>
      <w:sz w:val="32"/>
      <w:szCs w:val="24"/>
      <w:lang w:bidi="ar-SA"/>
    </w:rPr>
  </w:style>
  <w:style w:type="paragraph" w:styleId="892"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9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customStyle="1">
    <w:name w:val="Normal_6_0"/>
    <w:uiPriority w:val="0"/>
    <w:qFormat/>
    <w:rPr>
      <w:rFonts w:hint="default" w:ascii="黑体" w:hAnsi="黑体" w:eastAsia="黑体" w:cs="Times New Roman"/>
      <w:b/>
      <w:sz w:val="32"/>
      <w:szCs w:val="24"/>
      <w:lang w:bidi="ar-SA"/>
    </w:rPr>
  </w:style>
  <w:style w:type="paragraph" w:styleId="89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Normal_7_0"/>
    <w:uiPriority w:val="0"/>
    <w:qFormat/>
    <w:rPr>
      <w:rFonts w:hint="default" w:ascii="黑体" w:hAnsi="黑体" w:eastAsia="黑体" w:cs="Times New Roman"/>
      <w:b/>
      <w:sz w:val="32"/>
      <w:szCs w:val="24"/>
      <w:lang w:bidi="ar-SA"/>
    </w:rPr>
  </w:style>
  <w:style w:type="paragraph" w:styleId="89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9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0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Normal_8_0"/>
    <w:uiPriority w:val="0"/>
    <w:qFormat/>
    <w:rPr>
      <w:rFonts w:hint="default" w:ascii="黑体" w:hAnsi="黑体" w:eastAsia="黑体" w:cs="Times New Roman"/>
      <w:b/>
      <w:sz w:val="32"/>
      <w:szCs w:val="24"/>
      <w:lang w:bidi="ar-SA"/>
    </w:rPr>
  </w:style>
  <w:style w:type="paragraph" w:styleId="905" w:customStyle="1">
    <w:name w:val="Normal_10_0"/>
    <w:uiPriority w:val="0"/>
    <w:qFormat/>
    <w:rPr>
      <w:rFonts w:hint="default" w:ascii="黑体" w:hAnsi="黑体" w:eastAsia="黑体" w:cs="Times New Roman"/>
      <w:b/>
      <w:sz w:val="32"/>
      <w:szCs w:val="24"/>
      <w:lang w:bidi="ar-SA"/>
    </w:rPr>
  </w:style>
  <w:style w:type="paragraph" w:styleId="90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7" w:customStyle="1">
    <w:name w:val="Normal_11_0"/>
    <w:uiPriority w:val="0"/>
    <w:qFormat/>
    <w:rPr>
      <w:rFonts w:hint="default" w:ascii="黑体" w:hAnsi="黑体" w:eastAsia="黑体" w:cs="Times New Roman"/>
      <w:b/>
      <w:sz w:val="32"/>
      <w:szCs w:val="24"/>
      <w:lang w:bidi="ar-SA"/>
    </w:rPr>
  </w:style>
  <w:style w:type="character" w:styleId="908" w:customStyle="1">
    <w:name w:val="要点1"/>
    <w:link w:val="670"/>
    <w:uiPriority w:val="0"/>
    <w:qFormat/>
    <w:rPr>
      <w:b/>
    </w:rPr>
  </w:style>
  <w:style w:type="paragraph" w:styleId="909" w:customStyle="1">
    <w:name w:val="标题 41"/>
    <w:basedOn w:val="670"/>
    <w:next w:val="67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3" w:customStyle="1">
    <w:name w:val="Normal_12_0"/>
    <w:uiPriority w:val="0"/>
    <w:qFormat/>
    <w:rPr>
      <w:rFonts w:hint="default" w:ascii="黑体" w:hAnsi="黑体" w:eastAsia="黑体" w:cs="Times New Roman"/>
      <w:b/>
      <w:sz w:val="32"/>
      <w:szCs w:val="24"/>
      <w:lang w:bidi="ar-SA"/>
    </w:rPr>
  </w:style>
  <w:style w:type="paragraph" w:styleId="91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5" w:customStyle="1">
    <w:name w:val="纯文本_0_0"/>
    <w:basedOn w:val="914"/>
    <w:uiPriority w:val="0"/>
    <w:unhideWhenUsed/>
    <w:qFormat/>
    <w:rPr>
      <w:rFonts w:ascii="宋体" w:hAnsi="Courier New"/>
      <w:szCs w:val="21"/>
    </w:rPr>
  </w:style>
  <w:style w:type="paragraph" w:styleId="91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7" w:customStyle="1">
    <w:name w:val="Normal_13_0"/>
    <w:uiPriority w:val="0"/>
    <w:qFormat/>
    <w:rPr>
      <w:rFonts w:hint="default" w:ascii="黑体" w:hAnsi="黑体" w:eastAsia="黑体" w:cs="Times New Roman"/>
      <w:b/>
      <w:sz w:val="32"/>
      <w:szCs w:val="24"/>
      <w:lang w:bidi="ar-SA"/>
    </w:rPr>
  </w:style>
  <w:style w:type="paragraph" w:styleId="91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9" w:customStyle="1">
    <w:name w:val="Normal_14_0"/>
    <w:uiPriority w:val="0"/>
    <w:qFormat/>
    <w:rPr>
      <w:rFonts w:hint="default" w:ascii="黑体" w:hAnsi="黑体" w:eastAsia="黑体" w:cs="Times New Roman"/>
      <w:b/>
      <w:sz w:val="32"/>
      <w:szCs w:val="24"/>
      <w:lang w:bidi="ar-SA"/>
    </w:rPr>
  </w:style>
  <w:style w:type="paragraph" w:styleId="92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Normal_15_0"/>
    <w:uiPriority w:val="0"/>
    <w:qFormat/>
    <w:rPr>
      <w:rFonts w:hint="default" w:ascii="黑体" w:hAnsi="黑体" w:eastAsia="黑体" w:cs="Times New Roman"/>
      <w:b/>
      <w:sz w:val="32"/>
      <w:szCs w:val="24"/>
      <w:lang w:bidi="ar-SA"/>
    </w:rPr>
  </w:style>
  <w:style w:type="paragraph" w:styleId="923"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Normal_17_0"/>
    <w:uiPriority w:val="0"/>
    <w:qFormat/>
    <w:rPr>
      <w:rFonts w:hint="default" w:ascii="黑体" w:hAnsi="黑体" w:eastAsia="黑体" w:cs="Times New Roman"/>
      <w:b/>
      <w:sz w:val="32"/>
      <w:szCs w:val="24"/>
      <w:lang w:bidi="ar-SA"/>
    </w:rPr>
  </w:style>
  <w:style w:type="paragraph" w:styleId="92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Normal_18_0"/>
    <w:uiPriority w:val="0"/>
    <w:qFormat/>
    <w:rPr>
      <w:rFonts w:hint="default" w:ascii="黑体" w:hAnsi="黑体" w:eastAsia="黑体" w:cs="Times New Roman"/>
      <w:b/>
      <w:sz w:val="32"/>
      <w:szCs w:val="24"/>
      <w:lang w:bidi="ar-SA"/>
    </w:rPr>
  </w:style>
  <w:style w:type="paragraph" w:styleId="92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9" w:customStyle="1">
    <w:name w:val="页脚11"/>
    <w:basedOn w:val="670"/>
    <w:uiPriority w:val="99"/>
    <w:qFormat/>
    <w:pPr>
      <w:jc w:val="left"/>
      <w:tabs>
        <w:tab w:val="center" w:pos="4153" w:leader="none"/>
        <w:tab w:val="right" w:pos="8306" w:leader="none"/>
      </w:tabs>
    </w:pPr>
    <w:rPr>
      <w:rFonts w:ascii="Calibri" w:hAnsi="Calibri"/>
      <w:sz w:val="18"/>
      <w:szCs w:val="18"/>
    </w:rPr>
  </w:style>
  <w:style w:type="paragraph" w:styleId="930" w:customStyle="1">
    <w:name w:val="null3"/>
    <w:hidden/>
    <w:uiPriority w:val="0"/>
    <w:qFormat/>
    <w:rPr>
      <w:rFonts w:hint="eastAsia" w:asciiTheme="minorHAnsi" w:hAnsiTheme="minorHAnsi" w:eastAsiaTheme="minorEastAsia" w:cstheme="minorBidi"/>
      <w:lang w:val="en-US" w:eastAsia="zh-Hans"/>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盐城锁</cp:lastModifiedBy>
  <cp:revision>6</cp:revision>
  <dcterms:created xsi:type="dcterms:W3CDTF">2025-11-27T05:31:00Z</dcterms:created>
  <dcterms:modified xsi:type="dcterms:W3CDTF">2026-08-11T08:18:59Z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eyJoZGlkIjoiYzQyMzdkOTA4NGFjNTcxZjM5YWQ3NWUxNmJiYmMzN2MiLCJ1c2VySWQiOiIzMTg5MzgxNzEifQ==</vt:lpwstr>
  </property>
  <property fmtid="{D5CDD505-2E9C-101B-9397-08002B2CF9AE}" pid="4" name="ICV">
    <vt:lpwstr>6D5DC5F494D4471BA8083D71EF941097_13</vt:lpwstr>
  </property>
</Properties>
</file>