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spacing w:before="120" w:beforeAutospacing="0" w:after="120" w:afterAutospacing="0" w:line="360" w:lineRule="auto"/>
        <w:rPr>
          <w:color w:val="auto"/>
          <w:highlight w:val="none"/>
        </w:rPr>
      </w:pPr>
      <w:r>
        <w:rPr>
          <w:color w:val="auto"/>
          <w:highlight w:val="none"/>
        </w:rPr>
        <w:t xml:space="preserve"> </w:t>
      </w:r>
      <w:r/>
    </w:p>
    <w:p>
      <w:pPr>
        <w:pStyle w:val="85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5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59"/>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9"/>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9"/>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9"/>
        <w:jc w:val="center"/>
        <w:spacing w:before="120" w:beforeAutospacing="0" w:after="120" w:afterAutospacing="0" w:line="360" w:lineRule="auto"/>
        <w:rPr>
          <w:rFonts w:hint="default"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东台市2026年特困供养人员购买第三方照料护理服务项目</w:t>
      </w:r>
      <w:r/>
    </w:p>
    <w:p>
      <w:pPr>
        <w:pStyle w:val="859"/>
        <w:ind w:left="0" w:firstLine="321"/>
        <w:jc w:val="left"/>
        <w:keepLines w:val="0"/>
        <w:keepNext w:val="0"/>
        <w:pageBreakBefore w:val="0"/>
        <w:spacing w:beforeAutospacing="0" w:afterAutospacing="0"/>
        <w:widowControl w:val="off"/>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JSZC-320981-XHZB-G2026-0015</w:t>
      </w:r>
      <w:r/>
    </w:p>
    <w:p>
      <w:pPr>
        <w:pStyle w:val="859"/>
        <w:spacing w:beforeAutospacing="0" w:afterAutospacing="0" w:line="360" w:lineRule="auto"/>
        <w:rPr>
          <w:color w:val="auto"/>
          <w:highlight w:val="none"/>
        </w:rPr>
      </w:pPr>
      <w:r>
        <w:rPr>
          <w:color w:val="auto"/>
          <w:highlight w:val="none"/>
        </w:rPr>
        <w:t xml:space="preserve"> </w:t>
      </w:r>
      <w:r/>
    </w:p>
    <w:p>
      <w:pPr>
        <w:pStyle w:val="859"/>
        <w:spacing w:beforeAutospacing="0" w:afterAutospacing="0" w:line="360" w:lineRule="auto"/>
        <w:rPr>
          <w:color w:val="auto"/>
          <w:highlight w:val="none"/>
        </w:rPr>
      </w:pPr>
      <w:r>
        <w:rPr>
          <w:color w:val="auto"/>
          <w:highlight w:val="none"/>
        </w:rPr>
        <w:t xml:space="preserve"> </w:t>
      </w:r>
      <w:r/>
    </w:p>
    <w:p>
      <w:pPr>
        <w:pStyle w:val="859"/>
        <w:spacing w:beforeAutospacing="0" w:afterAutospacing="0" w:line="360" w:lineRule="auto"/>
        <w:rPr>
          <w:color w:val="auto"/>
          <w:highlight w:val="none"/>
        </w:rPr>
      </w:pPr>
      <w:r>
        <w:rPr>
          <w:color w:val="auto"/>
          <w:highlight w:val="none"/>
        </w:rPr>
        <w:t xml:space="preserve"> </w:t>
      </w:r>
      <w:r/>
    </w:p>
    <w:p>
      <w:pPr>
        <w:pStyle w:val="859"/>
        <w:spacing w:beforeAutospacing="0" w:afterAutospacing="0" w:line="360" w:lineRule="auto"/>
        <w:rPr>
          <w:color w:val="auto"/>
          <w:highlight w:val="none"/>
        </w:rPr>
      </w:pPr>
      <w:r>
        <w:rPr>
          <w:color w:val="auto"/>
          <w:highlight w:val="none"/>
        </w:rPr>
        <w:t xml:space="preserve"> </w:t>
      </w:r>
      <w:r/>
    </w:p>
    <w:p>
      <w:pPr>
        <w:pStyle w:val="859"/>
        <w:spacing w:beforeAutospacing="0" w:afterAutospacing="0" w:line="360" w:lineRule="auto"/>
        <w:rPr>
          <w:color w:val="auto"/>
          <w:highlight w:val="none"/>
        </w:rPr>
      </w:pPr>
      <w:r>
        <w:rPr>
          <w:color w:val="auto"/>
          <w:highlight w:val="none"/>
        </w:rPr>
        <w:t xml:space="preserve"> </w:t>
      </w:r>
      <w:r/>
    </w:p>
    <w:p>
      <w:pPr>
        <w:pStyle w:val="859"/>
        <w:spacing w:beforeAutospacing="0" w:afterAutospacing="0" w:line="360" w:lineRule="auto"/>
        <w:rPr>
          <w:color w:val="auto"/>
          <w:highlight w:val="none"/>
        </w:rPr>
      </w:pPr>
      <w:r>
        <w:rPr>
          <w:color w:val="auto"/>
          <w:highlight w:val="none"/>
        </w:rPr>
        <w:t xml:space="preserve"> </w:t>
      </w:r>
      <w:r/>
    </w:p>
    <w:p>
      <w:pPr>
        <w:pStyle w:val="859"/>
        <w:spacing w:beforeAutospacing="0" w:afterAutospacing="0" w:line="360" w:lineRule="auto"/>
        <w:rPr>
          <w:color w:val="auto"/>
          <w:highlight w:val="none"/>
        </w:rPr>
      </w:pPr>
      <w:r>
        <w:rPr>
          <w:color w:val="auto"/>
          <w:highlight w:val="none"/>
        </w:rPr>
        <w:t xml:space="preserve"> </w:t>
      </w:r>
      <w:r/>
    </w:p>
    <w:p>
      <w:pPr>
        <w:jc w:val="center"/>
        <w:spacing w:line="480" w:lineRule="auto"/>
        <w:rPr>
          <w:rFonts w:hint="eastAsia" w:ascii="Arial" w:hAnsi="Arial" w:eastAsia="宋体" w:cs="Arial"/>
          <w:b/>
          <w:color w:val="auto"/>
          <w:sz w:val="32"/>
          <w:szCs w:val="32"/>
          <w:highlight w:val="none"/>
        </w:rPr>
        <w:outlineLvl w:val="9"/>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bookmarkStart w:id="0" w:name="_Toc31677"/>
      <w:r>
        <w:rPr>
          <w:rFonts w:hint="eastAsia" w:ascii="Arial" w:hAnsi="Arial" w:cs="Arial"/>
          <w:b/>
          <w:color w:val="auto"/>
          <w:sz w:val="32"/>
          <w:szCs w:val="32"/>
          <w:highlight w:val="none"/>
          <w:lang w:val="en-US" w:eastAsia="zh-CN"/>
        </w:rPr>
        <w:t xml:space="preserve">东台市民政局</w:t>
      </w:r>
      <w:r/>
    </w:p>
    <w:p>
      <w:pPr>
        <w:jc w:val="center"/>
        <w:spacing w:line="480" w:lineRule="auto"/>
        <w:rPr>
          <w:rFonts w:hint="eastAsia" w:ascii="宋体" w:hAnsi="宋体" w:eastAsia="宋体" w:cs="宋体"/>
          <w:b/>
          <w:color w:val="auto"/>
          <w:sz w:val="32"/>
          <w:szCs w:val="24"/>
          <w:highlight w:val="none"/>
          <w:lang w:val="en-US" w:eastAsia="zh-CN" w:bidi="ar-SA"/>
        </w:rPr>
        <w:outlineLvl w:val="9"/>
      </w:pPr>
      <w:r>
        <w:rPr>
          <w:rFonts w:hint="eastAsia" w:ascii="Arial" w:hAnsi="Arial" w:eastAsia="宋体" w:cs="Arial"/>
          <w:b/>
          <w:color w:val="auto"/>
          <w:sz w:val="32"/>
          <w:szCs w:val="32"/>
          <w:highlight w:val="none"/>
        </w:rPr>
        <w:t xml:space="preserve">代理机构：</w:t>
      </w:r>
      <w:bookmarkEnd w:id="0"/>
      <w:r>
        <w:rPr>
          <w:rFonts w:hint="eastAsia" w:ascii="Arial" w:hAnsi="Arial" w:eastAsia="宋体" w:cs="Arial"/>
          <w:b/>
          <w:color w:val="auto"/>
          <w:sz w:val="32"/>
          <w:szCs w:val="32"/>
          <w:highlight w:val="none"/>
          <w:lang w:eastAsia="zh-CN"/>
        </w:rPr>
        <w:t xml:space="preserve">东台市兴华招标代理有限公司</w:t>
      </w:r>
      <w:r/>
    </w:p>
    <w:p>
      <w:pPr>
        <w:pStyle w:val="859"/>
        <w:jc w:val="center"/>
        <w:spacing w:before="120" w:beforeAutospacing="0" w:after="120" w:afterAutospacing="0" w:line="360" w:lineRule="auto"/>
        <w:rPr>
          <w:rFonts w:hint="default" w:eastAsiaTheme="minorEastAsia"/>
          <w:color w:val="auto"/>
          <w:highlight w:val="none"/>
          <w:u w:val="single"/>
          <w:lang w:val="en-US" w:eastAsia="zh-CN"/>
        </w:rPr>
      </w:pPr>
      <w:r>
        <w:rPr>
          <w:rFonts w:hint="eastAsia" w:ascii="Arial" w:hAnsi="Arial" w:cs="Arial"/>
          <w:b/>
          <w:color w:val="auto"/>
          <w:sz w:val="32"/>
          <w:szCs w:val="32"/>
          <w:highlight w:val="none"/>
          <w:lang w:val="en-US" w:eastAsia="zh-CN"/>
        </w:rPr>
        <w:t xml:space="preserve">2026年7月23日</w:t>
      </w:r>
      <w:r/>
    </w:p>
    <w:p>
      <w:pPr>
        <w:pStyle w:val="85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59"/>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1" w:name="_Toc513029200"/>
      <w:r/>
      <w:bookmarkStart w:id="2" w:name="_Toc523127445"/>
      <w:r/>
      <w:bookmarkStart w:id="3" w:name="_Toc479757206"/>
      <w:r/>
      <w:bookmarkStart w:id="4" w:name="_Toc120614210"/>
      <w:r/>
      <w:bookmarkStart w:id="5" w:name="_Toc20823272"/>
      <w:r/>
      <w:bookmarkStart w:id="6" w:name="_Toc1693851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7"/>
        <w:keepLines w:val="0"/>
        <w:keepNext w:val="0"/>
        <w:pageBreakBefore w:val="0"/>
        <w:spacing w:line="1000" w:lineRule="exact"/>
        <w:widowControl w:val="off"/>
        <w:tabs>
          <w:tab w:val="right" w:pos="8306" w:leader="dot"/>
        </w:tabs>
        <w:rPr>
          <w:color w:val="auto"/>
          <w:sz w:val="36"/>
          <w:szCs w:val="44"/>
          <w:highlight w:val="none"/>
        </w:rPr>
      </w:pPr>
      <w:r>
        <w:rPr>
          <w:color w:val="auto"/>
          <w:sz w:val="36"/>
          <w:szCs w:val="44"/>
          <w:highlight w:val="none"/>
        </w:rPr>
        <w:fldChar w:fldCharType="begin"/>
      </w:r>
      <w:r>
        <w:rPr>
          <w:color w:val="auto"/>
          <w:sz w:val="36"/>
          <w:szCs w:val="44"/>
          <w:highlight w:val="none"/>
        </w:rPr>
        <w:instrText xml:space="preserve">TOC \o "1-1" \u </w:instrText>
      </w:r>
      <w:r>
        <w:rPr>
          <w:color w:val="auto"/>
          <w:sz w:val="36"/>
          <w:szCs w:val="44"/>
          <w:highlight w:val="none"/>
        </w:rPr>
        <w:fldChar w:fldCharType="separate"/>
      </w:r>
      <w:r>
        <w:rPr>
          <w:rFonts w:hint="eastAsia" w:ascii="黑体" w:hAnsi="宋体" w:eastAsia="黑体" w:cs="黑体"/>
          <w:color w:val="auto"/>
          <w:sz w:val="36"/>
          <w:szCs w:val="72"/>
          <w:highlight w:val="none"/>
        </w:rPr>
        <w:t xml:space="preserve">第一章 </w:t>
      </w:r>
      <w:r>
        <w:rPr>
          <w:rFonts w:hint="eastAsia" w:ascii="黑体" w:hAnsi="宋体" w:eastAsia="黑体" w:cs="黑体"/>
          <w:color w:val="auto"/>
          <w:sz w:val="36"/>
          <w:szCs w:val="72"/>
          <w:highlight w:val="none"/>
          <w:lang w:val="en-US" w:eastAsia="zh-CN"/>
        </w:rPr>
        <w:t xml:space="preserve">招标公告</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_Toc20851 \h </w:instrText>
      </w:r>
      <w:r>
        <w:rPr>
          <w:color w:val="auto"/>
          <w:sz w:val="36"/>
          <w:szCs w:val="44"/>
          <w:highlight w:val="none"/>
        </w:rPr>
        <w:fldChar w:fldCharType="separate"/>
      </w:r>
      <w:r>
        <w:rPr>
          <w:color w:val="auto"/>
          <w:sz w:val="36"/>
          <w:szCs w:val="44"/>
          <w:highlight w:val="none"/>
        </w:rPr>
        <w:t xml:space="preserve">1</w:t>
      </w:r>
      <w:r>
        <w:rPr>
          <w:color w:val="auto"/>
          <w:sz w:val="36"/>
          <w:szCs w:val="44"/>
          <w:highlight w:val="none"/>
        </w:rPr>
        <w:fldChar w:fldCharType="end"/>
      </w:r>
      <w:r/>
    </w:p>
    <w:p>
      <w:pPr>
        <w:pStyle w:val="857"/>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第二章 投标人须知</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_Toc26954 \h </w:instrText>
      </w:r>
      <w:r>
        <w:rPr>
          <w:color w:val="auto"/>
          <w:sz w:val="36"/>
          <w:szCs w:val="44"/>
          <w:highlight w:val="none"/>
        </w:rPr>
        <w:fldChar w:fldCharType="separate"/>
      </w:r>
      <w:r>
        <w:rPr>
          <w:color w:val="auto"/>
          <w:sz w:val="36"/>
          <w:szCs w:val="44"/>
          <w:highlight w:val="none"/>
        </w:rPr>
        <w:t xml:space="preserve">4</w:t>
      </w:r>
      <w:r>
        <w:rPr>
          <w:color w:val="auto"/>
          <w:sz w:val="36"/>
          <w:szCs w:val="44"/>
          <w:highlight w:val="none"/>
        </w:rPr>
        <w:fldChar w:fldCharType="end"/>
      </w:r>
      <w:r/>
    </w:p>
    <w:p>
      <w:pPr>
        <w:pStyle w:val="857"/>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第三章 合同文本</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_Toc31035 \h </w:instrText>
      </w:r>
      <w:r>
        <w:rPr>
          <w:color w:val="auto"/>
          <w:sz w:val="36"/>
          <w:szCs w:val="44"/>
          <w:highlight w:val="none"/>
        </w:rPr>
        <w:fldChar w:fldCharType="separate"/>
      </w:r>
      <w:r>
        <w:rPr>
          <w:color w:val="auto"/>
          <w:sz w:val="36"/>
          <w:szCs w:val="44"/>
          <w:highlight w:val="none"/>
        </w:rPr>
        <w:t xml:space="preserve">15</w:t>
      </w:r>
      <w:r>
        <w:rPr>
          <w:color w:val="auto"/>
          <w:sz w:val="36"/>
          <w:szCs w:val="44"/>
          <w:highlight w:val="none"/>
        </w:rPr>
        <w:fldChar w:fldCharType="end"/>
      </w:r>
      <w:r/>
    </w:p>
    <w:p>
      <w:pPr>
        <w:pStyle w:val="857"/>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第四章 </w:t>
      </w:r>
      <w:r>
        <w:rPr>
          <w:rFonts w:hint="eastAsia" w:ascii="黑体" w:hAnsi="宋体" w:eastAsia="黑体" w:cs="黑体"/>
          <w:color w:val="auto"/>
          <w:sz w:val="36"/>
          <w:szCs w:val="72"/>
          <w:highlight w:val="none"/>
          <w:lang w:val="en-US" w:eastAsia="zh-CN"/>
        </w:rPr>
        <w:t xml:space="preserve"> </w:t>
      </w:r>
      <w:r>
        <w:rPr>
          <w:rFonts w:hint="eastAsia" w:ascii="黑体" w:hAnsi="宋体" w:eastAsia="黑体" w:cs="黑体"/>
          <w:color w:val="auto"/>
          <w:sz w:val="36"/>
          <w:szCs w:val="72"/>
          <w:highlight w:val="none"/>
        </w:rPr>
        <w:t xml:space="preserve">采购需求</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_Toc28983 \h </w:instrText>
      </w:r>
      <w:r>
        <w:rPr>
          <w:color w:val="auto"/>
          <w:sz w:val="36"/>
          <w:szCs w:val="44"/>
          <w:highlight w:val="none"/>
        </w:rPr>
        <w:fldChar w:fldCharType="separate"/>
      </w:r>
      <w:r>
        <w:rPr>
          <w:color w:val="auto"/>
          <w:sz w:val="36"/>
          <w:szCs w:val="44"/>
          <w:highlight w:val="none"/>
        </w:rPr>
        <w:t xml:space="preserve">21</w:t>
      </w:r>
      <w:r>
        <w:rPr>
          <w:color w:val="auto"/>
          <w:sz w:val="36"/>
          <w:szCs w:val="44"/>
          <w:highlight w:val="none"/>
        </w:rPr>
        <w:fldChar w:fldCharType="end"/>
      </w:r>
      <w:r/>
    </w:p>
    <w:p>
      <w:pPr>
        <w:pStyle w:val="857"/>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第五章 评标方法与评标标准</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_Toc18249 \h </w:instrText>
      </w:r>
      <w:r>
        <w:rPr>
          <w:color w:val="auto"/>
          <w:sz w:val="36"/>
          <w:szCs w:val="44"/>
          <w:highlight w:val="none"/>
        </w:rPr>
        <w:fldChar w:fldCharType="separate"/>
      </w:r>
      <w:r>
        <w:rPr>
          <w:color w:val="auto"/>
          <w:sz w:val="36"/>
          <w:szCs w:val="44"/>
          <w:highlight w:val="none"/>
        </w:rPr>
        <w:t xml:space="preserve">28</w:t>
      </w:r>
      <w:r>
        <w:rPr>
          <w:color w:val="auto"/>
          <w:sz w:val="36"/>
          <w:szCs w:val="44"/>
          <w:highlight w:val="none"/>
        </w:rPr>
        <w:fldChar w:fldCharType="end"/>
      </w:r>
      <w:r/>
    </w:p>
    <w:p>
      <w:pPr>
        <w:pStyle w:val="857"/>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第六章 投标文件格式</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_Toc10935 \h </w:instrText>
      </w:r>
      <w:r>
        <w:rPr>
          <w:color w:val="auto"/>
          <w:sz w:val="36"/>
          <w:szCs w:val="44"/>
          <w:highlight w:val="none"/>
        </w:rPr>
        <w:fldChar w:fldCharType="separate"/>
      </w:r>
      <w:r>
        <w:rPr>
          <w:color w:val="auto"/>
          <w:sz w:val="36"/>
          <w:szCs w:val="44"/>
          <w:highlight w:val="none"/>
        </w:rPr>
        <w:t xml:space="preserve">33</w:t>
      </w:r>
      <w:r>
        <w:rPr>
          <w:color w:val="auto"/>
          <w:sz w:val="36"/>
          <w:szCs w:val="44"/>
          <w:highlight w:val="none"/>
        </w:rPr>
        <w:fldChar w:fldCharType="end"/>
      </w:r>
      <w:r/>
    </w:p>
    <w:p>
      <w:pPr>
        <w:pStyle w:val="859"/>
        <w:jc w:val="both"/>
        <w:keepLines w:val="0"/>
        <w:keepNext w:val="0"/>
        <w:pageBreakBefore w:val="0"/>
        <w:spacing w:beforeAutospacing="0" w:afterAutospacing="0" w:line="1000" w:lineRule="exact"/>
        <w:widowControl w:val="off"/>
        <w:rPr>
          <w:color w:val="auto"/>
          <w:highlight w:val="none"/>
        </w:rPr>
      </w:pPr>
      <w:r>
        <w:rPr>
          <w:color w:val="auto"/>
          <w:sz w:val="44"/>
          <w:szCs w:val="44"/>
          <w:highlight w:val="none"/>
        </w:rPr>
        <w:fldChar w:fldCharType="end"/>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0"/>
      </w:pPr>
      <w:r/>
      <w:bookmarkStart w:id="7" w:name="_Toc20851"/>
      <w:r/>
      <w:r/>
    </w:p>
    <w:p>
      <w:pPr>
        <w:pStyle w:val="859"/>
        <w:jc w:val="center"/>
        <w:keepNext/>
        <w:spacing w:beforeAutospacing="0" w:afterAutospacing="0"/>
        <w:rPr>
          <w:rFonts w:hint="default" w:eastAsia="黑体"/>
          <w:color w:val="auto"/>
          <w:highlight w:val="none"/>
          <w:lang w:val="en-US" w:eastAsia="zh-CN"/>
        </w:rPr>
        <w:outlineLvl w:val="0"/>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bookmarkEnd w:id="7"/>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东台市2026年特困供养人员购买第三方照料护理服务项目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non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8</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13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08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85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8" w:name="_Toc38985263"/>
      <w:r/>
      <w:bookmarkStart w:id="9" w:name="_Hlk24379207"/>
      <w:r/>
      <w:bookmarkStart w:id="10" w:name="_Toc28359002"/>
      <w:r/>
      <w:bookmarkStart w:id="11" w:name="_Toc35393790"/>
      <w:r/>
      <w:bookmarkStart w:id="12" w:name="_Toc28359079"/>
      <w:r/>
      <w:bookmarkStart w:id="13" w:name="_Toc35393621"/>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859"/>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JSZC-320981-XHZB-G2026-0015</w:t>
      </w:r>
      <w:r/>
    </w:p>
    <w:p>
      <w:pPr>
        <w:pStyle w:val="859"/>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东台市2026年特困供养人员购买第三方照料护理服务项目</w:t>
      </w:r>
      <w:r/>
    </w:p>
    <w:p>
      <w:pPr>
        <w:pStyle w:val="859"/>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59"/>
        <w:ind w:left="0"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default" w:ascii="宋体" w:hAnsi="宋体" w:eastAsia="宋体" w:cs="宋体"/>
          <w:color w:val="auto"/>
          <w:sz w:val="24"/>
          <w:szCs w:val="24"/>
          <w:highlight w:val="none"/>
          <w:lang w:val="en-US" w:eastAsia="zh-CN"/>
        </w:rPr>
        <w:t xml:space="preserve">包一：4135800元</w:t>
      </w:r>
      <w:r>
        <w:rPr>
          <w:rFonts w:hint="eastAsia" w:ascii="宋体" w:hAnsi="宋体" w:eastAsia="宋体" w:cs="宋体"/>
          <w:color w:val="auto"/>
          <w:sz w:val="24"/>
          <w:szCs w:val="24"/>
          <w:highlight w:val="none"/>
          <w:lang w:val="en-US" w:eastAsia="zh-CN"/>
        </w:rPr>
        <w:t xml:space="preserve">；包二：4302588元；包三：4477512元。</w:t>
      </w:r>
      <w:r/>
    </w:p>
    <w:p>
      <w:pPr>
        <w:pStyle w:val="859"/>
        <w:ind w:left="0"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本项目为固定单价：具体详见第四章采购需求。</w:t>
      </w:r>
      <w:r/>
    </w:p>
    <w:p>
      <w:pPr>
        <w:pStyle w:val="859"/>
        <w:ind w:left="0"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p>
    <w:p>
      <w:p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盐城市特困人员认定和救助供养实施细则》等文件精神和上级部门要求，完善特困供养人员管理服务的需要，拟采取购买第三方服务的方式对全市全自理、半护理、全护理特困供养人员提供照料护理，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文件第四章。</w:t>
      </w:r>
      <w:r>
        <w:rPr>
          <w:rFonts w:hint="eastAsia" w:ascii="宋体" w:hAnsi="宋体" w:eastAsia="宋体" w:cs="宋体"/>
          <w:color w:val="auto"/>
          <w:sz w:val="24"/>
          <w:szCs w:val="24"/>
          <w:highlight w:val="none"/>
          <w:lang w:val="en-US" w:eastAsia="zh-CN"/>
        </w:rPr>
        <w:t xml:space="preserve">本次招标共分三个包：</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包一：富安镇、唐洋镇、许河镇、新街镇（937人），全年新增约67人。</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包二：东台镇、高新区、开发区、西溪景区、溱东镇、时堰镇、五烈镇（946人），全年新增约67人。</w:t>
      </w:r>
      <w:r/>
    </w:p>
    <w:p>
      <w:p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包三：</w:t>
      </w:r>
      <w:r>
        <w:rPr>
          <w:rFonts w:hint="eastAsia" w:ascii="宋体" w:hAnsi="宋体" w:eastAsia="宋体" w:cs="宋体"/>
          <w:color w:val="auto"/>
          <w:sz w:val="24"/>
          <w:szCs w:val="24"/>
          <w:highlight w:val="none"/>
          <w:lang w:val="en-US" w:eastAsia="zh-CN"/>
        </w:rPr>
        <w:t xml:space="preserve">梁垛镇、安丰镇、南沈灶镇、三仓镇、头灶镇、弶港镇、新曹农场、弶港农场（992人），全年新增约66人。</w:t>
      </w:r>
      <w:r/>
    </w:p>
    <w:p>
      <w:pPr>
        <w:ind w:firstLine="482"/>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注：本项目供应商可</w:t>
      </w:r>
      <w:r>
        <w:rPr>
          <w:rFonts w:hint="eastAsia" w:ascii="宋体" w:hAnsi="宋体" w:eastAsia="宋体" w:cs="宋体"/>
          <w:b/>
          <w:bCs/>
          <w:color w:val="auto"/>
          <w:sz w:val="24"/>
          <w:szCs w:val="24"/>
          <w:highlight w:val="none"/>
          <w:lang w:val="en-US" w:eastAsia="zh-CN"/>
        </w:rPr>
        <w:t xml:space="preserve">以同时参与上述三个包投标，但只能中一个包，兼投不兼中，评标顺序包一、包二、包三。在前面采购包中标的供应商，在后续采购包中不再参与评审。中标后中标人如因自身原因无法履行合同义务，采购人有权取消其中标资格，并依据评标排名顺序确定下一候选人为中标人，或重新组织招标。中标人需严格按照招标文件及合同约定，配备具备相应资质的护理人员，确保护理服务质量与安全性。各包服务内容涵盖生活照料、基础护理及心理慰藉等，具体标准须符合行业规范及采购人要求。供应商应充分评估自身服务能力，理性选择投标包次，确保履约能力与服务需求相匹配。</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lang w:eastAsia="zh-CN"/>
        </w:rPr>
      </w:r>
      <w:r>
        <w:rPr>
          <w:rFonts w:hint="eastAsia" w:ascii="宋体" w:hAnsi="宋体" w:eastAsia="宋体" w:cs="宋体"/>
          <w:color w:val="auto"/>
          <w:sz w:val="24"/>
          <w:szCs w:val="24"/>
          <w:highlight w:val="none"/>
          <w:lang w:val="en-US" w:eastAsia="zh-CN"/>
        </w:rPr>
        <w:t xml:space="preserve">各单价：特困人员照料护理服务标准按照完全丧失生活自理能力、部分丧失生活自理能力、具备生活自理能力三档，分别为每人每月678元、339元、113元。</w:t>
      </w:r>
      <w:r>
        <w:rPr>
          <w:rFonts w:hint="eastAsia" w:ascii="宋体" w:hAnsi="宋体" w:eastAsia="宋体" w:cs="宋体"/>
          <w:color w:val="auto"/>
          <w:sz w:val="24"/>
          <w:szCs w:val="24"/>
          <w:highlight w:val="none"/>
          <w:lang w:eastAsia="zh-CN"/>
        </w:rPr>
      </w:r>
      <w:r/>
    </w:p>
    <w:p>
      <w:pPr>
        <w:pStyle w:val="859"/>
        <w:ind w:left="0"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1年（365天）</w:t>
      </w:r>
      <w:r>
        <w:rPr>
          <w:rFonts w:hint="eastAsia" w:ascii="宋体" w:hAnsi="宋体" w:eastAsia="宋体" w:cs="宋体"/>
          <w:color w:val="auto"/>
          <w:sz w:val="24"/>
          <w:szCs w:val="24"/>
          <w:highlight w:val="none"/>
        </w:rPr>
        <w:t xml:space="preserve">。</w:t>
      </w:r>
      <w:r/>
    </w:p>
    <w:p>
      <w:pPr>
        <w:pStyle w:val="859"/>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本项目不接受联合体参与投标</w:t>
      </w:r>
      <w:r>
        <w:rPr>
          <w:rFonts w:hint="eastAsia" w:ascii="宋体" w:hAnsi="宋体" w:eastAsia="宋体" w:cs="宋体"/>
          <w:color w:val="auto"/>
          <w:sz w:val="24"/>
          <w:szCs w:val="24"/>
          <w:highlight w:val="none"/>
          <w:lang w:eastAsia="zh-CN"/>
        </w:rPr>
        <w:t xml:space="preserve">。</w:t>
      </w:r>
      <w:r/>
    </w:p>
    <w:p>
      <w:pPr>
        <w:pStyle w:val="85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4" w:name="_Toc38985264"/>
      <w:r/>
      <w:bookmarkStart w:id="15" w:name="_Toc35393622"/>
      <w:r/>
      <w:bookmarkStart w:id="16" w:name="_Toc28359003"/>
      <w:r/>
      <w:bookmarkStart w:id="17" w:name="_Toc35393791"/>
      <w:r/>
      <w:bookmarkStart w:id="18" w:name="_Toc28359080"/>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859"/>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59"/>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59"/>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59"/>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59"/>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9"/>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59"/>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59"/>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9"/>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59"/>
        <w:ind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本项目为专门面向</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rPr>
        <w:t xml:space="preserve">小微企业采购的项目,供应商必须为</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rPr>
        <w:t xml:space="preserve">小微企业，不接受非</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rPr>
        <w:t xml:space="preserve">小微型企业参与本项目投标。</w:t>
      </w:r>
      <w:r>
        <w:rPr>
          <w:rFonts w:hint="eastAsia" w:ascii="宋体" w:hAnsi="宋体" w:eastAsia="宋体" w:cs="宋体"/>
          <w:color w:val="auto"/>
          <w:sz w:val="24"/>
          <w:szCs w:val="24"/>
          <w:highlight w:val="none"/>
        </w:rPr>
        <w:t xml:space="preserve">因本项目专门面向</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小微企业采购，故不再执行价格评审优惠的扶持政策。供应商须提供</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小微企业声明函或监狱企业声明函或残疾人福利性单位声明函。</w:t>
      </w:r>
      <w:r/>
    </w:p>
    <w:p>
      <w:pPr>
        <w:pStyle w:val="859"/>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59"/>
        <w:ind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（1）投标人如委托被授权人参与，则被授权人须为本单位正式职工并提供投标人为被授权人缴纳的社会养老保险证明。</w:t>
      </w:r>
      <w:r/>
    </w:p>
    <w:p>
      <w:pPr>
        <w:pStyle w:val="85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9" w:name="_Toc28359005"/>
      <w:r/>
      <w:bookmarkStart w:id="20" w:name="_Toc28359082"/>
      <w:r/>
      <w:bookmarkStart w:id="21" w:name="_Toc35393793"/>
      <w:r/>
      <w:bookmarkStart w:id="22" w:name="_Toc38985266"/>
      <w:r/>
      <w:bookmarkStart w:id="23"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5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时间：2026年8月13日</w:t>
      </w:r>
      <w:r>
        <w:rPr>
          <w:rFonts w:hint="eastAsia" w:ascii="宋体" w:hAnsi="宋体" w:eastAsia="宋体" w:cs="宋体"/>
          <w:color w:val="auto"/>
          <w:sz w:val="24"/>
          <w:szCs w:val="24"/>
          <w:highlight w:val="none"/>
          <w:lang w:val="en-US" w:eastAsia="zh-CN" w:bidi="ar-SA"/>
        </w:rPr>
        <w:t xml:space="preserve">08点30分</w:t>
      </w:r>
      <w:r>
        <w:rPr>
          <w:rFonts w:hint="eastAsia" w:ascii="宋体" w:hAnsi="宋体" w:eastAsia="宋体" w:cs="宋体"/>
          <w:color w:val="auto"/>
          <w:sz w:val="24"/>
          <w:szCs w:val="24"/>
          <w:highlight w:val="none"/>
          <w:lang w:val="en-US" w:eastAsia="zh-CN" w:bidi="ar-SA"/>
        </w:rPr>
        <w:t xml:space="preserve">（北京时间）</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85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4" w:name="_Toc28359007"/>
      <w:r/>
      <w:bookmarkStart w:id="25" w:name="_Toc38985267"/>
      <w:r/>
      <w:bookmarkStart w:id="26" w:name="_Toc35393794"/>
      <w:r/>
      <w:bookmarkStart w:id="27" w:name="_Toc35393625"/>
      <w:r/>
      <w:bookmarkStart w:id="28" w:name="_Toc2835908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859"/>
        <w:ind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8985268"/>
      <w:r/>
      <w:bookmarkStart w:id="31"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85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59"/>
        <w:ind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jc w:val="both"/>
        <w:pageBreakBefore w:val="0"/>
        <w:spacing w:line="48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ind w:left="0" w:firstLine="480"/>
        <w:jc w:val="both"/>
        <w:keepLines w:val="0"/>
        <w:keepNext w:val="0"/>
        <w:pageBreakBefore w:val="0"/>
        <w:spacing w:line="48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both"/>
        <w:keepLines w:val="0"/>
        <w:keepNext w:val="0"/>
        <w:pageBreakBefore w:val="0"/>
        <w:spacing w:line="480" w:lineRule="exact"/>
        <w:widowControl/>
        <w:rPr>
          <w:rFonts w:hint="eastAsia" w:ascii="宋体" w:hAnsi="宋体" w:eastAsia="宋体" w:cs="宋体"/>
          <w:b w:val="0"/>
          <w:bCs w:val="0"/>
          <w:i w:val="0"/>
          <w:iCs w:val="0"/>
          <w:caps w:val="0"/>
          <w:color w:val="auto"/>
          <w:spacing w:val="0"/>
          <w:sz w:val="24"/>
          <w:szCs w:val="24"/>
          <w:highlight w:val="none"/>
          <w:u w:val="none"/>
          <w:shd w:val="clear" w:color="auto" w:fill="ffffff"/>
        </w:rP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2"/>
      <w:r/>
      <w:bookmarkStart w:id="33" w:name="_Toc28359009"/>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1.采购人信息</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名 称：东台市民政局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地址：东台市新民南路9号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联系人：丁女士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联系方式：15951864063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2.采购代理机构信息</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名 称：东台市兴华招标代理有限公司</w:t>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地 址：东台市东达翰林缘商铺12-104号</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联系人：吴先生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w:t>
      </w:r>
      <w:bookmarkStart w:id="34" w:name="_Toc28359010"/>
      <w:r/>
      <w:bookmarkStart w:id="35" w:name="_Toc28359087"/>
      <w:r>
        <w:rPr>
          <w:rFonts w:hint="eastAsia" w:ascii="宋体" w:hAnsi="宋体" w:eastAsia="宋体" w:cs="宋体"/>
          <w:color w:val="auto"/>
          <w:sz w:val="24"/>
          <w:szCs w:val="24"/>
          <w:highlight w:val="none"/>
          <w:shd w:val="clear" w:color="auto" w:fill="ffffff"/>
          <w:lang w:val="en-US" w:eastAsia="zh-CN" w:bidi="ar-SA"/>
        </w:rPr>
        <w:t xml:space="preserve">13655118166       </w:t>
      </w:r>
      <w:bookmarkEnd w:id="34"/>
      <w:r/>
      <w:bookmarkEnd w:id="35"/>
      <w:r/>
      <w:bookmarkStart w:id="36" w:name="_Toc28359021"/>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3.</w:t>
      </w:r>
      <w:bookmarkEnd w:id="36"/>
      <w:r>
        <w:rPr>
          <w:rFonts w:hint="eastAsia" w:ascii="宋体" w:hAnsi="宋体" w:eastAsia="宋体" w:cs="宋体"/>
          <w:color w:val="auto"/>
          <w:sz w:val="24"/>
          <w:szCs w:val="24"/>
          <w:highlight w:val="none"/>
          <w:shd w:val="clear" w:color="auto" w:fill="ffffff"/>
          <w:lang w:val="en-US" w:eastAsia="zh-CN" w:bidi="ar-SA"/>
        </w:rPr>
        <w:t xml:space="preserve">项目联系方式</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项目联系人：吴先生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w:t>
      </w:r>
      <w:r>
        <w:rPr>
          <w:rFonts w:hint="eastAsia" w:ascii="宋体" w:hAnsi="宋体" w:eastAsia="宋体" w:cs="宋体"/>
          <w:color w:val="auto"/>
          <w:sz w:val="24"/>
          <w:szCs w:val="24"/>
          <w:highlight w:val="none"/>
          <w:shd w:val="clear" w:color="auto" w:fill="ffffff"/>
          <w:lang w:val="en-US" w:eastAsia="zh-CN" w:bidi="ar-SA"/>
        </w:rPr>
        <w:t xml:space="preserve">13655118166</w:t>
      </w:r>
      <w:r>
        <w:rPr>
          <w:rFonts w:hint="eastAsia" w:ascii="宋体" w:hAnsi="宋体" w:eastAsia="宋体" w:cs="宋体"/>
          <w:color w:val="auto"/>
          <w:sz w:val="24"/>
          <w:szCs w:val="24"/>
          <w:highlight w:val="none"/>
          <w:shd w:val="clear" w:color="auto" w:fill="ffffff"/>
          <w:lang w:val="en-US" w:eastAsia="zh-CN" w:bidi="ar-SA"/>
        </w:rPr>
        <w:t xml:space="preserve"> </w:t>
      </w:r>
      <w:r>
        <w:rPr>
          <w:rFonts w:hint="default" w:ascii="宋体" w:hAnsi="宋体" w:eastAsia="宋体" w:cs="宋体"/>
          <w:color w:val="auto"/>
          <w:sz w:val="24"/>
          <w:szCs w:val="24"/>
          <w:highlight w:val="none"/>
          <w:shd w:val="clear" w:color="auto" w:fill="ffffff"/>
          <w:lang w:val="en-US" w:eastAsia="zh-CN" w:bidi="ar-SA"/>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shd w:val="clear" w:color="auto" w:fill="ffffff"/>
          <w:lang w:val="en-US" w:eastAsia="zh-CN" w:bidi="ar-SA"/>
        </w:rPr>
      </w:r>
      <w:r>
        <w:rPr>
          <w:rFonts w:hint="default" w:ascii="宋体" w:hAnsi="宋体" w:eastAsia="宋体" w:cs="宋体"/>
          <w:color w:val="auto"/>
          <w:sz w:val="24"/>
          <w:szCs w:val="24"/>
          <w:highlight w:val="none"/>
          <w:shd w:val="clear" w:color="auto" w:fill="ffffff"/>
          <w:lang w:val="en-US" w:eastAsia="zh-CN" w:bidi="ar-SA"/>
        </w:rPr>
      </w:r>
      <w:r/>
    </w:p>
    <w:p>
      <w:pPr>
        <w:ind w:firstLine="480"/>
        <w:jc w:val="center"/>
        <w:keepLines w:val="0"/>
        <w:keepNext w:val="0"/>
        <w:pageBreakBefore w:val="0"/>
        <w:spacing w:line="480" w:lineRule="exact"/>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r>
      <w:bookmarkStart w:id="37" w:name="_Toc120614211"/>
      <w:r/>
      <w:bookmarkStart w:id="38" w:name="_Toc26954"/>
      <w:r>
        <w:rPr>
          <w:rFonts w:hint="eastAsia" w:ascii="黑体" w:hAnsi="宋体" w:eastAsia="黑体" w:cs="黑体"/>
          <w:b/>
          <w:color w:val="auto"/>
          <w:sz w:val="44"/>
          <w:szCs w:val="44"/>
          <w:highlight w:val="none"/>
        </w:rPr>
        <w:t xml:space="preserve">第二章 </w:t>
      </w:r>
      <w:bookmarkEnd w:id="37"/>
      <w:r/>
      <w:bookmarkStart w:id="39" w:name="_Toc20823274"/>
      <w:r/>
      <w:bookmarkStart w:id="40" w:name="_Toc513029202"/>
      <w:r/>
      <w:bookmarkStart w:id="41" w:name="_Toc120614213"/>
      <w:r/>
      <w:bookmarkStart w:id="42" w:name="_Toc16938518"/>
      <w:r>
        <w:rPr>
          <w:rFonts w:hint="eastAsia" w:ascii="黑体" w:hAnsi="宋体" w:eastAsia="黑体" w:cs="黑体"/>
          <w:b/>
          <w:color w:val="auto"/>
          <w:sz w:val="44"/>
          <w:szCs w:val="44"/>
          <w:highlight w:val="none"/>
        </w:rPr>
        <w:t xml:space="preserve">投标人须知</w:t>
      </w:r>
      <w:bookmarkEnd w:id="38"/>
      <w:r/>
      <w:bookmarkEnd w:id="39"/>
      <w:r/>
      <w:bookmarkEnd w:id="40"/>
      <w:r/>
      <w:bookmarkEnd w:id="41"/>
      <w:r/>
      <w:bookmarkEnd w:id="42"/>
      <w:r>
        <w:rPr>
          <w:rFonts w:hint="default" w:ascii="宋体" w:hAnsi="宋体" w:eastAsia="宋体" w:cs="宋体"/>
          <w:color w:val="auto"/>
          <w:sz w:val="24"/>
          <w:szCs w:val="24"/>
          <w:highlight w:val="none"/>
          <w:shd w:val="clear" w:color="auto" w:fill="ffffff"/>
          <w:lang w:val="en-US" w:eastAsia="zh-CN" w:bidi="ar-SA"/>
        </w:rPr>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3" w:name="_Toc20823275"/>
      <w:r/>
      <w:bookmarkStart w:id="44" w:name="_Toc16938519"/>
      <w:r/>
      <w:bookmarkStart w:id="45" w:name="_Toc513029203"/>
      <w:r/>
      <w:bookmarkStart w:id="46" w:name="_Toc120614214"/>
      <w:r/>
      <w:bookmarkStart w:id="47" w:name="_Hlt26954850"/>
      <w:r/>
      <w:bookmarkStart w:id="48" w:name="_Hlt26670425"/>
      <w:r/>
      <w:bookmarkStart w:id="49" w:name="_Hlt26670403"/>
      <w:r/>
      <w:bookmarkStart w:id="50" w:name="_Hlt26954840"/>
      <w:r/>
      <w:bookmarkStart w:id="51" w:name="_Hlt26954848"/>
      <w:r/>
      <w:bookmarkStart w:id="52" w:name="_Hlt26954731"/>
      <w:r/>
      <w:bookmarkStart w:id="53" w:name="_Hlt26954846"/>
      <w:r/>
      <w:bookmarkStart w:id="54" w:name="_Hlt26670373"/>
      <w:r/>
      <w:bookmarkStart w:id="55" w:name="_Hlt26668975"/>
      <w:r/>
      <w:bookmarkStart w:id="56" w:name="_Hlt26954734"/>
      <w:r/>
      <w:bookmarkStart w:id="57" w:name="_Hlt26668983"/>
      <w:r/>
      <w:bookmarkStart w:id="58" w:name="_Hlt26670489"/>
      <w:r/>
      <w:bookmarkStart w:id="59" w:name="_Toc513029226"/>
      <w:r/>
      <w:bookmarkStart w:id="60" w:name="_Hlt26670482"/>
      <w:r/>
      <w:bookmarkStart w:id="61" w:name="_Hlt26670360"/>
      <w:r/>
      <w:bookmarkStart w:id="62" w:name="_Hlt16619475"/>
      <w:r/>
      <w:bookmarkStart w:id="63" w:name="_Hlt26954844"/>
      <w:r/>
      <w:bookmarkStart w:id="64" w:name="_Hlt26670486"/>
      <w:r/>
      <w:bookmarkStart w:id="65" w:name="_Hlt26954842"/>
      <w:r/>
      <w:bookmarkStart w:id="66" w:name="_Hlt26954852"/>
      <w:r/>
      <w:bookmarkStart w:id="67" w:name="_Hlt26954838"/>
      <w:r/>
      <w:bookmarkStart w:id="68" w:name="_Hlt26954739"/>
      <w:r/>
      <w:bookmarkStart w:id="69" w:name="_Hlt26670399"/>
      <w:r>
        <w:rPr>
          <w:rFonts w:hint="eastAsia" w:ascii="宋体" w:hAnsi="宋体" w:eastAsia="宋体" w:cs="宋体"/>
          <w:b/>
          <w:color w:val="auto"/>
          <w:sz w:val="24"/>
          <w:szCs w:val="24"/>
          <w:highlight w:val="none"/>
        </w:rPr>
        <w:t xml:space="preserve">一、总则</w:t>
      </w:r>
      <w:bookmarkEnd w:id="43"/>
      <w:r/>
      <w:bookmarkEnd w:id="44"/>
      <w:r/>
      <w:bookmarkEnd w:id="45"/>
      <w:r/>
      <w:bookmarkEnd w:id="46"/>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0" w:name="_Toc16938520"/>
      <w:r/>
      <w:bookmarkStart w:id="71" w:name="_Toc20823276"/>
      <w:r/>
      <w:bookmarkStart w:id="72" w:name="_Toc513029204"/>
      <w:r/>
      <w:bookmarkStart w:id="73" w:name="_Toc458694821"/>
      <w:r>
        <w:rPr>
          <w:rFonts w:hint="eastAsia" w:ascii="宋体" w:hAnsi="宋体" w:eastAsia="宋体" w:cs="宋体"/>
          <w:color w:val="auto"/>
          <w:sz w:val="24"/>
          <w:szCs w:val="24"/>
          <w:highlight w:val="none"/>
          <w:lang w:eastAsia="zh-CN"/>
        </w:rPr>
        <w:t xml:space="preserve">1.</w:t>
      </w:r>
      <w:bookmarkEnd w:id="70"/>
      <w:r>
        <w:rPr>
          <w:rFonts w:hint="eastAsia" w:ascii="宋体" w:hAnsi="宋体" w:eastAsia="宋体" w:cs="宋体"/>
          <w:color w:val="auto"/>
          <w:sz w:val="24"/>
          <w:szCs w:val="24"/>
          <w:highlight w:val="none"/>
        </w:rPr>
        <w:t xml:space="preserve">招标方式</w:t>
      </w:r>
      <w:bookmarkEnd w:id="71"/>
      <w:r/>
      <w:bookmarkEnd w:id="72"/>
      <w:r/>
      <w:bookmarkEnd w:id="73"/>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bookmarkStart w:id="74" w:name="_Toc16938521"/>
      <w:r/>
      <w:bookmarkStart w:id="75" w:name="_Toc513029205"/>
      <w:r/>
      <w:bookmarkStart w:id="76" w:name="_Toc20823277"/>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74"/>
      <w:r/>
      <w:bookmarkEnd w:id="75"/>
      <w:r/>
      <w:bookmarkEnd w:id="76"/>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规定。</w:t>
      </w:r>
      <w:bookmarkStart w:id="77" w:name="_Toc513029206"/>
      <w:r/>
      <w:bookmarkStart w:id="78" w:name="_Toc20823278"/>
      <w:r/>
      <w:bookmarkStart w:id="79" w:name="_Toc16938522"/>
      <w:r/>
      <w:bookmarkStart w:id="80" w:name="_Toc16938523"/>
      <w:r/>
      <w:bookmarkStart w:id="81" w:name="_Toc513029207"/>
      <w:r/>
      <w:bookmarkStart w:id="82" w:name="_Toc462564067"/>
      <w:r/>
      <w:bookmarkStart w:id="83" w:name="_Toc20823279"/>
      <w:r/>
      <w:r/>
    </w:p>
    <w:p>
      <w:pPr>
        <w:pStyle w:val="859"/>
        <w:ind w:left="0" w:firstLine="480"/>
        <w:jc w:val="both"/>
        <w:keepLines/>
        <w:keepNext/>
        <w:pageBreakBefore w:val="0"/>
        <w:spacing w:beforeAutospacing="0" w:afterAutospacing="0" w:line="480" w:lineRule="exact"/>
        <w:widowControl w:val="off"/>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lang w:eastAsia="zh-CN"/>
        </w:rPr>
        <w:t xml:space="preserve">3.</w:t>
      </w:r>
      <w:r>
        <w:rPr>
          <w:rFonts w:hint="eastAsia" w:ascii="方正魏碑_GBK" w:hAnsi="方正魏碑_GBK" w:eastAsia="方正魏碑_GBK" w:cs="方正魏碑_GBK"/>
          <w:color w:val="auto"/>
          <w:sz w:val="24"/>
          <w:szCs w:val="21"/>
          <w:highlight w:val="none"/>
        </w:rPr>
        <w:t xml:space="preserve">适用法律</w:t>
      </w:r>
      <w:bookmarkEnd w:id="77"/>
      <w:r/>
      <w:bookmarkEnd w:id="78"/>
      <w:r/>
      <w:bookmarkEnd w:id="79"/>
      <w:r>
        <w:rPr>
          <w:rFonts w:hint="eastAsia" w:ascii="方正魏碑_GBK" w:hAnsi="方正魏碑_GBK" w:eastAsia="方正魏碑_GBK" w:cs="方正魏碑_GBK"/>
          <w:color w:val="auto"/>
          <w:sz w:val="24"/>
          <w:szCs w:val="21"/>
          <w:highlight w:val="none"/>
        </w:rPr>
        <w:t xml:space="preserve">和标准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80"/>
      <w:r/>
      <w:bookmarkEnd w:id="81"/>
      <w:r/>
      <w:bookmarkEnd w:id="82"/>
      <w:r/>
      <w:bookmarkEnd w:id="83"/>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4.1投标人应自行承担所有与参加投标有关的费用，无论投标过程中的做法和结果如何，采购人在任何情况下均无义务和责任承担这些费用。</w:t>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采购人及代理机构不收取标书工本费与中标服务费。</w:t>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5.</w:t>
      </w:r>
      <w:r>
        <w:rPr>
          <w:rFonts w:hint="eastAsia" w:ascii="宋体" w:hAnsi="宋体" w:eastAsia="宋体" w:cs="宋体"/>
          <w:b w:val="0"/>
          <w:bCs/>
          <w:color w:val="auto"/>
          <w:sz w:val="24"/>
          <w:szCs w:val="24"/>
          <w:highlight w:val="none"/>
        </w:rPr>
        <w:t xml:space="preserve">招标文件的约束力</w:t>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20823281"/>
      <w:r/>
      <w:bookmarkStart w:id="85" w:name="_Toc120614215"/>
      <w:r/>
      <w:bookmarkStart w:id="86" w:name="_Toc513029209"/>
      <w:r/>
      <w:bookmarkStart w:id="87" w:name="_Toc16938525"/>
      <w:r>
        <w:rPr>
          <w:rFonts w:hint="eastAsia" w:ascii="宋体" w:hAnsi="宋体" w:eastAsia="宋体" w:cs="宋体"/>
          <w:b/>
          <w:color w:val="auto"/>
          <w:sz w:val="24"/>
          <w:szCs w:val="24"/>
          <w:highlight w:val="none"/>
        </w:rPr>
        <w:t xml:space="preserve">二、招标文件</w:t>
      </w:r>
      <w:bookmarkEnd w:id="84"/>
      <w:r/>
      <w:bookmarkEnd w:id="85"/>
      <w:r/>
      <w:bookmarkEnd w:id="86"/>
      <w:r/>
      <w:bookmarkEnd w:id="87"/>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8" w:name="_Toc513029210"/>
      <w:r/>
      <w:bookmarkStart w:id="89" w:name="_Toc16938526"/>
      <w:r/>
      <w:bookmarkStart w:id="90" w:name="_Toc20823282"/>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88"/>
      <w:r/>
      <w:bookmarkEnd w:id="89"/>
      <w:r/>
      <w:bookmarkEnd w:id="90"/>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请仔细检查招标文件是否齐全，如有缺漏请立即与采购人或代理机构联系解决。</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91" w:name="_Toc513029211"/>
      <w:r/>
      <w:bookmarkStart w:id="92" w:name="_Toc16938527"/>
      <w:r/>
      <w:bookmarkStart w:id="93" w:name="_Toc20823283"/>
      <w:r/>
      <w:bookmarkStart w:id="94" w:name="_Toc462564070"/>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91"/>
      <w:r/>
      <w:bookmarkEnd w:id="92"/>
      <w:r/>
      <w:bookmarkEnd w:id="93"/>
      <w:r/>
      <w:bookmarkEnd w:id="94"/>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bookmarkStart w:id="95" w:name="_Toc20823284"/>
      <w:r/>
      <w:bookmarkStart w:id="96" w:name="_Toc16938528"/>
      <w:r/>
      <w:bookmarkStart w:id="97" w:name="_Toc513029212"/>
      <w:r/>
      <w:bookmarkStart w:id="98" w:name="_Toc462564071"/>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95"/>
      <w:r/>
      <w:bookmarkEnd w:id="96"/>
      <w:r/>
      <w:bookmarkEnd w:id="97"/>
      <w:r/>
      <w:bookmarkEnd w:id="98"/>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前，采购人可以对招标文件进行修改。</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8.2采购人有权按照法定的要求推迟投标截止日期和开标日期。</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9" w:name="_Toc20823285"/>
      <w:r/>
      <w:bookmarkStart w:id="100" w:name="_Toc16938529"/>
      <w:r/>
      <w:bookmarkStart w:id="101" w:name="_Toc462564072"/>
      <w:r/>
      <w:bookmarkStart w:id="102" w:name="_Toc120614216"/>
      <w:r/>
      <w:bookmarkStart w:id="103" w:name="_Toc513029213"/>
      <w:r>
        <w:rPr>
          <w:rFonts w:hint="eastAsia" w:ascii="宋体" w:hAnsi="宋体" w:eastAsia="宋体" w:cs="宋体"/>
          <w:b/>
          <w:color w:val="auto"/>
          <w:sz w:val="24"/>
          <w:szCs w:val="24"/>
          <w:highlight w:val="none"/>
        </w:rPr>
        <w:t xml:space="preserve">三、投标文件的编制</w:t>
      </w:r>
      <w:bookmarkEnd w:id="99"/>
      <w:r/>
      <w:bookmarkEnd w:id="100"/>
      <w:r/>
      <w:bookmarkEnd w:id="101"/>
      <w:r/>
      <w:bookmarkEnd w:id="102"/>
      <w:r/>
      <w:bookmarkEnd w:id="103"/>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4" w:name="_Toc513029214"/>
      <w:r/>
      <w:bookmarkStart w:id="105" w:name="_Toc462564073"/>
      <w:r/>
      <w:bookmarkStart w:id="106" w:name="_Toc16938530"/>
      <w:r/>
      <w:bookmarkStart w:id="107" w:name="_Toc20823286"/>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104"/>
      <w:r/>
      <w:bookmarkEnd w:id="105"/>
      <w:r/>
      <w:bookmarkEnd w:id="106"/>
      <w:r/>
      <w:bookmarkEnd w:id="107"/>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bookmarkStart w:id="108" w:name="_Toc513029215"/>
      <w:r/>
      <w:bookmarkStart w:id="109" w:name="_Toc16938531"/>
      <w:r/>
      <w:bookmarkStart w:id="110" w:name="_Toc462564074"/>
      <w:r/>
      <w:bookmarkStart w:id="111" w:name="_Toc20823287"/>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108"/>
      <w:r/>
      <w:bookmarkEnd w:id="109"/>
      <w:r/>
      <w:bookmarkEnd w:id="110"/>
      <w:r/>
      <w:bookmarkEnd w:id="111"/>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bookmarkStart w:id="112" w:name="_Toc14577354"/>
      <w:r/>
      <w:bookmarkStart w:id="113" w:name="_Toc14577357"/>
      <w:r/>
      <w:bookmarkStart w:id="114" w:name="_Toc49090509"/>
      <w:r/>
      <w:bookmarkStart w:id="115" w:name="_Toc49090507"/>
      <w:r/>
      <w:bookmarkStart w:id="116" w:name="_Toc513029219"/>
      <w:r/>
      <w:bookmarkStart w:id="117" w:name="_Toc513029216"/>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112"/>
      <w:r/>
      <w:bookmarkEnd w:id="113"/>
      <w:r/>
      <w:bookmarkEnd w:id="114"/>
      <w:r/>
      <w:bookmarkEnd w:id="115"/>
      <w:r/>
      <w:bookmarkEnd w:id="116"/>
      <w:r/>
      <w:bookmarkEnd w:id="117"/>
      <w:r/>
      <w:bookmarkStart w:id="118" w:name="_Toc14577355"/>
      <w:r/>
      <w:bookmarkStart w:id="119" w:name="_Toc49090508"/>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bookmarkEnd w:id="118"/>
      <w:r/>
      <w:bookmarkEnd w:id="119"/>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投标分项报价表</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bookmarkStart w:id="120" w:name="_Toc14577359"/>
      <w:r/>
      <w:bookmarkStart w:id="121" w:name="_Toc49090510"/>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20"/>
      <w:r/>
      <w:bookmarkEnd w:id="121"/>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59"/>
        <w:ind w:left="0" w:firstLine="480"/>
        <w:jc w:val="both"/>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bookmarkStart w:id="122" w:name="_Toc14577360"/>
      <w:r/>
      <w:bookmarkStart w:id="123" w:name="_Toc49090511"/>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22"/>
      <w:r/>
      <w:bookmarkEnd w:id="123"/>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bookmarkStart w:id="124" w:name="_Toc20823296"/>
      <w:r/>
      <w:bookmarkStart w:id="125" w:name="_Toc513029224"/>
      <w:r/>
      <w:bookmarkStart w:id="126" w:name="_Toc16938540"/>
      <w:r/>
      <w:bookmarkStart w:id="127" w:name="_Toc120614217"/>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24"/>
      <w:r/>
      <w:bookmarkEnd w:id="125"/>
      <w:r/>
      <w:bookmarkEnd w:id="126"/>
      <w:r/>
      <w:bookmarkEnd w:id="127"/>
      <w:r/>
      <w:bookmarkStart w:id="128" w:name="_Toc20823297"/>
      <w:r/>
      <w:bookmarkStart w:id="129" w:name="_Toc513029225"/>
      <w:r/>
      <w:bookmarkStart w:id="130" w:name="_Toc16938541"/>
      <w:r/>
      <w:bookmarkStart w:id="131" w:name="_Toc462564084"/>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8"/>
      <w:r/>
      <w:bookmarkEnd w:id="129"/>
      <w:r/>
      <w:bookmarkEnd w:id="130"/>
      <w:r/>
      <w:bookmarkEnd w:id="131"/>
      <w:r>
        <w:rPr>
          <w:rFonts w:hint="eastAsia" w:ascii="宋体" w:hAnsi="宋体" w:eastAsia="宋体" w:cs="宋体"/>
          <w:color w:val="auto"/>
          <w:sz w:val="24"/>
          <w:szCs w:val="24"/>
          <w:highlight w:val="none"/>
        </w:rPr>
        <w:t xml:space="preserve">的递交</w:t>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2" w:name="_Toc16938542"/>
      <w:r/>
      <w:bookmarkEnd w:id="132"/>
      <w:r/>
      <w:bookmarkStart w:id="133" w:name="_Toc20823298"/>
      <w:r/>
      <w:bookmarkEnd w:id="133"/>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859"/>
        <w:ind w:left="0" w:firstLine="480"/>
        <w:jc w:val="both"/>
        <w:pageBreakBefore w:val="0"/>
        <w:spacing w:beforeAutospacing="0" w:afterAutospacing="0" w:line="480" w:lineRule="exact"/>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bookmarkStart w:id="134" w:name="_Toc20823299"/>
      <w:r/>
      <w:bookmarkStart w:id="135" w:name="_Toc513029227"/>
      <w:r/>
      <w:bookmarkStart w:id="136" w:name="_Toc16938543"/>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34"/>
      <w:r/>
      <w:bookmarkEnd w:id="135"/>
      <w:r/>
      <w:bookmarkEnd w:id="136"/>
      <w:r>
        <w:rPr>
          <w:rFonts w:hint="eastAsia" w:ascii="宋体" w:hAnsi="宋体" w:eastAsia="宋体" w:cs="宋体"/>
          <w:color w:val="auto"/>
          <w:sz w:val="24"/>
          <w:szCs w:val="24"/>
          <w:highlight w:val="none"/>
        </w:rPr>
        <w:t xml:space="preserve">的拒收</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19.1采购人拒绝接收在其规定的投标截止时间后上传的任何投标文件。</w:t>
      </w:r>
      <w:bookmarkStart w:id="137" w:name="_Toc16938544"/>
      <w:r/>
      <w:bookmarkStart w:id="138" w:name="_Toc513029228"/>
      <w:r/>
      <w:bookmarkStart w:id="139" w:name="_Toc20823300"/>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7"/>
      <w:r/>
      <w:bookmarkEnd w:id="138"/>
      <w:r/>
      <w:bookmarkEnd w:id="139"/>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0" w:name="_Toc513029229"/>
      <w:r/>
      <w:bookmarkStart w:id="141" w:name="_Toc120614218"/>
      <w:r/>
      <w:bookmarkStart w:id="142" w:name="_Toc16938545"/>
      <w:r/>
      <w:bookmarkStart w:id="143" w:name="_Toc20823301"/>
      <w:r>
        <w:rPr>
          <w:rFonts w:hint="eastAsia" w:ascii="宋体" w:hAnsi="宋体" w:eastAsia="宋体" w:cs="宋体"/>
          <w:b/>
          <w:color w:val="auto"/>
          <w:sz w:val="24"/>
          <w:szCs w:val="24"/>
          <w:highlight w:val="none"/>
        </w:rPr>
        <w:t xml:space="preserve">五、开标与评标</w:t>
      </w:r>
      <w:bookmarkEnd w:id="140"/>
      <w:r/>
      <w:bookmarkEnd w:id="141"/>
      <w:r/>
      <w:bookmarkEnd w:id="142"/>
      <w:r/>
      <w:bookmarkEnd w:id="143"/>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20823302"/>
      <w:r/>
      <w:bookmarkStart w:id="145" w:name="_Toc16938546"/>
      <w:r/>
      <w:bookmarkStart w:id="146" w:name="_Toc513029230"/>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44"/>
      <w:r/>
      <w:bookmarkEnd w:id="145"/>
      <w:r/>
      <w:bookmarkEnd w:id="146"/>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21.1采购人将在招标公告中规定的时间和地点组织公开开标。投标人应当按照《操作手册》规定，参加开标活动和在苏采云系统规定的时间内对投标文件进行解密。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21.2开标仪式由采购人或代理机构组织。苏采云系统将自动对项目进行开标，并宣布各投标人名称和投标价格。</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bookmarkStart w:id="147" w:name="_Toc513029231"/>
      <w:r/>
      <w:bookmarkStart w:id="148" w:name="_Toc20823303"/>
      <w:r/>
      <w:bookmarkStart w:id="149" w:name="_Toc16938547"/>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7"/>
      <w:r/>
      <w:bookmarkEnd w:id="148"/>
      <w:r/>
      <w:bookmarkEnd w:id="149"/>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23.1凡是与审查、澄清、评价和比较投标的有关资料以及授标建议等，采购人、评委、代理机构均不得向投标人或与评标无关的其他人员透露。</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t xml:space="preserve">3采购人、代理机构和评标委员会不向未中标的投标人解释未中标原因，也不公布评标过程中的相关细节。</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auto"/>
          <w:sz w:val="24"/>
          <w:szCs w:val="24"/>
          <w:highlight w:val="none"/>
        </w:rPr>
        <w:t xml:space="preserve">投标人可于中标结果公告期限届满之日起通过苏采云系统查看自己的评审得分及排序情况。</w:t>
      </w:r>
      <w:bookmarkStart w:id="150" w:name="_Toc16938548"/>
      <w:r/>
      <w:bookmarkStart w:id="151" w:name="_Toc513029232"/>
      <w:r/>
      <w:bookmarkStart w:id="152" w:name="_Toc20823304"/>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50"/>
      <w:r/>
      <w:bookmarkEnd w:id="151"/>
      <w:r/>
      <w:bookmarkEnd w:id="152"/>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auto"/>
          <w:sz w:val="24"/>
          <w:szCs w:val="24"/>
          <w:highlight w:val="none"/>
        </w:rPr>
        <w:t xml:space="preserve">投标文件的补充部分，具体操作方式见《操作手册》。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bookmarkStart w:id="153" w:name="_Toc16938549"/>
      <w:r/>
      <w:bookmarkStart w:id="154" w:name="_Toc20823305"/>
      <w:r/>
      <w:bookmarkStart w:id="155" w:name="_Toc513029233"/>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53"/>
      <w:r/>
      <w:bookmarkEnd w:id="154"/>
      <w:r/>
      <w:bookmarkEnd w:id="155"/>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eastAsia="宋体" w:cs="宋体"/>
          <w:color w:val="auto"/>
          <w:sz w:val="24"/>
          <w:szCs w:val="24"/>
          <w:highlight w:val="none"/>
        </w:rPr>
        <w:t xml:space="preserve">。</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bookmarkStart w:id="156" w:name="_Toc20823306"/>
      <w:r/>
      <w:bookmarkStart w:id="157" w:name="_Toc513029234"/>
      <w:r/>
      <w:bookmarkStart w:id="158" w:name="_Toc16938550"/>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，及时登录苏采云系统查阅、答复相关信息，并安排专人与采购人及评标委员会联系。</w:t>
      </w:r>
      <w:bookmarkEnd w:id="156"/>
      <w:r/>
      <w:bookmarkEnd w:id="157"/>
      <w:r/>
      <w:bookmarkEnd w:id="158"/>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9" w:name="_Toc513029235"/>
      <w:r/>
      <w:bookmarkStart w:id="160" w:name="_Toc20823307"/>
      <w:r/>
      <w:bookmarkStart w:id="161" w:name="_Toc16938551"/>
      <w:r>
        <w:rPr>
          <w:rFonts w:hint="eastAsia" w:ascii="宋体" w:hAnsi="宋体" w:eastAsia="宋体" w:cs="宋体"/>
          <w:color w:val="auto"/>
          <w:sz w:val="24"/>
          <w:szCs w:val="24"/>
          <w:highlight w:val="none"/>
        </w:rPr>
        <w:t xml:space="preserve">26.1无效投标条款</w:t>
      </w:r>
      <w:bookmarkEnd w:id="159"/>
      <w:r/>
      <w:bookmarkEnd w:id="160"/>
      <w:r/>
      <w:bookmarkEnd w:id="161"/>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9"/>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bookmarkStart w:id="162" w:name="_Toc120614219"/>
      <w:r>
        <w:rPr>
          <w:rFonts w:hint="eastAsia" w:ascii="宋体" w:hAnsi="宋体" w:eastAsia="宋体" w:cs="宋体"/>
          <w:b/>
          <w:color w:val="auto"/>
          <w:sz w:val="24"/>
          <w:szCs w:val="24"/>
          <w:highlight w:val="none"/>
        </w:rPr>
        <w:t xml:space="preserve">六、定标</w:t>
      </w:r>
      <w:bookmarkEnd w:id="162"/>
      <w:r/>
      <w:r/>
    </w:p>
    <w:p>
      <w:pPr>
        <w:pStyle w:val="859"/>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3" w:name="_Toc20823310"/>
      <w:r/>
      <w:bookmarkStart w:id="164" w:name="_Toc513029238"/>
      <w:r/>
      <w:bookmarkStart w:id="165" w:name="_Toc16938554"/>
      <w:r>
        <w:rPr>
          <w:rFonts w:hint="eastAsia" w:ascii="宋体" w:hAnsi="宋体" w:eastAsia="宋体" w:cs="宋体"/>
          <w:color w:val="auto"/>
          <w:sz w:val="24"/>
          <w:szCs w:val="24"/>
          <w:highlight w:val="none"/>
          <w:lang w:eastAsia="zh-CN"/>
        </w:rPr>
        <w:t xml:space="preserve">27.</w:t>
      </w:r>
      <w:bookmarkEnd w:id="163"/>
      <w:r>
        <w:rPr>
          <w:rFonts w:hint="eastAsia" w:ascii="宋体" w:hAnsi="宋体" w:eastAsia="宋体" w:cs="宋体"/>
          <w:color w:val="auto"/>
          <w:sz w:val="24"/>
          <w:szCs w:val="24"/>
          <w:highlight w:val="none"/>
        </w:rPr>
        <w:t xml:space="preserve">确定</w:t>
      </w:r>
      <w:bookmarkEnd w:id="164"/>
      <w:r/>
      <w:bookmarkEnd w:id="165"/>
      <w:r>
        <w:rPr>
          <w:rFonts w:hint="eastAsia" w:ascii="宋体" w:hAnsi="宋体" w:eastAsia="宋体" w:cs="宋体"/>
          <w:color w:val="auto"/>
          <w:sz w:val="24"/>
          <w:szCs w:val="24"/>
          <w:highlight w:val="none"/>
        </w:rPr>
        <w:t xml:space="preserve">中标单位</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6" w:name="_Toc200451960"/>
      <w:r>
        <w:rPr>
          <w:rFonts w:hint="eastAsia" w:ascii="宋体" w:hAnsi="宋体" w:eastAsia="宋体" w:cs="宋体"/>
          <w:color w:val="auto"/>
          <w:sz w:val="24"/>
          <w:szCs w:val="24"/>
          <w:highlight w:val="none"/>
        </w:rPr>
        <w:t xml:space="preserve">27.5有下列情形之一的，视为投标人串通投标，投标无效：</w:t>
      </w:r>
      <w:bookmarkEnd w:id="166"/>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28.1提出质疑的供应商应当是参与所质疑项目采购活动的供应商。潜在供应商依法获取其可质疑的招标文件的，可以对招标文件提出质疑。</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采购人只接收以纸质原件形式送达的质疑，采购人不接受未填写快递运单的快件</w:t>
      </w:r>
      <w:r>
        <w:rPr>
          <w:rFonts w:hint="eastAsia" w:ascii="宋体" w:hAnsi="宋体" w:eastAsia="宋体" w:cs="宋体"/>
          <w:color w:val="auto"/>
          <w:sz w:val="24"/>
          <w:szCs w:val="24"/>
          <w:highlight w:val="none"/>
          <w:lang w:val="en-US" w:eastAsia="zh-CN" w:bidi="ar-SA"/>
        </w:rPr>
        <w:t xml:space="preserve">。</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质疑受理部门：</w:t>
      </w:r>
      <w:r>
        <w:rPr>
          <w:rFonts w:hint="eastAsia" w:ascii="宋体" w:hAnsi="宋体" w:eastAsia="宋体" w:cs="宋体"/>
          <w:color w:val="auto"/>
          <w:sz w:val="24"/>
          <w:szCs w:val="24"/>
          <w:highlight w:val="none"/>
          <w:lang w:eastAsia="zh-CN" w:bidi="ar-SA"/>
        </w:rPr>
        <w:t xml:space="preserve">东台市民政局</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联系地址：东台市</w:t>
      </w:r>
      <w:r>
        <w:rPr>
          <w:rFonts w:hint="eastAsia" w:ascii="宋体" w:hAnsi="宋体" w:eastAsia="宋体" w:cs="宋体"/>
          <w:color w:val="auto"/>
          <w:sz w:val="24"/>
          <w:szCs w:val="24"/>
          <w:highlight w:val="none"/>
          <w:lang w:val="en-US" w:eastAsia="zh-CN" w:bidi="ar-SA"/>
        </w:rPr>
        <w:t xml:space="preserve">新民南路</w:t>
      </w:r>
      <w:r>
        <w:rPr>
          <w:rFonts w:hint="eastAsia" w:ascii="宋体" w:hAnsi="宋体" w:eastAsia="宋体" w:cs="宋体"/>
          <w:color w:val="auto"/>
          <w:sz w:val="24"/>
          <w:szCs w:val="24"/>
          <w:highlight w:val="none"/>
          <w:lang w:bidi="ar-SA"/>
        </w:rPr>
        <w:t xml:space="preserve">9号</w:t>
      </w:r>
      <w:r/>
    </w:p>
    <w:p>
      <w:pPr>
        <w:pStyle w:val="859"/>
        <w:ind w:lef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SA"/>
        </w:rPr>
        <w:t xml:space="preserve">联系电话：</w:t>
      </w:r>
      <w:r>
        <w:rPr>
          <w:rFonts w:hint="eastAsia" w:ascii="宋体" w:hAnsi="宋体" w:eastAsia="宋体" w:cs="宋体"/>
          <w:color w:val="auto"/>
          <w:sz w:val="24"/>
          <w:szCs w:val="24"/>
          <w:highlight w:val="none"/>
          <w:lang w:val="en-US" w:eastAsia="zh-CN" w:bidi="ar-SA"/>
        </w:rPr>
        <w:t xml:space="preserve">丁女士</w:t>
      </w:r>
      <w:r>
        <w:rPr>
          <w:rFonts w:hint="default"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val="en-US" w:eastAsia="zh-CN" w:bidi="ar-SA"/>
        </w:rPr>
        <w:t xml:space="preserve">15951864063</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auto"/>
          <w:sz w:val="24"/>
          <w:szCs w:val="24"/>
          <w:highlight w:val="none"/>
        </w:rPr>
        <w:t xml:space="preserve">效力。中标通知书发出后，采购人改变中标结果的，或者中标人放弃中标项目的，应当依法承担法律责任。</w:t>
      </w:r>
      <w:bookmarkStart w:id="167" w:name="_Toc16938552"/>
      <w:r/>
      <w:bookmarkStart w:id="168" w:name="_Toc120614220"/>
      <w:r/>
      <w:bookmarkStart w:id="169" w:name="_Toc513029236"/>
      <w:r/>
      <w:bookmarkStart w:id="170" w:name="_Toc20823308"/>
      <w:r/>
      <w:r/>
    </w:p>
    <w:p>
      <w:pPr>
        <w:pStyle w:val="859"/>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bookmarkEnd w:id="167"/>
      <w:r/>
      <w:bookmarkEnd w:id="168"/>
      <w:r/>
      <w:bookmarkEnd w:id="169"/>
      <w:r/>
      <w:bookmarkEnd w:id="170"/>
      <w:r/>
      <w:bookmarkStart w:id="171" w:name="_Toc513029237"/>
      <w:r/>
      <w:bookmarkStart w:id="172" w:name="_Toc16938553"/>
      <w:r/>
      <w:bookmarkStart w:id="173" w:name="_Toc20823309"/>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30.签订合同</w:t>
      </w:r>
      <w:bookmarkEnd w:id="171"/>
      <w:r/>
      <w:bookmarkEnd w:id="172"/>
      <w:r/>
      <w:bookmarkEnd w:id="173"/>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lang w:val="en-US" w:eastAsia="zh-CN"/>
        </w:rPr>
        <w:t xml:space="preserve">》。</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8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是 </w:t>
      </w:r>
      <w:r>
        <w:rPr>
          <w:rFonts w:hint="eastAsia" w:ascii="宋体" w:hAnsi="宋体" w:eastAsia="宋体" w:cs="宋体"/>
          <w:color w:val="auto"/>
          <w:sz w:val="24"/>
          <w:szCs w:val="24"/>
          <w:highlight w:val="none"/>
          <w:lang w:val="en-US" w:eastAsia="zh-CN"/>
        </w:rPr>
        <w:t xml:space="preserve">免收 ，降低履约保证金缴纳比例 100%  。</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合同金额的30%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34.招标代理服务费</w:t>
      </w:r>
      <w:r/>
    </w:p>
    <w:p>
      <w:pPr>
        <w:numPr>
          <w:ilvl w:val="0"/>
          <w:numId w:val="0"/>
        </w:numPr>
        <w:ind w:left="0" w:firstLine="480"/>
        <w:pageBreakBefore w:val="0"/>
        <w:spacing w:line="48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依据采购人与招标代理人合同约定本项目代理服务费由中标人领取中标通知书时支付。</w:t>
      </w:r>
      <w:r>
        <w:rPr>
          <w:rFonts w:hint="eastAsia" w:ascii="宋体" w:hAnsi="宋体" w:cs="宋体"/>
          <w:color w:val="auto"/>
          <w:sz w:val="24"/>
          <w:szCs w:val="24"/>
          <w:highlight w:val="none"/>
          <w:lang w:val="en-US" w:eastAsia="zh-CN"/>
        </w:rPr>
        <w:t xml:space="preserve">招标代理费：按苏招协〔2022〕2号标准×15.75%收取。</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9"/>
        <w:jc w:val="center"/>
        <w:keepLines/>
        <w:keepNext/>
        <w:pageBreakBefore w:val="0"/>
        <w:spacing w:beforeAutospacing="0" w:afterAutospacing="0" w:line="416" w:lineRule="auto"/>
        <w:widowControl w:val="off"/>
        <w:rPr>
          <w:rFonts w:hint="eastAsia" w:ascii="黑体" w:hAnsi="宋体" w:eastAsia="黑体" w:cs="黑体"/>
          <w:b/>
          <w:color w:val="auto"/>
          <w:sz w:val="44"/>
          <w:szCs w:val="44"/>
          <w:highlight w:val="none"/>
        </w:rPr>
        <w:outlineLvl w:val="0"/>
      </w:pPr>
      <w:r/>
      <w:bookmarkStart w:id="174" w:name="_Toc31035"/>
      <w:r>
        <w:rPr>
          <w:rFonts w:hint="eastAsia" w:ascii="黑体" w:hAnsi="宋体" w:eastAsia="黑体" w:cs="黑体"/>
          <w:b/>
          <w:color w:val="auto"/>
          <w:sz w:val="44"/>
          <w:szCs w:val="44"/>
          <w:highlight w:val="none"/>
        </w:rPr>
        <w:t xml:space="preserve">第三章 合同文本</w:t>
      </w:r>
      <w:bookmarkEnd w:id="174"/>
      <w:r/>
      <w:r/>
    </w:p>
    <w:p>
      <w:pPr>
        <w:pStyle w:val="85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75" w:name="_Toc20823315"/>
      <w:r/>
      <w:bookmarkStart w:id="176" w:name="_Toc16938559"/>
      <w:r/>
      <w:bookmarkStart w:id="177" w:name="_Toc513029243"/>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5"/>
      <w:r/>
      <w:bookmarkEnd w:id="176"/>
      <w:r/>
      <w:bookmarkEnd w:id="177"/>
      <w:r/>
      <w:r/>
    </w:p>
    <w:p>
      <w:pPr>
        <w:pStyle w:val="859"/>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859"/>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59"/>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东台市2026年特困供养人员购买第三方照料护理服务项目</w:t>
      </w:r>
      <w:r/>
    </w:p>
    <w:p>
      <w:pPr>
        <w:pStyle w:val="859"/>
        <w:jc w:val="both"/>
        <w:keepLines w:val="0"/>
        <w:keepNext w:val="0"/>
        <w:pageBreakBefore w:val="0"/>
        <w:spacing w:beforeAutospacing="0" w:afterAutospacing="0" w:line="360" w:lineRule="auto"/>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pStyle w:val="859"/>
        <w:jc w:val="both"/>
        <w:keepLines w:val="0"/>
        <w:keepNext w:val="0"/>
        <w:pageBreakBefore w:val="0"/>
        <w:spacing w:beforeAutospacing="0" w:afterAutospacing="0" w:line="360" w:lineRule="auto"/>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pStyle w:val="859"/>
        <w:jc w:val="both"/>
        <w:keepLines w:val="0"/>
        <w:keepNext w:val="0"/>
        <w:pageBreakBefore w:val="0"/>
        <w:spacing w:beforeAutospacing="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85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9"/>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东台市2026年特困供养人员购买第三方照料护理服务项目</w:t>
      </w:r>
      <w:r>
        <w:rPr>
          <w:rFonts w:hint="eastAsia" w:ascii="宋体" w:hAnsi="宋体" w:eastAsia="宋体" w:cs="宋体"/>
          <w:color w:val="auto"/>
          <w:sz w:val="24"/>
          <w:szCs w:val="24"/>
          <w:highlight w:val="none"/>
        </w:rPr>
        <w:t xml:space="preserve">公开招标的结果</w:t>
      </w:r>
      <w:r>
        <w:rPr>
          <w:rFonts w:ascii="宋体" w:hAnsi="宋体" w:eastAsia="宋体" w:cs="宋体"/>
          <w:color w:val="auto"/>
          <w:sz w:val="24"/>
          <w:szCs w:val="24"/>
          <w:highlight w:val="none"/>
          <w:lang w:val="en-US" w:eastAsia="zh-CN" w:bidi="ar"/>
        </w:rPr>
        <w:t xml:space="preserve">，本着平等自愿、公平诚信的原则，签订本合同，双方共同遵照执行。</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bookmarkStart w:id="178" w:name="_Toc479757211"/>
      <w:r/>
      <w:bookmarkStart w:id="179" w:name="_Toc462564139"/>
      <w:r/>
      <w:bookmarkStart w:id="180" w:name="_Toc16938590"/>
      <w:r/>
      <w:bookmarkStart w:id="181" w:name="_Hlt16619350"/>
      <w:r/>
      <w:bookmarkStart w:id="182" w:name="_Toc20823346"/>
      <w:r/>
      <w:bookmarkStart w:id="183" w:name="_Toc120614244"/>
      <w:r/>
      <w:bookmarkStart w:id="184" w:name="_Hlt16619369"/>
      <w:r>
        <w:rPr>
          <w:rFonts w:hint="eastAsia" w:ascii="宋体" w:hAnsi="宋体" w:eastAsia="宋体" w:cs="宋体"/>
          <w:b/>
          <w:color w:val="auto"/>
          <w:highlight w:val="none"/>
        </w:rPr>
        <w:t xml:space="preserve">一、合同内容</w:t>
      </w:r>
      <w:r/>
    </w:p>
    <w:p>
      <w:pPr>
        <w:pStyle w:val="859"/>
        <w:ind w:left="0"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东台市2026年特困供养人员购买第三方照料护理服务项目（</w:t>
      </w:r>
      <w:r>
        <w:rPr>
          <w:rFonts w:hint="eastAsia" w:ascii="宋体" w:hAnsi="宋体" w:eastAsia="宋体" w:cs="宋体"/>
          <w:color w:val="auto"/>
          <w:highlight w:val="none"/>
          <w:lang w:val="en-US" w:eastAsia="zh-CN"/>
        </w:rPr>
        <w:t xml:space="preserve">包  </w:t>
      </w:r>
      <w:r>
        <w:rPr>
          <w:rFonts w:hint="eastAsia" w:ascii="宋体" w:hAnsi="宋体" w:eastAsia="宋体" w:cs="宋体"/>
          <w:color w:val="auto"/>
          <w:highlight w:val="none"/>
          <w:lang w:eastAsia="zh-CN"/>
        </w:rPr>
        <w:t xml:space="preserve">）</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sz w:val="24"/>
          <w:szCs w:val="24"/>
          <w:highlight w:val="none"/>
          <w:lang w:val="en-US" w:eastAsia="zh-CN" w:bidi="ar-SA"/>
        </w:rPr>
        <w:t xml:space="preserve">1.2 质量要求：符合招标文件、国家、省、市及东台市现行特困人员照料护理服务相关政策、标准及考核细则要求，服务质量合格、合规。</w:t>
      </w:r>
      <w:r/>
    </w:p>
    <w:p>
      <w:pPr>
        <w:pStyle w:val="859"/>
        <w:ind w:left="0" w:firstLine="480"/>
        <w:jc w:val="both"/>
        <w:keepLines w:val="0"/>
        <w:keepNext w:val="0"/>
        <w:pageBreakBefore w:val="0"/>
        <w:spacing w:beforeAutospacing="0" w:afterAutospacing="0" w:line="480" w:lineRule="exact"/>
        <w:widowControl w:val="off"/>
        <w:rPr>
          <w:rFonts w:eastAsia="宋体"/>
          <w:color w:val="auto"/>
          <w:highlight w:val="none"/>
        </w:rPr>
      </w:pPr>
      <w:r>
        <w:rPr>
          <w:rFonts w:hint="eastAsia" w:ascii="宋体" w:hAnsi="宋体" w:eastAsia="宋体" w:cs="宋体"/>
          <w:color w:val="auto"/>
          <w:highlight w:val="none"/>
        </w:rPr>
        <w:t xml:space="preserve">1.3 采购内容：详见招标文件</w:t>
      </w:r>
      <w:r/>
    </w:p>
    <w:p>
      <w:pPr>
        <w:pStyle w:val="859"/>
        <w:ind w:left="0"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1.4 履行时间（期限）：</w:t>
      </w:r>
      <w:r>
        <w:rPr>
          <w:rFonts w:hint="eastAsia" w:ascii="宋体" w:hAnsi="宋体" w:eastAsia="宋体" w:cs="宋体"/>
          <w:color w:val="auto"/>
          <w:highlight w:val="none"/>
          <w:lang w:val="en-US" w:eastAsia="zh-CN"/>
        </w:rPr>
        <w:t xml:space="preserve">1年</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起止时间：202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日至202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日</w:t>
      </w:r>
      <w:r>
        <w:rPr>
          <w:rFonts w:hint="eastAsia" w:ascii="宋体" w:hAnsi="宋体" w:eastAsia="宋体" w:cs="宋体"/>
          <w:color w:val="auto"/>
          <w:highlight w:val="none"/>
          <w:lang w:eastAsia="zh-CN"/>
        </w:rPr>
        <w:t xml:space="preserve">）</w:t>
      </w:r>
      <w:r/>
    </w:p>
    <w:p>
      <w:pPr>
        <w:pStyle w:val="859"/>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 履行地点：</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包一：富安镇、唐洋镇、许河镇、新街镇。</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包二：东台镇、高新区、开发区、西溪景区、溱东镇、时堰镇、五烈镇。</w:t>
      </w:r>
      <w:r/>
    </w:p>
    <w:p>
      <w:pPr>
        <w:pStyle w:val="859"/>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包三：</w:t>
      </w:r>
      <w:r>
        <w:rPr>
          <w:rFonts w:hint="eastAsia" w:ascii="宋体" w:hAnsi="宋体" w:eastAsia="宋体" w:cs="宋体"/>
          <w:color w:val="auto"/>
          <w:sz w:val="24"/>
          <w:szCs w:val="24"/>
          <w:highlight w:val="none"/>
          <w:lang w:val="en-US" w:eastAsia="zh-CN"/>
        </w:rPr>
        <w:t xml:space="preserve">梁垛镇、安丰镇、南沈灶镇、三仓镇、头灶镇、弶港镇、新曹农场、弶港农场。</w:t>
      </w:r>
      <w:r/>
    </w:p>
    <w:p>
      <w:pPr>
        <w:pStyle w:val="859"/>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 xml:space="preserve">二、</w:t>
      </w:r>
      <w:r>
        <w:rPr>
          <w:rFonts w:hint="eastAsia" w:ascii="宋体" w:hAnsi="宋体" w:eastAsia="宋体" w:cs="宋体"/>
          <w:b/>
          <w:color w:val="auto"/>
          <w:highlight w:val="none"/>
          <w:lang w:val="en-US" w:eastAsia="zh-CN"/>
        </w:rPr>
        <w:t xml:space="preserve">服务对象、内容及标准</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乙方负责2026年特困供养人员购买第三方照料护理服务项目包一： 包二；包三：</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2.1服务对象：本合同对应服务片区内在册的分散供养特困人员，最终以甲方核定的实际服务人数为准。特困人员户籍地与居住地不一致的，</w:t>
      </w:r>
      <w:r>
        <w:rPr>
          <w:rFonts w:hint="eastAsia" w:ascii="宋体" w:hAnsi="宋体" w:eastAsia="宋体" w:cs="宋体"/>
          <w:color w:val="auto"/>
          <w:highlight w:val="none"/>
          <w:lang w:val="en-US" w:eastAsia="zh-CN"/>
        </w:rPr>
        <w:t xml:space="preserve">原则上由实际居住地的中标服务机构提供服务，</w:t>
      </w:r>
      <w:r>
        <w:rPr>
          <w:rFonts w:hint="eastAsia" w:ascii="宋体" w:hAnsi="宋体" w:eastAsia="宋体" w:cs="宋体"/>
          <w:color w:val="auto"/>
          <w:highlight w:val="none"/>
          <w:lang w:val="en-US" w:eastAsia="zh-CN"/>
        </w:rPr>
        <w:t xml:space="preserve">乙方应当做好协调衔接，确保服务不断档、不重复，不得推诿拒绝服务。</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2.2服务内容：</w:t>
      </w:r>
      <w:r>
        <w:rPr>
          <w:rFonts w:hint="eastAsia" w:ascii="宋体" w:hAnsi="宋体" w:eastAsia="宋体" w:cs="宋体"/>
          <w:color w:val="auto"/>
          <w:highlight w:val="none"/>
          <w:lang w:val="en-US" w:eastAsia="zh-CN"/>
        </w:rPr>
        <w:t xml:space="preserve">服务内容按照</w:t>
      </w:r>
      <w:bookmarkStart w:id="185" w:name="OLE_LINK3"/>
      <w:r>
        <w:rPr>
          <w:rFonts w:hint="eastAsia" w:ascii="宋体" w:hAnsi="宋体" w:eastAsia="宋体" w:cs="宋体"/>
          <w:color w:val="auto"/>
          <w:highlight w:val="none"/>
          <w:lang w:val="en-US" w:eastAsia="zh-CN"/>
        </w:rPr>
        <w:t xml:space="preserve">《关于规范东台市政府购买居家上门服务的通知》</w:t>
      </w:r>
      <w:bookmarkEnd w:id="185"/>
      <w:r>
        <w:rPr>
          <w:rFonts w:hint="eastAsia" w:ascii="宋体" w:hAnsi="宋体" w:eastAsia="宋体" w:cs="宋体"/>
          <w:color w:val="auto"/>
          <w:highlight w:val="none"/>
          <w:lang w:val="en-US" w:eastAsia="zh-CN"/>
        </w:rPr>
        <w:t xml:space="preserve">（东民养老〔2025〕2号）中“一类服务对象服务套餐”内容实施，同等服务金额的项目可以进行替换，替换项目可参考“二—六类服务对象服务套餐”内容；服务标准按照《关于规范东台市政府购买居家上门服务的通知》中的服务标准执行。服务内容及服务标准有变化的，按最新政策执行。</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2.3服务标准：特困人员照料护理服务标准分为三档，完全丧失生活自理能力的678元/人/月、部分丧失生活自理能力的339元/人/月、具备生活自理能力的113元/人/月。服务期内如有政策调整，按最新标准及要求执行。</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服务结算：特困人员月度服务额度仅限当月使用，不累积、不变现、不结转、不转让；当月有效服务工单总金额超月度标准的，按照月服务标准结算；因客观特殊情况未达标且经甲方核实确认的，按实际有效合格工单金额据实结算；服务期内，特困人员照料护理服务与长期照护保险严格执行就高不重复原则，重复服务部分不予结算。最终结算以甲方审核确认的有效、合规、可溯源服务工单及核定实际服务人数为准。</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2.4服务质量：符合江苏省人民政府《关于完善特困人员救助供养制度的实施意见》、盐城市民政局《关于构建分散特困人员照料护理机制的指导意见》等有关文件要求。</w:t>
      </w:r>
      <w:r/>
    </w:p>
    <w:p>
      <w:pPr>
        <w:pStyle w:val="859"/>
        <w:numPr>
          <w:ilvl w:val="0"/>
          <w:numId w:val="0"/>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highlight w:val="none"/>
          <w:lang w:val="en-US" w:eastAsia="zh-CN"/>
        </w:rPr>
        <w:t xml:space="preserve">合同金额</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3.1 </w:t>
      </w:r>
      <w:r>
        <w:rPr>
          <w:rFonts w:hint="eastAsia" w:ascii="宋体" w:hAnsi="宋体" w:eastAsia="宋体" w:cs="宋体"/>
          <w:color w:val="auto"/>
          <w:highlight w:val="none"/>
        </w:rPr>
        <w:t xml:space="preserve">本合同金额</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为（大写）：____________（</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__________元）</w:t>
      </w:r>
      <w:r>
        <w:rPr>
          <w:rFonts w:hint="eastAsia" w:ascii="宋体" w:hAnsi="宋体" w:eastAsia="宋体" w:cs="宋体"/>
          <w:color w:val="auto"/>
          <w:highlight w:val="none"/>
          <w:lang w:eastAsia="zh-CN"/>
        </w:rPr>
        <w:t xml:space="preserve">。</w:t>
      </w:r>
      <w:r/>
    </w:p>
    <w:p>
      <w:pPr>
        <w:pStyle w:val="859"/>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3.2本项目为据实结算项目，无固定包干总价。最终合同结算总金额，以服务期内甲方核定的实际服务人数、全部有效合格服务工单、季度及年度考核结果为准核算。</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val="0"/>
          <w:bCs w:val="0"/>
          <w:color w:val="auto"/>
          <w:highlight w:val="none"/>
          <w:lang w:val="en-US" w:eastAsia="zh-CN"/>
        </w:rPr>
        <w:t xml:space="preserve">3.3 本项目各标段年度预算金额为最高结算上限，最终结算金额不得超出对应标段预算总额。</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、履约保证金</w:t>
      </w:r>
      <w:r/>
    </w:p>
    <w:p>
      <w:pPr>
        <w:pStyle w:val="859"/>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乙方交纳人民币</w:t>
      </w:r>
      <w:r>
        <w:rPr>
          <w:rFonts w:hint="eastAsia" w:ascii="宋体" w:hAnsi="宋体" w:eastAsia="宋体" w:cs="宋体"/>
          <w:b w:val="0"/>
          <w:bCs w:val="0"/>
          <w:color w:val="auto"/>
          <w:sz w:val="24"/>
          <w:szCs w:val="24"/>
          <w:highlight w:val="none"/>
          <w:lang w:val="en-US" w:eastAsia="zh-CN" w:bidi="ar-SA"/>
        </w:rPr>
        <w:t xml:space="preserve">230000元（大写：贰拾叁万元整）</w:t>
      </w:r>
      <w:r>
        <w:rPr>
          <w:rFonts w:hint="eastAsia" w:ascii="宋体" w:hAnsi="宋体" w:eastAsia="宋体" w:cs="宋体"/>
          <w:color w:val="auto"/>
          <w:highlight w:val="none"/>
        </w:rPr>
        <w:t xml:space="preserve">作为本合同的履约保证金。</w:t>
      </w:r>
      <w:r/>
    </w:p>
    <w:p>
      <w:pPr>
        <w:pStyle w:val="859"/>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 乙方可自主选择以支票、汇票、本票或者金融机构、担保机构出具的保函（保险）等非现金形式提交（根据苏财购</w:t>
      </w:r>
      <w:r>
        <w:rPr>
          <w:rFonts w:hint="eastAsia" w:ascii="宋体" w:hAnsi="宋体" w:eastAsia="宋体" w:cs="宋体"/>
          <w:color w:val="auto"/>
          <w:highlight w:val="none"/>
          <w:lang w:eastAsia="zh-CN"/>
        </w:rPr>
        <w:t xml:space="preserve">〔2023〕150号</w:t>
      </w:r>
      <w:r>
        <w:rPr>
          <w:rFonts w:hint="eastAsia" w:ascii="宋体" w:hAnsi="宋体" w:eastAsia="宋体" w:cs="宋体"/>
          <w:color w:val="auto"/>
          <w:highlight w:val="none"/>
        </w:rPr>
        <w:t xml:space="preserve">《关于在全省政府采购领域推行电子履约保函（保险）的通知》乙方可选择电子保函（保险）的形式），鼓励供应商自愿使用履约保函（保险）代替缴纳履约保证金。</w:t>
      </w:r>
      <w:r/>
    </w:p>
    <w:p>
      <w:pPr>
        <w:pStyle w:val="859"/>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按《关于在政府采购活动中应用第三方信用报告落实“信易购”应用场景的通知》（东财购</w:t>
      </w:r>
      <w:r>
        <w:rPr>
          <w:rFonts w:hint="eastAsia" w:ascii="宋体" w:hAnsi="宋体" w:eastAsia="宋体" w:cs="宋体"/>
          <w:color w:val="auto"/>
          <w:highlight w:val="none"/>
          <w:lang w:eastAsia="zh-CN"/>
        </w:rPr>
        <w:t xml:space="preserve">〔2021〕15号</w:t>
      </w:r>
      <w:r>
        <w:rPr>
          <w:rFonts w:hint="eastAsia" w:ascii="宋体" w:hAnsi="宋体" w:eastAsia="宋体" w:cs="宋体"/>
          <w:color w:val="auto"/>
          <w:highlight w:val="none"/>
        </w:rPr>
        <w:t xml:space="preserve">）要求，乙方在签订采购合同前提供信用管理部门备案的第三方信用报告，且信用报告通过“信用盐城网”可查实的，则免收履约保证金。</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.4合同履行结束后，甲方应及时退还交纳</w:t>
      </w:r>
      <w:bookmarkStart w:id="213" w:name="_GoBack"/>
      <w:r/>
      <w:bookmarkEnd w:id="213"/>
      <w:r>
        <w:rPr>
          <w:rFonts w:hint="eastAsia" w:ascii="宋体" w:hAnsi="宋体" w:eastAsia="宋体" w:cs="宋体"/>
          <w:color w:val="auto"/>
          <w:highlight w:val="none"/>
        </w:rPr>
        <w:t xml:space="preserve">的履约保证金。</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.5履约保证金的退还：</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.5.1方式：无息退还至投标人缴纳履约保证金的账户。如为保函，在到期时自行失效。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.5.2时间：验收合格且采购人收到发票后30日内。</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.5.4不予退还情形：</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.5.5逾期退还的违约责任：采购人逾期无故未退还履约保证金的，按全国银行间同业拆借中心公布的一年期贷款市场报价利率（LPR）上浮20%支付超期资金占用费，但因供应商自身原因导致无法及时退还的除外。</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、合同转包或分包</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.1乙方不得将合同标的转包给他人履行。</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.2乙方不得将合同标的分包给他人履行。</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.3乙方如有转包或未经甲方同意的分包行为，甲方有权解除合同。</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、合同款项支付</w:t>
      </w:r>
      <w:r/>
    </w:p>
    <w:p>
      <w:pPr>
        <w:pStyle w:val="862"/>
        <w:numPr>
          <w:ilvl w:val="0"/>
          <w:numId w:val="0"/>
        </w:numPr>
        <w:ind w:left="0" w:firstLine="480"/>
        <w:keepLines w:val="0"/>
        <w:keepNext w:val="0"/>
        <w:pageBreakBefore w:val="0"/>
        <w:spacing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6.1 合同签订后，甲方向乙方支付对应标段预</w:t>
      </w:r>
      <w:r>
        <w:rPr>
          <w:rFonts w:hint="default" w:ascii="宋体" w:hAnsi="宋体" w:eastAsia="宋体" w:cs="宋体"/>
          <w:color w:val="auto"/>
          <w:highlight w:val="none"/>
          <w:lang w:val="en-US" w:eastAsia="zh-CN"/>
        </w:rPr>
        <w:t xml:space="preserve">算金额30%的</w:t>
      </w:r>
      <w:r>
        <w:rPr>
          <w:rFonts w:hint="eastAsia" w:ascii="宋体" w:hAnsi="宋体" w:eastAsia="宋体" w:cs="宋体"/>
          <w:color w:val="auto"/>
          <w:highlight w:val="none"/>
          <w:lang w:val="en-US" w:eastAsia="zh-CN"/>
        </w:rPr>
        <w:t xml:space="preserve">项目预付款；</w:t>
      </w:r>
      <w:r/>
    </w:p>
    <w:p>
      <w:pPr>
        <w:pStyle w:val="859"/>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6.2 前3个季度，每季度服务期满，经考核合格支付该季度服务费用（以实际提供照料服务的有效人数、合格工单为准）；首季度结算服务费时优先全额抵扣预付款，首季度服务费不足抵扣的，差额顺延至后续季度逐期抵扣。第四季度服务费及项目余款，结合项目年度综合考核结果统一结算，考核不合格的，甲方有权按考核细则扣减对应服务费。</w:t>
      </w:r>
      <w:r/>
    </w:p>
    <w:p>
      <w:pPr>
        <w:pStyle w:val="859"/>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w:t>
      </w:r>
      <w:r>
        <w:rPr>
          <w:rFonts w:hint="eastAsia" w:ascii="宋体" w:hAnsi="宋体" w:eastAsia="宋体" w:cs="宋体"/>
          <w:color w:val="auto"/>
          <w:highlight w:val="none"/>
          <w:lang w:val="en-US" w:eastAsia="zh-CN"/>
        </w:rPr>
        <w:t xml:space="preserve">合同到期经甲方考核验收无问题后结清余款</w:t>
      </w:r>
      <w:r>
        <w:rPr>
          <w:rFonts w:hint="eastAsia" w:ascii="宋体" w:hAnsi="宋体" w:eastAsia="宋体" w:cs="宋体"/>
          <w:color w:val="auto"/>
          <w:highlight w:val="none"/>
        </w:rPr>
        <w:t xml:space="preserve">。</w:t>
      </w:r>
      <w:r/>
    </w:p>
    <w:p>
      <w:pPr>
        <w:pStyle w:val="859"/>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以上付款均无银行利息，且乙方需提供相应金额的有效</w:t>
      </w:r>
      <w:r>
        <w:rPr>
          <w:rFonts w:hint="eastAsia" w:ascii="宋体" w:hAnsi="宋体" w:eastAsia="宋体" w:cs="宋体"/>
          <w:color w:val="auto"/>
          <w:highlight w:val="none"/>
          <w:lang w:val="en-US" w:eastAsia="zh-CN"/>
        </w:rPr>
        <w:t xml:space="preserve">的增值税普通发票</w:t>
      </w:r>
      <w:r>
        <w:rPr>
          <w:rFonts w:hint="eastAsia" w:ascii="宋体" w:hAnsi="宋体" w:eastAsia="宋体" w:cs="宋体"/>
          <w:color w:val="auto"/>
          <w:highlight w:val="none"/>
        </w:rPr>
        <w:t xml:space="preserve">。</w:t>
      </w:r>
      <w:r/>
    </w:p>
    <w:p>
      <w:pPr>
        <w:pStyle w:val="859"/>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 采购人原则上自收到发票后10个工作日内将资金支付到成交供应商账户。</w:t>
      </w:r>
      <w:r/>
    </w:p>
    <w:p>
      <w:pPr>
        <w:pStyle w:val="859"/>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6.6</w:t>
      </w:r>
      <w:r>
        <w:rPr>
          <w:rFonts w:ascii="宋体" w:hAnsi="宋体" w:eastAsia="宋体" w:cs="宋体"/>
          <w:color w:val="auto"/>
          <w:sz w:val="24"/>
          <w:szCs w:val="24"/>
          <w:highlight w:val="none"/>
          <w:lang w:val="en-US" w:eastAsia="zh-CN" w:bidi="ar"/>
        </w:rPr>
        <w:t xml:space="preserve">乙方服务不达标、投诉超标、整改不到位、出现安全事故或违规行为的，甲方有权依据考核细则及合同约定暂缓、扣减、不予支付对应服务费。</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七</w:t>
      </w:r>
      <w:r>
        <w:rPr>
          <w:rFonts w:hint="eastAsia" w:ascii="宋体" w:hAnsi="宋体" w:eastAsia="宋体" w:cs="宋体"/>
          <w:b/>
          <w:color w:val="auto"/>
          <w:highlight w:val="none"/>
        </w:rPr>
        <w:t xml:space="preserve">、税费</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w:t>
      </w:r>
      <w:r>
        <w:rPr>
          <w:rFonts w:ascii="宋体" w:hAnsi="宋体" w:eastAsia="宋体" w:cs="宋体"/>
          <w:color w:val="auto"/>
          <w:sz w:val="24"/>
          <w:szCs w:val="24"/>
          <w:highlight w:val="none"/>
          <w:lang w:val="en-US" w:eastAsia="zh-CN" w:bidi="ar"/>
        </w:rPr>
        <w:t xml:space="preserve">本合同履行过程中产生的全部税费、人员成本、运营成本、交通成本、服务耗材成本等一切费用，均由乙方全额承担，甲方无需额外支付任何费用。</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八</w:t>
      </w:r>
      <w:r>
        <w:rPr>
          <w:rFonts w:hint="eastAsia" w:ascii="宋体" w:hAnsi="宋体" w:eastAsia="宋体" w:cs="宋体"/>
          <w:b/>
          <w:color w:val="auto"/>
          <w:highlight w:val="none"/>
        </w:rPr>
        <w:t xml:space="preserve">、项目验收</w:t>
      </w:r>
      <w:r/>
    </w:p>
    <w:p>
      <w:pPr>
        <w:pStyle w:val="859"/>
        <w:ind w:left="0" w:firstLine="480"/>
        <w:jc w:val="both"/>
        <w:keepLines w:val="0"/>
        <w:keepNext w:val="0"/>
        <w:pageBreakBefore w:val="0"/>
        <w:spacing w:beforeAutospacing="0" w:afterAutospacing="0" w:line="480" w:lineRule="exact"/>
        <w:widowControl w:val="off"/>
        <w:rPr>
          <w:rFonts w:hint="eastAsia"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.1 甲方按照招标文件约定的项目需求、乙方投标文件所作承诺，结合国家现行有关质量标准与技术规范，对乙方所提供的全部服务进行审查与验收。</w:t>
      </w:r>
      <w:r>
        <w:rPr>
          <w:rFonts w:hint="eastAsia" w:ascii="宋体" w:hAnsi="宋体" w:eastAsia="宋体" w:cs="宋体"/>
          <w:color w:val="auto"/>
          <w:highlight w:val="none"/>
          <w:lang w:val="en-US" w:eastAsia="zh-CN"/>
        </w:rPr>
        <w:t xml:space="preserve">乙方须完整保存项目执行过程中的服务、管理等资料（文本、照片、录音和音像等），每</w:t>
      </w:r>
      <w:r>
        <w:rPr>
          <w:rFonts w:hint="eastAsia" w:hAnsi="宋体" w:eastAsia="宋体" w:cs="宋体"/>
          <w:color w:val="auto"/>
          <w:highlight w:val="none"/>
          <w:lang w:val="en-US" w:eastAsia="zh-CN"/>
        </w:rPr>
        <w:t xml:space="preserve">季度</w:t>
      </w:r>
      <w:r>
        <w:rPr>
          <w:rFonts w:hint="eastAsia" w:ascii="宋体" w:hAnsi="宋体" w:eastAsia="宋体" w:cs="宋体"/>
          <w:color w:val="auto"/>
          <w:highlight w:val="none"/>
          <w:lang w:val="en-US" w:eastAsia="zh-CN"/>
        </w:rPr>
        <w:t xml:space="preserve">提交项目工作简报，汇报服务开展、问题整改</w:t>
      </w:r>
      <w:r>
        <w:rPr>
          <w:rFonts w:hint="eastAsia"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服务数据等情况；服务期满后，按照甲方要求提交完整项目成果总结报告及全套归档资料</w:t>
      </w:r>
      <w:r>
        <w:rPr>
          <w:rFonts w:hint="eastAsia" w:ascii="宋体" w:hAnsi="宋体" w:eastAsia="宋体" w:cs="宋体"/>
          <w:b w:val="0"/>
          <w:bCs w:val="0"/>
          <w:color w:val="auto"/>
          <w:highlight w:val="none"/>
          <w:lang w:val="en-US" w:eastAsia="zh-CN"/>
        </w:rPr>
        <w:t xml:space="preserve">，年度服务结束后统一整理归档</w:t>
      </w:r>
      <w:r>
        <w:rPr>
          <w:rFonts w:hint="eastAsia" w:hAnsi="宋体" w:eastAsia="宋体" w:cs="宋体"/>
          <w:color w:val="auto"/>
          <w:highlight w:val="none"/>
          <w:lang w:val="en-US" w:eastAsia="zh-CN"/>
        </w:rPr>
        <w:t xml:space="preserve">。</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.2 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甲方将及时报告本级财政部门。</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九</w:t>
      </w:r>
      <w:r>
        <w:rPr>
          <w:rFonts w:hint="eastAsia" w:ascii="宋体" w:hAnsi="宋体" w:eastAsia="宋体" w:cs="宋体"/>
          <w:b/>
          <w:color w:val="auto"/>
          <w:highlight w:val="none"/>
        </w:rPr>
        <w:t xml:space="preserve">、违约责任</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.1甲方无正当理由拒绝接受乙方提供的合同标的的，甲方向乙方偿付拒绝接受合同价款</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0%  </w:t>
      </w:r>
      <w:r>
        <w:rPr>
          <w:rFonts w:hint="eastAsia" w:ascii="宋体" w:hAnsi="宋体" w:eastAsia="宋体" w:cs="宋体"/>
          <w:color w:val="auto"/>
          <w:highlight w:val="none"/>
        </w:rPr>
        <w:t xml:space="preserve">的违约金。</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甲方无故逾期验收和办理合同款项支付手续的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甲方应以逾期付款总额为基数，按全国银行间同业拆借中心公布的一年期贷款市场报价利率（(LPR)为标准</w:t>
      </w:r>
      <w:r>
        <w:rPr>
          <w:rFonts w:hint="eastAsia" w:ascii="宋体" w:hAnsi="宋体" w:eastAsia="宋体" w:cs="宋体"/>
          <w:color w:val="auto"/>
          <w:highlight w:val="none"/>
        </w:rPr>
        <w:t xml:space="preserve">每日向乙方支付违约金。</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.3 乙方逾期交付合同标的的，乙方应按逾期交付合同</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0%  </w:t>
      </w:r>
      <w:r>
        <w:rPr>
          <w:rFonts w:hint="eastAsia" w:ascii="宋体" w:hAnsi="宋体" w:eastAsia="宋体" w:cs="宋体"/>
          <w:color w:val="auto"/>
          <w:highlight w:val="none"/>
        </w:rPr>
        <w:t xml:space="preserve">的违约金，如造成甲方损失超过违约金的，超出部分由乙方继续承担赔偿责任。 </w:t>
      </w:r>
      <w:r/>
    </w:p>
    <w:p>
      <w:pPr>
        <w:pStyle w:val="859"/>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.4 乙方交付合同标的的标准不符合合同规定及招标文件规定标准的，甲方有权拒绝接受合同标的，并可单方解除合同。</w:t>
      </w:r>
      <w:r/>
    </w:p>
    <w:p>
      <w:pPr>
        <w:pStyle w:val="859"/>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9.5 乙方服务过程中发生人员伤亡、服务对象人身财产损害、安全事故、重大投诉、负面舆情的，全部责任及赔偿由乙方独立承担，与甲方无关，甲方有权追责、扣费、解约。</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十</w:t>
      </w:r>
      <w:r>
        <w:rPr>
          <w:rFonts w:hint="eastAsia" w:ascii="宋体" w:hAnsi="宋体" w:eastAsia="宋体" w:cs="宋体"/>
          <w:b/>
          <w:color w:val="auto"/>
          <w:highlight w:val="none"/>
        </w:rPr>
        <w:t xml:space="preserve">、不可抗力事件处理</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不可抗力事件发生后，应立即通知对方，并寄送有关权威机构出具的证明。</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.3 不可抗力事件延续120天以上，双方应通过友好协商，确定是否继续履行合同。</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、解决争议的方法</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859"/>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、合同生效及其它</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 合同经双方法定代表人或授权委托代表人签字并加盖单位公章后生效。</w:t>
      </w:r>
      <w:r/>
    </w:p>
    <w:p>
      <w:pPr>
        <w:pStyle w:val="859"/>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《中华人民共和国民法典》《中华人民共和国政府采购法》等</w:t>
      </w:r>
      <w:r>
        <w:rPr>
          <w:rFonts w:hint="eastAsia" w:ascii="宋体" w:hAnsi="宋体" w:eastAsia="宋体" w:cs="宋体"/>
          <w:color w:val="auto"/>
          <w:highlight w:val="none"/>
        </w:rPr>
        <w:t xml:space="preserve">有关条文执行。</w:t>
      </w:r>
      <w:r/>
    </w:p>
    <w:p>
      <w:pPr>
        <w:pStyle w:val="859"/>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859"/>
        <w:ind w:left="480" w:hanging="480"/>
        <w:jc w:val="both"/>
        <w:pageBreakBefore w:val="0"/>
        <w:spacing w:before="120" w:beforeAutospacing="0" w:after="12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9"/>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甲方：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 </w:t>
      </w:r>
      <w:r/>
    </w:p>
    <w:p>
      <w:pPr>
        <w:pStyle w:val="859"/>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地址：                      地址： </w:t>
      </w:r>
      <w:r/>
    </w:p>
    <w:p>
      <w:pPr>
        <w:pStyle w:val="859"/>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859"/>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联系电话：                  联系电话：          </w:t>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签订日期：      年    月   日</w:t>
      </w:r>
      <w:bookmarkStart w:id="186" w:name="_Toc28983"/>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center"/>
        <w:keepLines w:val="0"/>
        <w:keepNext w:val="0"/>
        <w:pageBreakBefore w:val="0"/>
        <w:spacing w:beforeAutospacing="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8"/>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79"/>
      <w:r/>
      <w:bookmarkEnd w:id="180"/>
      <w:r/>
      <w:bookmarkEnd w:id="181"/>
      <w:r/>
      <w:bookmarkEnd w:id="182"/>
      <w:r/>
      <w:bookmarkEnd w:id="183"/>
      <w:r/>
      <w:bookmarkEnd w:id="186"/>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r/>
    </w:p>
    <w:p>
      <w:pPr>
        <w:pStyle w:val="859"/>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1.</w:t>
      </w:r>
      <w:r>
        <w:rPr>
          <w:rFonts w:hint="eastAsia" w:ascii="宋体" w:hAnsi="宋体" w:eastAsia="宋体" w:cs="宋体"/>
          <w:b/>
          <w:bCs/>
          <w:color w:val="auto"/>
          <w:highlight w:val="none"/>
        </w:rPr>
        <w:t xml:space="preserve">项目概况</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按照《盐城市特困人员认定和救助供养实施细则》等文件精神和上级部门要求，完善特困供养人员管理服务的需要，</w:t>
      </w:r>
      <w:r>
        <w:rPr>
          <w:rFonts w:hint="eastAsia" w:ascii="宋体" w:hAnsi="宋体" w:eastAsia="宋体" w:cs="宋体"/>
          <w:color w:val="auto"/>
          <w:highlight w:val="none"/>
        </w:rPr>
        <w:t xml:space="preserve">拟采取购买第三方服务的方式对全市</w:t>
      </w:r>
      <w:r>
        <w:rPr>
          <w:rFonts w:hint="eastAsia" w:ascii="宋体" w:hAnsi="宋体" w:eastAsia="宋体" w:cs="宋体"/>
          <w:color w:val="auto"/>
          <w:highlight w:val="none"/>
          <w:lang w:val="en-US" w:eastAsia="zh-CN"/>
        </w:rPr>
        <w:t xml:space="preserve">分散</w:t>
      </w:r>
      <w:r>
        <w:rPr>
          <w:rFonts w:hint="eastAsia" w:ascii="宋体" w:hAnsi="宋体" w:eastAsia="宋体" w:cs="宋体"/>
          <w:color w:val="auto"/>
          <w:highlight w:val="none"/>
        </w:rPr>
        <w:t xml:space="preserve">特困供养人员提供照料护理。</w:t>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主要依据</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《省政府关于完善特困人员救助供养制度的实施意见》</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苏政规</w:t>
      </w:r>
      <w:r>
        <w:rPr>
          <w:rFonts w:hint="eastAsia" w:ascii="宋体" w:hAnsi="宋体" w:eastAsia="宋体" w:cs="宋体"/>
          <w:b w:val="0"/>
          <w:bCs w:val="0"/>
          <w:color w:val="auto"/>
          <w:highlight w:val="none"/>
        </w:rPr>
        <w:t xml:space="preserve">〔202</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号）</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加强特困人员照料护理服务与养老服务、残疾人服务和长期护理保险衔接，可通过机构养老、居家上门、社区日间照料、残疾人托养、长期护理保险等，开展特困人员照料护理服务</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关于提高全市困难群众基本生活保障和补贴标准的通知》（盐民助﹝2021﹞6号）：“照料护理费用于各地为特困人员统一购买照料护理服务”。《关于提高全市困难群众基本生活保障标准的通知》（盐民助〔2025〕3号）：</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特困人员照料护理服务标准按照完全丧失生活自理能力、部分丧失生活自理能力、具备生活自理能力三档，最低工资标准二类地区分别提高至每人每月 678元、339元、113元；特困人员照料护理应当与居家养老上门服务、长期照护保险制度相衔接，按照就高不重复原则落实</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w:t>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服务对象</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全市19个镇（区、场）在册分散特困人员共2855人</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预计</w:t>
      </w:r>
      <w:r>
        <w:rPr>
          <w:rFonts w:hint="eastAsia" w:ascii="宋体" w:hAnsi="宋体" w:eastAsia="宋体" w:cs="宋体"/>
          <w:b w:val="0"/>
          <w:bCs w:val="0"/>
          <w:color w:val="auto"/>
          <w:highlight w:val="none"/>
          <w:lang w:val="en-US" w:eastAsia="zh-CN"/>
        </w:rPr>
        <w:t xml:space="preserve">服务期内</w:t>
      </w:r>
      <w:r>
        <w:rPr>
          <w:rFonts w:hint="eastAsia" w:ascii="宋体" w:hAnsi="宋体" w:eastAsia="宋体" w:cs="宋体"/>
          <w:b w:val="0"/>
          <w:bCs w:val="0"/>
          <w:color w:val="auto"/>
          <w:highlight w:val="none"/>
        </w:rPr>
        <w:t xml:space="preserve">新增分散特困人员200人</w:t>
      </w:r>
      <w:r>
        <w:rPr>
          <w:rFonts w:hint="eastAsia" w:ascii="宋体" w:hAnsi="宋体" w:eastAsia="宋体" w:cs="宋体"/>
          <w:b w:val="0"/>
          <w:bCs w:val="0"/>
          <w:color w:val="auto"/>
          <w:highlight w:val="none"/>
          <w:lang w:val="en-US" w:eastAsia="zh-CN"/>
        </w:rPr>
        <w:t xml:space="preserve">左右</w:t>
      </w:r>
      <w:r>
        <w:rPr>
          <w:rFonts w:hint="eastAsia" w:ascii="宋体" w:hAnsi="宋体" w:eastAsia="宋体" w:cs="宋体"/>
          <w:b w:val="0"/>
          <w:bCs w:val="0"/>
          <w:color w:val="auto"/>
          <w:highlight w:val="none"/>
        </w:rPr>
        <w:t xml:space="preserve">。</w:t>
      </w:r>
      <w:r/>
    </w:p>
    <w:p>
      <w:pPr>
        <w:pStyle w:val="859"/>
        <w:ind w:firstLine="480"/>
        <w:jc w:val="both"/>
        <w:keepLines w:val="0"/>
        <w:keepNext w:val="0"/>
        <w:pageBreakBefore w:val="0"/>
        <w:spacing w:beforeAutospacing="0" w:afterAutospacing="0" w:line="480" w:lineRule="exact"/>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服务对象人数、自理能力等级实行动态调整，中标单位须无条件配合采购人月度更新名单，确保新增、变更、退出人员服务的衔接。</w:t>
      </w:r>
      <w:r>
        <w:rPr>
          <w:rFonts w:hint="eastAsia" w:ascii="宋体" w:hAnsi="宋体" w:eastAsia="宋体" w:cs="宋体"/>
          <w:b w:val="0"/>
          <w:bCs w:val="0"/>
          <w:color w:val="auto"/>
          <w:highlight w:val="none"/>
        </w:rPr>
        <w:t xml:space="preserve">服务标准如有政策性调整，按最新文件要求执行。</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特困人员户籍地与实际居住地不一致的，</w:t>
      </w:r>
      <w:r>
        <w:rPr>
          <w:rFonts w:hint="eastAsia" w:ascii="宋体" w:hAnsi="宋体" w:eastAsia="宋体" w:cs="宋体"/>
          <w:b w:val="0"/>
          <w:bCs w:val="0"/>
          <w:color w:val="auto"/>
          <w:highlight w:val="none"/>
          <w:lang w:val="en-US" w:eastAsia="zh-CN"/>
        </w:rPr>
        <w:t xml:space="preserve">原则上由实际居住地的中标单位提供服务，中标单位应当做好协调衔接，不得推诿、拒服、漏服。</w:t>
      </w:r>
      <w:r/>
    </w:p>
    <w:p>
      <w:pPr>
        <w:pStyle w:val="859"/>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highlight w:val="none"/>
          <w:lang w:val="en-US" w:eastAsia="zh-CN"/>
        </w:rPr>
        <w:t xml:space="preserve">服务费标准</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根据《关于提高全市困难群众基本生活保障标准的通知》（盐民助〔</w:t>
      </w:r>
      <w:r>
        <w:rPr>
          <w:rFonts w:hint="eastAsia" w:ascii="宋体" w:hAnsi="宋体" w:eastAsia="宋体" w:cs="宋体"/>
          <w:b w:val="0"/>
          <w:bCs w:val="0"/>
          <w:color w:val="auto"/>
          <w:highlight w:val="none"/>
          <w:lang w:val="en-US" w:eastAsia="zh-CN"/>
        </w:rPr>
        <w:t xml:space="preserve">2025</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号）要求，特困人员照料护理服务标准按照完全丧失生活自理能力、部分丧失生活自理能力、具备生活自理能力三档，分别为每人每月</w:t>
      </w:r>
      <w:r>
        <w:rPr>
          <w:rFonts w:hint="eastAsia" w:ascii="宋体" w:hAnsi="宋体" w:eastAsia="宋体" w:cs="宋体"/>
          <w:b w:val="0"/>
          <w:bCs w:val="0"/>
          <w:color w:val="auto"/>
          <w:highlight w:val="none"/>
          <w:lang w:val="en-US" w:eastAsia="zh-CN"/>
        </w:rPr>
        <w:t xml:space="preserve">678</w:t>
      </w:r>
      <w:r>
        <w:rPr>
          <w:rFonts w:hint="eastAsia" w:ascii="宋体" w:hAnsi="宋体" w:eastAsia="宋体" w:cs="宋体"/>
          <w:b w:val="0"/>
          <w:bCs w:val="0"/>
          <w:color w:val="auto"/>
          <w:highlight w:val="none"/>
        </w:rPr>
        <w:t xml:space="preserve">元、</w:t>
      </w:r>
      <w:r>
        <w:rPr>
          <w:rFonts w:hint="eastAsia" w:ascii="宋体" w:hAnsi="宋体" w:eastAsia="宋体" w:cs="宋体"/>
          <w:b w:val="0"/>
          <w:bCs w:val="0"/>
          <w:color w:val="auto"/>
          <w:highlight w:val="none"/>
          <w:lang w:val="en-US" w:eastAsia="zh-CN"/>
        </w:rPr>
        <w:t xml:space="preserve">339</w:t>
      </w:r>
      <w:r>
        <w:rPr>
          <w:rFonts w:hint="eastAsia" w:ascii="宋体" w:hAnsi="宋体" w:eastAsia="宋体" w:cs="宋体"/>
          <w:b w:val="0"/>
          <w:bCs w:val="0"/>
          <w:color w:val="auto"/>
          <w:highlight w:val="none"/>
        </w:rPr>
        <w:t xml:space="preserve">元、</w:t>
      </w:r>
      <w:r>
        <w:rPr>
          <w:rFonts w:hint="eastAsia" w:ascii="宋体" w:hAnsi="宋体" w:eastAsia="宋体" w:cs="宋体"/>
          <w:b w:val="0"/>
          <w:bCs w:val="0"/>
          <w:color w:val="auto"/>
          <w:highlight w:val="none"/>
          <w:lang w:val="en-US" w:eastAsia="zh-CN"/>
        </w:rPr>
        <w:t xml:space="preserve">113</w:t>
      </w:r>
      <w:r>
        <w:rPr>
          <w:rFonts w:hint="eastAsia" w:ascii="宋体" w:hAnsi="宋体" w:eastAsia="宋体" w:cs="宋体"/>
          <w:b w:val="0"/>
          <w:bCs w:val="0"/>
          <w:color w:val="auto"/>
          <w:highlight w:val="none"/>
        </w:rPr>
        <w:t xml:space="preserve">元。</w:t>
      </w:r>
      <w:r>
        <w:rPr>
          <w:rFonts w:hint="eastAsia" w:ascii="宋体" w:hAnsi="宋体" w:eastAsia="宋体" w:cs="宋体"/>
          <w:color w:val="auto"/>
          <w:highlight w:val="none"/>
          <w:lang w:val="en-US" w:eastAsia="zh-CN"/>
        </w:rPr>
        <w:t xml:space="preserve">服务期内</w:t>
      </w:r>
      <w:r>
        <w:rPr>
          <w:rFonts w:hint="eastAsia" w:ascii="宋体" w:hAnsi="宋体" w:eastAsia="宋体" w:cs="宋体"/>
          <w:color w:val="auto"/>
          <w:sz w:val="24"/>
          <w:szCs w:val="24"/>
          <w:highlight w:val="none"/>
          <w:lang w:val="en-US" w:eastAsia="zh-CN" w:bidi="ar-SA"/>
        </w:rPr>
        <w:t xml:space="preserve">如有政策调整，</w:t>
      </w:r>
      <w:r>
        <w:rPr>
          <w:rFonts w:ascii="宋体" w:hAnsi="宋体" w:eastAsia="宋体" w:cs="宋体"/>
          <w:color w:val="auto"/>
          <w:sz w:val="24"/>
          <w:szCs w:val="24"/>
          <w:highlight w:val="none"/>
          <w:lang w:val="en-US" w:eastAsia="zh-CN" w:bidi="ar"/>
        </w:rPr>
        <w:t xml:space="preserve">本项目服务价格、服务内容按最新官方文件自动执行，采购人无需另行补签合同。</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特困人员月度服务额度仅限当月使用，不累积、不变现、不结转、不转让。当月有效合规服务工单总金额超出对应档次月度标准的，按月度标准结算；因服务对象特殊原因、客观情况导致当月服务金额未达标，且经采购人核实确认的，按实际有效合格工单据实结算。</w:t>
      </w:r>
      <w:r>
        <w:rPr>
          <w:rFonts w:hint="eastAsia" w:ascii="宋体" w:hAnsi="宋体" w:eastAsia="宋体" w:cs="宋体"/>
          <w:b w:val="0"/>
          <w:bCs w:val="0"/>
          <w:color w:val="auto"/>
          <w:highlight w:val="none"/>
          <w:lang w:val="en-US" w:eastAsia="zh-CN"/>
        </w:rPr>
        <w:t xml:space="preserve">中标单位每月主动比对长护险服务名单，严格执行就高不重复原则，已享受长护险的服务对象，本项目不予重复结算</w:t>
      </w:r>
      <w:r>
        <w:rPr>
          <w:rFonts w:hint="eastAsia" w:ascii="宋体" w:hAnsi="宋体" w:eastAsia="宋体" w:cs="宋体"/>
          <w:b w:val="0"/>
          <w:bCs w:val="0"/>
          <w:color w:val="auto"/>
          <w:highlight w:val="none"/>
          <w:lang w:val="en-US" w:eastAsia="zh-CN"/>
        </w:rPr>
        <w:t xml:space="preserve">。所有结算以采购人审核确认的、信息化平台可溯源、真实有效的服务工单及</w:t>
      </w:r>
      <w:r>
        <w:rPr>
          <w:rFonts w:hint="eastAsia" w:ascii="宋体" w:hAnsi="宋体" w:eastAsia="宋体" w:cs="宋体"/>
          <w:b w:val="0"/>
          <w:bCs w:val="0"/>
          <w:color w:val="auto"/>
          <w:highlight w:val="none"/>
          <w:lang w:val="en-US" w:eastAsia="zh-CN"/>
        </w:rPr>
        <w:t xml:space="preserve">当月核定实际服务人数</w:t>
      </w:r>
      <w:r>
        <w:rPr>
          <w:rFonts w:hint="eastAsia" w:ascii="宋体" w:hAnsi="宋体" w:eastAsia="宋体" w:cs="宋体"/>
          <w:b w:val="0"/>
          <w:bCs w:val="0"/>
          <w:color w:val="auto"/>
          <w:highlight w:val="none"/>
          <w:lang w:val="en-US" w:eastAsia="zh-CN"/>
        </w:rPr>
        <w:t xml:space="preserve">、自理等级为准。</w:t>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服务内容</w:t>
      </w:r>
      <w:r/>
    </w:p>
    <w:p>
      <w:pPr>
        <w:pStyle w:val="859"/>
        <w:ind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val="en-US" w:eastAsia="zh-CN" w:bidi="ar"/>
        </w:rPr>
        <w:t xml:space="preserve">中标单位可根据特困人员身体状况、实际需求，经服务对象本人同意后，灵活替换同等金额、同等档次的服务项目/套餐，严禁强制服务、捆绑服务、虚假服务，服务</w:t>
      </w:r>
      <w:r>
        <w:rPr>
          <w:rFonts w:hint="eastAsia" w:ascii="宋体" w:hAnsi="宋体" w:eastAsia="宋体" w:cs="宋体"/>
          <w:color w:val="auto"/>
          <w:sz w:val="24"/>
          <w:szCs w:val="24"/>
          <w:highlight w:val="none"/>
          <w:lang w:val="en-US" w:eastAsia="zh-CN" w:bidi="ar"/>
        </w:rPr>
        <w:t xml:space="preserve">要求</w:t>
      </w:r>
      <w:r>
        <w:rPr>
          <w:rFonts w:ascii="宋体" w:hAnsi="宋体" w:eastAsia="宋体" w:cs="宋体"/>
          <w:color w:val="auto"/>
          <w:sz w:val="24"/>
          <w:szCs w:val="24"/>
          <w:highlight w:val="none"/>
          <w:lang w:val="en-US" w:eastAsia="zh-CN" w:bidi="ar"/>
        </w:rPr>
        <w:t xml:space="preserve">参照</w:t>
      </w:r>
      <w:r>
        <w:rPr>
          <w:rFonts w:hint="eastAsia" w:ascii="宋体" w:hAnsi="宋体" w:eastAsia="宋体" w:cs="宋体"/>
          <w:color w:val="auto"/>
          <w:sz w:val="24"/>
          <w:szCs w:val="24"/>
          <w:highlight w:val="none"/>
          <w:lang w:val="en-US" w:eastAsia="zh-CN" w:bidi="ar"/>
        </w:rPr>
        <w:t xml:space="preserve">2025年民政部门印发的</w:t>
      </w:r>
      <w:r>
        <w:rPr>
          <w:rFonts w:hint="eastAsia" w:ascii="宋体" w:hAnsi="宋体" w:eastAsia="宋体" w:cs="宋体"/>
          <w:color w:val="auto"/>
          <w:sz w:val="24"/>
          <w:szCs w:val="24"/>
          <w:highlight w:val="none"/>
          <w:lang w:val="en-US" w:eastAsia="zh-CN" w:bidi="ar-SA"/>
        </w:rPr>
        <w:t xml:space="preserve">《关于规范东台市政府购买居家上门服务的通知》</w:t>
      </w:r>
      <w:r>
        <w:rPr>
          <w:rFonts w:ascii="宋体" w:hAnsi="宋体" w:eastAsia="宋体" w:cs="宋体"/>
          <w:color w:val="auto"/>
          <w:sz w:val="24"/>
          <w:szCs w:val="24"/>
          <w:highlight w:val="none"/>
          <w:lang w:val="en-US" w:eastAsia="zh-CN" w:bidi="ar"/>
        </w:rPr>
        <w:t xml:space="preserve">执行。</w:t>
      </w:r>
      <w:r>
        <w:rPr>
          <w:rFonts w:ascii="宋体" w:hAnsi="宋体" w:eastAsia="宋体" w:cs="宋体"/>
          <w:color w:val="auto"/>
          <w:sz w:val="24"/>
          <w:szCs w:val="24"/>
          <w:highlight w:val="none"/>
          <w:lang w:eastAsia="zh-CN" w:bidi="ar"/>
        </w:rPr>
        <w:t xml:space="preserve">服务要求有变化的，按照最新政策要求执行。</w:t>
      </w:r>
      <w:r/>
    </w:p>
    <w:tbl>
      <w:tblPr>
        <w:tblStyle w:val="850"/>
        <w:tblW w:w="833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870"/>
        <w:gridCol w:w="1447"/>
        <w:gridCol w:w="4804"/>
        <w:gridCol w:w="630"/>
        <w:gridCol w:w="58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套餐类型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服务时长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支付金额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全自理套餐A（113）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上门为服务对象提供专业泡脚、修脚服务。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头面部清洁+舒缓服务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1.上门为服务对象提供头面部清洁；2.提供舒缓服务。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起居照顾+上门送餐     （一荤两素）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1.帮助服务对象清洗、翻晒、更换床上用品，保持床铺清洁等；2. 按照一荤两素的标准为服务对象提供餐食并配送上门。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全自理套餐B（113）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理发+修剪指甲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为服务对象提供上门/到店洗头理发、修剪手、脚指甲等个人清洁服务。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参照长者食堂两荤两素标准为服务对象提供餐食并配送上门。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1.为服务对象洗涤床上用品或衣服（春夏秋轻薄衣物5-6件起，冬季厚重衣服2件起）洗干净，晾晒；2.根据服务对象要求对换季衣服、棉被进行收纳，并放置到指定位置。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全自理套餐c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为服务对象上门/到店洗头理发。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上门送餐+修剪指甲     （一荤两素）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按照一荤两素的标准为服务对象提供餐食并配送上门；2.上门为服务对象提供修剪手、脚指甲等个人清洁服务。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半失能套餐A（339）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协助服务对象家属在服务对象家中提供洗浴服务，包括：泡浴、坐浴、淋浴、擦浴等。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2.剩余时间根据需求为服务对象提供居室清洁、物品收纳或清洗等。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衣服清洗+物品归纳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根据服务对象要求，在服务对象家中制作餐食，供服务对象食用，一般制作2-3道菜。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半失能套餐B(339)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协助服务对象家属在服务对象家中提供洗浴服务，包括：泡浴、坐浴、淋浴、擦浴等。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上门送餐（两荤两素）+代购物品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1.参照长者食堂两荤两素标准为服务对象提供餐食并配送上门；2.陪同或帮助服务对象外出购买物品。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半失能套餐C(339)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居室清洁+衣服清洗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1.为服务对象家中打扫卫生，居室保洁、物品清洁等；2.为服务对象洗涤床上用品或衣服（春夏秋轻薄衣物5-6件起，冬季厚重衣服2件起）洗干净，晾晒。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上门送餐（两荤两素）+舒缓服务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根据服务对象要求，在服务对象家中制作餐食，供服务对象食用，一般制作2-3道菜。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代购物品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陪同或帮助服务对象外出购买物品。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1.为服务对象上门/到店洗头理发；2.剩余时间根据服务对象要求对换季衣服、棉被、日常物品等收纳，并放置到指定位置。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全失能套餐A（678）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1.为服务对象上门/到店洗头理发；2.提供舒缓服务；3.为服务对象家中打扫卫生，居室保洁、物品清洁等。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康复保健+物品归纳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1.利用专业的康复器具，为服务对象提供专门的康复护理（包括肢体康复功能训练及指导、生活自理能力训练及指导）；2.为服务对象家中打扫卫生，居室保洁、物品清洁，房间衣服整理物品归类。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失能助浴+舒缓服务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1.携带为失能服务对象提供助浴的专业工具，2-3名专业护理人员同时到服务对象家中为服务对象开展助浴服务；2.提供肩颈按摩、捶背捏腿等舒缓服务。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1.根据服务对象要求，在服务对象家中制作餐食，供服务对象食用，一般制作2-3道菜；2.剩余时间为服务对象家中打扫卫生，居室保洁、物品清洁等。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continue"/>
            <w:textDirection w:val="lrTb"/>
            <w:noWrap w:val="false"/>
          </w:tcPr>
          <w:p>
            <w:pPr>
              <w:jc w:val="both"/>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康复保健+起居照顾+测量血糖、血压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利用专业的康复器具，为服务对象提供专门的康复护理（包括肢体康复功能训练及指导、生活自理能力训练及指导）；2.帮助服务对象清洗、翻晒、更换床上用品，保持床铺清洁等；3.帮助服务对象测量血糖和血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1.为服务对象提供术后照护、失能照护等专业照护服务；2.帮助服务对象清洗、翻晒、更换床上用品，保持床铺清洁等。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代购物品＋陪同就诊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1.陪同或帮助服务对象外出购买物品；2.陪同服务对象到指定医院就医、体检等。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全失能套餐B（678）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代为买药＋陪同就诊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根据医嘱，为服务对象购买药品；2.陪同服务对象到指定医院就医、体检等。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失能助浴+舒缓服务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1.携带为失能服务对象提供助浴的专业工具，2-3名专业护理人员同时到服务对象家中为服务对象开展助浴服务；2.提供肩颈按摩、捶背捏腿等舒缓服务。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根据服务对象要求，在服务对象家中制作餐食，供服务对象食用，一般制作2-3道菜；2.剩余时间为服务对象家中打扫卫生，居室保洁、物品清洁等。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continue"/>
            <w:textDirection w:val="lrTb"/>
            <w:noWrap w:val="false"/>
          </w:tcPr>
          <w:p>
            <w:pPr>
              <w:jc w:val="both"/>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1.为服务对象提供术后照护、失能照护等专业照护服务；2.根据服务对象要求对换季衣服、棉被、日常物品等收纳，并放置到指定位置。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居家大扫除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将服务对象客厅、房间、厨房分别整理收纳、打扫清洗，保持干净整洁。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现场理疗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由专业人员利用服务对象自己的理疗仪器为服务对象提供理疗服务。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全失能套餐C（678）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代购物品+衣服清洗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1.陪同或帮助服务对象外出购买物品；2.为服务对象洗涤床上用品或衣服（春夏秋轻薄衣物5-6件起，冬季厚重衣服2件起）洗干净，晾晒。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1.为服务对象上门/到店洗头理发；2.提供舒缓服务；3.为服务对象家中打扫卫生，居室保洁、物品清洁等。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1.根据服务对象要求，在服务对象家中制作餐食，供服务对象食用，一般制作2-3道菜；2.为服务对象家中打扫卫生，居室保洁、物品清洁等。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1.为服务对象提供术后照护、失能照护等专业照护服务；2.根据服务对象要求对换季衣服、棉被、日常物品等收纳，并放置到指定位置。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1.参照长者食堂两荤两素标准为服务对象提供餐食并配送上门；2.为服务对象提供术后照护、失能照护等专业照护服务。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（两荤两素）+生活照护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continue"/>
            <w:textDirection w:val="lrTb"/>
            <w:noWrap w:val="false"/>
          </w:tcPr>
          <w:p>
            <w:pPr>
              <w:jc w:val="both"/>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失能助浴+舒缓服务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1.携带为失能服务对象提供助浴的专业工具，2-3名专业护理人员同时到服务对象家中为服务对象开展助浴服务；2.提供肩颈按摩、捶背捏腿等舒缓服务。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物品维修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为服务对象联系专业人员或自行提供更换水龙头、灯泡、保险丝、电器等维修，并完成善后工作。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生活照护+测量血糖‘、血压+舒缓服务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为服务对象提供术后照护、失能照护等专业照护服务。2.帮助服务对象测量血糖和血压；3.提供舒缓服务。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6"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备注：</w:t>
            </w:r>
            <w:r>
              <w:rPr>
                <w:rFonts w:hint="eastAsia" w:ascii="宋体" w:hAnsi="宋体" w:eastAsia="宋体" w:cs="宋体"/>
                <w:i w:val="0"/>
                <w:color w:val="auto"/>
                <w:sz w:val="24"/>
                <w:szCs w:val="24"/>
                <w:highlight w:val="none"/>
                <w:u w:val="none"/>
                <w:lang w:val="en-US" w:eastAsia="zh-CN" w:bidi="ar"/>
              </w:rPr>
              <w:t xml:space="preserve">经服务对象同意，同等金额的服务项目/套餐可替换；服务金额超过服务标准的，按照服务标准结算。</w:t>
            </w:r>
            <w:r/>
          </w:p>
          <w:p>
            <w:pPr>
              <w:jc w:val="both"/>
              <w:keepLines w:val="0"/>
              <w:keepNext w:val="0"/>
              <w:pageBreakBefore w:val="0"/>
              <w:widowControl/>
              <w:rPr>
                <w:rFonts w:hint="default" w:ascii="宋体" w:hAnsi="宋体" w:eastAsia="宋体" w:cs="宋体"/>
                <w:i w:val="0"/>
                <w:color w:val="auto"/>
                <w:sz w:val="24"/>
                <w:szCs w:val="24"/>
                <w:highlight w:val="none"/>
                <w:u w:val="none"/>
                <w:lang w:val="en-US"/>
              </w:rPr>
              <w:suppressLineNumbers w:val="0"/>
            </w:pPr>
            <w:r>
              <w:rPr>
                <w:rFonts w:hint="eastAsia" w:ascii="宋体" w:hAnsi="宋体" w:eastAsia="宋体" w:cs="宋体"/>
                <w:i w:val="0"/>
                <w:color w:val="auto"/>
                <w:sz w:val="24"/>
                <w:szCs w:val="24"/>
                <w:highlight w:val="none"/>
                <w:u w:val="none"/>
                <w:lang w:val="en-US" w:eastAsia="zh-CN" w:bidi="ar"/>
              </w:rPr>
              <w:t xml:space="preserve">（全自理：具备生活自理能力；半失能：部分丧失生活自理能力；全失能：完全丧失生活自理能力）</w:t>
            </w:r>
            <w:r/>
          </w:p>
        </w:tc>
      </w:tr>
    </w:tbl>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服务要求</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6.1.</w:t>
      </w:r>
      <w:r>
        <w:rPr>
          <w:rFonts w:hint="eastAsia" w:ascii="宋体" w:hAnsi="宋体" w:eastAsia="宋体" w:cs="宋体"/>
          <w:color w:val="auto"/>
          <w:highlight w:val="none"/>
          <w:lang w:val="en-US" w:eastAsia="zh-CN"/>
        </w:rPr>
        <w:t xml:space="preserve">服务期满后，按照采购人的要求提交完整项目成果总结报告及全套归档资料</w:t>
      </w:r>
      <w:r>
        <w:rPr>
          <w:rFonts w:hint="eastAsia" w:hAnsi="宋体" w:eastAsia="宋体" w:cs="宋体"/>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所有服务对象，一户一档，档案中包括服务对象基础信息、自理能力等级、每月服务次数、时长和内容、服务评价、整改记录等</w:t>
      </w:r>
      <w:r>
        <w:rPr>
          <w:rFonts w:hint="eastAsia" w:hAnsi="宋体" w:eastAsia="宋体" w:cs="宋体"/>
          <w:color w:val="auto"/>
          <w:highlight w:val="none"/>
          <w:lang w:val="en-US" w:eastAsia="zh-CN"/>
        </w:rPr>
        <w:t xml:space="preserve">）。</w:t>
      </w:r>
      <w:r/>
    </w:p>
    <w:p>
      <w:pPr>
        <w:pStyle w:val="859"/>
        <w:ind w:firstLine="480"/>
        <w:jc w:val="both"/>
        <w:keepLines w:val="0"/>
        <w:keepNext w:val="0"/>
        <w:pageBreakBefore w:val="0"/>
        <w:spacing w:beforeAutospacing="0" w:afterAutospacing="0" w:line="480" w:lineRule="exact"/>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6.2.</w:t>
      </w:r>
      <w:r>
        <w:rPr>
          <w:rFonts w:hint="eastAsia" w:ascii="宋体" w:hAnsi="宋体" w:eastAsia="宋体" w:cs="宋体"/>
          <w:b w:val="0"/>
          <w:bCs w:val="0"/>
          <w:color w:val="auto"/>
          <w:highlight w:val="none"/>
          <w:lang w:val="en-US" w:eastAsia="zh-CN"/>
        </w:rPr>
        <w:t xml:space="preserve">中标单位</w:t>
      </w:r>
      <w:r>
        <w:rPr>
          <w:rFonts w:hint="eastAsia" w:ascii="宋体" w:hAnsi="宋体" w:eastAsia="宋体" w:cs="宋体"/>
          <w:b w:val="0"/>
          <w:bCs w:val="0"/>
          <w:color w:val="auto"/>
          <w:highlight w:val="none"/>
          <w:lang w:val="en-US" w:eastAsia="zh-CN"/>
        </w:rPr>
        <w:t xml:space="preserve">需提供服务热线，供服务对象咨询，处理解决服务过程中的矛盾及投诉等问题。全自理特困人员每月提供不少于3次服务，原则上每月服务时长不低于2.25个小时；半护理特困人员每月提供不少于6次服务，原则上每月服务时长不低于8个小时；全护理特困人员每月提供不少于9次服务，原则上每月服务时长不低于16个小时</w:t>
      </w:r>
      <w:r>
        <w:rPr>
          <w:rFonts w:hint="default" w:ascii="宋体" w:hAnsi="宋体" w:eastAsia="宋体" w:cs="宋体"/>
          <w:b w:val="0"/>
          <w:bCs w:val="0"/>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频次、时长不达标且无合理理由的，视为服务不合格，</w:t>
      </w:r>
      <w:r>
        <w:rPr>
          <w:rFonts w:hint="eastAsia" w:ascii="宋体" w:hAnsi="宋体" w:eastAsia="宋体" w:cs="宋体"/>
          <w:b w:val="0"/>
          <w:bCs w:val="0"/>
          <w:color w:val="auto"/>
          <w:highlight w:val="none"/>
          <w:lang w:val="en-US" w:eastAsia="zh-CN"/>
        </w:rPr>
        <w:t xml:space="preserve">采购人有权扣减服务费</w:t>
      </w:r>
      <w:r>
        <w:rPr>
          <w:rFonts w:hint="eastAsia" w:ascii="宋体" w:hAnsi="宋体" w:eastAsia="宋体" w:cs="宋体"/>
          <w:b w:val="0"/>
          <w:bCs w:val="0"/>
          <w:color w:val="auto"/>
          <w:highlight w:val="none"/>
          <w:lang w:val="en-US" w:eastAsia="zh-CN"/>
        </w:rPr>
        <w:t xml:space="preserve">。</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6.3.项目需在</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val="en-US" w:eastAsia="zh-CN"/>
        </w:rPr>
        <w:t xml:space="preserve">指定的数据管理信息化平台进行操作，实现对服务对象、服务人员、服务过程、服务质量、结算等内容的信息化管理。中标单位须及时排查服务对象异动情况，对死亡、迁出东台、长期不在本地居住、不符合服务条件的人员，立即终止服务并书面上报采购人。</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6.4.</w:t>
      </w:r>
      <w:r>
        <w:rPr>
          <w:rFonts w:hint="eastAsia" w:ascii="宋体" w:hAnsi="宋体" w:eastAsia="宋体" w:cs="宋体"/>
          <w:b w:val="0"/>
          <w:bCs w:val="0"/>
          <w:color w:val="auto"/>
          <w:highlight w:val="none"/>
          <w:lang w:val="en-US" w:eastAsia="zh-CN"/>
        </w:rPr>
        <w:t xml:space="preserve">中标单位</w:t>
      </w:r>
      <w:r>
        <w:rPr>
          <w:rFonts w:hint="eastAsia" w:ascii="宋体" w:hAnsi="宋体" w:eastAsia="宋体" w:cs="宋体"/>
          <w:b w:val="0"/>
          <w:bCs w:val="0"/>
          <w:color w:val="auto"/>
          <w:highlight w:val="none"/>
          <w:lang w:val="en-US" w:eastAsia="zh-CN"/>
        </w:rPr>
        <w:t xml:space="preserve">需每月与</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val="en-US" w:eastAsia="zh-CN"/>
        </w:rPr>
        <w:t xml:space="preserve">对接服务对象名单，核对更新特困人员服务名单、自理等级，确保服务的连续性和及时性。每月月初比对长护险名单，确保就高不重复，重复服务部分不予结算。</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6.5 本项目执行《关于提高全市困难群众基本生活保障标准的通知》（盐民助﹝2025﹞3号）服务费标准。项目履行过程中产生的全部税费、人员成本、运营成本、交通成本、服务耗材成本等一切费用，均由中标方全额承担，采购人不承担任何额外费用。</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6.6</w:t>
      </w:r>
      <w:r>
        <w:rPr>
          <w:rFonts w:hint="eastAsia" w:ascii="宋体" w:hAnsi="宋体" w:eastAsia="宋体" w:cs="宋体"/>
          <w:b w:val="0"/>
          <w:bCs w:val="0"/>
          <w:color w:val="auto"/>
          <w:highlight w:val="none"/>
        </w:rPr>
        <w:t xml:space="preserve">项目服务期间，中标方所有的工作人员的人身安全以及中标方在服务期间产生的各类安全责任事故</w:t>
      </w:r>
      <w:r>
        <w:rPr>
          <w:rFonts w:hint="eastAsia" w:ascii="宋体" w:hAnsi="宋体" w:eastAsia="宋体" w:cs="宋体"/>
          <w:b w:val="0"/>
          <w:bCs w:val="0"/>
          <w:color w:val="auto"/>
          <w:highlight w:val="none"/>
          <w:lang w:val="en-US" w:eastAsia="zh-CN"/>
        </w:rPr>
        <w:t xml:space="preserve">等全部责任</w:t>
      </w:r>
      <w:r>
        <w:rPr>
          <w:rFonts w:hint="eastAsia" w:ascii="宋体" w:hAnsi="宋体" w:eastAsia="宋体" w:cs="宋体"/>
          <w:b w:val="0"/>
          <w:bCs w:val="0"/>
          <w:color w:val="auto"/>
          <w:highlight w:val="none"/>
        </w:rPr>
        <w:t xml:space="preserve">均由</w:t>
      </w:r>
      <w:r>
        <w:rPr>
          <w:rFonts w:hint="eastAsia" w:ascii="宋体" w:hAnsi="宋体" w:eastAsia="宋体" w:cs="宋体"/>
          <w:b w:val="0"/>
          <w:bCs w:val="0"/>
          <w:color w:val="auto"/>
          <w:highlight w:val="none"/>
          <w:lang w:val="en-US" w:eastAsia="zh-CN"/>
        </w:rPr>
        <w:t xml:space="preserve">中标单位</w:t>
      </w:r>
      <w:r>
        <w:rPr>
          <w:rFonts w:hint="eastAsia" w:ascii="宋体" w:hAnsi="宋体" w:eastAsia="宋体" w:cs="宋体"/>
          <w:b w:val="0"/>
          <w:bCs w:val="0"/>
          <w:color w:val="auto"/>
          <w:highlight w:val="none"/>
        </w:rPr>
        <w:t xml:space="preserve">自行承担。因中标方管理不善，造成服务范围内的设施、设备等损坏的，由中标方负责</w:t>
      </w:r>
      <w:r>
        <w:rPr>
          <w:rFonts w:hint="eastAsia" w:ascii="宋体" w:hAnsi="宋体" w:eastAsia="宋体" w:cs="宋体"/>
          <w:b w:val="0"/>
          <w:bCs w:val="0"/>
          <w:color w:val="auto"/>
          <w:highlight w:val="none"/>
          <w:lang w:val="en-US" w:eastAsia="zh-CN"/>
        </w:rPr>
        <w:t xml:space="preserve">全额</w:t>
      </w:r>
      <w:r>
        <w:rPr>
          <w:rFonts w:hint="eastAsia" w:ascii="宋体" w:hAnsi="宋体" w:eastAsia="宋体" w:cs="宋体"/>
          <w:b w:val="0"/>
          <w:bCs w:val="0"/>
          <w:color w:val="auto"/>
          <w:highlight w:val="none"/>
        </w:rPr>
        <w:t xml:space="preserve">赔偿。</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6.7服务对象提出合理的人员更换诉求时，中标单位须无条件配合，不得推诿、拖延、拒绝。</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6.8 </w:t>
      </w:r>
      <w:r>
        <w:rPr>
          <w:rFonts w:hint="eastAsia" w:ascii="宋体" w:hAnsi="宋体" w:eastAsia="宋体" w:cs="宋体"/>
          <w:b w:val="0"/>
          <w:bCs w:val="0"/>
          <w:color w:val="auto"/>
          <w:highlight w:val="none"/>
          <w:lang w:val="en-US" w:eastAsia="zh-CN"/>
        </w:rPr>
        <w:t xml:space="preserve">严禁强制服务、捆绑服务、虚假打卡、虚假工单、代服务</w:t>
      </w:r>
      <w:r>
        <w:rPr>
          <w:rFonts w:hint="eastAsia" w:ascii="宋体" w:hAnsi="宋体" w:eastAsia="宋体" w:cs="宋体"/>
          <w:b w:val="0"/>
          <w:bCs w:val="0"/>
          <w:color w:val="auto"/>
          <w:highlight w:val="none"/>
          <w:lang w:val="en-US" w:eastAsia="zh-CN"/>
        </w:rPr>
        <w:t xml:space="preserve">等违规行为，一经查实，按合同及考核细则严肃追责、扣减费用，情节严重的解除合同、没收履约保证金。</w:t>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商务要求</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.1履约期限</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1年，具体起止日期以合同约定为准。</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.2履约地点</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包一：富安镇、唐洋镇、许河镇、新街镇。</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包二：东台镇、高新区、开发区、西溪景区、溱东镇、时堰镇、五烈镇。</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包三：梁垛镇、安丰镇、南沈灶镇、三仓镇、头灶镇、弶港镇、新曹农场、弶港农场。</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 付款条件（进度和方法）</w:t>
      </w:r>
      <w:r/>
    </w:p>
    <w:p>
      <w:pPr>
        <w:pStyle w:val="859"/>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.3.1支付方式：付款以人民币通过银行给付，统一汇至成交供应商的基本银行账户。</w:t>
      </w:r>
      <w:r/>
    </w:p>
    <w:p>
      <w:pPr>
        <w:pStyle w:val="859"/>
        <w:ind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.3.2 付款步骤：</w:t>
      </w:r>
      <w:r>
        <w:rPr>
          <w:rFonts w:hint="eastAsia" w:ascii="宋体" w:hAnsi="宋体" w:eastAsia="宋体" w:cs="宋体"/>
          <w:color w:val="auto"/>
          <w:highlight w:val="none"/>
          <w:lang w:val="en-US" w:eastAsia="zh-CN"/>
        </w:rPr>
        <w:t xml:space="preserve">详见合同条款。</w:t>
      </w:r>
      <w:r/>
    </w:p>
    <w:p>
      <w:pPr>
        <w:pStyle w:val="859"/>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.4 验收</w:t>
      </w:r>
      <w:r/>
    </w:p>
    <w:p>
      <w:pPr>
        <w:pStyle w:val="862"/>
        <w:numPr>
          <w:ilvl w:val="0"/>
          <w:numId w:val="0"/>
        </w:numPr>
        <w:ind w:firstLine="480"/>
        <w:keepLines w:val="0"/>
        <w:keepNext w:val="0"/>
        <w:pageBreakBefore w:val="0"/>
        <w:spacing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成果交付：中标服务机构须完整保存项目执行过程中的服务、管理等资料（文本、照片、录音和音像等），</w:t>
      </w:r>
      <w:r>
        <w:rPr>
          <w:rFonts w:hint="eastAsia" w:ascii="宋体" w:hAnsi="宋体" w:eastAsia="宋体" w:cs="宋体"/>
          <w:color w:val="auto"/>
          <w:highlight w:val="none"/>
          <w:lang w:val="en-US" w:eastAsia="zh-CN"/>
        </w:rPr>
        <w:t xml:space="preserve">每</w:t>
      </w:r>
      <w:r>
        <w:rPr>
          <w:rFonts w:hint="eastAsia" w:hAnsi="宋体" w:eastAsia="宋体" w:cs="宋体"/>
          <w:color w:val="auto"/>
          <w:highlight w:val="none"/>
          <w:lang w:val="en-US" w:eastAsia="zh-CN"/>
        </w:rPr>
        <w:t xml:space="preserve">季度</w:t>
      </w:r>
      <w:r>
        <w:rPr>
          <w:rFonts w:hint="eastAsia" w:ascii="宋体" w:hAnsi="宋体" w:eastAsia="宋体" w:cs="宋体"/>
          <w:color w:val="auto"/>
          <w:highlight w:val="none"/>
          <w:lang w:val="en-US" w:eastAsia="zh-CN"/>
        </w:rPr>
        <w:t xml:space="preserve">提交项目工作简报，汇报服务开展、问题整改</w:t>
      </w:r>
      <w:r>
        <w:rPr>
          <w:rFonts w:hint="eastAsia"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服务数据等情况；服务期满后</w:t>
      </w:r>
      <w:r>
        <w:rPr>
          <w:rFonts w:hint="eastAsia" w:hAnsi="宋体" w:eastAsia="宋体" w:cs="宋体"/>
          <w:color w:val="auto"/>
          <w:highlight w:val="none"/>
          <w:lang w:val="en-US" w:eastAsia="zh-CN"/>
        </w:rPr>
        <w:t xml:space="preserve">，按甲方要求</w:t>
      </w:r>
      <w:r>
        <w:rPr>
          <w:rFonts w:hint="eastAsia" w:ascii="宋体" w:hAnsi="宋体" w:eastAsia="宋体" w:cs="宋体"/>
          <w:color w:val="auto"/>
          <w:highlight w:val="none"/>
          <w:lang w:val="en-US" w:eastAsia="zh-CN"/>
        </w:rPr>
        <w:t xml:space="preserve">提交完整项目成果总结报告及全套归档资料。</w:t>
      </w:r>
      <w:r/>
    </w:p>
    <w:p>
      <w:pPr>
        <w:pStyle w:val="862"/>
        <w:numPr>
          <w:ilvl w:val="0"/>
          <w:numId w:val="0"/>
        </w:numPr>
        <w:ind w:firstLine="480"/>
        <w:keepLines w:val="0"/>
        <w:keepNext w:val="0"/>
        <w:pageBreakBefore w:val="0"/>
        <w:spacing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hAnsi="宋体" w:eastAsia="宋体" w:cs="宋体"/>
          <w:color w:val="auto"/>
          <w:highlight w:val="none"/>
          <w:lang w:val="en-US" w:eastAsia="zh-CN"/>
        </w:rPr>
        <w:t xml:space="preserve">采购人根据</w:t>
      </w:r>
      <w:r>
        <w:rPr>
          <w:rFonts w:hint="default" w:hAnsi="宋体" w:eastAsia="宋体" w:cs="宋体"/>
          <w:color w:val="auto"/>
          <w:highlight w:val="none"/>
          <w:lang w:eastAsia="zh-CN"/>
        </w:rPr>
        <w:t xml:space="preserve">现行</w:t>
      </w:r>
      <w:r>
        <w:rPr>
          <w:rFonts w:hint="eastAsia" w:ascii="宋体" w:hAnsi="宋体" w:eastAsia="宋体" w:cs="宋体"/>
          <w:color w:val="auto"/>
          <w:highlight w:val="none"/>
          <w:lang w:val="en-US" w:eastAsia="zh-CN"/>
        </w:rPr>
        <w:t xml:space="preserve">特困人员照料护理服务考核管理实施细则</w:t>
      </w:r>
      <w:r>
        <w:rPr>
          <w:rFonts w:hint="eastAsia" w:ascii="宋体" w:hAnsi="宋体" w:eastAsia="宋体" w:cs="宋体"/>
          <w:color w:val="auto"/>
          <w:highlight w:val="none"/>
          <w:lang w:val="en-US" w:eastAsia="zh-CN"/>
        </w:rPr>
        <w:t xml:space="preserve">、</w:t>
      </w:r>
      <w:r>
        <w:rPr>
          <w:rFonts w:hint="eastAsia" w:hAnsi="宋体" w:eastAsia="宋体" w:cs="宋体"/>
          <w:color w:val="auto"/>
          <w:highlight w:val="none"/>
          <w:lang w:val="en-US" w:eastAsia="zh-CN"/>
        </w:rPr>
        <w:t xml:space="preserve">特困人员照料护理服务相关规定要</w:t>
      </w:r>
      <w:r>
        <w:rPr>
          <w:rFonts w:hint="eastAsia" w:ascii="宋体" w:hAnsi="宋体" w:eastAsia="宋体" w:cs="宋体"/>
          <w:color w:val="auto"/>
          <w:highlight w:val="none"/>
          <w:lang w:val="en-US" w:eastAsia="zh-CN"/>
        </w:rPr>
        <w:t xml:space="preserve">求</w:t>
      </w:r>
      <w:r>
        <w:rPr>
          <w:rFonts w:hint="eastAsia" w:hAnsi="宋体" w:eastAsia="宋体" w:cs="宋体"/>
          <w:color w:val="auto"/>
          <w:highlight w:val="none"/>
          <w:lang w:val="en-US" w:eastAsia="zh-CN"/>
        </w:rPr>
        <w:t xml:space="preserve">组织履约验收工作，乙方应当做好验收配合工作，验收结果与采购合同约定的资金支付及履约保证金返还条件挂钩。</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招标人根据采购合同的约定及时向中标人支付合同款项、退还履约保证金。验收不合格的项目，招标人依法及时处理。采购合同的履行、违约责任和解决争议的方式等适用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。中标人在履约过程中有政府采购法律法规规定的违法违规情形的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招标人将及时报告本级财政部门。</w:t>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采购标的对应的中小企业划分标准所属行业一览表</w:t>
      </w:r>
      <w:r>
        <w:rPr>
          <w:rFonts w:hint="eastAsia" w:ascii="宋体" w:hAnsi="宋体" w:eastAsia="宋体" w:cs="宋体"/>
          <w:color w:val="auto"/>
          <w:highlight w:val="none"/>
        </w:rPr>
      </w:r>
      <w:r/>
    </w:p>
    <w:tbl>
      <w:tblPr>
        <w:tblStyle w:val="850"/>
        <w:tblW w:w="828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3528"/>
        <w:gridCol w:w="3879"/>
      </w:tblGrid>
      <w:tr>
        <w:trPr>
          <w:jc w:val="center"/>
          <w:tblCellSpacing w:w="0" w:type="dxa"/>
          <w:trHeight w:val="936"/>
        </w:trPr>
        <w:tc>
          <w:tcPr>
            <w:shd w:val="clear" w:color="ffffff"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59"/>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序号</w:t>
            </w:r>
            <w:r>
              <w:rPr>
                <w:rFonts w:ascii="宋体" w:hAnsi="宋体" w:eastAsia="宋体" w:cs="宋体"/>
                <w:color w:val="auto"/>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528" w:type="dxa"/>
            <w:vAlign w:val="center"/>
            <w:textDirection w:val="lrTb"/>
            <w:noWrap w:val="false"/>
          </w:tcPr>
          <w:p>
            <w:pPr>
              <w:pStyle w:val="859"/>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采购标的</w:t>
            </w:r>
            <w:r>
              <w:rPr>
                <w:rFonts w:ascii="宋体" w:hAnsi="宋体" w:eastAsia="宋体" w:cs="宋体"/>
                <w:color w:val="auto"/>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859"/>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对应中小微企业划分标准所属行业</w:t>
            </w:r>
            <w:r>
              <w:rPr>
                <w:rFonts w:ascii="宋体" w:hAnsi="宋体" w:eastAsia="宋体" w:cs="宋体"/>
                <w:color w:val="auto"/>
                <w:highlight w:val="none"/>
              </w:rPr>
            </w:r>
            <w:r/>
          </w:p>
        </w:tc>
      </w:tr>
      <w:tr>
        <w:trPr>
          <w:jc w:val="center"/>
          <w:tblCellSpacing w:w="0" w:type="dxa"/>
          <w:trHeight w:val="936"/>
        </w:trPr>
        <w:tc>
          <w:tcPr>
            <w:shd w:val="clear" w:color="ffffff"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59"/>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ascii="宋体" w:hAnsi="宋体" w:eastAsia="宋体" w:cs="宋体"/>
                <w:color w:val="auto"/>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528" w:type="dxa"/>
            <w:vAlign w:val="center"/>
            <w:textDirection w:val="lrTb"/>
            <w:noWrap w:val="false"/>
          </w:tcPr>
          <w:p>
            <w:pPr>
              <w:pStyle w:val="859"/>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东台市2026年特困供养人员购买第三方照料护理服务项目</w:t>
            </w:r>
            <w:r>
              <w:rPr>
                <w:rFonts w:ascii="宋体" w:hAnsi="宋体" w:eastAsia="宋体" w:cs="宋体"/>
                <w:color w:val="auto"/>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859"/>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 其他未列明行业</w:t>
            </w:r>
            <w:r>
              <w:rPr>
                <w:rFonts w:ascii="宋体" w:hAnsi="宋体" w:eastAsia="宋体" w:cs="宋体"/>
                <w:color w:val="auto"/>
                <w:highlight w:val="none"/>
              </w:rPr>
            </w:r>
            <w:r/>
          </w:p>
        </w:tc>
      </w:tr>
    </w:tbl>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0"/>
        <w:jc w:val="center"/>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bookmarkStart w:id="188" w:name="_Toc18249"/>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188"/>
      <w:r>
        <w:rPr>
          <w:rFonts w:hint="eastAsia" w:ascii="宋体" w:hAnsi="宋体" w:eastAsia="宋体" w:cs="宋体"/>
          <w:color w:val="auto"/>
          <w:highlight w:val="none"/>
        </w:rPr>
      </w:r>
      <w:r/>
    </w:p>
    <w:p>
      <w:pPr>
        <w:pStyle w:val="859"/>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b/>
          <w:bCs/>
          <w:color w:val="auto"/>
          <w:sz w:val="24"/>
          <w:szCs w:val="24"/>
          <w:highlight w:val="none"/>
        </w:rPr>
        <w:t xml:space="preserve">若得分相同，按实施方案得分由高到低排列；实施方案得分也相同则由采购人抽签确定排序。</w:t>
      </w:r>
      <w:r/>
    </w:p>
    <w:p>
      <w:pPr>
        <w:ind w:lef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本项目供应商可以同时参与上述三个项目投标，但只能中一个包，兼投不兼中，评标顺序包一、包二、包三。</w:t>
      </w:r>
      <w:r/>
    </w:p>
    <w:p>
      <w:pPr>
        <w:pStyle w:val="859"/>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本项目专门面向中小企业采购，价格将不做相应扣除</w:t>
      </w:r>
      <w:r>
        <w:rPr>
          <w:rFonts w:hint="eastAsia" w:ascii="宋体" w:hAnsi="宋体" w:eastAsia="宋体" w:cs="宋体"/>
          <w:b/>
          <w:color w:val="auto"/>
          <w:highlight w:val="none"/>
          <w:lang w:eastAsia="zh-CN"/>
        </w:rPr>
        <w:t xml:space="preserve">）</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865"/>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w:t>
      </w:r>
      <w:r>
        <w:rPr>
          <w:rFonts w:hint="eastAsia" w:ascii="宋体" w:hAnsi="宋体" w:eastAsia="宋体" w:cs="宋体"/>
          <w:color w:val="auto"/>
          <w:highlight w:val="none"/>
          <w:lang w:val="en-US" w:eastAsia="zh-CN"/>
        </w:rPr>
        <w:t xml:space="preserve">如</w:t>
      </w:r>
      <w:r>
        <w:rPr>
          <w:rFonts w:hint="eastAsia" w:ascii="宋体" w:hAnsi="宋体" w:eastAsia="宋体" w:cs="宋体"/>
          <w:color w:val="auto"/>
          <w:highlight w:val="none"/>
        </w:rPr>
        <w:t xml:space="preserve">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auto"/>
          <w:highlight w:val="none"/>
        </w:rPr>
        <w:t xml:space="preserve">》。</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59"/>
        <w:ind w:left="0" w:firstLine="480"/>
        <w:keepLines w:val="0"/>
        <w:keepNext w:val="0"/>
        <w:pageBreakBefore w:val="0"/>
        <w:spacing w:beforeAutospacing="0" w:afterAutospacing="0"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59"/>
        <w:ind w:left="0" w:firstLine="482"/>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tbl>
      <w:tblPr>
        <w:tblStyle w:val="850"/>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34"/>
        <w:gridCol w:w="1247"/>
        <w:gridCol w:w="829"/>
        <w:gridCol w:w="4470"/>
      </w:tblGrid>
      <w:tr>
        <w:trPr>
          <w:jc w:val="cente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470"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打分要求</w:t>
            </w:r>
            <w:r/>
          </w:p>
        </w:tc>
      </w:tr>
      <w:tr>
        <w:trPr>
          <w:jc w:val="center"/>
          <w:trHeight w:val="335"/>
        </w:trPr>
        <w:tc>
          <w:tcPr>
            <w:tcBorders>
              <w:top w:val="single" w:color="auto" w:sz="4" w:space="0"/>
              <w:left w:val="single" w:color="auto" w:sz="4" w:space="0"/>
              <w:right w:val="single" w:color="auto" w:sz="4" w:space="0"/>
            </w:tcBorders>
            <w:tcW w:w="577"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right w:val="single" w:color="auto" w:sz="4" w:space="0"/>
            </w:tcBorders>
            <w:tcW w:w="1234"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综合实力（30分）</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企业资信</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4470" w:type="dxa"/>
            <w:vAlign w:val="center"/>
            <w:textDirection w:val="lrTb"/>
            <w:noWrap w:val="false"/>
          </w:tcPr>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投标人具有养老服务认证证书5A级得3分，4A级得2分，3A级得1分。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上述证书认证范围须包含养老服务或相关服务范围，证书须在全国认证认可信息公共服务平台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http://cx.cnca,cn/CertECloud/index/index/page可查询，投标时须提供相关证书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件并加盖投标人公章，未提供不得分。</w:t>
            </w:r>
            <w:r>
              <w:rPr>
                <w:rFonts w:hint="eastAsia" w:ascii="宋体" w:hAnsi="宋体" w:eastAsia="宋体" w:cs="宋体"/>
                <w:color w:val="auto"/>
                <w:sz w:val="24"/>
                <w:szCs w:val="24"/>
                <w:highlight w:val="none"/>
                <w:lang w:eastAsia="zh-CN"/>
              </w:rPr>
              <w:t xml:space="preserve">）</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auto" w:sz="4" w:space="0"/>
              <w:left w:val="single" w:color="auto" w:sz="4" w:space="0"/>
              <w:right w:val="single" w:color="auto" w:sz="4" w:space="0"/>
            </w:tcBorders>
            <w:tcW w:w="4470" w:type="dxa"/>
            <w:vAlign w:val="center"/>
            <w:textDirection w:val="lrTb"/>
            <w:noWrap w:val="false"/>
          </w:tcPr>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以服务合同签订日期为准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以来承接过镇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val="en-US" w:eastAsia="zh-CN"/>
              </w:rPr>
              <w:t xml:space="preserve">类似服务</w:t>
            </w:r>
            <w:r>
              <w:rPr>
                <w:rFonts w:hint="eastAsia" w:ascii="宋体" w:hAnsi="宋体" w:eastAsia="宋体" w:cs="宋体"/>
                <w:color w:val="auto"/>
                <w:sz w:val="24"/>
                <w:szCs w:val="24"/>
                <w:highlight w:val="none"/>
              </w:rPr>
              <w:t xml:space="preserve">项目业绩的，每提供一个案例得3分，最高得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投标时须提供合同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，合同所涉及的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内容应包含</w:t>
            </w:r>
            <w:r>
              <w:rPr>
                <w:rFonts w:hint="eastAsia" w:ascii="宋体" w:hAnsi="宋体" w:eastAsia="宋体" w:cs="宋体"/>
                <w:color w:val="auto"/>
                <w:sz w:val="24"/>
                <w:szCs w:val="24"/>
                <w:highlight w:val="none"/>
                <w:lang w:val="en-US" w:eastAsia="zh-CN"/>
              </w:rPr>
              <w:t xml:space="preserve">照料护理、居家服务等</w:t>
            </w:r>
            <w:r>
              <w:rPr>
                <w:rFonts w:hint="eastAsia" w:ascii="宋体" w:hAnsi="宋体" w:eastAsia="宋体" w:cs="宋体"/>
                <w:color w:val="auto"/>
                <w:sz w:val="24"/>
                <w:szCs w:val="24"/>
                <w:highlight w:val="none"/>
              </w:rPr>
              <w:t xml:space="preserve">相关内容，未提供或提供资料无法证明的不得分，以上材料均需加盖投标人公章。</w:t>
            </w:r>
            <w:r>
              <w:rPr>
                <w:rFonts w:hint="eastAsia" w:ascii="宋体" w:hAnsi="宋体" w:eastAsia="宋体" w:cs="宋体"/>
                <w:color w:val="auto"/>
                <w:sz w:val="24"/>
                <w:szCs w:val="24"/>
                <w:highlight w:val="none"/>
                <w:lang w:eastAsia="zh-CN"/>
              </w:rPr>
              <w:t xml:space="preserve">）</w:t>
            </w:r>
            <w:r/>
          </w:p>
        </w:tc>
      </w:tr>
      <w:tr>
        <w:trPr>
          <w:jc w:val="center"/>
          <w:trHeight w:val="90"/>
        </w:trPr>
        <w:tc>
          <w:tcPr>
            <w:tcBorders>
              <w:left w:val="single" w:color="auto" w:sz="4" w:space="0"/>
              <w:bottom w:val="single" w:color="auto" w:sz="4" w:space="0"/>
              <w:right w:val="single" w:color="auto" w:sz="4" w:space="0"/>
            </w:tcBorders>
            <w:tcW w:w="577"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234"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auto" w:sz="4" w:space="0"/>
              <w:left w:val="single" w:color="auto" w:sz="4" w:space="0"/>
              <w:right w:val="single" w:color="auto" w:sz="4" w:space="0"/>
            </w:tcBorders>
            <w:tcW w:w="4470" w:type="dxa"/>
            <w:vAlign w:val="center"/>
            <w:textDirection w:val="lrTb"/>
            <w:noWrap w:val="false"/>
          </w:tcPr>
          <w:p>
            <w:pPr>
              <w:numPr>
                <w:ilvl w:val="0"/>
                <w:numId w:val="1"/>
              </w:num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项目负责人具有社会工作师职业资格证书、老年人能力评估师职业技能等级证书、养老护理员职业技能等级证书的，每有一个得1分（同类型的不同等级证书不累计加分），本项最高得3分。（项目</w:t>
            </w:r>
            <w:r>
              <w:rPr>
                <w:rFonts w:ascii="宋体" w:hAnsi="宋体" w:eastAsia="宋体" w:cs="宋体"/>
                <w:color w:val="auto"/>
                <w:sz w:val="24"/>
                <w:szCs w:val="24"/>
                <w:highlight w:val="none"/>
              </w:rPr>
              <w:t xml:space="preserve">负责人不参与后两项打分</w:t>
            </w:r>
            <w:r>
              <w:rPr>
                <w:rFonts w:hint="eastAsia" w:ascii="宋体" w:hAnsi="宋体" w:eastAsia="宋体" w:cs="宋体"/>
                <w:color w:val="auto"/>
                <w:sz w:val="24"/>
                <w:szCs w:val="24"/>
                <w:highlight w:val="none"/>
                <w:lang w:val="en-US" w:eastAsia="zh-CN"/>
              </w:rPr>
              <w:t xml:space="preserve">）</w:t>
            </w:r>
            <w:r/>
          </w:p>
          <w:p>
            <w:pPr>
              <w:numPr>
                <w:ilvl w:val="0"/>
                <w:numId w:val="1"/>
              </w:num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专职团队中，</w:t>
            </w:r>
            <w:r>
              <w:rPr>
                <w:rFonts w:hint="eastAsia" w:ascii="宋体" w:hAnsi="宋体" w:eastAsia="宋体" w:cs="宋体"/>
                <w:color w:val="auto"/>
                <w:sz w:val="24"/>
                <w:szCs w:val="24"/>
                <w:highlight w:val="none"/>
                <w:lang w:val="en-US" w:eastAsia="zh-CN"/>
              </w:rPr>
              <w:t xml:space="preserve">有专科（含）以上护理学专业毕业（有毕业证书）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社会工作师职业资格证书</w:t>
            </w:r>
            <w:r>
              <w:rPr>
                <w:rFonts w:hint="eastAsia" w:ascii="宋体" w:hAnsi="宋体" w:eastAsia="宋体" w:cs="宋体"/>
                <w:color w:val="auto"/>
                <w:sz w:val="24"/>
                <w:szCs w:val="24"/>
                <w:highlight w:val="none"/>
                <w:lang w:val="en-US" w:eastAsia="zh-CN"/>
              </w:rPr>
              <w:t xml:space="preserve">、老年人能力评估师职业技能等级证书、</w:t>
            </w:r>
            <w:r>
              <w:rPr>
                <w:rFonts w:hint="eastAsia" w:ascii="宋体" w:hAnsi="宋体" w:eastAsia="宋体" w:cs="宋体"/>
                <w:color w:val="auto"/>
                <w:sz w:val="24"/>
                <w:szCs w:val="24"/>
                <w:highlight w:val="none"/>
                <w:lang w:val="en-US" w:eastAsia="zh-CN" w:bidi="ar-SA"/>
              </w:rPr>
              <w:t xml:space="preserve">养老护理员职业技能等级证书</w:t>
            </w:r>
            <w:r>
              <w:rPr>
                <w:rFonts w:hint="eastAsia" w:ascii="宋体" w:hAnsi="宋体" w:eastAsia="宋体" w:cs="宋体"/>
                <w:color w:val="auto"/>
                <w:sz w:val="24"/>
                <w:szCs w:val="24"/>
                <w:highlight w:val="none"/>
                <w:lang w:val="en-US" w:eastAsia="zh-CN"/>
              </w:rPr>
              <w:t xml:space="preserve">的，有一个加1.5分（</w:t>
            </w:r>
            <w:r>
              <w:rPr>
                <w:rFonts w:ascii="宋体" w:hAnsi="宋体" w:eastAsia="宋体" w:cs="宋体"/>
                <w:color w:val="auto"/>
                <w:sz w:val="24"/>
                <w:szCs w:val="24"/>
                <w:highlight w:val="none"/>
              </w:rPr>
              <w:t xml:space="preserve">一人多证、同证不同等级均不叠加，单人最多1</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），最高得6分，没有不得分。本项最高得6分。（</w:t>
            </w:r>
            <w:r>
              <w:rPr>
                <w:rFonts w:ascii="宋体" w:hAnsi="宋体" w:eastAsia="宋体" w:cs="宋体"/>
                <w:color w:val="auto"/>
                <w:sz w:val="24"/>
                <w:szCs w:val="24"/>
                <w:highlight w:val="none"/>
              </w:rPr>
              <w:t xml:space="preserve">已纳入本项计分的人员，不得再参与第（3）项计分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（3）投标人项目团队具有中级及以上</w:t>
            </w:r>
            <w:r>
              <w:rPr>
                <w:rFonts w:hint="eastAsia" w:ascii="宋体" w:hAnsi="宋体" w:eastAsia="宋体" w:cs="宋体"/>
                <w:color w:val="auto"/>
                <w:sz w:val="24"/>
                <w:szCs w:val="24"/>
                <w:highlight w:val="none"/>
                <w:lang w:eastAsia="zh-CN"/>
              </w:rPr>
              <w:t xml:space="preserve">社会工作师职业资格证书</w:t>
            </w:r>
            <w:r>
              <w:rPr>
                <w:rFonts w:hint="eastAsia" w:ascii="宋体" w:hAnsi="宋体" w:eastAsia="宋体" w:cs="宋体"/>
                <w:color w:val="auto"/>
                <w:sz w:val="24"/>
                <w:szCs w:val="24"/>
                <w:highlight w:val="none"/>
                <w:lang w:val="en-US" w:eastAsia="zh-CN"/>
              </w:rPr>
              <w:t xml:space="preserve">、老年人能力评估师职业技能等级证书、</w:t>
            </w:r>
            <w:r>
              <w:rPr>
                <w:rFonts w:hint="eastAsia" w:ascii="宋体" w:hAnsi="宋体" w:eastAsia="宋体" w:cs="宋体"/>
                <w:color w:val="auto"/>
                <w:sz w:val="24"/>
                <w:szCs w:val="24"/>
                <w:highlight w:val="none"/>
                <w:lang w:val="en-US" w:eastAsia="zh-CN" w:bidi="ar-SA"/>
              </w:rPr>
              <w:t xml:space="preserve">养老护理员职业技能等级证书</w:t>
            </w:r>
            <w:r>
              <w:rPr>
                <w:rFonts w:hint="eastAsia" w:ascii="宋体" w:hAnsi="宋体" w:eastAsia="宋体" w:cs="宋体"/>
                <w:color w:val="auto"/>
                <w:sz w:val="24"/>
                <w:szCs w:val="24"/>
                <w:highlight w:val="none"/>
                <w:lang w:val="en-US" w:eastAsia="zh-CN"/>
              </w:rPr>
              <w:t xml:space="preserve">的（</w:t>
            </w:r>
            <w:r>
              <w:rPr>
                <w:rFonts w:ascii="宋体" w:hAnsi="宋体" w:eastAsia="宋体" w:cs="宋体"/>
                <w:color w:val="auto"/>
                <w:sz w:val="24"/>
                <w:szCs w:val="24"/>
                <w:highlight w:val="none"/>
              </w:rPr>
              <w:t xml:space="preserve">已在第（2）项计分的人员不得参与本项打分</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已在本项计分的人员，同样不得纳入第（2）项打分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每有1人得2分，最高得6分，没有不得分。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投标时须提供上述人员相关证书复印件、未提供的不得分。另须提供投标人为上述人员缴纳的社会养老保险证明扫描件，否则不得分。以上材料均需加盖公章。</w:t>
            </w:r>
            <w:r/>
          </w:p>
        </w:tc>
      </w:tr>
      <w:tr>
        <w:trPr>
          <w:jc w:val="center"/>
          <w:trHeight w:val="90"/>
        </w:trPr>
        <w:tc>
          <w:tcPr>
            <w:tcBorders>
              <w:left w:val="single" w:color="auto" w:sz="4" w:space="0"/>
              <w:right w:val="single" w:color="auto" w:sz="4" w:space="0"/>
            </w:tcBorders>
            <w:tcW w:w="577"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p>
        </w:tc>
        <w:tc>
          <w:tcPr>
            <w:tcBorders>
              <w:left w:val="single" w:color="auto" w:sz="4" w:space="0"/>
              <w:right w:val="single" w:color="auto" w:sz="4" w:space="0"/>
            </w:tcBorders>
            <w:tcW w:w="1234"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运营管理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70分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服务运营整体规划</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470" w:type="dxa"/>
            <w:vAlign w:val="center"/>
            <w:textDirection w:val="lrTb"/>
            <w:noWrap w:val="false"/>
          </w:tcPr>
          <w:p>
            <w:pPr>
              <w:ind w:firstLine="480"/>
              <w:jc w:val="left"/>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（1）项目整体定位能充分契合我市特困人员照料护理服务的要求，适应我市社会救助高质量发展需求；</w:t>
            </w:r>
            <w:r/>
          </w:p>
          <w:p>
            <w:pPr>
              <w:ind w:firstLine="480"/>
              <w:jc w:val="left"/>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（2）项目运营规划围绕特困人员照料服务要求展开，包括团队建设、基础设施、需求调研、服务方向及目标等。</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（3）服务供给能够精准对接特困人员个性化服务需求，以实现服务对象满意为目标；</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（4）围绕自我造血功能在运营管理模式方面的创新举措。</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整体规划完整、合理、全面、可行性高得15分；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整体规划较完整、较合理、可行性稍有欠缺的得12分；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整体规划一般， 没有具体计划方案的得8分；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整体规划阐述简单的得4分；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项目筹备期方案</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项目中标后筹备期的工作计划、团队配备等落地实施方案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筹备期与各方对接的组织协调方案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完整、合理、全面、可行性高得10分；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较完整、较合理、可行性稍有欠缺的得7分；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 没有具体计划方案的得4分；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整体规划阐述简单的得2分；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团队建设和管理方案</w:t>
            </w:r>
            <w:r/>
          </w:p>
        </w:tc>
        <w:tc>
          <w:tcPr>
            <w:tcBorders>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（1）服务团队的组织架构及职责要求；</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（2）结合服务对象特点和数量，本地化服务团队的配置方案；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（3）针对服务团队不同岗位的绩效考核方案；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（4）针对服务团队的培训管理方案；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方案完整、合理、全面、可行性高得15分；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方案较完整、较合理、可行性稍有欠缺的得12分；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方案一般， 没有具体计划方案的得8分；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精准服务方案</w:t>
            </w:r>
            <w:r/>
          </w:p>
        </w:tc>
        <w:tc>
          <w:tcPr>
            <w:tcBorders>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（1）针对不同类型特困人员的服务需求调研方案；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（2）针对不同失能等级特困人员的个性化服务方案；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（3）线下服务站点的服务设施设备配置方案；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评委根据供应商提供的总体服务方案的全面性、合理性、针对性、专业性、可操作性进行综合打分。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方案内容优秀，全面且逻辑严谨，标准设定具体、可量化，与项目需求高度契合，实施方案兼具专业性、创新性与强可操作性，能显著提升项目成效的得15分；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方案内容良好，完整、逻辑合理，标准描述明确，与项目特点基本匹配，实施方案具备针对性及可操作性，但部分细节需完善的得12分；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方案内容一般，存在局部疏漏或逻辑矛盾，标准模糊且与项目关联性较弱，实施方案仅满足最低要求，需依赖外部指导执行的得8分；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方案内容较差，不合理且缺乏系统性，标准脱离实际需求，实施方案无针对性，可操作性差，需彻底调整结构得4分；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不提供不得分。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服务质量监管方案</w:t>
            </w:r>
            <w:r/>
          </w:p>
        </w:tc>
        <w:tc>
          <w:tcPr>
            <w:tcBorders>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能结合东台市实际情况制定切实可行的服务质量自我监管方案；</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有完善、可行的满意度评价体系；</w:t>
            </w:r>
            <w:r/>
          </w:p>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有针对服务质量监管制定完整而详细的沟通、反馈机制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完整、合理、全面、可行性高得10分；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较完整、较合理、可行性稍有欠缺的得7分；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 没有具体计划方案的得4分；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eastAsia="宋体" w:cs="宋体"/>
                <w:color w:val="auto"/>
                <w:sz w:val="24"/>
                <w:szCs w:val="24"/>
                <w:highlight w:val="none"/>
              </w:rPr>
              <w:t xml:space="preserve">。</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预警方案</w:t>
            </w:r>
            <w:r/>
          </w:p>
        </w:tc>
        <w:tc>
          <w:tcPr>
            <w:tcBorders>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对服务实施、管理、监管等环节中各类问题的预警方案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完整、合理、全面、可行性高得5分；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较完整、较合理、可行性稍有欠缺的得3分；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 没有具体计划方案的得2分；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整体规划阐述简单的得1分；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bl>
    <w:p>
      <w:pPr>
        <w:ind w:firstLine="48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说明：</w:t>
      </w:r>
      <w:r/>
    </w:p>
    <w:p>
      <w:pPr>
        <w:ind w:firstLine="48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（1）所有打分项均以投标人所提供的投标文件进行打分，投标文件中未提及的不予认可，投标文件提交截止时间后不得修改或补充投标文件。</w:t>
      </w:r>
      <w:r/>
    </w:p>
    <w:p>
      <w:pPr>
        <w:ind w:firstLine="48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2"/>
          <w:highlight w:val="none"/>
          <w:lang w:val="en-US" w:eastAsia="zh-CN" w:bidi="ar-SA"/>
        </w:rPr>
        <w:t xml:space="preserve">（2）投标人的最终得分为所有评委打分的平均值，计算结果保留至小数点后两位。</w:t>
      </w:r>
      <w:r/>
    </w:p>
    <w:p>
      <w:pPr>
        <w:pStyle w:val="8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59"/>
        <w:jc w:val="center"/>
        <w:keepNext/>
        <w:spacing w:beforeAutospacing="0" w:afterAutospacing="0"/>
        <w:rPr>
          <w:rFonts w:hint="eastAsia" w:ascii="黑体" w:hAnsi="宋体" w:eastAsia="黑体" w:cs="黑体"/>
          <w:color w:val="auto"/>
          <w:sz w:val="44"/>
          <w:szCs w:val="44"/>
          <w:highlight w:val="none"/>
        </w:rPr>
        <w:outlineLvl w:val="0"/>
      </w:pPr>
      <w:r/>
      <w:bookmarkStart w:id="189" w:name="_Toc10935"/>
      <w:r/>
      <w:bookmarkStart w:id="190" w:name="_Toc49090576"/>
      <w:r/>
      <w:bookmarkStart w:id="191" w:name="_Toc120614282"/>
      <w:r/>
      <w:r/>
    </w:p>
    <w:p>
      <w:pPr>
        <w:pStyle w:val="859"/>
        <w:jc w:val="left"/>
        <w:keepNext/>
        <w:spacing w:beforeAutospacing="0" w:afterAutospacing="0"/>
        <w:rPr>
          <w:color w:val="auto"/>
          <w:highlight w:val="none"/>
        </w:rPr>
        <w:outlineLvl w:val="0"/>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59"/>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w:t>
      </w:r>
      <w:bookmarkEnd w:id="189"/>
      <w:r>
        <w:rPr>
          <w:rFonts w:hint="eastAsia" w:ascii="黑体" w:hAnsi="宋体" w:eastAsia="黑体" w:cs="黑体"/>
          <w:color w:val="auto"/>
          <w:sz w:val="44"/>
          <w:szCs w:val="44"/>
          <w:highlight w:val="none"/>
        </w:rPr>
        <w:t xml:space="preserve"> </w:t>
      </w:r>
      <w:r/>
    </w:p>
    <w:p>
      <w:pPr>
        <w:pStyle w:val="859"/>
        <w:jc w:val="both"/>
        <w:spacing w:beforeAutospacing="0" w:afterAutospacing="0"/>
        <w:rPr>
          <w:rFonts w:hint="eastAsia" w:ascii="宋体" w:hAnsi="宋体" w:eastAsia="宋体" w:cs="宋体"/>
          <w:b/>
          <w:color w:val="auto"/>
          <w:sz w:val="72"/>
          <w:szCs w:val="72"/>
          <w:highlight w:val="none"/>
        </w:rPr>
      </w:pPr>
      <w:r/>
      <w:bookmarkStart w:id="192" w:name="_Hlt26671244"/>
      <w:r/>
      <w:bookmarkEnd w:id="192"/>
      <w:r/>
      <w:bookmarkStart w:id="193" w:name="_Toc26554094"/>
      <w:r/>
      <w:bookmarkEnd w:id="193"/>
      <w:r/>
      <w:bookmarkStart w:id="194" w:name="_Hlt26955039"/>
      <w:r/>
      <w:bookmarkEnd w:id="194"/>
      <w:r/>
      <w:r/>
    </w:p>
    <w:p>
      <w:pPr>
        <w:pStyle w:val="85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9"/>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59"/>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5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85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r/>
    </w:p>
    <w:p>
      <w:pPr>
        <w:pStyle w:val="85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r/>
    </w:p>
    <w:p>
      <w:pPr>
        <w:pStyle w:val="85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0"/>
        <w:jc w:val="left"/>
        <w:keepLines w:val="0"/>
        <w:keepNext w:val="0"/>
        <w:pageBreakBefore w:val="0"/>
        <w:spacing w:line="48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二、上一年度的财务状况报告（至少提供资产负债表、利润表、现金流量表，投标人成立不满一年无需提供）</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（1）投标人如委托被授权人参与，则被授权人须为本单位正式职工并提供投标人为被授权人缴纳的社会养老保险证明。</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（2）项目负责人须具有人力资源部门颁发的养老护理员职业资格证书，须为本单位正式职工并提供投标人为被授权人缴纳的社会养老保险证明。</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企业声明函（服务）</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十、残疾人福利性单位声明函（如有）</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技术要求响应及偏离表</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、商务要求响应及偏离表</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、开标一览表</w:t>
      </w:r>
      <w:r/>
    </w:p>
    <w:p>
      <w:pPr>
        <w:pStyle w:val="859"/>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、技术方案、服务承诺、培训承诺等</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859"/>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、与评审有关的其他资料</w:t>
      </w:r>
      <w:r/>
    </w:p>
    <w:p>
      <w:pPr>
        <w:pStyle w:val="85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59"/>
        <w:ind w:firstLine="480"/>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859"/>
        <w:ind w:firstLine="480"/>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5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59"/>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859"/>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59"/>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59"/>
        <w:ind w:firstLine="480"/>
        <w:jc w:val="both"/>
        <w:spacing w:beforeAutospacing="0" w:afterAutospacing="0"/>
        <w:rPr>
          <w:rFonts w:hint="eastAsia" w:ascii="宋体" w:hAnsi="宋体" w:eastAsia="宋体" w:cs="宋体"/>
          <w:color w:val="auto"/>
          <w:highlight w:val="none"/>
        </w:rPr>
      </w:pPr>
      <w:r/>
      <w:bookmarkStart w:id="195"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5"/>
      <w:r/>
      <w:r/>
    </w:p>
    <w:p>
      <w:pPr>
        <w:pStyle w:val="8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59"/>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5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5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5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1.投标人如委托被授权人参与，则被授权人须为本单位正式职工并提供投标人近期为被授权人缴纳的社会养老保险证明。</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r/>
    </w:p>
    <w:p>
      <w:pPr>
        <w:pStyle w:val="85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5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5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59"/>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85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9"/>
        <w:jc w:val="center"/>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七、法人授权书</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本授权书声明：____________（投标人名称）授权____________（被授权人的姓名）为我方就</w:t>
      </w:r>
      <w:r>
        <w:rPr>
          <w:rFonts w:hint="eastAsia" w:ascii="Times New Roman" w:hAnsi="Times New Roman"/>
          <w:color w:val="auto"/>
          <w:highlight w:val="none"/>
          <w:lang w:val="en-US" w:eastAsia="zh-CN"/>
        </w:rPr>
        <w:t xml:space="preserve">编号</w:t>
      </w:r>
      <w:r>
        <w:rPr>
          <w:rFonts w:hint="eastAsia" w:ascii="Times New Roman" w:hAnsi="Times New Roman"/>
          <w:color w:val="auto"/>
          <w:highlight w:val="none"/>
        </w:rPr>
        <w:t xml:space="preserve">JSZC-320981-XHZB-G2026-0015</w:t>
      </w:r>
      <w:r>
        <w:rPr>
          <w:rFonts w:hint="eastAsia" w:ascii="Times New Roman" w:hAnsi="Times New Roman"/>
          <w:color w:val="auto"/>
          <w:highlight w:val="none"/>
          <w:lang w:eastAsia="zh-CN"/>
        </w:rPr>
        <w:t xml:space="preserve">的</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 xml:space="preserve">项目采购活动的合法代理人，以本单位名义全权处理一切与该项目采购有关的事务。</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本授权书于______年____月____日起生效，特此声明。</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hint="eastAsia" w:ascii="Times New Roman" w:hAnsi="Times New Roman"/>
          <w:color w:val="auto"/>
          <w:highlight w:val="none"/>
          <w:u w:val="none"/>
        </w:rPr>
        <w:t xml:space="preserve">法定代表人或被授权人（签字或盖章）：</w:t>
      </w:r>
      <w:r>
        <w:rPr>
          <w:rFonts w:hint="eastAsia" w:ascii="Times New Roman" w:hAnsi="Times New Roman"/>
          <w:color w:val="auto"/>
          <w:highlight w:val="none"/>
          <w:u w:val="single"/>
        </w:rPr>
        <w:t xml:space="preserve">                 </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59"/>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859"/>
        <w:ind w:firstLine="480"/>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日期：</w:t>
      </w:r>
      <w:bookmarkStart w:id="196" w:name="_Hlt26955070"/>
      <w:r/>
      <w:bookmarkStart w:id="197" w:name="_Hlt26671380"/>
      <w:r/>
      <w:bookmarkStart w:id="198" w:name="_格式3__银行出具的资信证明"/>
      <w:r>
        <w:rPr>
          <w:rFonts w:ascii="Times New Roman" w:hAnsi="Times New Roman"/>
          <w:color w:val="auto"/>
          <w:highlight w:val="none"/>
          <w:u w:val="single"/>
        </w:rPr>
        <w:t xml:space="preserve">                                         </w:t>
      </w:r>
      <w:r/>
    </w:p>
    <w:p>
      <w:pPr>
        <w:pStyle w:val="859"/>
        <w:jc w:val="both"/>
        <w:spacing w:beforeAutospacing="0" w:afterAutospacing="0"/>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859"/>
        <w:jc w:val="both"/>
        <w:spacing w:beforeAutospacing="0" w:afterAutospacing="0"/>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859"/>
        <w:jc w:val="both"/>
        <w:keepLines w:val="0"/>
        <w:keepNext w:val="0"/>
        <w:pageBreakBefore w:val="0"/>
        <w:spacing w:beforeAutospacing="0" w:afterAutospacing="0" w:line="480" w:lineRule="exact"/>
        <w:widowControl w:val="off"/>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t xml:space="preserve">（附：被授权人身份证正反面复印件）</w:t>
      </w:r>
      <w:r/>
    </w:p>
    <w:p>
      <w:pPr>
        <w:pStyle w:val="859"/>
        <w:ind w:firstLine="480"/>
        <w:jc w:val="both"/>
        <w:keepLines w:val="0"/>
        <w:keepNext w:val="0"/>
        <w:pageBreakBefore w:val="0"/>
        <w:spacing w:beforeAutospacing="0" w:afterAutospacing="0" w:line="480" w:lineRule="exact"/>
        <w:widowControl w:val="off"/>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t xml:space="preserve">注：1、授权人须为本单位正式职工并提供投标人为被授权人缴纳的社会养老保险证明。</w:t>
      </w:r>
      <w:r/>
    </w:p>
    <w:p>
      <w:pPr>
        <w:pStyle w:val="859"/>
        <w:ind w:firstLine="960"/>
        <w:jc w:val="both"/>
        <w:keepLines w:val="0"/>
        <w:keepNext w:val="0"/>
        <w:pageBreakBefore w:val="0"/>
        <w:spacing w:beforeAutospacing="0" w:afterAutospacing="0" w:line="480" w:lineRule="exact"/>
        <w:widowControl w:val="off"/>
        <w:tabs>
          <w:tab w:val="left" w:pos="360" w:leader="none"/>
        </w:tabs>
        <w:rPr>
          <w:rFonts w:hint="default" w:ascii="Times New Roman" w:hAnsi="Times New Roman"/>
          <w:color w:val="auto"/>
          <w:highlight w:val="none"/>
        </w:rPr>
      </w:pPr>
      <w:r>
        <w:rPr>
          <w:rFonts w:hint="eastAsia" w:ascii="Times New Roman" w:hAnsi="Times New Roman"/>
          <w:color w:val="auto"/>
          <w:highlight w:val="none"/>
          <w:lang w:eastAsia="zh-CN"/>
        </w:rPr>
        <w:t xml:space="preserve">2.</w:t>
      </w:r>
      <w:r>
        <w:rPr>
          <w:rFonts w:hint="eastAsia" w:ascii="Times New Roman" w:hAnsi="Times New Roman"/>
          <w:color w:val="auto"/>
          <w:highlight w:val="none"/>
        </w:rPr>
        <w:t xml:space="preserve">法</w:t>
      </w:r>
      <w:r>
        <w:rPr>
          <w:rFonts w:hint="eastAsia" w:ascii="Times New Roman" w:hAnsi="Times New Roman"/>
          <w:color w:val="auto"/>
          <w:highlight w:val="none"/>
          <w:lang w:eastAsia="zh-CN"/>
        </w:rPr>
        <w:t xml:space="preserve">定代表</w:t>
      </w:r>
      <w:r>
        <w:rPr>
          <w:rFonts w:hint="eastAsia" w:ascii="Times New Roman" w:hAnsi="Times New Roman"/>
          <w:color w:val="auto"/>
          <w:highlight w:val="none"/>
        </w:rPr>
        <w:t xml:space="preserve">人亲自参加时无需提供授权书及保险证明</w:t>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center"/>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黑体" w:hAnsi="宋体" w:eastAsia="黑体" w:cs="黑体"/>
          <w:b/>
          <w:color w:val="auto"/>
          <w:sz w:val="32"/>
          <w:szCs w:val="32"/>
          <w:highlight w:val="none"/>
        </w:rPr>
        <w:t xml:space="preserve">八、投标函</w:t>
      </w:r>
      <w:r/>
    </w:p>
    <w:p>
      <w:pPr>
        <w:pStyle w:val="859"/>
        <w:spacing w:beforeAutospacing="0" w:afterAutospacing="0" w:line="0" w:lineRule="atLeas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（采购人）</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rPr>
        <w:t xml:space="preserve">JSZC-320981-XHZB-G2026-0015</w:t>
      </w:r>
      <w:r>
        <w:rPr>
          <w:rFonts w:hint="eastAsia" w:ascii="宋体" w:hAnsi="宋体" w:eastAsia="宋体" w:cs="宋体"/>
          <w:color w:val="auto"/>
          <w:highlight w:val="none"/>
          <w:lang w:eastAsia="zh-CN"/>
        </w:rPr>
        <w:t xml:space="preserve">的</w:t>
      </w:r>
      <w:r>
        <w:rPr>
          <w:rFonts w:hint="eastAsia" w:ascii="宋体" w:hAnsi="宋体" w:eastAsia="宋体" w:cs="宋体"/>
          <w:b/>
          <w:color w:val="auto"/>
          <w:sz w:val="36"/>
          <w:szCs w:val="36"/>
          <w:highlight w:val="none"/>
          <w:u w:val="single"/>
        </w:rPr>
        <w:t xml:space="preserve"> </w:t>
      </w:r>
      <w:r>
        <w:rPr>
          <w:rFonts w:hint="eastAsia"/>
          <w:color w:val="auto"/>
          <w:highlight w:val="none"/>
          <w:u w:val="single"/>
        </w:rPr>
        <w:t xml:space="preserve">（项目</w:t>
      </w:r>
      <w:r>
        <w:rPr>
          <w:rFonts w:hint="eastAsia"/>
          <w:color w:val="auto"/>
          <w:highlight w:val="none"/>
          <w:u w:val="single"/>
          <w:lang w:val="en-US" w:eastAsia="zh-CN"/>
        </w:rPr>
        <w:t xml:space="preserve">名称</w:t>
      </w:r>
      <w:r>
        <w:rPr>
          <w:rFonts w:hint="eastAsia"/>
          <w:color w:val="auto"/>
          <w:highlight w:val="none"/>
          <w:u w:val="single"/>
        </w:rPr>
        <w:t xml:space="preserve">）</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电话：</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手机号码</w:t>
      </w:r>
      <w:r>
        <w:rPr>
          <w:rFonts w:hint="eastAsia" w:ascii="宋体" w:hAnsi="宋体" w:eastAsia="宋体" w:cs="宋体"/>
          <w:color w:val="auto"/>
          <w:highlight w:val="none"/>
          <w:lang w:eastAsia="zh-CN"/>
        </w:rPr>
        <w:t xml:space="preserve">）</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59"/>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账号： </w:t>
      </w:r>
      <w:r/>
    </w:p>
    <w:p>
      <w:pPr>
        <w:pStyle w:val="859"/>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日期：________年____月____日</w:t>
      </w:r>
      <w:r/>
    </w:p>
    <w:p>
      <w:pPr>
        <w:pStyle w:val="859"/>
        <w:ind w:firstLine="240"/>
        <w:jc w:val="center"/>
        <w:spacing w:beforeAutospacing="0" w:afterAutospacing="0" w:line="0" w:lineRule="atLeast"/>
        <w:rPr>
          <w:color w:val="auto"/>
          <w:highlight w:val="none"/>
        </w:rPr>
      </w:pPr>
      <w:r>
        <w:rPr>
          <w:color w:val="auto"/>
          <w:highlight w:val="none"/>
        </w:rPr>
        <w:t xml:space="preserve"> </w:t>
      </w:r>
      <w:r/>
    </w:p>
    <w:p>
      <w:pPr>
        <w:pStyle w:val="859"/>
        <w:ind w:firstLine="240"/>
        <w:jc w:val="center"/>
        <w:spacing w:beforeAutospacing="0" w:afterAutospacing="0" w:line="0" w:lineRule="atLeast"/>
        <w:rPr>
          <w:color w:val="auto"/>
          <w:highlight w:val="none"/>
        </w:rPr>
      </w:pPr>
      <w:r>
        <w:rPr>
          <w:color w:val="auto"/>
          <w:highlight w:val="none"/>
        </w:rPr>
        <w:t xml:space="preserve"> </w:t>
      </w:r>
      <w:r/>
    </w:p>
    <w:p>
      <w:pPr>
        <w:pStyle w:val="859"/>
        <w:ind w:firstLine="240"/>
        <w:jc w:val="center"/>
        <w:spacing w:beforeAutospacing="0" w:afterAutospacing="0" w:line="0" w:lineRule="atLeast"/>
        <w:rPr>
          <w:color w:val="auto"/>
          <w:highlight w:val="none"/>
        </w:rPr>
      </w:pPr>
      <w:r>
        <w:rPr>
          <w:color w:val="auto"/>
          <w:highlight w:val="none"/>
        </w:rPr>
        <w:t xml:space="preserve"> </w:t>
      </w:r>
      <w:r/>
    </w:p>
    <w:p>
      <w:pPr>
        <w:pStyle w:val="859"/>
        <w:ind w:firstLine="240"/>
        <w:jc w:val="center"/>
        <w:spacing w:beforeAutospacing="0" w:afterAutospacing="0" w:line="0" w:lineRule="atLeast"/>
        <w:rPr>
          <w:color w:val="auto"/>
          <w:highlight w:val="none"/>
        </w:rPr>
      </w:pPr>
      <w:r>
        <w:rPr>
          <w:color w:val="auto"/>
          <w:highlight w:val="none"/>
        </w:rPr>
        <w:t xml:space="preserve"> </w:t>
      </w:r>
      <w:r/>
    </w:p>
    <w:p>
      <w:pPr>
        <w:pStyle w:val="859"/>
        <w:ind w:firstLine="240"/>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highlight w:val="none"/>
        </w:rPr>
        <w:t xml:space="preserve">组织的采购编号为</w:t>
      </w:r>
      <w:r>
        <w:rPr>
          <w:rFonts w:hint="eastAsia" w:ascii="Times New Roman" w:eastAsia="宋体"/>
          <w:color w:val="auto"/>
          <w:sz w:val="24"/>
          <w:highlight w:val="none"/>
          <w:u w:val="single"/>
          <w:lang w:val="en-US" w:eastAsia="zh-CN"/>
        </w:rPr>
        <w:t xml:space="preserve">     </w:t>
      </w:r>
      <w:r>
        <w:rPr>
          <w:rFonts w:hint="eastAsia" w:ascii="Times New Roman" w:eastAsia="宋体"/>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9"/>
        <w:ind w:right="720"/>
        <w:jc w:val="both"/>
        <w:spacing w:beforeAutospacing="0" w:afterAutospacing="0" w:line="0" w:lineRule="atLeast"/>
        <w:rPr>
          <w:color w:val="auto"/>
          <w:highlight w:val="none"/>
        </w:rPr>
      </w:pPr>
      <w:r>
        <w:rPr>
          <w:color w:val="auto"/>
          <w:highlight w:val="none"/>
        </w:rPr>
        <w:t xml:space="preserve"> </w:t>
      </w:r>
      <w:r/>
    </w:p>
    <w:p>
      <w:pPr>
        <w:pStyle w:val="859"/>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59"/>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9"/>
        <w:ind w:firstLine="240"/>
        <w:jc w:val="both"/>
        <w:spacing w:beforeAutospacing="0" w:afterAutospacing="0" w:line="0" w:lineRule="atLeast"/>
        <w:rPr>
          <w:color w:val="auto"/>
          <w:highlight w:val="none"/>
        </w:rPr>
      </w:pPr>
      <w:r>
        <w:rPr>
          <w:color w:val="auto"/>
          <w:highlight w:val="none"/>
        </w:rPr>
        <w:t xml:space="preserve"> </w:t>
      </w:r>
      <w:r/>
    </w:p>
    <w:p>
      <w:pPr>
        <w:pStyle w:val="85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8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59"/>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59"/>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59"/>
        <w:ind w:firstLine="480"/>
        <w:jc w:val="both"/>
        <w:keepLines w:val="0"/>
        <w:keepNext w:val="0"/>
        <w:pageBreakBefore w:val="0"/>
        <w:spacing w:beforeAutospacing="0" w:afterAutospacing="0" w:line="500" w:lineRule="atLeas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59"/>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859"/>
        <w:ind w:firstLine="624"/>
        <w:jc w:val="both"/>
        <w:keepLines w:val="0"/>
        <w:keepNext w:val="0"/>
        <w:pageBreakBefore w:val="0"/>
        <w:spacing w:beforeAutospacing="0" w:afterAutospacing="0" w:line="500" w:lineRule="atLeast"/>
        <w:widowControl w:val="off"/>
        <w:rPr>
          <w:color w:val="auto"/>
          <w:highlight w:val="none"/>
        </w:rPr>
      </w:pPr>
      <w:r>
        <w:rPr>
          <w:color w:val="auto"/>
          <w:highlight w:val="none"/>
        </w:rPr>
        <w:t xml:space="preserve"> </w:t>
      </w:r>
      <w:r/>
    </w:p>
    <w:p>
      <w:pPr>
        <w:pStyle w:val="859"/>
        <w:ind w:right="1560" w:firstLine="624"/>
        <w:jc w:val="center"/>
        <w:keepLines w:val="0"/>
        <w:keepNext w:val="0"/>
        <w:pageBreakBefore w:val="0"/>
        <w:spacing w:beforeAutospacing="0" w:afterAutospacing="0" w:line="500" w:lineRule="atLeast"/>
        <w:widowControl w:val="off"/>
        <w:tabs>
          <w:tab w:val="left" w:pos="4864" w:leader="none"/>
        </w:tabs>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59"/>
        <w:ind w:right="1560" w:firstLine="624"/>
        <w:jc w:val="center"/>
        <w:keepLines w:val="0"/>
        <w:keepNext w:val="0"/>
        <w:pageBreakBefore w:val="0"/>
        <w:spacing w:beforeAutospacing="0" w:afterAutospacing="0" w:line="500" w:lineRule="atLeas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t xml:space="preserve"> </w:t>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line="0" w:lineRule="atLeast"/>
        <w:rPr>
          <w:color w:val="auto"/>
          <w:highlight w:val="none"/>
        </w:rPr>
      </w:pPr>
      <w:r>
        <w:rPr>
          <w:color w:val="auto"/>
          <w:highlight w:val="none"/>
        </w:rPr>
      </w:r>
      <w:r/>
    </w:p>
    <w:p>
      <w:pPr>
        <w:pStyle w:val="859"/>
        <w:jc w:val="center"/>
        <w:spacing w:beforeAutospacing="0" w:afterAutospacing="0"/>
        <w:rPr>
          <w:color w:val="auto"/>
          <w:highlight w:val="none"/>
        </w:rPr>
      </w:pPr>
      <w:r>
        <w:rPr>
          <w:rFonts w:ascii="黑体" w:hAnsi="宋体" w:eastAsia="黑体" w:cs="黑体"/>
          <w:b/>
          <w:bCs/>
          <w:color w:val="auto"/>
          <w:sz w:val="32"/>
          <w:szCs w:val="32"/>
          <w:highlight w:val="none"/>
        </w:rPr>
        <w:t xml:space="preserve">十一、</w:t>
      </w:r>
      <w:r>
        <w:rPr>
          <w:rFonts w:hint="eastAsia" w:ascii="黑体" w:hAnsi="宋体" w:eastAsia="黑体" w:cs="黑体"/>
          <w:b/>
          <w:color w:val="auto"/>
          <w:sz w:val="32"/>
          <w:szCs w:val="32"/>
          <w:highlight w:val="none"/>
        </w:rPr>
        <w:t xml:space="preserve">技术要求响应及偏离表（分包号：**）</w:t>
      </w:r>
      <w:r/>
    </w:p>
    <w:tbl>
      <w:tblPr>
        <w:tblStyle w:val="8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照料护理服务人的招募和选择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对照料护理服务</w:t>
            </w:r>
            <w:r>
              <w:rPr>
                <w:rFonts w:hint="eastAsia"/>
                <w:color w:val="auto"/>
                <w:highlight w:val="none"/>
                <w:lang w:eastAsia="zh-CN"/>
              </w:rPr>
              <w:t xml:space="preserve">人员</w:t>
            </w:r>
            <w:r>
              <w:rPr>
                <w:rFonts w:hint="eastAsia"/>
                <w:color w:val="auto"/>
                <w:highlight w:val="none"/>
              </w:rPr>
              <w:t xml:space="preserve">进行岗前培训</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bl>
    <w:p>
      <w:pPr>
        <w:pStyle w:val="85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9"/>
        <w:jc w:val="both"/>
        <w:spacing w:beforeAutospacing="0" w:afterAutospacing="0" w:line="0" w:lineRule="atLeast"/>
        <w:rPr>
          <w:color w:val="auto"/>
          <w:highlight w:val="none"/>
        </w:rPr>
      </w:pPr>
      <w:r>
        <w:rPr>
          <w:color w:val="auto"/>
          <w:highlight w:val="none"/>
        </w:rPr>
      </w:r>
      <w:r/>
    </w:p>
    <w:p>
      <w:pPr>
        <w:pStyle w:val="859"/>
        <w:ind w:firstLine="645"/>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t xml:space="preserve"> </w:t>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both"/>
        <w:spacing w:beforeAutospacing="0" w:afterAutospacing="0" w:line="0" w:lineRule="atLeast"/>
        <w:rPr>
          <w:color w:val="auto"/>
          <w:highlight w:val="none"/>
        </w:rPr>
      </w:pPr>
      <w:r>
        <w:rPr>
          <w:color w:val="auto"/>
          <w:highlight w:val="none"/>
        </w:rPr>
      </w:r>
      <w:r/>
    </w:p>
    <w:p>
      <w:pPr>
        <w:pStyle w:val="859"/>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、商务要求响应及偏离表（分包号：**）</w:t>
      </w:r>
      <w:r/>
    </w:p>
    <w:tbl>
      <w:tblPr>
        <w:tblStyle w:val="8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color w:val="auto"/>
                <w:highlight w:val="none"/>
              </w:rPr>
            </w:pPr>
            <w:r/>
            <w:bookmarkStart w:id="199" w:name="_Hlt26955056"/>
            <w:r/>
            <w:bookmarkStart w:id="200" w:name="_Hlt26671343"/>
            <w:r/>
            <w:bookmarkStart w:id="201" w:name="_Hlt24879081"/>
            <w:r/>
            <w:bookmarkStart w:id="202" w:name="_Hlt26609391"/>
            <w:r/>
            <w:bookmarkStart w:id="203" w:name="_Hlt26782999"/>
            <w:r/>
            <w:bookmarkStart w:id="204" w:name="_Hlt26955064"/>
            <w:r/>
            <w:bookmarkStart w:id="205" w:name="_Hlt26580838"/>
            <w:r/>
            <w:bookmarkStart w:id="206" w:name="_Hlt26671372"/>
            <w:r>
              <w:rPr>
                <w:rFonts w:hint="eastAsia" w:ascii="宋体" w:hAnsi="宋体" w:eastAsia="宋体" w:cs="宋体"/>
                <w:color w:val="auto"/>
                <w:highlight w:val="none"/>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履约期限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履约地点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付款条件</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验收</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rFonts w:hint="eastAsia" w:eastAsiaTheme="minorEastAsia"/>
                <w:color w:val="auto"/>
                <w:highlight w:val="none"/>
                <w:lang w:eastAsia="zh-CN"/>
              </w:rPr>
            </w:pPr>
            <w:r>
              <w:rPr>
                <w:color w:val="auto"/>
                <w:highlight w:val="none"/>
              </w:rPr>
              <w:t xml:space="preserve"> </w:t>
            </w:r>
            <w:r>
              <w:rPr>
                <w:rFonts w:hint="eastAsia"/>
                <w:color w:val="auto"/>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color w:val="auto"/>
                <w:highlight w:val="none"/>
              </w:rPr>
            </w:pPr>
            <w:r>
              <w:rPr>
                <w:color w:val="auto"/>
                <w:highlight w:val="none"/>
              </w:rPr>
              <w:t xml:space="preserve"> </w:t>
            </w:r>
            <w:r/>
          </w:p>
        </w:tc>
      </w:tr>
    </w:tbl>
    <w:p>
      <w:pPr>
        <w:pStyle w:val="85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9"/>
        <w:jc w:val="both"/>
        <w:spacing w:beforeAutospacing="0" w:afterAutospacing="0"/>
        <w:rPr>
          <w:color w:val="auto"/>
          <w:highlight w:val="none"/>
          <w:shd w:val="clear" w:color="auto" w:fill="auto"/>
        </w:rPr>
      </w:pPr>
      <w:r>
        <w:rPr>
          <w:color w:val="auto"/>
          <w:highlight w:val="none"/>
          <w:shd w:val="clear" w:color="auto" w:fill="auto"/>
        </w:rPr>
      </w:r>
      <w:r/>
    </w:p>
    <w:p>
      <w:pPr>
        <w:pStyle w:val="85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59"/>
        <w:jc w:val="center"/>
        <w:spacing w:beforeAutospacing="0" w:afterAutospacing="0"/>
        <w:rPr>
          <w:i w:val="0"/>
          <w:iCs w:val="0"/>
          <w:color w:val="auto"/>
          <w:highlight w:val="none"/>
          <w:u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i w:val="0"/>
          <w:iCs w:val="0"/>
          <w:color w:val="auto"/>
          <w:sz w:val="32"/>
          <w:szCs w:val="32"/>
          <w:highlight w:val="none"/>
          <w:u w:val="none"/>
        </w:rPr>
        <w:t xml:space="preserve">、</w:t>
      </w:r>
      <w:r>
        <w:rPr>
          <w:rFonts w:hint="eastAsia" w:ascii="黑体" w:hAnsi="宋体" w:eastAsia="黑体" w:cs="黑体"/>
          <w:b/>
          <w:i w:val="0"/>
          <w:iCs w:val="0"/>
          <w:color w:val="auto"/>
          <w:sz w:val="32"/>
          <w:szCs w:val="32"/>
          <w:highlight w:val="none"/>
          <w:u w:val="none"/>
        </w:rPr>
        <w:t xml:space="preserve">开标一览表</w:t>
      </w:r>
      <w:r/>
    </w:p>
    <w:p>
      <w:pPr>
        <w:pStyle w:val="859"/>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859"/>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859"/>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9"/>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分包号：</w:t>
      </w:r>
      <w:r/>
    </w:p>
    <w:tbl>
      <w:tblPr>
        <w:tblStyle w:val="8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9"/>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59"/>
        <w:jc w:val="both"/>
        <w:spacing w:beforeAutospacing="0" w:afterAutospacing="0"/>
        <w:rPr>
          <w:color w:val="auto"/>
          <w:highlight w:val="none"/>
        </w:rPr>
      </w:pPr>
      <w:r>
        <w:rPr>
          <w:color w:val="auto"/>
          <w:highlight w:val="none"/>
        </w:rPr>
        <w:t xml:space="preserve"> </w:t>
      </w:r>
      <w:r/>
    </w:p>
    <w:p>
      <w:pPr>
        <w:pStyle w:val="8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r/>
    </w:p>
    <w:p>
      <w:pPr>
        <w:pStyle w:val="859"/>
        <w:ind w:firstLine="480"/>
        <w:jc w:val="right"/>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9"/>
        <w:jc w:val="both"/>
        <w:spacing w:beforeAutospacing="0" w:afterAutospacing="0"/>
        <w:rPr>
          <w:color w:val="auto"/>
          <w:highlight w:val="none"/>
        </w:rPr>
      </w:pPr>
      <w:r>
        <w:rPr>
          <w:color w:val="auto"/>
          <w:highlight w:val="none"/>
        </w:rPr>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rPr>
          <w:color w:val="auto"/>
          <w:highlight w:val="none"/>
        </w:rPr>
        <w:t xml:space="preserve"> </w:t>
      </w:r>
      <w:r/>
    </w:p>
    <w:p>
      <w:pPr>
        <w:pStyle w:val="859"/>
        <w:ind w:firstLine="480"/>
        <w:jc w:val="both"/>
        <w:keepLines w:val="0"/>
        <w:keepNext w:val="0"/>
        <w:pageBreakBefore w:val="0"/>
        <w:spacing w:beforeAutospacing="0" w:afterAutospacing="0" w:line="480" w:lineRule="exact"/>
        <w:widowControl w:val="off"/>
        <w:rPr>
          <w:rFonts w:hint="default" w:eastAsiaTheme="minorEastAsia"/>
          <w:color w:val="auto"/>
          <w:highlight w:val="none"/>
          <w:lang w:val="en-US" w:eastAsia="zh-CN"/>
        </w:rPr>
      </w:pPr>
      <w:r>
        <w:rPr>
          <w:rFonts w:hint="eastAsia"/>
          <w:color w:val="auto"/>
          <w:highlight w:val="none"/>
          <w:lang w:val="en-US" w:eastAsia="zh-CN"/>
        </w:rPr>
        <w:t xml:space="preserve">注：</w:t>
      </w:r>
      <w:r>
        <w:rPr>
          <w:color w:val="auto"/>
          <w:highlight w:val="none"/>
        </w:rPr>
        <w:t xml:space="preserve"> </w:t>
      </w:r>
      <w:r>
        <w:rPr>
          <w:rFonts w:hint="eastAsia"/>
          <w:color w:val="auto"/>
          <w:highlight w:val="none"/>
        </w:rPr>
        <w:t xml:space="preserve">开标一览表</w:t>
      </w:r>
      <w:r>
        <w:rPr>
          <w:rFonts w:hint="eastAsia"/>
          <w:color w:val="auto"/>
          <w:highlight w:val="none"/>
          <w:lang w:val="en-US" w:eastAsia="zh-CN"/>
        </w:rPr>
        <w:t xml:space="preserve">统一填写各分包预算价（例如包一即填写4135800元），本项目为固定单价项目，供应商填写的报价不参与评审，如报价未按要求填写，也不会视为无效投标。</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center"/>
        <w:spacing w:beforeAutospacing="0" w:afterAutospacing="0"/>
        <w:rPr>
          <w:color w:val="auto"/>
          <w:highlight w:val="none"/>
        </w:rPr>
      </w:pPr>
      <w:r/>
      <w:bookmarkStart w:id="207" w:name="_Hlt26955054"/>
      <w:r>
        <w:rPr>
          <w:rFonts w:hint="eastAsia" w:ascii="黑体" w:hAnsi="宋体" w:eastAsia="黑体" w:cs="黑体"/>
          <w:b/>
          <w:color w:val="auto"/>
          <w:sz w:val="32"/>
          <w:szCs w:val="32"/>
          <w:highlight w:val="none"/>
          <w:lang w:val="en-US" w:eastAsia="zh-CN"/>
        </w:rPr>
        <w:t xml:space="preserve">十四</w:t>
      </w:r>
      <w:r>
        <w:rPr>
          <w:rFonts w:hint="eastAsia" w:ascii="黑体" w:hAnsi="宋体" w:eastAsia="黑体" w:cs="黑体"/>
          <w:b/>
          <w:color w:val="auto"/>
          <w:sz w:val="32"/>
          <w:szCs w:val="32"/>
          <w:highlight w:val="none"/>
        </w:rPr>
        <w:t xml:space="preserve">、</w:t>
      </w:r>
      <w:r>
        <w:rPr>
          <w:rFonts w:hint="eastAsia" w:ascii="宋体" w:hAnsi="宋体" w:eastAsia="宋体" w:cs="宋体"/>
          <w:b/>
          <w:bCs/>
          <w:color w:val="auto"/>
          <w:sz w:val="32"/>
          <w:szCs w:val="32"/>
          <w:highlight w:val="none"/>
        </w:rPr>
        <w:t xml:space="preserve">技术方案、服务承诺、培训承诺等</w:t>
      </w:r>
      <w:r/>
    </w:p>
    <w:p>
      <w:pPr>
        <w:pStyle w:val="859"/>
        <w:jc w:val="both"/>
        <w:spacing w:beforeAutospacing="0" w:afterAutospacing="0" w:line="480" w:lineRule="auto"/>
        <w:rPr>
          <w:color w:val="auto"/>
          <w:highlight w:val="none"/>
        </w:rPr>
      </w:pPr>
      <w:r>
        <w:rPr>
          <w:color w:val="auto"/>
          <w:highlight w:val="none"/>
        </w:rPr>
        <w:t xml:space="preserve"> </w:t>
      </w:r>
      <w:r/>
    </w:p>
    <w:p>
      <w:pPr>
        <w:pStyle w:val="859"/>
        <w:jc w:val="both"/>
        <w:spacing w:beforeAutospacing="0" w:afterAutospacing="0" w:line="480" w:lineRule="auto"/>
        <w:rPr>
          <w:color w:val="auto"/>
          <w:highlight w:val="none"/>
        </w:rPr>
      </w:pPr>
      <w:r>
        <w:rPr>
          <w:color w:val="auto"/>
          <w:highlight w:val="none"/>
        </w:rPr>
        <w:t xml:space="preserve"> </w:t>
      </w:r>
      <w:r/>
    </w:p>
    <w:p>
      <w:pPr>
        <w:pStyle w:val="859"/>
        <w:jc w:val="center"/>
        <w:spacing w:beforeAutospacing="0" w:afterAutospacing="0"/>
        <w:rPr>
          <w:color w:val="auto"/>
          <w:highlight w:val="none"/>
        </w:rPr>
      </w:pPr>
      <w:r/>
      <w:bookmarkStart w:id="208" w:name="_Hlt26609389"/>
      <w:r/>
      <w:bookmarkStart w:id="209" w:name="_格式2__法定代表人授权书"/>
      <w:r/>
      <w:bookmarkStart w:id="210" w:name="_Hlt26671374"/>
      <w:r/>
      <w:bookmarkStart w:id="211" w:name="_Toc462564146"/>
      <w:r/>
      <w:bookmarkStart w:id="212" w:name="_Hlt26955066"/>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t xml:space="preserve"> </w:t>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rPr>
          <w:color w:val="auto"/>
          <w:highlight w:val="none"/>
        </w:rPr>
      </w:r>
      <w:r/>
    </w:p>
    <w:p>
      <w:pPr>
        <w:pStyle w:val="859"/>
        <w:jc w:val="both"/>
        <w:spacing w:beforeAutospacing="0" w:afterAutospacing="0"/>
        <w:rPr>
          <w:color w:val="auto"/>
          <w:highlight w:val="none"/>
        </w:rPr>
      </w:pPr>
      <w:r>
        <w:rPr>
          <w:color w:val="auto"/>
          <w:highlight w:val="none"/>
        </w:rPr>
      </w:r>
      <w:r>
        <w:rPr>
          <w:color w:val="auto"/>
          <w:highlight w:val="none"/>
        </w:rPr>
      </w:r>
      <w:r/>
    </w:p>
    <w:p>
      <w:pPr>
        <w:pStyle w:val="859"/>
        <w:jc w:val="both"/>
        <w:spacing w:beforeAutospacing="0" w:afterAutospacing="0"/>
        <w:rPr>
          <w:color w:val="auto"/>
          <w:highlight w:val="none"/>
        </w:rPr>
      </w:pPr>
      <w:r>
        <w:rPr>
          <w:color w:val="auto"/>
          <w:highlight w:val="none"/>
        </w:rPr>
      </w:r>
      <w:r>
        <w:rPr>
          <w:color w:val="auto"/>
          <w:highlight w:val="none"/>
        </w:rPr>
      </w:r>
      <w:r/>
    </w:p>
    <w:p>
      <w:pPr>
        <w:pStyle w:val="859"/>
        <w:jc w:val="both"/>
        <w:spacing w:beforeAutospacing="0" w:afterAutospacing="0"/>
        <w:rPr>
          <w:color w:val="auto"/>
          <w:highlight w:val="none"/>
        </w:rPr>
      </w:pPr>
      <w:r>
        <w:rPr>
          <w:color w:val="auto"/>
          <w:highlight w:val="none"/>
        </w:rPr>
      </w:r>
      <w:r>
        <w:rPr>
          <w:color w:val="auto"/>
          <w:highlight w:val="none"/>
        </w:rPr>
      </w:r>
      <w:r/>
    </w:p>
    <w:p>
      <w:pPr>
        <w:pStyle w:val="859"/>
        <w:jc w:val="both"/>
        <w:spacing w:beforeAutospacing="0" w:afterAutospacing="0"/>
        <w:rPr>
          <w:color w:val="auto"/>
          <w:highlight w:val="none"/>
        </w:rPr>
      </w:pPr>
      <w:r>
        <w:rPr>
          <w:color w:val="auto"/>
          <w:highlight w:val="none"/>
        </w:rPr>
      </w: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pStyle w:val="859"/>
        <w:jc w:val="both"/>
        <w:spacing w:beforeAutospacing="0" w:afterAutospacing="0"/>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w:t>
      </w:r>
      <w:r>
        <w:rPr>
          <w:rFonts w:hint="eastAsia" w:ascii="宋体" w:hAnsi="宋体" w:eastAsia="宋体" w:cs="宋体"/>
          <w:b/>
          <w:bCs/>
          <w:i w:val="0"/>
          <w:iCs/>
          <w:color w:val="auto"/>
          <w:sz w:val="32"/>
          <w:szCs w:val="32"/>
          <w:highlight w:val="none"/>
          <w:u w:val="none"/>
        </w:rPr>
        <w:t xml:space="preserve">盐</w:t>
      </w:r>
      <w:r>
        <w:rPr>
          <w:rFonts w:hint="eastAsia" w:ascii="宋体" w:hAnsi="宋体" w:eastAsia="宋体" w:cs="宋体"/>
          <w:b/>
          <w:bCs/>
          <w:color w:val="auto"/>
          <w:sz w:val="32"/>
          <w:szCs w:val="32"/>
          <w:highlight w:val="none"/>
        </w:rPr>
        <w:t xml:space="preserve">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p>
    <w:p>
      <w:pPr>
        <w:ind w:firstLine="0"/>
        <w:jc w:val="left"/>
        <w:spacing w:line="499"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r>
      <w:r/>
    </w:p>
    <w:p>
      <w:pPr>
        <w:ind w:firstLine="0"/>
        <w:jc w:val="left"/>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59"/>
        <w:ind w:firstLine="480"/>
        <w:jc w:val="both"/>
        <w:spacing w:beforeAutospacing="0" w:afterAutospacing="0"/>
        <w:rPr>
          <w:color w:val="auto"/>
          <w:highlight w:val="none"/>
        </w:rPr>
      </w:pPr>
      <w:r>
        <w:rPr>
          <w:color w:val="auto"/>
          <w:highlight w:val="none"/>
        </w:rPr>
      </w:r>
      <w:r/>
    </w:p>
    <w:p>
      <w:pPr>
        <w:pStyle w:val="859"/>
        <w:ind w:firstLine="480"/>
        <w:jc w:val="both"/>
        <w:spacing w:beforeAutospacing="0" w:afterAutospacing="0"/>
        <w:rPr>
          <w:color w:val="auto"/>
          <w:highlight w:val="none"/>
        </w:rPr>
      </w:pPr>
      <w:r>
        <w:rPr>
          <w:color w:val="auto"/>
          <w:highlight w:val="none"/>
        </w:rPr>
        <w:t xml:space="preserve"> </w:t>
      </w:r>
      <w:r/>
    </w:p>
    <w:p>
      <w:pPr>
        <w:pStyle w:val="859"/>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before="50" w:after="50"/>
        <w:widowControl/>
        <w:rPr>
          <w:color w:val="auto"/>
          <w:highlight w:val="none"/>
        </w:rPr>
      </w:pPr>
      <w:r>
        <w:rPr>
          <w:color w:val="auto"/>
          <w:highlight w:val="none"/>
        </w:rPr>
        <w:tab/>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、与评审有关的其他资料</w:t>
      </w:r>
      <w:r/>
    </w:p>
    <w:p>
      <w:pPr>
        <w:pStyle w:val="859"/>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bookmarkEnd w:id="33"/>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184"/>
      <w:r/>
      <w:bookmarkEnd w:id="190"/>
      <w:r/>
      <w:bookmarkEnd w:id="191"/>
      <w:r/>
      <w:bookmarkEnd w:id="196"/>
      <w:r/>
      <w:bookmarkEnd w:id="197"/>
      <w:r/>
      <w:bookmarkEnd w:id="198"/>
      <w:r/>
      <w:bookmarkEnd w:id="207"/>
      <w:r/>
      <w:bookmarkEnd w:id="208"/>
      <w:r/>
      <w:bookmarkEnd w:id="209"/>
      <w:r/>
      <w:bookmarkEnd w:id="210"/>
      <w:r/>
      <w:bookmarkEnd w:id="211"/>
      <w:r/>
      <w:bookmarkEnd w:id="212"/>
      <w:r/>
      <w:r/>
    </w:p>
    <w:p>
      <w:pPr>
        <w:pStyle w:val="85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59"/>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5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5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59"/>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59"/>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5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5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5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5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5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9"/>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47"/>
    <w:next w:val="847"/>
    <w:link w:val="674"/>
    <w:uiPriority w:val="9"/>
    <w:qFormat/>
    <w:pPr>
      <w:keepLines/>
      <w:keepNext/>
      <w:spacing w:before="480" w:after="200"/>
      <w:outlineLvl w:val="0"/>
    </w:pPr>
    <w:rPr>
      <w:rFonts w:ascii="Arial" w:hAnsi="Arial" w:eastAsia="Arial" w:cs="Arial"/>
      <w:sz w:val="40"/>
      <w:szCs w:val="40"/>
    </w:rPr>
  </w:style>
  <w:style w:type="character" w:styleId="674">
    <w:name w:val="Heading 1 Char"/>
    <w:basedOn w:val="849"/>
    <w:link w:val="673"/>
    <w:uiPriority w:val="9"/>
    <w:rPr>
      <w:rFonts w:ascii="Arial" w:hAnsi="Arial" w:eastAsia="Arial" w:cs="Arial"/>
      <w:sz w:val="40"/>
      <w:szCs w:val="40"/>
    </w:rPr>
  </w:style>
  <w:style w:type="character" w:styleId="675">
    <w:name w:val="Heading 2 Char"/>
    <w:basedOn w:val="849"/>
    <w:link w:val="848"/>
    <w:uiPriority w:val="9"/>
    <w:rPr>
      <w:rFonts w:ascii="Arial" w:hAnsi="Arial" w:eastAsia="Arial" w:cs="Arial"/>
      <w:sz w:val="34"/>
    </w:rPr>
  </w:style>
  <w:style w:type="paragraph" w:styleId="676">
    <w:name w:val="Heading 3"/>
    <w:basedOn w:val="847"/>
    <w:next w:val="847"/>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basedOn w:val="849"/>
    <w:link w:val="676"/>
    <w:uiPriority w:val="9"/>
    <w:rPr>
      <w:rFonts w:ascii="Arial" w:hAnsi="Arial" w:eastAsia="Arial" w:cs="Arial"/>
      <w:sz w:val="30"/>
      <w:szCs w:val="30"/>
    </w:rPr>
  </w:style>
  <w:style w:type="paragraph" w:styleId="678">
    <w:name w:val="Heading 4"/>
    <w:basedOn w:val="847"/>
    <w:next w:val="847"/>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9"/>
    <w:link w:val="678"/>
    <w:uiPriority w:val="9"/>
    <w:rPr>
      <w:rFonts w:ascii="Arial" w:hAnsi="Arial" w:eastAsia="Arial" w:cs="Arial"/>
      <w:b/>
      <w:bCs/>
      <w:sz w:val="26"/>
      <w:szCs w:val="26"/>
    </w:rPr>
  </w:style>
  <w:style w:type="paragraph" w:styleId="680">
    <w:name w:val="Heading 5"/>
    <w:basedOn w:val="847"/>
    <w:next w:val="847"/>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9"/>
    <w:link w:val="680"/>
    <w:uiPriority w:val="9"/>
    <w:rPr>
      <w:rFonts w:ascii="Arial" w:hAnsi="Arial" w:eastAsia="Arial" w:cs="Arial"/>
      <w:b/>
      <w:bCs/>
      <w:sz w:val="24"/>
      <w:szCs w:val="24"/>
    </w:rPr>
  </w:style>
  <w:style w:type="paragraph" w:styleId="682">
    <w:name w:val="Heading 6"/>
    <w:basedOn w:val="847"/>
    <w:next w:val="847"/>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9"/>
    <w:link w:val="682"/>
    <w:uiPriority w:val="9"/>
    <w:rPr>
      <w:rFonts w:ascii="Arial" w:hAnsi="Arial" w:eastAsia="Arial" w:cs="Arial"/>
      <w:b/>
      <w:bCs/>
      <w:sz w:val="22"/>
      <w:szCs w:val="22"/>
    </w:rPr>
  </w:style>
  <w:style w:type="paragraph" w:styleId="684">
    <w:name w:val="Heading 7"/>
    <w:basedOn w:val="847"/>
    <w:next w:val="847"/>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9"/>
    <w:link w:val="684"/>
    <w:uiPriority w:val="9"/>
    <w:rPr>
      <w:rFonts w:ascii="Arial" w:hAnsi="Arial" w:eastAsia="Arial" w:cs="Arial"/>
      <w:b/>
      <w:bCs/>
      <w:i/>
      <w:iCs/>
      <w:sz w:val="22"/>
      <w:szCs w:val="22"/>
    </w:rPr>
  </w:style>
  <w:style w:type="paragraph" w:styleId="686">
    <w:name w:val="Heading 8"/>
    <w:basedOn w:val="847"/>
    <w:next w:val="847"/>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9"/>
    <w:link w:val="686"/>
    <w:uiPriority w:val="9"/>
    <w:rPr>
      <w:rFonts w:ascii="Arial" w:hAnsi="Arial" w:eastAsia="Arial" w:cs="Arial"/>
      <w:i/>
      <w:iCs/>
      <w:sz w:val="22"/>
      <w:szCs w:val="22"/>
    </w:rPr>
  </w:style>
  <w:style w:type="paragraph" w:styleId="688">
    <w:name w:val="Heading 9"/>
    <w:basedOn w:val="847"/>
    <w:next w:val="847"/>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9"/>
    <w:link w:val="688"/>
    <w:uiPriority w:val="9"/>
    <w:rPr>
      <w:rFonts w:ascii="Arial" w:hAnsi="Arial" w:eastAsia="Arial" w:cs="Arial"/>
      <w:i/>
      <w:iCs/>
      <w:sz w:val="21"/>
      <w:szCs w:val="21"/>
    </w:rPr>
  </w:style>
  <w:style w:type="paragraph" w:styleId="690">
    <w:name w:val="List Paragraph"/>
    <w:basedOn w:val="847"/>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47"/>
    <w:next w:val="847"/>
    <w:link w:val="693"/>
    <w:uiPriority w:val="10"/>
    <w:qFormat/>
    <w:pPr>
      <w:contextualSpacing/>
      <w:spacing w:before="300" w:after="200"/>
    </w:pPr>
    <w:rPr>
      <w:sz w:val="48"/>
      <w:szCs w:val="48"/>
    </w:rPr>
  </w:style>
  <w:style w:type="character" w:styleId="693">
    <w:name w:val="Title Char"/>
    <w:basedOn w:val="849"/>
    <w:link w:val="692"/>
    <w:uiPriority w:val="10"/>
    <w:rPr>
      <w:sz w:val="48"/>
      <w:szCs w:val="48"/>
    </w:rPr>
  </w:style>
  <w:style w:type="paragraph" w:styleId="694">
    <w:name w:val="Subtitle"/>
    <w:basedOn w:val="847"/>
    <w:next w:val="847"/>
    <w:link w:val="695"/>
    <w:uiPriority w:val="11"/>
    <w:qFormat/>
    <w:pPr>
      <w:spacing w:before="200" w:after="200"/>
    </w:pPr>
    <w:rPr>
      <w:sz w:val="24"/>
      <w:szCs w:val="24"/>
    </w:rPr>
  </w:style>
  <w:style w:type="character" w:styleId="695">
    <w:name w:val="Subtitle Char"/>
    <w:basedOn w:val="849"/>
    <w:link w:val="694"/>
    <w:uiPriority w:val="11"/>
    <w:rPr>
      <w:sz w:val="24"/>
      <w:szCs w:val="24"/>
    </w:rPr>
  </w:style>
  <w:style w:type="paragraph" w:styleId="696">
    <w:name w:val="Quote"/>
    <w:basedOn w:val="847"/>
    <w:next w:val="847"/>
    <w:link w:val="697"/>
    <w:uiPriority w:val="29"/>
    <w:qFormat/>
    <w:pPr>
      <w:ind w:left="720" w:right="720"/>
    </w:pPr>
    <w:rPr>
      <w:i/>
    </w:rPr>
  </w:style>
  <w:style w:type="character" w:styleId="697">
    <w:name w:val="Quote Char"/>
    <w:link w:val="696"/>
    <w:uiPriority w:val="29"/>
    <w:rPr>
      <w:i/>
    </w:rPr>
  </w:style>
  <w:style w:type="paragraph" w:styleId="698">
    <w:name w:val="Intense Quote"/>
    <w:basedOn w:val="847"/>
    <w:next w:val="84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9"/>
    <w:link w:val="856"/>
    <w:uiPriority w:val="99"/>
  </w:style>
  <w:style w:type="character" w:styleId="701">
    <w:name w:val="Footer Char"/>
    <w:basedOn w:val="849"/>
    <w:link w:val="855"/>
    <w:uiPriority w:val="99"/>
  </w:style>
  <w:style w:type="paragraph" w:styleId="702">
    <w:name w:val="Caption"/>
    <w:basedOn w:val="847"/>
    <w:next w:val="847"/>
    <w:uiPriority w:val="35"/>
    <w:semiHidden/>
    <w:unhideWhenUsed/>
    <w:qFormat/>
    <w:pPr>
      <w:spacing w:line="276" w:lineRule="auto"/>
    </w:pPr>
    <w:rPr>
      <w:b/>
      <w:bCs/>
      <w:color w:val="4f81bd" w:themeColor="accent1"/>
      <w:sz w:val="18"/>
      <w:szCs w:val="18"/>
    </w:rPr>
  </w:style>
  <w:style w:type="character" w:styleId="703">
    <w:name w:val="Caption Char"/>
    <w:basedOn w:val="702"/>
    <w:link w:val="855"/>
    <w:uiPriority w:val="99"/>
  </w:style>
  <w:style w:type="table" w:styleId="704">
    <w:name w:val="Table Grid"/>
    <w:basedOn w:val="8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1">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5">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0">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7">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7">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1">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4">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8">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49"/>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49"/>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8">
    <w:name w:val="Heading 2"/>
    <w:basedOn w:val="847"/>
    <w:next w:val="8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annotation text"/>
    <w:basedOn w:val="847"/>
    <w:uiPriority w:val="0"/>
    <w:qFormat/>
    <w:pPr>
      <w:jc w:val="left"/>
    </w:pPr>
  </w:style>
  <w:style w:type="paragraph" w:styleId="852">
    <w:name w:val="Body Text"/>
    <w:basedOn w:val="847"/>
    <w:uiPriority w:val="0"/>
    <w:semiHidden/>
    <w:qFormat/>
    <w:rPr>
      <w:rFonts w:ascii="仿宋" w:hAnsi="仿宋" w:eastAsia="仿宋" w:cs="仿宋"/>
      <w:sz w:val="31"/>
      <w:szCs w:val="31"/>
      <w:lang w:val="en-US" w:eastAsia="en-US" w:bidi="ar-SA"/>
    </w:rPr>
  </w:style>
  <w:style w:type="paragraph" w:styleId="853">
    <w:name w:val="Body Text Indent"/>
    <w:basedOn w:val="847"/>
    <w:next w:val="854"/>
    <w:uiPriority w:val="99"/>
    <w:qFormat/>
    <w:pPr>
      <w:ind w:firstLine="645"/>
      <w:jc w:val="both"/>
      <w:widowControl w:val="off"/>
    </w:pPr>
    <w:rPr>
      <w:rFonts w:ascii="楷体_GB2312" w:eastAsia="楷体_GB2312" w:hAnsiTheme="minorHAnsi" w:cstheme="minorBidi"/>
      <w:sz w:val="32"/>
      <w:szCs w:val="32"/>
      <w:lang w:val="en-US" w:eastAsia="zh-CN" w:bidi="ar-SA"/>
    </w:rPr>
  </w:style>
  <w:style w:type="paragraph" w:styleId="854">
    <w:name w:val="envelope return"/>
    <w:basedOn w:val="847"/>
    <w:uiPriority w:val="0"/>
    <w:qFormat/>
    <w:pPr>
      <w:jc w:val="both"/>
      <w:widowControl w:val="off"/>
    </w:pPr>
    <w:rPr>
      <w:rFonts w:ascii="Arial" w:hAnsi="Arial" w:eastAsiaTheme="minorEastAsia" w:cstheme="minorBidi"/>
      <w:sz w:val="21"/>
      <w:szCs w:val="24"/>
      <w:lang w:val="en-US" w:eastAsia="zh-CN" w:bidi="ar-SA"/>
    </w:rPr>
  </w:style>
  <w:style w:type="paragraph" w:styleId="855">
    <w:name w:val="Footer"/>
    <w:basedOn w:val="847"/>
    <w:link w:val="864"/>
    <w:uiPriority w:val="0"/>
    <w:qFormat/>
    <w:pPr>
      <w:jc w:val="left"/>
      <w:tabs>
        <w:tab w:val="center" w:pos="4153" w:leader="none"/>
        <w:tab w:val="right" w:pos="8306" w:leader="none"/>
      </w:tabs>
    </w:pPr>
    <w:rPr>
      <w:sz w:val="18"/>
      <w:szCs w:val="18"/>
    </w:rPr>
  </w:style>
  <w:style w:type="paragraph" w:styleId="856">
    <w:name w:val="Header"/>
    <w:basedOn w:val="847"/>
    <w:link w:val="863"/>
    <w:uiPriority w:val="0"/>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47"/>
    <w:next w:val="847"/>
    <w:uiPriority w:val="0"/>
    <w:qFormat/>
  </w:style>
  <w:style w:type="paragraph" w:styleId="858">
    <w:name w:val="index 9"/>
    <w:next w:val="847"/>
    <w:uiPriority w:val="0"/>
    <w:qFormat/>
    <w:pPr>
      <w:ind w:left="1600"/>
      <w:jc w:val="both"/>
      <w:widowControl w:val="off"/>
    </w:pPr>
    <w:rPr>
      <w:rFonts w:ascii="Times New Roman" w:hAnsi="Times New Roman" w:eastAsia="宋体" w:cs="Times New Roman"/>
      <w:sz w:val="21"/>
      <w:szCs w:val="21"/>
      <w:lang w:val="en-US" w:eastAsia="zh-CN" w:bidi="ar-SA"/>
    </w:rPr>
  </w:style>
  <w:style w:type="paragraph" w:styleId="859">
    <w:name w:val="Normal (Web)"/>
    <w:basedOn w:val="847"/>
    <w:uiPriority w:val="0"/>
    <w:qFormat/>
    <w:pPr>
      <w:jc w:val="left"/>
      <w:spacing w:beforeAutospacing="1" w:afterAutospacing="1"/>
    </w:pPr>
    <w:rPr>
      <w:rFonts w:cs="Times New Roman"/>
      <w:sz w:val="24"/>
    </w:rPr>
  </w:style>
  <w:style w:type="paragraph" w:styleId="860">
    <w:name w:val="Body Text First Indent 2"/>
    <w:basedOn w:val="853"/>
    <w:uiPriority w:val="99"/>
    <w:qFormat/>
    <w:pPr>
      <w:ind w:firstLine="420"/>
      <w:spacing w:line="360" w:lineRule="auto"/>
    </w:pPr>
    <w:rPr>
      <w:rFonts w:ascii="宋体" w:hAnsi="宋体" w:eastAsia="宋体"/>
      <w:sz w:val="20"/>
      <w:szCs w:val="20"/>
    </w:rPr>
  </w:style>
  <w:style w:type="character" w:styleId="861">
    <w:name w:val="Emphasis"/>
    <w:uiPriority w:val="0"/>
    <w:qFormat/>
    <w:rPr>
      <w:i/>
    </w:rPr>
  </w:style>
  <w:style w:type="paragraph" w:styleId="862" w:customStyle="1">
    <w:name w:val="Default"/>
    <w:basedOn w:val="847"/>
    <w:uiPriority w:val="0"/>
    <w:semiHidden/>
    <w:qFormat/>
    <w:pPr>
      <w:jc w:val="left"/>
    </w:pPr>
    <w:rPr>
      <w:rFonts w:ascii="宋体" w:hAnsi="Calibri" w:cs="宋体"/>
      <w:color w:val="000000"/>
      <w:sz w:val="24"/>
    </w:rPr>
  </w:style>
  <w:style w:type="character" w:styleId="863" w:customStyle="1">
    <w:name w:val="页眉 Char"/>
    <w:basedOn w:val="849"/>
    <w:link w:val="856"/>
    <w:uiPriority w:val="0"/>
    <w:qFormat/>
    <w:rPr>
      <w:rFonts w:asciiTheme="minorHAnsi" w:hAnsiTheme="minorHAnsi" w:eastAsiaTheme="minorEastAsia" w:cstheme="minorBidi"/>
      <w:sz w:val="18"/>
      <w:szCs w:val="18"/>
    </w:rPr>
  </w:style>
  <w:style w:type="character" w:styleId="864" w:customStyle="1">
    <w:name w:val="页脚 Char"/>
    <w:basedOn w:val="849"/>
    <w:link w:val="855"/>
    <w:uiPriority w:val="0"/>
    <w:qFormat/>
    <w:rPr>
      <w:rFonts w:asciiTheme="minorHAnsi" w:hAnsiTheme="minorHAnsi" w:eastAsiaTheme="minorEastAsia" w:cstheme="minorBidi"/>
      <w:sz w:val="18"/>
      <w:szCs w:val="18"/>
    </w:rPr>
  </w:style>
  <w:style w:type="paragraph" w:styleId="865" w:customStyle="1">
    <w:name w:val="普通正文"/>
    <w:basedOn w:val="847"/>
    <w:uiPriority w:val="0"/>
    <w:qFormat/>
    <w:pPr>
      <w:ind w:firstLine="480"/>
      <w:jc w:val="left"/>
      <w:spacing w:before="120" w:after="120" w:line="360" w:lineRule="auto"/>
    </w:pPr>
    <w:rPr>
      <w:rFonts w:ascii="Arial" w:hAnsi="Arial" w:eastAsia="等线" w:cs="Arial"/>
      <w:sz w:val="24"/>
      <w:szCs w:val="24"/>
    </w:rPr>
  </w:style>
  <w:style w:type="paragraph" w:styleId="866" w:customStyle="1">
    <w:name w:val="正文首行缩进 21"/>
    <w:basedOn w:val="867"/>
    <w:uiPriority w:val="0"/>
    <w:qFormat/>
    <w:pPr>
      <w:ind w:firstLine="420"/>
    </w:pPr>
  </w:style>
  <w:style w:type="paragraph" w:styleId="867" w:customStyle="1">
    <w:name w:val="正文文本缩进11"/>
    <w:basedOn w:val="847"/>
    <w:uiPriority w:val="0"/>
    <w:qFormat/>
    <w:pPr>
      <w:ind w:firstLine="645"/>
    </w:pPr>
    <w:rPr>
      <w:rFonts w:ascii="楷体_GB2312" w:eastAsia="楷体_GB2312" w:cs="Times New Roman"/>
      <w:sz w:val="32"/>
    </w:rPr>
  </w:style>
  <w:style w:type="paragraph" w:styleId="868" w:customStyle="1">
    <w:name w:val="正文文本缩进1"/>
    <w:basedOn w:val="847"/>
    <w:uiPriority w:val="0"/>
    <w:qFormat/>
    <w:pPr>
      <w:ind w:left="420"/>
      <w:spacing w:after="120"/>
    </w:p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1a43776a-422f-40ee-a286-cce0ddd0f1b0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57</start>
      <end xmlns="http://schemas.wps.cn/vas-ai-hub/contract-review">59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2d335550-b02c-463d-b188-c9f87d972bbb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72</start>
      <end xmlns="http://schemas.wps.cn/vas-ai-hub/contract-review">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1e648555-6aeb-4fc6-a5c2-b662b2b7b7c4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5B5DA349</paraID>
      <start xmlns="http://schemas.wps.cn/vas-ai-hub/contract-review">13</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19b7bf5a-065a-47db-9bbc-d47bad55171a</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220C2C53</paraID>
      <start xmlns="http://schemas.wps.cn/vas-ai-hub/contract-review">68</start>
      <end xmlns="http://schemas.wps.cn/vas-ai-hub/contract-review">73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8be11ca5-33d6-444a-a2f2-17086fceca3f</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18D8BF2E</paraID>
      <start xmlns="http://schemas.wps.cn/vas-ai-hub/contract-review">49</start>
      <end xmlns="http://schemas.wps.cn/vas-ai-hub/contract-review">50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bdf306c9-e0fe-4372-a08c-4916242f0ca3</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2E3A37BC</paraID>
      <start xmlns="http://schemas.wps.cn/vas-ai-hub/contract-review">49</start>
      <end xmlns="http://schemas.wps.cn/vas-ai-hub/contract-review">50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a483fbc0-0d98-4a8f-9117-6965128b16a0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1D84E505</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1c6ce1b0-2d81-4a0c-a259-4e3200529eac</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3CB02BD7</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273c63e6-6cf9-4114-8738-1e9fa5413c25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6420177</paraID>
      <start xmlns="http://schemas.wps.cn/vas-ai-hub/contract-review">33</start>
      <end xmlns="http://schemas.wps.cn/vas-ai-hub/contract-review">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e56112f6-0d59-497e-a9bf-9b594fee3f2c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6420177</paraID>
      <start xmlns="http://schemas.wps.cn/vas-ai-hub/contract-review">50</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15cafc66-90b9-472e-8417-b07cce81e628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6420177</paraID>
      <start xmlns="http://schemas.wps.cn/vas-ai-hub/contract-review">51</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bf834f86-2608-4922-bfc8-60e0d31d6d9b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6420177</paraID>
      <start xmlns="http://schemas.wps.cn/vas-ai-hub/contract-review">68</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9306b799-5f1a-4a2e-9150-cc4605dc1de5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43860437</paraID>
      <start xmlns="http://schemas.wps.cn/vas-ai-hub/contract-review">87</start>
      <end xmlns="http://schemas.wps.cn/vas-ai-hub/contract-review">88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f12bd5eb-6b81-4c36-b551-b85421dd47fa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43860437</paraID>
      <start xmlns="http://schemas.wps.cn/vas-ai-hub/contract-review">104</start>
      <end xmlns="http://schemas.wps.cn/vas-ai-hub/contract-review">105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9c8f956f-2e98-4b23-a95a-3f8dfe9847ad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627B2141</paraID>
      <start xmlns="http://schemas.wps.cn/vas-ai-hub/contract-review">25</start>
      <end xmlns="http://schemas.wps.cn/vas-ai-hub/contract-review">27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97bb0718-e7de-44b9-af25-57827f0bc37e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627B2141</paraID>
      <start xmlns="http://schemas.wps.cn/vas-ai-hub/contract-review">39</start>
      <end xmlns="http://schemas.wps.cn/vas-ai-hub/contract-review">41</end>
      <status xmlns="http://schemas.wps.cn/vas-ai-hub/contract-review">modified</status>
      <modifiedWord xmlns="http://schemas.wps.cn/vas-ai-hub/contract-review">》等</modifiedWord>
      <trackRevisions xmlns="http://schemas.wps.cn/vas-ai-hub/contract-review">false</trackRevisions>
    </reviewItem>
    <reviewItem xmlns="http://schemas.wps.cn/vas-ai-hub/contract-review">
      <errorID xmlns="http://schemas.wps.cn/vas-ai-hub/contract-review">517aa49d-5ddf-4de1-ab20-d986eb381fc6</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xmlns="http://schemas.wps.cn/vas-ai-hub/contract-review">299694F9</paraID>
      <start xmlns="http://schemas.wps.cn/vas-ai-hub/contract-review">14</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373926be-b2b1-4805-9b8a-a30006b257e4</errorID>
      <errorWord xmlns="http://schemas.wps.cn/vas-ai-hub/contract-review">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能够</item>
      </candidateList>
      <explain xmlns="http://schemas.wps.cn/vas-ai-hub/contract-review"/>
      <paraID xmlns="http://schemas.wps.cn/vas-ai-hub/contract-review">364928F7</paraID>
      <start xmlns="http://schemas.wps.cn/vas-ai-hub/contract-review">7</start>
      <end xmlns="http://schemas.wps.cn/vas-ai-hub/contract-review">9</end>
      <status xmlns="http://schemas.wps.cn/vas-ai-hub/contract-review">modified</status>
      <modifiedWord xmlns="http://schemas.wps.cn/vas-ai-hub/contract-review">能够</modifiedWord>
      <trackRevisions xmlns="http://schemas.wps.cn/vas-ai-hub/contract-review">false</trackRevisions>
    </reviewItem>
    <reviewItem xmlns="http://schemas.wps.cn/vas-ai-hub/contract-review">
      <errorID xmlns="http://schemas.wps.cn/vas-ai-hub/contract-review">89f47adc-3305-4da9-9a98-9d660fce01f5</errorID>
      <errorWord xmlns="http://schemas.wps.cn/vas-ai-hub/contract-review">代代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代</item>
      </candidateList>
      <explain xmlns="http://schemas.wps.cn/vas-ai-hub/contract-review"/>
      <paraID xmlns="http://schemas.wps.cn/vas-ai-hub/contract-review">5F75C7E5</paraID>
      <start xmlns="http://schemas.wps.cn/vas-ai-hub/contract-review">4</start>
      <end xmlns="http://schemas.wps.cn/vas-ai-hub/contract-review">5</end>
      <status xmlns="http://schemas.wps.cn/vas-ai-hub/contract-review">modified</status>
      <modifiedWord xmlns="http://schemas.wps.cn/vas-ai-hub/contract-review">代</modifiedWord>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009FBA9-530A-4DBA-9054-80E758B41A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275</cp:revision>
  <dcterms:created xsi:type="dcterms:W3CDTF">2014-10-29T20:08:00Z</dcterms:created>
  <dcterms:modified xsi:type="dcterms:W3CDTF">2026-07-23T07:30:24Z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25AD3B5BFA9A41858E8A707F666A83E0_13</vt:lpwstr>
  </property>
  <property fmtid="{D5CDD505-2E9C-101B-9397-08002B2CF9AE}" pid="4" name="KSOTemplateDocerSaveRecord">
    <vt:lpwstr>eyJoZGlkIjoiYjA5ZGM2ZWEzZTFmMTNmZjQ5MzY5NzkxNDYyYzFhMTYiLCJ1c2VySWQiOiIxMzA2NDU5MDMyIn0=</vt:lpwstr>
  </property>
</Properties>
</file>